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48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480"/>
        <w:ind w:right="0" w:left="0" w:firstLine="0"/>
        <w:jc w:val="both"/>
        <w:rPr>
          <w:rFonts w:ascii="Times New Roman" w:hAnsi="Times New Roman" w:cs="Times New Roman" w:eastAsia="Times New Roman"/>
          <w:b/>
          <w:i/>
          <w:color w:val="auto"/>
          <w:spacing w:val="0"/>
          <w:position w:val="0"/>
          <w:sz w:val="24"/>
          <w:u w:val="single"/>
          <w:shd w:fill="auto" w:val="clear"/>
        </w:rPr>
      </w:pPr>
      <w:r>
        <w:rPr>
          <w:rFonts w:ascii="Times New Roman" w:hAnsi="Times New Roman" w:cs="Times New Roman" w:eastAsia="Times New Roman"/>
          <w:b/>
          <w:i/>
          <w:color w:val="auto"/>
          <w:spacing w:val="0"/>
          <w:position w:val="0"/>
          <w:sz w:val="24"/>
          <w:u w:val="single"/>
          <w:shd w:fill="auto" w:val="clear"/>
        </w:rPr>
        <w:t xml:space="preserve">Student Name:Hristo Tsvetanov Hristozov </w:t>
      </w:r>
    </w:p>
    <w:p>
      <w:pPr>
        <w:spacing w:before="0" w:after="0" w:line="480"/>
        <w:ind w:right="0" w:left="0" w:firstLine="0"/>
        <w:jc w:val="both"/>
        <w:rPr>
          <w:rFonts w:ascii="Times New Roman" w:hAnsi="Times New Roman" w:cs="Times New Roman" w:eastAsia="Times New Roman"/>
          <w:b/>
          <w:i/>
          <w:color w:val="auto"/>
          <w:spacing w:val="0"/>
          <w:position w:val="0"/>
          <w:sz w:val="24"/>
          <w:u w:val="single"/>
          <w:shd w:fill="auto" w:val="clear"/>
        </w:rPr>
      </w:pPr>
      <w:r>
        <w:rPr>
          <w:rFonts w:ascii="Times New Roman" w:hAnsi="Times New Roman" w:cs="Times New Roman" w:eastAsia="Times New Roman"/>
          <w:b/>
          <w:i/>
          <w:color w:val="auto"/>
          <w:spacing w:val="0"/>
          <w:position w:val="0"/>
          <w:sz w:val="24"/>
          <w:u w:val="single"/>
          <w:shd w:fill="auto" w:val="clear"/>
        </w:rPr>
        <w:t xml:space="preserve">Student ID:2030334  </w:t>
      </w:r>
    </w:p>
    <w:p>
      <w:pPr>
        <w:spacing w:before="0" w:after="0" w:line="480"/>
        <w:ind w:right="0" w:left="0" w:firstLine="0"/>
        <w:jc w:val="both"/>
        <w:rPr>
          <w:rFonts w:ascii="Times New Roman" w:hAnsi="Times New Roman" w:cs="Times New Roman" w:eastAsia="Times New Roman"/>
          <w:b/>
          <w:color w:val="000000"/>
          <w:spacing w:val="0"/>
          <w:position w:val="0"/>
          <w:sz w:val="28"/>
          <w:shd w:fill="auto" w:val="clear"/>
        </w:rPr>
      </w:pP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48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color w:val="auto"/>
          <w:spacing w:val="0"/>
          <w:position w:val="0"/>
          <w:sz w:val="24"/>
          <w:shd w:fill="auto" w:val="clear"/>
        </w:rPr>
        <w:t xml:space="preserve">The Global Business Environment (LCBB4005)</w:t>
      </w:r>
    </w:p>
    <w:p>
      <w:pPr>
        <w:spacing w:before="0" w:after="0" w:line="48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48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48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48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48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480"/>
        <w:ind w:right="0" w:left="0" w:firstLine="0"/>
        <w:jc w:val="center"/>
        <w:rPr>
          <w:rFonts w:ascii="Times New Roman" w:hAnsi="Times New Roman" w:cs="Times New Roman" w:eastAsia="Times New Roman"/>
          <w:b/>
          <w:color w:val="auto"/>
          <w:spacing w:val="0"/>
          <w:position w:val="0"/>
          <w:sz w:val="24"/>
          <w:shd w:fill="auto" w:val="clear"/>
        </w:rPr>
      </w:pPr>
    </w:p>
    <w:p>
      <w:pPr>
        <w:spacing w:before="0" w:after="0" w:line="480"/>
        <w:ind w:right="0" w:left="0" w:firstLine="0"/>
        <w:jc w:val="center"/>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CRITICAL EVALUATION OF THE CHALLENGES OF ASTON MARTIN’S INTERNAL AND EXTERNAL BUSINESS ENVIRONMENTS</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480"/>
        <w:ind w:right="0" w:left="0" w:firstLine="0"/>
        <w:jc w:val="left"/>
        <w:rPr>
          <w:rFonts w:ascii="Times New Roman" w:hAnsi="Times New Roman" w:cs="Times New Roman" w:eastAsia="Times New Roman"/>
          <w:color w:val="2F5496"/>
          <w:spacing w:val="0"/>
          <w:position w:val="0"/>
          <w:sz w:val="24"/>
          <w:shd w:fill="auto" w:val="clear"/>
        </w:rPr>
      </w:pPr>
    </w:p>
    <w:p>
      <w:pPr>
        <w:keepNext w:val="true"/>
        <w:keepLines w:val="true"/>
        <w:spacing w:before="240" w:after="0" w:line="480"/>
        <w:ind w:right="0" w:left="0" w:firstLine="0"/>
        <w:jc w:val="left"/>
        <w:rPr>
          <w:rFonts w:ascii="Times New Roman" w:hAnsi="Times New Roman" w:cs="Times New Roman" w:eastAsia="Times New Roman"/>
          <w:color w:val="2F5496"/>
          <w:spacing w:val="0"/>
          <w:position w:val="0"/>
          <w:sz w:val="24"/>
          <w:shd w:fill="auto" w:val="clear"/>
        </w:rPr>
      </w:pPr>
      <w:r>
        <w:rPr>
          <w:rFonts w:ascii="Times New Roman" w:hAnsi="Times New Roman" w:cs="Times New Roman" w:eastAsia="Times New Roman"/>
          <w:color w:val="2F5496"/>
          <w:spacing w:val="0"/>
          <w:position w:val="0"/>
          <w:sz w:val="24"/>
          <w:shd w:fill="auto" w:val="clear"/>
        </w:rPr>
        <w:t xml:space="preserve">Introduction</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name Aston Martin quickly gained a reputation all across the world after its launch. It is the only luxury company all over the world with an experience of more than 100 years. In all its years of existence, the company has bagged several awards and is proud of being an iconic luxury brand which pays enough attention to engineering, manufacturing, performance and design of the products that it offers (</w:t>
      </w:r>
      <w:r>
        <w:rPr>
          <w:rFonts w:ascii="Times New Roman" w:hAnsi="Times New Roman" w:cs="Times New Roman" w:eastAsia="Times New Roman"/>
          <w:color w:val="222222"/>
          <w:spacing w:val="0"/>
          <w:position w:val="0"/>
          <w:sz w:val="24"/>
          <w:shd w:fill="FFFFFF" w:val="clear"/>
        </w:rPr>
        <w:t xml:space="preserve">Le Nozach,, 2020)</w:t>
      </w:r>
      <w:r>
        <w:rPr>
          <w:rFonts w:ascii="Times New Roman" w:hAnsi="Times New Roman" w:cs="Times New Roman" w:eastAsia="Times New Roman"/>
          <w:color w:val="auto"/>
          <w:spacing w:val="0"/>
          <w:position w:val="0"/>
          <w:sz w:val="24"/>
          <w:shd w:fill="auto" w:val="clear"/>
        </w:rPr>
        <w:t xml:space="preserve">. The brand is perceived by the consumers as an exhibition of elegance, style, innovation and exclusivity. The profitability of the company is due to the huge margin between the costs of production and revenues from sales. The main target customers include high net worth individuals who drive the demand for luxury cars and an increase in them would also positively affect the demand for cars. The main cost to the company is to establish strong financial channels of distribution to reach the targeted customers spread all over the world. Additional costs include the cost of marketing and establishing a strong presence in the market. The cost of production depends on the cost of inputs and can vary along with it, impacting the final price of the product. High investment towards research and development is needed to bring for the customers a product with best design and features (</w:t>
      </w:r>
      <w:r>
        <w:rPr>
          <w:rFonts w:ascii="Times New Roman" w:hAnsi="Times New Roman" w:cs="Times New Roman" w:eastAsia="Times New Roman"/>
          <w:color w:val="222222"/>
          <w:spacing w:val="0"/>
          <w:position w:val="0"/>
          <w:sz w:val="24"/>
          <w:shd w:fill="FFFFFF" w:val="clear"/>
        </w:rPr>
        <w:t xml:space="preserve">Guan et al., 2020)</w:t>
      </w:r>
      <w:r>
        <w:rPr>
          <w:rFonts w:ascii="Times New Roman" w:hAnsi="Times New Roman" w:cs="Times New Roman" w:eastAsia="Times New Roman"/>
          <w:color w:val="auto"/>
          <w:spacing w:val="0"/>
          <w:position w:val="0"/>
          <w:sz w:val="24"/>
          <w:shd w:fill="auto" w:val="clear"/>
        </w:rPr>
        <w:t xml:space="preserve">. In this report we conduct a SWOT analysis to list the opportunities, strengths, weaknesses and threats of the company. We also use Porter’s Five Forces analysis to understand the intensity of competition in present times. In the next section of the report we conduct a PESTLE analysis to track the environment conditions. Lastly, we use Porter’s value chain analysis to identify the best ways to create value for customers.</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40" w:after="0" w:line="480"/>
        <w:ind w:right="0" w:left="0" w:firstLine="0"/>
        <w:jc w:val="left"/>
        <w:rPr>
          <w:rFonts w:ascii="Times New Roman" w:hAnsi="Times New Roman" w:cs="Times New Roman" w:eastAsia="Times New Roman"/>
          <w:color w:val="2F5496"/>
          <w:spacing w:val="0"/>
          <w:position w:val="0"/>
          <w:sz w:val="24"/>
          <w:shd w:fill="auto" w:val="clear"/>
        </w:rPr>
      </w:pPr>
      <w:r>
        <w:rPr>
          <w:rFonts w:ascii="Times New Roman" w:hAnsi="Times New Roman" w:cs="Times New Roman" w:eastAsia="Times New Roman"/>
          <w:color w:val="2F5496"/>
          <w:spacing w:val="0"/>
          <w:position w:val="0"/>
          <w:sz w:val="24"/>
          <w:shd w:fill="auto" w:val="clear"/>
        </w:rPr>
        <w:t xml:space="preserve">Sustainability and social responsibility </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Aston Martin’s goals for sustainability include ensuring that the company is a good place of work and to include diversity, well-being and health of the employees and also to integrate the Aston Martin’s way into work culture. The company has an aim of achieving production in a way that least affects the environment negatively (</w:t>
      </w:r>
      <w:r>
        <w:rPr>
          <w:rFonts w:ascii="Times New Roman" w:hAnsi="Times New Roman" w:cs="Times New Roman" w:eastAsia="Times New Roman"/>
          <w:color w:val="222222"/>
          <w:spacing w:val="0"/>
          <w:position w:val="0"/>
          <w:sz w:val="24"/>
          <w:shd w:fill="FFFFFF" w:val="clear"/>
        </w:rPr>
        <w:t xml:space="preserve">Baldwin &amp; Tomiura, 2021)</w:t>
      </w:r>
      <w:r>
        <w:rPr>
          <w:rFonts w:ascii="Times New Roman" w:hAnsi="Times New Roman" w:cs="Times New Roman" w:eastAsia="Times New Roman"/>
          <w:color w:val="auto"/>
          <w:spacing w:val="0"/>
          <w:position w:val="0"/>
          <w:sz w:val="24"/>
          <w:shd w:fill="auto" w:val="clear"/>
        </w:rPr>
        <w:t xml:space="preserve">. It wishes to acquire environmental sustainability in its operations by decreasing emissions of greenhouse gases and consuming energy enhancing recycling, thereby, living up to its social responsibility. It performs philanthropic activities and makes engagements in the community responsibly.  </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40" w:after="0" w:line="480"/>
        <w:ind w:right="0" w:left="0" w:firstLine="0"/>
        <w:jc w:val="left"/>
        <w:rPr>
          <w:rFonts w:ascii="Times New Roman" w:hAnsi="Times New Roman" w:cs="Times New Roman" w:eastAsia="Times New Roman"/>
          <w:color w:val="2F5496"/>
          <w:spacing w:val="0"/>
          <w:position w:val="0"/>
          <w:sz w:val="24"/>
          <w:shd w:fill="auto" w:val="clear"/>
        </w:rPr>
      </w:pPr>
      <w:r>
        <w:rPr>
          <w:rFonts w:ascii="Times New Roman" w:hAnsi="Times New Roman" w:cs="Times New Roman" w:eastAsia="Times New Roman"/>
          <w:color w:val="2F5496"/>
          <w:spacing w:val="0"/>
          <w:position w:val="0"/>
          <w:sz w:val="24"/>
          <w:shd w:fill="auto" w:val="clear"/>
        </w:rPr>
        <w:t xml:space="preserve">Porter’s five forces Analysis</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this section we analyse the operating market of Aston Martin and the environment in which the company and its competitors function in order to identify the intensity of competition and thus determine the profitability of Aston Martin.</w:t>
      </w:r>
    </w:p>
    <w:p>
      <w:pPr>
        <w:numPr>
          <w:ilvl w:val="0"/>
          <w:numId w:val="12"/>
        </w:numPr>
        <w:spacing w:before="0" w:after="0" w:line="48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Competitive Rivalry: Medium</w:t>
      </w:r>
    </w:p>
    <w:p>
      <w:pPr>
        <w:spacing w:before="0" w:after="0" w:line="480"/>
        <w:ind w:right="0" w:left="72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the high luxury segment, Aston Martin faces few competitors which allow the players to monitor each other’s movements. The market is expanding at a high pace and is anticipated to remain. Even though there is no visible or evident need for the competitors to dispute over market share, it would be wise to expect competitive action from some of the players. There is a clear distinction in the quality of the products; differentiated products make any significant competitive action rather difficult to execute. The consumers tend to buy cars with features that are of more value to them. High luxury segment has a characteristic feature of not enabling easy exits out of the market because of the high investments involved at the time of entry. Additional features include highly expensive R and D and regulations from the government.</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p>
    <w:p>
      <w:pPr>
        <w:numPr>
          <w:ilvl w:val="0"/>
          <w:numId w:val="15"/>
        </w:numPr>
        <w:spacing w:before="0" w:after="0" w:line="48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Suppliers’ bargaining power: Medium</w:t>
      </w:r>
    </w:p>
    <w:p>
      <w:pPr>
        <w:spacing w:before="0" w:after="0" w:line="480"/>
        <w:ind w:right="0" w:left="72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the existing market, Aston Martin along with its competitive players in the market suffer from moderate bargaining power from the suppliers because of the less number of suppliers who deliver high quality inputs.</w:t>
      </w:r>
    </w:p>
    <w:p>
      <w:pPr>
        <w:spacing w:before="0" w:after="0" w:line="480"/>
        <w:ind w:right="0" w:left="720" w:firstLine="0"/>
        <w:jc w:val="both"/>
        <w:rPr>
          <w:rFonts w:ascii="Times New Roman" w:hAnsi="Times New Roman" w:cs="Times New Roman" w:eastAsia="Times New Roman"/>
          <w:color w:val="auto"/>
          <w:spacing w:val="0"/>
          <w:position w:val="0"/>
          <w:sz w:val="24"/>
          <w:shd w:fill="auto" w:val="clear"/>
        </w:rPr>
      </w:pPr>
    </w:p>
    <w:p>
      <w:pPr>
        <w:numPr>
          <w:ilvl w:val="0"/>
          <w:numId w:val="17"/>
        </w:numPr>
        <w:spacing w:before="0" w:after="0" w:line="48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Threat of new entrants: Low</w:t>
      </w:r>
    </w:p>
    <w:p>
      <w:pPr>
        <w:spacing w:before="0" w:after="0" w:line="480"/>
        <w:ind w:right="0" w:left="72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Just like Aston Martin, most of the other players in the market have a high brand value and recognition along with a history of offering iconic and differentiated products. There are limited economies of scale in the market since the market drivers have a low production strategy which enables them to sell the products at a high price (</w:t>
      </w:r>
      <w:r>
        <w:rPr>
          <w:rFonts w:ascii="Times New Roman" w:hAnsi="Times New Roman" w:cs="Times New Roman" w:eastAsia="Times New Roman"/>
          <w:color w:val="222222"/>
          <w:spacing w:val="0"/>
          <w:position w:val="0"/>
          <w:sz w:val="24"/>
          <w:shd w:fill="FFFFFF" w:val="clear"/>
        </w:rPr>
        <w:t xml:space="preserve">Mofijur et al., 2021)</w:t>
      </w:r>
      <w:r>
        <w:rPr>
          <w:rFonts w:ascii="Times New Roman" w:hAnsi="Times New Roman" w:cs="Times New Roman" w:eastAsia="Times New Roman"/>
          <w:color w:val="auto"/>
          <w:spacing w:val="0"/>
          <w:position w:val="0"/>
          <w:sz w:val="24"/>
          <w:shd w:fill="auto" w:val="clear"/>
        </w:rPr>
        <w:t xml:space="preserve">. In order for a brand to penetrate this market, high initial capital is required and the company should be able to pass extensive legal and licensing requirements in order to operate.</w:t>
      </w:r>
    </w:p>
    <w:p>
      <w:pPr>
        <w:spacing w:before="0" w:after="0" w:line="480"/>
        <w:ind w:right="0" w:left="720" w:firstLine="0"/>
        <w:jc w:val="both"/>
        <w:rPr>
          <w:rFonts w:ascii="Times New Roman" w:hAnsi="Times New Roman" w:cs="Times New Roman" w:eastAsia="Times New Roman"/>
          <w:color w:val="auto"/>
          <w:spacing w:val="0"/>
          <w:position w:val="0"/>
          <w:sz w:val="24"/>
          <w:shd w:fill="auto" w:val="clear"/>
        </w:rPr>
      </w:pPr>
    </w:p>
    <w:p>
      <w:pPr>
        <w:numPr>
          <w:ilvl w:val="0"/>
          <w:numId w:val="19"/>
        </w:numPr>
        <w:spacing w:before="0" w:after="0" w:line="48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Threat of substitutes: Low</w:t>
      </w:r>
    </w:p>
    <w:p>
      <w:pPr>
        <w:spacing w:before="0" w:after="0" w:line="480"/>
        <w:ind w:right="0" w:left="72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It can be easily inferred that the threat of having a substitute in this high luxury market segment would be low, reasons being: fewer number of players present in the market and the products offered are highly differentiated. Despite competing in the same car market segment, every vehicle has a unique sense associated with it which creates a value for the customer that only that very product can satiate, thereby gaining a degree of loyalty from the consumers and building a relationship between them and the product.</w:t>
      </w:r>
    </w:p>
    <w:p>
      <w:pPr>
        <w:spacing w:before="0" w:after="0" w:line="480"/>
        <w:ind w:right="0" w:left="720" w:firstLine="0"/>
        <w:jc w:val="both"/>
        <w:rPr>
          <w:rFonts w:ascii="Times New Roman" w:hAnsi="Times New Roman" w:cs="Times New Roman" w:eastAsia="Times New Roman"/>
          <w:color w:val="auto"/>
          <w:spacing w:val="0"/>
          <w:position w:val="0"/>
          <w:sz w:val="24"/>
          <w:shd w:fill="auto" w:val="clear"/>
        </w:rPr>
      </w:pPr>
    </w:p>
    <w:p>
      <w:pPr>
        <w:numPr>
          <w:ilvl w:val="0"/>
          <w:numId w:val="21"/>
        </w:numPr>
        <w:spacing w:before="0" w:after="0" w:line="48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Buyers’ bargaining power: Medium</w:t>
      </w:r>
    </w:p>
    <w:p>
      <w:pPr>
        <w:spacing w:before="0" w:after="0" w:line="480"/>
        <w:ind w:right="0" w:left="72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players who drive the market of the high luxury segment suffer a moderate bargaining power from the consumers. Individuals with high net worth are the target customers for the high end cars of Aston Martin and its competitive players. When the time comes to decide on a product, it is done mostly on the basis of performance, reputation, perceived value of the brand and design of the product (</w:t>
      </w:r>
      <w:r>
        <w:rPr>
          <w:rFonts w:ascii="Times New Roman" w:hAnsi="Times New Roman" w:cs="Times New Roman" w:eastAsia="Times New Roman"/>
          <w:color w:val="222222"/>
          <w:spacing w:val="0"/>
          <w:position w:val="0"/>
          <w:sz w:val="24"/>
          <w:shd w:fill="FFFFFF" w:val="clear"/>
        </w:rPr>
        <w:t xml:space="preserve">Pekhnyk &amp; Borzak, 2020)</w:t>
      </w:r>
      <w:r>
        <w:rPr>
          <w:rFonts w:ascii="Times New Roman" w:hAnsi="Times New Roman" w:cs="Times New Roman" w:eastAsia="Times New Roman"/>
          <w:color w:val="auto"/>
          <w:spacing w:val="0"/>
          <w:position w:val="0"/>
          <w:sz w:val="24"/>
          <w:shd w:fill="auto" w:val="clear"/>
        </w:rPr>
        <w:t xml:space="preserve">. Because of highly differentiated products in the market, each car has a sense of uniqueness which prevents the consumers from switching brands and protects the players of the market from buyers holding all the bargaining power.</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40" w:after="0" w:line="480"/>
        <w:ind w:right="0" w:left="0" w:firstLine="0"/>
        <w:jc w:val="left"/>
        <w:rPr>
          <w:rFonts w:ascii="Times New Roman" w:hAnsi="Times New Roman" w:cs="Times New Roman" w:eastAsia="Times New Roman"/>
          <w:color w:val="2F5496"/>
          <w:spacing w:val="0"/>
          <w:position w:val="0"/>
          <w:sz w:val="24"/>
          <w:shd w:fill="auto" w:val="clear"/>
        </w:rPr>
      </w:pPr>
      <w:r>
        <w:rPr>
          <w:rFonts w:ascii="Times New Roman" w:hAnsi="Times New Roman" w:cs="Times New Roman" w:eastAsia="Times New Roman"/>
          <w:color w:val="2F5496"/>
          <w:spacing w:val="0"/>
          <w:position w:val="0"/>
          <w:sz w:val="24"/>
          <w:shd w:fill="auto" w:val="clear"/>
        </w:rPr>
        <w:t xml:space="preserve">SWOT Analysis</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this section, we analyse the strength, weakness, opportunities and threats faced by Aston Martin.</w:t>
      </w:r>
    </w:p>
    <w:p>
      <w:pPr>
        <w:numPr>
          <w:ilvl w:val="0"/>
          <w:numId w:val="26"/>
        </w:numPr>
        <w:spacing w:before="0" w:after="0" w:line="48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Strength: </w:t>
      </w:r>
    </w:p>
    <w:p>
      <w:pPr>
        <w:numPr>
          <w:ilvl w:val="0"/>
          <w:numId w:val="26"/>
        </w:numPr>
        <w:spacing w:before="0" w:after="0" w:line="480"/>
        <w:ind w:right="0" w:left="144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Strong legacy of the brand, highly recognised brand and status in the market.</w:t>
      </w:r>
    </w:p>
    <w:p>
      <w:pPr>
        <w:numPr>
          <w:ilvl w:val="0"/>
          <w:numId w:val="26"/>
        </w:numPr>
        <w:spacing w:before="0" w:after="0" w:line="480"/>
        <w:ind w:right="0" w:left="144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Good marketing techniques that align well with its historical heritage.</w:t>
      </w:r>
    </w:p>
    <w:p>
      <w:pPr>
        <w:numPr>
          <w:ilvl w:val="0"/>
          <w:numId w:val="26"/>
        </w:numPr>
        <w:spacing w:before="0" w:after="0" w:line="480"/>
        <w:ind w:right="0" w:left="144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Luxurious designs, performance, and comfort.</w:t>
      </w:r>
    </w:p>
    <w:p>
      <w:pPr>
        <w:numPr>
          <w:ilvl w:val="0"/>
          <w:numId w:val="26"/>
        </w:numPr>
        <w:spacing w:before="0" w:after="0" w:line="480"/>
        <w:ind w:right="0" w:left="144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Invests highly in research and development and comes up with innovative technological characteristics in the products (</w:t>
      </w:r>
      <w:r>
        <w:rPr>
          <w:rFonts w:ascii="Times New Roman" w:hAnsi="Times New Roman" w:cs="Times New Roman" w:eastAsia="Times New Roman"/>
          <w:color w:val="222222"/>
          <w:spacing w:val="0"/>
          <w:position w:val="0"/>
          <w:sz w:val="24"/>
          <w:shd w:fill="FFFFFF" w:val="clear"/>
        </w:rPr>
        <w:t xml:space="preserve">Xu et al., 2020)</w:t>
      </w:r>
      <w:r>
        <w:rPr>
          <w:rFonts w:ascii="Times New Roman" w:hAnsi="Times New Roman" w:cs="Times New Roman" w:eastAsia="Times New Roman"/>
          <w:color w:val="auto"/>
          <w:spacing w:val="0"/>
          <w:position w:val="0"/>
          <w:sz w:val="24"/>
          <w:shd w:fill="auto" w:val="clear"/>
        </w:rPr>
        <w:t xml:space="preserve">.</w:t>
      </w:r>
    </w:p>
    <w:p>
      <w:pPr>
        <w:numPr>
          <w:ilvl w:val="0"/>
          <w:numId w:val="26"/>
        </w:numPr>
        <w:spacing w:before="0" w:after="0" w:line="480"/>
        <w:ind w:right="0" w:left="144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Strong team of human resources.</w:t>
      </w:r>
    </w:p>
    <w:p>
      <w:pPr>
        <w:numPr>
          <w:ilvl w:val="0"/>
          <w:numId w:val="26"/>
        </w:numPr>
        <w:spacing w:before="0" w:after="0" w:line="480"/>
        <w:ind w:right="0" w:left="144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Influential presence in the global market.</w:t>
      </w:r>
    </w:p>
    <w:p>
      <w:pPr>
        <w:numPr>
          <w:ilvl w:val="0"/>
          <w:numId w:val="26"/>
        </w:numPr>
        <w:spacing w:before="0" w:after="0" w:line="480"/>
        <w:ind w:right="0" w:left="144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Strong presence in any sports events.</w:t>
      </w:r>
    </w:p>
    <w:p>
      <w:pPr>
        <w:numPr>
          <w:ilvl w:val="0"/>
          <w:numId w:val="26"/>
        </w:numPr>
        <w:spacing w:before="0" w:after="0" w:line="480"/>
        <w:ind w:right="0" w:left="144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Strategic partnerships. </w:t>
      </w:r>
    </w:p>
    <w:p>
      <w:pPr>
        <w:numPr>
          <w:ilvl w:val="0"/>
          <w:numId w:val="26"/>
        </w:numPr>
        <w:spacing w:before="0" w:after="0" w:line="48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Weaknesses:</w:t>
      </w:r>
    </w:p>
    <w:p>
      <w:pPr>
        <w:numPr>
          <w:ilvl w:val="0"/>
          <w:numId w:val="26"/>
        </w:numPr>
        <w:spacing w:before="0" w:after="0" w:line="480"/>
        <w:ind w:right="0" w:left="144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Low production.</w:t>
      </w:r>
    </w:p>
    <w:p>
      <w:pPr>
        <w:numPr>
          <w:ilvl w:val="0"/>
          <w:numId w:val="26"/>
        </w:numPr>
        <w:spacing w:before="0" w:after="0" w:line="480"/>
        <w:ind w:right="0" w:left="144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Costs of maintenance.</w:t>
      </w:r>
    </w:p>
    <w:p>
      <w:pPr>
        <w:numPr>
          <w:ilvl w:val="0"/>
          <w:numId w:val="26"/>
        </w:numPr>
        <w:spacing w:before="0" w:after="0" w:line="480"/>
        <w:ind w:right="0" w:left="144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Delay in orders due to the pandemic.</w:t>
      </w:r>
    </w:p>
    <w:p>
      <w:pPr>
        <w:numPr>
          <w:ilvl w:val="0"/>
          <w:numId w:val="26"/>
        </w:numPr>
        <w:spacing w:before="0" w:after="0" w:line="480"/>
        <w:ind w:right="0" w:left="144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Issues in liquidity, although little.</w:t>
      </w:r>
    </w:p>
    <w:p>
      <w:pPr>
        <w:numPr>
          <w:ilvl w:val="0"/>
          <w:numId w:val="26"/>
        </w:numPr>
        <w:spacing w:before="0" w:after="0" w:line="480"/>
        <w:ind w:right="0" w:left="144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Lack of online means of sales.</w:t>
      </w:r>
    </w:p>
    <w:p>
      <w:pPr>
        <w:numPr>
          <w:ilvl w:val="0"/>
          <w:numId w:val="26"/>
        </w:numPr>
        <w:spacing w:before="0" w:after="0" w:line="480"/>
        <w:ind w:right="0" w:left="144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Product range.</w:t>
      </w:r>
    </w:p>
    <w:p>
      <w:pPr>
        <w:numPr>
          <w:ilvl w:val="0"/>
          <w:numId w:val="26"/>
        </w:numPr>
        <w:spacing w:before="0" w:after="0" w:line="480"/>
        <w:ind w:right="0" w:left="144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Reduced sales channels.</w:t>
      </w:r>
    </w:p>
    <w:p>
      <w:pPr>
        <w:numPr>
          <w:ilvl w:val="0"/>
          <w:numId w:val="26"/>
        </w:numPr>
        <w:spacing w:before="0" w:after="0" w:line="480"/>
        <w:ind w:right="0" w:left="144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High exchange rate fluctuation due to pandemic which affects both costs and sales.</w:t>
      </w:r>
    </w:p>
    <w:p>
      <w:pPr>
        <w:numPr>
          <w:ilvl w:val="0"/>
          <w:numId w:val="26"/>
        </w:numPr>
        <w:spacing w:before="0" w:after="0" w:line="48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Opportunities:</w:t>
      </w:r>
    </w:p>
    <w:p>
      <w:pPr>
        <w:numPr>
          <w:ilvl w:val="0"/>
          <w:numId w:val="26"/>
        </w:numPr>
        <w:spacing w:before="0" w:after="0" w:line="480"/>
        <w:ind w:right="0" w:left="144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Partnerships.</w:t>
      </w:r>
    </w:p>
    <w:p>
      <w:pPr>
        <w:numPr>
          <w:ilvl w:val="0"/>
          <w:numId w:val="26"/>
        </w:numPr>
        <w:spacing w:before="0" w:after="0" w:line="480"/>
        <w:ind w:right="0" w:left="144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Increase presence in the upcoming and emerging markets.</w:t>
      </w:r>
    </w:p>
    <w:p>
      <w:pPr>
        <w:numPr>
          <w:ilvl w:val="0"/>
          <w:numId w:val="26"/>
        </w:numPr>
        <w:spacing w:before="0" w:after="0" w:line="480"/>
        <w:ind w:right="0" w:left="144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Offer products in the sectors that are growing at a high pace in the market.</w:t>
      </w:r>
    </w:p>
    <w:p>
      <w:pPr>
        <w:numPr>
          <w:ilvl w:val="0"/>
          <w:numId w:val="26"/>
        </w:numPr>
        <w:spacing w:before="0" w:after="0" w:line="480"/>
        <w:ind w:right="0" w:left="144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Increase its repair services.</w:t>
      </w:r>
    </w:p>
    <w:p>
      <w:pPr>
        <w:numPr>
          <w:ilvl w:val="0"/>
          <w:numId w:val="26"/>
        </w:numPr>
        <w:spacing w:before="0" w:after="0" w:line="480"/>
        <w:ind w:right="0" w:left="144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Advance in the market for electric automobiles.</w:t>
      </w:r>
    </w:p>
    <w:p>
      <w:pPr>
        <w:numPr>
          <w:ilvl w:val="0"/>
          <w:numId w:val="26"/>
        </w:numPr>
        <w:spacing w:before="0" w:after="0" w:line="480"/>
        <w:ind w:right="0" w:left="144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Technological advancements.</w:t>
      </w:r>
    </w:p>
    <w:p>
      <w:pPr>
        <w:numPr>
          <w:ilvl w:val="0"/>
          <w:numId w:val="26"/>
        </w:numPr>
        <w:spacing w:before="0" w:after="0" w:line="48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Threats:</w:t>
      </w:r>
    </w:p>
    <w:p>
      <w:pPr>
        <w:numPr>
          <w:ilvl w:val="0"/>
          <w:numId w:val="26"/>
        </w:numPr>
        <w:spacing w:before="0" w:after="0" w:line="480"/>
        <w:ind w:right="0" w:left="144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Negative publicity.</w:t>
      </w:r>
    </w:p>
    <w:p>
      <w:pPr>
        <w:numPr>
          <w:ilvl w:val="0"/>
          <w:numId w:val="26"/>
        </w:numPr>
        <w:spacing w:before="0" w:after="0" w:line="480"/>
        <w:ind w:right="0" w:left="144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Economic cycle.</w:t>
      </w:r>
    </w:p>
    <w:p>
      <w:pPr>
        <w:numPr>
          <w:ilvl w:val="0"/>
          <w:numId w:val="26"/>
        </w:numPr>
        <w:spacing w:before="0" w:after="0" w:line="480"/>
        <w:ind w:right="0" w:left="144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Government policies, tariffs and taxes.</w:t>
      </w:r>
    </w:p>
    <w:p>
      <w:pPr>
        <w:numPr>
          <w:ilvl w:val="0"/>
          <w:numId w:val="26"/>
        </w:numPr>
        <w:spacing w:before="0" w:after="0" w:line="480"/>
        <w:ind w:right="0" w:left="144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Strong emerging competition over the long term.</w:t>
      </w:r>
    </w:p>
    <w:p>
      <w:pPr>
        <w:numPr>
          <w:ilvl w:val="0"/>
          <w:numId w:val="26"/>
        </w:numPr>
        <w:spacing w:before="0" w:after="0" w:line="480"/>
        <w:ind w:right="0" w:left="144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Market uncertainties at the time of pandemic.</w:t>
      </w:r>
    </w:p>
    <w:p>
      <w:pPr>
        <w:numPr>
          <w:ilvl w:val="0"/>
          <w:numId w:val="26"/>
        </w:numPr>
        <w:spacing w:before="0" w:after="0" w:line="480"/>
        <w:ind w:right="0" w:left="144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Competitors offering superior performance, design and comfort.</w:t>
      </w:r>
    </w:p>
    <w:p>
      <w:pPr>
        <w:numPr>
          <w:ilvl w:val="0"/>
          <w:numId w:val="26"/>
        </w:numPr>
        <w:spacing w:before="0" w:after="0" w:line="480"/>
        <w:ind w:right="0" w:left="144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products offered highly consume fuel and polluting gases.</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main strength for Aston Martin is the legacy of the company and its strong brand presence in the market. On the weaknesses side, the company has a small product range. There is an opportunity for the company to reposition itself in the emerging markets. The uncertainties and government restrictions pose major threats to the company’s growth.</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40" w:after="0" w:line="480"/>
        <w:ind w:right="0" w:left="0" w:firstLine="0"/>
        <w:jc w:val="left"/>
        <w:rPr>
          <w:rFonts w:ascii="Times New Roman" w:hAnsi="Times New Roman" w:cs="Times New Roman" w:eastAsia="Times New Roman"/>
          <w:color w:val="2F5496"/>
          <w:spacing w:val="0"/>
          <w:position w:val="0"/>
          <w:sz w:val="24"/>
          <w:shd w:fill="auto" w:val="clear"/>
        </w:rPr>
      </w:pPr>
      <w:r>
        <w:rPr>
          <w:rFonts w:ascii="Times New Roman" w:hAnsi="Times New Roman" w:cs="Times New Roman" w:eastAsia="Times New Roman"/>
          <w:color w:val="2F5496"/>
          <w:spacing w:val="0"/>
          <w:position w:val="0"/>
          <w:sz w:val="24"/>
          <w:shd w:fill="auto" w:val="clear"/>
        </w:rPr>
        <w:t xml:space="preserve">PESTLE analysis</w:t>
      </w:r>
    </w:p>
    <w:p>
      <w:pPr>
        <w:numPr>
          <w:ilvl w:val="0"/>
          <w:numId w:val="36"/>
        </w:numPr>
        <w:spacing w:before="0" w:after="0" w:line="48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Political:</w:t>
      </w:r>
    </w:p>
    <w:p>
      <w:pPr>
        <w:numPr>
          <w:ilvl w:val="0"/>
          <w:numId w:val="36"/>
        </w:numPr>
        <w:spacing w:before="0" w:after="0" w:line="480"/>
        <w:ind w:right="0" w:left="144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Uncertainties revolving around the exit that was planned from the United Kingdom (</w:t>
      </w:r>
      <w:r>
        <w:rPr>
          <w:rFonts w:ascii="Times New Roman" w:hAnsi="Times New Roman" w:cs="Times New Roman" w:eastAsia="Times New Roman"/>
          <w:color w:val="222222"/>
          <w:spacing w:val="0"/>
          <w:position w:val="0"/>
          <w:sz w:val="24"/>
          <w:shd w:fill="FFFFFF" w:val="clear"/>
        </w:rPr>
        <w:t xml:space="preserve">Wen et al., 2021)</w:t>
      </w:r>
      <w:r>
        <w:rPr>
          <w:rFonts w:ascii="Times New Roman" w:hAnsi="Times New Roman" w:cs="Times New Roman" w:eastAsia="Times New Roman"/>
          <w:color w:val="auto"/>
          <w:spacing w:val="0"/>
          <w:position w:val="0"/>
          <w:sz w:val="24"/>
          <w:shd w:fill="auto" w:val="clear"/>
        </w:rPr>
        <w:t xml:space="preserve">.</w:t>
      </w:r>
    </w:p>
    <w:p>
      <w:pPr>
        <w:numPr>
          <w:ilvl w:val="0"/>
          <w:numId w:val="36"/>
        </w:numPr>
        <w:spacing w:before="0" w:after="0" w:line="480"/>
        <w:ind w:right="0" w:left="144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Exposure to political developments across the world.</w:t>
      </w:r>
    </w:p>
    <w:p>
      <w:pPr>
        <w:numPr>
          <w:ilvl w:val="0"/>
          <w:numId w:val="36"/>
        </w:numPr>
        <w:spacing w:before="0" w:after="0" w:line="48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Economical:</w:t>
      </w:r>
    </w:p>
    <w:p>
      <w:pPr>
        <w:numPr>
          <w:ilvl w:val="0"/>
          <w:numId w:val="36"/>
        </w:numPr>
        <w:spacing w:before="0" w:after="0" w:line="480"/>
        <w:ind w:right="0" w:left="144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Increase in the population of high net worth individuals that drive the demand for luxury cars.</w:t>
      </w:r>
    </w:p>
    <w:p>
      <w:pPr>
        <w:numPr>
          <w:ilvl w:val="0"/>
          <w:numId w:val="36"/>
        </w:numPr>
        <w:spacing w:before="0" w:after="0" w:line="480"/>
        <w:ind w:right="0" w:left="144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Risk in markets and credit risks because of the changing foreign exchange rates.</w:t>
      </w:r>
    </w:p>
    <w:p>
      <w:pPr>
        <w:numPr>
          <w:ilvl w:val="0"/>
          <w:numId w:val="36"/>
        </w:numPr>
        <w:spacing w:before="0" w:after="0" w:line="480"/>
        <w:ind w:right="0" w:left="144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Impacts because of the global condition of the economy.</w:t>
      </w:r>
    </w:p>
    <w:p>
      <w:pPr>
        <w:numPr>
          <w:ilvl w:val="0"/>
          <w:numId w:val="36"/>
        </w:numPr>
        <w:spacing w:before="0" w:after="0" w:line="48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Social:</w:t>
      </w:r>
    </w:p>
    <w:p>
      <w:pPr>
        <w:numPr>
          <w:ilvl w:val="0"/>
          <w:numId w:val="36"/>
        </w:numPr>
        <w:spacing w:before="0" w:after="0" w:line="480"/>
        <w:ind w:right="0" w:left="144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Shifting preferences of the consumers and change in disposable income.</w:t>
      </w:r>
    </w:p>
    <w:p>
      <w:pPr>
        <w:numPr>
          <w:ilvl w:val="0"/>
          <w:numId w:val="36"/>
        </w:numPr>
        <w:spacing w:before="0" w:after="0" w:line="480"/>
        <w:ind w:right="0" w:left="144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Market for used cars continues to expand.</w:t>
      </w:r>
    </w:p>
    <w:p>
      <w:pPr>
        <w:numPr>
          <w:ilvl w:val="0"/>
          <w:numId w:val="36"/>
        </w:numPr>
        <w:spacing w:before="0" w:after="0" w:line="480"/>
        <w:ind w:right="0" w:left="144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Expanding its target audience by wooing female consumers.</w:t>
      </w:r>
    </w:p>
    <w:p>
      <w:pPr>
        <w:numPr>
          <w:ilvl w:val="0"/>
          <w:numId w:val="36"/>
        </w:numPr>
        <w:spacing w:before="0" w:after="0" w:line="48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Technological:</w:t>
      </w:r>
    </w:p>
    <w:p>
      <w:pPr>
        <w:numPr>
          <w:ilvl w:val="0"/>
          <w:numId w:val="36"/>
        </w:numPr>
        <w:spacing w:before="0" w:after="0" w:line="480"/>
        <w:ind w:right="0" w:left="144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Cars that self-drive and are autonomous.</w:t>
      </w:r>
    </w:p>
    <w:p>
      <w:pPr>
        <w:numPr>
          <w:ilvl w:val="0"/>
          <w:numId w:val="36"/>
        </w:numPr>
        <w:spacing w:before="0" w:after="0" w:line="480"/>
        <w:ind w:right="0" w:left="144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Continued advancement in technology and digitalization.</w:t>
      </w:r>
    </w:p>
    <w:p>
      <w:pPr>
        <w:numPr>
          <w:ilvl w:val="0"/>
          <w:numId w:val="36"/>
        </w:numPr>
        <w:spacing w:before="0" w:after="0" w:line="480"/>
        <w:ind w:right="0" w:left="144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Increasing interests towards alternative fuels and shift towards electric cars.</w:t>
      </w:r>
    </w:p>
    <w:p>
      <w:pPr>
        <w:numPr>
          <w:ilvl w:val="0"/>
          <w:numId w:val="36"/>
        </w:numPr>
        <w:spacing w:before="0" w:after="0" w:line="48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Legal:</w:t>
      </w:r>
    </w:p>
    <w:p>
      <w:pPr>
        <w:numPr>
          <w:ilvl w:val="0"/>
          <w:numId w:val="36"/>
        </w:numPr>
        <w:spacing w:before="0" w:after="0" w:line="480"/>
        <w:ind w:right="0" w:left="144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Compliance with safety norms of specific vehicles which might hurt sales and thus, margins.</w:t>
      </w:r>
    </w:p>
    <w:p>
      <w:pPr>
        <w:numPr>
          <w:ilvl w:val="0"/>
          <w:numId w:val="36"/>
        </w:numPr>
        <w:spacing w:before="0" w:after="0" w:line="480"/>
        <w:ind w:right="0" w:left="144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Vulnerability to liability claims for products and loss of license in case of non-compliance (</w:t>
      </w:r>
      <w:r>
        <w:rPr>
          <w:rFonts w:ascii="Times New Roman" w:hAnsi="Times New Roman" w:cs="Times New Roman" w:eastAsia="Times New Roman"/>
          <w:color w:val="222222"/>
          <w:spacing w:val="0"/>
          <w:position w:val="0"/>
          <w:sz w:val="24"/>
          <w:shd w:fill="FFFFFF" w:val="clear"/>
        </w:rPr>
        <w:t xml:space="preserve">Harris et al., 2020)</w:t>
      </w:r>
      <w:r>
        <w:rPr>
          <w:rFonts w:ascii="Times New Roman" w:hAnsi="Times New Roman" w:cs="Times New Roman" w:eastAsia="Times New Roman"/>
          <w:color w:val="auto"/>
          <w:spacing w:val="0"/>
          <w:position w:val="0"/>
          <w:sz w:val="24"/>
          <w:shd w:fill="auto" w:val="clear"/>
        </w:rPr>
        <w:t xml:space="preserve">.</w:t>
      </w:r>
    </w:p>
    <w:p>
      <w:pPr>
        <w:numPr>
          <w:ilvl w:val="0"/>
          <w:numId w:val="36"/>
        </w:numPr>
        <w:spacing w:before="0" w:after="0" w:line="480"/>
        <w:ind w:right="0" w:left="144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Compliance with newly placed restrictions, laws and policies by the governments which might raise costs of research and capital.</w:t>
      </w:r>
    </w:p>
    <w:p>
      <w:pPr>
        <w:numPr>
          <w:ilvl w:val="0"/>
          <w:numId w:val="36"/>
        </w:numPr>
        <w:spacing w:before="0" w:after="0" w:line="480"/>
        <w:ind w:right="0" w:left="72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Environmental:</w:t>
      </w:r>
    </w:p>
    <w:p>
      <w:pPr>
        <w:numPr>
          <w:ilvl w:val="0"/>
          <w:numId w:val="36"/>
        </w:numPr>
        <w:spacing w:before="0" w:after="0" w:line="480"/>
        <w:ind w:right="0" w:left="144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Environmental sustainability.</w:t>
      </w:r>
    </w:p>
    <w:p>
      <w:pPr>
        <w:numPr>
          <w:ilvl w:val="0"/>
          <w:numId w:val="36"/>
        </w:numPr>
        <w:spacing w:before="0" w:after="0" w:line="480"/>
        <w:ind w:right="0" w:left="144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Shift of trends in the direction of low capacity of engines and emerging newer trends.</w:t>
      </w:r>
    </w:p>
    <w:p>
      <w:pPr>
        <w:numPr>
          <w:ilvl w:val="0"/>
          <w:numId w:val="36"/>
        </w:numPr>
        <w:spacing w:before="0" w:after="0" w:line="480"/>
        <w:ind w:right="0" w:left="144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Curbing down emission of greenhouse gases for greener cars.</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analysis provides a bird’s eye view of the environment and market from several angles that the company needs to keep in mind while formulating strategies and plans.</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40" w:after="0" w:line="480"/>
        <w:ind w:right="0" w:left="0" w:firstLine="0"/>
        <w:jc w:val="left"/>
        <w:rPr>
          <w:rFonts w:ascii="Times New Roman" w:hAnsi="Times New Roman" w:cs="Times New Roman" w:eastAsia="Times New Roman"/>
          <w:color w:val="2F5496"/>
          <w:spacing w:val="0"/>
          <w:position w:val="0"/>
          <w:sz w:val="24"/>
          <w:shd w:fill="auto" w:val="clear"/>
        </w:rPr>
      </w:pPr>
      <w:r>
        <w:rPr>
          <w:rFonts w:ascii="Times New Roman" w:hAnsi="Times New Roman" w:cs="Times New Roman" w:eastAsia="Times New Roman"/>
          <w:color w:val="2F5496"/>
          <w:spacing w:val="0"/>
          <w:position w:val="0"/>
          <w:sz w:val="24"/>
          <w:shd w:fill="auto" w:val="clear"/>
        </w:rPr>
        <w:t xml:space="preserve">Value Chain Analysis</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method given by Porter can be used to identify the sources of competitive edge that can be acquired by the company. The activities, value and strategies were evaluated carefully to come up with the following analyses:</w:t>
      </w:r>
    </w:p>
    <w:p>
      <w:pPr>
        <w:numPr>
          <w:ilvl w:val="0"/>
          <w:numId w:val="51"/>
        </w:numPr>
        <w:spacing w:before="0" w:after="0" w:line="480"/>
        <w:ind w:right="0" w:left="144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On analysis of inbound logistics it was seen that Aston Martin can invent high quality products by procuring high quality inputs and reduce damages by effectively handling the incoming input.</w:t>
      </w:r>
    </w:p>
    <w:p>
      <w:pPr>
        <w:numPr>
          <w:ilvl w:val="0"/>
          <w:numId w:val="51"/>
        </w:numPr>
        <w:spacing w:before="0" w:after="0" w:line="480"/>
        <w:ind w:right="0" w:left="144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On analysing the operations of the company we found that the company has a flexible system for manufacturing and devotes huge amounts of resources for improved product appearance and quality. The product undergoes several tests to prevent pre-mature failure and thus save costs. This also leads to lesser rates of defects and thus, improves customer satisfaction.</w:t>
      </w:r>
    </w:p>
    <w:p>
      <w:pPr>
        <w:numPr>
          <w:ilvl w:val="0"/>
          <w:numId w:val="51"/>
        </w:numPr>
        <w:spacing w:before="0" w:after="0" w:line="480"/>
        <w:ind w:right="0" w:left="144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While analysing inbound logistics, it was seen that there has always been timely delivery of the product, except in rare cases of the past couple of years. In order to reduce damages caused during delivery, the employees are asked to take special care while shipping the product. The procedure to place an order for the product is quite effective (</w:t>
      </w:r>
      <w:r>
        <w:rPr>
          <w:rFonts w:ascii="Times New Roman" w:hAnsi="Times New Roman" w:cs="Times New Roman" w:eastAsia="Times New Roman"/>
          <w:color w:val="222222"/>
          <w:spacing w:val="0"/>
          <w:position w:val="0"/>
          <w:sz w:val="24"/>
          <w:shd w:fill="FFFFFF" w:val="clear"/>
        </w:rPr>
        <w:t xml:space="preserve">Collins, 2020)</w:t>
      </w:r>
      <w:r>
        <w:rPr>
          <w:rFonts w:ascii="Times New Roman" w:hAnsi="Times New Roman" w:cs="Times New Roman" w:eastAsia="Times New Roman"/>
          <w:color w:val="auto"/>
          <w:spacing w:val="0"/>
          <w:position w:val="0"/>
          <w:sz w:val="24"/>
          <w:shd w:fill="auto" w:val="clear"/>
        </w:rPr>
        <w:t xml:space="preserve">. </w:t>
      </w:r>
    </w:p>
    <w:p>
      <w:pPr>
        <w:numPr>
          <w:ilvl w:val="0"/>
          <w:numId w:val="51"/>
        </w:numPr>
        <w:spacing w:before="0" w:after="0" w:line="480"/>
        <w:ind w:right="0" w:left="144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sales and marketing strategies of Aston Martin aim at improving relationships with its customers and suppliers. There is an ample amount of money that is spent on spreading awareness of the brand and developing its image via advertising. </w:t>
      </w:r>
    </w:p>
    <w:p>
      <w:pPr>
        <w:numPr>
          <w:ilvl w:val="0"/>
          <w:numId w:val="51"/>
        </w:numPr>
        <w:spacing w:before="0" w:after="0" w:line="480"/>
        <w:ind w:right="0" w:left="144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There is efficient coordination between research, marketing and product departments.</w:t>
      </w:r>
    </w:p>
    <w:p>
      <w:pPr>
        <w:numPr>
          <w:ilvl w:val="0"/>
          <w:numId w:val="51"/>
        </w:numPr>
        <w:spacing w:before="0" w:after="0" w:line="480"/>
        <w:ind w:right="0" w:left="144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company is known to have a superior quality of the products that it offers. It also has a highly efficient team for providing assistance to customers as and whenever required (</w:t>
      </w:r>
      <w:r>
        <w:rPr>
          <w:rFonts w:ascii="Times New Roman" w:hAnsi="Times New Roman" w:cs="Times New Roman" w:eastAsia="Times New Roman"/>
          <w:color w:val="222222"/>
          <w:spacing w:val="0"/>
          <w:position w:val="0"/>
          <w:sz w:val="24"/>
          <w:shd w:fill="FFFFFF" w:val="clear"/>
        </w:rPr>
        <w:t xml:space="preserve">Donthu &amp; Gustafsson, 2020)</w:t>
      </w:r>
      <w:r>
        <w:rPr>
          <w:rFonts w:ascii="Times New Roman" w:hAnsi="Times New Roman" w:cs="Times New Roman" w:eastAsia="Times New Roman"/>
          <w:color w:val="auto"/>
          <w:spacing w:val="0"/>
          <w:position w:val="0"/>
          <w:sz w:val="24"/>
          <w:shd w:fill="auto" w:val="clear"/>
        </w:rPr>
        <w:t xml:space="preserve">. The company also offers quick and reliable maintenance services.</w:t>
      </w:r>
    </w:p>
    <w:p>
      <w:pPr>
        <w:numPr>
          <w:ilvl w:val="0"/>
          <w:numId w:val="51"/>
        </w:numPr>
        <w:spacing w:before="0" w:after="0" w:line="480"/>
        <w:ind w:right="0" w:left="144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Aston Martin can set up a better transportation system to provide the customers with a faster delivery.</w:t>
      </w:r>
    </w:p>
    <w:p>
      <w:pPr>
        <w:numPr>
          <w:ilvl w:val="0"/>
          <w:numId w:val="51"/>
        </w:numPr>
        <w:spacing w:before="0" w:after="0" w:line="480"/>
        <w:ind w:right="0" w:left="1440" w:hanging="36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key way of achieving a competitive edge in the market is through innovative product features and product development in technology</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By using this analysis, the company can plan and execute strategies to set up a stronger identity for the brand and acquire a competitive edge in the market by providing its customers with a value or utility that no other brand can.</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40" w:after="0" w:line="480"/>
        <w:ind w:right="0" w:left="0" w:firstLine="0"/>
        <w:jc w:val="left"/>
        <w:rPr>
          <w:rFonts w:ascii="Times New Roman" w:hAnsi="Times New Roman" w:cs="Times New Roman" w:eastAsia="Times New Roman"/>
          <w:color w:val="2F5496"/>
          <w:spacing w:val="0"/>
          <w:position w:val="0"/>
          <w:sz w:val="24"/>
          <w:shd w:fill="auto" w:val="clear"/>
        </w:rPr>
      </w:pPr>
      <w:r>
        <w:rPr>
          <w:rFonts w:ascii="Times New Roman" w:hAnsi="Times New Roman" w:cs="Times New Roman" w:eastAsia="Times New Roman"/>
          <w:color w:val="2F5496"/>
          <w:spacing w:val="0"/>
          <w:position w:val="0"/>
          <w:sz w:val="24"/>
          <w:shd w:fill="auto" w:val="clear"/>
        </w:rPr>
        <w:t xml:space="preserve">Conclusion</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Aston Martin is a global name known by everyone for its cars that has achieved distinction with a number of varied awards. Using the Porter’s Five Forces analysis, we were able to determine that the company does not majorly face the threat of new competition because of the barriers to entry in the market for the high luxury segment. SWOT analysis revealed the important threats and current weaknesses faced by the company and also shed light on the opportunities that present before the company and can change the growth rate of the company if carefully and strategically acted upon using its strengths. The PESTLE analysis conducted revealed several angles of the environment that the company is operating in while the value chain analysis revealed the strategies that could lead to value creation in the best way for the customers. The report also entails the strategies adapted by the company to attain environmental sustainability and come up with ways of operation that would not affect the environment. From the analyses conducted in this report, it can be concluded that there is a strong plan that the company is designated to follow with the aim of solving all its current problems and redirecting itself to a profitable path. However, if in any case there are targets that the company fails to meet, we would suggest the company to relatively adjust the other targets, or else, the company might be putting itself at the risk of facing a huge fall in the earnings, and consequently, the price of its shares.</w:t>
      </w:r>
    </w:p>
    <w:p>
      <w:pPr>
        <w:spacing w:before="0" w:after="0" w:line="48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480"/>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240" w:after="0" w:line="480"/>
        <w:ind w:right="0" w:left="0" w:firstLine="0"/>
        <w:jc w:val="center"/>
        <w:rPr>
          <w:rFonts w:ascii="Times New Roman" w:hAnsi="Times New Roman" w:cs="Times New Roman" w:eastAsia="Times New Roman"/>
          <w:color w:val="2F5496"/>
          <w:spacing w:val="0"/>
          <w:position w:val="0"/>
          <w:sz w:val="24"/>
          <w:shd w:fill="auto" w:val="clear"/>
        </w:rPr>
      </w:pPr>
      <w:r>
        <w:rPr>
          <w:rFonts w:ascii="Times New Roman" w:hAnsi="Times New Roman" w:cs="Times New Roman" w:eastAsia="Times New Roman"/>
          <w:color w:val="2F5496"/>
          <w:spacing w:val="0"/>
          <w:position w:val="0"/>
          <w:sz w:val="24"/>
          <w:shd w:fill="auto" w:val="clear"/>
        </w:rPr>
        <w:t xml:space="preserve">References</w:t>
      </w:r>
    </w:p>
    <w:p>
      <w:pPr>
        <w:spacing w:before="0" w:after="0" w:line="480"/>
        <w:ind w:right="0" w:left="720" w:hanging="720"/>
        <w:jc w:val="left"/>
        <w:rPr>
          <w:rFonts w:ascii="Times New Roman" w:hAnsi="Times New Roman" w:cs="Times New Roman" w:eastAsia="Times New Roman"/>
          <w:color w:val="auto"/>
          <w:spacing w:val="0"/>
          <w:position w:val="0"/>
          <w:sz w:val="24"/>
          <w:shd w:fill="auto" w:val="clear"/>
        </w:rPr>
      </w:pPr>
    </w:p>
    <w:p>
      <w:pPr>
        <w:spacing w:before="0" w:after="0" w:line="48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Baldwin, R., &amp; Tomiura, E. (2020). Thinking ahead about the trade impact of COVID-19. </w:t>
      </w:r>
      <w:r>
        <w:rPr>
          <w:rFonts w:ascii="Times New Roman" w:hAnsi="Times New Roman" w:cs="Times New Roman" w:eastAsia="Times New Roman"/>
          <w:i/>
          <w:color w:val="222222"/>
          <w:spacing w:val="0"/>
          <w:position w:val="0"/>
          <w:sz w:val="24"/>
          <w:shd w:fill="FFFFFF" w:val="clear"/>
        </w:rPr>
        <w:t xml:space="preserve">Economics in the Time of COVID-19</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59</w:t>
      </w:r>
      <w:r>
        <w:rPr>
          <w:rFonts w:ascii="Times New Roman" w:hAnsi="Times New Roman" w:cs="Times New Roman" w:eastAsia="Times New Roman"/>
          <w:color w:val="222222"/>
          <w:spacing w:val="0"/>
          <w:position w:val="0"/>
          <w:sz w:val="24"/>
          <w:shd w:fill="FFFFFF" w:val="clear"/>
        </w:rPr>
        <w:t xml:space="preserve">.</w:t>
      </w:r>
    </w:p>
    <w:p>
      <w:pPr>
        <w:spacing w:before="0" w:after="0" w:line="48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Collins, B. (2020). </w:t>
      </w:r>
      <w:r>
        <w:rPr>
          <w:rFonts w:ascii="Times New Roman" w:hAnsi="Times New Roman" w:cs="Times New Roman" w:eastAsia="Times New Roman"/>
          <w:i/>
          <w:color w:val="222222"/>
          <w:spacing w:val="0"/>
          <w:position w:val="0"/>
          <w:sz w:val="24"/>
          <w:shd w:fill="FFFFFF" w:val="clear"/>
        </w:rPr>
        <w:t xml:space="preserve">Aston Martin: Made in Britain</w:t>
      </w:r>
      <w:r>
        <w:rPr>
          <w:rFonts w:ascii="Times New Roman" w:hAnsi="Times New Roman" w:cs="Times New Roman" w:eastAsia="Times New Roman"/>
          <w:color w:val="222222"/>
          <w:spacing w:val="0"/>
          <w:position w:val="0"/>
          <w:sz w:val="24"/>
          <w:shd w:fill="FFFFFF" w:val="clear"/>
        </w:rPr>
        <w:t xml:space="preserve">. Hachette UK.</w:t>
      </w:r>
    </w:p>
    <w:p>
      <w:pPr>
        <w:spacing w:before="0" w:after="0" w:line="48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Donthu, N., &amp; Gustafsson, A. (2020). Effects of COVID-19 on business and research. </w:t>
      </w:r>
      <w:r>
        <w:rPr>
          <w:rFonts w:ascii="Times New Roman" w:hAnsi="Times New Roman" w:cs="Times New Roman" w:eastAsia="Times New Roman"/>
          <w:i/>
          <w:color w:val="222222"/>
          <w:spacing w:val="0"/>
          <w:position w:val="0"/>
          <w:sz w:val="24"/>
          <w:shd w:fill="FFFFFF" w:val="clear"/>
        </w:rPr>
        <w:t xml:space="preserve">Journal of business research</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117</w:t>
      </w:r>
      <w:r>
        <w:rPr>
          <w:rFonts w:ascii="Times New Roman" w:hAnsi="Times New Roman" w:cs="Times New Roman" w:eastAsia="Times New Roman"/>
          <w:color w:val="222222"/>
          <w:spacing w:val="0"/>
          <w:position w:val="0"/>
          <w:sz w:val="24"/>
          <w:shd w:fill="FFFFFF" w:val="clear"/>
        </w:rPr>
        <w:t xml:space="preserve">, 284-289.</w:t>
      </w:r>
    </w:p>
    <w:p>
      <w:pPr>
        <w:spacing w:before="0" w:after="0" w:line="48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Guan, D., Wang, D., Hallegatte, S., Davis, S. J., Huo, J., Li, S., ... &amp; Gong, P. (2020). Global supply-chain effects of COVID-19 control measures. </w:t>
      </w:r>
      <w:r>
        <w:rPr>
          <w:rFonts w:ascii="Times New Roman" w:hAnsi="Times New Roman" w:cs="Times New Roman" w:eastAsia="Times New Roman"/>
          <w:i/>
          <w:color w:val="222222"/>
          <w:spacing w:val="0"/>
          <w:position w:val="0"/>
          <w:sz w:val="24"/>
          <w:shd w:fill="FFFFFF" w:val="clear"/>
        </w:rPr>
        <w:t xml:space="preserve">Nature human behaviour</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4</w:t>
      </w:r>
      <w:r>
        <w:rPr>
          <w:rFonts w:ascii="Times New Roman" w:hAnsi="Times New Roman" w:cs="Times New Roman" w:eastAsia="Times New Roman"/>
          <w:color w:val="222222"/>
          <w:spacing w:val="0"/>
          <w:position w:val="0"/>
          <w:sz w:val="24"/>
          <w:shd w:fill="FFFFFF" w:val="clear"/>
        </w:rPr>
        <w:t xml:space="preserve">(6), 577-587.</w:t>
      </w:r>
    </w:p>
    <w:p>
      <w:pPr>
        <w:spacing w:before="0" w:after="0" w:line="48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Harris, J. L., Sunley, P., Evenhuis, E., Martin, R., Pike, A., &amp; Harris, R. (2020). The Covid-19 crisis and manufacturing: How should national and local industrial strategies respond?. </w:t>
      </w:r>
      <w:r>
        <w:rPr>
          <w:rFonts w:ascii="Times New Roman" w:hAnsi="Times New Roman" w:cs="Times New Roman" w:eastAsia="Times New Roman"/>
          <w:i/>
          <w:color w:val="222222"/>
          <w:spacing w:val="0"/>
          <w:position w:val="0"/>
          <w:sz w:val="24"/>
          <w:shd w:fill="FFFFFF" w:val="clear"/>
        </w:rPr>
        <w:t xml:space="preserve">Local Economy</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35</w:t>
      </w:r>
      <w:r>
        <w:rPr>
          <w:rFonts w:ascii="Times New Roman" w:hAnsi="Times New Roman" w:cs="Times New Roman" w:eastAsia="Times New Roman"/>
          <w:color w:val="222222"/>
          <w:spacing w:val="0"/>
          <w:position w:val="0"/>
          <w:sz w:val="24"/>
          <w:shd w:fill="FFFFFF" w:val="clear"/>
        </w:rPr>
        <w:t xml:space="preserve">(4), 403-415.</w:t>
      </w:r>
    </w:p>
    <w:p>
      <w:pPr>
        <w:spacing w:before="0" w:after="0" w:line="48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Le Nozach, D. (2020). Martin, Aston Martin. </w:t>
      </w:r>
      <w:r>
        <w:rPr>
          <w:rFonts w:ascii="Times New Roman" w:hAnsi="Times New Roman" w:cs="Times New Roman" w:eastAsia="Times New Roman"/>
          <w:i/>
          <w:color w:val="222222"/>
          <w:spacing w:val="0"/>
          <w:position w:val="0"/>
          <w:sz w:val="24"/>
          <w:shd w:fill="FFFFFF" w:val="clear"/>
        </w:rPr>
        <w:t xml:space="preserve">The Conversation France</w:t>
      </w:r>
      <w:r>
        <w:rPr>
          <w:rFonts w:ascii="Times New Roman" w:hAnsi="Times New Roman" w:cs="Times New Roman" w:eastAsia="Times New Roman"/>
          <w:color w:val="222222"/>
          <w:spacing w:val="0"/>
          <w:position w:val="0"/>
          <w:sz w:val="24"/>
          <w:shd w:fill="FFFFFF" w:val="clear"/>
        </w:rPr>
        <w:t xml:space="preserve">, https-theconversation.</w:t>
      </w:r>
    </w:p>
    <w:p>
      <w:pPr>
        <w:spacing w:before="0" w:after="0" w:line="48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Mofijur, M., Fattah, I. R., Alam, M. A., Islam, A. S., Ong, H. C., Rahman, S. A., ... &amp; Mahlia, T. M. I. (2021). Impact of COVID-19 on the social, economic, environmental and energy domains: Lessons learnt from a global pandemic. </w:t>
      </w:r>
      <w:r>
        <w:rPr>
          <w:rFonts w:ascii="Times New Roman" w:hAnsi="Times New Roman" w:cs="Times New Roman" w:eastAsia="Times New Roman"/>
          <w:i/>
          <w:color w:val="222222"/>
          <w:spacing w:val="0"/>
          <w:position w:val="0"/>
          <w:sz w:val="24"/>
          <w:shd w:fill="FFFFFF" w:val="clear"/>
        </w:rPr>
        <w:t xml:space="preserve">Sustainable production and consumption</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26</w:t>
      </w:r>
      <w:r>
        <w:rPr>
          <w:rFonts w:ascii="Times New Roman" w:hAnsi="Times New Roman" w:cs="Times New Roman" w:eastAsia="Times New Roman"/>
          <w:color w:val="222222"/>
          <w:spacing w:val="0"/>
          <w:position w:val="0"/>
          <w:sz w:val="24"/>
          <w:shd w:fill="FFFFFF" w:val="clear"/>
        </w:rPr>
        <w:t xml:space="preserve">, 343-359.</w:t>
      </w:r>
    </w:p>
    <w:p>
      <w:pPr>
        <w:spacing w:before="0" w:after="0" w:line="48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Pekhnyk, A., &amp; Borzak, Y. (2020). The impact of the COVID-19 pandemic on the European economy: A first glance and long-term perspectives. </w:t>
      </w:r>
      <w:r>
        <w:rPr>
          <w:rFonts w:ascii="Times New Roman" w:hAnsi="Times New Roman" w:cs="Times New Roman" w:eastAsia="Times New Roman"/>
          <w:i/>
          <w:color w:val="222222"/>
          <w:spacing w:val="0"/>
          <w:position w:val="0"/>
          <w:sz w:val="24"/>
          <w:shd w:fill="FFFFFF" w:val="clear"/>
        </w:rPr>
        <w:t xml:space="preserve">The WSB University in Poznan</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90</w:t>
      </w:r>
      <w:r>
        <w:rPr>
          <w:rFonts w:ascii="Times New Roman" w:hAnsi="Times New Roman" w:cs="Times New Roman" w:eastAsia="Times New Roman"/>
          <w:color w:val="222222"/>
          <w:spacing w:val="0"/>
          <w:position w:val="0"/>
          <w:sz w:val="24"/>
          <w:shd w:fill="FFFFFF" w:val="clear"/>
        </w:rPr>
        <w:t xml:space="preserve">, 13-27.</w:t>
      </w:r>
    </w:p>
    <w:p>
      <w:pPr>
        <w:spacing w:before="0" w:after="0" w:line="48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Wen, W., Yang, S., Zhou, P., &amp; Gao, S. Z. (2021). Impacts of COVID-19 on the electric vehicle industry: Evidence from China. </w:t>
      </w:r>
      <w:r>
        <w:rPr>
          <w:rFonts w:ascii="Times New Roman" w:hAnsi="Times New Roman" w:cs="Times New Roman" w:eastAsia="Times New Roman"/>
          <w:i/>
          <w:color w:val="222222"/>
          <w:spacing w:val="0"/>
          <w:position w:val="0"/>
          <w:sz w:val="24"/>
          <w:shd w:fill="FFFFFF" w:val="clear"/>
        </w:rPr>
        <w:t xml:space="preserve">Renewable and Sustainable Energy Reviews</w:t>
      </w:r>
      <w:r>
        <w:rPr>
          <w:rFonts w:ascii="Times New Roman" w:hAnsi="Times New Roman" w:cs="Times New Roman" w:eastAsia="Times New Roman"/>
          <w:color w:val="222222"/>
          <w:spacing w:val="0"/>
          <w:position w:val="0"/>
          <w:sz w:val="24"/>
          <w:shd w:fill="FFFFFF" w:val="clear"/>
        </w:rPr>
        <w:t xml:space="preserve">, 111024.</w:t>
      </w:r>
    </w:p>
    <w:p>
      <w:pPr>
        <w:spacing w:before="0" w:after="0" w:line="480"/>
        <w:ind w:right="0" w:left="720" w:hanging="720"/>
        <w:jc w:val="both"/>
        <w:rPr>
          <w:rFonts w:ascii="Times New Roman" w:hAnsi="Times New Roman" w:cs="Times New Roman" w:eastAsia="Times New Roman"/>
          <w:color w:val="222222"/>
          <w:spacing w:val="0"/>
          <w:position w:val="0"/>
          <w:sz w:val="24"/>
          <w:shd w:fill="FFFFFF" w:val="clear"/>
        </w:rPr>
      </w:pPr>
      <w:r>
        <w:rPr>
          <w:rFonts w:ascii="Times New Roman" w:hAnsi="Times New Roman" w:cs="Times New Roman" w:eastAsia="Times New Roman"/>
          <w:color w:val="222222"/>
          <w:spacing w:val="0"/>
          <w:position w:val="0"/>
          <w:sz w:val="24"/>
          <w:shd w:fill="FFFFFF" w:val="clear"/>
        </w:rPr>
        <w:t xml:space="preserve">Xu, Z., Elomri, A., Kerbache, L., &amp; El Omri, A. (2020). Impacts of COVID-19 on global supply chains: facts and perspectives. </w:t>
      </w:r>
      <w:r>
        <w:rPr>
          <w:rFonts w:ascii="Times New Roman" w:hAnsi="Times New Roman" w:cs="Times New Roman" w:eastAsia="Times New Roman"/>
          <w:i/>
          <w:color w:val="222222"/>
          <w:spacing w:val="0"/>
          <w:position w:val="0"/>
          <w:sz w:val="24"/>
          <w:shd w:fill="FFFFFF" w:val="clear"/>
        </w:rPr>
        <w:t xml:space="preserve">IEEE Engineering Management Review</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48</w:t>
      </w:r>
      <w:r>
        <w:rPr>
          <w:rFonts w:ascii="Times New Roman" w:hAnsi="Times New Roman" w:cs="Times New Roman" w:eastAsia="Times New Roman"/>
          <w:color w:val="222222"/>
          <w:spacing w:val="0"/>
          <w:position w:val="0"/>
          <w:sz w:val="24"/>
          <w:shd w:fill="FFFFFF" w:val="clear"/>
        </w:rPr>
        <w:t xml:space="preserve">(3), 153-166.</w:t>
      </w: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abstractNum w:abstractNumId="24">
    <w:lvl w:ilvl="0">
      <w:start w:val="1"/>
      <w:numFmt w:val="bullet"/>
      <w:lvlText w:val="•"/>
    </w:lvl>
  </w:abstractNum>
  <w:abstractNum w:abstractNumId="30">
    <w:lvl w:ilvl="0">
      <w:start w:val="1"/>
      <w:numFmt w:val="bullet"/>
      <w:lvlText w:val="•"/>
    </w:lvl>
  </w:abstractNum>
  <w:abstractNum w:abstractNumId="36">
    <w:lvl w:ilvl="0">
      <w:start w:val="1"/>
      <w:numFmt w:val="bullet"/>
      <w:lvlText w:val="•"/>
    </w:lvl>
  </w:abstractNum>
  <w:abstractNum w:abstractNumId="42">
    <w:lvl w:ilvl="0">
      <w:start w:val="1"/>
      <w:numFmt w:val="bullet"/>
      <w:lvlText w:val="•"/>
    </w:lvl>
  </w:abstractNum>
  <w:num w:numId="12">
    <w:abstractNumId w:val="42"/>
  </w:num>
  <w:num w:numId="15">
    <w:abstractNumId w:val="36"/>
  </w:num>
  <w:num w:numId="17">
    <w:abstractNumId w:val="30"/>
  </w:num>
  <w:num w:numId="19">
    <w:abstractNumId w:val="24"/>
  </w:num>
  <w:num w:numId="21">
    <w:abstractNumId w:val="18"/>
  </w:num>
  <w:num w:numId="26">
    <w:abstractNumId w:val="12"/>
  </w:num>
  <w:num w:numId="36">
    <w:abstractNumId w:val="6"/>
  </w:num>
  <w:num w:numId="51">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