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53C45" w14:textId="77777777" w:rsidR="004E50AA" w:rsidRDefault="004E50AA" w:rsidP="004E50AA">
      <w:pPr>
        <w:spacing w:line="360" w:lineRule="auto"/>
        <w:jc w:val="both"/>
        <w:rPr>
          <w:rFonts w:ascii="Times New Roman" w:hAnsi="Times New Roman" w:cs="Times New Roman"/>
          <w:sz w:val="24"/>
          <w:szCs w:val="24"/>
        </w:rPr>
      </w:pPr>
    </w:p>
    <w:p w14:paraId="51661362" w14:textId="77777777" w:rsidR="004E50AA" w:rsidRDefault="004E50AA" w:rsidP="004E50AA">
      <w:pPr>
        <w:jc w:val="center"/>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Carmen Paula Stoica</w:t>
      </w:r>
    </w:p>
    <w:p w14:paraId="54027B28" w14:textId="77777777" w:rsidR="004E50AA" w:rsidRDefault="004E50AA" w:rsidP="004E50AA">
      <w:pPr>
        <w:jc w:val="center"/>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2212649</w:t>
      </w:r>
    </w:p>
    <w:p w14:paraId="7E3B7E3A" w14:textId="77777777" w:rsidR="004E50AA" w:rsidRDefault="004E50AA" w:rsidP="004E50AA">
      <w:pPr>
        <w:jc w:val="center"/>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id: BMIH5005</w:t>
      </w:r>
    </w:p>
    <w:p w14:paraId="4B6668F6" w14:textId="77777777" w:rsidR="004E50AA" w:rsidRDefault="004E50AA" w:rsidP="004E50AA">
      <w:pPr>
        <w:pStyle w:val="Heading1"/>
        <w:shd w:val="clear" w:color="auto" w:fill="FFFFFF"/>
        <w:spacing w:before="0"/>
        <w:jc w:val="center"/>
        <w:rPr>
          <w:rFonts w:ascii="Times New Roman" w:hAnsi="Times New Roman" w:cs="Times New Roman"/>
          <w:b/>
          <w:bCs/>
          <w:color w:val="auto"/>
          <w:sz w:val="36"/>
          <w:szCs w:val="36"/>
        </w:rPr>
      </w:pPr>
      <w:r>
        <w:rPr>
          <w:rFonts w:ascii="Times New Roman" w:hAnsi="Times New Roman" w:cs="Times New Roman"/>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w:t>
      </w:r>
      <w:r>
        <w:rPr>
          <w:rFonts w:ascii="Times New Roman" w:hAnsi="Times New Roman" w:cs="Times New Roman"/>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b/>
          <w:bCs/>
          <w:color w:val="auto"/>
          <w:sz w:val="36"/>
          <w:szCs w:val="36"/>
        </w:rPr>
        <w:t>Personnel Resourcing and Development</w:t>
      </w:r>
    </w:p>
    <w:p w14:paraId="4407DFB8" w14:textId="77777777" w:rsidR="004E50AA" w:rsidRDefault="004E50AA" w:rsidP="004E50AA">
      <w:pPr>
        <w:pStyle w:val="Heading1"/>
        <w:shd w:val="clear" w:color="auto" w:fill="FFFFFF"/>
        <w:spacing w:before="0"/>
        <w:jc w:val="center"/>
        <w:rPr>
          <w:rFonts w:ascii="Times New Roman" w:hAnsi="Times New Roman" w:cs="Times New Roman"/>
          <w:sz w:val="24"/>
          <w:szCs w:val="24"/>
        </w:rPr>
      </w:pPr>
      <w:r>
        <w:rPr>
          <w:rFonts w:ascii="Times New Roman" w:hAnsi="Times New Roman" w:cs="Times New Roman"/>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 Deborah Lloyd</w:t>
      </w:r>
    </w:p>
    <w:p w14:paraId="7D1E693C" w14:textId="77777777" w:rsidR="004E50AA" w:rsidRDefault="004E50AA" w:rsidP="004E50AA">
      <w:pPr>
        <w:spacing w:line="360" w:lineRule="auto"/>
        <w:jc w:val="both"/>
        <w:rPr>
          <w:rFonts w:ascii="Times New Roman" w:hAnsi="Times New Roman" w:cs="Times New Roman"/>
          <w:sz w:val="24"/>
          <w:szCs w:val="24"/>
        </w:rPr>
      </w:pPr>
    </w:p>
    <w:p w14:paraId="12B8295F" w14:textId="77777777" w:rsidR="004E50AA" w:rsidRDefault="004E50AA" w:rsidP="004E50AA">
      <w:pPr>
        <w:spacing w:line="360" w:lineRule="auto"/>
        <w:jc w:val="both"/>
        <w:rPr>
          <w:rFonts w:ascii="Times New Roman" w:hAnsi="Times New Roman" w:cs="Times New Roman"/>
          <w:sz w:val="24"/>
          <w:szCs w:val="24"/>
        </w:rPr>
      </w:pPr>
    </w:p>
    <w:p w14:paraId="1D336423" w14:textId="38AF23AC" w:rsidR="004E50AA" w:rsidRDefault="004E50AA" w:rsidP="004E50AA">
      <w:pPr>
        <w:rPr>
          <w:sz w:val="24"/>
        </w:rPr>
      </w:pPr>
    </w:p>
    <w:p w14:paraId="57954D28" w14:textId="77777777" w:rsidR="004E50AA" w:rsidRDefault="004E50AA" w:rsidP="004E50AA"/>
    <w:p w14:paraId="15BDEB73" w14:textId="77777777" w:rsidR="004E50AA" w:rsidRDefault="004E50AA" w:rsidP="004E50AA"/>
    <w:p w14:paraId="31FE4E2E" w14:textId="77777777" w:rsidR="004E50AA" w:rsidRDefault="004E50AA" w:rsidP="004E50AA"/>
    <w:p w14:paraId="040A056B" w14:textId="77777777" w:rsidR="004E50AA" w:rsidRDefault="004E50AA" w:rsidP="004E50AA"/>
    <w:p w14:paraId="0F7E9106" w14:textId="77777777" w:rsidR="004E50AA" w:rsidRDefault="004E50AA" w:rsidP="004E50AA">
      <w:pPr>
        <w:jc w:val="center"/>
        <w:rPr>
          <w:b/>
          <w:bCs/>
          <w:i/>
          <w:iCs/>
          <w:sz w:val="32"/>
          <w:szCs w:val="28"/>
        </w:rPr>
      </w:pPr>
      <w:r>
        <w:rPr>
          <w:b/>
          <w:bCs/>
          <w:i/>
          <w:iCs/>
          <w:sz w:val="32"/>
          <w:szCs w:val="28"/>
        </w:rPr>
        <w:t>Project Proposal Title –</w:t>
      </w:r>
    </w:p>
    <w:p w14:paraId="058E3AAC" w14:textId="77777777" w:rsidR="004E50AA" w:rsidRDefault="004E50AA" w:rsidP="004E50AA">
      <w:pPr>
        <w:jc w:val="center"/>
        <w:rPr>
          <w:sz w:val="32"/>
          <w:szCs w:val="28"/>
        </w:rPr>
      </w:pPr>
      <w:r>
        <w:rPr>
          <w:sz w:val="32"/>
          <w:szCs w:val="28"/>
        </w:rPr>
        <w:t>Is the external challenge a good or bad? Analyse the impacts of external environment on employee recruitment and retention.</w:t>
      </w:r>
    </w:p>
    <w:p w14:paraId="3C6D8165" w14:textId="77777777" w:rsidR="004E50AA" w:rsidRDefault="004E50AA" w:rsidP="004E50AA">
      <w:pPr>
        <w:rPr>
          <w:sz w:val="24"/>
        </w:rPr>
      </w:pPr>
    </w:p>
    <w:p w14:paraId="5009E046" w14:textId="77777777" w:rsidR="004E50AA" w:rsidRDefault="004E50AA" w:rsidP="004E50AA"/>
    <w:p w14:paraId="25EDBC71" w14:textId="77777777" w:rsidR="004E50AA" w:rsidRDefault="004E50AA" w:rsidP="004E50AA">
      <w:r>
        <w:rPr>
          <w:rFonts w:ascii="Times New Roman" w:hAnsi="Times New Roman" w:cs="Times New Roman"/>
          <w:szCs w:val="24"/>
        </w:rPr>
        <w:br w:type="page"/>
      </w:r>
    </w:p>
    <w:sdt>
      <w:sdtPr>
        <w:rPr>
          <w:rFonts w:ascii="Arial" w:eastAsiaTheme="minorEastAsia" w:hAnsi="Arial" w:cstheme="minorBidi"/>
          <w:color w:val="auto"/>
          <w:sz w:val="24"/>
          <w:szCs w:val="22"/>
          <w:lang w:val="en-GB" w:eastAsia="en-GB"/>
        </w:rPr>
        <w:id w:val="946729351"/>
        <w:docPartObj>
          <w:docPartGallery w:val="Table of Contents"/>
          <w:docPartUnique/>
        </w:docPartObj>
      </w:sdtPr>
      <w:sdtEndPr>
        <w:rPr>
          <w:rFonts w:asciiTheme="minorHAnsi" w:eastAsiaTheme="minorHAnsi" w:hAnsiTheme="minorHAnsi"/>
          <w:sz w:val="22"/>
          <w:lang w:eastAsia="en-US"/>
          <w14:ligatures w14:val="none"/>
        </w:rPr>
      </w:sdtEndPr>
      <w:sdtContent>
        <w:p w14:paraId="2C62FAD1" w14:textId="77777777" w:rsidR="004E50AA" w:rsidRDefault="004E50AA" w:rsidP="004E50AA">
          <w:pPr>
            <w:pStyle w:val="TOCHeading"/>
            <w:rPr>
              <w:rFonts w:ascii="Arial" w:hAnsi="Arial" w:cs="Arial"/>
              <w:lang w:val="en-GB"/>
            </w:rPr>
          </w:pPr>
          <w:r>
            <w:rPr>
              <w:rFonts w:ascii="Arial" w:hAnsi="Arial" w:cs="Arial"/>
              <w:lang w:val="en-GB"/>
            </w:rPr>
            <w:t>Contents</w:t>
          </w:r>
        </w:p>
        <w:p w14:paraId="6C3CED81" w14:textId="77777777" w:rsidR="004E50AA" w:rsidRDefault="004E50AA" w:rsidP="004E50AA">
          <w:pPr>
            <w:pStyle w:val="TOC1"/>
            <w:tabs>
              <w:tab w:val="right" w:leader="dot" w:pos="9350"/>
            </w:tabs>
            <w:rPr>
              <w:rFonts w:asciiTheme="minorHAnsi" w:hAnsiTheme="minorHAnsi"/>
              <w:noProof/>
              <w:sz w:val="22"/>
              <w:lang w:val="en-US" w:eastAsia="en-US"/>
            </w:rPr>
          </w:pPr>
          <w:r>
            <w:fldChar w:fldCharType="begin"/>
          </w:r>
          <w:r>
            <w:instrText xml:space="preserve"> TOC \o "1-3" \h \z \u </w:instrText>
          </w:r>
          <w:r>
            <w:fldChar w:fldCharType="separate"/>
          </w:r>
          <w:hyperlink r:id="rId5" w:anchor="_Toc150011627" w:history="1">
            <w:r>
              <w:rPr>
                <w:rStyle w:val="Hyperlink"/>
                <w:noProof/>
              </w:rPr>
              <w:t>Introduction and Background</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_Toc150011627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787055F0" w14:textId="77777777" w:rsidR="004E50AA" w:rsidRDefault="004E50AA" w:rsidP="004E50AA">
          <w:pPr>
            <w:pStyle w:val="TOC1"/>
            <w:tabs>
              <w:tab w:val="right" w:leader="dot" w:pos="9350"/>
            </w:tabs>
            <w:rPr>
              <w:rFonts w:asciiTheme="minorHAnsi" w:hAnsiTheme="minorHAnsi"/>
              <w:noProof/>
              <w:sz w:val="22"/>
              <w:lang w:val="en-US" w:eastAsia="en-US"/>
            </w:rPr>
          </w:pPr>
          <w:hyperlink r:id="rId6" w:anchor="_Toc150011628" w:history="1">
            <w:r>
              <w:rPr>
                <w:rStyle w:val="Hyperlink"/>
                <w:noProof/>
              </w:rPr>
              <w:t>Discussion / Literature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_Toc150011628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14:paraId="089DBD92" w14:textId="77777777" w:rsidR="004E50AA" w:rsidRDefault="004E50AA" w:rsidP="004E50AA">
          <w:pPr>
            <w:pStyle w:val="TOC2"/>
            <w:tabs>
              <w:tab w:val="right" w:leader="dot" w:pos="9350"/>
            </w:tabs>
            <w:rPr>
              <w:rFonts w:asciiTheme="minorHAnsi" w:hAnsiTheme="minorHAnsi"/>
              <w:noProof/>
              <w:sz w:val="22"/>
              <w:lang w:val="en-US" w:eastAsia="en-US"/>
            </w:rPr>
          </w:pPr>
          <w:hyperlink r:id="rId7" w:anchor="_Toc150011629" w:history="1">
            <w:r>
              <w:rPr>
                <w:rStyle w:val="Hyperlink"/>
                <w:noProof/>
              </w:rPr>
              <w:t>Impact of Brexit on Employee Retention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_Toc150011629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14:paraId="267E3460" w14:textId="77777777" w:rsidR="004E50AA" w:rsidRDefault="004E50AA" w:rsidP="004E50AA">
          <w:pPr>
            <w:pStyle w:val="TOC2"/>
            <w:tabs>
              <w:tab w:val="right" w:leader="dot" w:pos="9350"/>
            </w:tabs>
            <w:rPr>
              <w:rFonts w:asciiTheme="minorHAnsi" w:hAnsiTheme="minorHAnsi"/>
              <w:noProof/>
              <w:sz w:val="22"/>
              <w:lang w:val="en-US" w:eastAsia="en-US"/>
            </w:rPr>
          </w:pPr>
          <w:hyperlink r:id="rId8" w:anchor="_Toc150011630" w:history="1">
            <w:r>
              <w:rPr>
                <w:rStyle w:val="Hyperlink"/>
                <w:noProof/>
              </w:rPr>
              <w:t>COVID-19 and Retention Dynamics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_Toc150011630 \h </w:instrText>
            </w:r>
            <w:r>
              <w:rPr>
                <w:rStyle w:val="Hyperlink"/>
                <w:noProof/>
                <w:webHidden/>
                <w:color w:val="auto"/>
              </w:rPr>
            </w:r>
            <w:r>
              <w:rPr>
                <w:rStyle w:val="Hyperlink"/>
                <w:noProof/>
                <w:webHidden/>
                <w:color w:val="auto"/>
              </w:rPr>
              <w:fldChar w:fldCharType="separate"/>
            </w:r>
            <w:r>
              <w:rPr>
                <w:rStyle w:val="Hyperlink"/>
                <w:noProof/>
                <w:webHidden/>
                <w:color w:val="auto"/>
              </w:rPr>
              <w:t>5</w:t>
            </w:r>
            <w:r>
              <w:rPr>
                <w:rStyle w:val="Hyperlink"/>
                <w:noProof/>
                <w:webHidden/>
                <w:color w:val="auto"/>
              </w:rPr>
              <w:fldChar w:fldCharType="end"/>
            </w:r>
          </w:hyperlink>
        </w:p>
        <w:p w14:paraId="52AC1267" w14:textId="77777777" w:rsidR="004E50AA" w:rsidRDefault="004E50AA" w:rsidP="004E50AA">
          <w:pPr>
            <w:pStyle w:val="TOC2"/>
            <w:tabs>
              <w:tab w:val="right" w:leader="dot" w:pos="9350"/>
            </w:tabs>
            <w:rPr>
              <w:rFonts w:asciiTheme="minorHAnsi" w:hAnsiTheme="minorHAnsi"/>
              <w:noProof/>
              <w:sz w:val="22"/>
              <w:lang w:val="en-US" w:eastAsia="en-US"/>
            </w:rPr>
          </w:pPr>
          <w:hyperlink r:id="rId9" w:anchor="_Toc150011631" w:history="1">
            <w:r>
              <w:rPr>
                <w:rStyle w:val="Hyperlink"/>
                <w:noProof/>
              </w:rPr>
              <w:t>Inflation and Economic Fluctuations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_Toc150011631 \h </w:instrText>
            </w:r>
            <w:r>
              <w:rPr>
                <w:rStyle w:val="Hyperlink"/>
                <w:noProof/>
                <w:webHidden/>
                <w:color w:val="auto"/>
              </w:rPr>
            </w:r>
            <w:r>
              <w:rPr>
                <w:rStyle w:val="Hyperlink"/>
                <w:noProof/>
                <w:webHidden/>
                <w:color w:val="auto"/>
              </w:rPr>
              <w:fldChar w:fldCharType="separate"/>
            </w:r>
            <w:r>
              <w:rPr>
                <w:rStyle w:val="Hyperlink"/>
                <w:noProof/>
                <w:webHidden/>
                <w:color w:val="auto"/>
              </w:rPr>
              <w:t>6</w:t>
            </w:r>
            <w:r>
              <w:rPr>
                <w:rStyle w:val="Hyperlink"/>
                <w:noProof/>
                <w:webHidden/>
                <w:color w:val="auto"/>
              </w:rPr>
              <w:fldChar w:fldCharType="end"/>
            </w:r>
          </w:hyperlink>
        </w:p>
        <w:p w14:paraId="2E4AD6DB" w14:textId="77777777" w:rsidR="004E50AA" w:rsidRDefault="004E50AA" w:rsidP="004E50AA">
          <w:pPr>
            <w:pStyle w:val="TOC2"/>
            <w:tabs>
              <w:tab w:val="right" w:leader="dot" w:pos="9350"/>
            </w:tabs>
            <w:rPr>
              <w:rFonts w:asciiTheme="minorHAnsi" w:hAnsiTheme="minorHAnsi"/>
              <w:noProof/>
              <w:sz w:val="22"/>
              <w:lang w:val="en-US" w:eastAsia="en-US"/>
            </w:rPr>
          </w:pPr>
          <w:hyperlink r:id="rId10" w:anchor="_Toc150011632" w:history="1">
            <w:r>
              <w:rPr>
                <w:rStyle w:val="Hyperlink"/>
                <w:noProof/>
              </w:rPr>
              <w:t>Global Retirement Tide and Workforce Transition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_Toc150011632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14:paraId="08215672" w14:textId="77777777" w:rsidR="004E50AA" w:rsidRDefault="004E50AA" w:rsidP="004E50AA">
          <w:pPr>
            <w:pStyle w:val="TOC2"/>
            <w:tabs>
              <w:tab w:val="right" w:leader="dot" w:pos="9350"/>
            </w:tabs>
            <w:rPr>
              <w:rFonts w:asciiTheme="minorHAnsi" w:hAnsiTheme="minorHAnsi"/>
              <w:noProof/>
              <w:sz w:val="22"/>
              <w:lang w:val="en-US" w:eastAsia="en-US"/>
            </w:rPr>
          </w:pPr>
          <w:hyperlink r:id="rId11" w:anchor="_Toc150011633" w:history="1">
            <w:r>
              <w:rPr>
                <w:rStyle w:val="Hyperlink"/>
                <w:noProof/>
              </w:rPr>
              <w:t>Solutions for Enhanced Retention and Industry Examples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_Toc150011633 \h </w:instrText>
            </w:r>
            <w:r>
              <w:rPr>
                <w:rStyle w:val="Hyperlink"/>
                <w:noProof/>
                <w:webHidden/>
                <w:color w:val="auto"/>
              </w:rPr>
            </w:r>
            <w:r>
              <w:rPr>
                <w:rStyle w:val="Hyperlink"/>
                <w:noProof/>
                <w:webHidden/>
                <w:color w:val="auto"/>
              </w:rPr>
              <w:fldChar w:fldCharType="separate"/>
            </w:r>
            <w:r>
              <w:rPr>
                <w:rStyle w:val="Hyperlink"/>
                <w:noProof/>
                <w:webHidden/>
                <w:color w:val="auto"/>
              </w:rPr>
              <w:t>8</w:t>
            </w:r>
            <w:r>
              <w:rPr>
                <w:rStyle w:val="Hyperlink"/>
                <w:noProof/>
                <w:webHidden/>
                <w:color w:val="auto"/>
              </w:rPr>
              <w:fldChar w:fldCharType="end"/>
            </w:r>
          </w:hyperlink>
        </w:p>
        <w:p w14:paraId="01FE0073" w14:textId="77777777" w:rsidR="004E50AA" w:rsidRDefault="004E50AA" w:rsidP="004E50AA">
          <w:pPr>
            <w:pStyle w:val="TOC1"/>
            <w:tabs>
              <w:tab w:val="right" w:leader="dot" w:pos="9350"/>
            </w:tabs>
            <w:rPr>
              <w:rFonts w:asciiTheme="minorHAnsi" w:hAnsiTheme="minorHAnsi"/>
              <w:noProof/>
              <w:sz w:val="22"/>
              <w:lang w:val="en-US" w:eastAsia="en-US"/>
            </w:rPr>
          </w:pPr>
          <w:hyperlink r:id="rId12" w:anchor="_Toc150011634" w:history="1">
            <w:r>
              <w:rPr>
                <w:rStyle w:val="Hyperlink"/>
                <w:noProof/>
              </w:rPr>
              <w:t>Evaluation and Conclusion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_Toc150011634 \h </w:instrText>
            </w:r>
            <w:r>
              <w:rPr>
                <w:rStyle w:val="Hyperlink"/>
                <w:noProof/>
                <w:webHidden/>
                <w:color w:val="auto"/>
              </w:rPr>
            </w:r>
            <w:r>
              <w:rPr>
                <w:rStyle w:val="Hyperlink"/>
                <w:noProof/>
                <w:webHidden/>
                <w:color w:val="auto"/>
              </w:rPr>
              <w:fldChar w:fldCharType="separate"/>
            </w:r>
            <w:r>
              <w:rPr>
                <w:rStyle w:val="Hyperlink"/>
                <w:noProof/>
                <w:webHidden/>
                <w:color w:val="auto"/>
              </w:rPr>
              <w:t>9</w:t>
            </w:r>
            <w:r>
              <w:rPr>
                <w:rStyle w:val="Hyperlink"/>
                <w:noProof/>
                <w:webHidden/>
                <w:color w:val="auto"/>
              </w:rPr>
              <w:fldChar w:fldCharType="end"/>
            </w:r>
          </w:hyperlink>
        </w:p>
        <w:p w14:paraId="0863F5A0" w14:textId="77777777" w:rsidR="004E50AA" w:rsidRDefault="004E50AA" w:rsidP="004E50AA">
          <w:pPr>
            <w:pStyle w:val="TOC1"/>
            <w:tabs>
              <w:tab w:val="right" w:leader="dot" w:pos="9350"/>
            </w:tabs>
            <w:rPr>
              <w:rFonts w:asciiTheme="minorHAnsi" w:hAnsiTheme="minorHAnsi"/>
              <w:noProof/>
              <w:sz w:val="22"/>
              <w:lang w:val="en-US" w:eastAsia="en-US"/>
            </w:rPr>
          </w:pPr>
          <w:hyperlink r:id="rId13" w:anchor="_Toc150011635" w:history="1">
            <w:r>
              <w:rPr>
                <w:rStyle w:val="Hyperlink"/>
                <w:noProof/>
              </w:rPr>
              <w:t>References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_Toc150011635 \h </w:instrText>
            </w:r>
            <w:r>
              <w:rPr>
                <w:rStyle w:val="Hyperlink"/>
                <w:noProof/>
                <w:webHidden/>
                <w:color w:val="auto"/>
              </w:rPr>
            </w:r>
            <w:r>
              <w:rPr>
                <w:rStyle w:val="Hyperlink"/>
                <w:noProof/>
                <w:webHidden/>
                <w:color w:val="auto"/>
              </w:rPr>
              <w:fldChar w:fldCharType="separate"/>
            </w:r>
            <w:r>
              <w:rPr>
                <w:rStyle w:val="Hyperlink"/>
                <w:noProof/>
                <w:webHidden/>
                <w:color w:val="auto"/>
              </w:rPr>
              <w:t>11</w:t>
            </w:r>
            <w:r>
              <w:rPr>
                <w:rStyle w:val="Hyperlink"/>
                <w:noProof/>
                <w:webHidden/>
                <w:color w:val="auto"/>
              </w:rPr>
              <w:fldChar w:fldCharType="end"/>
            </w:r>
          </w:hyperlink>
        </w:p>
        <w:p w14:paraId="7DD2B74B" w14:textId="77777777" w:rsidR="004E50AA" w:rsidRDefault="004E50AA" w:rsidP="004E50AA">
          <w:pPr>
            <w:pStyle w:val="TOC1"/>
            <w:tabs>
              <w:tab w:val="right" w:leader="dot" w:pos="9350"/>
            </w:tabs>
            <w:rPr>
              <w:rFonts w:asciiTheme="minorHAnsi" w:hAnsiTheme="minorHAnsi"/>
              <w:noProof/>
              <w:sz w:val="22"/>
              <w:lang w:val="en-US" w:eastAsia="en-US"/>
            </w:rPr>
          </w:pPr>
          <w:hyperlink r:id="rId14" w:anchor="_Toc150011636" w:history="1">
            <w:r>
              <w:rPr>
                <w:rStyle w:val="Hyperlink"/>
                <w:noProof/>
              </w:rPr>
              <w:t>Appendix</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_Toc150011636 \h </w:instrText>
            </w:r>
            <w:r>
              <w:rPr>
                <w:rStyle w:val="Hyperlink"/>
                <w:noProof/>
                <w:webHidden/>
                <w:color w:val="auto"/>
              </w:rPr>
            </w:r>
            <w:r>
              <w:rPr>
                <w:rStyle w:val="Hyperlink"/>
                <w:noProof/>
                <w:webHidden/>
                <w:color w:val="auto"/>
              </w:rPr>
              <w:fldChar w:fldCharType="separate"/>
            </w:r>
            <w:r>
              <w:rPr>
                <w:rStyle w:val="Hyperlink"/>
                <w:noProof/>
                <w:webHidden/>
                <w:color w:val="auto"/>
              </w:rPr>
              <w:t>13</w:t>
            </w:r>
            <w:r>
              <w:rPr>
                <w:rStyle w:val="Hyperlink"/>
                <w:noProof/>
                <w:webHidden/>
                <w:color w:val="auto"/>
              </w:rPr>
              <w:fldChar w:fldCharType="end"/>
            </w:r>
          </w:hyperlink>
        </w:p>
        <w:p w14:paraId="17CEA39D" w14:textId="77777777" w:rsidR="004E50AA" w:rsidRDefault="004E50AA" w:rsidP="004E50AA">
          <w:pPr>
            <w:rPr>
              <w:rFonts w:ascii="Arial" w:hAnsi="Arial"/>
              <w:sz w:val="24"/>
              <w:lang w:eastAsia="en-GB"/>
            </w:rPr>
          </w:pPr>
          <w:r>
            <w:rPr>
              <w:b/>
              <w:bCs/>
              <w:noProof/>
            </w:rPr>
            <w:fldChar w:fldCharType="end"/>
          </w:r>
        </w:p>
      </w:sdtContent>
    </w:sdt>
    <w:p w14:paraId="6D676D76" w14:textId="77777777" w:rsidR="004E50AA" w:rsidRDefault="004E50AA" w:rsidP="004E50AA">
      <w:r>
        <w:rPr>
          <w:rFonts w:ascii="Times New Roman" w:hAnsi="Times New Roman" w:cs="Times New Roman"/>
          <w:szCs w:val="24"/>
        </w:rPr>
        <w:br w:type="page"/>
      </w:r>
    </w:p>
    <w:p w14:paraId="33DF473F" w14:textId="77777777" w:rsidR="004E50AA" w:rsidRDefault="004E50AA" w:rsidP="004E50AA">
      <w:pPr>
        <w:pStyle w:val="Heading1"/>
      </w:pPr>
      <w:bookmarkStart w:id="0" w:name="_Toc150011627"/>
      <w:r>
        <w:lastRenderedPageBreak/>
        <w:t>Introduction and Background</w:t>
      </w:r>
      <w:bookmarkEnd w:id="0"/>
    </w:p>
    <w:p w14:paraId="17BD0DA3" w14:textId="77777777" w:rsidR="004E50AA" w:rsidRDefault="004E50AA" w:rsidP="004E50AA">
      <w:r>
        <w:t xml:space="preserve">The problems faced by IHG and their effect on the hotel industry's ability to keep good workers are at the heart of my proposal. </w:t>
      </w:r>
      <w:r>
        <w:rPr>
          <w:b/>
          <w:bCs/>
          <w:i/>
          <w:iCs/>
        </w:rPr>
        <w:t>InterContinental Hotels Group</w:t>
      </w:r>
      <w:r>
        <w:t xml:space="preserve"> is a shining example of success in the international hotel business, with a stellar reputation for providing luxurious lodgings and first-rate customer service in a broad variety of locations across the globe.</w:t>
      </w:r>
    </w:p>
    <w:p w14:paraId="4AC0E036" w14:textId="77777777" w:rsidR="004E50AA" w:rsidRDefault="004E50AA" w:rsidP="004E50AA">
      <w:r>
        <w:t>Employee retention is severely hampered by the current issues facing the InterContinental chain. These difficulties extend to many different but equally important aspects of the proposal's central concern (Tran, 2020). First and foremost is the problem of persistent labour shortages, which puts increasing strain on the already thin ranks of available workers. The cumulative effects of this stress on morale and output are so great that they demand concerted efforts to attract and keep the best talent.</w:t>
      </w:r>
    </w:p>
    <w:p w14:paraId="646641B8" w14:textId="77777777" w:rsidR="004E50AA" w:rsidRDefault="004E50AA" w:rsidP="004E50AA">
      <w:r>
        <w:t>The increasing adoption of new technology, especially Artificial Intelligence (AI), has caused concern among workers. People are worried about their ability to keep their jobs and their expertise in the face of rapidly developing technologies (Howard, 2019). Therefore, a radical change in training paradigms is required to adapt one's skill set to the rapidly developing technologies of today and tomorrow.</w:t>
      </w:r>
    </w:p>
    <w:p w14:paraId="41F42256" w14:textId="77777777" w:rsidR="004E50AA" w:rsidRDefault="004E50AA" w:rsidP="004E50AA">
      <w:r>
        <w:t>A major roadblock to employee development and engagement is the lack of high-quality training and professional development programmes. Employee discontent and attrition rates increase when there are no prospects for professional growth. The difficulty of keeping employees is exacerbated by inefficient management practises. Employees' decisions to stay with an organisation or look elsewhere are affected by a variety of factors, including leadership styles, communication breakdowns, and structural flaws.</w:t>
      </w:r>
    </w:p>
    <w:p w14:paraId="4DD605B3" w14:textId="77777777" w:rsidR="004E50AA" w:rsidRDefault="004E50AA" w:rsidP="004E50AA">
      <w:r>
        <w:t>In essence, the InterContinental Hotels Group has a wide variety of obstacles that make it difficult to retain employees (</w:t>
      </w:r>
      <w:r>
        <w:rPr>
          <w:lang w:val="en-US"/>
        </w:rPr>
        <w:t>IHG, 2023)</w:t>
      </w:r>
      <w:r>
        <w:t>. These include things like personnel shortages, technological improvements, training gaps, and management worries. In order to better understand and address these issues within the InterContinental chain and to cultivate a resilient and inspired workforce able to meet the ever-evolving needs of the industry, this proposal seeks to study tactics and solutions vital to enhancing employee retention.</w:t>
      </w:r>
    </w:p>
    <w:p w14:paraId="26A5704E" w14:textId="77777777" w:rsidR="004E50AA" w:rsidRDefault="004E50AA" w:rsidP="004E50AA">
      <w:pPr>
        <w:pStyle w:val="Heading1"/>
      </w:pPr>
      <w:bookmarkStart w:id="1" w:name="_Toc150011628"/>
      <w:r>
        <w:t>Discussion / Literature</w:t>
      </w:r>
      <w:bookmarkEnd w:id="1"/>
    </w:p>
    <w:p w14:paraId="33D236BB" w14:textId="77777777" w:rsidR="004E50AA" w:rsidRDefault="004E50AA" w:rsidP="004E50AA">
      <w:pPr>
        <w:rPr>
          <w:rFonts w:eastAsiaTheme="minorEastAsia"/>
        </w:rPr>
      </w:pPr>
      <w:r>
        <w:t>The Discussion/Literature section goes into great detail about how outside things affect the InterContinental Hotels Group's ability to keep employees. This part takes a close look at how global events like Brexit, the COVID-19 pandemic, changes in the economy, and the coming wave of people retiring affect the hotel industry's ability to keep employees. It also gives possible answers and examples from other industries, along with ideas and plans for how the InterContinental Hotels Group can keep more of its employees. This part is meant to break down the many problems and chances that these outside factors create, so that managers can get a better idea of how they affect the organisation and how to keep good employees.</w:t>
      </w:r>
    </w:p>
    <w:p w14:paraId="228A67F8" w14:textId="77777777" w:rsidR="004E50AA" w:rsidRDefault="004E50AA" w:rsidP="004E50AA"/>
    <w:p w14:paraId="32C36C3D" w14:textId="77777777" w:rsidR="004E50AA" w:rsidRDefault="004E50AA" w:rsidP="004E50AA">
      <w:pPr>
        <w:pStyle w:val="Heading2"/>
      </w:pPr>
      <w:bookmarkStart w:id="2" w:name="_Toc150011629"/>
      <w:r>
        <w:t>Impact of Brexit on Employee Retention</w:t>
      </w:r>
      <w:bookmarkEnd w:id="2"/>
    </w:p>
    <w:p w14:paraId="0E1C1D28" w14:textId="77777777" w:rsidR="004E50AA" w:rsidRDefault="004E50AA" w:rsidP="004E50AA">
      <w:r>
        <w:t>It has been very hard for companies in the hospitality business, like the InterContinental Hotels Group, to keep their employees because of Brexit. Uncertainties caused by Brexit have had a big effect on talent mobility and employment strategies, which in turn has had a direct effect on how committed and long-term employees stay with a company (Ridgway, 2019).</w:t>
      </w:r>
    </w:p>
    <w:p w14:paraId="67973576" w14:textId="77777777" w:rsidR="004E50AA" w:rsidRDefault="004E50AA" w:rsidP="004E50AA">
      <w:r>
        <w:lastRenderedPageBreak/>
        <w:t>Since Brexit, changes in trade deals and the possibility of limits on workers' ability to move around have made the job market feel very uncertain. This lack of clarity has a direct effect on the mobility of the job market and skill pool in the hospitality industry. When employees aren't sure if their jobs will be stable, they are more likely to look at other opportunities (Crasii, 2022). This makes it harder for hospitality companies like the InterContinental group to keep their employees.</w:t>
      </w:r>
    </w:p>
    <w:p w14:paraId="2EEAD6F8" w14:textId="77777777" w:rsidR="004E50AA" w:rsidRDefault="004E50AA" w:rsidP="004E50AA">
      <w:r>
        <w:t>International hotel chains like InterContinental have trouble planning their workforce because visa rules are always changing, work permit rules are always changing, and there may be limits on the free movement of labour across countries. This change in the way jobs are created and filled has made recruitment and retention strategies more difficult and time-consuming in the industry. As a result, policies for hiring and keeping employees need to be re-evaluated to reflect the new facts after Brexit (Crasii, 2022).</w:t>
      </w:r>
    </w:p>
    <w:p w14:paraId="0245BF8A" w14:textId="77777777" w:rsidR="004E50AA" w:rsidRDefault="004E50AA" w:rsidP="004E50AA">
      <w:r>
        <w:t>More work needs to be done to make sure that job laws and rules are still followed after Brexit. Organisations like InterContinental have to deal with these changes while also making sure that their employees stay involved, motivated, and loyal to the company. This is because Brexit has changed the world.</w:t>
      </w:r>
    </w:p>
    <w:p w14:paraId="48D1C3A2" w14:textId="77777777" w:rsidR="004E50AA" w:rsidRDefault="004E50AA" w:rsidP="004E50AA"/>
    <w:p w14:paraId="324B0807" w14:textId="77777777" w:rsidR="004E50AA" w:rsidRDefault="004E50AA" w:rsidP="004E50AA">
      <w:pPr>
        <w:pStyle w:val="Heading2"/>
      </w:pPr>
      <w:bookmarkStart w:id="3" w:name="_Toc150011630"/>
      <w:r>
        <w:t>COVID-19 and Retention Dynamics</w:t>
      </w:r>
      <w:bookmarkEnd w:id="3"/>
      <w:r>
        <w:t xml:space="preserve"> </w:t>
      </w:r>
    </w:p>
    <w:p w14:paraId="037FCDC9" w14:textId="77777777" w:rsidR="004E50AA" w:rsidRDefault="004E50AA" w:rsidP="004E50AA">
      <w:r>
        <w:t>The COVID-19 pandemic has had a huge effect on the hotel industry's ability to keep employees, having a big effect on companies like the InterContinental Hotels Group. Because of lockdowns, the need to work from home, and economic downturns caused by the pandemic, retention tactics have had to be completely rethought.</w:t>
      </w:r>
    </w:p>
    <w:p w14:paraId="5906584F" w14:textId="77777777" w:rsidR="004E50AA" w:rsidRDefault="004E50AA" w:rsidP="004E50AA">
      <w:r>
        <w:t>One of the most important changes is the sudden move to working from home (Filimonau, 2020). This change to the traditional work setting changed what it means to be satisfied at work and have a good work-life balance for people who work in the hospitality industry, like those at InterContinental. Even though remote work gives people more freedom, it can be hard to keep teams together and boost mood, which affects efforts to keep employees.</w:t>
      </w:r>
    </w:p>
    <w:p w14:paraId="6376A2B1" w14:textId="77777777" w:rsidR="004E50AA" w:rsidRDefault="004E50AA" w:rsidP="004E50AA">
      <w:r>
        <w:t>Because of the pandemic, there are now a lot of economic uncertainties that have made people worry about their job stability. Dealing with economic problems and not knowing how long their jobs will last has made employees more interested in promises of job security and safety within the company (Crasii, 2022). This has a direct effect on how reliable and committed employees are, which makes it harder for companies like InterContinental to keep their employees.</w:t>
      </w:r>
    </w:p>
    <w:p w14:paraId="594C51E4" w14:textId="77777777" w:rsidR="004E50AA" w:rsidRDefault="004E50AA" w:rsidP="004E50AA">
      <w:r>
        <w:t>Concerns about health and safety, as well as the mental toll of the pandemic, have also changed how employees feel. To help their employees get through these tough times, companies have had to change by improving their employee aid programmes, making sure there are health and safety measures in place, and keeping lines of communication open (Agarwal, 2021). The COVID-19 pandemic has changed the way people work, so companies like InterContinental need to rethink how they keep employees and adapt to their changing needs and concerns in order to keep a loyal and dedicated staff despite the tough conditions.</w:t>
      </w:r>
    </w:p>
    <w:p w14:paraId="5FEE7FC1" w14:textId="77777777" w:rsidR="004E50AA" w:rsidRDefault="004E50AA" w:rsidP="004E50AA"/>
    <w:p w14:paraId="5BA7E67A" w14:textId="77777777" w:rsidR="004E50AA" w:rsidRDefault="004E50AA" w:rsidP="004E50AA">
      <w:pPr>
        <w:pStyle w:val="Heading2"/>
      </w:pPr>
      <w:bookmarkStart w:id="4" w:name="_Toc150011631"/>
      <w:r>
        <w:t>Inflation and Economic Fluctuations</w:t>
      </w:r>
      <w:bookmarkEnd w:id="4"/>
    </w:p>
    <w:p w14:paraId="5341CE94" w14:textId="77777777" w:rsidR="004E50AA" w:rsidRDefault="004E50AA" w:rsidP="004E50AA">
      <w:r>
        <w:t xml:space="preserve">In the hospitality business, changes in inflation and the economy have a big effect on how companies like the InterContinental Hotels Group try to keep their employees. Changes in the </w:t>
      </w:r>
      <w:r>
        <w:lastRenderedPageBreak/>
        <w:t>economy and inflation rates have a direct effect on workers' real pay and ability to buy things, which in turn affects how happy and committed they are to their jobs (Anguera-Torrell, 2021).</w:t>
      </w:r>
    </w:p>
    <w:p w14:paraId="1E9EF210" w14:textId="77777777" w:rsidR="004E50AA" w:rsidRDefault="004E50AA" w:rsidP="004E50AA">
      <w:r>
        <w:t>When inflation is high, people may not be happy with their jobs because their buying power is going down and their real wages are going down. The fact that they think their standard of living is going down because they can't buy as much affects how happy they are with their job and how loyal they are to the company (Stiglitz, 2015). People may look for more safe places to work that offer more economic security when the economy is unstable.</w:t>
      </w:r>
    </w:p>
    <w:p w14:paraId="52B911AC" w14:textId="77777777" w:rsidR="004E50AA" w:rsidRDefault="004E50AA" w:rsidP="004E50AA">
      <w:r>
        <w:t>Uncertainty about the economy also makes people worry about their job stability. When employees are worried about their future and the security of their jobs, they are more likely to look for other jobs. This lowers the number of people who stay with companies like InterContinental (Stiglitz, 2015). These worries are especially common in the hotel industry, where bad economic times can have a big effect on how customers act and, in turn, how many staff members are needed.</w:t>
      </w:r>
    </w:p>
    <w:p w14:paraId="20E7E6BA" w14:textId="77777777" w:rsidR="004E50AA" w:rsidRDefault="004E50AA" w:rsidP="004E50AA">
      <w:r>
        <w:t>Organisations need to be able to adapt and respond to changing economic conditions in order to deal with the effects of economic changes. To keep a loyal and inspired staff, it's important to offer competitive pay packages that provide stability during times of economic uncertainty (John-eke, 2021). Having strong professional development programmes and a helpful work culture can also help lessen some of the negative effects that changes in the economy have on keeping employees. Businesses like InterContinental must deal with changes in the economy by creating a good place to work and making sure their workers feel financially safe and valued by the company.</w:t>
      </w:r>
    </w:p>
    <w:p w14:paraId="7B8B2EFB" w14:textId="77777777" w:rsidR="004E50AA" w:rsidRDefault="004E50AA" w:rsidP="004E50AA">
      <w:pPr>
        <w:pStyle w:val="Heading2"/>
      </w:pPr>
      <w:bookmarkStart w:id="5" w:name="_Toc150011632"/>
      <w:r>
        <w:t>Global Retirement Tide and Workforce Transition</w:t>
      </w:r>
      <w:bookmarkEnd w:id="5"/>
    </w:p>
    <w:p w14:paraId="259642FB" w14:textId="77777777" w:rsidR="004E50AA" w:rsidRDefault="004E50AA" w:rsidP="004E50AA">
      <w:r>
        <w:t>The rising number of retirees around the world makes it harder for companies like the InterContinental Hotels Group to keep their staff stable and their information flowing. As a big chunk of the workforce gets closer to retirement age, the loss of experienced workers is going to be a big problem for keeping employees and building up the organization's knowledge base.</w:t>
      </w:r>
    </w:p>
    <w:p w14:paraId="10944AF6" w14:textId="77777777" w:rsidR="004E50AA" w:rsidRDefault="004E50AA" w:rsidP="004E50AA">
      <w:r>
        <w:t>There aren't enough trained workers in the hospitality industry because so many people are retiring (Heneghan, 2019). Companies like InterContinental have to work hard to make sure they have skilled workers who can meet the needs of their business. To keep the institution's knowledge and skills, this calls for a strategic focus on succession planning and sharing information.</w:t>
      </w:r>
    </w:p>
    <w:p w14:paraId="240C868D" w14:textId="77777777" w:rsidR="004E50AA" w:rsidRDefault="004E50AA" w:rsidP="004E50AA">
      <w:r>
        <w:t>When experienced workers retire, it leaves organisations without enough information, especially in roles that need specialised skills and a lot of experience (Hughes, 2013). This lack of knowledge can cause operational inefficiencies, which can lower the level of service and maybe even make customers less happy in the hospitality industry.</w:t>
      </w:r>
    </w:p>
    <w:p w14:paraId="0F929822" w14:textId="77777777" w:rsidR="004E50AA" w:rsidRDefault="004E50AA" w:rsidP="004E50AA">
      <w:r>
        <w:t>Organisations need to come up with strong strategies for knowledge sharing and succession planning to lessen the effects of this change in the workforce. To keep institutional knowledge alive and make the shift easier for new employees, it's important to have mentoring programmes, platforms for sharing knowledge, and detailed records of important processes (Heneghan, 2019).</w:t>
      </w:r>
    </w:p>
    <w:p w14:paraId="05E2F9B7" w14:textId="77777777" w:rsidR="004E50AA" w:rsidRDefault="004E50AA" w:rsidP="004E50AA">
      <w:r>
        <w:t>Also, InterContinental and other companies like it need to change how they hire, train, and develop employees in order to get and keep the next wave of talent. As more people around the world leave, it will be important to keep a skilled workforce that can adapt to the changing needs of the hospitality industry. Programmes that make it easy for new people to step into key roles and encourage ongoing learning and skill development will be key to this.</w:t>
      </w:r>
    </w:p>
    <w:p w14:paraId="6F929F25" w14:textId="77777777" w:rsidR="004E50AA" w:rsidRDefault="004E50AA" w:rsidP="004E50AA"/>
    <w:p w14:paraId="66F03B16" w14:textId="77777777" w:rsidR="004E50AA" w:rsidRDefault="004E50AA" w:rsidP="004E50AA"/>
    <w:p w14:paraId="2917A385" w14:textId="77777777" w:rsidR="004E50AA" w:rsidRDefault="004E50AA" w:rsidP="004E50AA">
      <w:pPr>
        <w:pStyle w:val="Heading2"/>
      </w:pPr>
      <w:bookmarkStart w:id="6" w:name="_Toc150011633"/>
      <w:r>
        <w:lastRenderedPageBreak/>
        <w:t>Solutions for Enhanced Retention and Industry Examples</w:t>
      </w:r>
      <w:bookmarkEnd w:id="6"/>
    </w:p>
    <w:p w14:paraId="0AE8E7B5" w14:textId="77777777" w:rsidR="004E50AA" w:rsidRDefault="004E50AA" w:rsidP="004E50AA">
      <w:r>
        <w:rPr>
          <w:b/>
          <w:bCs/>
        </w:rPr>
        <w:t>Solutions for Enhanced Retention</w:t>
      </w:r>
    </w:p>
    <w:p w14:paraId="240DBBAF" w14:textId="77777777" w:rsidR="004E50AA" w:rsidRDefault="004E50AA" w:rsidP="004E50AA">
      <w:r>
        <w:t>Increasing employee engagement in companies like the InterContinental Hotels Group needs a variety of approaches. It is very important to have competitive pay packages and thorough professional growth programmes (Deery, 2015). Strong employee aid programmes, flexible work arrangements, and creating a supportive work culture all make employees happier and more likely to stay with the company. A good work setting includes promoting health and wellness benefits and keeping lines of communication open.</w:t>
      </w:r>
    </w:p>
    <w:p w14:paraId="3DE5F381" w14:textId="77777777" w:rsidR="004E50AA" w:rsidRDefault="004E50AA" w:rsidP="004E50AA">
      <w:r>
        <w:rPr>
          <w:b/>
          <w:bCs/>
        </w:rPr>
        <w:t>Industry Examples</w:t>
      </w:r>
    </w:p>
    <w:p w14:paraId="39BB67EB" w14:textId="77777777" w:rsidR="004E50AA" w:rsidRDefault="004E50AA" w:rsidP="004E50AA">
      <w:r>
        <w:t>Marriott International, Hilton Worldwide, and Radisson Hotel Group all have great tactics for keeping employees. Marriott's many skill-building and cross-training programmes, Hilton's use of flexible work schedules, and Radisson's personalised career development plans are all good examples of tactics that keep employees (Kravariti, 2022). These examples from other industries can help InterContinental learn how to copy successful tactics while adapting them to fit their employees' needs and the way they're organised.</w:t>
      </w:r>
      <w:r>
        <w:rPr>
          <w:vanish/>
        </w:rPr>
        <w:t>Top of Form</w:t>
      </w:r>
    </w:p>
    <w:p w14:paraId="658E63DB" w14:textId="77777777" w:rsidR="004E50AA" w:rsidRDefault="004E50AA" w:rsidP="004E50AA"/>
    <w:p w14:paraId="2299BF52" w14:textId="77777777" w:rsidR="004E50AA" w:rsidRDefault="004E50AA" w:rsidP="004E50AA"/>
    <w:p w14:paraId="7F4D82CE" w14:textId="77777777" w:rsidR="004E50AA" w:rsidRDefault="004E50AA" w:rsidP="004E50AA">
      <w:r>
        <w:rPr>
          <w:rFonts w:ascii="Times New Roman" w:hAnsi="Times New Roman" w:cs="Times New Roman"/>
          <w:szCs w:val="24"/>
        </w:rPr>
        <w:br w:type="page"/>
      </w:r>
    </w:p>
    <w:p w14:paraId="5BA006C1" w14:textId="77777777" w:rsidR="004E50AA" w:rsidRDefault="004E50AA" w:rsidP="004E50AA">
      <w:pPr>
        <w:pStyle w:val="Heading1"/>
      </w:pPr>
      <w:bookmarkStart w:id="7" w:name="_Toc150011634"/>
      <w:r>
        <w:lastRenderedPageBreak/>
        <w:t>Evaluation and Conclusion</w:t>
      </w:r>
      <w:bookmarkEnd w:id="7"/>
    </w:p>
    <w:p w14:paraId="253005F0" w14:textId="77777777" w:rsidR="004E50AA" w:rsidRDefault="004E50AA" w:rsidP="004E50AA">
      <w:r>
        <w:t>Researchers were able to learn more about how different outside factors affect the InterContinental Hotels Group's ability to keep employees. When people look at how Brexit, the COVID-19 pandemic, changes in the economy, and the upcoming global retirement wave have affected the hotel industry, it's clear that these events have changed the dynamics of retention in a big way. Because of these outside factors, the InterContinental Hotels Group needs to come up with strategic responses and flexible ways to keep employees in order to keep a loyal and inspired staff (Crasii, 2022).</w:t>
      </w:r>
    </w:p>
    <w:p w14:paraId="3E608A46" w14:textId="77777777" w:rsidR="004E50AA" w:rsidRDefault="004E50AA" w:rsidP="004E50AA">
      <w:r>
        <w:t>Because of the uncertainty caused by Brexit, talent mobility and recruitment tactics had to be changed, which meant that InterContinental had to replan its workforce. The COVID-19 pandemic changed the way people worked, so plans had to be made for remote work, making sure everyone's health and safety, and changing programmes to help employees (Agarwal, 2021). Changes in the economy made people worry about their job stability, which led to demands for competitive pay packages and supportive work environments. The impending wave of retirement around the world made it clear how important it is to plan for succession and share knowledge in order to make sure a smooth shift while keeping important institutional knowledge.</w:t>
      </w:r>
    </w:p>
    <w:p w14:paraId="18A58137" w14:textId="77777777" w:rsidR="004E50AA" w:rsidRDefault="004E50AA" w:rsidP="004E50AA">
      <w:r>
        <w:t>The answers that are suggested are based on multifaceted approaches. As well as keeping a supportive work atmosphere and flexible schedules, it is important to offer competitive pay packages and professional development programmes (Deery, 2015). A good place to work is one that stresses health and wellness benefits and has clear lines of contact. Industry leaders like Marriott, Hilton, and Radisson show that skill development, flexible work schedules, and personalised job development plans are all effective ways to keep employees.</w:t>
      </w:r>
    </w:p>
    <w:p w14:paraId="205AD008" w14:textId="77777777" w:rsidR="004E50AA" w:rsidRDefault="004E50AA" w:rsidP="004E50AA">
      <w:r>
        <w:t>It is clear what this means for InterContinental, their retention tactics need to be rethought in order to deal with these outside forces. Better ways to keep employees are needed to make sure organisations have a loyal, skilled, and driven staff (Kravariti, 2022). InterContinental will be able to handle these problems and become a leader in the industry when it comes to keeping employees and making organisations strong by having strong succession planning, full professional growth, and a supportive work environment.</w:t>
      </w:r>
    </w:p>
    <w:p w14:paraId="56EB8D75" w14:textId="77777777" w:rsidR="004E50AA" w:rsidRDefault="004E50AA" w:rsidP="004E50AA">
      <w:r>
        <w:t>Finally, InterContinental will be better able to keep good employees, deal with problems, and become a leader in the changing hospitality business if it understands how these outside factors have a big effect and uses custom solutions.</w:t>
      </w:r>
    </w:p>
    <w:p w14:paraId="259EB771" w14:textId="77777777" w:rsidR="004E50AA" w:rsidRDefault="004E50AA" w:rsidP="004E50AA"/>
    <w:p w14:paraId="54F04024" w14:textId="77777777" w:rsidR="004E50AA" w:rsidRDefault="004E50AA" w:rsidP="004E50AA"/>
    <w:p w14:paraId="1FD999F8" w14:textId="77777777" w:rsidR="004E50AA" w:rsidRDefault="004E50AA" w:rsidP="004E50AA">
      <w:pPr>
        <w:rPr>
          <w:vanish/>
        </w:rPr>
      </w:pPr>
      <w:r>
        <w:rPr>
          <w:vanish/>
        </w:rPr>
        <w:t>Top of Form</w:t>
      </w:r>
    </w:p>
    <w:p w14:paraId="79F4805A" w14:textId="77777777" w:rsidR="004E50AA" w:rsidRDefault="004E50AA" w:rsidP="004E50AA"/>
    <w:p w14:paraId="33ED04EB" w14:textId="77777777" w:rsidR="004E50AA" w:rsidRDefault="004E50AA" w:rsidP="004E50AA"/>
    <w:p w14:paraId="26E2678A" w14:textId="77777777" w:rsidR="004E50AA" w:rsidRDefault="004E50AA" w:rsidP="004E50AA"/>
    <w:p w14:paraId="56AAED80" w14:textId="77777777" w:rsidR="004E50AA" w:rsidRDefault="004E50AA" w:rsidP="004E50AA">
      <w:r>
        <w:rPr>
          <w:rFonts w:ascii="Times New Roman" w:hAnsi="Times New Roman" w:cs="Times New Roman"/>
          <w:szCs w:val="24"/>
        </w:rPr>
        <w:br w:type="page"/>
      </w:r>
    </w:p>
    <w:p w14:paraId="76663591" w14:textId="77777777" w:rsidR="004E50AA" w:rsidRDefault="004E50AA" w:rsidP="004E50AA">
      <w:pPr>
        <w:pStyle w:val="Heading1"/>
      </w:pPr>
      <w:bookmarkStart w:id="8" w:name="_Toc150011635"/>
      <w:r>
        <w:lastRenderedPageBreak/>
        <w:t>References</w:t>
      </w:r>
      <w:bookmarkEnd w:id="8"/>
    </w:p>
    <w:p w14:paraId="4A21F55C" w14:textId="77777777" w:rsidR="004E50AA" w:rsidRDefault="004E50AA" w:rsidP="004E50AA">
      <w:pPr>
        <w:spacing w:after="180"/>
        <w:ind w:left="450" w:hanging="450"/>
        <w:rPr>
          <w:rFonts w:eastAsia="Times New Roman" w:cs="Arial"/>
          <w:color w:val="000000"/>
          <w:szCs w:val="24"/>
        </w:rPr>
      </w:pPr>
      <w:r>
        <w:rPr>
          <w:rFonts w:eastAsia="Times New Roman" w:cs="Arial"/>
          <w:color w:val="000000"/>
          <w:szCs w:val="24"/>
        </w:rPr>
        <w:t>Agarwal, P., 2021. Shattered but smiling: Human resource management and the wellbeing of hotel employees during COVID-19. </w:t>
      </w:r>
      <w:r>
        <w:rPr>
          <w:rFonts w:eastAsia="Times New Roman" w:cs="Arial"/>
          <w:i/>
          <w:iCs/>
          <w:color w:val="000000"/>
          <w:szCs w:val="24"/>
        </w:rPr>
        <w:t>International Journal of Hospitality Management</w:t>
      </w:r>
      <w:r>
        <w:rPr>
          <w:rFonts w:eastAsia="Times New Roman" w:cs="Arial"/>
          <w:color w:val="000000"/>
          <w:szCs w:val="24"/>
        </w:rPr>
        <w:t>, </w:t>
      </w:r>
      <w:r>
        <w:rPr>
          <w:rFonts w:eastAsia="Times New Roman" w:cs="Arial"/>
          <w:i/>
          <w:iCs/>
          <w:color w:val="000000"/>
          <w:szCs w:val="24"/>
        </w:rPr>
        <w:t>93</w:t>
      </w:r>
      <w:r>
        <w:rPr>
          <w:rFonts w:eastAsia="Times New Roman" w:cs="Arial"/>
          <w:color w:val="000000"/>
          <w:szCs w:val="24"/>
        </w:rPr>
        <w:t>, p.102765.</w:t>
      </w:r>
    </w:p>
    <w:p w14:paraId="13CEA3AA" w14:textId="77777777" w:rsidR="004E50AA" w:rsidRDefault="004E50AA" w:rsidP="004E50AA">
      <w:pPr>
        <w:spacing w:after="180"/>
        <w:ind w:left="450" w:hanging="450"/>
        <w:rPr>
          <w:rFonts w:eastAsia="Times New Roman" w:cs="Arial"/>
          <w:color w:val="000000"/>
          <w:szCs w:val="24"/>
        </w:rPr>
      </w:pPr>
      <w:r>
        <w:rPr>
          <w:rFonts w:eastAsia="Times New Roman" w:cs="Arial"/>
          <w:color w:val="000000"/>
          <w:szCs w:val="24"/>
        </w:rPr>
        <w:t>Anguera-Torrell, O., Aznar-Alarcón, J.P. and Vives-Perez, J., 2021. COVID-19: Hotel industry response to the pandemic evolution and to the public sector economic measures. </w:t>
      </w:r>
      <w:r>
        <w:rPr>
          <w:rFonts w:eastAsia="Times New Roman" w:cs="Arial"/>
          <w:i/>
          <w:iCs/>
          <w:color w:val="000000"/>
          <w:szCs w:val="24"/>
        </w:rPr>
        <w:t>Tourism Recreation Research</w:t>
      </w:r>
      <w:r>
        <w:rPr>
          <w:rFonts w:eastAsia="Times New Roman" w:cs="Arial"/>
          <w:color w:val="000000"/>
          <w:szCs w:val="24"/>
        </w:rPr>
        <w:t>, </w:t>
      </w:r>
      <w:r>
        <w:rPr>
          <w:rFonts w:eastAsia="Times New Roman" w:cs="Arial"/>
          <w:i/>
          <w:iCs/>
          <w:color w:val="000000"/>
          <w:szCs w:val="24"/>
        </w:rPr>
        <w:t>46</w:t>
      </w:r>
      <w:r>
        <w:rPr>
          <w:rFonts w:eastAsia="Times New Roman" w:cs="Arial"/>
          <w:color w:val="000000"/>
          <w:szCs w:val="24"/>
        </w:rPr>
        <w:t>(2), pp.148-157.</w:t>
      </w:r>
    </w:p>
    <w:p w14:paraId="7969710B" w14:textId="77777777" w:rsidR="004E50AA" w:rsidRDefault="004E50AA" w:rsidP="004E50AA">
      <w:pPr>
        <w:spacing w:after="180"/>
        <w:ind w:left="450" w:hanging="450"/>
        <w:rPr>
          <w:rFonts w:eastAsia="Times New Roman" w:cs="Arial"/>
          <w:color w:val="000000"/>
          <w:szCs w:val="24"/>
        </w:rPr>
      </w:pPr>
      <w:r>
        <w:rPr>
          <w:rFonts w:eastAsia="Times New Roman" w:cs="Arial"/>
          <w:color w:val="000000"/>
          <w:szCs w:val="24"/>
        </w:rPr>
        <w:t>Crasii, O. and Nawar, Y.S., 2022. Exploring the Effect of Business Strategy on Employees’ Retention During Pandemic and After Brexit: The case Home Care Sector in UK. </w:t>
      </w:r>
      <w:r>
        <w:rPr>
          <w:rFonts w:eastAsia="Times New Roman" w:cs="Arial"/>
          <w:i/>
          <w:iCs/>
          <w:color w:val="000000"/>
          <w:szCs w:val="24"/>
        </w:rPr>
        <w:t>The Business &amp; Management Review</w:t>
      </w:r>
      <w:r>
        <w:rPr>
          <w:rFonts w:eastAsia="Times New Roman" w:cs="Arial"/>
          <w:color w:val="000000"/>
          <w:szCs w:val="24"/>
        </w:rPr>
        <w:t>, </w:t>
      </w:r>
      <w:r>
        <w:rPr>
          <w:rFonts w:eastAsia="Times New Roman" w:cs="Arial"/>
          <w:i/>
          <w:iCs/>
          <w:color w:val="000000"/>
          <w:szCs w:val="24"/>
        </w:rPr>
        <w:t>13</w:t>
      </w:r>
      <w:r>
        <w:rPr>
          <w:rFonts w:eastAsia="Times New Roman" w:cs="Arial"/>
          <w:color w:val="000000"/>
          <w:szCs w:val="24"/>
        </w:rPr>
        <w:t>(2), pp.134-144.</w:t>
      </w:r>
    </w:p>
    <w:p w14:paraId="5D22AD5A" w14:textId="77777777" w:rsidR="004E50AA" w:rsidRDefault="004E50AA" w:rsidP="004E50AA">
      <w:pPr>
        <w:spacing w:after="180"/>
        <w:ind w:left="450" w:hanging="450"/>
        <w:rPr>
          <w:rFonts w:eastAsia="Times New Roman" w:cs="Arial"/>
          <w:color w:val="000000"/>
          <w:szCs w:val="24"/>
        </w:rPr>
      </w:pPr>
      <w:r>
        <w:rPr>
          <w:rFonts w:eastAsia="Times New Roman" w:cs="Arial"/>
          <w:color w:val="000000"/>
          <w:szCs w:val="24"/>
        </w:rPr>
        <w:t>Deery, M. and Jago, L., 2015. Revisiting talent management, work-life balance and retention strategies. </w:t>
      </w:r>
      <w:r>
        <w:rPr>
          <w:rFonts w:eastAsia="Times New Roman" w:cs="Arial"/>
          <w:i/>
          <w:iCs/>
          <w:color w:val="000000"/>
          <w:szCs w:val="24"/>
        </w:rPr>
        <w:t>International Journal of Contemporary Hospitality Management</w:t>
      </w:r>
      <w:r>
        <w:rPr>
          <w:rFonts w:eastAsia="Times New Roman" w:cs="Arial"/>
          <w:color w:val="000000"/>
          <w:szCs w:val="24"/>
        </w:rPr>
        <w:t>, </w:t>
      </w:r>
      <w:r>
        <w:rPr>
          <w:rFonts w:eastAsia="Times New Roman" w:cs="Arial"/>
          <w:i/>
          <w:iCs/>
          <w:color w:val="000000"/>
          <w:szCs w:val="24"/>
        </w:rPr>
        <w:t>27</w:t>
      </w:r>
      <w:r>
        <w:rPr>
          <w:rFonts w:eastAsia="Times New Roman" w:cs="Arial"/>
          <w:color w:val="000000"/>
          <w:szCs w:val="24"/>
        </w:rPr>
        <w:t>(3), pp.453-472.</w:t>
      </w:r>
    </w:p>
    <w:p w14:paraId="1661475D" w14:textId="77777777" w:rsidR="004E50AA" w:rsidRDefault="004E50AA" w:rsidP="004E50AA">
      <w:pPr>
        <w:spacing w:after="180"/>
        <w:ind w:left="450" w:hanging="450"/>
        <w:rPr>
          <w:rFonts w:eastAsia="Times New Roman" w:cs="Arial"/>
          <w:color w:val="000000"/>
          <w:szCs w:val="24"/>
        </w:rPr>
      </w:pPr>
      <w:r>
        <w:rPr>
          <w:rFonts w:eastAsia="Times New Roman" w:cs="Arial"/>
          <w:color w:val="000000"/>
          <w:szCs w:val="24"/>
        </w:rPr>
        <w:t>Filimonau, V., Derqui, B. and Matute, J., 2020. The COVID-19 pandemic and organisational commitment of senior hotel managers. </w:t>
      </w:r>
      <w:r>
        <w:rPr>
          <w:rFonts w:eastAsia="Times New Roman" w:cs="Arial"/>
          <w:i/>
          <w:iCs/>
          <w:color w:val="000000"/>
          <w:szCs w:val="24"/>
        </w:rPr>
        <w:t>International Journal of Hospitality Management</w:t>
      </w:r>
      <w:r>
        <w:rPr>
          <w:rFonts w:eastAsia="Times New Roman" w:cs="Arial"/>
          <w:color w:val="000000"/>
          <w:szCs w:val="24"/>
        </w:rPr>
        <w:t>, </w:t>
      </w:r>
      <w:r>
        <w:rPr>
          <w:rFonts w:eastAsia="Times New Roman" w:cs="Arial"/>
          <w:i/>
          <w:iCs/>
          <w:color w:val="000000"/>
          <w:szCs w:val="24"/>
        </w:rPr>
        <w:t>91</w:t>
      </w:r>
      <w:r>
        <w:rPr>
          <w:rFonts w:eastAsia="Times New Roman" w:cs="Arial"/>
          <w:color w:val="000000"/>
          <w:szCs w:val="24"/>
        </w:rPr>
        <w:t>, p.102659.</w:t>
      </w:r>
    </w:p>
    <w:p w14:paraId="2CFB8351" w14:textId="77777777" w:rsidR="004E50AA" w:rsidRDefault="004E50AA" w:rsidP="004E50AA">
      <w:pPr>
        <w:spacing w:after="180"/>
        <w:ind w:left="450" w:hanging="450"/>
        <w:rPr>
          <w:rFonts w:eastAsia="Times New Roman" w:cs="Arial"/>
          <w:color w:val="000000"/>
          <w:szCs w:val="24"/>
        </w:rPr>
      </w:pPr>
      <w:r>
        <w:rPr>
          <w:rFonts w:eastAsia="Times New Roman" w:cs="Arial"/>
          <w:color w:val="000000"/>
          <w:szCs w:val="24"/>
        </w:rPr>
        <w:t>Heneghan, M. and Orenstein, M.A., 2019. Organizing for impact: International organizations and global pension policy. </w:t>
      </w:r>
      <w:r>
        <w:rPr>
          <w:rFonts w:eastAsia="Times New Roman" w:cs="Arial"/>
          <w:i/>
          <w:iCs/>
          <w:color w:val="000000"/>
          <w:szCs w:val="24"/>
        </w:rPr>
        <w:t>Global Social Policy</w:t>
      </w:r>
      <w:r>
        <w:rPr>
          <w:rFonts w:eastAsia="Times New Roman" w:cs="Arial"/>
          <w:color w:val="000000"/>
          <w:szCs w:val="24"/>
        </w:rPr>
        <w:t>, </w:t>
      </w:r>
      <w:r>
        <w:rPr>
          <w:rFonts w:eastAsia="Times New Roman" w:cs="Arial"/>
          <w:i/>
          <w:iCs/>
          <w:color w:val="000000"/>
          <w:szCs w:val="24"/>
        </w:rPr>
        <w:t>19</w:t>
      </w:r>
      <w:r>
        <w:rPr>
          <w:rFonts w:eastAsia="Times New Roman" w:cs="Arial"/>
          <w:color w:val="000000"/>
          <w:szCs w:val="24"/>
        </w:rPr>
        <w:t>(1-2), pp.65-86.</w:t>
      </w:r>
    </w:p>
    <w:p w14:paraId="47E98DAC" w14:textId="77777777" w:rsidR="004E50AA" w:rsidRDefault="004E50AA" w:rsidP="004E50AA">
      <w:pPr>
        <w:spacing w:after="180"/>
        <w:ind w:left="450" w:hanging="450"/>
        <w:rPr>
          <w:rFonts w:eastAsia="Times New Roman" w:cs="Arial"/>
          <w:color w:val="000000"/>
          <w:szCs w:val="24"/>
        </w:rPr>
      </w:pPr>
      <w:r>
        <w:rPr>
          <w:rFonts w:eastAsia="Times New Roman" w:cs="Arial"/>
          <w:color w:val="000000"/>
          <w:szCs w:val="24"/>
        </w:rPr>
        <w:t>Howard, J., 2019. Artificial intelligence: Implications for the future of work. </w:t>
      </w:r>
      <w:r>
        <w:rPr>
          <w:rFonts w:eastAsia="Times New Roman" w:cs="Arial"/>
          <w:i/>
          <w:iCs/>
          <w:color w:val="000000"/>
          <w:szCs w:val="24"/>
        </w:rPr>
        <w:t>American journal of industrial medicine</w:t>
      </w:r>
      <w:r>
        <w:rPr>
          <w:rFonts w:eastAsia="Times New Roman" w:cs="Arial"/>
          <w:color w:val="000000"/>
          <w:szCs w:val="24"/>
        </w:rPr>
        <w:t>, </w:t>
      </w:r>
      <w:r>
        <w:rPr>
          <w:rFonts w:eastAsia="Times New Roman" w:cs="Arial"/>
          <w:i/>
          <w:iCs/>
          <w:color w:val="000000"/>
          <w:szCs w:val="24"/>
        </w:rPr>
        <w:t>62</w:t>
      </w:r>
      <w:r>
        <w:rPr>
          <w:rFonts w:eastAsia="Times New Roman" w:cs="Arial"/>
          <w:color w:val="000000"/>
          <w:szCs w:val="24"/>
        </w:rPr>
        <w:t>(11), pp.917-926.</w:t>
      </w:r>
    </w:p>
    <w:p w14:paraId="65ECD1C1" w14:textId="77777777" w:rsidR="004E50AA" w:rsidRDefault="004E50AA" w:rsidP="004E50AA">
      <w:pPr>
        <w:spacing w:after="180"/>
        <w:ind w:left="450" w:hanging="450"/>
        <w:rPr>
          <w:rFonts w:eastAsia="Times New Roman" w:cs="Arial"/>
          <w:color w:val="000000"/>
          <w:szCs w:val="24"/>
        </w:rPr>
      </w:pPr>
      <w:r>
        <w:rPr>
          <w:rFonts w:eastAsia="Times New Roman" w:cs="Arial"/>
          <w:color w:val="000000"/>
          <w:szCs w:val="24"/>
        </w:rPr>
        <w:t>Hughes, D., 2013. The changing UK careers landscape: Tidal waves, turbulence and transformation. </w:t>
      </w:r>
      <w:r>
        <w:rPr>
          <w:rFonts w:eastAsia="Times New Roman" w:cs="Arial"/>
          <w:i/>
          <w:iCs/>
          <w:color w:val="000000"/>
          <w:szCs w:val="24"/>
        </w:rPr>
        <w:t>British Journal of Guidance &amp; Counselling</w:t>
      </w:r>
      <w:r>
        <w:rPr>
          <w:rFonts w:eastAsia="Times New Roman" w:cs="Arial"/>
          <w:color w:val="000000"/>
          <w:szCs w:val="24"/>
        </w:rPr>
        <w:t>, </w:t>
      </w:r>
      <w:r>
        <w:rPr>
          <w:rFonts w:eastAsia="Times New Roman" w:cs="Arial"/>
          <w:i/>
          <w:iCs/>
          <w:color w:val="000000"/>
          <w:szCs w:val="24"/>
        </w:rPr>
        <w:t>41</w:t>
      </w:r>
      <w:r>
        <w:rPr>
          <w:rFonts w:eastAsia="Times New Roman" w:cs="Arial"/>
          <w:color w:val="000000"/>
          <w:szCs w:val="24"/>
        </w:rPr>
        <w:t>(3), pp.226-239.</w:t>
      </w:r>
    </w:p>
    <w:p w14:paraId="4937C3E3" w14:textId="77777777" w:rsidR="004E50AA" w:rsidRDefault="004E50AA" w:rsidP="004E50AA">
      <w:pPr>
        <w:spacing w:after="180"/>
        <w:ind w:left="450" w:hanging="450"/>
        <w:rPr>
          <w:rFonts w:eastAsia="Times New Roman" w:cs="Arial"/>
          <w:color w:val="000000"/>
          <w:szCs w:val="24"/>
          <w:lang w:val="en-US"/>
        </w:rPr>
      </w:pPr>
      <w:r>
        <w:rPr>
          <w:rFonts w:eastAsia="Times New Roman" w:cs="Arial"/>
          <w:color w:val="000000"/>
          <w:szCs w:val="24"/>
          <w:lang w:val="en-US"/>
        </w:rPr>
        <w:t xml:space="preserve">IHG (2023). </w:t>
      </w:r>
      <w:r>
        <w:rPr>
          <w:rFonts w:eastAsia="Times New Roman" w:cs="Arial"/>
          <w:i/>
          <w:iCs/>
          <w:color w:val="000000"/>
          <w:szCs w:val="24"/>
          <w:lang w:val="en-US"/>
        </w:rPr>
        <w:t>About us</w:t>
      </w:r>
      <w:r>
        <w:rPr>
          <w:rFonts w:eastAsia="Times New Roman" w:cs="Arial"/>
          <w:color w:val="000000"/>
          <w:szCs w:val="24"/>
          <w:lang w:val="en-US"/>
        </w:rPr>
        <w:t>. [online] InterContinental Hotels Group PLC. Available at: https://www.ihgplc.com/en/about-us.</w:t>
      </w:r>
    </w:p>
    <w:p w14:paraId="7B62AF15" w14:textId="77777777" w:rsidR="004E50AA" w:rsidRDefault="004E50AA" w:rsidP="004E50AA">
      <w:pPr>
        <w:spacing w:after="180"/>
        <w:ind w:left="450" w:hanging="450"/>
        <w:rPr>
          <w:rFonts w:eastAsia="Times New Roman" w:cs="Arial"/>
          <w:color w:val="000000"/>
          <w:szCs w:val="24"/>
        </w:rPr>
      </w:pPr>
      <w:r>
        <w:rPr>
          <w:rFonts w:eastAsia="Times New Roman" w:cs="Arial"/>
          <w:color w:val="000000"/>
          <w:szCs w:val="24"/>
        </w:rPr>
        <w:t>John-eke, E.C. and Bayo, P.L., 2021. Crisis management and corporate resil</w:t>
      </w:r>
      <w:r>
        <w:rPr>
          <w:rFonts w:eastAsia="Times New Roman" w:cs="Arial"/>
          <w:color w:val="000000"/>
          <w:szCs w:val="24"/>
        </w:rPr>
        <w:noBreakHyphen/>
        <w:t>ience in hotel presidential: the theoretical perspective. </w:t>
      </w:r>
      <w:r>
        <w:rPr>
          <w:rFonts w:eastAsia="Times New Roman" w:cs="Arial"/>
          <w:i/>
          <w:iCs/>
          <w:color w:val="000000"/>
          <w:szCs w:val="24"/>
        </w:rPr>
        <w:t>Int J Econom Bus Manag</w:t>
      </w:r>
      <w:r>
        <w:rPr>
          <w:rFonts w:eastAsia="Times New Roman" w:cs="Arial"/>
          <w:color w:val="000000"/>
          <w:szCs w:val="24"/>
        </w:rPr>
        <w:t>, </w:t>
      </w:r>
      <w:r>
        <w:rPr>
          <w:rFonts w:eastAsia="Times New Roman" w:cs="Arial"/>
          <w:i/>
          <w:iCs/>
          <w:color w:val="000000"/>
          <w:szCs w:val="24"/>
        </w:rPr>
        <w:t>7</w:t>
      </w:r>
      <w:r>
        <w:rPr>
          <w:rFonts w:eastAsia="Times New Roman" w:cs="Arial"/>
          <w:color w:val="000000"/>
          <w:szCs w:val="24"/>
        </w:rPr>
        <w:t>(3), pp.21-34.</w:t>
      </w:r>
    </w:p>
    <w:p w14:paraId="13E3ADBF" w14:textId="77777777" w:rsidR="004E50AA" w:rsidRDefault="004E50AA" w:rsidP="004E50AA">
      <w:pPr>
        <w:spacing w:after="180"/>
        <w:ind w:left="450" w:hanging="450"/>
        <w:rPr>
          <w:rFonts w:eastAsia="Times New Roman" w:cs="Arial"/>
          <w:color w:val="000000"/>
          <w:szCs w:val="24"/>
        </w:rPr>
      </w:pPr>
      <w:r>
        <w:rPr>
          <w:rFonts w:eastAsia="Times New Roman" w:cs="Arial"/>
          <w:color w:val="000000"/>
          <w:szCs w:val="24"/>
        </w:rPr>
        <w:t>Kravariti, F., Voutsina, K., Tasoulis, K., Dibia, C. and Johnston, K., 2022. Talent management in hospitality and tourism: a systematic literature review and research agenda. </w:t>
      </w:r>
      <w:r>
        <w:rPr>
          <w:rFonts w:eastAsia="Times New Roman" w:cs="Arial"/>
          <w:i/>
          <w:iCs/>
          <w:color w:val="000000"/>
          <w:szCs w:val="24"/>
        </w:rPr>
        <w:t>International Journal of Contemporary Hospitality Management</w:t>
      </w:r>
      <w:r>
        <w:rPr>
          <w:rFonts w:eastAsia="Times New Roman" w:cs="Arial"/>
          <w:color w:val="000000"/>
          <w:szCs w:val="24"/>
        </w:rPr>
        <w:t>, </w:t>
      </w:r>
      <w:r>
        <w:rPr>
          <w:rFonts w:eastAsia="Times New Roman" w:cs="Arial"/>
          <w:i/>
          <w:iCs/>
          <w:color w:val="000000"/>
          <w:szCs w:val="24"/>
        </w:rPr>
        <w:t>34</w:t>
      </w:r>
      <w:r>
        <w:rPr>
          <w:rFonts w:eastAsia="Times New Roman" w:cs="Arial"/>
          <w:color w:val="000000"/>
          <w:szCs w:val="24"/>
        </w:rPr>
        <w:t>(1), pp.321-360.</w:t>
      </w:r>
    </w:p>
    <w:p w14:paraId="208D2845" w14:textId="77777777" w:rsidR="004E50AA" w:rsidRDefault="004E50AA" w:rsidP="004E50AA">
      <w:pPr>
        <w:spacing w:after="180"/>
        <w:ind w:left="450" w:hanging="450"/>
        <w:rPr>
          <w:rFonts w:eastAsia="Times New Roman" w:cs="Arial"/>
          <w:color w:val="000000"/>
          <w:szCs w:val="24"/>
        </w:rPr>
      </w:pPr>
      <w:r>
        <w:rPr>
          <w:rFonts w:eastAsia="Times New Roman" w:cs="Arial"/>
          <w:color w:val="000000"/>
          <w:szCs w:val="24"/>
        </w:rPr>
        <w:t>Ridgway, M., 2019. Brexit: Human resourcing implications. </w:t>
      </w:r>
      <w:r>
        <w:rPr>
          <w:rFonts w:eastAsia="Times New Roman" w:cs="Arial"/>
          <w:i/>
          <w:iCs/>
          <w:color w:val="000000"/>
          <w:szCs w:val="24"/>
        </w:rPr>
        <w:t>Employee Relations: The International Journal</w:t>
      </w:r>
      <w:r>
        <w:rPr>
          <w:rFonts w:eastAsia="Times New Roman" w:cs="Arial"/>
          <w:color w:val="000000"/>
          <w:szCs w:val="24"/>
        </w:rPr>
        <w:t>, </w:t>
      </w:r>
      <w:r>
        <w:rPr>
          <w:rFonts w:eastAsia="Times New Roman" w:cs="Arial"/>
          <w:i/>
          <w:iCs/>
          <w:color w:val="000000"/>
          <w:szCs w:val="24"/>
        </w:rPr>
        <w:t>41</w:t>
      </w:r>
      <w:r>
        <w:rPr>
          <w:rFonts w:eastAsia="Times New Roman" w:cs="Arial"/>
          <w:color w:val="000000"/>
          <w:szCs w:val="24"/>
        </w:rPr>
        <w:t>(5), pp.1033-1045.</w:t>
      </w:r>
    </w:p>
    <w:p w14:paraId="624E952A" w14:textId="77777777" w:rsidR="004E50AA" w:rsidRDefault="004E50AA" w:rsidP="004E50AA">
      <w:pPr>
        <w:spacing w:after="180"/>
        <w:ind w:left="450" w:hanging="450"/>
        <w:rPr>
          <w:rFonts w:eastAsia="Times New Roman" w:cs="Arial"/>
          <w:color w:val="000000"/>
          <w:szCs w:val="24"/>
        </w:rPr>
      </w:pPr>
      <w:r>
        <w:rPr>
          <w:rFonts w:eastAsia="Times New Roman" w:cs="Arial"/>
          <w:color w:val="000000"/>
          <w:szCs w:val="24"/>
        </w:rPr>
        <w:t>Stiglitz, J.E., 2015. Macroeconomic fluctuations, inequality, and human development. In </w:t>
      </w:r>
      <w:r>
        <w:rPr>
          <w:rFonts w:eastAsia="Times New Roman" w:cs="Arial"/>
          <w:i/>
          <w:iCs/>
          <w:color w:val="000000"/>
          <w:szCs w:val="24"/>
        </w:rPr>
        <w:t>Macroeconomics and Human Development</w:t>
      </w:r>
      <w:r>
        <w:rPr>
          <w:rFonts w:eastAsia="Times New Roman" w:cs="Arial"/>
          <w:color w:val="000000"/>
          <w:szCs w:val="24"/>
        </w:rPr>
        <w:t> (pp. 31-58). Routledge.</w:t>
      </w:r>
    </w:p>
    <w:p w14:paraId="7BBD4BA3" w14:textId="77777777" w:rsidR="004E50AA" w:rsidRDefault="004E50AA" w:rsidP="004E50AA">
      <w:pPr>
        <w:spacing w:after="180"/>
        <w:ind w:left="450" w:hanging="450"/>
        <w:rPr>
          <w:rFonts w:eastAsia="Times New Roman" w:cs="Arial"/>
          <w:color w:val="000000"/>
          <w:szCs w:val="24"/>
        </w:rPr>
      </w:pPr>
      <w:r>
        <w:rPr>
          <w:rFonts w:eastAsia="Times New Roman" w:cs="Arial"/>
          <w:color w:val="000000"/>
          <w:szCs w:val="24"/>
        </w:rPr>
        <w:t>Tran, N.H., 2020. Employee Motivation (Case: InterContinental Danang Sun Peninsula Resort, Vietnam).</w:t>
      </w:r>
    </w:p>
    <w:p w14:paraId="280BB52F" w14:textId="77777777" w:rsidR="004E50AA" w:rsidRDefault="004E50AA" w:rsidP="004E50AA">
      <w:pPr>
        <w:rPr>
          <w:rFonts w:eastAsiaTheme="minorEastAsia"/>
          <w:kern w:val="2"/>
          <w:lang w:eastAsia="en-GB"/>
          <w14:ligatures w14:val="standardContextual"/>
        </w:rPr>
      </w:pPr>
      <w:r>
        <w:br w:type="page"/>
      </w:r>
    </w:p>
    <w:p w14:paraId="6432A769" w14:textId="77777777" w:rsidR="004E50AA" w:rsidRDefault="004E50AA" w:rsidP="004E50AA">
      <w:pPr>
        <w:pStyle w:val="Heading1"/>
      </w:pPr>
      <w:bookmarkStart w:id="9" w:name="_Toc150011636"/>
      <w:r>
        <w:lastRenderedPageBreak/>
        <w:t>Appendix</w:t>
      </w:r>
      <w:bookmarkEnd w:id="9"/>
    </w:p>
    <w:tbl>
      <w:tblPr>
        <w:tblStyle w:val="TableGrid"/>
        <w:tblW w:w="0" w:type="auto"/>
        <w:tblInd w:w="0" w:type="dxa"/>
        <w:tblLook w:val="04A0" w:firstRow="1" w:lastRow="0" w:firstColumn="1" w:lastColumn="0" w:noHBand="0" w:noVBand="1"/>
      </w:tblPr>
      <w:tblGrid>
        <w:gridCol w:w="2291"/>
        <w:gridCol w:w="2216"/>
        <w:gridCol w:w="2292"/>
        <w:gridCol w:w="2217"/>
      </w:tblGrid>
      <w:tr w:rsidR="004E50AA" w14:paraId="5F2CD969" w14:textId="77777777" w:rsidTr="004E50AA">
        <w:tc>
          <w:tcPr>
            <w:tcW w:w="9350" w:type="dxa"/>
            <w:gridSpan w:val="4"/>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064D5119" w14:textId="77777777" w:rsidR="004E50AA" w:rsidRDefault="004E50AA">
            <w:pPr>
              <w:rPr>
                <w:b/>
                <w:bCs/>
                <w:sz w:val="28"/>
                <w:szCs w:val="26"/>
              </w:rPr>
            </w:pPr>
            <w:r>
              <w:rPr>
                <w:b/>
                <w:bCs/>
                <w:sz w:val="28"/>
                <w:szCs w:val="26"/>
              </w:rPr>
              <w:t>Student Self Evaluation Form</w:t>
            </w:r>
          </w:p>
        </w:tc>
      </w:tr>
      <w:tr w:rsidR="004E50AA" w14:paraId="7F8A41CD" w14:textId="77777777" w:rsidTr="004E50AA">
        <w:tc>
          <w:tcPr>
            <w:tcW w:w="2337"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569D8D3A" w14:textId="77777777" w:rsidR="004E50AA" w:rsidRDefault="004E50AA">
            <w:pPr>
              <w:rPr>
                <w:sz w:val="26"/>
                <w:szCs w:val="24"/>
              </w:rPr>
            </w:pPr>
            <w:r>
              <w:rPr>
                <w:sz w:val="26"/>
                <w:szCs w:val="24"/>
              </w:rPr>
              <w:t>Student Name:</w:t>
            </w:r>
          </w:p>
        </w:tc>
        <w:tc>
          <w:tcPr>
            <w:tcW w:w="2337" w:type="dxa"/>
            <w:tcBorders>
              <w:top w:val="single" w:sz="4" w:space="0" w:color="auto"/>
              <w:left w:val="single" w:sz="4" w:space="0" w:color="auto"/>
              <w:bottom w:val="single" w:sz="4" w:space="0" w:color="auto"/>
              <w:right w:val="single" w:sz="4" w:space="0" w:color="auto"/>
            </w:tcBorders>
          </w:tcPr>
          <w:p w14:paraId="753FBC1D" w14:textId="77777777" w:rsidR="004E50AA" w:rsidRDefault="004E50AA">
            <w:pPr>
              <w:rPr>
                <w:sz w:val="26"/>
                <w:szCs w:val="24"/>
              </w:rPr>
            </w:pPr>
          </w:p>
        </w:tc>
        <w:tc>
          <w:tcPr>
            <w:tcW w:w="2338"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2920A0C5" w14:textId="77777777" w:rsidR="004E50AA" w:rsidRDefault="004E50AA">
            <w:pPr>
              <w:rPr>
                <w:sz w:val="26"/>
                <w:szCs w:val="24"/>
              </w:rPr>
            </w:pPr>
            <w:r>
              <w:rPr>
                <w:sz w:val="26"/>
                <w:szCs w:val="24"/>
              </w:rPr>
              <w:t>Student Number:</w:t>
            </w:r>
          </w:p>
        </w:tc>
        <w:tc>
          <w:tcPr>
            <w:tcW w:w="2338" w:type="dxa"/>
            <w:tcBorders>
              <w:top w:val="single" w:sz="4" w:space="0" w:color="auto"/>
              <w:left w:val="single" w:sz="4" w:space="0" w:color="auto"/>
              <w:bottom w:val="single" w:sz="4" w:space="0" w:color="auto"/>
              <w:right w:val="single" w:sz="4" w:space="0" w:color="auto"/>
            </w:tcBorders>
          </w:tcPr>
          <w:p w14:paraId="63C45F56" w14:textId="77777777" w:rsidR="004E50AA" w:rsidRDefault="004E50AA">
            <w:pPr>
              <w:rPr>
                <w:sz w:val="26"/>
                <w:szCs w:val="24"/>
              </w:rPr>
            </w:pPr>
          </w:p>
        </w:tc>
      </w:tr>
      <w:tr w:rsidR="004E50AA" w14:paraId="4D717163" w14:textId="77777777" w:rsidTr="004E50AA">
        <w:tc>
          <w:tcPr>
            <w:tcW w:w="2337"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760B5453" w14:textId="77777777" w:rsidR="004E50AA" w:rsidRDefault="004E50AA">
            <w:pPr>
              <w:rPr>
                <w:sz w:val="26"/>
                <w:szCs w:val="24"/>
              </w:rPr>
            </w:pPr>
            <w:r>
              <w:rPr>
                <w:sz w:val="26"/>
                <w:szCs w:val="24"/>
              </w:rPr>
              <w:t>Programme:</w:t>
            </w:r>
          </w:p>
        </w:tc>
        <w:tc>
          <w:tcPr>
            <w:tcW w:w="2337" w:type="dxa"/>
            <w:tcBorders>
              <w:top w:val="single" w:sz="4" w:space="0" w:color="auto"/>
              <w:left w:val="single" w:sz="4" w:space="0" w:color="auto"/>
              <w:bottom w:val="single" w:sz="4" w:space="0" w:color="auto"/>
              <w:right w:val="single" w:sz="4" w:space="0" w:color="auto"/>
            </w:tcBorders>
          </w:tcPr>
          <w:p w14:paraId="2BAEE1ED" w14:textId="77777777" w:rsidR="004E50AA" w:rsidRDefault="004E50AA">
            <w:pPr>
              <w:rPr>
                <w:sz w:val="26"/>
                <w:szCs w:val="24"/>
              </w:rPr>
            </w:pPr>
          </w:p>
        </w:tc>
        <w:tc>
          <w:tcPr>
            <w:tcW w:w="2338"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6F1DF89E" w14:textId="77777777" w:rsidR="004E50AA" w:rsidRDefault="004E50AA">
            <w:pPr>
              <w:rPr>
                <w:sz w:val="26"/>
                <w:szCs w:val="24"/>
              </w:rPr>
            </w:pPr>
            <w:r>
              <w:rPr>
                <w:sz w:val="26"/>
                <w:szCs w:val="24"/>
              </w:rPr>
              <w:t>Year of Programme:</w:t>
            </w:r>
          </w:p>
        </w:tc>
        <w:tc>
          <w:tcPr>
            <w:tcW w:w="2338" w:type="dxa"/>
            <w:tcBorders>
              <w:top w:val="single" w:sz="4" w:space="0" w:color="auto"/>
              <w:left w:val="single" w:sz="4" w:space="0" w:color="auto"/>
              <w:bottom w:val="single" w:sz="4" w:space="0" w:color="auto"/>
              <w:right w:val="single" w:sz="4" w:space="0" w:color="auto"/>
            </w:tcBorders>
          </w:tcPr>
          <w:p w14:paraId="6BD7B617" w14:textId="77777777" w:rsidR="004E50AA" w:rsidRDefault="004E50AA">
            <w:pPr>
              <w:rPr>
                <w:sz w:val="26"/>
                <w:szCs w:val="24"/>
              </w:rPr>
            </w:pPr>
          </w:p>
        </w:tc>
      </w:tr>
      <w:tr w:rsidR="004E50AA" w14:paraId="7E75DBEE" w14:textId="77777777" w:rsidTr="004E50AA">
        <w:tc>
          <w:tcPr>
            <w:tcW w:w="2337"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1417C580" w14:textId="77777777" w:rsidR="004E50AA" w:rsidRDefault="004E50AA">
            <w:pPr>
              <w:rPr>
                <w:sz w:val="26"/>
                <w:szCs w:val="24"/>
              </w:rPr>
            </w:pPr>
            <w:r>
              <w:rPr>
                <w:sz w:val="26"/>
                <w:szCs w:val="24"/>
              </w:rPr>
              <w:t>Assignment Title:</w:t>
            </w:r>
          </w:p>
        </w:tc>
        <w:tc>
          <w:tcPr>
            <w:tcW w:w="7013" w:type="dxa"/>
            <w:gridSpan w:val="3"/>
            <w:tcBorders>
              <w:top w:val="single" w:sz="4" w:space="0" w:color="auto"/>
              <w:left w:val="single" w:sz="4" w:space="0" w:color="auto"/>
              <w:bottom w:val="single" w:sz="4" w:space="0" w:color="auto"/>
              <w:right w:val="single" w:sz="4" w:space="0" w:color="auto"/>
            </w:tcBorders>
            <w:hideMark/>
          </w:tcPr>
          <w:p w14:paraId="6F006D81" w14:textId="77777777" w:rsidR="004E50AA" w:rsidRDefault="004E50AA">
            <w:pPr>
              <w:spacing w:line="240" w:lineRule="auto"/>
              <w:rPr>
                <w:sz w:val="26"/>
                <w:szCs w:val="24"/>
              </w:rPr>
            </w:pPr>
            <w:r>
              <w:rPr>
                <w:sz w:val="26"/>
                <w:szCs w:val="24"/>
              </w:rPr>
              <w:t>Is the external challenge a good or bad? Analyse the impacts of external environment on employee recruitment and retention.</w:t>
            </w:r>
          </w:p>
        </w:tc>
      </w:tr>
    </w:tbl>
    <w:p w14:paraId="0A833339" w14:textId="77777777" w:rsidR="004E50AA" w:rsidRDefault="004E50AA" w:rsidP="004E50AA">
      <w:pPr>
        <w:rPr>
          <w:rFonts w:ascii="Arial" w:eastAsiaTheme="minorEastAsia" w:hAnsi="Arial"/>
          <w:kern w:val="2"/>
          <w:sz w:val="24"/>
          <w:lang w:eastAsia="en-GB"/>
          <w14:ligatures w14:val="standardContextual"/>
        </w:rPr>
      </w:pPr>
    </w:p>
    <w:tbl>
      <w:tblPr>
        <w:tblStyle w:val="TableGrid"/>
        <w:tblW w:w="9450" w:type="dxa"/>
        <w:tblInd w:w="0" w:type="dxa"/>
        <w:tblLayout w:type="fixed"/>
        <w:tblLook w:val="04A0" w:firstRow="1" w:lastRow="0" w:firstColumn="1" w:lastColumn="0" w:noHBand="0" w:noVBand="1"/>
      </w:tblPr>
      <w:tblGrid>
        <w:gridCol w:w="2155"/>
        <w:gridCol w:w="990"/>
        <w:gridCol w:w="1097"/>
        <w:gridCol w:w="1064"/>
        <w:gridCol w:w="992"/>
        <w:gridCol w:w="990"/>
        <w:gridCol w:w="1007"/>
        <w:gridCol w:w="1155"/>
      </w:tblGrid>
      <w:tr w:rsidR="004E50AA" w14:paraId="618BA45F" w14:textId="77777777" w:rsidTr="004E50AA">
        <w:tc>
          <w:tcPr>
            <w:tcW w:w="2155" w:type="dxa"/>
            <w:vMerge w:val="restart"/>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6650CBA0" w14:textId="77777777" w:rsidR="004E50AA" w:rsidRDefault="004E50AA">
            <w:pPr>
              <w:spacing w:after="0" w:line="276" w:lineRule="auto"/>
              <w:rPr>
                <w:b/>
                <w:bCs/>
                <w:lang w:val="en-US"/>
              </w:rPr>
            </w:pPr>
            <w:r>
              <w:rPr>
                <w:b/>
                <w:bCs/>
                <w:lang w:val="en-US"/>
              </w:rPr>
              <w:t>Common Assessment Criteria Applied</w:t>
            </w:r>
          </w:p>
        </w:tc>
        <w:tc>
          <w:tcPr>
            <w:tcW w:w="7290" w:type="dxa"/>
            <w:gridSpan w:val="7"/>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44A0A2A0" w14:textId="77777777" w:rsidR="004E50AA" w:rsidRDefault="004E50AA">
            <w:pPr>
              <w:rPr>
                <w:b/>
                <w:bCs/>
              </w:rPr>
            </w:pPr>
            <w:r>
              <w:rPr>
                <w:b/>
                <w:bCs/>
              </w:rPr>
              <w:t>Level of Achievement</w:t>
            </w:r>
          </w:p>
        </w:tc>
      </w:tr>
      <w:tr w:rsidR="004E50AA" w14:paraId="5717BA1B" w14:textId="77777777" w:rsidTr="004E50AA">
        <w:tc>
          <w:tcPr>
            <w:tcW w:w="2155" w:type="dxa"/>
            <w:vMerge/>
            <w:tcBorders>
              <w:top w:val="single" w:sz="4" w:space="0" w:color="auto"/>
              <w:left w:val="single" w:sz="4" w:space="0" w:color="auto"/>
              <w:bottom w:val="single" w:sz="4" w:space="0" w:color="auto"/>
              <w:right w:val="single" w:sz="4" w:space="0" w:color="auto"/>
            </w:tcBorders>
            <w:vAlign w:val="center"/>
            <w:hideMark/>
          </w:tcPr>
          <w:p w14:paraId="452DBEF5" w14:textId="77777777" w:rsidR="004E50AA" w:rsidRDefault="004E50AA">
            <w:pPr>
              <w:spacing w:line="240" w:lineRule="auto"/>
              <w:rPr>
                <w:rFonts w:ascii="Arial" w:eastAsiaTheme="minorEastAsia" w:hAnsi="Arial"/>
                <w:b/>
                <w:bCs/>
                <w:kern w:val="2"/>
                <w:sz w:val="24"/>
                <w14:ligatures w14:val="standardContextual"/>
              </w:rPr>
            </w:pPr>
          </w:p>
        </w:tc>
        <w:tc>
          <w:tcPr>
            <w:tcW w:w="2087" w:type="dxa"/>
            <w:gridSpan w:val="2"/>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07038CCE" w14:textId="77777777" w:rsidR="004E50AA" w:rsidRDefault="004E50AA">
            <w:pPr>
              <w:rPr>
                <w:b/>
                <w:bCs/>
              </w:rPr>
            </w:pPr>
            <w:r>
              <w:rPr>
                <w:b/>
                <w:bCs/>
              </w:rPr>
              <w:t>REFER</w:t>
            </w:r>
          </w:p>
        </w:tc>
        <w:tc>
          <w:tcPr>
            <w:tcW w:w="1063"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2E3D7F79" w14:textId="77777777" w:rsidR="004E50AA" w:rsidRDefault="004E50AA">
            <w:r>
              <w:t>3</w:t>
            </w:r>
            <w:r>
              <w:rPr>
                <w:vertAlign w:val="superscript"/>
              </w:rPr>
              <w:t>rd</w:t>
            </w:r>
            <w:r>
              <w:t xml:space="preserve"> </w:t>
            </w:r>
          </w:p>
        </w:tc>
        <w:tc>
          <w:tcPr>
            <w:tcW w:w="991"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0850071F" w14:textId="77777777" w:rsidR="004E50AA" w:rsidRDefault="004E50AA">
            <w:r>
              <w:t>2:2</w:t>
            </w:r>
          </w:p>
        </w:tc>
        <w:tc>
          <w:tcPr>
            <w:tcW w:w="989"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012DF2A7" w14:textId="77777777" w:rsidR="004E50AA" w:rsidRDefault="004E50AA">
            <w:r>
              <w:t>2:1</w:t>
            </w:r>
          </w:p>
        </w:tc>
        <w:tc>
          <w:tcPr>
            <w:tcW w:w="1006"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5AC2A198" w14:textId="77777777" w:rsidR="004E50AA" w:rsidRDefault="004E50AA">
            <w:r>
              <w:t>1</w:t>
            </w:r>
            <w:r>
              <w:rPr>
                <w:vertAlign w:val="superscript"/>
              </w:rPr>
              <w:t>st</w:t>
            </w:r>
            <w:r>
              <w:t xml:space="preserve"> </w:t>
            </w:r>
          </w:p>
        </w:tc>
        <w:tc>
          <w:tcPr>
            <w:tcW w:w="1154"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77BE3582" w14:textId="77777777" w:rsidR="004E50AA" w:rsidRDefault="004E50AA">
            <w:r>
              <w:t>1</w:t>
            </w:r>
            <w:r>
              <w:rPr>
                <w:vertAlign w:val="superscript"/>
              </w:rPr>
              <w:t>st</w:t>
            </w:r>
            <w:r>
              <w:t xml:space="preserve"> </w:t>
            </w:r>
          </w:p>
        </w:tc>
      </w:tr>
      <w:tr w:rsidR="004E50AA" w14:paraId="5E32E3A6" w14:textId="77777777" w:rsidTr="004E50AA">
        <w:tc>
          <w:tcPr>
            <w:tcW w:w="2155"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444B7DA4" w14:textId="77777777" w:rsidR="004E50AA" w:rsidRDefault="004E50AA">
            <w:pPr>
              <w:jc w:val="center"/>
              <w:rPr>
                <w:sz w:val="16"/>
                <w:szCs w:val="14"/>
              </w:rPr>
            </w:pPr>
          </w:p>
        </w:tc>
        <w:tc>
          <w:tcPr>
            <w:tcW w:w="990"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1F1FE2A2" w14:textId="77777777" w:rsidR="004E50AA" w:rsidRDefault="004E50AA">
            <w:pPr>
              <w:jc w:val="center"/>
              <w:rPr>
                <w:sz w:val="16"/>
                <w:szCs w:val="14"/>
              </w:rPr>
            </w:pPr>
            <w:r>
              <w:rPr>
                <w:sz w:val="16"/>
                <w:szCs w:val="14"/>
              </w:rPr>
              <w:t>Outright Fail</w:t>
            </w:r>
          </w:p>
        </w:tc>
        <w:tc>
          <w:tcPr>
            <w:tcW w:w="1097"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25462377" w14:textId="77777777" w:rsidR="004E50AA" w:rsidRDefault="004E50AA">
            <w:pPr>
              <w:jc w:val="center"/>
              <w:rPr>
                <w:sz w:val="16"/>
                <w:szCs w:val="14"/>
              </w:rPr>
            </w:pPr>
            <w:r>
              <w:rPr>
                <w:sz w:val="16"/>
                <w:szCs w:val="14"/>
              </w:rPr>
              <w:t>Unsatisfactory Ory</w:t>
            </w:r>
          </w:p>
        </w:tc>
        <w:tc>
          <w:tcPr>
            <w:tcW w:w="1063"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0ECB5211" w14:textId="77777777" w:rsidR="004E50AA" w:rsidRDefault="004E50AA">
            <w:pPr>
              <w:jc w:val="center"/>
              <w:rPr>
                <w:sz w:val="16"/>
                <w:szCs w:val="14"/>
              </w:rPr>
            </w:pPr>
            <w:r>
              <w:rPr>
                <w:sz w:val="16"/>
                <w:szCs w:val="14"/>
              </w:rPr>
              <w:t>Satisfactory</w:t>
            </w:r>
          </w:p>
        </w:tc>
        <w:tc>
          <w:tcPr>
            <w:tcW w:w="991"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291814BE" w14:textId="77777777" w:rsidR="004E50AA" w:rsidRDefault="004E50AA">
            <w:pPr>
              <w:jc w:val="center"/>
              <w:rPr>
                <w:sz w:val="16"/>
                <w:szCs w:val="14"/>
              </w:rPr>
            </w:pPr>
            <w:r>
              <w:rPr>
                <w:sz w:val="16"/>
                <w:szCs w:val="14"/>
              </w:rPr>
              <w:t>Good</w:t>
            </w:r>
          </w:p>
        </w:tc>
        <w:tc>
          <w:tcPr>
            <w:tcW w:w="989"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1BE08A34" w14:textId="77777777" w:rsidR="004E50AA" w:rsidRDefault="004E50AA">
            <w:pPr>
              <w:jc w:val="center"/>
              <w:rPr>
                <w:sz w:val="16"/>
                <w:szCs w:val="14"/>
              </w:rPr>
            </w:pPr>
            <w:r>
              <w:rPr>
                <w:sz w:val="16"/>
                <w:szCs w:val="14"/>
              </w:rPr>
              <w:t>Very Good</w:t>
            </w:r>
          </w:p>
        </w:tc>
        <w:tc>
          <w:tcPr>
            <w:tcW w:w="1006"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1022A3D1" w14:textId="77777777" w:rsidR="004E50AA" w:rsidRDefault="004E50AA">
            <w:pPr>
              <w:jc w:val="center"/>
              <w:rPr>
                <w:sz w:val="16"/>
                <w:szCs w:val="14"/>
              </w:rPr>
            </w:pPr>
            <w:r>
              <w:rPr>
                <w:sz w:val="16"/>
                <w:szCs w:val="14"/>
              </w:rPr>
              <w:t>Excellent</w:t>
            </w:r>
          </w:p>
        </w:tc>
        <w:tc>
          <w:tcPr>
            <w:tcW w:w="1154"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1BF341E0" w14:textId="77777777" w:rsidR="004E50AA" w:rsidRDefault="004E50AA">
            <w:pPr>
              <w:jc w:val="center"/>
              <w:rPr>
                <w:sz w:val="16"/>
                <w:szCs w:val="14"/>
              </w:rPr>
            </w:pPr>
            <w:r>
              <w:rPr>
                <w:sz w:val="16"/>
                <w:szCs w:val="14"/>
              </w:rPr>
              <w:t>Exceptional</w:t>
            </w:r>
          </w:p>
        </w:tc>
      </w:tr>
      <w:tr w:rsidR="004E50AA" w14:paraId="6544A069" w14:textId="77777777" w:rsidTr="004E50AA">
        <w:tc>
          <w:tcPr>
            <w:tcW w:w="2155" w:type="dxa"/>
            <w:tcBorders>
              <w:top w:val="single" w:sz="4" w:space="0" w:color="auto"/>
              <w:left w:val="single" w:sz="4" w:space="0" w:color="auto"/>
              <w:bottom w:val="single" w:sz="4" w:space="0" w:color="auto"/>
              <w:right w:val="single" w:sz="4" w:space="0" w:color="auto"/>
            </w:tcBorders>
            <w:hideMark/>
          </w:tcPr>
          <w:p w14:paraId="615436C3" w14:textId="77777777" w:rsidR="004E50AA" w:rsidRDefault="004E50AA" w:rsidP="00FD76F3">
            <w:pPr>
              <w:pStyle w:val="ListParagraph"/>
              <w:numPr>
                <w:ilvl w:val="0"/>
                <w:numId w:val="1"/>
              </w:numPr>
              <w:rPr>
                <w:sz w:val="22"/>
                <w:szCs w:val="20"/>
                <w:lang w:eastAsia="en-US"/>
              </w:rPr>
            </w:pPr>
            <w:r>
              <w:rPr>
                <w:sz w:val="22"/>
                <w:szCs w:val="20"/>
                <w:lang w:eastAsia="en-US"/>
              </w:rPr>
              <w:t>Research Informed Literature</w:t>
            </w:r>
          </w:p>
        </w:tc>
        <w:tc>
          <w:tcPr>
            <w:tcW w:w="990" w:type="dxa"/>
            <w:tcBorders>
              <w:top w:val="single" w:sz="4" w:space="0" w:color="auto"/>
              <w:left w:val="single" w:sz="4" w:space="0" w:color="auto"/>
              <w:bottom w:val="single" w:sz="4" w:space="0" w:color="auto"/>
              <w:right w:val="single" w:sz="4" w:space="0" w:color="auto"/>
            </w:tcBorders>
          </w:tcPr>
          <w:p w14:paraId="76C5C069" w14:textId="77777777" w:rsidR="004E50AA" w:rsidRDefault="004E50AA">
            <w:pPr>
              <w:rPr>
                <w:szCs w:val="20"/>
              </w:rPr>
            </w:pPr>
            <w:r>
              <w:rPr>
                <w:szCs w:val="20"/>
              </w:rPr>
              <w:t>0-29%</w:t>
            </w:r>
          </w:p>
          <w:p w14:paraId="1B7379BA" w14:textId="77777777" w:rsidR="004E50AA" w:rsidRDefault="004E50AA">
            <w:pPr>
              <w:rPr>
                <w:szCs w:val="20"/>
              </w:rPr>
            </w:pPr>
          </w:p>
          <w:p w14:paraId="38119888" w14:textId="77777777" w:rsidR="004E50AA" w:rsidRDefault="004E50AA">
            <w:pPr>
              <w:rPr>
                <w:b/>
                <w:bCs/>
                <w:szCs w:val="20"/>
              </w:rPr>
            </w:pPr>
            <w:r>
              <w:rPr>
                <w:szCs w:val="20"/>
              </w:rPr>
              <w:t xml:space="preserve">  </w:t>
            </w:r>
            <w:r>
              <w:rPr>
                <w:b/>
                <w:bCs/>
                <w:szCs w:val="20"/>
              </w:rPr>
              <w:t xml:space="preserve"> </w:t>
            </w:r>
            <w:r>
              <w:rPr>
                <w:b/>
                <w:bCs/>
                <w:szCs w:val="20"/>
              </w:rPr>
              <w:sym w:font="Wingdings 2" w:char="F0A3"/>
            </w:r>
          </w:p>
        </w:tc>
        <w:tc>
          <w:tcPr>
            <w:tcW w:w="1097" w:type="dxa"/>
            <w:tcBorders>
              <w:top w:val="single" w:sz="4" w:space="0" w:color="auto"/>
              <w:left w:val="single" w:sz="4" w:space="0" w:color="auto"/>
              <w:bottom w:val="single" w:sz="4" w:space="0" w:color="auto"/>
              <w:right w:val="single" w:sz="4" w:space="0" w:color="auto"/>
            </w:tcBorders>
          </w:tcPr>
          <w:p w14:paraId="16156995" w14:textId="77777777" w:rsidR="004E50AA" w:rsidRDefault="004E50AA">
            <w:pPr>
              <w:rPr>
                <w:szCs w:val="20"/>
              </w:rPr>
            </w:pPr>
            <w:r>
              <w:rPr>
                <w:szCs w:val="20"/>
              </w:rPr>
              <w:t>30-39%</w:t>
            </w:r>
          </w:p>
          <w:p w14:paraId="4E803A3E" w14:textId="77777777" w:rsidR="004E50AA" w:rsidRDefault="004E50AA">
            <w:pPr>
              <w:rPr>
                <w:szCs w:val="20"/>
              </w:rPr>
            </w:pPr>
          </w:p>
          <w:p w14:paraId="28473072" w14:textId="77777777" w:rsidR="004E50AA" w:rsidRDefault="004E50AA">
            <w:pPr>
              <w:rPr>
                <w:b/>
                <w:bCs/>
                <w:szCs w:val="20"/>
              </w:rPr>
            </w:pPr>
            <w:r>
              <w:rPr>
                <w:b/>
                <w:bCs/>
                <w:szCs w:val="20"/>
              </w:rPr>
              <w:t xml:space="preserve">    </w:t>
            </w:r>
            <w:r>
              <w:rPr>
                <w:b/>
                <w:bCs/>
                <w:szCs w:val="20"/>
              </w:rPr>
              <w:sym w:font="Wingdings 2" w:char="F0A3"/>
            </w:r>
          </w:p>
        </w:tc>
        <w:tc>
          <w:tcPr>
            <w:tcW w:w="1063" w:type="dxa"/>
            <w:tcBorders>
              <w:top w:val="single" w:sz="4" w:space="0" w:color="auto"/>
              <w:left w:val="single" w:sz="4" w:space="0" w:color="auto"/>
              <w:bottom w:val="single" w:sz="4" w:space="0" w:color="auto"/>
              <w:right w:val="single" w:sz="4" w:space="0" w:color="auto"/>
            </w:tcBorders>
          </w:tcPr>
          <w:p w14:paraId="4E1A49AC" w14:textId="77777777" w:rsidR="004E50AA" w:rsidRDefault="004E50AA">
            <w:pPr>
              <w:rPr>
                <w:szCs w:val="20"/>
              </w:rPr>
            </w:pPr>
            <w:r>
              <w:rPr>
                <w:szCs w:val="20"/>
              </w:rPr>
              <w:t>40-49%</w:t>
            </w:r>
          </w:p>
          <w:p w14:paraId="61893787" w14:textId="77777777" w:rsidR="004E50AA" w:rsidRDefault="004E50AA">
            <w:pPr>
              <w:rPr>
                <w:szCs w:val="20"/>
              </w:rPr>
            </w:pPr>
          </w:p>
          <w:p w14:paraId="68243365" w14:textId="77777777" w:rsidR="004E50AA" w:rsidRDefault="004E50AA">
            <w:pPr>
              <w:rPr>
                <w:b/>
                <w:bCs/>
                <w:szCs w:val="20"/>
              </w:rPr>
            </w:pPr>
            <w:r>
              <w:rPr>
                <w:b/>
                <w:bCs/>
                <w:szCs w:val="20"/>
              </w:rPr>
              <w:t xml:space="preserve">    </w:t>
            </w:r>
            <w:r>
              <w:rPr>
                <w:b/>
                <w:bCs/>
                <w:szCs w:val="20"/>
              </w:rPr>
              <w:sym w:font="Wingdings 2" w:char="F0A3"/>
            </w:r>
          </w:p>
        </w:tc>
        <w:tc>
          <w:tcPr>
            <w:tcW w:w="991" w:type="dxa"/>
            <w:tcBorders>
              <w:top w:val="single" w:sz="4" w:space="0" w:color="auto"/>
              <w:left w:val="single" w:sz="4" w:space="0" w:color="auto"/>
              <w:bottom w:val="single" w:sz="4" w:space="0" w:color="auto"/>
              <w:right w:val="single" w:sz="4" w:space="0" w:color="auto"/>
            </w:tcBorders>
          </w:tcPr>
          <w:p w14:paraId="4FD4A579" w14:textId="77777777" w:rsidR="004E50AA" w:rsidRDefault="004E50AA">
            <w:pPr>
              <w:rPr>
                <w:szCs w:val="20"/>
              </w:rPr>
            </w:pPr>
            <w:r>
              <w:rPr>
                <w:szCs w:val="20"/>
              </w:rPr>
              <w:t>50-59%</w:t>
            </w:r>
          </w:p>
          <w:p w14:paraId="2BDCEF7F" w14:textId="77777777" w:rsidR="004E50AA" w:rsidRDefault="004E50AA">
            <w:pPr>
              <w:rPr>
                <w:szCs w:val="20"/>
              </w:rPr>
            </w:pPr>
          </w:p>
          <w:p w14:paraId="55DC9B20" w14:textId="77777777" w:rsidR="004E50AA" w:rsidRDefault="004E50AA">
            <w:pPr>
              <w:rPr>
                <w:b/>
                <w:bCs/>
                <w:szCs w:val="20"/>
              </w:rPr>
            </w:pPr>
            <w:r>
              <w:rPr>
                <w:b/>
                <w:bCs/>
                <w:szCs w:val="20"/>
              </w:rPr>
              <w:t xml:space="preserve">    </w:t>
            </w:r>
            <w:r>
              <w:rPr>
                <w:b/>
                <w:bCs/>
                <w:szCs w:val="20"/>
              </w:rPr>
              <w:sym w:font="Wingdings 2" w:char="F0A3"/>
            </w:r>
          </w:p>
        </w:tc>
        <w:tc>
          <w:tcPr>
            <w:tcW w:w="989" w:type="dxa"/>
            <w:tcBorders>
              <w:top w:val="single" w:sz="4" w:space="0" w:color="auto"/>
              <w:left w:val="single" w:sz="4" w:space="0" w:color="auto"/>
              <w:bottom w:val="single" w:sz="4" w:space="0" w:color="auto"/>
              <w:right w:val="single" w:sz="4" w:space="0" w:color="auto"/>
            </w:tcBorders>
          </w:tcPr>
          <w:p w14:paraId="0B37F91D" w14:textId="77777777" w:rsidR="004E50AA" w:rsidRDefault="004E50AA">
            <w:pPr>
              <w:rPr>
                <w:szCs w:val="20"/>
              </w:rPr>
            </w:pPr>
            <w:r>
              <w:rPr>
                <w:szCs w:val="20"/>
              </w:rPr>
              <w:t>60-69%</w:t>
            </w:r>
          </w:p>
          <w:p w14:paraId="7D5C82E1" w14:textId="77777777" w:rsidR="004E50AA" w:rsidRDefault="004E50AA">
            <w:pPr>
              <w:rPr>
                <w:szCs w:val="20"/>
              </w:rPr>
            </w:pPr>
          </w:p>
          <w:p w14:paraId="6115FE87" w14:textId="77777777" w:rsidR="004E50AA" w:rsidRDefault="004E50AA">
            <w:pPr>
              <w:rPr>
                <w:b/>
                <w:bCs/>
                <w:szCs w:val="20"/>
              </w:rPr>
            </w:pPr>
            <w:r>
              <w:rPr>
                <w:b/>
                <w:bCs/>
                <w:szCs w:val="20"/>
              </w:rPr>
              <w:t xml:space="preserve">    </w:t>
            </w:r>
            <w:r>
              <w:rPr>
                <w:b/>
                <w:bCs/>
                <w:szCs w:val="20"/>
              </w:rPr>
              <w:sym w:font="Wingdings 2" w:char="F0A3"/>
            </w:r>
          </w:p>
        </w:tc>
        <w:tc>
          <w:tcPr>
            <w:tcW w:w="1006" w:type="dxa"/>
            <w:tcBorders>
              <w:top w:val="single" w:sz="4" w:space="0" w:color="auto"/>
              <w:left w:val="single" w:sz="4" w:space="0" w:color="auto"/>
              <w:bottom w:val="single" w:sz="4" w:space="0" w:color="auto"/>
              <w:right w:val="single" w:sz="4" w:space="0" w:color="auto"/>
            </w:tcBorders>
          </w:tcPr>
          <w:p w14:paraId="23D26693" w14:textId="77777777" w:rsidR="004E50AA" w:rsidRDefault="004E50AA">
            <w:pPr>
              <w:rPr>
                <w:szCs w:val="20"/>
              </w:rPr>
            </w:pPr>
            <w:r>
              <w:rPr>
                <w:szCs w:val="20"/>
              </w:rPr>
              <w:t>70-79%</w:t>
            </w:r>
          </w:p>
          <w:p w14:paraId="59B5CD99" w14:textId="77777777" w:rsidR="004E50AA" w:rsidRDefault="004E50AA">
            <w:pPr>
              <w:rPr>
                <w:szCs w:val="20"/>
              </w:rPr>
            </w:pPr>
          </w:p>
          <w:p w14:paraId="2E9D4944" w14:textId="77777777" w:rsidR="004E50AA" w:rsidRDefault="004E50AA">
            <w:pPr>
              <w:rPr>
                <w:b/>
                <w:bCs/>
                <w:szCs w:val="20"/>
              </w:rPr>
            </w:pPr>
            <w:r>
              <w:rPr>
                <w:b/>
                <w:bCs/>
                <w:szCs w:val="20"/>
              </w:rPr>
              <w:t xml:space="preserve">    </w:t>
            </w:r>
            <w:r>
              <w:rPr>
                <w:b/>
                <w:bCs/>
                <w:szCs w:val="20"/>
              </w:rPr>
              <w:sym w:font="Wingdings 2" w:char="F0A3"/>
            </w:r>
          </w:p>
        </w:tc>
        <w:tc>
          <w:tcPr>
            <w:tcW w:w="1154" w:type="dxa"/>
            <w:tcBorders>
              <w:top w:val="single" w:sz="4" w:space="0" w:color="auto"/>
              <w:left w:val="single" w:sz="4" w:space="0" w:color="auto"/>
              <w:bottom w:val="single" w:sz="4" w:space="0" w:color="auto"/>
              <w:right w:val="single" w:sz="4" w:space="0" w:color="auto"/>
            </w:tcBorders>
          </w:tcPr>
          <w:p w14:paraId="631071A5" w14:textId="77777777" w:rsidR="004E50AA" w:rsidRDefault="004E50AA">
            <w:pPr>
              <w:rPr>
                <w:szCs w:val="20"/>
              </w:rPr>
            </w:pPr>
            <w:r>
              <w:rPr>
                <w:szCs w:val="20"/>
              </w:rPr>
              <w:t>80-100%</w:t>
            </w:r>
          </w:p>
          <w:p w14:paraId="08E4ACC6" w14:textId="77777777" w:rsidR="004E50AA" w:rsidRDefault="004E50AA">
            <w:pPr>
              <w:rPr>
                <w:szCs w:val="20"/>
              </w:rPr>
            </w:pPr>
          </w:p>
          <w:p w14:paraId="47C4D5A3" w14:textId="77777777" w:rsidR="004E50AA" w:rsidRDefault="004E50AA">
            <w:pPr>
              <w:rPr>
                <w:b/>
                <w:bCs/>
                <w:szCs w:val="20"/>
              </w:rPr>
            </w:pPr>
            <w:r>
              <w:rPr>
                <w:b/>
                <w:bCs/>
                <w:szCs w:val="20"/>
              </w:rPr>
              <w:t xml:space="preserve">    </w:t>
            </w:r>
            <w:r>
              <w:rPr>
                <w:b/>
                <w:bCs/>
                <w:szCs w:val="20"/>
              </w:rPr>
              <w:sym w:font="Wingdings 2" w:char="F0A3"/>
            </w:r>
          </w:p>
        </w:tc>
      </w:tr>
      <w:tr w:rsidR="004E50AA" w14:paraId="5FF6125E" w14:textId="77777777" w:rsidTr="004E50AA">
        <w:tc>
          <w:tcPr>
            <w:tcW w:w="2155" w:type="dxa"/>
            <w:tcBorders>
              <w:top w:val="single" w:sz="4" w:space="0" w:color="auto"/>
              <w:left w:val="single" w:sz="4" w:space="0" w:color="auto"/>
              <w:bottom w:val="single" w:sz="4" w:space="0" w:color="auto"/>
              <w:right w:val="single" w:sz="4" w:space="0" w:color="auto"/>
            </w:tcBorders>
            <w:hideMark/>
          </w:tcPr>
          <w:p w14:paraId="14CABFF4" w14:textId="77777777" w:rsidR="004E50AA" w:rsidRDefault="004E50AA" w:rsidP="00FD76F3">
            <w:pPr>
              <w:pStyle w:val="ListParagraph"/>
              <w:numPr>
                <w:ilvl w:val="0"/>
                <w:numId w:val="1"/>
              </w:numPr>
              <w:rPr>
                <w:sz w:val="22"/>
                <w:szCs w:val="20"/>
                <w:lang w:eastAsia="en-US"/>
              </w:rPr>
            </w:pPr>
            <w:r>
              <w:rPr>
                <w:sz w:val="22"/>
                <w:szCs w:val="20"/>
                <w:lang w:eastAsia="en-US"/>
              </w:rPr>
              <w:t>Knowledge and Understanding of Subject</w:t>
            </w:r>
          </w:p>
        </w:tc>
        <w:tc>
          <w:tcPr>
            <w:tcW w:w="990" w:type="dxa"/>
            <w:tcBorders>
              <w:top w:val="single" w:sz="4" w:space="0" w:color="auto"/>
              <w:left w:val="single" w:sz="4" w:space="0" w:color="auto"/>
              <w:bottom w:val="single" w:sz="4" w:space="0" w:color="auto"/>
              <w:right w:val="single" w:sz="4" w:space="0" w:color="auto"/>
            </w:tcBorders>
          </w:tcPr>
          <w:p w14:paraId="4132A505" w14:textId="77777777" w:rsidR="004E50AA" w:rsidRDefault="004E50AA">
            <w:pPr>
              <w:rPr>
                <w:szCs w:val="20"/>
              </w:rPr>
            </w:pPr>
            <w:r>
              <w:rPr>
                <w:szCs w:val="20"/>
              </w:rPr>
              <w:t>0-29%</w:t>
            </w:r>
          </w:p>
          <w:p w14:paraId="4EF17F31" w14:textId="77777777" w:rsidR="004E50AA" w:rsidRDefault="004E50AA">
            <w:pPr>
              <w:rPr>
                <w:szCs w:val="20"/>
              </w:rPr>
            </w:pPr>
          </w:p>
          <w:p w14:paraId="21A9547E" w14:textId="77777777" w:rsidR="004E50AA" w:rsidRDefault="004E50AA">
            <w:pPr>
              <w:rPr>
                <w:szCs w:val="20"/>
              </w:rPr>
            </w:pPr>
            <w:r>
              <w:rPr>
                <w:szCs w:val="20"/>
              </w:rPr>
              <w:t xml:space="preserve">  </w:t>
            </w:r>
            <w:r>
              <w:rPr>
                <w:b/>
                <w:bCs/>
                <w:szCs w:val="20"/>
              </w:rPr>
              <w:t xml:space="preserve"> </w:t>
            </w:r>
            <w:r>
              <w:rPr>
                <w:b/>
                <w:bCs/>
                <w:szCs w:val="20"/>
              </w:rPr>
              <w:sym w:font="Wingdings 2" w:char="F0A3"/>
            </w:r>
          </w:p>
        </w:tc>
        <w:tc>
          <w:tcPr>
            <w:tcW w:w="1097" w:type="dxa"/>
            <w:tcBorders>
              <w:top w:val="single" w:sz="4" w:space="0" w:color="auto"/>
              <w:left w:val="single" w:sz="4" w:space="0" w:color="auto"/>
              <w:bottom w:val="single" w:sz="4" w:space="0" w:color="auto"/>
              <w:right w:val="single" w:sz="4" w:space="0" w:color="auto"/>
            </w:tcBorders>
          </w:tcPr>
          <w:p w14:paraId="781B2981" w14:textId="77777777" w:rsidR="004E50AA" w:rsidRDefault="004E50AA">
            <w:pPr>
              <w:rPr>
                <w:szCs w:val="20"/>
              </w:rPr>
            </w:pPr>
            <w:r>
              <w:rPr>
                <w:szCs w:val="20"/>
              </w:rPr>
              <w:t>30-39%</w:t>
            </w:r>
          </w:p>
          <w:p w14:paraId="451441DC" w14:textId="77777777" w:rsidR="004E50AA" w:rsidRDefault="004E50AA">
            <w:pPr>
              <w:rPr>
                <w:szCs w:val="20"/>
              </w:rPr>
            </w:pPr>
          </w:p>
          <w:p w14:paraId="352F6279" w14:textId="77777777" w:rsidR="004E50AA" w:rsidRDefault="004E50AA">
            <w:pPr>
              <w:rPr>
                <w:szCs w:val="20"/>
              </w:rPr>
            </w:pPr>
            <w:r>
              <w:rPr>
                <w:b/>
                <w:bCs/>
                <w:szCs w:val="20"/>
              </w:rPr>
              <w:t xml:space="preserve">    </w:t>
            </w:r>
            <w:r>
              <w:rPr>
                <w:b/>
                <w:bCs/>
                <w:szCs w:val="20"/>
              </w:rPr>
              <w:sym w:font="Wingdings 2" w:char="F0A3"/>
            </w:r>
          </w:p>
        </w:tc>
        <w:tc>
          <w:tcPr>
            <w:tcW w:w="1063" w:type="dxa"/>
            <w:tcBorders>
              <w:top w:val="single" w:sz="4" w:space="0" w:color="auto"/>
              <w:left w:val="single" w:sz="4" w:space="0" w:color="auto"/>
              <w:bottom w:val="single" w:sz="4" w:space="0" w:color="auto"/>
              <w:right w:val="single" w:sz="4" w:space="0" w:color="auto"/>
            </w:tcBorders>
          </w:tcPr>
          <w:p w14:paraId="75E195B8" w14:textId="77777777" w:rsidR="004E50AA" w:rsidRDefault="004E50AA">
            <w:pPr>
              <w:rPr>
                <w:szCs w:val="20"/>
              </w:rPr>
            </w:pPr>
            <w:r>
              <w:rPr>
                <w:szCs w:val="20"/>
              </w:rPr>
              <w:t>40-49%</w:t>
            </w:r>
          </w:p>
          <w:p w14:paraId="6A39A4E9" w14:textId="77777777" w:rsidR="004E50AA" w:rsidRDefault="004E50AA">
            <w:pPr>
              <w:rPr>
                <w:szCs w:val="20"/>
              </w:rPr>
            </w:pPr>
          </w:p>
          <w:p w14:paraId="40785C3B" w14:textId="77777777" w:rsidR="004E50AA" w:rsidRDefault="004E50AA">
            <w:pPr>
              <w:rPr>
                <w:szCs w:val="20"/>
              </w:rPr>
            </w:pPr>
            <w:r>
              <w:rPr>
                <w:b/>
                <w:bCs/>
                <w:szCs w:val="20"/>
              </w:rPr>
              <w:t xml:space="preserve">    </w:t>
            </w:r>
            <w:r>
              <w:rPr>
                <w:b/>
                <w:bCs/>
                <w:szCs w:val="20"/>
              </w:rPr>
              <w:sym w:font="Wingdings 2" w:char="F0A3"/>
            </w:r>
          </w:p>
        </w:tc>
        <w:tc>
          <w:tcPr>
            <w:tcW w:w="991" w:type="dxa"/>
            <w:tcBorders>
              <w:top w:val="single" w:sz="4" w:space="0" w:color="auto"/>
              <w:left w:val="single" w:sz="4" w:space="0" w:color="auto"/>
              <w:bottom w:val="single" w:sz="4" w:space="0" w:color="auto"/>
              <w:right w:val="single" w:sz="4" w:space="0" w:color="auto"/>
            </w:tcBorders>
          </w:tcPr>
          <w:p w14:paraId="64771840" w14:textId="77777777" w:rsidR="004E50AA" w:rsidRDefault="004E50AA">
            <w:pPr>
              <w:rPr>
                <w:szCs w:val="20"/>
              </w:rPr>
            </w:pPr>
            <w:r>
              <w:rPr>
                <w:szCs w:val="20"/>
              </w:rPr>
              <w:t>50-59%</w:t>
            </w:r>
          </w:p>
          <w:p w14:paraId="47EA40C4" w14:textId="77777777" w:rsidR="004E50AA" w:rsidRDefault="004E50AA">
            <w:pPr>
              <w:rPr>
                <w:szCs w:val="20"/>
              </w:rPr>
            </w:pPr>
          </w:p>
          <w:p w14:paraId="00C3802A" w14:textId="77777777" w:rsidR="004E50AA" w:rsidRDefault="004E50AA">
            <w:pPr>
              <w:rPr>
                <w:szCs w:val="20"/>
              </w:rPr>
            </w:pPr>
            <w:r>
              <w:rPr>
                <w:b/>
                <w:bCs/>
                <w:szCs w:val="20"/>
              </w:rPr>
              <w:t xml:space="preserve">    </w:t>
            </w:r>
            <w:r>
              <w:rPr>
                <w:b/>
                <w:bCs/>
                <w:szCs w:val="20"/>
              </w:rPr>
              <w:sym w:font="Wingdings 2" w:char="F0A3"/>
            </w:r>
          </w:p>
        </w:tc>
        <w:tc>
          <w:tcPr>
            <w:tcW w:w="989" w:type="dxa"/>
            <w:tcBorders>
              <w:top w:val="single" w:sz="4" w:space="0" w:color="auto"/>
              <w:left w:val="single" w:sz="4" w:space="0" w:color="auto"/>
              <w:bottom w:val="single" w:sz="4" w:space="0" w:color="auto"/>
              <w:right w:val="single" w:sz="4" w:space="0" w:color="auto"/>
            </w:tcBorders>
          </w:tcPr>
          <w:p w14:paraId="67188061" w14:textId="77777777" w:rsidR="004E50AA" w:rsidRDefault="004E50AA">
            <w:pPr>
              <w:rPr>
                <w:szCs w:val="20"/>
              </w:rPr>
            </w:pPr>
            <w:r>
              <w:rPr>
                <w:szCs w:val="20"/>
              </w:rPr>
              <w:t>60-69%</w:t>
            </w:r>
          </w:p>
          <w:p w14:paraId="32020120" w14:textId="77777777" w:rsidR="004E50AA" w:rsidRDefault="004E50AA">
            <w:pPr>
              <w:rPr>
                <w:szCs w:val="20"/>
              </w:rPr>
            </w:pPr>
          </w:p>
          <w:p w14:paraId="11F1FF8C" w14:textId="77777777" w:rsidR="004E50AA" w:rsidRDefault="004E50AA">
            <w:pPr>
              <w:rPr>
                <w:szCs w:val="20"/>
              </w:rPr>
            </w:pPr>
            <w:r>
              <w:rPr>
                <w:b/>
                <w:bCs/>
                <w:szCs w:val="20"/>
              </w:rPr>
              <w:t xml:space="preserve">    </w:t>
            </w:r>
            <w:r>
              <w:rPr>
                <w:b/>
                <w:bCs/>
                <w:szCs w:val="20"/>
              </w:rPr>
              <w:sym w:font="Wingdings 2" w:char="F0A3"/>
            </w:r>
          </w:p>
        </w:tc>
        <w:tc>
          <w:tcPr>
            <w:tcW w:w="1006" w:type="dxa"/>
            <w:tcBorders>
              <w:top w:val="single" w:sz="4" w:space="0" w:color="auto"/>
              <w:left w:val="single" w:sz="4" w:space="0" w:color="auto"/>
              <w:bottom w:val="single" w:sz="4" w:space="0" w:color="auto"/>
              <w:right w:val="single" w:sz="4" w:space="0" w:color="auto"/>
            </w:tcBorders>
          </w:tcPr>
          <w:p w14:paraId="0BE545F3" w14:textId="77777777" w:rsidR="004E50AA" w:rsidRDefault="004E50AA">
            <w:pPr>
              <w:rPr>
                <w:szCs w:val="20"/>
              </w:rPr>
            </w:pPr>
            <w:r>
              <w:rPr>
                <w:szCs w:val="20"/>
              </w:rPr>
              <w:t>70-79%</w:t>
            </w:r>
          </w:p>
          <w:p w14:paraId="75B93592" w14:textId="77777777" w:rsidR="004E50AA" w:rsidRDefault="004E50AA">
            <w:pPr>
              <w:rPr>
                <w:szCs w:val="20"/>
              </w:rPr>
            </w:pPr>
          </w:p>
          <w:p w14:paraId="5D490804" w14:textId="77777777" w:rsidR="004E50AA" w:rsidRDefault="004E50AA">
            <w:pPr>
              <w:rPr>
                <w:szCs w:val="20"/>
              </w:rPr>
            </w:pPr>
            <w:r>
              <w:rPr>
                <w:b/>
                <w:bCs/>
                <w:szCs w:val="20"/>
              </w:rPr>
              <w:t xml:space="preserve">    </w:t>
            </w:r>
            <w:r>
              <w:rPr>
                <w:b/>
                <w:bCs/>
                <w:szCs w:val="20"/>
              </w:rPr>
              <w:sym w:font="Wingdings 2" w:char="F0A3"/>
            </w:r>
          </w:p>
        </w:tc>
        <w:tc>
          <w:tcPr>
            <w:tcW w:w="1154" w:type="dxa"/>
            <w:tcBorders>
              <w:top w:val="single" w:sz="4" w:space="0" w:color="auto"/>
              <w:left w:val="single" w:sz="4" w:space="0" w:color="auto"/>
              <w:bottom w:val="single" w:sz="4" w:space="0" w:color="auto"/>
              <w:right w:val="single" w:sz="4" w:space="0" w:color="auto"/>
            </w:tcBorders>
          </w:tcPr>
          <w:p w14:paraId="55C56389" w14:textId="77777777" w:rsidR="004E50AA" w:rsidRDefault="004E50AA">
            <w:pPr>
              <w:rPr>
                <w:szCs w:val="20"/>
              </w:rPr>
            </w:pPr>
            <w:r>
              <w:rPr>
                <w:szCs w:val="20"/>
              </w:rPr>
              <w:t>80-100%</w:t>
            </w:r>
          </w:p>
          <w:p w14:paraId="10884FB2" w14:textId="77777777" w:rsidR="004E50AA" w:rsidRDefault="004E50AA">
            <w:pPr>
              <w:rPr>
                <w:szCs w:val="20"/>
              </w:rPr>
            </w:pPr>
          </w:p>
          <w:p w14:paraId="586619BB" w14:textId="77777777" w:rsidR="004E50AA" w:rsidRDefault="004E50AA">
            <w:pPr>
              <w:rPr>
                <w:szCs w:val="20"/>
              </w:rPr>
            </w:pPr>
            <w:r>
              <w:rPr>
                <w:b/>
                <w:bCs/>
                <w:szCs w:val="20"/>
              </w:rPr>
              <w:t xml:space="preserve">    </w:t>
            </w:r>
            <w:r>
              <w:rPr>
                <w:b/>
                <w:bCs/>
                <w:szCs w:val="20"/>
              </w:rPr>
              <w:sym w:font="Wingdings 2" w:char="F0A3"/>
            </w:r>
          </w:p>
        </w:tc>
      </w:tr>
      <w:tr w:rsidR="004E50AA" w14:paraId="1FA813DA" w14:textId="77777777" w:rsidTr="004E50AA">
        <w:tc>
          <w:tcPr>
            <w:tcW w:w="2155" w:type="dxa"/>
            <w:tcBorders>
              <w:top w:val="single" w:sz="4" w:space="0" w:color="auto"/>
              <w:left w:val="single" w:sz="4" w:space="0" w:color="auto"/>
              <w:bottom w:val="single" w:sz="4" w:space="0" w:color="auto"/>
              <w:right w:val="single" w:sz="4" w:space="0" w:color="auto"/>
            </w:tcBorders>
          </w:tcPr>
          <w:p w14:paraId="7E2B8E84" w14:textId="77777777" w:rsidR="004E50AA" w:rsidRDefault="004E50AA" w:rsidP="00FD76F3">
            <w:pPr>
              <w:pStyle w:val="ListParagraph"/>
              <w:numPr>
                <w:ilvl w:val="0"/>
                <w:numId w:val="1"/>
              </w:numPr>
              <w:rPr>
                <w:sz w:val="22"/>
                <w:szCs w:val="20"/>
                <w:lang w:eastAsia="en-US"/>
              </w:rPr>
            </w:pPr>
            <w:r>
              <w:rPr>
                <w:sz w:val="22"/>
                <w:szCs w:val="20"/>
                <w:lang w:eastAsia="en-US"/>
              </w:rPr>
              <w:t>Analysis</w:t>
            </w:r>
          </w:p>
          <w:p w14:paraId="68074D25" w14:textId="77777777" w:rsidR="004E50AA" w:rsidRDefault="004E50AA">
            <w:pPr>
              <w:rPr>
                <w:szCs w:val="20"/>
              </w:rPr>
            </w:pPr>
          </w:p>
          <w:p w14:paraId="7B27738F" w14:textId="77777777" w:rsidR="004E50AA" w:rsidRDefault="004E50AA">
            <w:pPr>
              <w:rPr>
                <w:szCs w:val="20"/>
              </w:rPr>
            </w:pPr>
          </w:p>
        </w:tc>
        <w:tc>
          <w:tcPr>
            <w:tcW w:w="990" w:type="dxa"/>
            <w:tcBorders>
              <w:top w:val="single" w:sz="4" w:space="0" w:color="auto"/>
              <w:left w:val="single" w:sz="4" w:space="0" w:color="auto"/>
              <w:bottom w:val="single" w:sz="4" w:space="0" w:color="auto"/>
              <w:right w:val="single" w:sz="4" w:space="0" w:color="auto"/>
            </w:tcBorders>
          </w:tcPr>
          <w:p w14:paraId="33891D1A" w14:textId="77777777" w:rsidR="004E50AA" w:rsidRDefault="004E50AA">
            <w:pPr>
              <w:rPr>
                <w:szCs w:val="20"/>
              </w:rPr>
            </w:pPr>
            <w:r>
              <w:rPr>
                <w:szCs w:val="20"/>
              </w:rPr>
              <w:t>0-29%</w:t>
            </w:r>
          </w:p>
          <w:p w14:paraId="2E2E3481" w14:textId="77777777" w:rsidR="004E50AA" w:rsidRDefault="004E50AA">
            <w:pPr>
              <w:rPr>
                <w:szCs w:val="20"/>
              </w:rPr>
            </w:pPr>
          </w:p>
          <w:p w14:paraId="3DA10C55" w14:textId="77777777" w:rsidR="004E50AA" w:rsidRDefault="004E50AA">
            <w:pPr>
              <w:rPr>
                <w:szCs w:val="20"/>
              </w:rPr>
            </w:pPr>
            <w:r>
              <w:rPr>
                <w:szCs w:val="20"/>
              </w:rPr>
              <w:t xml:space="preserve">  </w:t>
            </w:r>
            <w:r>
              <w:rPr>
                <w:b/>
                <w:bCs/>
                <w:szCs w:val="20"/>
              </w:rPr>
              <w:t xml:space="preserve"> </w:t>
            </w:r>
            <w:r>
              <w:rPr>
                <w:b/>
                <w:bCs/>
                <w:szCs w:val="20"/>
              </w:rPr>
              <w:sym w:font="Wingdings 2" w:char="F0A3"/>
            </w:r>
          </w:p>
        </w:tc>
        <w:tc>
          <w:tcPr>
            <w:tcW w:w="1097" w:type="dxa"/>
            <w:tcBorders>
              <w:top w:val="single" w:sz="4" w:space="0" w:color="auto"/>
              <w:left w:val="single" w:sz="4" w:space="0" w:color="auto"/>
              <w:bottom w:val="single" w:sz="4" w:space="0" w:color="auto"/>
              <w:right w:val="single" w:sz="4" w:space="0" w:color="auto"/>
            </w:tcBorders>
          </w:tcPr>
          <w:p w14:paraId="6663000E" w14:textId="77777777" w:rsidR="004E50AA" w:rsidRDefault="004E50AA">
            <w:pPr>
              <w:rPr>
                <w:szCs w:val="20"/>
              </w:rPr>
            </w:pPr>
            <w:r>
              <w:rPr>
                <w:szCs w:val="20"/>
              </w:rPr>
              <w:t>30-39%</w:t>
            </w:r>
          </w:p>
          <w:p w14:paraId="7F05F77E" w14:textId="77777777" w:rsidR="004E50AA" w:rsidRDefault="004E50AA">
            <w:pPr>
              <w:rPr>
                <w:szCs w:val="20"/>
              </w:rPr>
            </w:pPr>
          </w:p>
          <w:p w14:paraId="22F497E2" w14:textId="77777777" w:rsidR="004E50AA" w:rsidRDefault="004E50AA">
            <w:pPr>
              <w:rPr>
                <w:szCs w:val="20"/>
              </w:rPr>
            </w:pPr>
            <w:r>
              <w:rPr>
                <w:b/>
                <w:bCs/>
                <w:szCs w:val="20"/>
              </w:rPr>
              <w:t xml:space="preserve">    </w:t>
            </w:r>
            <w:r>
              <w:rPr>
                <w:b/>
                <w:bCs/>
                <w:szCs w:val="20"/>
              </w:rPr>
              <w:sym w:font="Wingdings 2" w:char="F0A3"/>
            </w:r>
          </w:p>
        </w:tc>
        <w:tc>
          <w:tcPr>
            <w:tcW w:w="1063" w:type="dxa"/>
            <w:tcBorders>
              <w:top w:val="single" w:sz="4" w:space="0" w:color="auto"/>
              <w:left w:val="single" w:sz="4" w:space="0" w:color="auto"/>
              <w:bottom w:val="single" w:sz="4" w:space="0" w:color="auto"/>
              <w:right w:val="single" w:sz="4" w:space="0" w:color="auto"/>
            </w:tcBorders>
          </w:tcPr>
          <w:p w14:paraId="1C737D5D" w14:textId="77777777" w:rsidR="004E50AA" w:rsidRDefault="004E50AA">
            <w:pPr>
              <w:rPr>
                <w:szCs w:val="20"/>
              </w:rPr>
            </w:pPr>
            <w:r>
              <w:rPr>
                <w:szCs w:val="20"/>
              </w:rPr>
              <w:t>40-49%</w:t>
            </w:r>
          </w:p>
          <w:p w14:paraId="159D1E79" w14:textId="77777777" w:rsidR="004E50AA" w:rsidRDefault="004E50AA">
            <w:pPr>
              <w:rPr>
                <w:szCs w:val="20"/>
              </w:rPr>
            </w:pPr>
          </w:p>
          <w:p w14:paraId="47A6B896" w14:textId="77777777" w:rsidR="004E50AA" w:rsidRDefault="004E50AA">
            <w:pPr>
              <w:rPr>
                <w:szCs w:val="20"/>
              </w:rPr>
            </w:pPr>
            <w:r>
              <w:rPr>
                <w:b/>
                <w:bCs/>
                <w:szCs w:val="20"/>
              </w:rPr>
              <w:t xml:space="preserve">    </w:t>
            </w:r>
            <w:r>
              <w:rPr>
                <w:b/>
                <w:bCs/>
                <w:szCs w:val="20"/>
              </w:rPr>
              <w:sym w:font="Wingdings 2" w:char="F0A3"/>
            </w:r>
          </w:p>
        </w:tc>
        <w:tc>
          <w:tcPr>
            <w:tcW w:w="991" w:type="dxa"/>
            <w:tcBorders>
              <w:top w:val="single" w:sz="4" w:space="0" w:color="auto"/>
              <w:left w:val="single" w:sz="4" w:space="0" w:color="auto"/>
              <w:bottom w:val="single" w:sz="4" w:space="0" w:color="auto"/>
              <w:right w:val="single" w:sz="4" w:space="0" w:color="auto"/>
            </w:tcBorders>
          </w:tcPr>
          <w:p w14:paraId="620427E9" w14:textId="77777777" w:rsidR="004E50AA" w:rsidRDefault="004E50AA">
            <w:pPr>
              <w:rPr>
                <w:szCs w:val="20"/>
              </w:rPr>
            </w:pPr>
            <w:r>
              <w:rPr>
                <w:szCs w:val="20"/>
              </w:rPr>
              <w:t>50-59%</w:t>
            </w:r>
          </w:p>
          <w:p w14:paraId="547BF22E" w14:textId="77777777" w:rsidR="004E50AA" w:rsidRDefault="004E50AA">
            <w:pPr>
              <w:rPr>
                <w:szCs w:val="20"/>
              </w:rPr>
            </w:pPr>
          </w:p>
          <w:p w14:paraId="3206B510" w14:textId="77777777" w:rsidR="004E50AA" w:rsidRDefault="004E50AA">
            <w:pPr>
              <w:rPr>
                <w:szCs w:val="20"/>
              </w:rPr>
            </w:pPr>
            <w:r>
              <w:rPr>
                <w:b/>
                <w:bCs/>
                <w:szCs w:val="20"/>
              </w:rPr>
              <w:t xml:space="preserve">    </w:t>
            </w:r>
            <w:r>
              <w:rPr>
                <w:b/>
                <w:bCs/>
                <w:szCs w:val="20"/>
              </w:rPr>
              <w:sym w:font="Wingdings 2" w:char="F0A3"/>
            </w:r>
          </w:p>
        </w:tc>
        <w:tc>
          <w:tcPr>
            <w:tcW w:w="989" w:type="dxa"/>
            <w:tcBorders>
              <w:top w:val="single" w:sz="4" w:space="0" w:color="auto"/>
              <w:left w:val="single" w:sz="4" w:space="0" w:color="auto"/>
              <w:bottom w:val="single" w:sz="4" w:space="0" w:color="auto"/>
              <w:right w:val="single" w:sz="4" w:space="0" w:color="auto"/>
            </w:tcBorders>
          </w:tcPr>
          <w:p w14:paraId="465D054C" w14:textId="77777777" w:rsidR="004E50AA" w:rsidRDefault="004E50AA">
            <w:pPr>
              <w:rPr>
                <w:szCs w:val="20"/>
              </w:rPr>
            </w:pPr>
            <w:r>
              <w:rPr>
                <w:szCs w:val="20"/>
              </w:rPr>
              <w:t>60-69%</w:t>
            </w:r>
          </w:p>
          <w:p w14:paraId="79A11052" w14:textId="77777777" w:rsidR="004E50AA" w:rsidRDefault="004E50AA">
            <w:pPr>
              <w:rPr>
                <w:szCs w:val="20"/>
              </w:rPr>
            </w:pPr>
          </w:p>
          <w:p w14:paraId="32FC0038" w14:textId="77777777" w:rsidR="004E50AA" w:rsidRDefault="004E50AA">
            <w:pPr>
              <w:rPr>
                <w:szCs w:val="20"/>
              </w:rPr>
            </w:pPr>
            <w:r>
              <w:rPr>
                <w:b/>
                <w:bCs/>
                <w:szCs w:val="20"/>
              </w:rPr>
              <w:t xml:space="preserve">    </w:t>
            </w:r>
            <w:r>
              <w:rPr>
                <w:b/>
                <w:bCs/>
                <w:szCs w:val="20"/>
              </w:rPr>
              <w:sym w:font="Wingdings 2" w:char="F0A3"/>
            </w:r>
          </w:p>
        </w:tc>
        <w:tc>
          <w:tcPr>
            <w:tcW w:w="1006" w:type="dxa"/>
            <w:tcBorders>
              <w:top w:val="single" w:sz="4" w:space="0" w:color="auto"/>
              <w:left w:val="single" w:sz="4" w:space="0" w:color="auto"/>
              <w:bottom w:val="single" w:sz="4" w:space="0" w:color="auto"/>
              <w:right w:val="single" w:sz="4" w:space="0" w:color="auto"/>
            </w:tcBorders>
          </w:tcPr>
          <w:p w14:paraId="08A12383" w14:textId="77777777" w:rsidR="004E50AA" w:rsidRDefault="004E50AA">
            <w:pPr>
              <w:rPr>
                <w:szCs w:val="20"/>
              </w:rPr>
            </w:pPr>
            <w:r>
              <w:rPr>
                <w:szCs w:val="20"/>
              </w:rPr>
              <w:t>70-79%</w:t>
            </w:r>
          </w:p>
          <w:p w14:paraId="28DC10CA" w14:textId="77777777" w:rsidR="004E50AA" w:rsidRDefault="004E50AA">
            <w:pPr>
              <w:rPr>
                <w:szCs w:val="20"/>
              </w:rPr>
            </w:pPr>
          </w:p>
          <w:p w14:paraId="1D7CD1B4" w14:textId="77777777" w:rsidR="004E50AA" w:rsidRDefault="004E50AA">
            <w:pPr>
              <w:rPr>
                <w:szCs w:val="20"/>
              </w:rPr>
            </w:pPr>
            <w:r>
              <w:rPr>
                <w:b/>
                <w:bCs/>
                <w:szCs w:val="20"/>
              </w:rPr>
              <w:t xml:space="preserve">    </w:t>
            </w:r>
            <w:r>
              <w:rPr>
                <w:b/>
                <w:bCs/>
                <w:szCs w:val="20"/>
              </w:rPr>
              <w:sym w:font="Wingdings 2" w:char="F0A3"/>
            </w:r>
          </w:p>
        </w:tc>
        <w:tc>
          <w:tcPr>
            <w:tcW w:w="1154" w:type="dxa"/>
            <w:tcBorders>
              <w:top w:val="single" w:sz="4" w:space="0" w:color="auto"/>
              <w:left w:val="single" w:sz="4" w:space="0" w:color="auto"/>
              <w:bottom w:val="single" w:sz="4" w:space="0" w:color="auto"/>
              <w:right w:val="single" w:sz="4" w:space="0" w:color="auto"/>
            </w:tcBorders>
          </w:tcPr>
          <w:p w14:paraId="5885A255" w14:textId="77777777" w:rsidR="004E50AA" w:rsidRDefault="004E50AA">
            <w:pPr>
              <w:rPr>
                <w:szCs w:val="20"/>
              </w:rPr>
            </w:pPr>
            <w:r>
              <w:rPr>
                <w:szCs w:val="20"/>
              </w:rPr>
              <w:t>80-100%</w:t>
            </w:r>
          </w:p>
          <w:p w14:paraId="19B17CB6" w14:textId="77777777" w:rsidR="004E50AA" w:rsidRDefault="004E50AA">
            <w:pPr>
              <w:rPr>
                <w:szCs w:val="20"/>
              </w:rPr>
            </w:pPr>
          </w:p>
          <w:p w14:paraId="4909FFD3" w14:textId="77777777" w:rsidR="004E50AA" w:rsidRDefault="004E50AA">
            <w:pPr>
              <w:rPr>
                <w:szCs w:val="20"/>
              </w:rPr>
            </w:pPr>
            <w:r>
              <w:rPr>
                <w:b/>
                <w:bCs/>
                <w:szCs w:val="20"/>
              </w:rPr>
              <w:t xml:space="preserve">    </w:t>
            </w:r>
            <w:r>
              <w:rPr>
                <w:b/>
                <w:bCs/>
                <w:szCs w:val="20"/>
              </w:rPr>
              <w:sym w:font="Wingdings 2" w:char="F0A3"/>
            </w:r>
          </w:p>
        </w:tc>
      </w:tr>
      <w:tr w:rsidR="004E50AA" w14:paraId="3FE83012" w14:textId="77777777" w:rsidTr="004E50AA">
        <w:tc>
          <w:tcPr>
            <w:tcW w:w="2155" w:type="dxa"/>
            <w:tcBorders>
              <w:top w:val="single" w:sz="4" w:space="0" w:color="auto"/>
              <w:left w:val="single" w:sz="4" w:space="0" w:color="auto"/>
              <w:bottom w:val="single" w:sz="4" w:space="0" w:color="auto"/>
              <w:right w:val="single" w:sz="4" w:space="0" w:color="auto"/>
            </w:tcBorders>
            <w:hideMark/>
          </w:tcPr>
          <w:p w14:paraId="0E0E4FA4" w14:textId="77777777" w:rsidR="004E50AA" w:rsidRDefault="004E50AA" w:rsidP="00FD76F3">
            <w:pPr>
              <w:pStyle w:val="ListParagraph"/>
              <w:numPr>
                <w:ilvl w:val="0"/>
                <w:numId w:val="1"/>
              </w:numPr>
              <w:rPr>
                <w:sz w:val="22"/>
                <w:szCs w:val="20"/>
                <w:lang w:eastAsia="en-US"/>
              </w:rPr>
            </w:pPr>
            <w:r>
              <w:rPr>
                <w:sz w:val="22"/>
                <w:szCs w:val="20"/>
                <w:lang w:eastAsia="en-US"/>
              </w:rPr>
              <w:t>Practical Application and Deployment</w:t>
            </w:r>
          </w:p>
        </w:tc>
        <w:tc>
          <w:tcPr>
            <w:tcW w:w="990" w:type="dxa"/>
            <w:tcBorders>
              <w:top w:val="single" w:sz="4" w:space="0" w:color="auto"/>
              <w:left w:val="single" w:sz="4" w:space="0" w:color="auto"/>
              <w:bottom w:val="single" w:sz="4" w:space="0" w:color="auto"/>
              <w:right w:val="single" w:sz="4" w:space="0" w:color="auto"/>
            </w:tcBorders>
          </w:tcPr>
          <w:p w14:paraId="5611F7F4" w14:textId="77777777" w:rsidR="004E50AA" w:rsidRDefault="004E50AA">
            <w:pPr>
              <w:rPr>
                <w:szCs w:val="20"/>
              </w:rPr>
            </w:pPr>
            <w:r>
              <w:rPr>
                <w:szCs w:val="20"/>
              </w:rPr>
              <w:t>0-29%</w:t>
            </w:r>
          </w:p>
          <w:p w14:paraId="0A624062" w14:textId="77777777" w:rsidR="004E50AA" w:rsidRDefault="004E50AA">
            <w:pPr>
              <w:rPr>
                <w:szCs w:val="20"/>
              </w:rPr>
            </w:pPr>
          </w:p>
          <w:p w14:paraId="764CA2ED" w14:textId="77777777" w:rsidR="004E50AA" w:rsidRDefault="004E50AA">
            <w:pPr>
              <w:rPr>
                <w:szCs w:val="20"/>
              </w:rPr>
            </w:pPr>
            <w:r>
              <w:rPr>
                <w:szCs w:val="20"/>
              </w:rPr>
              <w:t xml:space="preserve">  </w:t>
            </w:r>
            <w:r>
              <w:rPr>
                <w:b/>
                <w:bCs/>
                <w:szCs w:val="20"/>
              </w:rPr>
              <w:t xml:space="preserve"> </w:t>
            </w:r>
            <w:r>
              <w:rPr>
                <w:b/>
                <w:bCs/>
                <w:szCs w:val="20"/>
              </w:rPr>
              <w:sym w:font="Wingdings 2" w:char="F0A3"/>
            </w:r>
          </w:p>
        </w:tc>
        <w:tc>
          <w:tcPr>
            <w:tcW w:w="1097" w:type="dxa"/>
            <w:tcBorders>
              <w:top w:val="single" w:sz="4" w:space="0" w:color="auto"/>
              <w:left w:val="single" w:sz="4" w:space="0" w:color="auto"/>
              <w:bottom w:val="single" w:sz="4" w:space="0" w:color="auto"/>
              <w:right w:val="single" w:sz="4" w:space="0" w:color="auto"/>
            </w:tcBorders>
          </w:tcPr>
          <w:p w14:paraId="75134831" w14:textId="77777777" w:rsidR="004E50AA" w:rsidRDefault="004E50AA">
            <w:pPr>
              <w:rPr>
                <w:szCs w:val="20"/>
              </w:rPr>
            </w:pPr>
            <w:r>
              <w:rPr>
                <w:szCs w:val="20"/>
              </w:rPr>
              <w:t>30-39%</w:t>
            </w:r>
          </w:p>
          <w:p w14:paraId="7FC587CB" w14:textId="77777777" w:rsidR="004E50AA" w:rsidRDefault="004E50AA">
            <w:pPr>
              <w:rPr>
                <w:szCs w:val="20"/>
              </w:rPr>
            </w:pPr>
          </w:p>
          <w:p w14:paraId="57F76AA9" w14:textId="77777777" w:rsidR="004E50AA" w:rsidRDefault="004E50AA">
            <w:pPr>
              <w:rPr>
                <w:szCs w:val="20"/>
              </w:rPr>
            </w:pPr>
            <w:r>
              <w:rPr>
                <w:b/>
                <w:bCs/>
                <w:szCs w:val="20"/>
              </w:rPr>
              <w:t xml:space="preserve">    </w:t>
            </w:r>
            <w:r>
              <w:rPr>
                <w:b/>
                <w:bCs/>
                <w:szCs w:val="20"/>
              </w:rPr>
              <w:sym w:font="Wingdings 2" w:char="F0A3"/>
            </w:r>
          </w:p>
        </w:tc>
        <w:tc>
          <w:tcPr>
            <w:tcW w:w="1063" w:type="dxa"/>
            <w:tcBorders>
              <w:top w:val="single" w:sz="4" w:space="0" w:color="auto"/>
              <w:left w:val="single" w:sz="4" w:space="0" w:color="auto"/>
              <w:bottom w:val="single" w:sz="4" w:space="0" w:color="auto"/>
              <w:right w:val="single" w:sz="4" w:space="0" w:color="auto"/>
            </w:tcBorders>
          </w:tcPr>
          <w:p w14:paraId="49C3AF3C" w14:textId="77777777" w:rsidR="004E50AA" w:rsidRDefault="004E50AA">
            <w:pPr>
              <w:rPr>
                <w:szCs w:val="20"/>
              </w:rPr>
            </w:pPr>
            <w:r>
              <w:rPr>
                <w:szCs w:val="20"/>
              </w:rPr>
              <w:t>40-49%</w:t>
            </w:r>
          </w:p>
          <w:p w14:paraId="73266277" w14:textId="77777777" w:rsidR="004E50AA" w:rsidRDefault="004E50AA">
            <w:pPr>
              <w:rPr>
                <w:szCs w:val="20"/>
              </w:rPr>
            </w:pPr>
          </w:p>
          <w:p w14:paraId="229C6EFC" w14:textId="77777777" w:rsidR="004E50AA" w:rsidRDefault="004E50AA">
            <w:pPr>
              <w:rPr>
                <w:szCs w:val="20"/>
              </w:rPr>
            </w:pPr>
            <w:r>
              <w:rPr>
                <w:b/>
                <w:bCs/>
                <w:szCs w:val="20"/>
              </w:rPr>
              <w:t xml:space="preserve">    </w:t>
            </w:r>
            <w:r>
              <w:rPr>
                <w:b/>
                <w:bCs/>
                <w:szCs w:val="20"/>
              </w:rPr>
              <w:sym w:font="Wingdings 2" w:char="F0A3"/>
            </w:r>
          </w:p>
        </w:tc>
        <w:tc>
          <w:tcPr>
            <w:tcW w:w="991" w:type="dxa"/>
            <w:tcBorders>
              <w:top w:val="single" w:sz="4" w:space="0" w:color="auto"/>
              <w:left w:val="single" w:sz="4" w:space="0" w:color="auto"/>
              <w:bottom w:val="single" w:sz="4" w:space="0" w:color="auto"/>
              <w:right w:val="single" w:sz="4" w:space="0" w:color="auto"/>
            </w:tcBorders>
          </w:tcPr>
          <w:p w14:paraId="665A87D8" w14:textId="77777777" w:rsidR="004E50AA" w:rsidRDefault="004E50AA">
            <w:pPr>
              <w:rPr>
                <w:szCs w:val="20"/>
              </w:rPr>
            </w:pPr>
            <w:r>
              <w:rPr>
                <w:szCs w:val="20"/>
              </w:rPr>
              <w:t>50-59%</w:t>
            </w:r>
          </w:p>
          <w:p w14:paraId="3A1A628E" w14:textId="77777777" w:rsidR="004E50AA" w:rsidRDefault="004E50AA">
            <w:pPr>
              <w:rPr>
                <w:szCs w:val="20"/>
              </w:rPr>
            </w:pPr>
          </w:p>
          <w:p w14:paraId="2143A972" w14:textId="77777777" w:rsidR="004E50AA" w:rsidRDefault="004E50AA">
            <w:pPr>
              <w:rPr>
                <w:szCs w:val="20"/>
              </w:rPr>
            </w:pPr>
            <w:r>
              <w:rPr>
                <w:b/>
                <w:bCs/>
                <w:szCs w:val="20"/>
              </w:rPr>
              <w:t xml:space="preserve">    </w:t>
            </w:r>
            <w:r>
              <w:rPr>
                <w:b/>
                <w:bCs/>
                <w:szCs w:val="20"/>
              </w:rPr>
              <w:sym w:font="Wingdings 2" w:char="F0A3"/>
            </w:r>
          </w:p>
        </w:tc>
        <w:tc>
          <w:tcPr>
            <w:tcW w:w="989" w:type="dxa"/>
            <w:tcBorders>
              <w:top w:val="single" w:sz="4" w:space="0" w:color="auto"/>
              <w:left w:val="single" w:sz="4" w:space="0" w:color="auto"/>
              <w:bottom w:val="single" w:sz="4" w:space="0" w:color="auto"/>
              <w:right w:val="single" w:sz="4" w:space="0" w:color="auto"/>
            </w:tcBorders>
          </w:tcPr>
          <w:p w14:paraId="3BC8354F" w14:textId="77777777" w:rsidR="004E50AA" w:rsidRDefault="004E50AA">
            <w:pPr>
              <w:rPr>
                <w:szCs w:val="20"/>
              </w:rPr>
            </w:pPr>
            <w:r>
              <w:rPr>
                <w:szCs w:val="20"/>
              </w:rPr>
              <w:t>60-69%</w:t>
            </w:r>
          </w:p>
          <w:p w14:paraId="0AB1E8B3" w14:textId="77777777" w:rsidR="004E50AA" w:rsidRDefault="004E50AA">
            <w:pPr>
              <w:rPr>
                <w:szCs w:val="20"/>
              </w:rPr>
            </w:pPr>
          </w:p>
          <w:p w14:paraId="6638DC10" w14:textId="77777777" w:rsidR="004E50AA" w:rsidRDefault="004E50AA">
            <w:pPr>
              <w:rPr>
                <w:szCs w:val="20"/>
              </w:rPr>
            </w:pPr>
            <w:r>
              <w:rPr>
                <w:b/>
                <w:bCs/>
                <w:szCs w:val="20"/>
              </w:rPr>
              <w:t xml:space="preserve">    </w:t>
            </w:r>
            <w:r>
              <w:rPr>
                <w:b/>
                <w:bCs/>
                <w:szCs w:val="20"/>
              </w:rPr>
              <w:sym w:font="Wingdings 2" w:char="F0A3"/>
            </w:r>
          </w:p>
        </w:tc>
        <w:tc>
          <w:tcPr>
            <w:tcW w:w="1006" w:type="dxa"/>
            <w:tcBorders>
              <w:top w:val="single" w:sz="4" w:space="0" w:color="auto"/>
              <w:left w:val="single" w:sz="4" w:space="0" w:color="auto"/>
              <w:bottom w:val="single" w:sz="4" w:space="0" w:color="auto"/>
              <w:right w:val="single" w:sz="4" w:space="0" w:color="auto"/>
            </w:tcBorders>
          </w:tcPr>
          <w:p w14:paraId="2E5F4521" w14:textId="77777777" w:rsidR="004E50AA" w:rsidRDefault="004E50AA">
            <w:pPr>
              <w:rPr>
                <w:szCs w:val="20"/>
              </w:rPr>
            </w:pPr>
            <w:r>
              <w:rPr>
                <w:szCs w:val="20"/>
              </w:rPr>
              <w:t>70-79%</w:t>
            </w:r>
          </w:p>
          <w:p w14:paraId="17EBCB5F" w14:textId="77777777" w:rsidR="004E50AA" w:rsidRDefault="004E50AA">
            <w:pPr>
              <w:rPr>
                <w:szCs w:val="20"/>
              </w:rPr>
            </w:pPr>
          </w:p>
          <w:p w14:paraId="4BE5C0D2" w14:textId="77777777" w:rsidR="004E50AA" w:rsidRDefault="004E50AA">
            <w:pPr>
              <w:rPr>
                <w:szCs w:val="20"/>
              </w:rPr>
            </w:pPr>
            <w:r>
              <w:rPr>
                <w:b/>
                <w:bCs/>
                <w:szCs w:val="20"/>
              </w:rPr>
              <w:t xml:space="preserve">    </w:t>
            </w:r>
            <w:r>
              <w:rPr>
                <w:b/>
                <w:bCs/>
                <w:szCs w:val="20"/>
              </w:rPr>
              <w:sym w:font="Wingdings 2" w:char="F0A3"/>
            </w:r>
          </w:p>
        </w:tc>
        <w:tc>
          <w:tcPr>
            <w:tcW w:w="1154" w:type="dxa"/>
            <w:tcBorders>
              <w:top w:val="single" w:sz="4" w:space="0" w:color="auto"/>
              <w:left w:val="single" w:sz="4" w:space="0" w:color="auto"/>
              <w:bottom w:val="single" w:sz="4" w:space="0" w:color="auto"/>
              <w:right w:val="single" w:sz="4" w:space="0" w:color="auto"/>
            </w:tcBorders>
          </w:tcPr>
          <w:p w14:paraId="482312CD" w14:textId="77777777" w:rsidR="004E50AA" w:rsidRDefault="004E50AA">
            <w:pPr>
              <w:rPr>
                <w:szCs w:val="20"/>
              </w:rPr>
            </w:pPr>
            <w:r>
              <w:rPr>
                <w:szCs w:val="20"/>
              </w:rPr>
              <w:t>80-100%</w:t>
            </w:r>
          </w:p>
          <w:p w14:paraId="04952C80" w14:textId="77777777" w:rsidR="004E50AA" w:rsidRDefault="004E50AA">
            <w:pPr>
              <w:rPr>
                <w:szCs w:val="20"/>
              </w:rPr>
            </w:pPr>
          </w:p>
          <w:p w14:paraId="69D8DECC" w14:textId="77777777" w:rsidR="004E50AA" w:rsidRDefault="004E50AA">
            <w:pPr>
              <w:rPr>
                <w:szCs w:val="20"/>
              </w:rPr>
            </w:pPr>
            <w:r>
              <w:rPr>
                <w:b/>
                <w:bCs/>
                <w:szCs w:val="20"/>
              </w:rPr>
              <w:t xml:space="preserve">    </w:t>
            </w:r>
            <w:r>
              <w:rPr>
                <w:b/>
                <w:bCs/>
                <w:szCs w:val="20"/>
              </w:rPr>
              <w:sym w:font="Wingdings 2" w:char="F0A3"/>
            </w:r>
          </w:p>
        </w:tc>
      </w:tr>
      <w:tr w:rsidR="004E50AA" w14:paraId="39BDA90A" w14:textId="77777777" w:rsidTr="004E50AA">
        <w:tc>
          <w:tcPr>
            <w:tcW w:w="2155" w:type="dxa"/>
            <w:tcBorders>
              <w:top w:val="single" w:sz="4" w:space="0" w:color="auto"/>
              <w:left w:val="single" w:sz="4" w:space="0" w:color="auto"/>
              <w:bottom w:val="single" w:sz="4" w:space="0" w:color="auto"/>
              <w:right w:val="single" w:sz="4" w:space="0" w:color="auto"/>
            </w:tcBorders>
            <w:hideMark/>
          </w:tcPr>
          <w:p w14:paraId="4988F4F6" w14:textId="77777777" w:rsidR="004E50AA" w:rsidRDefault="004E50AA" w:rsidP="00FD76F3">
            <w:pPr>
              <w:pStyle w:val="ListParagraph"/>
              <w:numPr>
                <w:ilvl w:val="0"/>
                <w:numId w:val="1"/>
              </w:numPr>
              <w:rPr>
                <w:sz w:val="22"/>
                <w:szCs w:val="20"/>
                <w:lang w:eastAsia="en-US"/>
              </w:rPr>
            </w:pPr>
            <w:r>
              <w:rPr>
                <w:sz w:val="22"/>
                <w:szCs w:val="20"/>
                <w:lang w:eastAsia="en-US"/>
              </w:rPr>
              <w:t>Skills for Professional Practice</w:t>
            </w:r>
          </w:p>
        </w:tc>
        <w:tc>
          <w:tcPr>
            <w:tcW w:w="990" w:type="dxa"/>
            <w:tcBorders>
              <w:top w:val="single" w:sz="4" w:space="0" w:color="auto"/>
              <w:left w:val="single" w:sz="4" w:space="0" w:color="auto"/>
              <w:bottom w:val="single" w:sz="4" w:space="0" w:color="auto"/>
              <w:right w:val="single" w:sz="4" w:space="0" w:color="auto"/>
            </w:tcBorders>
          </w:tcPr>
          <w:p w14:paraId="262A53B7" w14:textId="77777777" w:rsidR="004E50AA" w:rsidRDefault="004E50AA">
            <w:pPr>
              <w:rPr>
                <w:szCs w:val="20"/>
              </w:rPr>
            </w:pPr>
            <w:r>
              <w:rPr>
                <w:szCs w:val="20"/>
              </w:rPr>
              <w:t>0-29%</w:t>
            </w:r>
          </w:p>
          <w:p w14:paraId="40DA5EDC" w14:textId="77777777" w:rsidR="004E50AA" w:rsidRDefault="004E50AA">
            <w:pPr>
              <w:rPr>
                <w:szCs w:val="20"/>
              </w:rPr>
            </w:pPr>
          </w:p>
          <w:p w14:paraId="1475ED6C" w14:textId="77777777" w:rsidR="004E50AA" w:rsidRDefault="004E50AA">
            <w:pPr>
              <w:rPr>
                <w:szCs w:val="20"/>
              </w:rPr>
            </w:pPr>
            <w:r>
              <w:rPr>
                <w:szCs w:val="20"/>
              </w:rPr>
              <w:t xml:space="preserve">  </w:t>
            </w:r>
            <w:r>
              <w:rPr>
                <w:b/>
                <w:bCs/>
                <w:szCs w:val="20"/>
              </w:rPr>
              <w:t xml:space="preserve"> </w:t>
            </w:r>
            <w:r>
              <w:rPr>
                <w:b/>
                <w:bCs/>
                <w:szCs w:val="20"/>
              </w:rPr>
              <w:sym w:font="Wingdings 2" w:char="F0A3"/>
            </w:r>
          </w:p>
        </w:tc>
        <w:tc>
          <w:tcPr>
            <w:tcW w:w="1097" w:type="dxa"/>
            <w:tcBorders>
              <w:top w:val="single" w:sz="4" w:space="0" w:color="auto"/>
              <w:left w:val="single" w:sz="4" w:space="0" w:color="auto"/>
              <w:bottom w:val="single" w:sz="4" w:space="0" w:color="auto"/>
              <w:right w:val="single" w:sz="4" w:space="0" w:color="auto"/>
            </w:tcBorders>
          </w:tcPr>
          <w:p w14:paraId="0B22175D" w14:textId="77777777" w:rsidR="004E50AA" w:rsidRDefault="004E50AA">
            <w:pPr>
              <w:rPr>
                <w:szCs w:val="20"/>
              </w:rPr>
            </w:pPr>
            <w:r>
              <w:rPr>
                <w:szCs w:val="20"/>
              </w:rPr>
              <w:t>30-39%</w:t>
            </w:r>
          </w:p>
          <w:p w14:paraId="35E6F712" w14:textId="77777777" w:rsidR="004E50AA" w:rsidRDefault="004E50AA">
            <w:pPr>
              <w:rPr>
                <w:szCs w:val="20"/>
              </w:rPr>
            </w:pPr>
          </w:p>
          <w:p w14:paraId="78A12E6D" w14:textId="77777777" w:rsidR="004E50AA" w:rsidRDefault="004E50AA">
            <w:pPr>
              <w:rPr>
                <w:szCs w:val="20"/>
              </w:rPr>
            </w:pPr>
            <w:r>
              <w:rPr>
                <w:b/>
                <w:bCs/>
                <w:szCs w:val="20"/>
              </w:rPr>
              <w:t xml:space="preserve">    </w:t>
            </w:r>
            <w:r>
              <w:rPr>
                <w:b/>
                <w:bCs/>
                <w:szCs w:val="20"/>
              </w:rPr>
              <w:sym w:font="Wingdings 2" w:char="F0A3"/>
            </w:r>
          </w:p>
        </w:tc>
        <w:tc>
          <w:tcPr>
            <w:tcW w:w="1063" w:type="dxa"/>
            <w:tcBorders>
              <w:top w:val="single" w:sz="4" w:space="0" w:color="auto"/>
              <w:left w:val="single" w:sz="4" w:space="0" w:color="auto"/>
              <w:bottom w:val="single" w:sz="4" w:space="0" w:color="auto"/>
              <w:right w:val="single" w:sz="4" w:space="0" w:color="auto"/>
            </w:tcBorders>
          </w:tcPr>
          <w:p w14:paraId="5A7EF0F9" w14:textId="77777777" w:rsidR="004E50AA" w:rsidRDefault="004E50AA">
            <w:pPr>
              <w:rPr>
                <w:szCs w:val="20"/>
              </w:rPr>
            </w:pPr>
            <w:r>
              <w:rPr>
                <w:szCs w:val="20"/>
              </w:rPr>
              <w:t>40-49%</w:t>
            </w:r>
          </w:p>
          <w:p w14:paraId="52EF7784" w14:textId="77777777" w:rsidR="004E50AA" w:rsidRDefault="004E50AA">
            <w:pPr>
              <w:rPr>
                <w:szCs w:val="20"/>
              </w:rPr>
            </w:pPr>
          </w:p>
          <w:p w14:paraId="47C8F4D8" w14:textId="77777777" w:rsidR="004E50AA" w:rsidRDefault="004E50AA">
            <w:pPr>
              <w:rPr>
                <w:szCs w:val="20"/>
              </w:rPr>
            </w:pPr>
            <w:r>
              <w:rPr>
                <w:b/>
                <w:bCs/>
                <w:szCs w:val="20"/>
              </w:rPr>
              <w:t xml:space="preserve">    </w:t>
            </w:r>
            <w:r>
              <w:rPr>
                <w:b/>
                <w:bCs/>
                <w:szCs w:val="20"/>
              </w:rPr>
              <w:sym w:font="Wingdings 2" w:char="F0A3"/>
            </w:r>
          </w:p>
        </w:tc>
        <w:tc>
          <w:tcPr>
            <w:tcW w:w="991" w:type="dxa"/>
            <w:tcBorders>
              <w:top w:val="single" w:sz="4" w:space="0" w:color="auto"/>
              <w:left w:val="single" w:sz="4" w:space="0" w:color="auto"/>
              <w:bottom w:val="single" w:sz="4" w:space="0" w:color="auto"/>
              <w:right w:val="single" w:sz="4" w:space="0" w:color="auto"/>
            </w:tcBorders>
          </w:tcPr>
          <w:p w14:paraId="0365DFE9" w14:textId="77777777" w:rsidR="004E50AA" w:rsidRDefault="004E50AA">
            <w:pPr>
              <w:rPr>
                <w:szCs w:val="20"/>
              </w:rPr>
            </w:pPr>
            <w:r>
              <w:rPr>
                <w:szCs w:val="20"/>
              </w:rPr>
              <w:t>50-59%</w:t>
            </w:r>
          </w:p>
          <w:p w14:paraId="764B8E29" w14:textId="77777777" w:rsidR="004E50AA" w:rsidRDefault="004E50AA">
            <w:pPr>
              <w:rPr>
                <w:szCs w:val="20"/>
              </w:rPr>
            </w:pPr>
          </w:p>
          <w:p w14:paraId="4B99B4A7" w14:textId="77777777" w:rsidR="004E50AA" w:rsidRDefault="004E50AA">
            <w:pPr>
              <w:rPr>
                <w:szCs w:val="20"/>
              </w:rPr>
            </w:pPr>
            <w:r>
              <w:rPr>
                <w:b/>
                <w:bCs/>
                <w:szCs w:val="20"/>
              </w:rPr>
              <w:t xml:space="preserve">    </w:t>
            </w:r>
            <w:r>
              <w:rPr>
                <w:b/>
                <w:bCs/>
                <w:szCs w:val="20"/>
              </w:rPr>
              <w:sym w:font="Wingdings 2" w:char="F0A3"/>
            </w:r>
          </w:p>
        </w:tc>
        <w:tc>
          <w:tcPr>
            <w:tcW w:w="989" w:type="dxa"/>
            <w:tcBorders>
              <w:top w:val="single" w:sz="4" w:space="0" w:color="auto"/>
              <w:left w:val="single" w:sz="4" w:space="0" w:color="auto"/>
              <w:bottom w:val="single" w:sz="4" w:space="0" w:color="auto"/>
              <w:right w:val="single" w:sz="4" w:space="0" w:color="auto"/>
            </w:tcBorders>
          </w:tcPr>
          <w:p w14:paraId="62B44AF3" w14:textId="77777777" w:rsidR="004E50AA" w:rsidRDefault="004E50AA">
            <w:pPr>
              <w:rPr>
                <w:szCs w:val="20"/>
              </w:rPr>
            </w:pPr>
            <w:r>
              <w:rPr>
                <w:szCs w:val="20"/>
              </w:rPr>
              <w:t>60-69%</w:t>
            </w:r>
          </w:p>
          <w:p w14:paraId="39AC35C7" w14:textId="77777777" w:rsidR="004E50AA" w:rsidRDefault="004E50AA">
            <w:pPr>
              <w:rPr>
                <w:szCs w:val="20"/>
              </w:rPr>
            </w:pPr>
          </w:p>
          <w:p w14:paraId="1E97E38B" w14:textId="77777777" w:rsidR="004E50AA" w:rsidRDefault="004E50AA">
            <w:pPr>
              <w:rPr>
                <w:szCs w:val="20"/>
              </w:rPr>
            </w:pPr>
            <w:r>
              <w:rPr>
                <w:b/>
                <w:bCs/>
                <w:szCs w:val="20"/>
              </w:rPr>
              <w:t xml:space="preserve">    </w:t>
            </w:r>
            <w:r>
              <w:rPr>
                <w:b/>
                <w:bCs/>
                <w:szCs w:val="20"/>
              </w:rPr>
              <w:sym w:font="Wingdings 2" w:char="F0A3"/>
            </w:r>
          </w:p>
        </w:tc>
        <w:tc>
          <w:tcPr>
            <w:tcW w:w="1006" w:type="dxa"/>
            <w:tcBorders>
              <w:top w:val="single" w:sz="4" w:space="0" w:color="auto"/>
              <w:left w:val="single" w:sz="4" w:space="0" w:color="auto"/>
              <w:bottom w:val="single" w:sz="4" w:space="0" w:color="auto"/>
              <w:right w:val="single" w:sz="4" w:space="0" w:color="auto"/>
            </w:tcBorders>
          </w:tcPr>
          <w:p w14:paraId="44011394" w14:textId="77777777" w:rsidR="004E50AA" w:rsidRDefault="004E50AA">
            <w:pPr>
              <w:rPr>
                <w:szCs w:val="20"/>
              </w:rPr>
            </w:pPr>
            <w:r>
              <w:rPr>
                <w:szCs w:val="20"/>
              </w:rPr>
              <w:t>70-79%</w:t>
            </w:r>
          </w:p>
          <w:p w14:paraId="7858E490" w14:textId="77777777" w:rsidR="004E50AA" w:rsidRDefault="004E50AA">
            <w:pPr>
              <w:rPr>
                <w:szCs w:val="20"/>
              </w:rPr>
            </w:pPr>
          </w:p>
          <w:p w14:paraId="05455350" w14:textId="77777777" w:rsidR="004E50AA" w:rsidRDefault="004E50AA">
            <w:pPr>
              <w:rPr>
                <w:szCs w:val="20"/>
              </w:rPr>
            </w:pPr>
            <w:r>
              <w:rPr>
                <w:b/>
                <w:bCs/>
                <w:szCs w:val="20"/>
              </w:rPr>
              <w:t xml:space="preserve">    </w:t>
            </w:r>
            <w:r>
              <w:rPr>
                <w:b/>
                <w:bCs/>
                <w:szCs w:val="20"/>
              </w:rPr>
              <w:sym w:font="Wingdings 2" w:char="F0A3"/>
            </w:r>
          </w:p>
        </w:tc>
        <w:tc>
          <w:tcPr>
            <w:tcW w:w="1154" w:type="dxa"/>
            <w:tcBorders>
              <w:top w:val="single" w:sz="4" w:space="0" w:color="auto"/>
              <w:left w:val="single" w:sz="4" w:space="0" w:color="auto"/>
              <w:bottom w:val="single" w:sz="4" w:space="0" w:color="auto"/>
              <w:right w:val="single" w:sz="4" w:space="0" w:color="auto"/>
            </w:tcBorders>
          </w:tcPr>
          <w:p w14:paraId="4F99E639" w14:textId="77777777" w:rsidR="004E50AA" w:rsidRDefault="004E50AA">
            <w:pPr>
              <w:rPr>
                <w:szCs w:val="20"/>
              </w:rPr>
            </w:pPr>
            <w:r>
              <w:rPr>
                <w:szCs w:val="20"/>
              </w:rPr>
              <w:t>80-100%</w:t>
            </w:r>
          </w:p>
          <w:p w14:paraId="5E220175" w14:textId="77777777" w:rsidR="004E50AA" w:rsidRDefault="004E50AA">
            <w:pPr>
              <w:rPr>
                <w:szCs w:val="20"/>
              </w:rPr>
            </w:pPr>
          </w:p>
          <w:p w14:paraId="599EBCCB" w14:textId="77777777" w:rsidR="004E50AA" w:rsidRDefault="004E50AA">
            <w:pPr>
              <w:rPr>
                <w:szCs w:val="20"/>
              </w:rPr>
            </w:pPr>
            <w:r>
              <w:rPr>
                <w:b/>
                <w:bCs/>
                <w:szCs w:val="20"/>
              </w:rPr>
              <w:t xml:space="preserve">    </w:t>
            </w:r>
            <w:r>
              <w:rPr>
                <w:b/>
                <w:bCs/>
                <w:szCs w:val="20"/>
              </w:rPr>
              <w:sym w:font="Wingdings 2" w:char="F0A3"/>
            </w:r>
          </w:p>
        </w:tc>
      </w:tr>
    </w:tbl>
    <w:p w14:paraId="3C0AB0B0" w14:textId="77777777" w:rsidR="004E50AA" w:rsidRDefault="004E50AA" w:rsidP="004E50AA">
      <w:pPr>
        <w:rPr>
          <w:rFonts w:ascii="Arial" w:eastAsiaTheme="minorEastAsia" w:hAnsi="Arial"/>
          <w:kern w:val="2"/>
          <w:sz w:val="24"/>
          <w:lang w:eastAsia="en-GB"/>
          <w14:ligatures w14:val="standardContextual"/>
        </w:rPr>
      </w:pPr>
    </w:p>
    <w:p w14:paraId="0129116E" w14:textId="77777777" w:rsidR="004E50AA" w:rsidRDefault="004E50AA" w:rsidP="004E50AA"/>
    <w:p w14:paraId="1F8E52FF" w14:textId="77777777" w:rsidR="004E50AA" w:rsidRDefault="004E50AA" w:rsidP="004E50AA"/>
    <w:tbl>
      <w:tblPr>
        <w:tblStyle w:val="TableGrid"/>
        <w:tblW w:w="0" w:type="auto"/>
        <w:tblInd w:w="0" w:type="dxa"/>
        <w:tblLook w:val="04A0" w:firstRow="1" w:lastRow="0" w:firstColumn="1" w:lastColumn="0" w:noHBand="0" w:noVBand="1"/>
      </w:tblPr>
      <w:tblGrid>
        <w:gridCol w:w="4508"/>
        <w:gridCol w:w="4508"/>
      </w:tblGrid>
      <w:tr w:rsidR="004E50AA" w14:paraId="7EA64C62" w14:textId="77777777" w:rsidTr="004E50AA">
        <w:tc>
          <w:tcPr>
            <w:tcW w:w="4675"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3212D6A8" w14:textId="77777777" w:rsidR="004E50AA" w:rsidRDefault="004E50AA">
            <w:pPr>
              <w:spacing w:after="0" w:line="240" w:lineRule="auto"/>
              <w:rPr>
                <w:b/>
                <w:bCs/>
                <w:lang w:val="en-US"/>
              </w:rPr>
            </w:pPr>
            <w:r>
              <w:rPr>
                <w:b/>
                <w:bCs/>
                <w:lang w:val="en-US"/>
              </w:rPr>
              <w:t>PLEASE COMMENT ON AREAS IN WHICH YOU FEEL THAT YOU HAVE PERFORMED WELL</w:t>
            </w:r>
          </w:p>
        </w:tc>
        <w:tc>
          <w:tcPr>
            <w:tcW w:w="4675"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17C1BE18" w14:textId="77777777" w:rsidR="004E50AA" w:rsidRDefault="004E50AA">
            <w:pPr>
              <w:spacing w:line="240" w:lineRule="auto"/>
              <w:rPr>
                <w:b/>
                <w:bCs/>
              </w:rPr>
            </w:pPr>
            <w:r>
              <w:rPr>
                <w:b/>
                <w:bCs/>
              </w:rPr>
              <w:t>PLEASE COMMENT ON AREAS YOU FEEL THAT YOU NEED TO DEVELOP</w:t>
            </w:r>
          </w:p>
        </w:tc>
      </w:tr>
      <w:tr w:rsidR="004E50AA" w14:paraId="741F6322" w14:textId="77777777" w:rsidTr="004E50AA">
        <w:tc>
          <w:tcPr>
            <w:tcW w:w="4675" w:type="dxa"/>
            <w:tcBorders>
              <w:top w:val="single" w:sz="4" w:space="0" w:color="auto"/>
              <w:left w:val="single" w:sz="4" w:space="0" w:color="auto"/>
              <w:bottom w:val="single" w:sz="4" w:space="0" w:color="auto"/>
              <w:right w:val="single" w:sz="4" w:space="0" w:color="auto"/>
            </w:tcBorders>
          </w:tcPr>
          <w:p w14:paraId="4CCD53DC" w14:textId="77777777" w:rsidR="004E50AA" w:rsidRDefault="004E50AA" w:rsidP="00FD76F3">
            <w:pPr>
              <w:pStyle w:val="ListParagraph"/>
              <w:numPr>
                <w:ilvl w:val="0"/>
                <w:numId w:val="2"/>
              </w:numPr>
              <w:spacing w:line="276" w:lineRule="auto"/>
              <w:rPr>
                <w:lang w:eastAsia="en-US"/>
              </w:rPr>
            </w:pPr>
            <w:r>
              <w:rPr>
                <w:b/>
                <w:bCs/>
                <w:lang w:eastAsia="en-US"/>
              </w:rPr>
              <w:t>Thorough Research and Content Development:</w:t>
            </w:r>
            <w:r>
              <w:rPr>
                <w:lang w:eastAsia="en-US"/>
              </w:rPr>
              <w:t xml:space="preserve"> Extensive research was conducted, and well-structured information was prepared over multiple parts to address the complex </w:t>
            </w:r>
            <w:r>
              <w:rPr>
                <w:lang w:eastAsia="en-US"/>
              </w:rPr>
              <w:lastRenderedPageBreak/>
              <w:t>issues affecting employee retention in the hotel industry.</w:t>
            </w:r>
          </w:p>
          <w:p w14:paraId="7C16F1B7" w14:textId="77777777" w:rsidR="004E50AA" w:rsidRDefault="004E50AA">
            <w:pPr>
              <w:pStyle w:val="ListParagraph"/>
              <w:spacing w:line="276" w:lineRule="auto"/>
              <w:ind w:left="360"/>
              <w:rPr>
                <w:lang w:eastAsia="en-US"/>
              </w:rPr>
            </w:pPr>
          </w:p>
          <w:p w14:paraId="1743EEAC" w14:textId="77777777" w:rsidR="004E50AA" w:rsidRDefault="004E50AA" w:rsidP="00FD76F3">
            <w:pPr>
              <w:pStyle w:val="ListParagraph"/>
              <w:numPr>
                <w:ilvl w:val="0"/>
                <w:numId w:val="2"/>
              </w:numPr>
              <w:spacing w:line="276" w:lineRule="auto"/>
              <w:rPr>
                <w:lang w:eastAsia="en-US"/>
              </w:rPr>
            </w:pPr>
            <w:r>
              <w:rPr>
                <w:b/>
                <w:bCs/>
                <w:lang w:eastAsia="en-US"/>
              </w:rPr>
              <w:t>Addressed Task Requirements:</w:t>
            </w:r>
            <w:r>
              <w:rPr>
                <w:lang w:eastAsia="en-US"/>
              </w:rPr>
              <w:t xml:space="preserve"> Completed all sections within the required word count, discussing the influence of external variables (Brexit, COVID-19, inflation, the global retirement tide) on retention and providing solutions supported by relevant examples.</w:t>
            </w:r>
          </w:p>
          <w:p w14:paraId="2427F342" w14:textId="77777777" w:rsidR="004E50AA" w:rsidRDefault="004E50AA">
            <w:pPr>
              <w:spacing w:line="276" w:lineRule="auto"/>
            </w:pPr>
          </w:p>
          <w:p w14:paraId="2BABFC5A" w14:textId="77777777" w:rsidR="004E50AA" w:rsidRDefault="004E50AA" w:rsidP="00FD76F3">
            <w:pPr>
              <w:pStyle w:val="ListParagraph"/>
              <w:numPr>
                <w:ilvl w:val="0"/>
                <w:numId w:val="2"/>
              </w:numPr>
              <w:spacing w:line="276" w:lineRule="auto"/>
              <w:rPr>
                <w:lang w:eastAsia="en-US"/>
              </w:rPr>
            </w:pPr>
            <w:r>
              <w:rPr>
                <w:b/>
                <w:bCs/>
                <w:lang w:eastAsia="en-US"/>
              </w:rPr>
              <w:t>Clarity and Coherence:</w:t>
            </w:r>
            <w:r>
              <w:rPr>
                <w:lang w:eastAsia="en-US"/>
              </w:rPr>
              <w:t xml:space="preserve"> Provided information in a way that is easy to understand, with a logical progression and no confusing sections.</w:t>
            </w:r>
          </w:p>
          <w:p w14:paraId="7FFCC635" w14:textId="77777777" w:rsidR="004E50AA" w:rsidRDefault="004E50AA">
            <w:pPr>
              <w:spacing w:line="276" w:lineRule="auto"/>
            </w:pPr>
          </w:p>
          <w:p w14:paraId="1F4CE454" w14:textId="77777777" w:rsidR="004E50AA" w:rsidRDefault="004E50AA" w:rsidP="00FD76F3">
            <w:pPr>
              <w:pStyle w:val="ListParagraph"/>
              <w:numPr>
                <w:ilvl w:val="0"/>
                <w:numId w:val="2"/>
              </w:numPr>
              <w:spacing w:line="276" w:lineRule="auto"/>
              <w:rPr>
                <w:lang w:eastAsia="en-US"/>
              </w:rPr>
            </w:pPr>
            <w:r>
              <w:rPr>
                <w:b/>
                <w:bCs/>
                <w:lang w:eastAsia="en-US"/>
              </w:rPr>
              <w:t>Adherence to Guidelines:</w:t>
            </w:r>
            <w:r>
              <w:rPr>
                <w:lang w:eastAsia="en-US"/>
              </w:rPr>
              <w:t xml:space="preserve"> Met all subheading requirements, reached word count goals, and provided content that addressed all aspects of the assignment.</w:t>
            </w:r>
          </w:p>
        </w:tc>
        <w:tc>
          <w:tcPr>
            <w:tcW w:w="4675" w:type="dxa"/>
            <w:tcBorders>
              <w:top w:val="single" w:sz="4" w:space="0" w:color="auto"/>
              <w:left w:val="single" w:sz="4" w:space="0" w:color="auto"/>
              <w:bottom w:val="single" w:sz="4" w:space="0" w:color="auto"/>
              <w:right w:val="single" w:sz="4" w:space="0" w:color="auto"/>
            </w:tcBorders>
          </w:tcPr>
          <w:p w14:paraId="63E034C5" w14:textId="77777777" w:rsidR="004E50AA" w:rsidRDefault="004E50AA" w:rsidP="00FD76F3">
            <w:pPr>
              <w:pStyle w:val="ListParagraph"/>
              <w:numPr>
                <w:ilvl w:val="0"/>
                <w:numId w:val="2"/>
              </w:numPr>
              <w:spacing w:line="276" w:lineRule="auto"/>
              <w:rPr>
                <w:lang w:eastAsia="en-US"/>
              </w:rPr>
            </w:pPr>
            <w:r>
              <w:rPr>
                <w:b/>
                <w:bCs/>
                <w:lang w:eastAsia="en-US"/>
              </w:rPr>
              <w:lastRenderedPageBreak/>
              <w:t>Word Count Management:</w:t>
            </w:r>
            <w:r>
              <w:rPr>
                <w:lang w:eastAsia="en-US"/>
              </w:rPr>
              <w:t xml:space="preserve"> Managing the word count was difficult because it was difficult to add more information without going over the </w:t>
            </w:r>
            <w:r>
              <w:rPr>
                <w:lang w:eastAsia="en-US"/>
              </w:rPr>
              <w:lastRenderedPageBreak/>
              <w:t>allotted number of words for certain areas.</w:t>
            </w:r>
          </w:p>
          <w:p w14:paraId="2B5543A2" w14:textId="77777777" w:rsidR="004E50AA" w:rsidRDefault="004E50AA">
            <w:pPr>
              <w:spacing w:line="276" w:lineRule="auto"/>
            </w:pPr>
          </w:p>
          <w:p w14:paraId="01105E12" w14:textId="77777777" w:rsidR="004E50AA" w:rsidRDefault="004E50AA" w:rsidP="00FD76F3">
            <w:pPr>
              <w:pStyle w:val="ListParagraph"/>
              <w:numPr>
                <w:ilvl w:val="0"/>
                <w:numId w:val="2"/>
              </w:numPr>
              <w:spacing w:line="276" w:lineRule="auto"/>
              <w:rPr>
                <w:lang w:eastAsia="en-US"/>
              </w:rPr>
            </w:pPr>
            <w:r>
              <w:rPr>
                <w:b/>
                <w:bCs/>
                <w:lang w:eastAsia="en-US"/>
              </w:rPr>
              <w:t>Improvement in Language Style:</w:t>
            </w:r>
            <w:r>
              <w:rPr>
                <w:lang w:eastAsia="en-US"/>
              </w:rPr>
              <w:t xml:space="preserve"> Modifying one's writing style to fit different levels of formality could use some work. Adapting the style to formal or more academic language might be advantageous in certain sections.</w:t>
            </w:r>
          </w:p>
          <w:p w14:paraId="6BF57F33" w14:textId="77777777" w:rsidR="004E50AA" w:rsidRDefault="004E50AA">
            <w:pPr>
              <w:spacing w:line="276" w:lineRule="auto"/>
            </w:pPr>
          </w:p>
          <w:p w14:paraId="441DBD3E" w14:textId="77777777" w:rsidR="004E50AA" w:rsidRDefault="004E50AA" w:rsidP="00FD76F3">
            <w:pPr>
              <w:pStyle w:val="ListParagraph"/>
              <w:numPr>
                <w:ilvl w:val="0"/>
                <w:numId w:val="2"/>
              </w:numPr>
              <w:spacing w:line="276" w:lineRule="auto"/>
              <w:rPr>
                <w:lang w:eastAsia="en-US"/>
              </w:rPr>
            </w:pPr>
            <w:r>
              <w:rPr>
                <w:b/>
                <w:bCs/>
                <w:lang w:eastAsia="en-US"/>
              </w:rPr>
              <w:t>Further Elaboration:</w:t>
            </w:r>
            <w:r>
              <w:rPr>
                <w:lang w:eastAsia="en-US"/>
              </w:rPr>
              <w:t xml:space="preserve"> Some sections might require deeper research or elaboration to offer more extensive insights into the impact of external factors on staff retention and their unique relevance to the InterContinental Hotel chain.</w:t>
            </w:r>
          </w:p>
          <w:p w14:paraId="43F1C053" w14:textId="77777777" w:rsidR="004E50AA" w:rsidRDefault="004E50AA">
            <w:pPr>
              <w:spacing w:line="276" w:lineRule="auto"/>
            </w:pPr>
          </w:p>
          <w:p w14:paraId="2C6C10F6" w14:textId="77777777" w:rsidR="004E50AA" w:rsidRDefault="004E50AA">
            <w:pPr>
              <w:spacing w:line="276" w:lineRule="auto"/>
            </w:pPr>
          </w:p>
          <w:p w14:paraId="48D37AEB" w14:textId="77777777" w:rsidR="004E50AA" w:rsidRDefault="004E50AA" w:rsidP="00FD76F3">
            <w:pPr>
              <w:pStyle w:val="ListParagraph"/>
              <w:numPr>
                <w:ilvl w:val="0"/>
                <w:numId w:val="2"/>
              </w:numPr>
              <w:spacing w:line="276" w:lineRule="auto"/>
              <w:rPr>
                <w:lang w:eastAsia="en-US"/>
              </w:rPr>
            </w:pPr>
            <w:r>
              <w:rPr>
                <w:b/>
                <w:bCs/>
                <w:lang w:eastAsia="en-US"/>
              </w:rPr>
              <w:t>Self-Editing:</w:t>
            </w:r>
            <w:r>
              <w:rPr>
                <w:lang w:eastAsia="en-US"/>
              </w:rPr>
              <w:t xml:space="preserve"> Getting better at editing one's own work such that word count targets are fulfilled without sacrificing content depth or quality.</w:t>
            </w:r>
          </w:p>
        </w:tc>
      </w:tr>
    </w:tbl>
    <w:p w14:paraId="732B006A" w14:textId="77777777" w:rsidR="004E50AA" w:rsidRDefault="004E50AA" w:rsidP="004E50AA">
      <w:pPr>
        <w:rPr>
          <w:rFonts w:ascii="Arial" w:eastAsiaTheme="minorEastAsia" w:hAnsi="Arial"/>
          <w:kern w:val="2"/>
          <w:lang w:eastAsia="en-GB"/>
          <w14:ligatures w14:val="standardContextual"/>
        </w:rPr>
      </w:pPr>
    </w:p>
    <w:tbl>
      <w:tblPr>
        <w:tblStyle w:val="TableGrid"/>
        <w:tblW w:w="0" w:type="auto"/>
        <w:tblInd w:w="0" w:type="dxa"/>
        <w:tblLook w:val="04A0" w:firstRow="1" w:lastRow="0" w:firstColumn="1" w:lastColumn="0" w:noHBand="0" w:noVBand="1"/>
      </w:tblPr>
      <w:tblGrid>
        <w:gridCol w:w="2276"/>
        <w:gridCol w:w="4044"/>
        <w:gridCol w:w="803"/>
        <w:gridCol w:w="1893"/>
      </w:tblGrid>
      <w:tr w:rsidR="004E50AA" w14:paraId="2565FFF0" w14:textId="77777777" w:rsidTr="004E50AA">
        <w:trPr>
          <w:trHeight w:val="575"/>
        </w:trPr>
        <w:tc>
          <w:tcPr>
            <w:tcW w:w="2334"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53BBE675" w14:textId="77777777" w:rsidR="004E50AA" w:rsidRDefault="004E50AA">
            <w:pPr>
              <w:spacing w:after="0"/>
              <w:rPr>
                <w:b/>
                <w:bCs/>
                <w:lang w:val="en-US"/>
              </w:rPr>
            </w:pPr>
            <w:r>
              <w:rPr>
                <w:b/>
                <w:bCs/>
                <w:lang w:val="en-US"/>
              </w:rPr>
              <w:t>Student’s Name</w:t>
            </w:r>
          </w:p>
        </w:tc>
        <w:tc>
          <w:tcPr>
            <w:tcW w:w="4231" w:type="dxa"/>
            <w:tcBorders>
              <w:top w:val="single" w:sz="4" w:space="0" w:color="auto"/>
              <w:left w:val="single" w:sz="4" w:space="0" w:color="auto"/>
              <w:bottom w:val="single" w:sz="4" w:space="0" w:color="auto"/>
              <w:right w:val="single" w:sz="4" w:space="0" w:color="auto"/>
            </w:tcBorders>
          </w:tcPr>
          <w:p w14:paraId="6A84EB65" w14:textId="77777777" w:rsidR="004E50AA" w:rsidRDefault="004E50AA"/>
        </w:tc>
        <w:tc>
          <w:tcPr>
            <w:tcW w:w="810"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08477A2E" w14:textId="77777777" w:rsidR="004E50AA" w:rsidRDefault="004E50AA">
            <w:pPr>
              <w:rPr>
                <w:b/>
                <w:bCs/>
              </w:rPr>
            </w:pPr>
            <w:r>
              <w:rPr>
                <w:b/>
                <w:bCs/>
              </w:rPr>
              <w:t>Date</w:t>
            </w:r>
          </w:p>
        </w:tc>
        <w:tc>
          <w:tcPr>
            <w:tcW w:w="1975" w:type="dxa"/>
            <w:tcBorders>
              <w:top w:val="single" w:sz="4" w:space="0" w:color="auto"/>
              <w:left w:val="single" w:sz="4" w:space="0" w:color="auto"/>
              <w:bottom w:val="single" w:sz="4" w:space="0" w:color="auto"/>
              <w:right w:val="single" w:sz="4" w:space="0" w:color="auto"/>
            </w:tcBorders>
          </w:tcPr>
          <w:p w14:paraId="3926ED2F" w14:textId="77777777" w:rsidR="004E50AA" w:rsidRDefault="004E50AA"/>
        </w:tc>
      </w:tr>
      <w:tr w:rsidR="004E50AA" w14:paraId="587476A5" w14:textId="77777777" w:rsidTr="004E50AA">
        <w:tc>
          <w:tcPr>
            <w:tcW w:w="2334"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55186830" w14:textId="77777777" w:rsidR="004E50AA" w:rsidRDefault="004E50AA">
            <w:pPr>
              <w:rPr>
                <w:b/>
                <w:bCs/>
              </w:rPr>
            </w:pPr>
            <w:r>
              <w:rPr>
                <w:b/>
                <w:bCs/>
              </w:rPr>
              <w:t>Student’s Signature</w:t>
            </w:r>
          </w:p>
        </w:tc>
        <w:tc>
          <w:tcPr>
            <w:tcW w:w="7016" w:type="dxa"/>
            <w:gridSpan w:val="3"/>
            <w:tcBorders>
              <w:top w:val="single" w:sz="4" w:space="0" w:color="auto"/>
              <w:left w:val="single" w:sz="4" w:space="0" w:color="auto"/>
              <w:bottom w:val="single" w:sz="4" w:space="0" w:color="auto"/>
              <w:right w:val="single" w:sz="4" w:space="0" w:color="auto"/>
            </w:tcBorders>
          </w:tcPr>
          <w:p w14:paraId="2461D6A6" w14:textId="77777777" w:rsidR="004E50AA" w:rsidRDefault="004E50AA"/>
        </w:tc>
      </w:tr>
    </w:tbl>
    <w:p w14:paraId="06F877B4" w14:textId="77777777" w:rsidR="004E50AA" w:rsidRDefault="004E50AA" w:rsidP="004E50AA">
      <w:pPr>
        <w:rPr>
          <w:rFonts w:ascii="Arial" w:eastAsiaTheme="minorEastAsia" w:hAnsi="Arial"/>
          <w:kern w:val="2"/>
          <w:lang w:eastAsia="en-GB"/>
          <w14:ligatures w14:val="standardContextual"/>
        </w:rPr>
      </w:pPr>
    </w:p>
    <w:p w14:paraId="7CA51719" w14:textId="77777777" w:rsidR="001E43DD" w:rsidRDefault="001E43DD"/>
    <w:sectPr w:rsidR="001E43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F281D"/>
    <w:multiLevelType w:val="hybridMultilevel"/>
    <w:tmpl w:val="3810506A"/>
    <w:lvl w:ilvl="0" w:tplc="0409000D">
      <w:start w:val="1"/>
      <w:numFmt w:val="bullet"/>
      <w:lvlText w:val=""/>
      <w:lvlJc w:val="left"/>
      <w:pPr>
        <w:ind w:left="360" w:hanging="360"/>
      </w:pPr>
      <w:rPr>
        <w:rFonts w:ascii="Wingdings" w:hAnsi="Wingdings"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1" w15:restartNumberingAfterBreak="0">
    <w:nsid w:val="1FD9023A"/>
    <w:multiLevelType w:val="hybridMultilevel"/>
    <w:tmpl w:val="ECFADD1E"/>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num w:numId="1" w16cid:durableId="198419222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37734169">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5E1"/>
    <w:rsid w:val="001E43DD"/>
    <w:rsid w:val="004E50AA"/>
    <w:rsid w:val="00735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F2084"/>
  <w15:chartTrackingRefBased/>
  <w15:docId w15:val="{3CA4F394-F17F-461B-BE7D-604AF014D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0AA"/>
    <w:pPr>
      <w:spacing w:line="256" w:lineRule="auto"/>
    </w:pPr>
    <w:rPr>
      <w:kern w:val="0"/>
      <w14:ligatures w14:val="none"/>
    </w:rPr>
  </w:style>
  <w:style w:type="paragraph" w:styleId="Heading1">
    <w:name w:val="heading 1"/>
    <w:basedOn w:val="Normal"/>
    <w:next w:val="Normal"/>
    <w:link w:val="Heading1Char"/>
    <w:uiPriority w:val="9"/>
    <w:qFormat/>
    <w:rsid w:val="004E50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E50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0AA"/>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semiHidden/>
    <w:rsid w:val="004E50AA"/>
    <w:rPr>
      <w:rFonts w:asciiTheme="majorHAnsi" w:eastAsiaTheme="majorEastAsia" w:hAnsiTheme="majorHAnsi" w:cstheme="majorBidi"/>
      <w:color w:val="2F5496" w:themeColor="accent1" w:themeShade="BF"/>
      <w:kern w:val="0"/>
      <w:sz w:val="26"/>
      <w:szCs w:val="26"/>
      <w14:ligatures w14:val="none"/>
    </w:rPr>
  </w:style>
  <w:style w:type="character" w:styleId="Hyperlink">
    <w:name w:val="Hyperlink"/>
    <w:basedOn w:val="DefaultParagraphFont"/>
    <w:uiPriority w:val="99"/>
    <w:semiHidden/>
    <w:unhideWhenUsed/>
    <w:rsid w:val="004E50AA"/>
    <w:rPr>
      <w:color w:val="0563C1" w:themeColor="hyperlink"/>
      <w:u w:val="single"/>
    </w:rPr>
  </w:style>
  <w:style w:type="paragraph" w:styleId="TOC1">
    <w:name w:val="toc 1"/>
    <w:basedOn w:val="Normal"/>
    <w:next w:val="Normal"/>
    <w:autoRedefine/>
    <w:uiPriority w:val="39"/>
    <w:semiHidden/>
    <w:unhideWhenUsed/>
    <w:rsid w:val="004E50AA"/>
    <w:pPr>
      <w:spacing w:after="100" w:line="360" w:lineRule="auto"/>
      <w:jc w:val="both"/>
    </w:pPr>
    <w:rPr>
      <w:rFonts w:ascii="Arial" w:eastAsiaTheme="minorEastAsia" w:hAnsi="Arial"/>
      <w:kern w:val="2"/>
      <w:sz w:val="24"/>
      <w:lang w:eastAsia="en-GB"/>
      <w14:ligatures w14:val="standardContextual"/>
    </w:rPr>
  </w:style>
  <w:style w:type="paragraph" w:styleId="TOC2">
    <w:name w:val="toc 2"/>
    <w:basedOn w:val="Normal"/>
    <w:next w:val="Normal"/>
    <w:autoRedefine/>
    <w:uiPriority w:val="39"/>
    <w:semiHidden/>
    <w:unhideWhenUsed/>
    <w:rsid w:val="004E50AA"/>
    <w:pPr>
      <w:spacing w:after="100" w:line="360" w:lineRule="auto"/>
      <w:ind w:left="240"/>
      <w:jc w:val="both"/>
    </w:pPr>
    <w:rPr>
      <w:rFonts w:ascii="Arial" w:eastAsiaTheme="minorEastAsia" w:hAnsi="Arial"/>
      <w:kern w:val="2"/>
      <w:sz w:val="24"/>
      <w:lang w:eastAsia="en-GB"/>
      <w14:ligatures w14:val="standardContextual"/>
    </w:rPr>
  </w:style>
  <w:style w:type="paragraph" w:styleId="ListParagraph">
    <w:name w:val="List Paragraph"/>
    <w:basedOn w:val="Normal"/>
    <w:uiPriority w:val="34"/>
    <w:qFormat/>
    <w:rsid w:val="004E50AA"/>
    <w:pPr>
      <w:spacing w:line="360" w:lineRule="auto"/>
      <w:ind w:left="720"/>
      <w:contextualSpacing/>
      <w:jc w:val="both"/>
    </w:pPr>
    <w:rPr>
      <w:rFonts w:ascii="Arial" w:eastAsiaTheme="minorEastAsia" w:hAnsi="Arial"/>
      <w:kern w:val="2"/>
      <w:sz w:val="24"/>
      <w:lang w:eastAsia="en-GB"/>
      <w14:ligatures w14:val="standardContextual"/>
    </w:rPr>
  </w:style>
  <w:style w:type="paragraph" w:styleId="TOCHeading">
    <w:name w:val="TOC Heading"/>
    <w:basedOn w:val="Heading1"/>
    <w:next w:val="Normal"/>
    <w:uiPriority w:val="39"/>
    <w:semiHidden/>
    <w:unhideWhenUsed/>
    <w:qFormat/>
    <w:rsid w:val="004E50AA"/>
    <w:pPr>
      <w:outlineLvl w:val="9"/>
    </w:pPr>
    <w:rPr>
      <w:lang w:val="en-US"/>
      <w14:ligatures w14:val="standardContextual"/>
    </w:rPr>
  </w:style>
  <w:style w:type="table" w:styleId="TableGrid">
    <w:name w:val="Table Grid"/>
    <w:basedOn w:val="TableNormal"/>
    <w:uiPriority w:val="39"/>
    <w:rsid w:val="004E50AA"/>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480708">
      <w:bodyDiv w:val="1"/>
      <w:marLeft w:val="0"/>
      <w:marRight w:val="0"/>
      <w:marTop w:val="0"/>
      <w:marBottom w:val="0"/>
      <w:divBdr>
        <w:top w:val="none" w:sz="0" w:space="0" w:color="auto"/>
        <w:left w:val="none" w:sz="0" w:space="0" w:color="auto"/>
        <w:bottom w:val="none" w:sz="0" w:space="0" w:color="auto"/>
        <w:right w:val="none" w:sz="0" w:space="0" w:color="auto"/>
      </w:divBdr>
    </w:div>
    <w:div w:id="1939481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toic\Desktop\personnel%20resourcing.docx" TargetMode="External"/><Relationship Id="rId13" Type="http://schemas.openxmlformats.org/officeDocument/2006/relationships/hyperlink" Target="file:///C:\Users\stoic\Desktop\personnel%20resourcing.docx" TargetMode="External"/><Relationship Id="rId3" Type="http://schemas.openxmlformats.org/officeDocument/2006/relationships/settings" Target="settings.xml"/><Relationship Id="rId7" Type="http://schemas.openxmlformats.org/officeDocument/2006/relationships/hyperlink" Target="file:///C:\Users\stoic\Desktop\personnel%20resourcing.docx" TargetMode="External"/><Relationship Id="rId12" Type="http://schemas.openxmlformats.org/officeDocument/2006/relationships/hyperlink" Target="file:///C:\Users\stoic\Desktop\personnel%20resourcing.doc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file:///C:\Users\stoic\Desktop\personnel%20resourcing.docx" TargetMode="External"/><Relationship Id="rId11" Type="http://schemas.openxmlformats.org/officeDocument/2006/relationships/hyperlink" Target="file:///C:\Users\stoic\Desktop\personnel%20resourcing.docx" TargetMode="External"/><Relationship Id="rId5" Type="http://schemas.openxmlformats.org/officeDocument/2006/relationships/hyperlink" Target="file:///C:\Users\stoic\Desktop\personnel%20resourcing.docx" TargetMode="External"/><Relationship Id="rId15" Type="http://schemas.openxmlformats.org/officeDocument/2006/relationships/fontTable" Target="fontTable.xml"/><Relationship Id="rId10" Type="http://schemas.openxmlformats.org/officeDocument/2006/relationships/hyperlink" Target="file:///C:\Users\stoic\Desktop\personnel%20resourcing.docx" TargetMode="External"/><Relationship Id="rId4" Type="http://schemas.openxmlformats.org/officeDocument/2006/relationships/webSettings" Target="webSettings.xml"/><Relationship Id="rId9" Type="http://schemas.openxmlformats.org/officeDocument/2006/relationships/hyperlink" Target="file:///C:\Users\stoic\Desktop\personnel%20resourcing.docx" TargetMode="External"/><Relationship Id="rId14" Type="http://schemas.openxmlformats.org/officeDocument/2006/relationships/hyperlink" Target="file:///C:\Users\stoic\Desktop\personnel%20resourcing.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3225</Words>
  <Characters>18385</Characters>
  <Application>Microsoft Office Word</Application>
  <DocSecurity>0</DocSecurity>
  <Lines>153</Lines>
  <Paragraphs>43</Paragraphs>
  <ScaleCrop>false</ScaleCrop>
  <Company/>
  <LinksUpToDate>false</LinksUpToDate>
  <CharactersWithSpaces>21567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Stoica Carmen</dc:creator>
  <cp:keywords/>
  <dc:description/>
  <cp:lastModifiedBy>Stoica Carmen</cp:lastModifiedBy>
  <cp:revision>2</cp:revision>
  <dcterms:created xsi:type="dcterms:W3CDTF">2023-11-13T10:08:00Z</dcterms:created>
  <dcterms:modified xsi:type="dcterms:W3CDTF">2023-11-13T10:10:00Z</dcterms:modified>
</cp:coreProperties>
</file>