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45E49C5" w14:textId="77777777" w:rsidR="00CA4225" w:rsidRPr="00CA4225" w:rsidRDefault="003A67DD" w:rsidP="00CA4225">
      <w:pPr>
        <w:jc w:val="center"/>
        <w:rPr>
          <w:b/>
          <w:sz w:val="32"/>
          <w:lang w:val="en-GB"/>
        </w:rPr>
      </w:pPr>
      <w:r>
        <w:rPr>
          <w:noProof/>
          <w:lang w:val="en-IN"/>
        </w:rPr>
        <w:drawing>
          <wp:inline distT="0" distB="0" distL="0" distR="0" wp14:anchorId="3DC150CB" wp14:editId="3C45422E">
            <wp:extent cx="2762250" cy="1231253"/>
            <wp:effectExtent l="0" t="0" r="0" b="7620"/>
            <wp:docPr id="9" name="Picture 9"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niversity of Wales Trinity Saint David - Sagar Consulta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6074" cy="1237415"/>
                    </a:xfrm>
                    <a:prstGeom prst="rect">
                      <a:avLst/>
                    </a:prstGeom>
                    <a:noFill/>
                    <a:ln>
                      <a:noFill/>
                    </a:ln>
                  </pic:spPr>
                </pic:pic>
              </a:graphicData>
            </a:graphic>
          </wp:inline>
        </w:drawing>
      </w:r>
    </w:p>
    <w:p w14:paraId="104105C0" w14:textId="77777777" w:rsidR="00CA4225" w:rsidRPr="00CA4225" w:rsidRDefault="00CA4225" w:rsidP="00CA4225">
      <w:pPr>
        <w:jc w:val="center"/>
        <w:rPr>
          <w:b/>
          <w:sz w:val="32"/>
          <w:lang w:val="en-GB"/>
        </w:rPr>
      </w:pPr>
    </w:p>
    <w:p w14:paraId="298661E8" w14:textId="77777777" w:rsidR="00CA4225" w:rsidRPr="00CA4225" w:rsidRDefault="003A67DD" w:rsidP="00CA4225">
      <w:pPr>
        <w:jc w:val="center"/>
        <w:rPr>
          <w:b/>
          <w:sz w:val="32"/>
          <w:lang w:val="en-GB"/>
        </w:rPr>
      </w:pPr>
      <w:r w:rsidRPr="003A67DD">
        <w:rPr>
          <w:b/>
          <w:sz w:val="32"/>
          <w:lang w:val="en-GB"/>
        </w:rPr>
        <w:t>PROGRAMME: MASTER OF BUSINESS ADMINISTRATION</w:t>
      </w:r>
    </w:p>
    <w:p w14:paraId="2366BBE1" w14:textId="77777777" w:rsidR="003F36A5" w:rsidRPr="00CA4225" w:rsidRDefault="00CA4225" w:rsidP="00CA4225">
      <w:pPr>
        <w:jc w:val="center"/>
        <w:rPr>
          <w:b/>
          <w:sz w:val="32"/>
          <w:lang w:val="en-GB"/>
        </w:rPr>
      </w:pPr>
      <w:r w:rsidRPr="00CA4225">
        <w:rPr>
          <w:b/>
          <w:sz w:val="32"/>
          <w:lang w:val="en-GB"/>
        </w:rPr>
        <w:t>MODULE: HUMAN CAPITAL MANAGEMENT</w:t>
      </w:r>
    </w:p>
    <w:p w14:paraId="37425BDD" w14:textId="77777777" w:rsidR="003F36A5" w:rsidRPr="00CA4225" w:rsidRDefault="00CA4225" w:rsidP="00CA4225">
      <w:pPr>
        <w:jc w:val="center"/>
        <w:rPr>
          <w:b/>
          <w:sz w:val="32"/>
          <w:lang w:val="en-GB"/>
        </w:rPr>
      </w:pPr>
      <w:r w:rsidRPr="00CA4225">
        <w:rPr>
          <w:b/>
          <w:sz w:val="32"/>
          <w:lang w:val="en-GB"/>
        </w:rPr>
        <w:t>MODULE CODE: LCMB7023</w:t>
      </w:r>
    </w:p>
    <w:p w14:paraId="07CAFED0" w14:textId="77777777" w:rsidR="003F36A5" w:rsidRPr="00CA4225" w:rsidRDefault="00CA4225" w:rsidP="00CA4225">
      <w:pPr>
        <w:jc w:val="center"/>
        <w:rPr>
          <w:b/>
          <w:sz w:val="32"/>
          <w:lang w:val="en-GB"/>
        </w:rPr>
      </w:pPr>
      <w:r w:rsidRPr="00CA4225">
        <w:rPr>
          <w:b/>
          <w:sz w:val="32"/>
          <w:lang w:val="en-GB"/>
        </w:rPr>
        <w:t>TOPIC: INNOVATING NEW WORKING PRACTICES AND BREEDING AN ENVIRONMENT WHERE TALENT MAY GROW</w:t>
      </w:r>
    </w:p>
    <w:p w14:paraId="119E16A8" w14:textId="77777777" w:rsidR="003F36A5" w:rsidRPr="00CA4225" w:rsidRDefault="00CA4225" w:rsidP="00CA4225">
      <w:pPr>
        <w:jc w:val="center"/>
        <w:rPr>
          <w:b/>
          <w:sz w:val="32"/>
          <w:lang w:val="en-GB"/>
        </w:rPr>
      </w:pPr>
      <w:r w:rsidRPr="00CA4225">
        <w:rPr>
          <w:b/>
          <w:sz w:val="32"/>
          <w:lang w:val="en-GB"/>
        </w:rPr>
        <w:t>SCENARIO: NEXSPACE HEALTH SYSTEMS (NHSX)</w:t>
      </w:r>
    </w:p>
    <w:p w14:paraId="78D7DB22" w14:textId="77777777" w:rsidR="00CA4225" w:rsidRPr="00CA4225" w:rsidRDefault="00CA4225" w:rsidP="00CA4225">
      <w:pPr>
        <w:jc w:val="center"/>
        <w:rPr>
          <w:b/>
          <w:sz w:val="32"/>
          <w:lang w:val="en-GB"/>
        </w:rPr>
      </w:pPr>
    </w:p>
    <w:p w14:paraId="7E499777" w14:textId="77777777" w:rsidR="008117D8" w:rsidRPr="008117D8" w:rsidRDefault="008117D8" w:rsidP="008117D8">
      <w:pPr>
        <w:spacing w:after="0"/>
        <w:jc w:val="center"/>
        <w:rPr>
          <w:b/>
          <w:sz w:val="32"/>
          <w:lang w:val="en-GB"/>
        </w:rPr>
      </w:pPr>
      <w:proofErr w:type="gramStart"/>
      <w:r w:rsidRPr="008117D8">
        <w:rPr>
          <w:b/>
          <w:sz w:val="32"/>
          <w:lang w:val="en-GB"/>
        </w:rPr>
        <w:t>Name :</w:t>
      </w:r>
      <w:proofErr w:type="gramEnd"/>
      <w:r w:rsidRPr="008117D8">
        <w:rPr>
          <w:b/>
          <w:sz w:val="32"/>
          <w:lang w:val="en-GB"/>
        </w:rPr>
        <w:t>- Sujal Joshi</w:t>
      </w:r>
    </w:p>
    <w:p w14:paraId="6844B1B4" w14:textId="77777777" w:rsidR="008117D8" w:rsidRPr="008117D8" w:rsidRDefault="008117D8" w:rsidP="008117D8">
      <w:pPr>
        <w:spacing w:after="0"/>
        <w:jc w:val="center"/>
        <w:rPr>
          <w:b/>
          <w:sz w:val="32"/>
          <w:lang w:val="en-GB"/>
        </w:rPr>
      </w:pPr>
      <w:proofErr w:type="gramStart"/>
      <w:r w:rsidRPr="008117D8">
        <w:rPr>
          <w:b/>
          <w:sz w:val="32"/>
          <w:lang w:val="en-GB"/>
        </w:rPr>
        <w:t>Course :</w:t>
      </w:r>
      <w:proofErr w:type="gramEnd"/>
      <w:r w:rsidRPr="008117D8">
        <w:rPr>
          <w:b/>
          <w:sz w:val="32"/>
          <w:lang w:val="en-GB"/>
        </w:rPr>
        <w:t>- MBA INTERNATIONAL Bunnies Management</w:t>
      </w:r>
    </w:p>
    <w:p w14:paraId="2E6241CD" w14:textId="77777777" w:rsidR="008117D8" w:rsidRPr="008117D8" w:rsidRDefault="008117D8" w:rsidP="008117D8">
      <w:pPr>
        <w:spacing w:after="0"/>
        <w:jc w:val="center"/>
        <w:rPr>
          <w:b/>
          <w:sz w:val="32"/>
          <w:lang w:val="en-GB"/>
        </w:rPr>
      </w:pPr>
      <w:r w:rsidRPr="008117D8">
        <w:rPr>
          <w:b/>
          <w:sz w:val="32"/>
          <w:lang w:val="en-GB"/>
        </w:rPr>
        <w:t xml:space="preserve">ROLL </w:t>
      </w:r>
      <w:proofErr w:type="gramStart"/>
      <w:r w:rsidRPr="008117D8">
        <w:rPr>
          <w:b/>
          <w:sz w:val="32"/>
          <w:lang w:val="en-GB"/>
        </w:rPr>
        <w:t>NO :</w:t>
      </w:r>
      <w:proofErr w:type="gramEnd"/>
      <w:r w:rsidRPr="008117D8">
        <w:rPr>
          <w:b/>
          <w:sz w:val="32"/>
          <w:lang w:val="en-GB"/>
        </w:rPr>
        <w:t>- 2616040</w:t>
      </w:r>
    </w:p>
    <w:p w14:paraId="0A830F2C" w14:textId="77777777" w:rsidR="008117D8" w:rsidRPr="008117D8" w:rsidRDefault="008117D8" w:rsidP="008117D8">
      <w:pPr>
        <w:spacing w:after="0"/>
        <w:jc w:val="center"/>
        <w:rPr>
          <w:b/>
          <w:sz w:val="32"/>
          <w:lang w:val="en-GB"/>
        </w:rPr>
      </w:pPr>
      <w:r w:rsidRPr="008117D8">
        <w:rPr>
          <w:b/>
          <w:sz w:val="32"/>
          <w:lang w:val="en-GB"/>
        </w:rPr>
        <w:t xml:space="preserve">Submission </w:t>
      </w:r>
      <w:proofErr w:type="gramStart"/>
      <w:r w:rsidRPr="008117D8">
        <w:rPr>
          <w:b/>
          <w:sz w:val="32"/>
          <w:lang w:val="en-GB"/>
        </w:rPr>
        <w:t>date :</w:t>
      </w:r>
      <w:proofErr w:type="gramEnd"/>
      <w:r w:rsidRPr="008117D8">
        <w:rPr>
          <w:b/>
          <w:sz w:val="32"/>
          <w:lang w:val="en-GB"/>
        </w:rPr>
        <w:t>- 15/10/2026</w:t>
      </w:r>
    </w:p>
    <w:p w14:paraId="0AF46971" w14:textId="60E9B937" w:rsidR="00CD127D" w:rsidRDefault="008117D8" w:rsidP="008117D8">
      <w:pPr>
        <w:spacing w:after="0"/>
        <w:jc w:val="center"/>
        <w:rPr>
          <w:lang w:val="en-GB"/>
        </w:rPr>
      </w:pPr>
      <w:proofErr w:type="gramStart"/>
      <w:r w:rsidRPr="008117D8">
        <w:rPr>
          <w:b/>
          <w:sz w:val="32"/>
          <w:lang w:val="en-GB"/>
        </w:rPr>
        <w:t>Subject :</w:t>
      </w:r>
      <w:proofErr w:type="gramEnd"/>
      <w:r w:rsidRPr="008117D8">
        <w:rPr>
          <w:b/>
          <w:sz w:val="32"/>
          <w:lang w:val="en-GB"/>
        </w:rPr>
        <w:t>- human capital management</w:t>
      </w:r>
      <w:r w:rsidR="00CD127D">
        <w:rPr>
          <w:lang w:val="en-GB"/>
        </w:rPr>
        <w:br w:type="page"/>
      </w:r>
    </w:p>
    <w:sdt>
      <w:sdtPr>
        <w:rPr>
          <w:rFonts w:ascii="Times New Roman" w:eastAsia="Times New Roman" w:hAnsi="Times New Roman" w:cs="Times New Roman"/>
          <w:color w:val="auto"/>
          <w:sz w:val="24"/>
          <w:szCs w:val="24"/>
          <w:lang w:val="en" w:eastAsia="en-IN"/>
        </w:rPr>
        <w:id w:val="446356957"/>
        <w:docPartObj>
          <w:docPartGallery w:val="Table of Contents"/>
          <w:docPartUnique/>
        </w:docPartObj>
      </w:sdtPr>
      <w:sdtEndPr>
        <w:rPr>
          <w:b/>
          <w:bCs/>
          <w:noProof/>
        </w:rPr>
      </w:sdtEndPr>
      <w:sdtContent>
        <w:p w14:paraId="5D7DBF6F" w14:textId="77777777" w:rsidR="00CD127D" w:rsidRPr="00CD127D" w:rsidRDefault="00CD127D" w:rsidP="008117D8">
          <w:pPr>
            <w:pStyle w:val="TOCHeading"/>
            <w:jc w:val="center"/>
            <w:rPr>
              <w:rFonts w:ascii="Times New Roman" w:hAnsi="Times New Roman" w:cs="Times New Roman"/>
              <w:b/>
              <w:color w:val="auto"/>
              <w:sz w:val="28"/>
            </w:rPr>
          </w:pPr>
          <w:r w:rsidRPr="00CD127D">
            <w:rPr>
              <w:rFonts w:ascii="Times New Roman" w:hAnsi="Times New Roman" w:cs="Times New Roman"/>
              <w:b/>
              <w:color w:val="auto"/>
              <w:sz w:val="28"/>
            </w:rPr>
            <w:t>Table of Contents</w:t>
          </w:r>
        </w:p>
        <w:p w14:paraId="3C25E5AF" w14:textId="77777777" w:rsidR="003A67DD" w:rsidRDefault="00CD127D" w:rsidP="008117D8">
          <w:pPr>
            <w:pStyle w:val="TOC1"/>
            <w:tabs>
              <w:tab w:val="right" w:leader="dot" w:pos="9016"/>
            </w:tabs>
            <w:jc w:val="center"/>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241926452" w:history="1">
            <w:r w:rsidR="003A67DD" w:rsidRPr="00B535F1">
              <w:rPr>
                <w:rStyle w:val="Hyperlink"/>
                <w:noProof/>
                <w:lang w:val="en-GB"/>
              </w:rPr>
              <w:t>Task A: Designing Innovative Working Practices</w:t>
            </w:r>
            <w:r w:rsidR="003A67DD">
              <w:rPr>
                <w:noProof/>
                <w:webHidden/>
              </w:rPr>
              <w:tab/>
            </w:r>
            <w:r w:rsidR="003A67DD">
              <w:rPr>
                <w:noProof/>
                <w:webHidden/>
              </w:rPr>
              <w:fldChar w:fldCharType="begin"/>
            </w:r>
            <w:r w:rsidR="003A67DD">
              <w:rPr>
                <w:noProof/>
                <w:webHidden/>
              </w:rPr>
              <w:instrText xml:space="preserve"> PAGEREF _Toc241926452 \h </w:instrText>
            </w:r>
            <w:r w:rsidR="003A67DD">
              <w:rPr>
                <w:noProof/>
                <w:webHidden/>
              </w:rPr>
            </w:r>
            <w:r w:rsidR="003A67DD">
              <w:rPr>
                <w:noProof/>
                <w:webHidden/>
              </w:rPr>
              <w:fldChar w:fldCharType="separate"/>
            </w:r>
            <w:r w:rsidR="003A67DD">
              <w:rPr>
                <w:noProof/>
                <w:webHidden/>
              </w:rPr>
              <w:t>3</w:t>
            </w:r>
            <w:r w:rsidR="003A67DD">
              <w:rPr>
                <w:noProof/>
                <w:webHidden/>
              </w:rPr>
              <w:fldChar w:fldCharType="end"/>
            </w:r>
          </w:hyperlink>
        </w:p>
        <w:p w14:paraId="14E934AE" w14:textId="77777777" w:rsidR="003A67DD" w:rsidRDefault="003A67DD" w:rsidP="008117D8">
          <w:pPr>
            <w:pStyle w:val="TOC2"/>
            <w:tabs>
              <w:tab w:val="right" w:leader="dot" w:pos="9016"/>
            </w:tabs>
            <w:jc w:val="center"/>
            <w:rPr>
              <w:rFonts w:asciiTheme="minorHAnsi" w:eastAsiaTheme="minorEastAsia" w:hAnsiTheme="minorHAnsi" w:cstheme="minorBidi"/>
              <w:noProof/>
              <w:sz w:val="22"/>
              <w:szCs w:val="22"/>
              <w:lang w:val="en-IN"/>
            </w:rPr>
          </w:pPr>
          <w:hyperlink w:anchor="_Toc241926453" w:history="1">
            <w:r w:rsidRPr="00B535F1">
              <w:rPr>
                <w:rStyle w:val="Hyperlink"/>
                <w:noProof/>
                <w:lang w:val="en-GB"/>
              </w:rPr>
              <w:t>1.1 Critical Evaluation: Traditional versus Contemporary Work Design</w:t>
            </w:r>
            <w:r>
              <w:rPr>
                <w:noProof/>
                <w:webHidden/>
              </w:rPr>
              <w:tab/>
            </w:r>
            <w:r>
              <w:rPr>
                <w:noProof/>
                <w:webHidden/>
              </w:rPr>
              <w:fldChar w:fldCharType="begin"/>
            </w:r>
            <w:r>
              <w:rPr>
                <w:noProof/>
                <w:webHidden/>
              </w:rPr>
              <w:instrText xml:space="preserve"> PAGEREF _Toc241926453 \h </w:instrText>
            </w:r>
            <w:r>
              <w:rPr>
                <w:noProof/>
                <w:webHidden/>
              </w:rPr>
            </w:r>
            <w:r>
              <w:rPr>
                <w:noProof/>
                <w:webHidden/>
              </w:rPr>
              <w:fldChar w:fldCharType="separate"/>
            </w:r>
            <w:r>
              <w:rPr>
                <w:noProof/>
                <w:webHidden/>
              </w:rPr>
              <w:t>3</w:t>
            </w:r>
            <w:r>
              <w:rPr>
                <w:noProof/>
                <w:webHidden/>
              </w:rPr>
              <w:fldChar w:fldCharType="end"/>
            </w:r>
          </w:hyperlink>
        </w:p>
        <w:p w14:paraId="5196C356" w14:textId="77777777" w:rsidR="003A67DD" w:rsidRDefault="003A67DD" w:rsidP="008117D8">
          <w:pPr>
            <w:pStyle w:val="TOC2"/>
            <w:tabs>
              <w:tab w:val="right" w:leader="dot" w:pos="9016"/>
            </w:tabs>
            <w:jc w:val="center"/>
            <w:rPr>
              <w:rFonts w:asciiTheme="minorHAnsi" w:eastAsiaTheme="minorEastAsia" w:hAnsiTheme="minorHAnsi" w:cstheme="minorBidi"/>
              <w:noProof/>
              <w:sz w:val="22"/>
              <w:szCs w:val="22"/>
              <w:lang w:val="en-IN"/>
            </w:rPr>
          </w:pPr>
          <w:hyperlink w:anchor="_Toc241926454" w:history="1">
            <w:r w:rsidRPr="00B535F1">
              <w:rPr>
                <w:rStyle w:val="Hyperlink"/>
                <w:noProof/>
                <w:lang w:val="en-GB"/>
              </w:rPr>
              <w:t>1.2 Framework Recommendations for NHSX</w:t>
            </w:r>
            <w:r>
              <w:rPr>
                <w:noProof/>
                <w:webHidden/>
              </w:rPr>
              <w:tab/>
            </w:r>
            <w:r>
              <w:rPr>
                <w:noProof/>
                <w:webHidden/>
              </w:rPr>
              <w:fldChar w:fldCharType="begin"/>
            </w:r>
            <w:r>
              <w:rPr>
                <w:noProof/>
                <w:webHidden/>
              </w:rPr>
              <w:instrText xml:space="preserve"> PAGEREF _Toc241926454 \h </w:instrText>
            </w:r>
            <w:r>
              <w:rPr>
                <w:noProof/>
                <w:webHidden/>
              </w:rPr>
            </w:r>
            <w:r>
              <w:rPr>
                <w:noProof/>
                <w:webHidden/>
              </w:rPr>
              <w:fldChar w:fldCharType="separate"/>
            </w:r>
            <w:r>
              <w:rPr>
                <w:noProof/>
                <w:webHidden/>
              </w:rPr>
              <w:t>4</w:t>
            </w:r>
            <w:r>
              <w:rPr>
                <w:noProof/>
                <w:webHidden/>
              </w:rPr>
              <w:fldChar w:fldCharType="end"/>
            </w:r>
          </w:hyperlink>
        </w:p>
        <w:p w14:paraId="1FD0A910" w14:textId="77777777" w:rsidR="003A67DD" w:rsidRDefault="003A67DD" w:rsidP="008117D8">
          <w:pPr>
            <w:pStyle w:val="TOC1"/>
            <w:tabs>
              <w:tab w:val="right" w:leader="dot" w:pos="9016"/>
            </w:tabs>
            <w:jc w:val="center"/>
            <w:rPr>
              <w:rFonts w:asciiTheme="minorHAnsi" w:eastAsiaTheme="minorEastAsia" w:hAnsiTheme="minorHAnsi" w:cstheme="minorBidi"/>
              <w:noProof/>
              <w:sz w:val="22"/>
              <w:szCs w:val="22"/>
              <w:lang w:val="en-IN"/>
            </w:rPr>
          </w:pPr>
          <w:hyperlink w:anchor="_Toc241926455" w:history="1">
            <w:r w:rsidRPr="00B535F1">
              <w:rPr>
                <w:rStyle w:val="Hyperlink"/>
                <w:noProof/>
                <w:lang w:val="en-GB"/>
              </w:rPr>
              <w:t>Task B: Breeding an Environment Where Talent May Grow</w:t>
            </w:r>
            <w:r>
              <w:rPr>
                <w:noProof/>
                <w:webHidden/>
              </w:rPr>
              <w:tab/>
            </w:r>
            <w:r>
              <w:rPr>
                <w:noProof/>
                <w:webHidden/>
              </w:rPr>
              <w:fldChar w:fldCharType="begin"/>
            </w:r>
            <w:r>
              <w:rPr>
                <w:noProof/>
                <w:webHidden/>
              </w:rPr>
              <w:instrText xml:space="preserve"> PAGEREF _Toc241926455 \h </w:instrText>
            </w:r>
            <w:r>
              <w:rPr>
                <w:noProof/>
                <w:webHidden/>
              </w:rPr>
            </w:r>
            <w:r>
              <w:rPr>
                <w:noProof/>
                <w:webHidden/>
              </w:rPr>
              <w:fldChar w:fldCharType="separate"/>
            </w:r>
            <w:r>
              <w:rPr>
                <w:noProof/>
                <w:webHidden/>
              </w:rPr>
              <w:t>7</w:t>
            </w:r>
            <w:r>
              <w:rPr>
                <w:noProof/>
                <w:webHidden/>
              </w:rPr>
              <w:fldChar w:fldCharType="end"/>
            </w:r>
          </w:hyperlink>
        </w:p>
        <w:p w14:paraId="22F29717" w14:textId="77777777" w:rsidR="003A67DD" w:rsidRDefault="003A67DD" w:rsidP="008117D8">
          <w:pPr>
            <w:pStyle w:val="TOC2"/>
            <w:tabs>
              <w:tab w:val="right" w:leader="dot" w:pos="9016"/>
            </w:tabs>
            <w:jc w:val="center"/>
            <w:rPr>
              <w:rFonts w:asciiTheme="minorHAnsi" w:eastAsiaTheme="minorEastAsia" w:hAnsiTheme="minorHAnsi" w:cstheme="minorBidi"/>
              <w:noProof/>
              <w:sz w:val="22"/>
              <w:szCs w:val="22"/>
              <w:lang w:val="en-IN"/>
            </w:rPr>
          </w:pPr>
          <w:hyperlink w:anchor="_Toc241926456" w:history="1">
            <w:r w:rsidRPr="00B535F1">
              <w:rPr>
                <w:rStyle w:val="Hyperlink"/>
                <w:noProof/>
                <w:lang w:val="en-GB"/>
              </w:rPr>
              <w:t>2.1 Critical Evaluation: Creating Environments for Talent Flourishing</w:t>
            </w:r>
            <w:r>
              <w:rPr>
                <w:noProof/>
                <w:webHidden/>
              </w:rPr>
              <w:tab/>
            </w:r>
            <w:r>
              <w:rPr>
                <w:noProof/>
                <w:webHidden/>
              </w:rPr>
              <w:fldChar w:fldCharType="begin"/>
            </w:r>
            <w:r>
              <w:rPr>
                <w:noProof/>
                <w:webHidden/>
              </w:rPr>
              <w:instrText xml:space="preserve"> PAGEREF _Toc241926456 \h </w:instrText>
            </w:r>
            <w:r>
              <w:rPr>
                <w:noProof/>
                <w:webHidden/>
              </w:rPr>
            </w:r>
            <w:r>
              <w:rPr>
                <w:noProof/>
                <w:webHidden/>
              </w:rPr>
              <w:fldChar w:fldCharType="separate"/>
            </w:r>
            <w:r>
              <w:rPr>
                <w:noProof/>
                <w:webHidden/>
              </w:rPr>
              <w:t>7</w:t>
            </w:r>
            <w:r>
              <w:rPr>
                <w:noProof/>
                <w:webHidden/>
              </w:rPr>
              <w:fldChar w:fldCharType="end"/>
            </w:r>
          </w:hyperlink>
        </w:p>
        <w:p w14:paraId="4F9B23BF" w14:textId="77777777" w:rsidR="003A67DD" w:rsidRDefault="003A67DD" w:rsidP="008117D8">
          <w:pPr>
            <w:pStyle w:val="TOC1"/>
            <w:tabs>
              <w:tab w:val="right" w:leader="dot" w:pos="9016"/>
            </w:tabs>
            <w:jc w:val="center"/>
            <w:rPr>
              <w:rFonts w:asciiTheme="minorHAnsi" w:eastAsiaTheme="minorEastAsia" w:hAnsiTheme="minorHAnsi" w:cstheme="minorBidi"/>
              <w:noProof/>
              <w:sz w:val="22"/>
              <w:szCs w:val="22"/>
              <w:lang w:val="en-IN"/>
            </w:rPr>
          </w:pPr>
          <w:hyperlink w:anchor="_Toc241926457" w:history="1">
            <w:r w:rsidRPr="00B535F1">
              <w:rPr>
                <w:rStyle w:val="Hyperlink"/>
                <w:noProof/>
                <w:lang w:val="en-GB"/>
              </w:rPr>
              <w:t>References</w:t>
            </w:r>
            <w:r>
              <w:rPr>
                <w:noProof/>
                <w:webHidden/>
              </w:rPr>
              <w:tab/>
            </w:r>
            <w:r>
              <w:rPr>
                <w:noProof/>
                <w:webHidden/>
              </w:rPr>
              <w:fldChar w:fldCharType="begin"/>
            </w:r>
            <w:r>
              <w:rPr>
                <w:noProof/>
                <w:webHidden/>
              </w:rPr>
              <w:instrText xml:space="preserve"> PAGEREF _Toc241926457 \h </w:instrText>
            </w:r>
            <w:r>
              <w:rPr>
                <w:noProof/>
                <w:webHidden/>
              </w:rPr>
            </w:r>
            <w:r>
              <w:rPr>
                <w:noProof/>
                <w:webHidden/>
              </w:rPr>
              <w:fldChar w:fldCharType="separate"/>
            </w:r>
            <w:r>
              <w:rPr>
                <w:noProof/>
                <w:webHidden/>
              </w:rPr>
              <w:t>9</w:t>
            </w:r>
            <w:r>
              <w:rPr>
                <w:noProof/>
                <w:webHidden/>
              </w:rPr>
              <w:fldChar w:fldCharType="end"/>
            </w:r>
          </w:hyperlink>
        </w:p>
        <w:p w14:paraId="0DB740CA" w14:textId="77777777" w:rsidR="00CD127D" w:rsidRDefault="00CD127D" w:rsidP="008117D8">
          <w:pPr>
            <w:jc w:val="center"/>
          </w:pPr>
          <w:r>
            <w:rPr>
              <w:b/>
              <w:bCs/>
              <w:noProof/>
            </w:rPr>
            <w:fldChar w:fldCharType="end"/>
          </w:r>
        </w:p>
      </w:sdtContent>
    </w:sdt>
    <w:p w14:paraId="4A3D3629" w14:textId="77777777" w:rsidR="003F36A5" w:rsidRPr="00CA4225" w:rsidRDefault="00FB1DF3">
      <w:pPr>
        <w:rPr>
          <w:lang w:val="en-GB"/>
        </w:rPr>
      </w:pPr>
      <w:r w:rsidRPr="00CA4225">
        <w:rPr>
          <w:lang w:val="en-GB"/>
        </w:rPr>
        <w:br w:type="page"/>
      </w:r>
    </w:p>
    <w:p w14:paraId="2953A640" w14:textId="77777777" w:rsidR="003F36A5" w:rsidRPr="00CA4225" w:rsidRDefault="00CD127D">
      <w:pPr>
        <w:pStyle w:val="Heading1"/>
        <w:rPr>
          <w:lang w:val="en-GB"/>
        </w:rPr>
      </w:pPr>
      <w:bookmarkStart w:id="0" w:name="_wb5mvyou1qjk" w:colFirst="0" w:colLast="0"/>
      <w:bookmarkStart w:id="1" w:name="_Toc241926452"/>
      <w:bookmarkEnd w:id="0"/>
      <w:r w:rsidRPr="00CA4225">
        <w:rPr>
          <w:lang w:val="en-GB"/>
        </w:rPr>
        <w:lastRenderedPageBreak/>
        <w:t xml:space="preserve">Task </w:t>
      </w:r>
      <w:r w:rsidR="00FB1DF3" w:rsidRPr="00CA4225">
        <w:rPr>
          <w:lang w:val="en-GB"/>
        </w:rPr>
        <w:t>A: Designing Innovative Working Practices</w:t>
      </w:r>
      <w:bookmarkEnd w:id="1"/>
      <w:r w:rsidR="00FB1DF3" w:rsidRPr="00CA4225">
        <w:rPr>
          <w:lang w:val="en-GB"/>
        </w:rPr>
        <w:t xml:space="preserve"> </w:t>
      </w:r>
    </w:p>
    <w:p w14:paraId="091DB98C" w14:textId="77777777" w:rsidR="003F36A5" w:rsidRPr="00CA4225" w:rsidRDefault="00FB1DF3">
      <w:pPr>
        <w:pStyle w:val="Heading2"/>
        <w:rPr>
          <w:lang w:val="en-GB"/>
        </w:rPr>
      </w:pPr>
      <w:bookmarkStart w:id="2" w:name="_kt4clofq00i7" w:colFirst="0" w:colLast="0"/>
      <w:bookmarkStart w:id="3" w:name="_Toc241926453"/>
      <w:bookmarkEnd w:id="2"/>
      <w:r w:rsidRPr="00CA4225">
        <w:rPr>
          <w:lang w:val="en-GB"/>
        </w:rPr>
        <w:t>1.1 Critical Evaluation: Traditional versus Contemporary Work Design</w:t>
      </w:r>
      <w:bookmarkEnd w:id="3"/>
      <w:r w:rsidRPr="00CA4225">
        <w:rPr>
          <w:lang w:val="en-GB"/>
        </w:rPr>
        <w:t xml:space="preserve"> </w:t>
      </w:r>
    </w:p>
    <w:p w14:paraId="5463F099" w14:textId="77777777" w:rsidR="003F36A5" w:rsidRPr="00CA4225" w:rsidRDefault="00FB1DF3">
      <w:pPr>
        <w:rPr>
          <w:lang w:val="en-GB"/>
        </w:rPr>
      </w:pPr>
      <w:r w:rsidRPr="0062524E">
        <w:rPr>
          <w:lang w:val="en-GB"/>
        </w:rPr>
        <w:t xml:space="preserve">Traditional hierarchical work systems </w:t>
      </w:r>
      <w:r w:rsidR="00860C5B" w:rsidRPr="0062524E">
        <w:rPr>
          <w:lang w:val="en-GB"/>
        </w:rPr>
        <w:t>be situated</w:t>
      </w:r>
      <w:r w:rsidRPr="0062524E">
        <w:rPr>
          <w:lang w:val="en-GB"/>
        </w:rPr>
        <w:t xml:space="preserve"> </w:t>
      </w:r>
      <w:r w:rsidR="0062524E" w:rsidRPr="0062524E">
        <w:rPr>
          <w:lang w:val="en-GB"/>
        </w:rPr>
        <w:t>as</w:t>
      </w:r>
      <w:r w:rsidRPr="0062524E">
        <w:rPr>
          <w:lang w:val="en-GB"/>
        </w:rPr>
        <w:t xml:space="preserve"> decision-making, </w:t>
      </w:r>
      <w:r w:rsidR="0062524E" w:rsidRPr="0062524E">
        <w:rPr>
          <w:lang w:val="en-GB"/>
        </w:rPr>
        <w:t>severe</w:t>
      </w:r>
      <w:r w:rsidRPr="0062524E">
        <w:rPr>
          <w:lang w:val="en-GB"/>
        </w:rPr>
        <w:t xml:space="preserve"> role </w:t>
      </w:r>
      <w:r w:rsidR="0062524E" w:rsidRPr="0062524E">
        <w:rPr>
          <w:lang w:val="en-GB"/>
        </w:rPr>
        <w:t>limitations</w:t>
      </w:r>
      <w:r w:rsidRPr="0062524E">
        <w:rPr>
          <w:lang w:val="en-GB"/>
        </w:rPr>
        <w:t xml:space="preserve">, </w:t>
      </w:r>
      <w:r w:rsidR="0062524E" w:rsidRPr="0062524E">
        <w:rPr>
          <w:lang w:val="en-GB"/>
        </w:rPr>
        <w:t>as well as</w:t>
      </w:r>
      <w:r w:rsidRPr="0062524E">
        <w:rPr>
          <w:lang w:val="en-GB"/>
        </w:rPr>
        <w:t xml:space="preserve"> linear communication, which are </w:t>
      </w:r>
      <w:r w:rsidR="0062524E" w:rsidRPr="0062524E">
        <w:rPr>
          <w:lang w:val="en-GB"/>
        </w:rPr>
        <w:t>progressively</w:t>
      </w:r>
      <w:r w:rsidRPr="0062524E">
        <w:rPr>
          <w:lang w:val="en-GB"/>
        </w:rPr>
        <w:t xml:space="preserve"> </w:t>
      </w:r>
      <w:r w:rsidR="0062524E" w:rsidRPr="0062524E">
        <w:rPr>
          <w:lang w:val="en-GB"/>
        </w:rPr>
        <w:t>documented</w:t>
      </w:r>
      <w:r w:rsidRPr="0062524E">
        <w:rPr>
          <w:lang w:val="en-GB"/>
        </w:rPr>
        <w:t xml:space="preserve"> as being </w:t>
      </w:r>
      <w:r w:rsidR="0062524E" w:rsidRPr="0062524E">
        <w:rPr>
          <w:lang w:val="en-GB"/>
        </w:rPr>
        <w:t>adversative</w:t>
      </w:r>
      <w:r w:rsidRPr="0062524E">
        <w:rPr>
          <w:lang w:val="en-GB"/>
        </w:rPr>
        <w:t xml:space="preserve"> to organisational </w:t>
      </w:r>
      <w:r w:rsidR="0062524E" w:rsidRPr="0062524E">
        <w:rPr>
          <w:lang w:val="en-GB"/>
        </w:rPr>
        <w:t>revolution</w:t>
      </w:r>
      <w:r w:rsidRPr="0062524E">
        <w:rPr>
          <w:lang w:val="en-GB"/>
        </w:rPr>
        <w:t xml:space="preserve">. </w:t>
      </w:r>
      <w:r w:rsidRPr="00CA4225">
        <w:rPr>
          <w:lang w:val="en-GB"/>
        </w:rPr>
        <w:t xml:space="preserve">In knowledge-intensive sectors such as healthcare technology, these systems involve structures with bureaucratic drag and systemic slowness rather than adaptive responses to environmental change (Naqshbandi, 2025). NexSpace Health Systems (NHSX) shows tension regarding decision bottlenecks, employee disengagement, and impaired cross-site collaboration across the UK, India, and the UAE, which are structural symptoms of over-centralisation. </w:t>
      </w:r>
    </w:p>
    <w:p w14:paraId="1911F507" w14:textId="77777777" w:rsidR="003F36A5" w:rsidRPr="00CA4225" w:rsidRDefault="00FB1DF3">
      <w:pPr>
        <w:rPr>
          <w:lang w:val="en-GB"/>
        </w:rPr>
      </w:pPr>
      <w:r w:rsidRPr="00CA4225">
        <w:rPr>
          <w:b/>
          <w:bCs/>
          <w:lang w:val="en-GB"/>
        </w:rPr>
        <w:t>High-Performance Work Systems (HPWS)</w:t>
      </w:r>
      <w:r w:rsidRPr="00CA4225">
        <w:rPr>
          <w:lang w:val="en-GB"/>
        </w:rPr>
        <w:t xml:space="preserve"> involve a configuration process, developing practices such as rigorous selection, performance-based incentives, and developmental training to create synergistic gains in employees' capability, motivation and performance (Bhardwaj </w:t>
      </w:r>
      <w:r w:rsidRPr="00CA4225">
        <w:rPr>
          <w:i/>
          <w:iCs/>
          <w:lang w:val="en-GB"/>
        </w:rPr>
        <w:t>et al.</w:t>
      </w:r>
      <w:r w:rsidRPr="00CA4225">
        <w:rPr>
          <w:lang w:val="en-GB"/>
        </w:rPr>
        <w:t xml:space="preserve"> 2025). Singh</w:t>
      </w:r>
      <w:r w:rsidRPr="00CA4225">
        <w:rPr>
          <w:i/>
          <w:iCs/>
          <w:lang w:val="en-GB"/>
        </w:rPr>
        <w:t xml:space="preserve"> et al. </w:t>
      </w:r>
      <w:r w:rsidRPr="00CA4225">
        <w:rPr>
          <w:lang w:val="en-GB"/>
        </w:rPr>
        <w:t xml:space="preserve">(2025) conducted a review of HPWS and identified agility and technology adoption as emergent characteristics that underpin HPWS effectiveness, which are critical to NHSX’s AI-enabling context. However, HPWS can improve output, as recent work cautions overemphasises compliance over experimentation can suppress innovation (Naskar </w:t>
      </w:r>
      <w:r w:rsidRPr="00CA4225">
        <w:rPr>
          <w:i/>
          <w:iCs/>
          <w:lang w:val="en-GB"/>
        </w:rPr>
        <w:t>et al.</w:t>
      </w:r>
      <w:r w:rsidRPr="00CA4225">
        <w:rPr>
          <w:lang w:val="en-GB"/>
        </w:rPr>
        <w:t xml:space="preserve"> 2025). It signals the need to complement the HPWS with autonomy-enabling mechanisms. </w:t>
      </w:r>
    </w:p>
    <w:p w14:paraId="60F1C00B" w14:textId="77777777" w:rsidR="003F36A5" w:rsidRPr="00CA4225" w:rsidRDefault="00FB1DF3">
      <w:pPr>
        <w:rPr>
          <w:lang w:val="en-GB"/>
        </w:rPr>
      </w:pPr>
      <w:r w:rsidRPr="00CA4225">
        <w:rPr>
          <w:b/>
          <w:bCs/>
          <w:lang w:val="en-GB"/>
        </w:rPr>
        <w:t>High-Involvement Work Systems (HIWS)</w:t>
      </w:r>
      <w:r w:rsidRPr="00CA4225">
        <w:rPr>
          <w:lang w:val="en-GB"/>
        </w:rPr>
        <w:t xml:space="preserve"> extend this by distributing information, authority and rewards broadly across the workforce. This evidence indicates that HIWS promotes innovative work behaviour by satisfying employees' psychological need for competence and relatedness (Jiang </w:t>
      </w:r>
      <w:r w:rsidRPr="00CA4225">
        <w:rPr>
          <w:i/>
          <w:iCs/>
          <w:lang w:val="en-GB"/>
        </w:rPr>
        <w:t xml:space="preserve">et al. </w:t>
      </w:r>
      <w:r w:rsidRPr="00CA4225">
        <w:rPr>
          <w:lang w:val="en-GB"/>
        </w:rPr>
        <w:t xml:space="preserve">2024). Geographically dispersed organisations such as NHSX use HIWS to create distributed ownership of innovation outcomes, counteracting the silo to be created by its hierarchical legacy. </w:t>
      </w:r>
    </w:p>
    <w:p w14:paraId="3561502C" w14:textId="77777777" w:rsidR="003F36A5" w:rsidRPr="00CA4225" w:rsidRDefault="00FB1DF3">
      <w:pPr>
        <w:rPr>
          <w:lang w:val="en-GB"/>
        </w:rPr>
      </w:pPr>
      <w:r w:rsidRPr="00CA4225">
        <w:rPr>
          <w:b/>
          <w:bCs/>
          <w:lang w:val="en-GB"/>
        </w:rPr>
        <w:t xml:space="preserve">Sociotechnical Systems Theory (SST) </w:t>
      </w:r>
      <w:r w:rsidRPr="00CA4225">
        <w:rPr>
          <w:lang w:val="en-GB"/>
        </w:rPr>
        <w:t xml:space="preserve">originated in the Tavistock Institute’s work, which remains significantly relevant. Iden and Bygstad (2025) demonstrated that SST that advocates for joint optimisation of technical and social sub-systems that is an effective lens for having knowledge on digital transformation. Applied to the NHSX, SST counsels against the deployment of AI clinical decision-support tools in isolation from human work redesign, which must evolve in concert (Parker </w:t>
      </w:r>
      <w:r w:rsidRPr="00CA4225">
        <w:rPr>
          <w:i/>
          <w:iCs/>
          <w:lang w:val="en-GB"/>
        </w:rPr>
        <w:t xml:space="preserve">et al. </w:t>
      </w:r>
      <w:r w:rsidRPr="00CA4225">
        <w:rPr>
          <w:lang w:val="en-GB"/>
        </w:rPr>
        <w:t xml:space="preserve">2026). </w:t>
      </w:r>
    </w:p>
    <w:p w14:paraId="714D6A38" w14:textId="77777777" w:rsidR="003F36A5" w:rsidRPr="00CA4225" w:rsidRDefault="00FB1DF3">
      <w:pPr>
        <w:rPr>
          <w:lang w:val="en-GB"/>
        </w:rPr>
      </w:pPr>
      <w:r w:rsidRPr="00CA4225">
        <w:rPr>
          <w:b/>
          <w:bCs/>
          <w:lang w:val="en-GB"/>
        </w:rPr>
        <w:t>Agile and hybrid working</w:t>
      </w:r>
      <w:r w:rsidRPr="00CA4225">
        <w:rPr>
          <w:lang w:val="en-GB"/>
        </w:rPr>
        <w:t xml:space="preserve"> constitute the operational expression of these principles. Hybrid working allows employees to divide time between office and remote environments to improve </w:t>
      </w:r>
      <w:r w:rsidRPr="00CA4225">
        <w:rPr>
          <w:lang w:val="en-GB"/>
        </w:rPr>
        <w:lastRenderedPageBreak/>
        <w:t xml:space="preserve">retention without damaging performance (Bloom </w:t>
      </w:r>
      <w:r w:rsidRPr="00CA4225">
        <w:rPr>
          <w:i/>
          <w:iCs/>
          <w:lang w:val="en-GB"/>
        </w:rPr>
        <w:t xml:space="preserve">et al. </w:t>
      </w:r>
      <w:r w:rsidRPr="00CA4225">
        <w:rPr>
          <w:lang w:val="en-GB"/>
        </w:rPr>
        <w:t xml:space="preserve">2024). Naqshbandi (2025) further observes that hybrid work, when approached strategically which improves organisational agility and competitive advantage by enabling flexible, context-sensitive performance. However, one-size-fits-all hybrid mandates risk undermining the autonomy which makes hybrid arrangements effective. </w:t>
      </w:r>
    </w:p>
    <w:p w14:paraId="41F0D610" w14:textId="77777777" w:rsidR="003F36A5" w:rsidRPr="00CA4225" w:rsidRDefault="00FB1DF3">
      <w:pPr>
        <w:rPr>
          <w:lang w:val="en-GB"/>
        </w:rPr>
      </w:pPr>
      <w:r w:rsidRPr="00CA4225">
        <w:rPr>
          <w:lang w:val="en-GB"/>
        </w:rPr>
        <w:t>Traditional models treat work design as a managerial prerogative; contemporary frameworks treat it as a shared sociotechnical co-construction regarding employees, managers, and digital infrastructure (Parker</w:t>
      </w:r>
      <w:r w:rsidRPr="00CA4225">
        <w:rPr>
          <w:i/>
          <w:iCs/>
          <w:lang w:val="en-GB"/>
        </w:rPr>
        <w:t xml:space="preserve"> et al.</w:t>
      </w:r>
      <w:r w:rsidRPr="00CA4225">
        <w:rPr>
          <w:lang w:val="en-GB"/>
        </w:rPr>
        <w:t xml:space="preserve"> 2026). There is an increasing mutual dependency on technology and people, which blurs the differentiation between technology design, development and use in many use of AI applications. </w:t>
      </w:r>
    </w:p>
    <w:p w14:paraId="4F50F70F" w14:textId="77777777" w:rsidR="003F36A5" w:rsidRPr="00CA4225" w:rsidRDefault="00FB1DF3">
      <w:pPr>
        <w:pStyle w:val="Heading2"/>
        <w:rPr>
          <w:lang w:val="en-GB"/>
        </w:rPr>
      </w:pPr>
      <w:bookmarkStart w:id="4" w:name="_eyxlgdbe09gt" w:colFirst="0" w:colLast="0"/>
      <w:bookmarkStart w:id="5" w:name="_Toc241926454"/>
      <w:bookmarkEnd w:id="4"/>
      <w:r w:rsidRPr="00CA4225">
        <w:rPr>
          <w:lang w:val="en-GB"/>
        </w:rPr>
        <w:t>1.2 Framework Recommendations for NHSX</w:t>
      </w:r>
      <w:bookmarkEnd w:id="5"/>
      <w:r w:rsidRPr="00CA4225">
        <w:rPr>
          <w:lang w:val="en-GB"/>
        </w:rPr>
        <w:t xml:space="preserve"> </w:t>
      </w:r>
    </w:p>
    <w:tbl>
      <w:tblPr>
        <w:tblStyle w:val="a"/>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14"/>
        <w:gridCol w:w="3325"/>
        <w:gridCol w:w="1814"/>
        <w:gridCol w:w="2053"/>
      </w:tblGrid>
      <w:tr w:rsidR="003F36A5" w:rsidRPr="00CA4225" w14:paraId="1F3EEDD0" w14:textId="77777777" w:rsidTr="00CA4225">
        <w:trPr>
          <w:trHeight w:val="77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2CCB8" w14:textId="77777777" w:rsidR="003F36A5" w:rsidRPr="00CA4225" w:rsidRDefault="00FB1DF3">
            <w:pPr>
              <w:jc w:val="center"/>
              <w:rPr>
                <w:lang w:val="en-GB"/>
              </w:rPr>
            </w:pPr>
            <w:r w:rsidRPr="00CA4225">
              <w:rPr>
                <w:b/>
                <w:bCs/>
                <w:lang w:val="en-GB"/>
              </w:rPr>
              <w:t>Design Element</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4999F" w14:textId="77777777" w:rsidR="003F36A5" w:rsidRPr="00CA4225" w:rsidRDefault="00FB1DF3">
            <w:pPr>
              <w:jc w:val="center"/>
              <w:rPr>
                <w:lang w:val="en-GB"/>
              </w:rPr>
            </w:pPr>
            <w:r w:rsidRPr="00CA4225">
              <w:rPr>
                <w:b/>
                <w:bCs/>
                <w:lang w:val="en-GB"/>
              </w:rPr>
              <w:t>Recommended Practice</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561617" w14:textId="77777777" w:rsidR="003F36A5" w:rsidRPr="00CA4225" w:rsidRDefault="00FB1DF3">
            <w:pPr>
              <w:jc w:val="center"/>
              <w:rPr>
                <w:lang w:val="en-GB"/>
              </w:rPr>
            </w:pPr>
            <w:r w:rsidRPr="00CA4225">
              <w:rPr>
                <w:b/>
                <w:bCs/>
                <w:lang w:val="en-GB"/>
              </w:rPr>
              <w:t>Theoretical Basis</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9A6C70" w14:textId="77777777" w:rsidR="003F36A5" w:rsidRPr="00CA4225" w:rsidRDefault="00FB1DF3">
            <w:pPr>
              <w:jc w:val="center"/>
              <w:rPr>
                <w:lang w:val="en-GB"/>
              </w:rPr>
            </w:pPr>
            <w:r w:rsidRPr="00CA4225">
              <w:rPr>
                <w:b/>
                <w:bCs/>
                <w:lang w:val="en-GB"/>
              </w:rPr>
              <w:t>Anticipated Outcome</w:t>
            </w:r>
          </w:p>
        </w:tc>
      </w:tr>
      <w:tr w:rsidR="003F36A5" w:rsidRPr="00CA4225" w14:paraId="2E3A6CFA" w14:textId="77777777" w:rsidTr="00CA4225">
        <w:trPr>
          <w:trHeight w:val="131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361855" w14:textId="77777777" w:rsidR="003F36A5" w:rsidRPr="00CA4225" w:rsidRDefault="00FB1DF3">
            <w:pPr>
              <w:rPr>
                <w:lang w:val="en-GB"/>
              </w:rPr>
            </w:pPr>
            <w:r w:rsidRPr="00CA4225">
              <w:rPr>
                <w:lang w:val="en-GB"/>
              </w:rPr>
              <w:t>Cross-functional collaboration</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505190" w14:textId="77777777" w:rsidR="003F36A5" w:rsidRPr="00CA4225" w:rsidRDefault="00FB1DF3">
            <w:pPr>
              <w:rPr>
                <w:lang w:val="en-GB"/>
              </w:rPr>
            </w:pPr>
            <w:r w:rsidRPr="00CA4225">
              <w:rPr>
                <w:lang w:val="en-GB"/>
              </w:rPr>
              <w:t>Establish permanent cross-site sprint teams comprising engineers, clinicians, and data scientists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55F599" w14:textId="77777777" w:rsidR="003F36A5" w:rsidRPr="00CA4225" w:rsidRDefault="00FB1DF3">
            <w:pPr>
              <w:rPr>
                <w:lang w:val="en-GB"/>
              </w:rPr>
            </w:pPr>
            <w:r w:rsidRPr="00CA4225">
              <w:rPr>
                <w:lang w:val="en-GB"/>
              </w:rPr>
              <w:t>HPWS; Agile Working</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BEB2F" w14:textId="77777777" w:rsidR="003F36A5" w:rsidRPr="00CA4225" w:rsidRDefault="00FB1DF3">
            <w:pPr>
              <w:rPr>
                <w:lang w:val="en-GB"/>
              </w:rPr>
            </w:pPr>
            <w:r w:rsidRPr="00CA4225">
              <w:rPr>
                <w:lang w:val="en-GB"/>
              </w:rPr>
              <w:t>Accelerated innovation cycles; shared knowledge</w:t>
            </w:r>
          </w:p>
        </w:tc>
      </w:tr>
      <w:tr w:rsidR="003F36A5" w:rsidRPr="00CA4225" w14:paraId="07C39C9C" w14:textId="77777777" w:rsidTr="00CA4225">
        <w:trPr>
          <w:trHeight w:val="131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372E3" w14:textId="77777777" w:rsidR="003F36A5" w:rsidRPr="00CA4225" w:rsidRDefault="00FB1DF3">
            <w:pPr>
              <w:rPr>
                <w:lang w:val="en-GB"/>
              </w:rPr>
            </w:pPr>
            <w:r w:rsidRPr="00CA4225">
              <w:rPr>
                <w:lang w:val="en-GB"/>
              </w:rPr>
              <w:t>Hybrid and flexible working</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B2D8D" w14:textId="77777777" w:rsidR="003F36A5" w:rsidRPr="00CA4225" w:rsidRDefault="00FB1DF3">
            <w:pPr>
              <w:rPr>
                <w:lang w:val="en-GB"/>
              </w:rPr>
            </w:pPr>
            <w:r w:rsidRPr="00CA4225">
              <w:rPr>
                <w:lang w:val="en-GB"/>
              </w:rPr>
              <w:t>Implement structured hybrid model (3 days flexible, 2 days anchored) with team-level autonomy on scheduling</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F782E" w14:textId="77777777" w:rsidR="003F36A5" w:rsidRPr="00CA4225" w:rsidRDefault="00FB1DF3">
            <w:pPr>
              <w:rPr>
                <w:lang w:val="en-GB"/>
              </w:rPr>
            </w:pPr>
            <w:r w:rsidRPr="00CA4225">
              <w:rPr>
                <w:lang w:val="en-GB"/>
              </w:rPr>
              <w:t>Bloom</w:t>
            </w:r>
            <w:r w:rsidRPr="00CA4225">
              <w:rPr>
                <w:i/>
                <w:iCs/>
                <w:lang w:val="en-GB"/>
              </w:rPr>
              <w:t xml:space="preserve"> et al.</w:t>
            </w:r>
            <w:r w:rsidRPr="00CA4225">
              <w:rPr>
                <w:lang w:val="en-GB"/>
              </w:rPr>
              <w:t xml:space="preserve"> (2024); Naqshbandi (2025)</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123D39" w14:textId="77777777" w:rsidR="003F36A5" w:rsidRPr="00CA4225" w:rsidRDefault="00FB1DF3">
            <w:pPr>
              <w:rPr>
                <w:lang w:val="en-GB"/>
              </w:rPr>
            </w:pPr>
            <w:r w:rsidRPr="00CA4225">
              <w:rPr>
                <w:lang w:val="en-GB"/>
              </w:rPr>
              <w:t>Improved retention; maintained performance</w:t>
            </w:r>
          </w:p>
        </w:tc>
      </w:tr>
      <w:tr w:rsidR="003F36A5" w:rsidRPr="00CA4225" w14:paraId="1F582B98" w14:textId="77777777" w:rsidTr="00CA4225">
        <w:trPr>
          <w:trHeight w:val="131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BCB89" w14:textId="77777777" w:rsidR="003F36A5" w:rsidRPr="00CA4225" w:rsidRDefault="00FB1DF3">
            <w:pPr>
              <w:rPr>
                <w:lang w:val="en-GB"/>
              </w:rPr>
            </w:pPr>
            <w:r w:rsidRPr="00CA4225">
              <w:rPr>
                <w:lang w:val="en-GB"/>
              </w:rPr>
              <w:t>Employee autonomy</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C2FD2" w14:textId="77777777" w:rsidR="003F36A5" w:rsidRPr="00CA4225" w:rsidRDefault="00FB1DF3">
            <w:pPr>
              <w:rPr>
                <w:lang w:val="en-GB"/>
              </w:rPr>
            </w:pPr>
            <w:r w:rsidRPr="00CA4225">
              <w:rPr>
                <w:lang w:val="en-GB"/>
              </w:rPr>
              <w:t>Decentralise operational decisions to team level using OKR (Objectives and Key Results) frameworks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E3583E" w14:textId="77777777" w:rsidR="003F36A5" w:rsidRPr="00CA4225" w:rsidRDefault="00FB1DF3">
            <w:pPr>
              <w:rPr>
                <w:lang w:val="en-GB"/>
              </w:rPr>
            </w:pPr>
            <w:r w:rsidRPr="00CA4225">
              <w:rPr>
                <w:lang w:val="en-GB"/>
              </w:rPr>
              <w:t>HIWS; SDT</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BD0AE7" w14:textId="77777777" w:rsidR="003F36A5" w:rsidRPr="00CA4225" w:rsidRDefault="00FB1DF3">
            <w:pPr>
              <w:rPr>
                <w:lang w:val="en-GB"/>
              </w:rPr>
            </w:pPr>
            <w:r w:rsidRPr="00CA4225">
              <w:rPr>
                <w:lang w:val="en-GB"/>
              </w:rPr>
              <w:t>Intrinsic motivation; reduced bureaucracy</w:t>
            </w:r>
          </w:p>
        </w:tc>
      </w:tr>
      <w:tr w:rsidR="003F36A5" w:rsidRPr="00CA4225" w14:paraId="2E6550B6" w14:textId="77777777" w:rsidTr="00CA4225">
        <w:trPr>
          <w:trHeight w:val="104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8D1A72" w14:textId="77777777" w:rsidR="003F36A5" w:rsidRPr="00CA4225" w:rsidRDefault="00FB1DF3">
            <w:pPr>
              <w:rPr>
                <w:lang w:val="en-GB"/>
              </w:rPr>
            </w:pPr>
            <w:r w:rsidRPr="00CA4225">
              <w:rPr>
                <w:lang w:val="en-GB"/>
              </w:rPr>
              <w:t>Agile project management</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3C520C" w14:textId="77777777" w:rsidR="003F36A5" w:rsidRPr="00CA4225" w:rsidRDefault="00FB1DF3">
            <w:pPr>
              <w:rPr>
                <w:lang w:val="en-GB"/>
              </w:rPr>
            </w:pPr>
            <w:r w:rsidRPr="00CA4225">
              <w:rPr>
                <w:lang w:val="en-GB"/>
              </w:rPr>
              <w:t xml:space="preserve">Adopt two-week sprint cycles with daily </w:t>
            </w:r>
            <w:r w:rsidR="00CA4225" w:rsidRPr="00CA4225">
              <w:rPr>
                <w:lang w:val="en-GB"/>
              </w:rPr>
              <w:t>stand-ups</w:t>
            </w:r>
            <w:r w:rsidRPr="00CA4225">
              <w:rPr>
                <w:lang w:val="en-GB"/>
              </w:rPr>
              <w:t xml:space="preserve"> across UK, India, UAE time zones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4468A" w14:textId="77777777" w:rsidR="003F36A5" w:rsidRPr="00CA4225" w:rsidRDefault="00FB1DF3">
            <w:pPr>
              <w:rPr>
                <w:lang w:val="en-GB"/>
              </w:rPr>
            </w:pPr>
            <w:r w:rsidRPr="00CA4225">
              <w:rPr>
                <w:lang w:val="en-GB"/>
              </w:rPr>
              <w:t>Agile Working Theory</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2EE1B" w14:textId="77777777" w:rsidR="003F36A5" w:rsidRPr="00CA4225" w:rsidRDefault="00FB1DF3">
            <w:pPr>
              <w:rPr>
                <w:lang w:val="en-GB"/>
              </w:rPr>
            </w:pPr>
            <w:r w:rsidRPr="00CA4225">
              <w:rPr>
                <w:lang w:val="en-GB"/>
              </w:rPr>
              <w:t>Faster delivery; iterative improvement</w:t>
            </w:r>
          </w:p>
        </w:tc>
      </w:tr>
      <w:tr w:rsidR="003F36A5" w:rsidRPr="00CA4225" w14:paraId="5547F73C" w14:textId="77777777" w:rsidTr="00CA4225">
        <w:trPr>
          <w:trHeight w:val="1310"/>
          <w:jc w:val="center"/>
        </w:trPr>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D613DB" w14:textId="77777777" w:rsidR="003F36A5" w:rsidRPr="00CA4225" w:rsidRDefault="00FB1DF3">
            <w:pPr>
              <w:rPr>
                <w:lang w:val="en-GB"/>
              </w:rPr>
            </w:pPr>
            <w:r w:rsidRPr="00CA4225">
              <w:rPr>
                <w:lang w:val="en-GB"/>
              </w:rPr>
              <w:lastRenderedPageBreak/>
              <w:t>Digital collaboration infrastructure</w:t>
            </w:r>
          </w:p>
        </w:tc>
        <w:tc>
          <w:tcPr>
            <w:tcW w:w="18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4AC2C" w14:textId="77777777" w:rsidR="003F36A5" w:rsidRPr="00CA4225" w:rsidRDefault="00FB1DF3">
            <w:pPr>
              <w:rPr>
                <w:lang w:val="en-GB"/>
              </w:rPr>
            </w:pPr>
            <w:r w:rsidRPr="00CA4225">
              <w:rPr>
                <w:lang w:val="en-GB"/>
              </w:rPr>
              <w:t>Deploy integrated platforms (such as Microsoft Teams, Miro, Confluence) with asynchronous-first protocols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0DF850" w14:textId="77777777" w:rsidR="003F36A5" w:rsidRPr="00CA4225" w:rsidRDefault="00FB1DF3">
            <w:pPr>
              <w:rPr>
                <w:lang w:val="en-GB"/>
              </w:rPr>
            </w:pPr>
            <w:r w:rsidRPr="00CA4225">
              <w:rPr>
                <w:lang w:val="en-GB"/>
              </w:rPr>
              <w:t>SST; Iden and Bygstad (2025)</w:t>
            </w:r>
          </w:p>
        </w:tc>
        <w:tc>
          <w:tcPr>
            <w:tcW w:w="114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BF738" w14:textId="77777777" w:rsidR="003F36A5" w:rsidRPr="00CA4225" w:rsidRDefault="00FB1DF3">
            <w:pPr>
              <w:rPr>
                <w:lang w:val="en-GB"/>
              </w:rPr>
            </w:pPr>
            <w:r w:rsidRPr="00CA4225">
              <w:rPr>
                <w:lang w:val="en-GB"/>
              </w:rPr>
              <w:t>Inclusive international collaboration</w:t>
            </w:r>
          </w:p>
        </w:tc>
      </w:tr>
    </w:tbl>
    <w:p w14:paraId="44E4951C" w14:textId="77777777" w:rsidR="003F36A5" w:rsidRPr="00CA4225" w:rsidRDefault="00FB1DF3">
      <w:pPr>
        <w:jc w:val="center"/>
        <w:rPr>
          <w:b/>
          <w:bCs/>
          <w:lang w:val="en-GB"/>
        </w:rPr>
      </w:pPr>
      <w:r w:rsidRPr="00CA4225">
        <w:rPr>
          <w:b/>
          <w:bCs/>
          <w:lang w:val="en-GB"/>
        </w:rPr>
        <w:t xml:space="preserve">Table 1: Integrated Innovation Work Design Framework for NHSX </w:t>
      </w:r>
    </w:p>
    <w:p w14:paraId="1039249F" w14:textId="77777777" w:rsidR="003F36A5" w:rsidRPr="00CA4225" w:rsidRDefault="00FB1DF3">
      <w:pPr>
        <w:jc w:val="center"/>
        <w:rPr>
          <w:lang w:val="en-GB"/>
        </w:rPr>
      </w:pPr>
      <w:r w:rsidRPr="00CA4225">
        <w:rPr>
          <w:lang w:val="en-GB"/>
        </w:rPr>
        <w:t xml:space="preserve">(Source: Self-developed) </w:t>
      </w:r>
    </w:p>
    <w:p w14:paraId="7B3EAC3E" w14:textId="77777777" w:rsidR="00E0378A" w:rsidRDefault="00FB1DF3">
      <w:pPr>
        <w:rPr>
          <w:lang w:val="en-GB"/>
        </w:rPr>
      </w:pPr>
      <w:r w:rsidRPr="00CA4225">
        <w:rPr>
          <w:lang w:val="en-GB"/>
        </w:rPr>
        <w:t xml:space="preserve">The imperative justification for cross-functional teams is grounded in the agile healthcare study. Yao </w:t>
      </w:r>
      <w:r w:rsidRPr="00CA4225">
        <w:rPr>
          <w:i/>
          <w:iCs/>
          <w:lang w:val="en-GB"/>
        </w:rPr>
        <w:t xml:space="preserve">et al. </w:t>
      </w:r>
      <w:r w:rsidRPr="00CA4225">
        <w:rPr>
          <w:lang w:val="en-GB"/>
        </w:rPr>
        <w:t xml:space="preserve">(2025) demonstrated that organisational agility is operationalised through cross-functional team structures and streamlined decision-making that is significant in enhancing job performance in healthcare settings. </w:t>
      </w:r>
    </w:p>
    <w:p w14:paraId="2E62C77A" w14:textId="77777777" w:rsidR="00E0378A" w:rsidRDefault="00E0378A" w:rsidP="00E0378A">
      <w:pPr>
        <w:jc w:val="center"/>
        <w:rPr>
          <w:lang w:val="en-GB"/>
        </w:rPr>
      </w:pPr>
      <w:r>
        <w:rPr>
          <w:noProof/>
          <w:lang w:val="en-IN"/>
        </w:rPr>
        <w:drawing>
          <wp:inline distT="0" distB="0" distL="0" distR="0" wp14:anchorId="4808AEA9" wp14:editId="10215BF8">
            <wp:extent cx="4467225" cy="4038617"/>
            <wp:effectExtent l="0" t="0" r="0" b="0"/>
            <wp:docPr id="1" name="Picture 1" descr="This may contain: the agile - scrum framework is shown in thi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may contain: the agile - scrum framework is shown in this graphic"/>
                    <pic:cNvPicPr>
                      <a:picLocks noChangeAspect="1" noChangeArrowheads="1"/>
                    </pic:cNvPicPr>
                  </pic:nvPicPr>
                  <pic:blipFill rotWithShape="1">
                    <a:blip r:embed="rId8">
                      <a:extLst>
                        <a:ext uri="{28A0092B-C50C-407E-A947-70E740481C1C}">
                          <a14:useLocalDpi xmlns:a14="http://schemas.microsoft.com/office/drawing/2010/main" val="0"/>
                        </a:ext>
                      </a:extLst>
                    </a:blip>
                    <a:srcRect l="166" t="9473" r="-166" b="122"/>
                    <a:stretch/>
                  </pic:blipFill>
                  <pic:spPr bwMode="auto">
                    <a:xfrm>
                      <a:off x="0" y="0"/>
                      <a:ext cx="4468680" cy="4039932"/>
                    </a:xfrm>
                    <a:prstGeom prst="rect">
                      <a:avLst/>
                    </a:prstGeom>
                    <a:noFill/>
                    <a:ln>
                      <a:noFill/>
                    </a:ln>
                    <a:extLst>
                      <a:ext uri="{53640926-AAD7-44D8-BBD7-CCE9431645EC}">
                        <a14:shadowObscured xmlns:a14="http://schemas.microsoft.com/office/drawing/2010/main"/>
                      </a:ext>
                    </a:extLst>
                  </pic:spPr>
                </pic:pic>
              </a:graphicData>
            </a:graphic>
          </wp:inline>
        </w:drawing>
      </w:r>
    </w:p>
    <w:p w14:paraId="1E8B5E07" w14:textId="77777777" w:rsidR="00E0378A" w:rsidRPr="002E6A71" w:rsidRDefault="00E0378A" w:rsidP="00E0378A">
      <w:pPr>
        <w:jc w:val="center"/>
        <w:rPr>
          <w:b/>
          <w:lang w:val="en-GB"/>
        </w:rPr>
      </w:pPr>
      <w:r w:rsidRPr="002E6A71">
        <w:rPr>
          <w:b/>
          <w:lang w:val="en-GB"/>
        </w:rPr>
        <w:t>Figure 1: Agile-Scrum Framework</w:t>
      </w:r>
    </w:p>
    <w:p w14:paraId="63A2E9B0" w14:textId="77777777" w:rsidR="00E0378A" w:rsidRDefault="00E0378A" w:rsidP="00E0378A">
      <w:pPr>
        <w:jc w:val="center"/>
        <w:rPr>
          <w:lang w:val="en-GB"/>
        </w:rPr>
      </w:pPr>
      <w:r>
        <w:rPr>
          <w:lang w:val="en-GB"/>
        </w:rPr>
        <w:t xml:space="preserve">(Source: </w:t>
      </w:r>
      <w:r w:rsidR="002E6A71">
        <w:rPr>
          <w:lang w:val="en-GB"/>
        </w:rPr>
        <w:t>Pinterest, 2026)</w:t>
      </w:r>
    </w:p>
    <w:p w14:paraId="7BEBF926" w14:textId="77777777" w:rsidR="003F36A5" w:rsidRPr="00CA4225" w:rsidRDefault="00FB1DF3">
      <w:pPr>
        <w:rPr>
          <w:lang w:val="en-GB"/>
        </w:rPr>
      </w:pPr>
      <w:r w:rsidRPr="00CA4225">
        <w:rPr>
          <w:lang w:val="en-GB"/>
        </w:rPr>
        <w:t xml:space="preserve">Enabling staff to adapt effectively, as organisational agility directly enhances job performance in healthcare, where demands often change unpredictably (Yao </w:t>
      </w:r>
      <w:r w:rsidRPr="00CA4225">
        <w:rPr>
          <w:i/>
          <w:iCs/>
          <w:lang w:val="en-GB"/>
        </w:rPr>
        <w:t xml:space="preserve">et al. </w:t>
      </w:r>
      <w:r w:rsidRPr="00CA4225">
        <w:rPr>
          <w:lang w:val="en-GB"/>
        </w:rPr>
        <w:t xml:space="preserve">2025). For NHSX, the workforce operates across three distinct regulatory and cultural environments; agile sprint </w:t>
      </w:r>
      <w:r w:rsidRPr="00CA4225">
        <w:rPr>
          <w:lang w:val="en-GB"/>
        </w:rPr>
        <w:lastRenderedPageBreak/>
        <w:t xml:space="preserve">teams should be constituted with diversity. Mixing the clinical domain experts with the software engineers creates the cognitive tension which drives prime problem-framing. </w:t>
      </w:r>
    </w:p>
    <w:p w14:paraId="26C21C72" w14:textId="77777777" w:rsidR="00050B93" w:rsidRDefault="00050B93" w:rsidP="00050B93">
      <w:pPr>
        <w:jc w:val="center"/>
        <w:rPr>
          <w:lang w:val="en-GB"/>
        </w:rPr>
      </w:pPr>
      <w:r>
        <w:rPr>
          <w:noProof/>
          <w:lang w:val="en-IN"/>
        </w:rPr>
        <w:drawing>
          <wp:inline distT="0" distB="0" distL="0" distR="0" wp14:anchorId="18C5F9EE" wp14:editId="664562F3">
            <wp:extent cx="5731510" cy="28098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09875"/>
                    </a:xfrm>
                    <a:prstGeom prst="rect">
                      <a:avLst/>
                    </a:prstGeom>
                  </pic:spPr>
                </pic:pic>
              </a:graphicData>
            </a:graphic>
          </wp:inline>
        </w:drawing>
      </w:r>
    </w:p>
    <w:p w14:paraId="7FC9FBC8" w14:textId="77777777" w:rsidR="00050B93" w:rsidRPr="00F23854" w:rsidRDefault="00050B93" w:rsidP="00050B93">
      <w:pPr>
        <w:jc w:val="center"/>
        <w:rPr>
          <w:b/>
          <w:lang w:val="en-GB"/>
        </w:rPr>
      </w:pPr>
      <w:r w:rsidRPr="00F23854">
        <w:rPr>
          <w:b/>
          <w:lang w:val="en-GB"/>
        </w:rPr>
        <w:t xml:space="preserve">Figure 2: Variations of Hybrid Working </w:t>
      </w:r>
    </w:p>
    <w:p w14:paraId="02CD149B" w14:textId="77777777" w:rsidR="00050B93" w:rsidRDefault="00050B93" w:rsidP="00050B93">
      <w:pPr>
        <w:jc w:val="center"/>
        <w:rPr>
          <w:lang w:val="en-GB"/>
        </w:rPr>
      </w:pPr>
      <w:r>
        <w:rPr>
          <w:lang w:val="en-GB"/>
        </w:rPr>
        <w:t xml:space="preserve">(Source: </w:t>
      </w:r>
      <w:proofErr w:type="spellStart"/>
      <w:r w:rsidR="00F23854" w:rsidRPr="00021795">
        <w:rPr>
          <w:lang w:val="en-GB"/>
        </w:rPr>
        <w:t>Shiftbase</w:t>
      </w:r>
      <w:proofErr w:type="spellEnd"/>
      <w:r w:rsidR="00F23854">
        <w:rPr>
          <w:lang w:val="en-GB"/>
        </w:rPr>
        <w:t>, 2026</w:t>
      </w:r>
      <w:r>
        <w:rPr>
          <w:lang w:val="en-GB"/>
        </w:rPr>
        <w:t>)</w:t>
      </w:r>
    </w:p>
    <w:p w14:paraId="109C35FC" w14:textId="77777777" w:rsidR="003F36A5" w:rsidRPr="00CA4225" w:rsidRDefault="00FB1DF3">
      <w:pPr>
        <w:rPr>
          <w:lang w:val="en-GB"/>
        </w:rPr>
      </w:pPr>
      <w:r w:rsidRPr="00CA4225">
        <w:rPr>
          <w:lang w:val="en-GB"/>
        </w:rPr>
        <w:t>Hybrid working at NHSX is structured through a hybrid model, anchoring individuals in their teams on designated days mitigated the coordination failures and innovation deficit that weak hybrid arrangements produce (Gibbs</w:t>
      </w:r>
      <w:r w:rsidRPr="00CA4225">
        <w:rPr>
          <w:i/>
          <w:iCs/>
          <w:lang w:val="en-GB"/>
        </w:rPr>
        <w:t xml:space="preserve"> et al.</w:t>
      </w:r>
      <w:r w:rsidRPr="00CA4225">
        <w:rPr>
          <w:lang w:val="en-GB"/>
        </w:rPr>
        <w:t xml:space="preserve"> 2024). Digital collaboration infrastructure must be asynchronous-first, which accounts for NHSX's UK-India-UAE time differential. Sociotechnical systems theory affirms that the technology and social organisation must be optimised jointly (Parker </w:t>
      </w:r>
      <w:r w:rsidRPr="00CA4225">
        <w:rPr>
          <w:i/>
          <w:iCs/>
          <w:lang w:val="en-GB"/>
        </w:rPr>
        <w:t>et al.</w:t>
      </w:r>
      <w:r w:rsidRPr="00CA4225">
        <w:rPr>
          <w:lang w:val="en-GB"/>
        </w:rPr>
        <w:t xml:space="preserve"> 2026). This advocates the social aspect of work, including leadership, </w:t>
      </w:r>
      <w:r w:rsidR="00F23854" w:rsidRPr="00CA4225">
        <w:rPr>
          <w:lang w:val="en-GB"/>
        </w:rPr>
        <w:t>care</w:t>
      </w:r>
      <w:r w:rsidRPr="00CA4225">
        <w:rPr>
          <w:lang w:val="en-GB"/>
        </w:rPr>
        <w:t xml:space="preserve"> a</w:t>
      </w:r>
      <w:r w:rsidR="00F23854">
        <w:rPr>
          <w:lang w:val="en-GB"/>
        </w:rPr>
        <w:t>n</w:t>
      </w:r>
      <w:r w:rsidRPr="00CA4225">
        <w:rPr>
          <w:lang w:val="en-GB"/>
        </w:rPr>
        <w:t xml:space="preserve">d technical aspects of work, including AI and </w:t>
      </w:r>
      <w:r w:rsidR="00CD127D" w:rsidRPr="00CA4225">
        <w:rPr>
          <w:lang w:val="en-GB"/>
        </w:rPr>
        <w:t>robots that</w:t>
      </w:r>
      <w:r w:rsidRPr="00CA4225">
        <w:rPr>
          <w:lang w:val="en-GB"/>
        </w:rPr>
        <w:t xml:space="preserve"> need to be jointly optimised to achieve quality work. Rather than only prioritising the technological over the social, which commonly takes place. </w:t>
      </w:r>
    </w:p>
    <w:p w14:paraId="53CFB673" w14:textId="77777777" w:rsidR="003F36A5" w:rsidRPr="00CA4225" w:rsidRDefault="00FB1DF3">
      <w:pPr>
        <w:rPr>
          <w:lang w:val="en-GB"/>
        </w:rPr>
      </w:pPr>
      <w:r w:rsidRPr="00CA4225">
        <w:rPr>
          <w:lang w:val="en-GB"/>
        </w:rPr>
        <w:t xml:space="preserve">Combined together, these practices are directly addressing five workforce challenges that are identified by the NHSX’s board. Cross-functional agile teams dissolve hierarchical bottlenecks. The structured hybrid models retained high-performers by extending flexibility without sacrificing collaboration. Employee autonomy through decentralised OKRs satisfies the psychological need for maintaining self-determination in being a key predictor of innovative behaviour (Gagné </w:t>
      </w:r>
      <w:r w:rsidRPr="00CA4225">
        <w:rPr>
          <w:i/>
          <w:iCs/>
          <w:lang w:val="en-GB"/>
        </w:rPr>
        <w:t xml:space="preserve">et al. </w:t>
      </w:r>
      <w:r w:rsidRPr="00CA4225">
        <w:rPr>
          <w:lang w:val="en-GB"/>
        </w:rPr>
        <w:t xml:space="preserve">2026). The framework is not only additive, as each component reinforces the others to create the systemic condition in which innovation becomes a structural output rather than only an incidental occurrence. </w:t>
      </w:r>
    </w:p>
    <w:p w14:paraId="62974992" w14:textId="77777777" w:rsidR="00476856" w:rsidRPr="00CA4225" w:rsidRDefault="00476856" w:rsidP="00476856">
      <w:pPr>
        <w:pStyle w:val="Heading1"/>
        <w:rPr>
          <w:lang w:val="en-GB"/>
        </w:rPr>
      </w:pPr>
      <w:bookmarkStart w:id="6" w:name="_Toc241918372"/>
      <w:bookmarkStart w:id="7" w:name="_Toc241926455"/>
      <w:r w:rsidRPr="00CA4225">
        <w:rPr>
          <w:lang w:val="en-GB"/>
        </w:rPr>
        <w:lastRenderedPageBreak/>
        <w:t>Task B: Breeding an Environment Where Talent May Grow</w:t>
      </w:r>
      <w:bookmarkEnd w:id="6"/>
      <w:bookmarkEnd w:id="7"/>
      <w:r w:rsidRPr="00CA4225">
        <w:rPr>
          <w:lang w:val="en-GB"/>
        </w:rPr>
        <w:t xml:space="preserve"> </w:t>
      </w:r>
    </w:p>
    <w:p w14:paraId="60EE402D" w14:textId="77777777" w:rsidR="00476856" w:rsidRPr="00CA4225" w:rsidRDefault="00476856" w:rsidP="00476856">
      <w:pPr>
        <w:pStyle w:val="Heading2"/>
        <w:rPr>
          <w:lang w:val="en-GB"/>
        </w:rPr>
      </w:pPr>
      <w:bookmarkStart w:id="8" w:name="_6sepgnvkk9bv" w:colFirst="0" w:colLast="0"/>
      <w:bookmarkStart w:id="9" w:name="_Toc241918373"/>
      <w:bookmarkStart w:id="10" w:name="_Toc241926456"/>
      <w:bookmarkEnd w:id="8"/>
      <w:r w:rsidRPr="00CA4225">
        <w:rPr>
          <w:lang w:val="en-GB"/>
        </w:rPr>
        <w:t>2.1 Critical Evaluation: Creating Environments for Talent Flourishing</w:t>
      </w:r>
      <w:bookmarkEnd w:id="9"/>
      <w:bookmarkEnd w:id="10"/>
      <w:r w:rsidRPr="00CA4225">
        <w:rPr>
          <w:lang w:val="en-GB"/>
        </w:rPr>
        <w:t xml:space="preserve"> </w:t>
      </w:r>
    </w:p>
    <w:p w14:paraId="2F20EBE5" w14:textId="77777777" w:rsidR="00476856" w:rsidRDefault="00476856" w:rsidP="00476856">
      <w:pPr>
        <w:rPr>
          <w:lang w:val="en-GB"/>
        </w:rPr>
      </w:pPr>
      <w:r w:rsidRPr="00CA4225">
        <w:rPr>
          <w:lang w:val="en-GB"/>
        </w:rPr>
        <w:t xml:space="preserve">Talent management scholarship has come a long way from the succession planning and high potential identification concepts. The current view is that the development of a sustainable talent ecosystem is a process that involves fostering a systemic environment where learning, autonomy, and interpersonal safety coexist, unleashing the potential of employees (Olafsen </w:t>
      </w:r>
      <w:r w:rsidRPr="00CA4225">
        <w:rPr>
          <w:i/>
          <w:iCs/>
          <w:lang w:val="en-GB"/>
        </w:rPr>
        <w:t>et al.</w:t>
      </w:r>
      <w:r w:rsidRPr="00CA4225">
        <w:rPr>
          <w:lang w:val="en-GB"/>
        </w:rPr>
        <w:t xml:space="preserve"> 2025).</w:t>
      </w:r>
    </w:p>
    <w:p w14:paraId="1D067919" w14:textId="77777777" w:rsidR="009F59C6" w:rsidRDefault="009F59C6" w:rsidP="009F59C6">
      <w:pPr>
        <w:jc w:val="center"/>
        <w:rPr>
          <w:lang w:val="en-GB"/>
        </w:rPr>
      </w:pPr>
      <w:r>
        <w:rPr>
          <w:noProof/>
          <w:lang w:val="en-IN"/>
        </w:rPr>
        <w:drawing>
          <wp:inline distT="0" distB="0" distL="0" distR="0" wp14:anchorId="6F760C00" wp14:editId="27DE5632">
            <wp:extent cx="4901734" cy="4867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2561" cy="4868096"/>
                    </a:xfrm>
                    <a:prstGeom prst="rect">
                      <a:avLst/>
                    </a:prstGeom>
                  </pic:spPr>
                </pic:pic>
              </a:graphicData>
            </a:graphic>
          </wp:inline>
        </w:drawing>
      </w:r>
    </w:p>
    <w:p w14:paraId="1C6083CF" w14:textId="77777777" w:rsidR="009F59C6" w:rsidRPr="009F59C6" w:rsidRDefault="009F59C6" w:rsidP="009F59C6">
      <w:pPr>
        <w:jc w:val="center"/>
        <w:rPr>
          <w:b/>
          <w:lang w:val="en-GB"/>
        </w:rPr>
      </w:pPr>
      <w:r w:rsidRPr="009F59C6">
        <w:rPr>
          <w:b/>
          <w:lang w:val="en-GB"/>
        </w:rPr>
        <w:t xml:space="preserve">Figure 3: Five Disciplines </w:t>
      </w:r>
    </w:p>
    <w:p w14:paraId="3DAD59DE" w14:textId="77777777" w:rsidR="009F59C6" w:rsidRPr="00CA4225" w:rsidRDefault="009F59C6" w:rsidP="009F59C6">
      <w:pPr>
        <w:jc w:val="center"/>
        <w:rPr>
          <w:lang w:val="en-GB"/>
        </w:rPr>
      </w:pPr>
      <w:r>
        <w:rPr>
          <w:lang w:val="en-GB"/>
        </w:rPr>
        <w:t xml:space="preserve">(Source: </w:t>
      </w:r>
      <w:r w:rsidR="009F3855" w:rsidRPr="009F3855">
        <w:rPr>
          <w:lang w:val="en-GB"/>
        </w:rPr>
        <w:t>Liu,</w:t>
      </w:r>
      <w:r w:rsidR="009F3855">
        <w:rPr>
          <w:lang w:val="en-GB"/>
        </w:rPr>
        <w:t xml:space="preserve"> 2018)</w:t>
      </w:r>
    </w:p>
    <w:p w14:paraId="3E5D5FEE" w14:textId="77777777" w:rsidR="00476856" w:rsidRPr="00CA4225" w:rsidRDefault="00476856" w:rsidP="00476856">
      <w:pPr>
        <w:rPr>
          <w:lang w:val="en-GB"/>
        </w:rPr>
      </w:pPr>
      <w:r w:rsidRPr="00CA4225">
        <w:rPr>
          <w:b/>
          <w:bCs/>
          <w:lang w:val="en-GB"/>
        </w:rPr>
        <w:t>Senge's five disciplines,</w:t>
      </w:r>
      <w:r w:rsidRPr="00CA4225">
        <w:rPr>
          <w:lang w:val="en-GB"/>
        </w:rPr>
        <w:t xml:space="preserve"> namely personal mastery, mental models, shared vision, team learning, and systems thinking, make continuous learning part of the organisation's design, rather than just an HR intervention (Business of Government, 2024). As a competitive organisation that needs to continually innovate with AI, it is vital for NHSX to be a learning </w:t>
      </w:r>
      <w:r w:rsidRPr="00CA4225">
        <w:rPr>
          <w:lang w:val="en-GB"/>
        </w:rPr>
        <w:lastRenderedPageBreak/>
        <w:t>organisation. One of the more salient examples is that of systems thinking. The issues currently observed focus on talent attrition, innovation lag, and poor collaboration, which are not individual issues but interconnected signs of a deficient learning culture within the organisation.</w:t>
      </w:r>
    </w:p>
    <w:p w14:paraId="1F3615D7" w14:textId="77777777" w:rsidR="00F305AC" w:rsidRDefault="00F305AC" w:rsidP="00F305AC">
      <w:pPr>
        <w:jc w:val="center"/>
        <w:rPr>
          <w:lang w:val="en-GB"/>
        </w:rPr>
      </w:pPr>
      <w:r>
        <w:rPr>
          <w:noProof/>
          <w:lang w:val="en-IN"/>
        </w:rPr>
        <w:drawing>
          <wp:inline distT="0" distB="0" distL="0" distR="0" wp14:anchorId="6AD1F303" wp14:editId="1364A398">
            <wp:extent cx="5731510" cy="3822872"/>
            <wp:effectExtent l="0" t="0" r="2540" b="6350"/>
            <wp:docPr id="8" name="Picture 8" descr="Growth Mindset vs Fixed Mind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rowth Mindset vs Fixed Mindse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22872"/>
                    </a:xfrm>
                    <a:prstGeom prst="rect">
                      <a:avLst/>
                    </a:prstGeom>
                    <a:noFill/>
                    <a:ln>
                      <a:noFill/>
                    </a:ln>
                  </pic:spPr>
                </pic:pic>
              </a:graphicData>
            </a:graphic>
          </wp:inline>
        </w:drawing>
      </w:r>
    </w:p>
    <w:p w14:paraId="78F08D8D" w14:textId="77777777" w:rsidR="00F305AC" w:rsidRPr="00572DCF" w:rsidRDefault="00F305AC" w:rsidP="00F305AC">
      <w:pPr>
        <w:jc w:val="center"/>
        <w:rPr>
          <w:b/>
          <w:lang w:val="en-GB"/>
        </w:rPr>
      </w:pPr>
      <w:r w:rsidRPr="00572DCF">
        <w:rPr>
          <w:b/>
          <w:lang w:val="en-GB"/>
        </w:rPr>
        <w:t xml:space="preserve">Figure 4: Growth Mindset and Fixed Mindset </w:t>
      </w:r>
    </w:p>
    <w:p w14:paraId="3F73601F" w14:textId="77777777" w:rsidR="00F305AC" w:rsidRDefault="00F305AC" w:rsidP="00F305AC">
      <w:pPr>
        <w:jc w:val="center"/>
        <w:rPr>
          <w:lang w:val="en-GB"/>
        </w:rPr>
      </w:pPr>
      <w:r>
        <w:rPr>
          <w:lang w:val="en-GB"/>
        </w:rPr>
        <w:t xml:space="preserve">(Source: </w:t>
      </w:r>
      <w:r w:rsidR="00572DCF">
        <w:rPr>
          <w:lang w:val="en-GB"/>
        </w:rPr>
        <w:t>Growth Engineering, 2026</w:t>
      </w:r>
      <w:r>
        <w:rPr>
          <w:lang w:val="en-GB"/>
        </w:rPr>
        <w:t>)</w:t>
      </w:r>
    </w:p>
    <w:p w14:paraId="483B4F84" w14:textId="77777777" w:rsidR="00476856" w:rsidRPr="00CA4225" w:rsidRDefault="00476856" w:rsidP="00476856">
      <w:pPr>
        <w:rPr>
          <w:lang w:val="en-GB"/>
        </w:rPr>
      </w:pPr>
      <w:r w:rsidRPr="00CA4225">
        <w:rPr>
          <w:lang w:val="en-GB"/>
        </w:rPr>
        <w:t xml:space="preserve">Organisations that foster a Growth Mindset, believing that abilities can be nurtured (through effort, feedback &amp; reflection), have been shown to outperform those that take the position of fixed ability hierarchies, as posited in </w:t>
      </w:r>
      <w:r w:rsidRPr="00CA4225">
        <w:rPr>
          <w:b/>
          <w:bCs/>
          <w:lang w:val="en-GB"/>
        </w:rPr>
        <w:t>Dweck's Growth Mindset theory</w:t>
      </w:r>
      <w:r w:rsidRPr="00CA4225">
        <w:rPr>
          <w:lang w:val="en-GB"/>
        </w:rPr>
        <w:t xml:space="preserve"> (2006). The culture of limited experimentation that NHSX reported is directly challenged by Dweck's framework: If a failure means the end of being an employee, they will not dare to take risks, and innovation will stall. Medical education research on the use of Dweck's model shows that growth mindset interventions have been shown to have an impact on complex problem solving, a direct parallel in the clinical technology environment of the NHSX (Zhang and Zhang Sr, 2024).</w:t>
      </w:r>
    </w:p>
    <w:p w14:paraId="26665505" w14:textId="77777777" w:rsidR="003F36A5" w:rsidRPr="00CA4225" w:rsidRDefault="00FB1DF3">
      <w:pPr>
        <w:rPr>
          <w:lang w:val="en-GB"/>
        </w:rPr>
      </w:pPr>
      <w:r w:rsidRPr="00CA4225">
        <w:rPr>
          <w:lang w:val="en-GB"/>
        </w:rPr>
        <w:br w:type="page"/>
      </w:r>
    </w:p>
    <w:p w14:paraId="3ED86108" w14:textId="77777777" w:rsidR="003F36A5" w:rsidRPr="00CA4225" w:rsidRDefault="00FB1DF3">
      <w:pPr>
        <w:pStyle w:val="Heading1"/>
        <w:rPr>
          <w:lang w:val="en-GB"/>
        </w:rPr>
      </w:pPr>
      <w:bookmarkStart w:id="11" w:name="_50a9mx3xnhm8" w:colFirst="0" w:colLast="0"/>
      <w:bookmarkStart w:id="12" w:name="_7hc0goi7v5hv" w:colFirst="0" w:colLast="0"/>
      <w:bookmarkStart w:id="13" w:name="_Toc241926457"/>
      <w:bookmarkEnd w:id="11"/>
      <w:bookmarkEnd w:id="12"/>
      <w:r w:rsidRPr="00CA4225">
        <w:rPr>
          <w:lang w:val="en-GB"/>
        </w:rPr>
        <w:lastRenderedPageBreak/>
        <w:t>References</w:t>
      </w:r>
      <w:bookmarkEnd w:id="13"/>
      <w:r w:rsidRPr="00CA4225">
        <w:rPr>
          <w:lang w:val="en-GB"/>
        </w:rPr>
        <w:t xml:space="preserve"> </w:t>
      </w:r>
    </w:p>
    <w:p w14:paraId="0E0F3CF0" w14:textId="77777777" w:rsidR="007715DA" w:rsidRPr="00CA4225" w:rsidRDefault="007715DA">
      <w:pPr>
        <w:spacing w:before="120"/>
        <w:rPr>
          <w:color w:val="1155CC"/>
          <w:u w:val="single"/>
          <w:lang w:val="en-GB"/>
        </w:rPr>
      </w:pPr>
      <w:r w:rsidRPr="00CA4225">
        <w:rPr>
          <w:lang w:val="en-GB"/>
        </w:rPr>
        <w:t xml:space="preserve">Bhardwaj S, Choudhary P, Chopra R, and Chakraborty D (2025), "High-performance workplace system: a literature review". </w:t>
      </w:r>
      <w:r w:rsidRPr="00CA4225">
        <w:rPr>
          <w:i/>
          <w:iCs/>
          <w:lang w:val="en-GB"/>
        </w:rPr>
        <w:t>International Journal of Organizational Analysis</w:t>
      </w:r>
      <w:r w:rsidRPr="00CA4225">
        <w:rPr>
          <w:lang w:val="en-GB"/>
        </w:rPr>
        <w:t>, Vol. 33 No. 8 pp. 2853–2880, doi:</w:t>
      </w:r>
      <w:hyperlink r:id="rId12">
        <w:r w:rsidRPr="00CA4225">
          <w:rPr>
            <w:lang w:val="en-GB"/>
          </w:rPr>
          <w:t xml:space="preserve"> </w:t>
        </w:r>
      </w:hyperlink>
      <w:hyperlink r:id="rId13">
        <w:r w:rsidRPr="00CA4225">
          <w:rPr>
            <w:color w:val="1155CC"/>
            <w:u w:val="single"/>
            <w:lang w:val="en-GB"/>
          </w:rPr>
          <w:t>https://doi.org/10.1108/IJOA-06-2024-4599</w:t>
        </w:r>
      </w:hyperlink>
    </w:p>
    <w:p w14:paraId="79A16C2C" w14:textId="77777777" w:rsidR="007715DA" w:rsidRPr="00CA4225" w:rsidRDefault="007715DA">
      <w:pPr>
        <w:spacing w:before="120"/>
        <w:rPr>
          <w:lang w:val="en-GB"/>
        </w:rPr>
      </w:pPr>
      <w:r w:rsidRPr="00CA4225">
        <w:rPr>
          <w:lang w:val="en-GB"/>
        </w:rPr>
        <w:t xml:space="preserve">Bloom, N., Han, R. and Liang, J. (2024). Hybrid working from home improves retention without damaging performance. </w:t>
      </w:r>
      <w:r w:rsidRPr="00CA4225">
        <w:rPr>
          <w:i/>
          <w:iCs/>
          <w:lang w:val="en-GB"/>
        </w:rPr>
        <w:t>Nature</w:t>
      </w:r>
      <w:r w:rsidRPr="00CA4225">
        <w:rPr>
          <w:lang w:val="en-GB"/>
        </w:rPr>
        <w:t xml:space="preserve"> </w:t>
      </w:r>
      <w:r w:rsidRPr="00CA4225">
        <w:rPr>
          <w:b/>
          <w:bCs/>
          <w:lang w:val="en-GB"/>
        </w:rPr>
        <w:t>630</w:t>
      </w:r>
      <w:r w:rsidRPr="00CA4225">
        <w:rPr>
          <w:lang w:val="en-GB"/>
        </w:rPr>
        <w:t xml:space="preserve">, 920–925. </w:t>
      </w:r>
      <w:hyperlink r:id="rId14">
        <w:r w:rsidRPr="00CA4225">
          <w:rPr>
            <w:color w:val="1155CC"/>
            <w:u w:val="single"/>
            <w:lang w:val="en-GB"/>
          </w:rPr>
          <w:t>https://doi.org/10.1038/s41586-024-07500-2</w:t>
        </w:r>
      </w:hyperlink>
      <w:r w:rsidRPr="00CA4225">
        <w:rPr>
          <w:lang w:val="en-GB"/>
        </w:rPr>
        <w:t xml:space="preserve"> </w:t>
      </w:r>
    </w:p>
    <w:p w14:paraId="40BFBB89" w14:textId="77777777" w:rsidR="007715DA" w:rsidRPr="00CA4225" w:rsidRDefault="007715DA">
      <w:pPr>
        <w:spacing w:before="120"/>
        <w:rPr>
          <w:lang w:val="en-GB"/>
        </w:rPr>
      </w:pPr>
      <w:r w:rsidRPr="00CA4225">
        <w:rPr>
          <w:lang w:val="en-GB"/>
        </w:rPr>
        <w:t xml:space="preserve">Gagné, M., Olafsen, A.H., </w:t>
      </w:r>
      <w:proofErr w:type="spellStart"/>
      <w:r w:rsidRPr="00CA4225">
        <w:rPr>
          <w:lang w:val="en-GB"/>
        </w:rPr>
        <w:t>Carpini</w:t>
      </w:r>
      <w:proofErr w:type="spellEnd"/>
      <w:r w:rsidRPr="00CA4225">
        <w:rPr>
          <w:lang w:val="en-GB"/>
        </w:rPr>
        <w:t xml:space="preserve">, J.A. and Frølund, C.W. (2026). Self-determination theory in the workplace: the evolution, present, and beyond. </w:t>
      </w:r>
      <w:r w:rsidRPr="00CA4225">
        <w:rPr>
          <w:i/>
          <w:iCs/>
          <w:lang w:val="en-GB"/>
        </w:rPr>
        <w:t>Journal of Business Research</w:t>
      </w:r>
      <w:r w:rsidRPr="00CA4225">
        <w:rPr>
          <w:lang w:val="en-GB"/>
        </w:rPr>
        <w:t xml:space="preserve">, </w:t>
      </w:r>
      <w:r w:rsidRPr="00CA4225">
        <w:rPr>
          <w:i/>
          <w:iCs/>
          <w:lang w:val="en-GB"/>
        </w:rPr>
        <w:t>210</w:t>
      </w:r>
      <w:r w:rsidRPr="00CA4225">
        <w:rPr>
          <w:lang w:val="en-GB"/>
        </w:rPr>
        <w:t xml:space="preserve">, p.116146. </w:t>
      </w:r>
      <w:hyperlink r:id="rId15">
        <w:r w:rsidRPr="00CA4225">
          <w:rPr>
            <w:color w:val="1155CC"/>
            <w:u w:val="single"/>
            <w:lang w:val="en-GB"/>
          </w:rPr>
          <w:t>https://doi.org/10.1016/j.jbusres.2026.116146</w:t>
        </w:r>
      </w:hyperlink>
      <w:r w:rsidRPr="00CA4225">
        <w:rPr>
          <w:lang w:val="en-GB"/>
        </w:rPr>
        <w:t xml:space="preserve"> </w:t>
      </w:r>
    </w:p>
    <w:p w14:paraId="168A51CF" w14:textId="77777777" w:rsidR="007715DA" w:rsidRPr="00CA4225" w:rsidRDefault="007715DA">
      <w:pPr>
        <w:spacing w:before="120"/>
        <w:rPr>
          <w:lang w:val="en-GB"/>
        </w:rPr>
      </w:pPr>
      <w:r w:rsidRPr="00CA4225">
        <w:rPr>
          <w:lang w:val="en-GB"/>
        </w:rPr>
        <w:t xml:space="preserve">Gibbs, M., Mengel, F. and Siemroth, C. (2024). Employee innovation during office work, work from home and hybrid work. </w:t>
      </w:r>
      <w:r w:rsidRPr="00CA4225">
        <w:rPr>
          <w:i/>
          <w:iCs/>
          <w:lang w:val="en-GB"/>
        </w:rPr>
        <w:t>Sci Rep</w:t>
      </w:r>
      <w:r w:rsidRPr="00CA4225">
        <w:rPr>
          <w:lang w:val="en-GB"/>
        </w:rPr>
        <w:t xml:space="preserve"> </w:t>
      </w:r>
      <w:r w:rsidRPr="00CA4225">
        <w:rPr>
          <w:b/>
          <w:bCs/>
          <w:lang w:val="en-GB"/>
        </w:rPr>
        <w:t>14</w:t>
      </w:r>
      <w:r w:rsidRPr="00CA4225">
        <w:rPr>
          <w:lang w:val="en-GB"/>
        </w:rPr>
        <w:t xml:space="preserve">, 17117. </w:t>
      </w:r>
      <w:hyperlink r:id="rId16">
        <w:r w:rsidRPr="00CA4225">
          <w:rPr>
            <w:color w:val="1155CC"/>
            <w:u w:val="single"/>
            <w:lang w:val="en-GB"/>
          </w:rPr>
          <w:t>https://doi.org/10.1038/s41598-024-67122-6</w:t>
        </w:r>
      </w:hyperlink>
      <w:r w:rsidRPr="00CA4225">
        <w:rPr>
          <w:lang w:val="en-GB"/>
        </w:rPr>
        <w:t xml:space="preserve"> </w:t>
      </w:r>
    </w:p>
    <w:p w14:paraId="53714046" w14:textId="77777777" w:rsidR="007715DA" w:rsidRDefault="007715DA">
      <w:pPr>
        <w:spacing w:before="120"/>
        <w:rPr>
          <w:lang w:val="en-GB"/>
        </w:rPr>
      </w:pPr>
      <w:r>
        <w:rPr>
          <w:lang w:val="en-GB"/>
        </w:rPr>
        <w:t>Growth Engineering (2026).</w:t>
      </w:r>
      <w:r w:rsidRPr="00F305AC">
        <w:rPr>
          <w:i/>
          <w:lang w:val="en-GB"/>
        </w:rPr>
        <w:t xml:space="preserve"> What Is a Growth Mindset? Dweck’s Theory, Research &amp; How to Develop One.</w:t>
      </w:r>
      <w:r>
        <w:rPr>
          <w:lang w:val="en-GB"/>
        </w:rPr>
        <w:t xml:space="preserve"> Available at: </w:t>
      </w:r>
      <w:hyperlink r:id="rId17" w:history="1">
        <w:r w:rsidRPr="00213D84">
          <w:rPr>
            <w:rStyle w:val="Hyperlink"/>
            <w:lang w:val="en-GB"/>
          </w:rPr>
          <w:t>https://www.growthengineering.co.uk/growth-mindset/</w:t>
        </w:r>
      </w:hyperlink>
      <w:r>
        <w:rPr>
          <w:lang w:val="en-GB"/>
        </w:rPr>
        <w:t xml:space="preserve"> (Accessed: 3 October 2026).</w:t>
      </w:r>
    </w:p>
    <w:p w14:paraId="3ABBA19C" w14:textId="77777777" w:rsidR="007715DA" w:rsidRPr="00CA4225" w:rsidRDefault="007715DA">
      <w:pPr>
        <w:spacing w:before="120"/>
        <w:rPr>
          <w:lang w:val="en-GB"/>
        </w:rPr>
      </w:pPr>
      <w:r w:rsidRPr="008117D8">
        <w:rPr>
          <w:lang w:val="da-DK"/>
        </w:rPr>
        <w:t xml:space="preserve">Iden, J. and Bygstad, B. (2025). </w:t>
      </w:r>
      <w:r w:rsidRPr="00CA4225">
        <w:rPr>
          <w:lang w:val="en-GB"/>
        </w:rPr>
        <w:t xml:space="preserve">Sociotechnical micro-foundations for digital transformation. </w:t>
      </w:r>
      <w:r w:rsidRPr="00CA4225">
        <w:rPr>
          <w:i/>
          <w:iCs/>
          <w:lang w:val="en-GB"/>
        </w:rPr>
        <w:t>European Journal of Information Systems</w:t>
      </w:r>
      <w:r w:rsidRPr="00CA4225">
        <w:rPr>
          <w:lang w:val="en-GB"/>
        </w:rPr>
        <w:t xml:space="preserve">, </w:t>
      </w:r>
      <w:r w:rsidRPr="00CA4225">
        <w:rPr>
          <w:i/>
          <w:iCs/>
          <w:lang w:val="en-GB"/>
        </w:rPr>
        <w:t>34</w:t>
      </w:r>
      <w:r w:rsidRPr="00CA4225">
        <w:rPr>
          <w:lang w:val="en-GB"/>
        </w:rPr>
        <w:t xml:space="preserve">(2), pp.367-382. </w:t>
      </w:r>
      <w:hyperlink r:id="rId18">
        <w:r w:rsidRPr="00CA4225">
          <w:rPr>
            <w:color w:val="1155CC"/>
            <w:u w:val="single"/>
            <w:lang w:val="en-GB"/>
          </w:rPr>
          <w:t>https://doi.org/10.1080/0960085X.2024.2347950</w:t>
        </w:r>
      </w:hyperlink>
      <w:r w:rsidRPr="00CA4225">
        <w:rPr>
          <w:lang w:val="en-GB"/>
        </w:rPr>
        <w:t xml:space="preserve"> </w:t>
      </w:r>
    </w:p>
    <w:p w14:paraId="4B33B1E4" w14:textId="77777777" w:rsidR="007715DA" w:rsidRPr="00CA4225" w:rsidRDefault="007715DA">
      <w:pPr>
        <w:spacing w:before="120"/>
        <w:rPr>
          <w:lang w:val="en-GB"/>
        </w:rPr>
      </w:pPr>
      <w:r w:rsidRPr="00CA4225">
        <w:rPr>
          <w:lang w:val="en-GB"/>
        </w:rPr>
        <w:t xml:space="preserve">Jiang D, Zhang Y, Zhu H and Wang X (2024) Effect of empowerment: how and when do high-involvement work practices influence elder employees’ innovative </w:t>
      </w:r>
      <w:proofErr w:type="gramStart"/>
      <w:r w:rsidRPr="00CA4225">
        <w:rPr>
          <w:lang w:val="en-GB"/>
        </w:rPr>
        <w:t>performance?.</w:t>
      </w:r>
      <w:proofErr w:type="gramEnd"/>
      <w:r w:rsidRPr="00CA4225">
        <w:rPr>
          <w:lang w:val="en-GB"/>
        </w:rPr>
        <w:t xml:space="preserve"> Front. Psychol. 15:1336120. doi: 10.3389/fpsyg.2024.1336120 </w:t>
      </w:r>
    </w:p>
    <w:p w14:paraId="193C57F7" w14:textId="77777777" w:rsidR="007715DA" w:rsidRDefault="007715DA">
      <w:pPr>
        <w:spacing w:before="120"/>
        <w:rPr>
          <w:lang w:val="en-GB"/>
        </w:rPr>
      </w:pPr>
      <w:r w:rsidRPr="009F3855">
        <w:rPr>
          <w:lang w:val="en-GB"/>
        </w:rPr>
        <w:t xml:space="preserve">Liu, Huifang. (2018). A Brief Analysis of Learning Organization Practice from the Perspective of the Fifth Discipline Model Theories—A Case Study of </w:t>
      </w:r>
      <w:proofErr w:type="spellStart"/>
      <w:r w:rsidRPr="009F3855">
        <w:rPr>
          <w:lang w:val="en-GB"/>
        </w:rPr>
        <w:t>Jatco</w:t>
      </w:r>
      <w:proofErr w:type="spellEnd"/>
      <w:r w:rsidRPr="009F3855">
        <w:rPr>
          <w:lang w:val="en-GB"/>
        </w:rPr>
        <w:t xml:space="preserve"> (Guangzhou). </w:t>
      </w:r>
      <w:r w:rsidRPr="009F3855">
        <w:rPr>
          <w:i/>
          <w:lang w:val="en-GB"/>
        </w:rPr>
        <w:t>American Journal of Industrial and Business Management. 08</w:t>
      </w:r>
      <w:r>
        <w:rPr>
          <w:lang w:val="en-GB"/>
        </w:rPr>
        <w:t xml:space="preserve">. 2143-2157. </w:t>
      </w:r>
      <w:hyperlink r:id="rId19" w:history="1">
        <w:r w:rsidRPr="00213D84">
          <w:rPr>
            <w:rStyle w:val="Hyperlink"/>
            <w:lang w:val="en-GB"/>
          </w:rPr>
          <w:t>https://www.researchgate.net/figure/The-five-disciplines_fig1_328688896</w:t>
        </w:r>
      </w:hyperlink>
      <w:r>
        <w:rPr>
          <w:lang w:val="en-GB"/>
        </w:rPr>
        <w:t xml:space="preserve"> </w:t>
      </w:r>
    </w:p>
    <w:p w14:paraId="3B0753EE" w14:textId="77777777" w:rsidR="007715DA" w:rsidRPr="00CA4225" w:rsidRDefault="007715DA">
      <w:pPr>
        <w:spacing w:before="120"/>
        <w:rPr>
          <w:lang w:val="en-GB"/>
        </w:rPr>
      </w:pPr>
      <w:r w:rsidRPr="00CA4225">
        <w:rPr>
          <w:lang w:val="en-GB"/>
        </w:rPr>
        <w:t xml:space="preserve">Naqshbandi, M.M. (2025). Beyond office walls: rethinking management practices in the hybrid workspace. </w:t>
      </w:r>
      <w:r w:rsidRPr="00CA4225">
        <w:rPr>
          <w:i/>
          <w:iCs/>
          <w:lang w:val="en-GB"/>
        </w:rPr>
        <w:t>FIIB Business Review</w:t>
      </w:r>
      <w:r w:rsidRPr="00CA4225">
        <w:rPr>
          <w:lang w:val="en-GB"/>
        </w:rPr>
        <w:t xml:space="preserve">, </w:t>
      </w:r>
      <w:r w:rsidRPr="00CA4225">
        <w:rPr>
          <w:i/>
          <w:iCs/>
          <w:lang w:val="en-GB"/>
        </w:rPr>
        <w:t>14</w:t>
      </w:r>
      <w:r w:rsidRPr="00CA4225">
        <w:rPr>
          <w:lang w:val="en-GB"/>
        </w:rPr>
        <w:t xml:space="preserve">(4), pp.391-397. </w:t>
      </w:r>
      <w:hyperlink r:id="rId20">
        <w:r w:rsidRPr="00CA4225">
          <w:rPr>
            <w:color w:val="1155CC"/>
            <w:u w:val="single"/>
            <w:lang w:val="en-GB"/>
          </w:rPr>
          <w:t>https://doi.org/10.1177/30499240251356878</w:t>
        </w:r>
      </w:hyperlink>
      <w:r w:rsidRPr="00CA4225">
        <w:rPr>
          <w:lang w:val="en-GB"/>
        </w:rPr>
        <w:t xml:space="preserve"> </w:t>
      </w:r>
    </w:p>
    <w:p w14:paraId="232BA9F4" w14:textId="77777777" w:rsidR="007715DA" w:rsidRPr="00CA4225" w:rsidRDefault="007715DA">
      <w:pPr>
        <w:spacing w:before="120"/>
        <w:rPr>
          <w:lang w:val="en-GB"/>
        </w:rPr>
      </w:pPr>
      <w:r w:rsidRPr="00CA4225">
        <w:rPr>
          <w:lang w:val="en-GB"/>
        </w:rPr>
        <w:t xml:space="preserve">Naskar, S.T., Hota, P.K. and Gupta, V. (2025). The efficiency paradox: How high-performance work systems interact with entrepreneurial orientation in hostile environments to impact firm </w:t>
      </w:r>
      <w:r w:rsidRPr="00CA4225">
        <w:rPr>
          <w:lang w:val="en-GB"/>
        </w:rPr>
        <w:lastRenderedPageBreak/>
        <w:t xml:space="preserve">performance in US firms. </w:t>
      </w:r>
      <w:r w:rsidRPr="00CA4225">
        <w:rPr>
          <w:i/>
          <w:iCs/>
          <w:lang w:val="en-GB"/>
        </w:rPr>
        <w:t xml:space="preserve">Int </w:t>
      </w:r>
      <w:proofErr w:type="spellStart"/>
      <w:r w:rsidRPr="00CA4225">
        <w:rPr>
          <w:i/>
          <w:iCs/>
          <w:lang w:val="en-GB"/>
        </w:rPr>
        <w:t>Entrep</w:t>
      </w:r>
      <w:proofErr w:type="spellEnd"/>
      <w:r w:rsidRPr="00CA4225">
        <w:rPr>
          <w:i/>
          <w:iCs/>
          <w:lang w:val="en-GB"/>
        </w:rPr>
        <w:t xml:space="preserve"> Manag J</w:t>
      </w:r>
      <w:r w:rsidRPr="00CA4225">
        <w:rPr>
          <w:lang w:val="en-GB"/>
        </w:rPr>
        <w:t xml:space="preserve"> </w:t>
      </w:r>
      <w:r w:rsidRPr="00CA4225">
        <w:rPr>
          <w:b/>
          <w:bCs/>
          <w:lang w:val="en-GB"/>
        </w:rPr>
        <w:t>21</w:t>
      </w:r>
      <w:r w:rsidRPr="00CA4225">
        <w:rPr>
          <w:lang w:val="en-GB"/>
        </w:rPr>
        <w:t xml:space="preserve">, 59. </w:t>
      </w:r>
      <w:hyperlink r:id="rId21">
        <w:r w:rsidRPr="00CA4225">
          <w:rPr>
            <w:color w:val="1155CC"/>
            <w:u w:val="single"/>
            <w:lang w:val="en-GB"/>
          </w:rPr>
          <w:t>https://doi.org/10.1007/s11365-025-01069-6</w:t>
        </w:r>
      </w:hyperlink>
      <w:r w:rsidRPr="00CA4225">
        <w:rPr>
          <w:lang w:val="en-GB"/>
        </w:rPr>
        <w:t xml:space="preserve"> </w:t>
      </w:r>
    </w:p>
    <w:p w14:paraId="5D23BCF9" w14:textId="77777777" w:rsidR="007715DA" w:rsidRPr="00CA4225" w:rsidRDefault="007715DA">
      <w:pPr>
        <w:spacing w:before="120"/>
        <w:rPr>
          <w:lang w:val="en-GB"/>
        </w:rPr>
      </w:pPr>
      <w:r w:rsidRPr="00CA4225">
        <w:rPr>
          <w:lang w:val="en-GB"/>
        </w:rPr>
        <w:t xml:space="preserve">Parker, S.K., Ballard, T., Billinghurst, M., Collins, C., Dollard, M., Griffin, M.A., Johal, W., Jorritsma, K., Kowalkiewicz, M., Kyndt, E. and Lusher, D. (2026). Quality work in the future: New directions via a co-evolving sociotechnical systems perspective. </w:t>
      </w:r>
      <w:r w:rsidRPr="00CA4225">
        <w:rPr>
          <w:i/>
          <w:iCs/>
          <w:lang w:val="en-GB"/>
        </w:rPr>
        <w:t>Australian Journal of Management</w:t>
      </w:r>
      <w:r w:rsidRPr="00CA4225">
        <w:rPr>
          <w:lang w:val="en-GB"/>
        </w:rPr>
        <w:t xml:space="preserve">, </w:t>
      </w:r>
      <w:r w:rsidRPr="00CA4225">
        <w:rPr>
          <w:i/>
          <w:iCs/>
          <w:lang w:val="en-GB"/>
        </w:rPr>
        <w:t>51</w:t>
      </w:r>
      <w:r w:rsidRPr="00CA4225">
        <w:rPr>
          <w:lang w:val="en-GB"/>
        </w:rPr>
        <w:t xml:space="preserve">(2), pp.534-560. </w:t>
      </w:r>
      <w:hyperlink r:id="rId22">
        <w:r w:rsidRPr="00CA4225">
          <w:rPr>
            <w:color w:val="1155CC"/>
            <w:u w:val="single"/>
            <w:lang w:val="en-GB"/>
          </w:rPr>
          <w:t>https://doi.org/10.1177/03128962251331813</w:t>
        </w:r>
      </w:hyperlink>
      <w:r w:rsidRPr="00CA4225">
        <w:rPr>
          <w:lang w:val="en-GB"/>
        </w:rPr>
        <w:t xml:space="preserve"> </w:t>
      </w:r>
    </w:p>
    <w:p w14:paraId="3F15734D" w14:textId="77777777" w:rsidR="007715DA" w:rsidRDefault="007715DA">
      <w:pPr>
        <w:spacing w:before="120"/>
        <w:rPr>
          <w:lang w:val="en-GB"/>
        </w:rPr>
      </w:pPr>
      <w:r>
        <w:rPr>
          <w:lang w:val="en-GB"/>
        </w:rPr>
        <w:t>Pinterest (2026).</w:t>
      </w:r>
      <w:r w:rsidRPr="00451326">
        <w:rPr>
          <w:i/>
          <w:lang w:val="en-GB"/>
        </w:rPr>
        <w:t xml:space="preserve"> THE AGILE-SCRUM FRAMEWORK.</w:t>
      </w:r>
      <w:r>
        <w:rPr>
          <w:lang w:val="en-GB"/>
        </w:rPr>
        <w:t xml:space="preserve"> Available at: </w:t>
      </w:r>
      <w:hyperlink r:id="rId23" w:history="1">
        <w:r w:rsidRPr="00213D84">
          <w:rPr>
            <w:rStyle w:val="Hyperlink"/>
            <w:lang w:val="en-GB"/>
          </w:rPr>
          <w:t>https://ca.pinterest.com/pin/638174209722586505/</w:t>
        </w:r>
      </w:hyperlink>
      <w:r>
        <w:rPr>
          <w:lang w:val="en-GB"/>
        </w:rPr>
        <w:t xml:space="preserve"> (Accessed: 3 October 2026). </w:t>
      </w:r>
    </w:p>
    <w:p w14:paraId="34F51875" w14:textId="77777777" w:rsidR="007715DA" w:rsidRDefault="007715DA">
      <w:pPr>
        <w:spacing w:before="120"/>
        <w:rPr>
          <w:lang w:val="en-GB"/>
        </w:rPr>
      </w:pPr>
      <w:proofErr w:type="spellStart"/>
      <w:r w:rsidRPr="00021795">
        <w:rPr>
          <w:lang w:val="en-GB"/>
        </w:rPr>
        <w:t>Shiftbase</w:t>
      </w:r>
      <w:proofErr w:type="spellEnd"/>
      <w:r>
        <w:rPr>
          <w:lang w:val="en-GB"/>
        </w:rPr>
        <w:t xml:space="preserve"> (2026)</w:t>
      </w:r>
      <w:r w:rsidRPr="00021795">
        <w:rPr>
          <w:i/>
          <w:lang w:val="en-GB"/>
        </w:rPr>
        <w:t>. Hybrid Working Model.</w:t>
      </w:r>
      <w:r>
        <w:rPr>
          <w:lang w:val="en-GB"/>
        </w:rPr>
        <w:t xml:space="preserve"> Available at: </w:t>
      </w:r>
      <w:hyperlink r:id="rId24" w:history="1">
        <w:r w:rsidRPr="00213D84">
          <w:rPr>
            <w:rStyle w:val="Hyperlink"/>
            <w:lang w:val="en-GB"/>
          </w:rPr>
          <w:t>https://www.shiftbase.com/glossary/hybrid-working-model</w:t>
        </w:r>
      </w:hyperlink>
      <w:r>
        <w:rPr>
          <w:lang w:val="en-GB"/>
        </w:rPr>
        <w:t xml:space="preserve"> (Accessed: 3 October 2026).</w:t>
      </w:r>
    </w:p>
    <w:p w14:paraId="39B7FEEB" w14:textId="77777777" w:rsidR="007715DA" w:rsidRPr="00CA4225" w:rsidRDefault="007715DA">
      <w:pPr>
        <w:spacing w:before="120"/>
        <w:rPr>
          <w:lang w:val="en-GB"/>
        </w:rPr>
      </w:pPr>
      <w:r w:rsidRPr="00CA4225">
        <w:rPr>
          <w:lang w:val="en-GB"/>
        </w:rPr>
        <w:t xml:space="preserve">Singh, R., Yoo, S., Park, S., Chaudhuri, S. and Sihag, P. (2025). State of the art on high performance work systems research: a bibliometrics study. </w:t>
      </w:r>
      <w:r w:rsidRPr="00CA4225">
        <w:rPr>
          <w:i/>
          <w:iCs/>
          <w:lang w:val="en-GB"/>
        </w:rPr>
        <w:t>Human Resource Development Review</w:t>
      </w:r>
      <w:r w:rsidRPr="00CA4225">
        <w:rPr>
          <w:lang w:val="en-GB"/>
        </w:rPr>
        <w:t xml:space="preserve">, </w:t>
      </w:r>
      <w:r w:rsidRPr="00CA4225">
        <w:rPr>
          <w:i/>
          <w:iCs/>
          <w:lang w:val="en-GB"/>
        </w:rPr>
        <w:t>24</w:t>
      </w:r>
      <w:r w:rsidRPr="00CA4225">
        <w:rPr>
          <w:lang w:val="en-GB"/>
        </w:rPr>
        <w:t xml:space="preserve">(3), pp.304-330. </w:t>
      </w:r>
      <w:hyperlink r:id="rId25">
        <w:r w:rsidRPr="00CA4225">
          <w:rPr>
            <w:color w:val="1155CC"/>
            <w:u w:val="single"/>
            <w:lang w:val="en-GB"/>
          </w:rPr>
          <w:t>https://doi.org/10.1177/15344843241301668</w:t>
        </w:r>
      </w:hyperlink>
      <w:r w:rsidRPr="00CA4225">
        <w:rPr>
          <w:lang w:val="en-GB"/>
        </w:rPr>
        <w:t xml:space="preserve"> </w:t>
      </w:r>
    </w:p>
    <w:p w14:paraId="62BB62F9" w14:textId="77777777" w:rsidR="007715DA" w:rsidRPr="00CA4225" w:rsidRDefault="007715DA">
      <w:pPr>
        <w:spacing w:before="120"/>
        <w:rPr>
          <w:lang w:val="en-GB"/>
        </w:rPr>
      </w:pPr>
      <w:r w:rsidRPr="00CA4225">
        <w:rPr>
          <w:lang w:val="en-GB"/>
        </w:rPr>
        <w:t xml:space="preserve">Yao, Z., Zhang, S., Li, Y., Ko, J., and Choi, J. (2025). Organizational agility and job performance: exploring emotional and behavioral mediators in healthcare management. </w:t>
      </w:r>
      <w:r w:rsidRPr="00CA4225">
        <w:rPr>
          <w:i/>
          <w:iCs/>
          <w:lang w:val="en-GB"/>
        </w:rPr>
        <w:t>Critical Public Health</w:t>
      </w:r>
      <w:r w:rsidRPr="00CA4225">
        <w:rPr>
          <w:lang w:val="en-GB"/>
        </w:rPr>
        <w:t xml:space="preserve">, </w:t>
      </w:r>
      <w:r w:rsidRPr="00CA4225">
        <w:rPr>
          <w:i/>
          <w:iCs/>
          <w:lang w:val="en-GB"/>
        </w:rPr>
        <w:t>35</w:t>
      </w:r>
      <w:r w:rsidRPr="00CA4225">
        <w:rPr>
          <w:lang w:val="en-GB"/>
        </w:rPr>
        <w:t xml:space="preserve">(1). </w:t>
      </w:r>
      <w:hyperlink r:id="rId26">
        <w:r w:rsidRPr="00CA4225">
          <w:rPr>
            <w:color w:val="1155CC"/>
            <w:u w:val="single"/>
            <w:lang w:val="en-GB"/>
          </w:rPr>
          <w:t>https://doi.org/10.1080/09581596.2025.2491736</w:t>
        </w:r>
      </w:hyperlink>
      <w:r w:rsidRPr="00CA4225">
        <w:rPr>
          <w:lang w:val="en-GB"/>
        </w:rPr>
        <w:t xml:space="preserve"> </w:t>
      </w:r>
    </w:p>
    <w:p w14:paraId="49D0CFFC" w14:textId="77777777" w:rsidR="007715DA" w:rsidRPr="00CA4225" w:rsidRDefault="007715DA">
      <w:pPr>
        <w:spacing w:before="120"/>
        <w:rPr>
          <w:lang w:val="en-GB"/>
        </w:rPr>
      </w:pPr>
      <w:r w:rsidRPr="00CA4225">
        <w:rPr>
          <w:lang w:val="en-GB"/>
        </w:rPr>
        <w:t xml:space="preserve">Zhang, N. and Zhang Sr, N. (2024). Incorporating a growth mindset model into medical education and enhancing the complex problem-solving abilities and mental resilience of medical students and residents. </w:t>
      </w:r>
      <w:r w:rsidRPr="00CA4225">
        <w:rPr>
          <w:i/>
          <w:iCs/>
          <w:lang w:val="en-GB"/>
        </w:rPr>
        <w:t>Cureus</w:t>
      </w:r>
      <w:r w:rsidRPr="00CA4225">
        <w:rPr>
          <w:lang w:val="en-GB"/>
        </w:rPr>
        <w:t xml:space="preserve">, </w:t>
      </w:r>
      <w:r w:rsidRPr="00CA4225">
        <w:rPr>
          <w:i/>
          <w:iCs/>
          <w:lang w:val="en-GB"/>
        </w:rPr>
        <w:t>16</w:t>
      </w:r>
      <w:r w:rsidRPr="00CA4225">
        <w:rPr>
          <w:lang w:val="en-GB"/>
        </w:rPr>
        <w:t xml:space="preserve">(8). DOI: 10.7759/cureus.67294 </w:t>
      </w:r>
    </w:p>
    <w:p w14:paraId="6AC7D51B" w14:textId="77777777" w:rsidR="003F36A5" w:rsidRPr="00CA4225" w:rsidRDefault="00FB1DF3">
      <w:pPr>
        <w:spacing w:before="120"/>
        <w:rPr>
          <w:lang w:val="en-GB"/>
        </w:rPr>
      </w:pPr>
      <w:r w:rsidRPr="00CA4225">
        <w:rPr>
          <w:lang w:val="en-GB"/>
        </w:rPr>
        <w:t xml:space="preserve"> </w:t>
      </w:r>
    </w:p>
    <w:p w14:paraId="0F474F7E" w14:textId="77777777" w:rsidR="003F36A5" w:rsidRPr="00CA4225" w:rsidRDefault="003F36A5">
      <w:pPr>
        <w:rPr>
          <w:lang w:val="en-GB"/>
        </w:rPr>
      </w:pPr>
    </w:p>
    <w:sectPr w:rsidR="003F36A5" w:rsidRPr="00CA4225" w:rsidSect="00CD127D">
      <w:footerReference w:type="default" r:id="rId27"/>
      <w:headerReference w:type="first" r:id="rId28"/>
      <w:footerReference w:type="first" r:id="rId2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08BBE" w14:textId="77777777" w:rsidR="002D5484" w:rsidRDefault="002D5484">
      <w:pPr>
        <w:spacing w:after="0" w:line="240" w:lineRule="auto"/>
      </w:pPr>
      <w:r>
        <w:separator/>
      </w:r>
    </w:p>
  </w:endnote>
  <w:endnote w:type="continuationSeparator" w:id="0">
    <w:p w14:paraId="629A0760" w14:textId="77777777" w:rsidR="002D5484" w:rsidRDefault="002D54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759C519-3CC9-48C5-BA28-4E8F8A2554B5}"/>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F6C773D-0B2D-46B6-BC85-FDB36D765A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A8BBD" w14:textId="77777777" w:rsidR="003F36A5" w:rsidRDefault="00FB1DF3">
    <w:pPr>
      <w:jc w:val="right"/>
      <w:rPr>
        <w:sz w:val="20"/>
        <w:szCs w:val="20"/>
      </w:rPr>
    </w:pPr>
    <w:r>
      <w:rPr>
        <w:sz w:val="20"/>
        <w:szCs w:val="20"/>
      </w:rPr>
      <w:fldChar w:fldCharType="begin"/>
    </w:r>
    <w:r>
      <w:rPr>
        <w:sz w:val="20"/>
        <w:szCs w:val="20"/>
      </w:rPr>
      <w:instrText>PAGE</w:instrText>
    </w:r>
    <w:r>
      <w:rPr>
        <w:sz w:val="20"/>
        <w:szCs w:val="20"/>
      </w:rPr>
      <w:fldChar w:fldCharType="separate"/>
    </w:r>
    <w:r w:rsidR="00BD6B9D">
      <w:rPr>
        <w:noProof/>
        <w:sz w:val="20"/>
        <w:szCs w:val="20"/>
      </w:rPr>
      <w:t>10</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67BB3" w14:textId="77777777" w:rsidR="003F36A5" w:rsidRDefault="003F36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FB99D" w14:textId="77777777" w:rsidR="002D5484" w:rsidRDefault="002D5484">
      <w:pPr>
        <w:spacing w:after="0" w:line="240" w:lineRule="auto"/>
      </w:pPr>
      <w:r>
        <w:separator/>
      </w:r>
    </w:p>
  </w:footnote>
  <w:footnote w:type="continuationSeparator" w:id="0">
    <w:p w14:paraId="1F1E6B1B" w14:textId="77777777" w:rsidR="002D5484" w:rsidRDefault="002D54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9EAF36" w14:textId="77777777" w:rsidR="003F36A5" w:rsidRDefault="003F36A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36A5"/>
    <w:rsid w:val="00010A3F"/>
    <w:rsid w:val="00021795"/>
    <w:rsid w:val="00050B93"/>
    <w:rsid w:val="001141DF"/>
    <w:rsid w:val="00117A93"/>
    <w:rsid w:val="002D5484"/>
    <w:rsid w:val="002E6A71"/>
    <w:rsid w:val="003A67DD"/>
    <w:rsid w:val="003F36A5"/>
    <w:rsid w:val="00451326"/>
    <w:rsid w:val="00476856"/>
    <w:rsid w:val="004A7FF1"/>
    <w:rsid w:val="00545EEC"/>
    <w:rsid w:val="00572DCF"/>
    <w:rsid w:val="00624657"/>
    <w:rsid w:val="0062524E"/>
    <w:rsid w:val="006643B1"/>
    <w:rsid w:val="00704313"/>
    <w:rsid w:val="007715DA"/>
    <w:rsid w:val="007E4C8A"/>
    <w:rsid w:val="008117D8"/>
    <w:rsid w:val="00860C5B"/>
    <w:rsid w:val="009072EE"/>
    <w:rsid w:val="00960CF4"/>
    <w:rsid w:val="009921A8"/>
    <w:rsid w:val="009F3855"/>
    <w:rsid w:val="009F59C6"/>
    <w:rsid w:val="00AF5230"/>
    <w:rsid w:val="00B76582"/>
    <w:rsid w:val="00BD6B9D"/>
    <w:rsid w:val="00CA4225"/>
    <w:rsid w:val="00CD127D"/>
    <w:rsid w:val="00CE082A"/>
    <w:rsid w:val="00D74EB6"/>
    <w:rsid w:val="00DB0ACC"/>
    <w:rsid w:val="00E0378A"/>
    <w:rsid w:val="00F23854"/>
    <w:rsid w:val="00F305AC"/>
    <w:rsid w:val="00FB1D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E6E2"/>
  <w15:docId w15:val="{D71F0B12-BBF3-4D73-B5B7-63C809CDE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A4225"/>
    <w:pPr>
      <w:spacing w:after="120"/>
    </w:p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CD127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127D"/>
    <w:pPr>
      <w:spacing w:after="100"/>
    </w:pPr>
  </w:style>
  <w:style w:type="paragraph" w:styleId="TOC2">
    <w:name w:val="toc 2"/>
    <w:basedOn w:val="Normal"/>
    <w:next w:val="Normal"/>
    <w:autoRedefine/>
    <w:uiPriority w:val="39"/>
    <w:unhideWhenUsed/>
    <w:rsid w:val="00CD127D"/>
    <w:pPr>
      <w:spacing w:after="100"/>
      <w:ind w:left="240"/>
    </w:pPr>
  </w:style>
  <w:style w:type="character" w:styleId="Hyperlink">
    <w:name w:val="Hyperlink"/>
    <w:basedOn w:val="DefaultParagraphFont"/>
    <w:uiPriority w:val="99"/>
    <w:unhideWhenUsed/>
    <w:rsid w:val="00CD12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289561">
      <w:bodyDiv w:val="1"/>
      <w:marLeft w:val="0"/>
      <w:marRight w:val="0"/>
      <w:marTop w:val="0"/>
      <w:marBottom w:val="0"/>
      <w:divBdr>
        <w:top w:val="none" w:sz="0" w:space="0" w:color="auto"/>
        <w:left w:val="none" w:sz="0" w:space="0" w:color="auto"/>
        <w:bottom w:val="none" w:sz="0" w:space="0" w:color="auto"/>
        <w:right w:val="none" w:sz="0" w:space="0" w:color="auto"/>
      </w:divBdr>
    </w:div>
    <w:div w:id="350644055">
      <w:bodyDiv w:val="1"/>
      <w:marLeft w:val="0"/>
      <w:marRight w:val="0"/>
      <w:marTop w:val="0"/>
      <w:marBottom w:val="0"/>
      <w:divBdr>
        <w:top w:val="none" w:sz="0" w:space="0" w:color="auto"/>
        <w:left w:val="none" w:sz="0" w:space="0" w:color="auto"/>
        <w:bottom w:val="none" w:sz="0" w:space="0" w:color="auto"/>
        <w:right w:val="none" w:sz="0" w:space="0" w:color="auto"/>
      </w:divBdr>
    </w:div>
    <w:div w:id="1522233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08/IJOA-06-2024-4599" TargetMode="External"/><Relationship Id="rId18" Type="http://schemas.openxmlformats.org/officeDocument/2006/relationships/hyperlink" Target="https://doi.org/10.1080/0960085X.2024.2347950" TargetMode="External"/><Relationship Id="rId26" Type="http://schemas.openxmlformats.org/officeDocument/2006/relationships/hyperlink" Target="https://doi.org/10.1080/09581596.2025.2491736" TargetMode="External"/><Relationship Id="rId3" Type="http://schemas.openxmlformats.org/officeDocument/2006/relationships/settings" Target="settings.xml"/><Relationship Id="rId21" Type="http://schemas.openxmlformats.org/officeDocument/2006/relationships/hyperlink" Target="https://doi.org/10.1007/s11365-025-01069-6" TargetMode="External"/><Relationship Id="rId7" Type="http://schemas.openxmlformats.org/officeDocument/2006/relationships/image" Target="media/image1.jpeg"/><Relationship Id="rId12" Type="http://schemas.openxmlformats.org/officeDocument/2006/relationships/hyperlink" Target="https://doi.org/10.1108/IJOA-06-2024-4599" TargetMode="External"/><Relationship Id="rId17" Type="http://schemas.openxmlformats.org/officeDocument/2006/relationships/hyperlink" Target="https://www.growthengineering.co.uk/growth-mindset/" TargetMode="External"/><Relationship Id="rId25" Type="http://schemas.openxmlformats.org/officeDocument/2006/relationships/hyperlink" Target="https://doi.org/10.1177/15344843241301668" TargetMode="External"/><Relationship Id="rId2" Type="http://schemas.openxmlformats.org/officeDocument/2006/relationships/styles" Target="styles.xml"/><Relationship Id="rId16" Type="http://schemas.openxmlformats.org/officeDocument/2006/relationships/hyperlink" Target="https://doi.org/10.1038/s41598-024-67122-6" TargetMode="External"/><Relationship Id="rId20" Type="http://schemas.openxmlformats.org/officeDocument/2006/relationships/hyperlink" Target="https://doi.org/10.1177/3049924025135687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hiftbase.com/glossary/hybrid-working-model" TargetMode="External"/><Relationship Id="rId5" Type="http://schemas.openxmlformats.org/officeDocument/2006/relationships/footnotes" Target="footnotes.xml"/><Relationship Id="rId15" Type="http://schemas.openxmlformats.org/officeDocument/2006/relationships/hyperlink" Target="https://doi.org/10.1016/j.jbusres.2026.116146" TargetMode="External"/><Relationship Id="rId23" Type="http://schemas.openxmlformats.org/officeDocument/2006/relationships/hyperlink" Target="https://ca.pinterest.com/pin/638174209722586505/"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researchgate.net/figure/The-five-disciplines_fig1_32868889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38/s41586-024-07500-2" TargetMode="External"/><Relationship Id="rId22" Type="http://schemas.openxmlformats.org/officeDocument/2006/relationships/hyperlink" Target="https://doi.org/10.1177/03128962251331813" TargetMode="External"/><Relationship Id="rId27" Type="http://schemas.openxmlformats.org/officeDocument/2006/relationships/footer" Target="footer1.xm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8CA11-4A9F-4844-B295-C541BA4ED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10</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work space</cp:lastModifiedBy>
  <cp:revision>38</cp:revision>
  <dcterms:created xsi:type="dcterms:W3CDTF">2026-10-03T02:05:00Z</dcterms:created>
  <dcterms:modified xsi:type="dcterms:W3CDTF">2026-10-05T11:29:00Z</dcterms:modified>
</cp:coreProperties>
</file>