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Arial" w:hAnsi="Arial" w:cs="Arial"/>
          <w:sz w:val="36"/>
          <w:szCs w:val="36"/>
        </w:rPr>
      </w:pPr>
      <w:r>
        <w:drawing>
          <wp:inline distT="0" distB="0" distL="114300" distR="114300">
            <wp:extent cx="2888615" cy="1136015"/>
            <wp:effectExtent l="0" t="0" r="698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888615" cy="1136015"/>
                    </a:xfrm>
                    <a:prstGeom prst="rect">
                      <a:avLst/>
                    </a:prstGeom>
                    <a:noFill/>
                    <a:ln>
                      <a:noFill/>
                    </a:ln>
                  </pic:spPr>
                </pic:pic>
              </a:graphicData>
            </a:graphic>
          </wp:inline>
        </w:drawing>
      </w:r>
    </w:p>
    <w:p>
      <w:pPr>
        <w:rPr>
          <w:rFonts w:hint="eastAsia" w:ascii="Arial" w:hAnsi="Arial" w:cs="Arial"/>
          <w:sz w:val="36"/>
          <w:szCs w:val="36"/>
        </w:rPr>
      </w:pPr>
    </w:p>
    <w:p>
      <w:pPr>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jc w:val="both"/>
        <w:rPr>
          <w:rFonts w:hint="eastAsia" w:ascii="Arial" w:hAnsi="Arial" w:cs="Arial"/>
          <w:sz w:val="36"/>
          <w:szCs w:val="36"/>
        </w:rPr>
      </w:pPr>
    </w:p>
    <w:p>
      <w:pPr>
        <w:bidi w:val="0"/>
        <w:jc w:val="both"/>
        <w:rPr>
          <w:rFonts w:hint="eastAsia"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bidi w:val="0"/>
        <w:ind w:firstLine="2520" w:firstLineChars="700"/>
        <w:rPr>
          <w:rFonts w:hint="default" w:ascii="Arial" w:hAnsi="Arial" w:cs="Arial"/>
          <w:sz w:val="36"/>
          <w:szCs w:val="36"/>
        </w:rPr>
      </w:pPr>
      <w:r>
        <w:rPr>
          <w:rFonts w:hint="default" w:ascii="Arial" w:hAnsi="Arial" w:cs="Arial"/>
          <w:sz w:val="36"/>
          <w:szCs w:val="36"/>
          <w:lang w:val="en-US" w:eastAsia="zh-CN"/>
        </w:rPr>
        <w:t>Dai Bicong 2110091</w:t>
      </w:r>
    </w:p>
    <w:p>
      <w:pPr>
        <w:bidi w:val="0"/>
        <w:rPr>
          <w:rFonts w:hint="default" w:ascii="Arial" w:hAnsi="Arial" w:cs="Arial"/>
          <w:sz w:val="36"/>
          <w:szCs w:val="36"/>
        </w:rPr>
      </w:pPr>
      <w:r>
        <w:rPr>
          <w:rFonts w:hint="eastAsia" w:ascii="Arial" w:hAnsi="Arial" w:eastAsia="宋体" w:cs="Arial"/>
          <w:sz w:val="36"/>
          <w:szCs w:val="36"/>
          <w:lang w:val="en-US" w:eastAsia="zh-CN"/>
        </w:rPr>
        <w:t xml:space="preserve">                      </w:t>
      </w:r>
      <w:r>
        <w:rPr>
          <w:rFonts w:hint="default" w:ascii="Arial" w:hAnsi="Arial" w:cs="Arial"/>
          <w:sz w:val="36"/>
          <w:szCs w:val="36"/>
        </w:rPr>
        <w:t>Module Lead: Lisa Knight</w:t>
      </w:r>
    </w:p>
    <w:p>
      <w:pPr>
        <w:bidi w:val="0"/>
        <w:jc w:val="both"/>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11 March 2022</w:t>
      </w:r>
    </w:p>
    <w:p>
      <w:pPr>
        <w:bidi w:val="0"/>
        <w:ind w:firstLine="2880" w:firstLineChars="800"/>
        <w:rPr>
          <w:rFonts w:hint="default" w:ascii="Arial" w:hAnsi="Arial" w:cs="Arial"/>
          <w:sz w:val="36"/>
          <w:szCs w:val="36"/>
        </w:rPr>
      </w:pPr>
      <w:r>
        <w:rPr>
          <w:rFonts w:hint="default" w:ascii="Arial" w:hAnsi="Arial" w:cs="Arial"/>
          <w:sz w:val="36"/>
          <w:szCs w:val="36"/>
        </w:rPr>
        <w:t xml:space="preserve">LEVEL 6 </w:t>
      </w:r>
    </w:p>
    <w:p>
      <w:pPr>
        <w:bidi w:val="0"/>
        <w:ind w:firstLine="1800" w:firstLineChars="500"/>
        <w:rPr>
          <w:rFonts w:hint="default" w:ascii="Arial" w:hAnsi="Arial" w:cs="Arial"/>
          <w:sz w:val="36"/>
          <w:szCs w:val="36"/>
        </w:rPr>
      </w:pPr>
      <w:r>
        <w:rPr>
          <w:rFonts w:hint="default" w:ascii="Arial" w:hAnsi="Arial" w:cs="Arial"/>
          <w:sz w:val="36"/>
          <w:szCs w:val="36"/>
        </w:rPr>
        <w:t xml:space="preserve">Semester 2: 2021-2022  </w:t>
      </w:r>
    </w:p>
    <w:p>
      <w:pPr>
        <w:bidi w:val="0"/>
        <w:jc w:val="both"/>
        <w:rPr>
          <w:rFonts w:hint="default" w:ascii="Arial" w:hAnsi="Arial" w:eastAsia="宋体" w:cs="Arial"/>
          <w:sz w:val="36"/>
          <w:szCs w:val="36"/>
          <w:lang w:val="en-US" w:eastAsia="zh-CN"/>
        </w:rPr>
      </w:pPr>
      <w:r>
        <w:rPr>
          <w:rFonts w:hint="eastAsia" w:ascii="宋体" w:hAnsi="宋体" w:eastAsia="宋体" w:cs="宋体"/>
          <w:sz w:val="24"/>
          <w:szCs w:val="24"/>
          <w:lang w:val="en-US" w:eastAsia="zh-CN"/>
        </w:rPr>
        <w:t xml:space="preserve">               </w:t>
      </w:r>
      <w:r>
        <w:rPr>
          <w:rFonts w:ascii="宋体" w:hAnsi="宋体" w:eastAsia="宋体" w:cs="宋体"/>
          <w:sz w:val="24"/>
          <w:szCs w:val="24"/>
        </w:rPr>
        <w:drawing>
          <wp:inline distT="0" distB="0" distL="114300" distR="114300">
            <wp:extent cx="2371725" cy="1975485"/>
            <wp:effectExtent l="0" t="0" r="9525" b="57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2371725" cy="1975485"/>
                    </a:xfrm>
                    <a:prstGeom prst="rect">
                      <a:avLst/>
                    </a:prstGeom>
                    <a:noFill/>
                    <a:ln w="9525">
                      <a:noFill/>
                    </a:ln>
                  </pic:spPr>
                </pic:pic>
              </a:graphicData>
            </a:graphic>
          </wp:inline>
        </w:drawing>
      </w:r>
    </w:p>
    <w:p>
      <w:pPr>
        <w:bidi w:val="0"/>
        <w:jc w:val="both"/>
        <w:rPr>
          <w:rFonts w:hint="default" w:ascii="Arial" w:hAnsi="Arial" w:cs="Arial"/>
          <w:sz w:val="36"/>
          <w:szCs w:val="36"/>
        </w:rPr>
      </w:pPr>
      <w:r>
        <w:rPr>
          <w:rFonts w:hint="eastAsia" w:ascii="Arial" w:hAnsi="Arial" w:cs="Arial"/>
          <w:sz w:val="36"/>
          <w:szCs w:val="36"/>
        </w:rPr>
        <w:t>A report submitted to meet the requirements of BMBM60</w:t>
      </w:r>
      <w:r>
        <w:rPr>
          <w:rFonts w:hint="eastAsia" w:ascii="Arial" w:hAnsi="Arial" w:eastAsia="宋体" w:cs="Arial"/>
          <w:sz w:val="36"/>
          <w:szCs w:val="36"/>
          <w:lang w:val="en-US" w:eastAsia="zh-CN"/>
        </w:rPr>
        <w:t>12</w:t>
      </w:r>
      <w:r>
        <w:rPr>
          <w:rFonts w:hint="eastAsia" w:ascii="Arial" w:hAnsi="Arial" w:cs="Arial"/>
          <w:sz w:val="36"/>
          <w:szCs w:val="36"/>
        </w:rPr>
        <w:t xml:space="preserve"> course of </w:t>
      </w:r>
      <w:r>
        <w:rPr>
          <w:rFonts w:hint="default" w:ascii="Arial" w:hAnsi="Arial" w:cs="Arial"/>
          <w:sz w:val="36"/>
          <w:szCs w:val="36"/>
        </w:rPr>
        <w:t xml:space="preserve">Leading and Developing People </w:t>
      </w:r>
    </w:p>
    <w:p>
      <w:pPr>
        <w:jc w:val="both"/>
        <w:rPr>
          <w:rFonts w:ascii="Arial" w:hAnsi="Arial" w:cs="Arial"/>
          <w:sz w:val="36"/>
          <w:szCs w:val="36"/>
        </w:rPr>
      </w:pPr>
      <w:r>
        <w:rPr>
          <w:rFonts w:hint="eastAsia" w:ascii="Arial" w:hAnsi="Arial" w:cs="Arial"/>
          <w:sz w:val="36"/>
          <w:szCs w:val="36"/>
        </w:rPr>
        <w:t xml:space="preserve"> </w:t>
      </w:r>
      <w:r>
        <w:rPr>
          <w:rFonts w:hint="eastAsia" w:ascii="Arial" w:hAnsi="Arial" w:eastAsia="宋体" w:cs="Arial"/>
          <w:sz w:val="36"/>
          <w:szCs w:val="36"/>
          <w:lang w:val="en-US" w:eastAsia="zh-CN"/>
        </w:rPr>
        <w:t xml:space="preserve">   </w:t>
      </w:r>
      <w:r>
        <w:rPr>
          <w:rFonts w:hint="eastAsia" w:ascii="Arial" w:hAnsi="Arial" w:cs="Arial"/>
          <w:sz w:val="36"/>
          <w:szCs w:val="36"/>
        </w:rPr>
        <w:t xml:space="preserve">in </w:t>
      </w:r>
      <w:r>
        <w:rPr>
          <w:rFonts w:ascii="Arial" w:hAnsi="Arial" w:cs="Arial"/>
          <w:sz w:val="36"/>
          <w:szCs w:val="36"/>
        </w:rPr>
        <w:t>University of Wales Trinity Saint David.</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Arial" w:hAnsi="Arial" w:cs="Arial"/>
          <w:color w:val="auto"/>
          <w:sz w:val="28"/>
          <w:szCs w:val="28"/>
        </w:rPr>
      </w:pPr>
      <w:bookmarkStart w:id="6" w:name="_GoBack"/>
    </w:p>
    <w:sdt>
      <w:sdtPr>
        <w:rPr>
          <w:rFonts w:hint="default" w:ascii="Arial" w:hAnsi="Arial" w:eastAsia="宋体" w:cs="Arial"/>
          <w:sz w:val="28"/>
          <w:szCs w:val="28"/>
          <w:lang w:val="en-US" w:eastAsia="en-US" w:bidi="ar-SA"/>
        </w:rPr>
        <w:id w:val="147483353"/>
        <w15:color w:val="DBDBDB"/>
        <w:docPartObj>
          <w:docPartGallery w:val="Table of Contents"/>
          <w:docPartUnique/>
        </w:docPartObj>
      </w:sdtPr>
      <w:sdtEndPr>
        <w:rPr>
          <w:rFonts w:hint="default" w:ascii="Times New Roman" w:hAnsi="Times New Roman" w:cs="Times New Roman" w:eastAsiaTheme="minorHAnsi"/>
          <w:b/>
          <w:color w:val="auto"/>
          <w:sz w:val="22"/>
          <w:szCs w:val="24"/>
          <w:lang w:val="en-GB" w:eastAsia="en-US" w:bidi="ar-SA"/>
        </w:rPr>
      </w:sdtEndPr>
      <w:sdtContent>
        <w:p>
          <w:pPr>
            <w:spacing w:before="0" w:beforeLines="0" w:after="0" w:afterLines="0" w:line="240" w:lineRule="auto"/>
            <w:ind w:left="0" w:leftChars="0" w:right="0" w:rightChars="0" w:firstLine="0" w:firstLineChars="0"/>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bidi="ar-SA"/>
            </w:rPr>
            <w:t>Content</w:t>
          </w:r>
        </w:p>
        <w:p>
          <w:pPr>
            <w:pStyle w:val="4"/>
            <w:tabs>
              <w:tab w:val="right" w:leader="dot" w:pos="9026"/>
            </w:tabs>
          </w:pPr>
          <w:r>
            <w:rPr>
              <w:rFonts w:hint="default" w:ascii="Arial" w:hAnsi="Arial" w:cs="Arial"/>
              <w:color w:val="auto"/>
              <w:sz w:val="28"/>
              <w:szCs w:val="28"/>
            </w:rPr>
            <w:fldChar w:fldCharType="begin"/>
          </w:r>
          <w:r>
            <w:rPr>
              <w:rFonts w:hint="default" w:ascii="Arial" w:hAnsi="Arial" w:cs="Arial"/>
              <w:color w:val="auto"/>
              <w:sz w:val="28"/>
              <w:szCs w:val="28"/>
            </w:rPr>
            <w:instrText xml:space="preserve">TOC \o "1-2" \h \u </w:instrText>
          </w:r>
          <w:r>
            <w:rPr>
              <w:rFonts w:hint="default" w:ascii="Arial" w:hAnsi="Arial" w:cs="Arial"/>
              <w:color w:val="auto"/>
              <w:sz w:val="28"/>
              <w:szCs w:val="28"/>
            </w:rPr>
            <w:fldChar w:fldCharType="separate"/>
          </w:r>
          <w:r>
            <w:rPr>
              <w:rFonts w:hint="default" w:ascii="Arial" w:hAnsi="Arial" w:cs="Arial"/>
              <w:color w:val="auto"/>
              <w:szCs w:val="28"/>
            </w:rPr>
            <w:fldChar w:fldCharType="begin"/>
          </w:r>
          <w:r>
            <w:rPr>
              <w:rFonts w:hint="default" w:ascii="Arial" w:hAnsi="Arial" w:cs="Arial"/>
              <w:szCs w:val="28"/>
            </w:rPr>
            <w:instrText xml:space="preserve"> HYPERLINK \l _Toc6740 </w:instrText>
          </w:r>
          <w:r>
            <w:rPr>
              <w:rFonts w:hint="default" w:ascii="Arial" w:hAnsi="Arial" w:cs="Arial"/>
              <w:szCs w:val="28"/>
            </w:rPr>
            <w:fldChar w:fldCharType="separate"/>
          </w:r>
          <w:r>
            <w:rPr>
              <w:rFonts w:hint="eastAsia"/>
              <w:lang w:val="en-US" w:eastAsia="zh-CN"/>
            </w:rPr>
            <w:t>1. Introduction</w:t>
          </w:r>
          <w:r>
            <w:tab/>
          </w:r>
          <w:r>
            <w:fldChar w:fldCharType="begin"/>
          </w:r>
          <w:r>
            <w:instrText xml:space="preserve"> PAGEREF _Toc6740 \h </w:instrText>
          </w:r>
          <w:r>
            <w:fldChar w:fldCharType="separate"/>
          </w:r>
          <w:r>
            <w:t>3</w:t>
          </w:r>
          <w:r>
            <w:fldChar w:fldCharType="end"/>
          </w:r>
          <w:r>
            <w:rPr>
              <w:rFonts w:hint="default" w:ascii="Arial" w:hAnsi="Arial" w:cs="Arial"/>
              <w:color w:val="auto"/>
              <w:szCs w:val="28"/>
            </w:rPr>
            <w:fldChar w:fldCharType="end"/>
          </w:r>
        </w:p>
        <w:p>
          <w:pPr>
            <w:pStyle w:val="5"/>
            <w:tabs>
              <w:tab w:val="right" w:leader="dot" w:pos="9026"/>
            </w:tabs>
          </w:pPr>
          <w:r>
            <w:rPr>
              <w:rFonts w:hint="default" w:ascii="Arial" w:hAnsi="Arial" w:cs="Arial"/>
              <w:color w:val="auto"/>
              <w:szCs w:val="28"/>
            </w:rPr>
            <w:fldChar w:fldCharType="begin"/>
          </w:r>
          <w:r>
            <w:rPr>
              <w:rFonts w:hint="default" w:ascii="Arial" w:hAnsi="Arial" w:cs="Arial"/>
              <w:szCs w:val="28"/>
            </w:rPr>
            <w:instrText xml:space="preserve"> HYPERLINK \l _Toc6022 </w:instrText>
          </w:r>
          <w:r>
            <w:rPr>
              <w:rFonts w:hint="default" w:ascii="Arial" w:hAnsi="Arial" w:cs="Arial"/>
              <w:szCs w:val="28"/>
            </w:rPr>
            <w:fldChar w:fldCharType="separate"/>
          </w:r>
          <w:r>
            <w:rPr>
              <w:rFonts w:hint="eastAsia"/>
              <w:lang w:val="en-US" w:eastAsia="zh-CN"/>
            </w:rPr>
            <w:t>1.1 Part 1</w:t>
          </w:r>
          <w:r>
            <w:tab/>
          </w:r>
          <w:r>
            <w:fldChar w:fldCharType="begin"/>
          </w:r>
          <w:r>
            <w:instrText xml:space="preserve"> PAGEREF _Toc6022 \h </w:instrText>
          </w:r>
          <w:r>
            <w:fldChar w:fldCharType="separate"/>
          </w:r>
          <w:r>
            <w:t>3</w:t>
          </w:r>
          <w:r>
            <w:fldChar w:fldCharType="end"/>
          </w:r>
          <w:r>
            <w:rPr>
              <w:rFonts w:hint="default" w:ascii="Arial" w:hAnsi="Arial" w:cs="Arial"/>
              <w:color w:val="auto"/>
              <w:szCs w:val="28"/>
            </w:rPr>
            <w:fldChar w:fldCharType="end"/>
          </w:r>
        </w:p>
        <w:p>
          <w:pPr>
            <w:pStyle w:val="5"/>
            <w:tabs>
              <w:tab w:val="right" w:leader="dot" w:pos="9026"/>
            </w:tabs>
          </w:pPr>
          <w:r>
            <w:rPr>
              <w:rFonts w:hint="default" w:ascii="Arial" w:hAnsi="Arial" w:cs="Arial"/>
              <w:color w:val="auto"/>
              <w:szCs w:val="28"/>
            </w:rPr>
            <w:fldChar w:fldCharType="begin"/>
          </w:r>
          <w:r>
            <w:rPr>
              <w:rFonts w:hint="default" w:ascii="Arial" w:hAnsi="Arial" w:cs="Arial"/>
              <w:szCs w:val="28"/>
            </w:rPr>
            <w:instrText xml:space="preserve"> HYPERLINK \l _Toc19437 </w:instrText>
          </w:r>
          <w:r>
            <w:rPr>
              <w:rFonts w:hint="default" w:ascii="Arial" w:hAnsi="Arial" w:cs="Arial"/>
              <w:szCs w:val="28"/>
            </w:rPr>
            <w:fldChar w:fldCharType="separate"/>
          </w:r>
          <w:r>
            <w:rPr>
              <w:rFonts w:hint="eastAsia"/>
              <w:lang w:val="en-US" w:eastAsia="zh-CN"/>
            </w:rPr>
            <w:t>1.2 Part 2</w:t>
          </w:r>
          <w:r>
            <w:tab/>
          </w:r>
          <w:r>
            <w:fldChar w:fldCharType="begin"/>
          </w:r>
          <w:r>
            <w:instrText xml:space="preserve"> PAGEREF _Toc19437 \h </w:instrText>
          </w:r>
          <w:r>
            <w:fldChar w:fldCharType="separate"/>
          </w:r>
          <w:r>
            <w:t>3</w:t>
          </w:r>
          <w:r>
            <w:fldChar w:fldCharType="end"/>
          </w:r>
          <w:r>
            <w:rPr>
              <w:rFonts w:hint="default" w:ascii="Arial" w:hAnsi="Arial" w:cs="Arial"/>
              <w:color w:val="auto"/>
              <w:szCs w:val="28"/>
            </w:rPr>
            <w:fldChar w:fldCharType="end"/>
          </w:r>
        </w:p>
        <w:p>
          <w:pPr>
            <w:pStyle w:val="4"/>
            <w:tabs>
              <w:tab w:val="right" w:leader="dot" w:pos="9026"/>
            </w:tabs>
          </w:pPr>
          <w:r>
            <w:rPr>
              <w:rFonts w:hint="default" w:ascii="Arial" w:hAnsi="Arial" w:cs="Arial"/>
              <w:color w:val="auto"/>
              <w:szCs w:val="28"/>
            </w:rPr>
            <w:fldChar w:fldCharType="begin"/>
          </w:r>
          <w:r>
            <w:rPr>
              <w:rFonts w:hint="default" w:ascii="Arial" w:hAnsi="Arial" w:cs="Arial"/>
              <w:szCs w:val="28"/>
            </w:rPr>
            <w:instrText xml:space="preserve"> HYPERLINK \l _Toc30960 </w:instrText>
          </w:r>
          <w:r>
            <w:rPr>
              <w:rFonts w:hint="default" w:ascii="Arial" w:hAnsi="Arial" w:cs="Arial"/>
              <w:szCs w:val="28"/>
            </w:rPr>
            <w:fldChar w:fldCharType="separate"/>
          </w:r>
          <w:r>
            <w:rPr>
              <w:rFonts w:hint="eastAsia"/>
              <w:lang w:val="en-US" w:eastAsia="zh-CN"/>
            </w:rPr>
            <w:t>2.Main findings</w:t>
          </w:r>
          <w:r>
            <w:tab/>
          </w:r>
          <w:r>
            <w:fldChar w:fldCharType="begin"/>
          </w:r>
          <w:r>
            <w:instrText xml:space="preserve"> PAGEREF _Toc30960 \h </w:instrText>
          </w:r>
          <w:r>
            <w:fldChar w:fldCharType="separate"/>
          </w:r>
          <w:r>
            <w:t>4</w:t>
          </w:r>
          <w:r>
            <w:fldChar w:fldCharType="end"/>
          </w:r>
          <w:r>
            <w:rPr>
              <w:rFonts w:hint="default" w:ascii="Arial" w:hAnsi="Arial" w:cs="Arial"/>
              <w:color w:val="auto"/>
              <w:szCs w:val="28"/>
            </w:rPr>
            <w:fldChar w:fldCharType="end"/>
          </w:r>
        </w:p>
        <w:p>
          <w:pPr>
            <w:pStyle w:val="4"/>
            <w:tabs>
              <w:tab w:val="right" w:leader="dot" w:pos="9026"/>
            </w:tabs>
          </w:pPr>
          <w:r>
            <w:rPr>
              <w:rFonts w:hint="default" w:ascii="Arial" w:hAnsi="Arial" w:cs="Arial"/>
              <w:color w:val="auto"/>
              <w:szCs w:val="28"/>
            </w:rPr>
            <w:fldChar w:fldCharType="begin"/>
          </w:r>
          <w:r>
            <w:rPr>
              <w:rFonts w:hint="default" w:ascii="Arial" w:hAnsi="Arial" w:cs="Arial"/>
              <w:szCs w:val="28"/>
            </w:rPr>
            <w:instrText xml:space="preserve"> HYPERLINK \l _Toc26803 </w:instrText>
          </w:r>
          <w:r>
            <w:rPr>
              <w:rFonts w:hint="default" w:ascii="Arial" w:hAnsi="Arial" w:cs="Arial"/>
              <w:szCs w:val="28"/>
            </w:rPr>
            <w:fldChar w:fldCharType="separate"/>
          </w:r>
          <w:r>
            <w:rPr>
              <w:rFonts w:hint="eastAsia"/>
              <w:lang w:val="en-US" w:eastAsia="zh-CN"/>
            </w:rPr>
            <w:t>3.0 Conclusion</w:t>
          </w:r>
          <w:r>
            <w:tab/>
          </w:r>
          <w:r>
            <w:fldChar w:fldCharType="begin"/>
          </w:r>
          <w:r>
            <w:instrText xml:space="preserve"> PAGEREF _Toc26803 \h </w:instrText>
          </w:r>
          <w:r>
            <w:fldChar w:fldCharType="separate"/>
          </w:r>
          <w:r>
            <w:t>11</w:t>
          </w:r>
          <w:r>
            <w:fldChar w:fldCharType="end"/>
          </w:r>
          <w:r>
            <w:rPr>
              <w:rFonts w:hint="default" w:ascii="Arial" w:hAnsi="Arial" w:cs="Arial"/>
              <w:color w:val="auto"/>
              <w:szCs w:val="28"/>
            </w:rPr>
            <w:fldChar w:fldCharType="end"/>
          </w:r>
        </w:p>
        <w:p>
          <w:pPr>
            <w:pStyle w:val="4"/>
            <w:tabs>
              <w:tab w:val="right" w:leader="dot" w:pos="9026"/>
            </w:tabs>
          </w:pPr>
          <w:r>
            <w:rPr>
              <w:rFonts w:hint="default" w:ascii="Arial" w:hAnsi="Arial" w:cs="Arial"/>
              <w:color w:val="auto"/>
              <w:szCs w:val="28"/>
            </w:rPr>
            <w:fldChar w:fldCharType="begin"/>
          </w:r>
          <w:r>
            <w:rPr>
              <w:rFonts w:hint="default" w:ascii="Arial" w:hAnsi="Arial" w:cs="Arial"/>
              <w:szCs w:val="28"/>
            </w:rPr>
            <w:instrText xml:space="preserve"> HYPERLINK \l _Toc29877 </w:instrText>
          </w:r>
          <w:r>
            <w:rPr>
              <w:rFonts w:hint="default" w:ascii="Arial" w:hAnsi="Arial" w:cs="Arial"/>
              <w:szCs w:val="28"/>
            </w:rPr>
            <w:fldChar w:fldCharType="separate"/>
          </w:r>
          <w:r>
            <w:rPr>
              <w:rFonts w:hint="default"/>
              <w:lang w:val="en-US" w:eastAsia="zh-CN"/>
            </w:rPr>
            <w:t>4. Refrence</w:t>
          </w:r>
          <w:r>
            <w:tab/>
          </w:r>
          <w:r>
            <w:fldChar w:fldCharType="begin"/>
          </w:r>
          <w:r>
            <w:instrText xml:space="preserve"> PAGEREF _Toc29877 \h </w:instrText>
          </w:r>
          <w:r>
            <w:fldChar w:fldCharType="separate"/>
          </w:r>
          <w:r>
            <w:t>12</w:t>
          </w:r>
          <w:r>
            <w:fldChar w:fldCharType="end"/>
          </w:r>
          <w:r>
            <w:rPr>
              <w:rFonts w:hint="default" w:ascii="Arial" w:hAnsi="Arial" w:cs="Arial"/>
              <w:color w:val="auto"/>
              <w:szCs w:val="28"/>
            </w:rPr>
            <w:fldChar w:fldCharType="end"/>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r>
            <w:rPr>
              <w:rFonts w:hint="default" w:ascii="Arial" w:hAnsi="Arial" w:cs="Arial"/>
              <w:color w:val="auto"/>
              <w:szCs w:val="28"/>
            </w:rPr>
            <w:fldChar w:fldCharType="end"/>
          </w:r>
          <w:bookmarkEnd w:id="6"/>
        </w:p>
      </w:sdtContent>
    </w:sdt>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pStyle w:val="2"/>
        <w:numPr>
          <w:ilvl w:val="0"/>
          <w:numId w:val="1"/>
        </w:numPr>
        <w:bidi w:val="0"/>
        <w:rPr>
          <w:rFonts w:hint="eastAsia"/>
          <w:lang w:val="en-US" w:eastAsia="zh-CN"/>
        </w:rPr>
      </w:pPr>
      <w:bookmarkStart w:id="0" w:name="_Toc6740"/>
      <w:r>
        <w:rPr>
          <w:rFonts w:hint="eastAsia"/>
          <w:lang w:val="en-US" w:eastAsia="zh-CN"/>
        </w:rPr>
        <w:t>Introduction</w:t>
      </w:r>
      <w:bookmarkEnd w:id="0"/>
    </w:p>
    <w:p>
      <w:pPr>
        <w:pStyle w:val="3"/>
        <w:bidi w:val="0"/>
        <w:rPr>
          <w:rFonts w:hint="default"/>
          <w:lang w:val="en-US" w:eastAsia="zh-CN"/>
        </w:rPr>
      </w:pPr>
      <w:bookmarkStart w:id="1" w:name="_Toc6022"/>
      <w:r>
        <w:rPr>
          <w:rFonts w:hint="eastAsia"/>
          <w:lang w:val="en-US" w:eastAsia="zh-CN"/>
        </w:rPr>
        <w:t>1.1 Part 1</w:t>
      </w:r>
      <w:bookmarkEnd w:id="1"/>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rPr>
        <w:t xml:space="preserve">Ren Zhengfei, the president of Huawei, has always been skillful in management, and Huawei has become a fortune 500 company under his leadership. </w:t>
      </w:r>
      <w:r>
        <w:t>In 2003, Ren Zhengfei was awarded the "Top Ten IT Rising Figures in China in 2003" by netizens.In April 2021, Forbes Global Rich List was released, and Ren Zhengfei ranked 2378th on the list with a wealth of 1.2 billion US dollars.</w:t>
      </w:r>
      <w:r>
        <w:rPr>
          <w:rFonts w:hint="default"/>
        </w:rPr>
        <w:t xml:space="preserve">What is the </w:t>
      </w:r>
      <w:r>
        <w:rPr>
          <w:rFonts w:hint="default" w:ascii="Times New Roman" w:hAnsi="Times New Roman" w:cs="Times New Roman"/>
          <w:color w:val="auto"/>
          <w:sz w:val="24"/>
          <w:szCs w:val="24"/>
        </w:rPr>
        <w:t>secret of Huawei's management? Since Ren rarely gives interviews to the media, the outside world can only get a glimpse of his internal statements or articles from time to time.Enterprise organizations must have a sense of direction and vitality. The sense of direction includes the direction of customer needs and the direction of future technological innovation. And to maintain the vitality of the enterprise is mainly to have a sense of crisis, to maintain a modest learning attitude and long-term vision, so we should dare to carry out internal personnel update generation.Customer demand is a philosophical issue, rather than a matter of communication with customers. It is not what customers refer to that is the demand, and it is not to let customers lead by the nose, but to find a way to multi-path, multi-echelon combat queue, and meet customer demand according to different scenarios.Huawei has a voice community that outsiders can visit as tourists, and employees can anonymously voice different opinions. Some of them are not opposing opinions, they are understanding things, maybe deeper than we are. Those who oppose may be gifted with profound insights. Only by tolerating opposition can talented people emerge in large numbers.</w:t>
      </w:r>
    </w:p>
    <w:p>
      <w:pPr>
        <w:pStyle w:val="3"/>
        <w:bidi w:val="0"/>
        <w:rPr>
          <w:rFonts w:hint="default"/>
          <w:lang w:val="en-US" w:eastAsia="zh-CN"/>
        </w:rPr>
      </w:pPr>
      <w:bookmarkStart w:id="2" w:name="_Toc19437"/>
      <w:r>
        <w:rPr>
          <w:rFonts w:hint="eastAsia"/>
          <w:lang w:val="en-US" w:eastAsia="zh-CN"/>
        </w:rPr>
        <w:t>1.2 Part 2</w:t>
      </w:r>
      <w:bookmarkEnd w:id="2"/>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Ren said at the company's 2011 market conference: "The company's long-term management structure is a dissipative structure, we have the energy to dissipate it, through dissipation, so that our own rebirth. What is a dissipative structure? You go running every day to exercise your body, it's a dissipative structure. Why is that? You have more energy in your body, you dissipate it, you become muscle, you become powerful blood circulation. Can consume most, won't have diabetes, also won't be fat, the body is slim, the person became beautiful, this is the simplest dissipative structure. So why do we need dissipative structures? People say we are very loyal to the company, but the company is paying too much and it's not sustainable. So we dissipate this love of business and reinforce it with strivers and process optimizations. Strivers are the first to give and then get, which is different from the first to get and then loyalty, so that a little progress. By dissipating the potential energy, we form new potential energy."At the micro level, Huawei is composed of countless individual people. From the perspective of human resource management, huawei focuses on exploring how to stimulate the vitality of individual life, so as to solve the problems of laziness and entropy increase of people.</w:t>
      </w:r>
    </w:p>
    <w:p>
      <w:pPr>
        <w:pStyle w:val="2"/>
        <w:bidi w:val="0"/>
        <w:rPr>
          <w:rFonts w:hint="default"/>
          <w:lang w:val="en-US" w:eastAsia="zh-CN"/>
        </w:rPr>
      </w:pPr>
      <w:bookmarkStart w:id="3" w:name="_Toc30960"/>
      <w:r>
        <w:rPr>
          <w:rFonts w:hint="eastAsia"/>
          <w:lang w:val="en-US" w:eastAsia="zh-CN"/>
        </w:rPr>
        <w:t>2.Main findings</w:t>
      </w:r>
      <w:bookmarkEnd w:id="3"/>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If we only focus on the backward market and then focus on the developed market after success, when you finish the countryside, you will have been abandoned by The Times, because The Times develop too fast. When the product is ready, whoever buys it sells it.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After the success of the people, easy to be packaged by the media his great, it did not see the appearance of our rat honey. When starting a business, the pressure is huge, the living conditions are very poor, completely do not understand what the market economy is, all kinds of problems, completely powerless, spirit almost collapsed. Two thousand years ago, I was a hypochondriac and wanted to commit suicide many times. Every time I wanted to commit suicide, I would call Chairman Sun. At that time, I knew it was a kind of sickness, and I knew the critical moment to ask for help.</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On the one hand, Huawei realizes the dissipative structure characteristics far from balance through the accumulation of the enterprise and the pump of human resources, so that the enterprise works in reverse and turns the enterprise from disorder to orderly development.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On the other hand, Huawei realizes the openness of the dissipative structure through the openness of enterprise cooperation and human resources, absorbs the universe energy from the entrance and exit of the model, and brings the external momentum for the orderly development of the enterprise.</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order to facilitate the following description, the author divides Huawei vitality engine into enterprise macro level and individual micro level respectively.</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eastAsia" w:ascii="Times New Roman" w:hAnsi="Times New Roman" w:eastAsia="宋体" w:cs="Times New Roman"/>
          <w:color w:val="auto"/>
          <w:sz w:val="24"/>
          <w:szCs w:val="24"/>
          <w:lang w:val="en-US" w:eastAsia="zh-CN"/>
        </w:rPr>
        <w:t>A</w:t>
      </w:r>
      <w:r>
        <w:rPr>
          <w:rFonts w:hint="default" w:ascii="Times New Roman" w:hAnsi="Times New Roman" w:cs="Times New Roman"/>
          <w:color w:val="auto"/>
          <w:sz w:val="24"/>
          <w:szCs w:val="24"/>
        </w:rPr>
        <w:t>t the macro level, we regard Huawei as a living entity, and we need to solve the entropy increase from the strategic perspective of the overall operation of the enterprise. That is to use the thick accumulation of enterprises and open cooperation, to solve the development of enterprises in the process of organizational neglect, rigid process, lack of technological innovation, business solidification and other problems.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outside world wants to mythologize us for the click-through rate of the Internet. In fact, I am not smart. It is impossible to dream big at the beginning. It was only after we had gone through a very bumpy road that we began to define our own direction of development. Don't mythologize me online. I may be so open because I'm incompetent.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When Ren zhengfei talks about Huawei, he often mentions one word: spend money. He wants to spend as much money as he can. Why spend money, and spend a lot of it? The reason is that he thinks, when he sees that much money, he gets scared. Later, when he learned about the dissipative structure theory, he became even more aware that there would be problems if a large amount of money was put into an enterprise.</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When we see some figures, we are surprised. For example, Huawei has spent 240 billion yuan on R&amp;D, which is an astronomical figure for many Chinese enterprises. But Huawei just spent it. Money you don't know how to spend is a bad thing. Spend it.</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On the other hand, Huawei is a particularly mean enterprise. Its slogan is "customer oriented, striver oriented, long-term persistence and hard work". To spend a lot of money and work hard means to accumulate wealth and grow slowly. Spending a lot of money is turning money into abilities, some of which even they don't know what's useful, but they know that it's not money that counts, it's ability that counts. It's not that you don't want to do it. It's that there are few opportunities, or opportunities for you to put your abilities to good use. Once there are such opportunities, your accumulated abilities will be put to use.</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Thick accumulation is actually to build and run a dissipative structure. Such a dissipative structure can create an open perpetual motion machine. Paradoxically, a perpetual motion machine is a closed machine that runs on its own without the input of energy from outside. Huawei realized that the machine doesn't exist, but they want their companies continue to maintain a vitality, let own enterprise become a fast and effective operation of the machine, it is only a way to create and use a dissipative structure, or in their own businesses form a perpetual motion machine system, a sustainable operation of the mechanism.</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Our choice of communication is accidental, not inevitable. We thought the communications industry was so big that if we did something small, we would survive. The choice of communication is not wise, but we really do not know how difficult the road is. If we had known that communication was so difficult that it might cost us our lives, we would not have taken this road.</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Company early, we have some part is not capable, but why stock, because I have no money pay for him, give him to send the stock, we invented a method, their stock to everybody, everybody think "Great Wall" each piece of brick has his copy of the left, there is no, so everyone left, at the same time the company through stock subscription also accumulated some capital. At the time it was a stopgap measure, but later it became a mechanism.</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What is a leader? In the vast darkness, a glimmer of light, light the way forward, to guide everyone out of the darkness.I didn't study communication, I majored in architecture in university, and I taught myself all the electronic technology.Brand is the most fundamental integrity, not propaganda. (Rarely accept media interviews) I was mainly hurt by the fact that I did not dare to attend the conference and was not good at accepting media interviews. Maybe WHEN the camera focused on me, I would be stupid. I'm not very good at systematic expression, and I'm probably good at point-to-point questions and answers.</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Huawei's macro vitality engine model, open cooperation and accumulation become the main methods to create negative entropy flow. By doing work in reverse, on the one hand, excess material wealth is consumed, the balance is broken, and the entropy increase caused by excessive material wealth is avoided. On the other hand, new potential energy for enterprise development is established to accumulate energy for long-term development.</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Here, potential energy can be understood as the reserve of technology research and development, organizational management ability, human resources, ideology and strategy, brand reputation, etc., which is the comprehensive ability to enter no man's land and build world-class competitiveness.The strategies of accumulating substantial growth and opening up and cooperation complement each other with different priorities.</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most significant difference between Huawei's development philosophy and that of many Western enterprises is that Huawei is an idealist and takes long-term development as its goal. Most western companies, on the other hand, aim to maximize shareholders' interests or corporate profits.</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Through the strategy of thick accumulation and thin development, Huawei has turned the maximum material wealth of the enterprise into potential energy for development and strengthened the endogenous driving force. The concept of accumulation itself is more like an energy conservation system, focusing on the cycle of endogenous power of enterprises. As the material wealth reserve has been consumed, the enterprise will not lose the sense of crisis and idleness due to excessive accumulation of wealth, thus losing the motivation for development.</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accumulation of wealth is manifested in the intensive investment of material wealth in scientific and technological research and development. The most prominent way for Huawei to build its potential energy is through intensive investment in multi-path and multi-echelon "Van Fleet ammunition" oriented to strategic focus areas. In the past 10 years, Huawei has invested 240 billion yuan in scientific and technological RESEARCH and development.</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energy conservation system is essentially a closed system, while the dissipative system must be open. Another important aspect of Huawei's gradual development is its openness, that is, the continuous introduction of international management experience, the promotion of management reform, and the accumulation of potential energy in organizational capacity. Since 1997, huawei has continuously introduced external management experience from IBM(international business machines corporation), accenture, HayGroup, Boston consulting group and so on for more than 20 years, which has provided huawei with valuable experience</w:t>
      </w:r>
      <w:r>
        <w:rPr>
          <w:rFonts w:hint="eastAsia" w:ascii="Times New Roman" w:hAnsi="Times New Roman" w:eastAsia="宋体" w:cs="Times New Roman"/>
          <w:color w:val="auto"/>
          <w:sz w:val="24"/>
          <w:szCs w:val="24"/>
          <w:lang w:val="en-US" w:eastAsia="zh-CN"/>
        </w:rPr>
        <w:t>.</w:t>
      </w:r>
      <w:r>
        <w:rPr>
          <w:rFonts w:hint="default" w:ascii="Times New Roman" w:hAnsi="Times New Roman" w:cs="Times New Roman"/>
          <w:color w:val="auto"/>
          <w:sz w:val="24"/>
          <w:szCs w:val="24"/>
        </w:rPr>
        <w:t>The strategies of accumulating substantial growth and opening up and cooperation complement each other with different priorities.Continuous changes in various aspects, such as IPD(integrated product Development) and IFS (integrated financial services), have made continuous progress in huawei's management innovation, organizational structure innovation and process reform, laying the foundation for Huawei to become a global company.</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Enough potential energy has been accumulated. Huawei is likely to enter the no-man's land in the core areas to build world-class competitiveness. At the same time, it can also accumulate the ability to enter a larger business space, obtain more material wealth, and thus promote the accumulation of greater potential energy. This cycle, the enterprise into a benign state of development.</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Culture is the endless soil of enterprises. Open culture breeds open thinking. Whether it is major breakthroughs in scientific theories or no man's land in the main waterway, an open mind will breed diversity and more branches of development paths, giving Huawei full options in the face of uncertainties and black swan mutations in the future. The choice of branches is the basis for the prosperity and evolution of life on Earth and the avoidance of entropy death. It is also the most wonderful feature of nature. The branch option of an enterprise is only born in an open and unbalanced environment, and the final choice is made by the rationality of the enterprise.</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eastAsia" w:ascii="Times New Roman" w:hAnsi="Times New Roman" w:eastAsia="宋体" w:cs="Times New Roman"/>
          <w:color w:val="auto"/>
          <w:sz w:val="24"/>
          <w:szCs w:val="24"/>
          <w:lang w:val="en-US" w:eastAsia="zh-CN"/>
        </w:rPr>
      </w:pPr>
      <w:r>
        <w:rPr>
          <w:rFonts w:hint="default" w:ascii="Times New Roman" w:hAnsi="Times New Roman" w:cs="Times New Roman"/>
          <w:color w:val="auto"/>
          <w:sz w:val="24"/>
          <w:szCs w:val="24"/>
        </w:rPr>
        <w:t>In terms of corporate strategy, Ren defined the open attribute for the "big Pipeline" strategy :" We built the main channel to be as wide as you can imagine, and all kinds of ships went through the main channel. Only through openness and cooperation can we achieve this goal." Instead of being genghis Khan or a black banquet wife, Huawei actively cooperates with the industry to build an increasingly efficient industrial chain and a prosperous ecosystem and continuously expand the industrial scale through "deep scouring beach and low production weir"</w:t>
      </w:r>
      <w:r>
        <w:rPr>
          <w:rFonts w:hint="eastAsia" w:ascii="Times New Roman" w:hAnsi="Times New Roman" w:eastAsia="宋体" w:cs="Times New Roman"/>
          <w:color w:val="auto"/>
          <w:sz w:val="24"/>
          <w:szCs w:val="24"/>
          <w:lang w:val="en-US" w:eastAsia="zh-CN"/>
        </w:rPr>
        <w:t>.</w:t>
      </w:r>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eastAsia" w:ascii="Times New Roman" w:hAnsi="Times New Roman" w:eastAsia="宋体" w:cs="Times New Roman"/>
          <w:color w:val="auto"/>
          <w:sz w:val="24"/>
          <w:szCs w:val="24"/>
          <w:lang w:val="en-US" w:eastAsia="zh-CN"/>
        </w:rPr>
      </w:pPr>
      <w:r>
        <w:rPr>
          <w:rFonts w:hint="default" w:ascii="Times New Roman" w:hAnsi="Times New Roman" w:cs="Times New Roman"/>
          <w:color w:val="auto"/>
          <w:sz w:val="24"/>
          <w:szCs w:val="24"/>
        </w:rPr>
        <w:t>In terms of the accumulation of potential energy in scientific and technological research, Ren often spoke out against independent innovation. In the optional fields, Huawei is more willing to adopt the solutions of partners, and continue to eliminate the fittest and learn from the past, so as to maintain long-term cooperation with the best partners in the industry. If Huawei adopts the way of strategic alliance, or even merger and acquisition of partners, it will lose the option, which means the death of neighboring entropy. Explode the talent pyramid in the organization structure, realize the talent layout of the global ability center</w:t>
      </w:r>
      <w:r>
        <w:rPr>
          <w:rFonts w:hint="eastAsia" w:ascii="Times New Roman" w:hAnsi="Times New Roman" w:eastAsia="宋体" w:cs="Times New Roman"/>
          <w:color w:val="auto"/>
          <w:sz w:val="24"/>
          <w:szCs w:val="24"/>
          <w:lang w:val="en-US" w:eastAsia="zh-CN"/>
        </w:rPr>
        <w:t>.</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eastAsia="宋体" w:cs="Times New Roman"/>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eastAsia="宋体" w:cs="Times New Roman"/>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eastAsia="宋体" w:cs="Times New Roman"/>
          <w:color w:val="auto"/>
          <w:sz w:val="24"/>
          <w:szCs w:val="24"/>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rPr>
          <w:rFonts w:hint="eastAsia"/>
          <w:lang w:val="en-US" w:eastAsia="zh-CN"/>
        </w:rPr>
      </w:pPr>
    </w:p>
    <w:p>
      <w:pPr>
        <w:rPr>
          <w:rFonts w:hint="eastAsia"/>
          <w:lang w:val="en-US" w:eastAsia="zh-CN"/>
        </w:rPr>
      </w:pPr>
    </w:p>
    <w:p>
      <w:pPr>
        <w:pStyle w:val="2"/>
        <w:bidi w:val="0"/>
        <w:rPr>
          <w:rFonts w:hint="default"/>
          <w:lang w:val="en-US" w:eastAsia="zh-CN"/>
        </w:rPr>
      </w:pPr>
      <w:bookmarkStart w:id="4" w:name="_Toc26803"/>
      <w:r>
        <w:rPr>
          <w:rFonts w:hint="eastAsia"/>
          <w:lang w:val="en-US" w:eastAsia="zh-CN"/>
        </w:rPr>
        <w:t>3.0 Conclusion</w:t>
      </w:r>
      <w:bookmarkEnd w:id="4"/>
    </w:p>
    <w:p>
      <w:pPr>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 summary, it can be seen that Ren Zhengfei is an enterprise leader who is low-key and pragmatic, has a clear target and operational thinking, and constantly learns new knowledge. Although he started his business at the age of 44, he had only 3,000 yuan in hand at the beginning, and even had to find someone to borrow 20,000 yuan from the registered company. The company was unable to pay wages, so he gave shares to employees. Ren has only a 1.4% stake in Huawei, but remains the company's spiritual leader and commander-in-chief.Huawei studies mathematical algorithms in Russia, aesthetics in France, material applications in Japan, engineering and manufacturing in Germany, software architecture in the US... Huawei has set up r&amp;d centers in 16 overseas cities, including dozens of capability centers, with foreign experts accounting for 90%. Although the black swan is unpredictable, Huawei can maximize its talent distribution in the black swan's habitat and capture the ICT technology jump brought by the black swan.Huawei's talent mechanism was originally a pyramid structure. Pyramids are closed systems that limit organizational models and pay ceilings. Huawei explodes the top of the talent pyramid, which is to form an open talent system and organizational structure, so as to accommodate world-class talents and open up the promotion channel of all kinds of talents.</w:t>
      </w:r>
    </w:p>
    <w:p>
      <w:pPr>
        <w:keepNext w:val="0"/>
        <w:keepLines w:val="0"/>
        <w:pageBreakBefore w:val="0"/>
        <w:widowControl/>
        <w:kinsoku/>
        <w:wordWrap/>
        <w:overflowPunct/>
        <w:topLinePunct w:val="0"/>
        <w:autoSpaceDE/>
        <w:autoSpaceDN/>
        <w:bidi w:val="0"/>
        <w:adjustRightInd/>
        <w:snapToGrid/>
        <w:spacing w:after="0" w:line="480" w:lineRule="auto"/>
        <w:ind w:firstLine="480" w:firstLineChars="200"/>
        <w:textAlignment w:val="auto"/>
        <w:rPr>
          <w:rFonts w:hint="default" w:ascii="Times New Roman" w:hAnsi="Times New Roman" w:cs="Times New Roman"/>
          <w:color w:val="auto"/>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color w:val="auto"/>
          <w:sz w:val="24"/>
          <w:szCs w:val="24"/>
        </w:rPr>
      </w:pPr>
    </w:p>
    <w:p>
      <w:pPr>
        <w:pStyle w:val="2"/>
        <w:numPr>
          <w:ilvl w:val="0"/>
          <w:numId w:val="2"/>
        </w:numPr>
        <w:bidi w:val="0"/>
        <w:rPr>
          <w:rFonts w:hint="default"/>
          <w:lang w:val="en-US" w:eastAsia="zh-CN"/>
        </w:rPr>
      </w:pPr>
      <w:bookmarkStart w:id="5" w:name="_Toc29877"/>
      <w:r>
        <w:rPr>
          <w:rFonts w:hint="default"/>
          <w:lang w:val="en-US" w:eastAsia="zh-CN"/>
        </w:rPr>
        <w:t>Refrence</w:t>
      </w:r>
      <w:bookmarkEnd w:id="5"/>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Adam Smith. The Wealth of Nations [M]. Beijing. China Business Press, 2009.</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Chen Daiyou. Enterprise talent incentive and compensation management [J]. Enterprise Reform and Management, 2014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Chandler. Beijing Unirule Economic Research Institute. Strategy and Structure: Several Chapters of the Development of American Industrial and Commercial Enterprises [M]. Kunming. Yunnan People's Publishing House[J], 2002.</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Fan Zhiping, SUN Yonghong. Enterprise Knowledge Management Strategy Based on SWOT Analysis [J]. Tianjin. Nankai Management Review, 2002.</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eastAsia" w:ascii="Times New Roman" w:hAnsi="Times New Roman" w:eastAsia="宋体" w:cs="Times New Roman"/>
          <w:color w:val="auto"/>
          <w:sz w:val="24"/>
          <w:szCs w:val="24"/>
          <w:lang w:val="en-US" w:eastAsia="zh-CN"/>
        </w:rPr>
        <w:t>G</w:t>
      </w:r>
      <w:r>
        <w:rPr>
          <w:rFonts w:hint="default" w:ascii="Times New Roman" w:hAnsi="Times New Roman" w:eastAsia="宋体" w:cs="Times New Roman"/>
          <w:color w:val="auto"/>
          <w:sz w:val="24"/>
          <w:szCs w:val="24"/>
          <w:lang w:val="en-US" w:eastAsia="zh-CN"/>
        </w:rPr>
        <w:t>ao xiaozhen. Analysis of enterprise profitability index [J]. Cooperative economics and science and technology,2013</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Huang Changgui. New Products, New Models and New business forms [D]. Guangdong Science and Technology,2015</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Joseph J. Martochio, Strategic compensation: A Human Resource Governance Approach (2nd edition)[M]. Zhou Mei trans. Beijing: Scientific Academic Press, 2021.</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Liu Zhe. Design of Enterprise Performance Management and Compensation Management System [J]. Jiangsu Science and Technology, 2013.</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Lucas Carlson, Leonard Richardson, Et al. Ruby Cookbook[M]. Nanjing. Southeast University Press, 2006.</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Liu Jixing. On the Core Competitiveness of enterprises [J]. Enterprise Review, 2002</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Sheng Tao. Enterprise Talent Incentive and Compensation Management [J] Finance (Academic Edition)2013</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LU Tingjie. Origin and Development Trend of Internet of Things [D]. Information and Communication Technology, 2010</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Liu Jixing. On the Core Competitiveness of enterprises [J]. Enterprise Review, 2002</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Liu Zhiya, YU Jiale. Increasingly popular cultural and creative products [J]</w:t>
      </w:r>
      <w:r>
        <w:rPr>
          <w:rFonts w:hint="eastAsia" w:ascii="Times New Roman" w:hAnsi="Times New Roman" w:eastAsia="宋体" w:cs="Times New Roman"/>
          <w:color w:val="auto"/>
          <w:sz w:val="24"/>
          <w:szCs w:val="24"/>
          <w:lang w:val="en-US" w:eastAsia="zh-CN"/>
        </w:rPr>
        <w:t>.</w:t>
      </w:r>
      <w:r>
        <w:rPr>
          <w:rFonts w:hint="default" w:ascii="Times New Roman" w:hAnsi="Times New Roman" w:eastAsia="宋体" w:cs="Times New Roman"/>
          <w:color w:val="auto"/>
          <w:sz w:val="24"/>
          <w:szCs w:val="24"/>
          <w:lang w:val="en-US" w:eastAsia="zh-CN"/>
        </w:rPr>
        <w:t>Economy,2015</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Marshall. Principles of Economics. [M]. Beijing. The Commercial Press, 2011.</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Nathan Marz and James W arren.Big Data:  Principles and best practices of scalable realtime datasystems, ble realtime data systems[J],2015</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Penrose. Firm Growth Theory [M]. Shanghai. Sanlian Bookstore, 2007.</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Wang Qiyan. Corporate Human Resource Governance [M]. Beijing: China Market Press,2021.</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eastAsia" w:ascii="Times New Roman" w:hAnsi="Times New Roman" w:eastAsia="宋体" w:cs="Times New Roman"/>
          <w:color w:val="auto"/>
          <w:sz w:val="24"/>
          <w:szCs w:val="24"/>
          <w:lang w:val="en-US" w:eastAsia="zh-CN"/>
        </w:rPr>
        <w:t>Wang Jing.</w:t>
      </w:r>
      <w:r>
        <w:rPr>
          <w:rFonts w:hint="default" w:ascii="Times New Roman" w:hAnsi="Times New Roman" w:eastAsia="宋体" w:cs="Times New Roman"/>
          <w:color w:val="auto"/>
          <w:sz w:val="24"/>
          <w:szCs w:val="24"/>
          <w:lang w:val="en-US" w:eastAsia="zh-CN"/>
        </w:rPr>
        <w:t>Research on the Development Status and Problems of Internet Insurance in China[J]</w:t>
      </w:r>
      <w:r>
        <w:rPr>
          <w:rFonts w:hint="eastAsia" w:ascii="Times New Roman" w:hAnsi="Times New Roman" w:eastAsia="宋体" w:cs="Times New Roman"/>
          <w:color w:val="auto"/>
          <w:sz w:val="24"/>
          <w:szCs w:val="24"/>
          <w:lang w:val="en-US" w:eastAsia="zh-CN"/>
        </w:rPr>
        <w:t>.</w:t>
      </w:r>
      <w:r>
        <w:rPr>
          <w:rFonts w:hint="default" w:ascii="Times New Roman" w:hAnsi="Times New Roman" w:eastAsia="宋体" w:cs="Times New Roman"/>
          <w:color w:val="auto"/>
          <w:sz w:val="24"/>
          <w:szCs w:val="24"/>
          <w:lang w:val="en-US" w:eastAsia="zh-CN"/>
        </w:rPr>
        <w:t xml:space="preserve"> Modern Business, 2015</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Yang Kai. Preaching "Internet +"[J]. East China Science and Technology,2015</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Yu Kaicheng. Human Resource Management [M]. Dalian University of Technology Press, P35</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Yang Qingsong, Li Mingsheng. On Porter's Five Forces Model and its Supplement [J]. Journal of Changsha Railway University: Social Science Edition, 2005(4)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Zhou Bin. Modern Compensation Governance [M]. Chengdu: Southwestern University of Finance and Economics Press,2021.</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color w:val="auto"/>
          <w:sz w:val="24"/>
          <w:szCs w:val="24"/>
          <w:lang w:val="en-US" w:eastAsia="zh-CN"/>
        </w:rPr>
        <w:t xml:space="preserve"> ZHANG Guoqing. Research on core Competitiveness of Agricultural Products Processing Enterprises [D]. Xinjiang Agricultural University,2004.</w:t>
      </w: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eastAsia="宋体" w:cs="Times New Roman"/>
          <w:color w:val="auto"/>
          <w:sz w:val="24"/>
          <w:szCs w:val="24"/>
          <w:lang w:val="en-US" w:eastAsia="zh-CN"/>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7AA167"/>
    <w:multiLevelType w:val="singleLevel"/>
    <w:tmpl w:val="817AA167"/>
    <w:lvl w:ilvl="0" w:tentative="0">
      <w:start w:val="1"/>
      <w:numFmt w:val="decimal"/>
      <w:lvlText w:val="%1."/>
      <w:lvlJc w:val="left"/>
      <w:pPr>
        <w:tabs>
          <w:tab w:val="left" w:pos="312"/>
        </w:tabs>
      </w:pPr>
    </w:lvl>
  </w:abstractNum>
  <w:abstractNum w:abstractNumId="1">
    <w:nsid w:val="53DC73FB"/>
    <w:multiLevelType w:val="singleLevel"/>
    <w:tmpl w:val="53DC73FB"/>
    <w:lvl w:ilvl="0" w:tentative="0">
      <w:start w:val="4"/>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2A2"/>
    <w:rsid w:val="002E5A98"/>
    <w:rsid w:val="008B12A2"/>
    <w:rsid w:val="00960A95"/>
    <w:rsid w:val="00B451FF"/>
    <w:rsid w:val="00C2055B"/>
    <w:rsid w:val="0D2137AB"/>
    <w:rsid w:val="1C30152C"/>
    <w:rsid w:val="2F047B8B"/>
    <w:rsid w:val="30276E05"/>
    <w:rsid w:val="4BAE6A41"/>
    <w:rsid w:val="582B32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8"/>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4">
    <w:name w:val="toc 1"/>
    <w:basedOn w:val="1"/>
    <w:next w:val="1"/>
    <w:semiHidden/>
    <w:unhideWhenUsed/>
    <w:uiPriority w:val="39"/>
  </w:style>
  <w:style w:type="paragraph" w:styleId="5">
    <w:name w:val="toc 2"/>
    <w:basedOn w:val="1"/>
    <w:next w:val="1"/>
    <w:semiHidden/>
    <w:unhideWhenUsed/>
    <w:uiPriority w:val="39"/>
    <w:pPr>
      <w:ind w:left="420" w:leftChars="200"/>
    </w:pPr>
  </w:style>
  <w:style w:type="character" w:customStyle="1" w:styleId="8">
    <w:name w:val="标题 1 Char"/>
    <w:link w:val="2"/>
    <w:uiPriority w:val="0"/>
    <w:rPr>
      <w:b/>
      <w:kern w:val="44"/>
      <w:sz w:val="44"/>
    </w:rPr>
  </w:style>
  <w:style w:type="paragraph" w:customStyle="1" w:styleId="9">
    <w:name w:val="WPSOffice手动目录 1"/>
    <w:uiPriority w:val="0"/>
    <w:pPr>
      <w:ind w:leftChars="0"/>
    </w:pPr>
    <w:rPr>
      <w:sz w:val="20"/>
      <w:szCs w:val="20"/>
    </w:rPr>
  </w:style>
  <w:style w:type="paragraph" w:customStyle="1" w:styleId="10">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388</Words>
  <Characters>2218</Characters>
  <Lines>18</Lines>
  <Paragraphs>5</Paragraphs>
  <TotalTime>1</TotalTime>
  <ScaleCrop>false</ScaleCrop>
  <LinksUpToDate>false</LinksUpToDate>
  <CharactersWithSpaces>2601</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2022-02-21T16:01:00Z</dcterms:created>
  <dc:creator>Lisa Knight</dc:creator>
  <cp:lastModifiedBy>★聪＆聪★→</cp:lastModifiedBy>
  <dcterms:modified xsi:type="dcterms:W3CDTF">2022-03-11T03:38:56Z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E866180840CC49C3A38E00DA47FE32CD</vt:lpwstr>
  </property>
</Properties>
</file>