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pPr>
        <w:keepNext w:val="0"/>
        <w:keepLines w:val="0"/>
        <w:pageBreakBefore w:val="0"/>
        <w:widowControl/>
        <w:kinsoku/>
        <w:wordWrap/>
        <w:overflowPunct/>
        <w:topLinePunct w:val="0"/>
        <w:autoSpaceDE/>
        <w:autoSpaceDN/>
        <w:bidi w:val="0"/>
        <w:adjustRightInd/>
        <w:snapToGrid/>
        <w:spacing w:line="360" w:lineRule="auto"/>
        <w:jc w:val="center"/>
        <w:textAlignment w:val="auto"/>
        <w:rPr>
          <w:b/>
          <w:bCs/>
          <w:i/>
          <w:iCs/>
          <w:sz w:val="44"/>
          <w:szCs w:val="44"/>
        </w:rPr>
      </w:pPr>
      <w:r>
        <w:rPr>
          <w:b/>
          <w:bCs/>
          <w:i/>
          <w:iCs/>
          <w:sz w:val="44"/>
          <w:szCs w:val="44"/>
        </w:rPr>
        <w:t xml:space="preserve">Datang Telecom Technologies Corporation, </w:t>
      </w:r>
      <w:r>
        <w:rPr>
          <w:rFonts w:hint="eastAsia"/>
          <w:b/>
          <w:bCs/>
          <w:i/>
          <w:iCs/>
          <w:sz w:val="44"/>
          <w:szCs w:val="44"/>
          <w:lang w:val="en-US" w:eastAsia="zh-CN"/>
        </w:rPr>
        <w:t>analysis</w:t>
      </w:r>
      <w:r>
        <w:rPr>
          <w:b/>
          <w:bCs/>
          <w:i/>
          <w:iCs/>
          <w:sz w:val="44"/>
          <w:szCs w:val="44"/>
        </w:rPr>
        <w:t xml:space="preserve"> of earnings management</w:t>
      </w:r>
    </w:p>
    <w:p>
      <w:pPr>
        <w:keepNext w:val="0"/>
        <w:keepLines w:val="0"/>
        <w:pageBreakBefore w:val="0"/>
        <w:widowControl/>
        <w:kinsoku/>
        <w:wordWrap/>
        <w:overflowPunct/>
        <w:topLinePunct w:val="0"/>
        <w:autoSpaceDE/>
        <w:autoSpaceDN/>
        <w:bidi w:val="0"/>
        <w:adjustRightInd/>
        <w:snapToGrid/>
        <w:spacing w:line="360" w:lineRule="auto"/>
        <w:jc w:val="center"/>
        <w:textAlignment w:val="auto"/>
        <w:rPr>
          <w:b/>
          <w:bCs/>
          <w:i/>
          <w:iCs/>
          <w:sz w:val="44"/>
          <w:szCs w:val="44"/>
        </w:rPr>
      </w:pPr>
    </w:p>
    <w:p>
      <w:pPr>
        <w:pageBreakBefore w:val="0"/>
        <w:widowControl/>
        <w:kinsoku/>
        <w:wordWrap/>
        <w:overflowPunct/>
        <w:topLinePunct w:val="0"/>
        <w:autoSpaceDE/>
        <w:autoSpaceDN/>
        <w:bidi w:val="0"/>
        <w:adjustRightInd/>
        <w:snapToGrid/>
        <w:spacing w:line="360" w:lineRule="auto"/>
        <w:ind w:left="0" w:leftChars="0" w:firstLine="0" w:firstLineChars="0"/>
        <w:jc w:val="center"/>
        <w:textAlignment w:val="auto"/>
        <w:rPr>
          <w:rFonts w:hint="eastAsia" w:ascii="Times New Roman" w:hAnsi="Times New Roman"/>
          <w:b/>
          <w:bCs/>
          <w:i/>
          <w:iCs/>
          <w:caps w:val="0"/>
          <w:sz w:val="44"/>
          <w:szCs w:val="44"/>
          <w:highlight w:val="none"/>
          <w:lang w:val="en-US" w:eastAsia="zh-CN"/>
        </w:rPr>
      </w:pPr>
      <w:r>
        <w:rPr>
          <w:highlight w:val="none"/>
        </w:rPr>
        <w:drawing>
          <wp:anchor distT="0" distB="0" distL="114300" distR="114300" simplePos="0" relativeHeight="251660288" behindDoc="1" locked="0" layoutInCell="1" allowOverlap="1">
            <wp:simplePos x="0" y="0"/>
            <wp:positionH relativeFrom="column">
              <wp:posOffset>1081405</wp:posOffset>
            </wp:positionH>
            <wp:positionV relativeFrom="paragraph">
              <wp:posOffset>116205</wp:posOffset>
            </wp:positionV>
            <wp:extent cx="3187700" cy="3534410"/>
            <wp:effectExtent l="0" t="0" r="12700" b="1270"/>
            <wp:wrapTight wrapText="bothSides">
              <wp:wrapPolygon>
                <wp:start x="0" y="0"/>
                <wp:lineTo x="0" y="21515"/>
                <wp:lineTo x="21480" y="21515"/>
                <wp:lineTo x="21480" y="0"/>
                <wp:lineTo x="0" y="0"/>
              </wp:wrapPolygon>
            </wp:wrapTight>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5"/>
                    <a:stretch>
                      <a:fillRect/>
                    </a:stretch>
                  </pic:blipFill>
                  <pic:spPr>
                    <a:xfrm>
                      <a:off x="0" y="0"/>
                      <a:ext cx="3187700" cy="3534410"/>
                    </a:xfrm>
                    <a:prstGeom prst="rect">
                      <a:avLst/>
                    </a:prstGeom>
                    <a:noFill/>
                    <a:ln>
                      <a:noFill/>
                    </a:ln>
                  </pic:spPr>
                </pic:pic>
              </a:graphicData>
            </a:graphic>
          </wp:anchor>
        </w:drawing>
      </w:r>
    </w:p>
    <w:p>
      <w:pPr>
        <w:pageBreakBefore w:val="0"/>
        <w:widowControl/>
        <w:kinsoku/>
        <w:wordWrap/>
        <w:overflowPunct/>
        <w:topLinePunct w:val="0"/>
        <w:autoSpaceDE/>
        <w:autoSpaceDN/>
        <w:bidi w:val="0"/>
        <w:adjustRightInd/>
        <w:snapToGrid/>
        <w:spacing w:line="360" w:lineRule="auto"/>
        <w:jc w:val="both"/>
        <w:textAlignment w:val="auto"/>
        <w:rPr>
          <w:rFonts w:hint="eastAsia" w:ascii="Times New Roman" w:hAnsi="Times New Roman"/>
          <w:caps w:val="0"/>
          <w:highlight w:val="none"/>
          <w:lang w:val="en-US" w:eastAsia="zh-CN"/>
        </w:rPr>
      </w:pPr>
    </w:p>
    <w:p>
      <w:pPr>
        <w:pageBreakBefore w:val="0"/>
        <w:widowControl/>
        <w:kinsoku/>
        <w:wordWrap/>
        <w:overflowPunct/>
        <w:topLinePunct w:val="0"/>
        <w:autoSpaceDE/>
        <w:autoSpaceDN/>
        <w:bidi w:val="0"/>
        <w:adjustRightInd/>
        <w:snapToGrid/>
        <w:spacing w:line="360" w:lineRule="auto"/>
        <w:jc w:val="both"/>
        <w:textAlignment w:val="auto"/>
        <w:rPr>
          <w:rFonts w:hint="eastAsia" w:ascii="Times New Roman" w:hAnsi="Times New Roman"/>
          <w:caps w:val="0"/>
          <w:highlight w:val="none"/>
          <w:lang w:val="en-US" w:eastAsia="zh-CN"/>
        </w:rPr>
      </w:pPr>
    </w:p>
    <w:p>
      <w:pPr>
        <w:pageBreakBefore w:val="0"/>
        <w:widowControl/>
        <w:kinsoku/>
        <w:wordWrap/>
        <w:overflowPunct/>
        <w:topLinePunct w:val="0"/>
        <w:autoSpaceDE/>
        <w:autoSpaceDN/>
        <w:bidi w:val="0"/>
        <w:adjustRightInd/>
        <w:snapToGrid/>
        <w:spacing w:line="360" w:lineRule="auto"/>
        <w:jc w:val="both"/>
        <w:textAlignment w:val="auto"/>
        <w:rPr>
          <w:rFonts w:hint="default" w:ascii="Times New Roman" w:hAnsi="Times New Roman"/>
          <w:caps w:val="0"/>
          <w:highlight w:val="none"/>
          <w:lang w:val="en-US" w:eastAsia="zh-CN"/>
        </w:rPr>
      </w:pPr>
    </w:p>
    <w:p>
      <w:pPr>
        <w:pStyle w:val="2"/>
        <w:pageBreakBefore w:val="0"/>
        <w:widowControl/>
        <w:kinsoku/>
        <w:wordWrap/>
        <w:overflowPunct/>
        <w:topLinePunct w:val="0"/>
        <w:autoSpaceDE/>
        <w:autoSpaceDN/>
        <w:bidi w:val="0"/>
        <w:adjustRightInd/>
        <w:snapToGrid/>
        <w:spacing w:line="360" w:lineRule="auto"/>
        <w:jc w:val="both"/>
        <w:textAlignment w:val="auto"/>
        <w:outlineLvl w:val="9"/>
        <w:rPr>
          <w:rFonts w:hint="default" w:ascii="Times New Roman" w:hAnsi="Times New Roman"/>
          <w:caps w:val="0"/>
          <w:highlight w:val="none"/>
          <w:lang w:val="en-US" w:eastAsia="zh-CN"/>
        </w:rPr>
      </w:pPr>
      <w:r>
        <w:rPr>
          <w:rFonts w:hint="eastAsia" w:ascii="Times New Roman" w:hAnsi="Times New Roman"/>
          <w:caps w:val="0"/>
          <w:highlight w:val="none"/>
          <w:lang w:val="en-US" w:eastAsia="zh-CN"/>
        </w:rPr>
        <w:t xml:space="preserve"> </w:t>
      </w:r>
    </w:p>
    <w:p>
      <w:pPr>
        <w:pageBreakBefore w:val="0"/>
        <w:widowControl/>
        <w:kinsoku/>
        <w:wordWrap/>
        <w:overflowPunct/>
        <w:topLinePunct w:val="0"/>
        <w:autoSpaceDE/>
        <w:autoSpaceDN/>
        <w:bidi w:val="0"/>
        <w:adjustRightInd/>
        <w:snapToGrid/>
        <w:spacing w:line="360" w:lineRule="auto"/>
        <w:jc w:val="both"/>
        <w:textAlignment w:val="auto"/>
        <w:rPr>
          <w:rFonts w:hint="eastAsia" w:ascii="Times New Roman" w:hAnsi="Times New Roman"/>
          <w:caps w:val="0"/>
          <w:highlight w:val="none"/>
          <w:lang w:val="en-US" w:eastAsia="zh-CN"/>
        </w:rPr>
      </w:pPr>
    </w:p>
    <w:p>
      <w:pPr>
        <w:pageBreakBefore w:val="0"/>
        <w:widowControl/>
        <w:kinsoku/>
        <w:wordWrap/>
        <w:overflowPunct/>
        <w:topLinePunct w:val="0"/>
        <w:autoSpaceDE/>
        <w:autoSpaceDN/>
        <w:bidi w:val="0"/>
        <w:adjustRightInd/>
        <w:snapToGrid/>
        <w:spacing w:line="360" w:lineRule="auto"/>
        <w:jc w:val="both"/>
        <w:textAlignment w:val="auto"/>
        <w:rPr>
          <w:rFonts w:hint="eastAsia" w:ascii="Times New Roman" w:hAnsi="Times New Roman"/>
          <w:b/>
          <w:bCs/>
          <w:caps w:val="0"/>
          <w:highlight w:val="none"/>
          <w:lang w:val="en-US" w:eastAsia="zh-CN"/>
        </w:rPr>
      </w:pPr>
    </w:p>
    <w:p>
      <w:pPr>
        <w:pageBreakBefore w:val="0"/>
        <w:widowControl/>
        <w:kinsoku/>
        <w:wordWrap/>
        <w:overflowPunct/>
        <w:topLinePunct w:val="0"/>
        <w:autoSpaceDE/>
        <w:autoSpaceDN/>
        <w:bidi w:val="0"/>
        <w:adjustRightInd/>
        <w:snapToGrid/>
        <w:spacing w:line="360" w:lineRule="auto"/>
        <w:jc w:val="both"/>
        <w:textAlignment w:val="auto"/>
        <w:rPr>
          <w:rFonts w:hint="eastAsia" w:ascii="Times New Roman" w:hAnsi="Times New Roman"/>
          <w:b/>
          <w:bCs/>
          <w:caps w:val="0"/>
          <w:highlight w:val="none"/>
          <w:lang w:val="en-US" w:eastAsia="zh-CN"/>
        </w:rPr>
      </w:pPr>
    </w:p>
    <w:p>
      <w:pPr>
        <w:pageBreakBefore w:val="0"/>
        <w:widowControl/>
        <w:kinsoku/>
        <w:wordWrap/>
        <w:overflowPunct/>
        <w:topLinePunct w:val="0"/>
        <w:autoSpaceDE/>
        <w:autoSpaceDN/>
        <w:bidi w:val="0"/>
        <w:adjustRightInd/>
        <w:snapToGrid/>
        <w:spacing w:line="360" w:lineRule="auto"/>
        <w:jc w:val="both"/>
        <w:textAlignment w:val="auto"/>
        <w:rPr>
          <w:rFonts w:hint="eastAsia" w:ascii="Times New Roman" w:hAnsi="Times New Roman"/>
          <w:b/>
          <w:bCs/>
          <w:caps w:val="0"/>
          <w:highlight w:val="none"/>
          <w:lang w:val="en-US" w:eastAsia="zh-CN"/>
        </w:rPr>
      </w:pPr>
    </w:p>
    <w:p>
      <w:pPr>
        <w:pageBreakBefore w:val="0"/>
        <w:widowControl/>
        <w:kinsoku/>
        <w:wordWrap/>
        <w:overflowPunct/>
        <w:topLinePunct w:val="0"/>
        <w:autoSpaceDE/>
        <w:autoSpaceDN/>
        <w:bidi w:val="0"/>
        <w:adjustRightInd/>
        <w:snapToGrid/>
        <w:spacing w:line="360" w:lineRule="auto"/>
        <w:jc w:val="both"/>
        <w:textAlignment w:val="auto"/>
        <w:rPr>
          <w:rFonts w:hint="eastAsia" w:ascii="Times New Roman" w:hAnsi="Times New Roman"/>
          <w:b/>
          <w:bCs/>
          <w:caps w:val="0"/>
          <w:highlight w:val="none"/>
          <w:lang w:val="en-US" w:eastAsia="zh-CN"/>
        </w:rPr>
      </w:pPr>
    </w:p>
    <w:p>
      <w:pPr>
        <w:pageBreakBefore w:val="0"/>
        <w:widowControl/>
        <w:kinsoku/>
        <w:wordWrap/>
        <w:overflowPunct/>
        <w:topLinePunct w:val="0"/>
        <w:autoSpaceDE/>
        <w:autoSpaceDN/>
        <w:bidi w:val="0"/>
        <w:adjustRightInd/>
        <w:snapToGrid/>
        <w:spacing w:line="360" w:lineRule="auto"/>
        <w:ind w:left="0" w:leftChars="0" w:firstLine="0" w:firstLineChars="0"/>
        <w:jc w:val="both"/>
        <w:textAlignment w:val="auto"/>
        <w:rPr>
          <w:rFonts w:hint="eastAsia" w:ascii="Times New Roman" w:hAnsi="Times New Roman"/>
          <w:b/>
          <w:bCs/>
          <w:caps w:val="0"/>
          <w:highlight w:val="none"/>
          <w:lang w:val="en-US" w:eastAsia="zh-CN"/>
        </w:rPr>
      </w:pPr>
    </w:p>
    <w:p>
      <w:pPr>
        <w:pageBreakBefore w:val="0"/>
        <w:widowControl/>
        <w:kinsoku/>
        <w:wordWrap/>
        <w:overflowPunct/>
        <w:topLinePunct w:val="0"/>
        <w:autoSpaceDE/>
        <w:autoSpaceDN/>
        <w:bidi w:val="0"/>
        <w:adjustRightInd/>
        <w:snapToGrid/>
        <w:spacing w:line="360" w:lineRule="auto"/>
        <w:ind w:left="0" w:leftChars="0" w:firstLine="0" w:firstLineChars="0"/>
        <w:jc w:val="center"/>
        <w:textAlignment w:val="auto"/>
        <w:rPr>
          <w:rFonts w:hint="eastAsia"/>
          <w:b/>
          <w:bCs/>
          <w:caps w:val="0"/>
          <w:sz w:val="44"/>
          <w:szCs w:val="44"/>
          <w:highlight w:val="none"/>
          <w:lang w:val="en-US" w:eastAsia="zh-CN"/>
        </w:rPr>
      </w:pPr>
    </w:p>
    <w:p>
      <w:pPr>
        <w:pageBreakBefore w:val="0"/>
        <w:widowControl/>
        <w:kinsoku/>
        <w:wordWrap/>
        <w:overflowPunct/>
        <w:topLinePunct w:val="0"/>
        <w:autoSpaceDE/>
        <w:autoSpaceDN/>
        <w:bidi w:val="0"/>
        <w:adjustRightInd/>
        <w:snapToGrid/>
        <w:spacing w:line="360" w:lineRule="auto"/>
        <w:ind w:left="0" w:leftChars="0" w:firstLine="0" w:firstLineChars="0"/>
        <w:jc w:val="center"/>
        <w:textAlignment w:val="auto"/>
        <w:rPr>
          <w:rFonts w:hint="eastAsia"/>
          <w:b/>
          <w:bCs/>
          <w:caps w:val="0"/>
          <w:sz w:val="44"/>
          <w:szCs w:val="44"/>
          <w:highlight w:val="none"/>
          <w:lang w:val="en-US" w:eastAsia="zh-CN"/>
        </w:rPr>
      </w:pPr>
      <w:r>
        <w:rPr>
          <w:rFonts w:hint="eastAsia"/>
          <w:b/>
          <w:bCs/>
          <w:caps w:val="0"/>
          <w:sz w:val="44"/>
          <w:szCs w:val="44"/>
          <w:highlight w:val="none"/>
          <w:lang w:val="en-US" w:eastAsia="zh-CN"/>
        </w:rPr>
        <w:t>March 26, 2023</w:t>
      </w:r>
    </w:p>
    <w:p>
      <w:pPr>
        <w:pageBreakBefore w:val="0"/>
        <w:widowControl/>
        <w:kinsoku/>
        <w:wordWrap/>
        <w:overflowPunct/>
        <w:topLinePunct w:val="0"/>
        <w:autoSpaceDE/>
        <w:autoSpaceDN/>
        <w:bidi w:val="0"/>
        <w:adjustRightInd/>
        <w:snapToGrid/>
        <w:spacing w:line="360" w:lineRule="auto"/>
        <w:ind w:left="0" w:leftChars="0" w:firstLine="0" w:firstLineChars="0"/>
        <w:jc w:val="center"/>
        <w:textAlignment w:val="auto"/>
        <w:rPr>
          <w:rFonts w:hint="eastAsia"/>
          <w:b/>
          <w:bCs/>
          <w:caps w:val="0"/>
          <w:sz w:val="44"/>
          <w:szCs w:val="44"/>
          <w:highlight w:val="none"/>
          <w:lang w:val="en-US" w:eastAsia="zh-CN"/>
        </w:rPr>
      </w:pPr>
    </w:p>
    <w:p>
      <w:pPr>
        <w:pageBreakBefore w:val="0"/>
        <w:widowControl/>
        <w:kinsoku/>
        <w:wordWrap/>
        <w:overflowPunct/>
        <w:topLinePunct w:val="0"/>
        <w:autoSpaceDE/>
        <w:autoSpaceDN/>
        <w:bidi w:val="0"/>
        <w:adjustRightInd/>
        <w:snapToGrid/>
        <w:spacing w:line="360" w:lineRule="auto"/>
        <w:jc w:val="both"/>
        <w:textAlignment w:val="auto"/>
        <w:rPr>
          <w:rFonts w:hint="eastAsia" w:ascii="Times New Roman" w:hAnsi="Times New Roman"/>
          <w:b/>
          <w:bCs/>
          <w:caps w:val="0"/>
          <w:sz w:val="24"/>
          <w:szCs w:val="24"/>
          <w:highlight w:val="none"/>
          <w:lang w:val="en-US" w:eastAsia="zh-CN"/>
        </w:rPr>
      </w:pPr>
    </w:p>
    <w:p>
      <w:pPr>
        <w:pageBreakBefore w:val="0"/>
        <w:widowControl/>
        <w:kinsoku/>
        <w:wordWrap/>
        <w:overflowPunct/>
        <w:topLinePunct w:val="0"/>
        <w:autoSpaceDE/>
        <w:autoSpaceDN/>
        <w:bidi w:val="0"/>
        <w:adjustRightInd/>
        <w:snapToGrid/>
        <w:spacing w:line="360" w:lineRule="auto"/>
        <w:jc w:val="both"/>
        <w:textAlignment w:val="auto"/>
        <w:rPr>
          <w:rFonts w:hint="eastAsia" w:ascii="Times New Roman" w:hAnsi="Times New Roman"/>
          <w:b/>
          <w:bCs/>
          <w:caps w:val="0"/>
          <w:sz w:val="24"/>
          <w:szCs w:val="24"/>
          <w:highlight w:val="none"/>
          <w:lang w:val="en-US" w:eastAsia="zh-CN"/>
        </w:rPr>
      </w:pPr>
    </w:p>
    <w:p>
      <w:pPr>
        <w:pageBreakBefore w:val="0"/>
        <w:widowControl/>
        <w:kinsoku/>
        <w:wordWrap/>
        <w:overflowPunct/>
        <w:topLinePunct w:val="0"/>
        <w:autoSpaceDE/>
        <w:autoSpaceDN/>
        <w:bidi w:val="0"/>
        <w:adjustRightInd/>
        <w:snapToGrid/>
        <w:spacing w:line="360" w:lineRule="auto"/>
        <w:ind w:left="0" w:leftChars="0" w:firstLine="0" w:firstLineChars="0"/>
        <w:jc w:val="both"/>
        <w:textAlignment w:val="auto"/>
        <w:outlineLvl w:val="0"/>
        <w:rPr>
          <w:rFonts w:hint="eastAsia"/>
          <w:b/>
          <w:bCs/>
          <w:i w:val="0"/>
          <w:iCs w:val="0"/>
          <w:caps w:val="0"/>
          <w:sz w:val="30"/>
          <w:szCs w:val="30"/>
          <w:highlight w:val="none"/>
          <w:lang w:val="en-US" w:eastAsia="zh-CN"/>
        </w:rPr>
      </w:pPr>
      <w:bookmarkStart w:id="0" w:name="_Toc24392"/>
      <w:bookmarkStart w:id="1" w:name="_Toc5569"/>
      <w:bookmarkStart w:id="2" w:name="_Toc22177"/>
      <w:r>
        <w:rPr>
          <w:rFonts w:hint="eastAsia"/>
          <w:b/>
          <w:bCs/>
          <w:caps w:val="0"/>
          <w:sz w:val="24"/>
          <w:szCs w:val="24"/>
          <w:highlight w:val="none"/>
          <w:lang w:val="en-US" w:eastAsia="zh-CN"/>
        </w:rPr>
        <w:t xml:space="preserve">MOODLE NAME:     </w:t>
      </w:r>
      <w:bookmarkEnd w:id="0"/>
      <w:bookmarkEnd w:id="1"/>
      <w:r>
        <w:rPr>
          <w:rFonts w:hint="eastAsia"/>
          <w:b/>
          <w:bCs/>
          <w:i w:val="0"/>
          <w:iCs w:val="0"/>
          <w:caps w:val="0"/>
          <w:sz w:val="30"/>
          <w:szCs w:val="30"/>
          <w:highlight w:val="none"/>
          <w:lang w:val="en-US" w:eastAsia="zh-CN"/>
        </w:rPr>
        <w:t xml:space="preserve">     </w:t>
      </w:r>
      <w:bookmarkEnd w:id="2"/>
      <w:r>
        <w:rPr>
          <w:rFonts w:hint="eastAsia"/>
          <w:b/>
          <w:bCs/>
          <w:caps w:val="0"/>
          <w:sz w:val="24"/>
          <w:szCs w:val="24"/>
          <w:highlight w:val="none"/>
          <w:lang w:val="en-US" w:eastAsia="zh-CN"/>
        </w:rPr>
        <w:t>Corporate Governance</w:t>
      </w:r>
    </w:p>
    <w:p>
      <w:pPr>
        <w:pageBreakBefore w:val="0"/>
        <w:widowControl/>
        <w:kinsoku/>
        <w:wordWrap/>
        <w:overflowPunct/>
        <w:topLinePunct w:val="0"/>
        <w:autoSpaceDE/>
        <w:autoSpaceDN/>
        <w:bidi w:val="0"/>
        <w:adjustRightInd/>
        <w:snapToGrid/>
        <w:spacing w:line="360" w:lineRule="auto"/>
        <w:ind w:left="0" w:leftChars="0" w:firstLine="0" w:firstLineChars="0"/>
        <w:jc w:val="both"/>
        <w:textAlignment w:val="auto"/>
        <w:outlineLvl w:val="0"/>
        <w:rPr>
          <w:rFonts w:hint="default"/>
          <w:b/>
          <w:bCs/>
          <w:i w:val="0"/>
          <w:iCs w:val="0"/>
          <w:caps w:val="0"/>
          <w:sz w:val="30"/>
          <w:szCs w:val="30"/>
          <w:highlight w:val="none"/>
          <w:lang w:val="en-US" w:eastAsia="zh-CN"/>
        </w:rPr>
      </w:pPr>
      <w:bookmarkStart w:id="3" w:name="_Toc12058"/>
      <w:r>
        <w:rPr>
          <w:rFonts w:hint="eastAsia"/>
          <w:b/>
          <w:bCs/>
          <w:caps w:val="0"/>
          <w:sz w:val="24"/>
          <w:szCs w:val="24"/>
          <w:highlight w:val="none"/>
          <w:lang w:val="en-US" w:eastAsia="zh-CN"/>
        </w:rPr>
        <w:t>MOODLE NUMBER:      BMMB70</w:t>
      </w:r>
      <w:bookmarkEnd w:id="3"/>
      <w:r>
        <w:rPr>
          <w:rFonts w:hint="eastAsia"/>
          <w:b/>
          <w:bCs/>
          <w:caps w:val="0"/>
          <w:sz w:val="24"/>
          <w:szCs w:val="24"/>
          <w:highlight w:val="none"/>
          <w:lang w:val="en-US" w:eastAsia="zh-CN"/>
        </w:rPr>
        <w:t>18</w:t>
      </w:r>
    </w:p>
    <w:p>
      <w:pPr>
        <w:pageBreakBefore w:val="0"/>
        <w:widowControl/>
        <w:kinsoku/>
        <w:wordWrap/>
        <w:overflowPunct/>
        <w:topLinePunct w:val="0"/>
        <w:autoSpaceDE/>
        <w:autoSpaceDN/>
        <w:bidi w:val="0"/>
        <w:adjustRightInd/>
        <w:snapToGrid/>
        <w:spacing w:line="360" w:lineRule="auto"/>
        <w:ind w:left="0" w:leftChars="0" w:firstLine="0" w:firstLineChars="0"/>
        <w:jc w:val="both"/>
        <w:textAlignment w:val="auto"/>
        <w:outlineLvl w:val="0"/>
        <w:rPr>
          <w:rFonts w:hint="default"/>
          <w:b/>
          <w:bCs/>
          <w:caps w:val="0"/>
          <w:sz w:val="24"/>
          <w:szCs w:val="24"/>
          <w:highlight w:val="none"/>
          <w:lang w:val="en-US" w:eastAsia="zh-CN"/>
        </w:rPr>
      </w:pPr>
      <w:bookmarkStart w:id="4" w:name="_Toc8663"/>
      <w:r>
        <w:rPr>
          <w:rFonts w:hint="default"/>
          <w:b/>
          <w:bCs/>
          <w:caps w:val="0"/>
          <w:sz w:val="24"/>
          <w:szCs w:val="24"/>
          <w:highlight w:val="none"/>
          <w:lang w:val="en-US" w:eastAsia="zh-CN"/>
        </w:rPr>
        <w:fldChar w:fldCharType="begin"/>
      </w:r>
      <w:r>
        <w:rPr>
          <w:rFonts w:hint="default"/>
          <w:b/>
          <w:bCs/>
          <w:caps w:val="0"/>
          <w:sz w:val="24"/>
          <w:szCs w:val="24"/>
          <w:highlight w:val="none"/>
          <w:lang w:val="en-US" w:eastAsia="zh-CN"/>
        </w:rPr>
        <w:instrText xml:space="preserve"> HYPERLINK "https://www.baidu.com/link?url=4JXEQwBdRu4UE1fGJFyWc19f76X3qbUZiIgKXEbpg-_XEPiwcJwiGF6OsvL9z3K_uqAhz8kVNPOpqYCuqzQRPdAKSGN3Ilbhl-UX5Ji2uu3&amp;wd=&amp;eqid=81ec4b5200000ab80000000664225a3a" \t "https://www.baidu.com/_blank" </w:instrText>
      </w:r>
      <w:r>
        <w:rPr>
          <w:rFonts w:hint="default"/>
          <w:b/>
          <w:bCs/>
          <w:caps w:val="0"/>
          <w:sz w:val="24"/>
          <w:szCs w:val="24"/>
          <w:highlight w:val="none"/>
          <w:lang w:val="en-US" w:eastAsia="zh-CN"/>
        </w:rPr>
        <w:fldChar w:fldCharType="separate"/>
      </w:r>
      <w:r>
        <w:rPr>
          <w:rFonts w:hint="default"/>
          <w:b/>
          <w:bCs/>
          <w:caps w:val="0"/>
          <w:sz w:val="24"/>
          <w:szCs w:val="24"/>
          <w:highlight w:val="none"/>
          <w:lang w:val="en-US" w:eastAsia="zh-CN"/>
        </w:rPr>
        <w:t>W</w:t>
      </w:r>
      <w:r>
        <w:rPr>
          <w:rFonts w:hint="eastAsia"/>
          <w:b/>
          <w:bCs/>
          <w:caps w:val="0"/>
          <w:sz w:val="24"/>
          <w:szCs w:val="24"/>
          <w:highlight w:val="none"/>
          <w:lang w:val="en-US" w:eastAsia="zh-CN"/>
        </w:rPr>
        <w:t>ORD</w:t>
      </w:r>
      <w:r>
        <w:rPr>
          <w:rFonts w:hint="default"/>
          <w:b/>
          <w:bCs/>
          <w:caps w:val="0"/>
          <w:sz w:val="24"/>
          <w:szCs w:val="24"/>
          <w:highlight w:val="none"/>
          <w:lang w:val="en-US" w:eastAsia="zh-CN"/>
        </w:rPr>
        <w:t xml:space="preserve"> </w:t>
      </w:r>
      <w:r>
        <w:rPr>
          <w:rFonts w:hint="eastAsia"/>
          <w:b/>
          <w:bCs/>
          <w:caps w:val="0"/>
          <w:sz w:val="24"/>
          <w:szCs w:val="24"/>
          <w:highlight w:val="none"/>
          <w:lang w:val="en-US" w:eastAsia="zh-CN"/>
        </w:rPr>
        <w:t>C</w:t>
      </w:r>
      <w:r>
        <w:rPr>
          <w:rFonts w:hint="default"/>
          <w:b/>
          <w:bCs/>
          <w:caps w:val="0"/>
          <w:sz w:val="24"/>
          <w:szCs w:val="24"/>
          <w:highlight w:val="none"/>
          <w:lang w:val="en-US" w:eastAsia="zh-CN"/>
        </w:rPr>
        <w:fldChar w:fldCharType="end"/>
      </w:r>
      <w:r>
        <w:rPr>
          <w:rFonts w:hint="eastAsia"/>
          <w:b/>
          <w:bCs/>
          <w:caps w:val="0"/>
          <w:sz w:val="24"/>
          <w:szCs w:val="24"/>
          <w:highlight w:val="none"/>
          <w:lang w:val="en-US" w:eastAsia="zh-CN"/>
        </w:rPr>
        <w:t xml:space="preserve">OUNT：            </w:t>
      </w:r>
      <w:bookmarkEnd w:id="4"/>
      <w:r>
        <w:rPr>
          <w:rFonts w:hint="eastAsia"/>
          <w:b/>
          <w:bCs/>
          <w:caps w:val="0"/>
          <w:sz w:val="24"/>
          <w:szCs w:val="24"/>
          <w:highlight w:val="none"/>
          <w:lang w:val="en-US" w:eastAsia="zh-CN"/>
        </w:rPr>
        <w:t>6771</w:t>
      </w:r>
    </w:p>
    <w:p>
      <w:pPr>
        <w:pageBreakBefore w:val="0"/>
        <w:widowControl/>
        <w:kinsoku/>
        <w:wordWrap/>
        <w:overflowPunct/>
        <w:topLinePunct w:val="0"/>
        <w:autoSpaceDE/>
        <w:autoSpaceDN/>
        <w:bidi w:val="0"/>
        <w:adjustRightInd/>
        <w:snapToGrid/>
        <w:spacing w:line="360" w:lineRule="auto"/>
        <w:ind w:left="0" w:leftChars="0" w:firstLine="0" w:firstLineChars="0"/>
        <w:jc w:val="both"/>
        <w:textAlignment w:val="auto"/>
        <w:outlineLvl w:val="0"/>
        <w:rPr>
          <w:rFonts w:hint="eastAsia" w:ascii="Times New Roman" w:hAnsi="Times New Roman"/>
          <w:b/>
          <w:bCs/>
          <w:caps w:val="0"/>
          <w:sz w:val="24"/>
          <w:szCs w:val="24"/>
          <w:highlight w:val="none"/>
          <w:lang w:val="en-US" w:eastAsia="zh-CN"/>
        </w:rPr>
      </w:pPr>
      <w:bookmarkStart w:id="5" w:name="_Toc7841"/>
      <w:bookmarkStart w:id="6" w:name="_Toc23317"/>
      <w:bookmarkStart w:id="7" w:name="_Toc31970"/>
      <w:r>
        <w:rPr>
          <w:rFonts w:hint="eastAsia"/>
          <w:b/>
          <w:bCs/>
          <w:caps w:val="0"/>
          <w:sz w:val="24"/>
          <w:szCs w:val="24"/>
          <w:highlight w:val="none"/>
          <w:lang w:val="en-US" w:eastAsia="zh-CN"/>
        </w:rPr>
        <w:t xml:space="preserve">NAME:                               </w:t>
      </w:r>
      <w:bookmarkStart w:id="17" w:name="_GoBack"/>
      <w:bookmarkEnd w:id="17"/>
      <w:r>
        <w:rPr>
          <w:rFonts w:hint="eastAsia"/>
          <w:b/>
          <w:bCs/>
          <w:caps w:val="0"/>
          <w:sz w:val="24"/>
          <w:szCs w:val="24"/>
          <w:highlight w:val="none"/>
          <w:lang w:val="en-US" w:eastAsia="zh-CN"/>
        </w:rPr>
        <w:t>刘子赫（Zihe Liu）</w:t>
      </w:r>
      <w:bookmarkEnd w:id="5"/>
      <w:bookmarkEnd w:id="6"/>
      <w:bookmarkEnd w:id="7"/>
    </w:p>
    <w:p>
      <w:pPr>
        <w:pageBreakBefore w:val="0"/>
        <w:widowControl/>
        <w:kinsoku/>
        <w:wordWrap/>
        <w:overflowPunct/>
        <w:topLinePunct w:val="0"/>
        <w:autoSpaceDE/>
        <w:autoSpaceDN/>
        <w:bidi w:val="0"/>
        <w:adjustRightInd/>
        <w:snapToGrid/>
        <w:spacing w:line="360" w:lineRule="auto"/>
        <w:ind w:left="0" w:leftChars="0" w:firstLine="0" w:firstLineChars="0"/>
        <w:jc w:val="both"/>
        <w:textAlignment w:val="auto"/>
        <w:outlineLvl w:val="0"/>
        <w:rPr>
          <w:rFonts w:hint="eastAsia"/>
          <w:b/>
          <w:bCs/>
          <w:caps w:val="0"/>
          <w:sz w:val="24"/>
          <w:szCs w:val="24"/>
          <w:highlight w:val="none"/>
          <w:lang w:val="en-US" w:eastAsia="zh-CN"/>
        </w:rPr>
      </w:pPr>
      <w:bookmarkStart w:id="8" w:name="_Toc23163"/>
      <w:bookmarkStart w:id="9" w:name="_Toc6765"/>
      <w:bookmarkStart w:id="10" w:name="_Toc30351"/>
      <w:bookmarkStart w:id="11" w:name="_Toc27312"/>
      <w:bookmarkStart w:id="12" w:name="_Toc10837"/>
      <w:bookmarkStart w:id="13" w:name="_Toc16451"/>
      <w:bookmarkStart w:id="14" w:name="_Toc10539"/>
      <w:bookmarkStart w:id="15" w:name="_Toc8980"/>
      <w:r>
        <w:rPr>
          <w:rFonts w:hint="eastAsia"/>
          <w:b/>
          <w:bCs/>
          <w:caps w:val="0"/>
          <w:sz w:val="24"/>
          <w:szCs w:val="24"/>
          <w:highlight w:val="none"/>
          <w:lang w:val="en-US" w:eastAsia="zh-CN"/>
        </w:rPr>
        <w:t>STUDENT NUMBER：   2203396</w:t>
      </w:r>
      <w:bookmarkEnd w:id="8"/>
      <w:bookmarkEnd w:id="9"/>
      <w:bookmarkEnd w:id="10"/>
      <w:bookmarkEnd w:id="11"/>
      <w:bookmarkEnd w:id="12"/>
      <w:bookmarkEnd w:id="13"/>
      <w:bookmarkEnd w:id="14"/>
      <w:bookmarkEnd w:id="15"/>
    </w:p>
    <w:p>
      <w:pPr>
        <w:pageBreakBefore w:val="0"/>
        <w:widowControl/>
        <w:kinsoku/>
        <w:wordWrap/>
        <w:overflowPunct/>
        <w:topLinePunct w:val="0"/>
        <w:autoSpaceDE/>
        <w:autoSpaceDN/>
        <w:bidi w:val="0"/>
        <w:adjustRightInd/>
        <w:snapToGrid/>
        <w:spacing w:line="360" w:lineRule="auto"/>
        <w:ind w:left="0" w:leftChars="0" w:firstLine="0" w:firstLineChars="0"/>
        <w:jc w:val="both"/>
        <w:textAlignment w:val="auto"/>
        <w:outlineLvl w:val="0"/>
        <w:rPr>
          <w:rFonts w:hint="eastAsia"/>
          <w:b/>
          <w:bCs/>
          <w:caps w:val="0"/>
          <w:sz w:val="24"/>
          <w:szCs w:val="24"/>
          <w:highlight w:val="none"/>
          <w:lang w:val="en-US" w:eastAsia="zh-CN"/>
        </w:rPr>
      </w:pPr>
    </w:p>
    <w:p>
      <w:pPr>
        <w:pageBreakBefore w:val="0"/>
        <w:widowControl/>
        <w:kinsoku/>
        <w:wordWrap/>
        <w:overflowPunct/>
        <w:topLinePunct w:val="0"/>
        <w:autoSpaceDE/>
        <w:autoSpaceDN/>
        <w:bidi w:val="0"/>
        <w:adjustRightInd/>
        <w:snapToGrid/>
        <w:spacing w:line="360" w:lineRule="auto"/>
        <w:ind w:left="0" w:leftChars="0" w:firstLine="0" w:firstLineChars="0"/>
        <w:jc w:val="both"/>
        <w:textAlignment w:val="auto"/>
        <w:outlineLvl w:val="0"/>
        <w:rPr>
          <w:rFonts w:hint="eastAsia"/>
          <w:b/>
          <w:bCs/>
          <w:caps w:val="0"/>
          <w:sz w:val="24"/>
          <w:szCs w:val="24"/>
          <w:highlight w:val="none"/>
          <w:lang w:val="en-US" w:eastAsia="zh-CN"/>
        </w:rPr>
      </w:pPr>
    </w:p>
    <w:p>
      <w:pPr>
        <w:pageBreakBefore w:val="0"/>
        <w:widowControl/>
        <w:kinsoku/>
        <w:wordWrap/>
        <w:overflowPunct/>
        <w:topLinePunct w:val="0"/>
        <w:autoSpaceDE/>
        <w:autoSpaceDN/>
        <w:bidi w:val="0"/>
        <w:adjustRightInd/>
        <w:snapToGrid/>
        <w:spacing w:line="360" w:lineRule="auto"/>
        <w:ind w:left="0" w:leftChars="0" w:firstLine="0" w:firstLineChars="0"/>
        <w:jc w:val="both"/>
        <w:textAlignment w:val="auto"/>
        <w:outlineLvl w:val="0"/>
        <w:rPr>
          <w:rFonts w:hint="eastAsia"/>
          <w:b/>
          <w:bCs/>
          <w:caps w:val="0"/>
          <w:sz w:val="24"/>
          <w:szCs w:val="24"/>
          <w:highlight w:val="none"/>
          <w:lang w:val="en-US" w:eastAsia="zh-CN"/>
        </w:rPr>
      </w:pPr>
    </w:p>
    <w:p>
      <w:pPr>
        <w:pageBreakBefore w:val="0"/>
        <w:widowControl/>
        <w:kinsoku/>
        <w:wordWrap/>
        <w:overflowPunct/>
        <w:topLinePunct w:val="0"/>
        <w:autoSpaceDE/>
        <w:autoSpaceDN/>
        <w:bidi w:val="0"/>
        <w:adjustRightInd/>
        <w:snapToGrid/>
        <w:spacing w:line="360" w:lineRule="auto"/>
        <w:ind w:left="0" w:leftChars="0" w:firstLine="0" w:firstLineChars="0"/>
        <w:jc w:val="both"/>
        <w:textAlignment w:val="auto"/>
        <w:outlineLvl w:val="0"/>
        <w:rPr>
          <w:rFonts w:hint="eastAsia"/>
          <w:b/>
          <w:bCs/>
          <w:caps w:val="0"/>
          <w:sz w:val="24"/>
          <w:szCs w:val="24"/>
          <w:highlight w:val="none"/>
          <w:lang w:val="en-US" w:eastAsia="zh-CN"/>
        </w:rPr>
        <w:sectPr>
          <w:footerReference r:id="rId3" w:type="default"/>
          <w:pgSz w:w="11906" w:h="16838"/>
          <w:pgMar w:top="1440" w:right="1800" w:bottom="1440" w:left="1800" w:header="851" w:footer="992" w:gutter="0"/>
          <w:pgBorders>
            <w:top w:val="none" w:sz="0" w:space="0"/>
            <w:left w:val="none" w:sz="0" w:space="0"/>
            <w:bottom w:val="none" w:sz="0" w:space="0"/>
            <w:right w:val="none" w:sz="0" w:space="0"/>
          </w:pgBorders>
          <w:pgNumType w:fmt="decimal"/>
          <w:cols w:space="425" w:num="1"/>
          <w:docGrid w:type="lines" w:linePitch="312" w:charSpace="0"/>
        </w:sectPr>
      </w:pPr>
    </w:p>
    <w:p>
      <w:r>
        <w:rPr>
          <w:rFonts w:hint="eastAsia"/>
          <w:b/>
          <w:bCs/>
          <w:lang w:val="en-US" w:eastAsia="zh-CN"/>
        </w:rPr>
        <w:t xml:space="preserve">Abstract: </w:t>
      </w:r>
      <w:r>
        <w:t>This research examines the earnings management practises of Datang Telecom Technology Corporation, a high-tech organisation that specialises in communication equipment. Earnings management refers to the manipulation of profit statistics in financial statements for some purpose or benefit by the management of an organisation.The paper begins with a definition and classification of earnings management into two categories: real earnings management and accrued earnings management. Real earnings management influences profit through modifying actual operating operations, whereas accrued earnings management influences profit through the selection or modification of accounting policies, estimates, or methodologies.The research then examines the rationale behind Datang Telecom's earnings management, which is primarily comprised of shell protection, finance, and compensation. Shell protection refers to the process of avoiding delisting by turning a loss into a profit or reaching the anticipated profit level. Obtaining funds from the outside by issuing stocks or bonds is referred to as financing. Compensation refers to the remuneration tied to the enterprise's performance.The report also assesses the validity and morality of Datang Telecom's earnings management using three ethical frameworks: justice theory, utilitarianism, and Zhuangzi doctrine. According to justice theory, earnings management breaches the rights and responsibilities of investors, regulators, and the general public. According to utilitarianism, earnings management has more bad than beneficial effects. The concept of Zhuangzi asserts that earnings management breaches natural law and harms harmonious cooperation.The report concludes by recommending countermeasures to improve Datang Telecom's corporate governance structure and prevent future accounting scandals, such as enhancing accounting standards and the delisting system, strengthening external supervision and audit, and enhancing internal governance capability.</w:t>
      </w:r>
    </w:p>
    <w:p/>
    <w:p>
      <w:pPr>
        <w:pStyle w:val="2"/>
        <w:numPr>
          <w:ilvl w:val="0"/>
          <w:numId w:val="1"/>
        </w:numPr>
        <w:bidi w:val="0"/>
      </w:pPr>
      <w:r>
        <w:t>Introduction</w:t>
      </w:r>
    </w:p>
    <w:p>
      <w:pPr>
        <w:numPr>
          <w:numId w:val="0"/>
        </w:numPr>
      </w:pPr>
    </w:p>
    <w:p>
      <w:r>
        <w:t>Datang Telecom Technology Co., LTD. (henceforth referred to as Datang Telecom) is a high-tech company focusing in the development, manufacturing, and marketing of communication equipment. In 2002, it was listed on the Shanghai Stock Exchange after being created in 1998. Datang Telecom primarily produces products and solutions for mobile communication, broadband access, optical transmission, data communication, and other industries, and has independent intellectual property rights for TD-SCDMA, TD-LTE, and other fundamental technologies. It is one of China's major manufacturers of communication equipment. Datang Telecom's business scope encompasses both domestic and international markets, and the company has formed cooperation relationships with operators in numerous countries and regions throughout the globe, offering communication services to hundreds of millions of consumers globally.</w:t>
      </w:r>
    </w:p>
    <w:p/>
    <w:p>
      <w:r>
        <w:t>In recent years, Datang Telecom has also encountered a number of operational difficulties and obstacles, namely in the areas of severe market competition, lack of technological innovation, restricted capital chain, profitability, and other factors. Datang Telecom has implemented a number of initiatives, including earnings management, to address these issues. Surplus management refers to the behaviour in which the management of an enterprise knowingly manipulates the profit statistics in the financial statements to achieve some objective or gain, so that the data is inconsistent with the enterprise's actual business performance. Real earnings management and accrued earnings management are the two types of surplus management. The former influences the profit level through altering the actual operating activities of a business, whereas the latter influences the profit level through the selection or modification of accounting policies, estimations, or procedures. This paper examines Datang Telecom's earnings management as its research object. This article also aims to serve as a resource and guide for other high-tech businesses, as well as to offer suggestions and illumination for enhancing accounting standards, the regulatory system, and business ethics.</w:t>
      </w:r>
    </w:p>
    <w:p/>
    <w:p>
      <w:pPr>
        <w:pStyle w:val="2"/>
        <w:numPr>
          <w:ilvl w:val="0"/>
          <w:numId w:val="1"/>
        </w:numPr>
        <w:bidi w:val="0"/>
      </w:pPr>
      <w:r>
        <w:t>Classification and definition of surplus management</w:t>
      </w:r>
    </w:p>
    <w:p/>
    <w:p>
      <w:pPr>
        <w:pStyle w:val="3"/>
        <w:bidi w:val="0"/>
      </w:pPr>
      <w:r>
        <w:t>2.1 Explanation</w:t>
      </w:r>
    </w:p>
    <w:p/>
    <w:p>
      <w:r>
        <w:t>In the discipline of accounting, surplus management is a hot topic and a complex phenomenon for which different researchers and institutions have varied definitions and understandings. This paper cites relevant domestic and international literature, blends the two mainstream perspectives of information view and economic benefits view, and defines earnings management as:</w:t>
      </w:r>
    </w:p>
    <w:p/>
    <w:p>
      <w:r>
        <w:t>Surplus management is the practise whereby the enterprise's management knowingly manipulates the profit statistics in the financial statements in order to attain a specific goal or gain, which is inconsistent with the enterprise's actual business performance.</w:t>
      </w:r>
    </w:p>
    <w:p/>
    <w:p>
      <w:r>
        <w:t>This definition emphasises the following essential points:</w:t>
      </w:r>
    </w:p>
    <w:p/>
    <w:p>
      <w:pPr>
        <w:numPr>
          <w:ilvl w:val="0"/>
          <w:numId w:val="2"/>
        </w:numPr>
        <w:ind w:left="420" w:leftChars="0" w:hanging="420" w:firstLineChars="0"/>
      </w:pPr>
      <w:r>
        <w:t>The majority of surplus management consists of the enterprise's management, or those who have influence over the enterprise's decision-making and financial reports, including the board of directors, top executives, finance department, etc.</w:t>
      </w:r>
    </w:p>
    <w:p/>
    <w:p>
      <w:pPr>
        <w:numPr>
          <w:ilvl w:val="0"/>
          <w:numId w:val="2"/>
        </w:numPr>
        <w:ind w:left="420" w:leftChars="0" w:hanging="420" w:firstLineChars="0"/>
      </w:pPr>
      <w:r>
        <w:t>The purpose of earnings management is the profit data in the financial statements, i.e., the indicators that indicate the enterprise's operating performance and profit and loss status, such as net profit, earnings per share, operating profit, etc.</w:t>
      </w:r>
    </w:p>
    <w:p/>
    <w:p>
      <w:pPr>
        <w:numPr>
          <w:ilvl w:val="0"/>
          <w:numId w:val="2"/>
        </w:numPr>
        <w:ind w:left="420" w:leftChars="0" w:hanging="420" w:firstLineChars="0"/>
      </w:pPr>
      <w:r>
        <w:t>The objective or benefit that motivates the enterprise management to engage in earnings management, such as shell preservation, finance, remuneration, tax avoidance, politics, etc., is the rationale for earnings management.</w:t>
      </w:r>
    </w:p>
    <w:p/>
    <w:p>
      <w:r>
        <w:t>Real earnings management and accrued earnings management are ways of earnings management.</w:t>
      </w:r>
    </w:p>
    <w:p/>
    <w:p>
      <w:pPr>
        <w:pStyle w:val="3"/>
        <w:bidi w:val="0"/>
      </w:pPr>
      <w:r>
        <w:t>2.2 Classification</w:t>
      </w:r>
    </w:p>
    <w:p/>
    <w:p>
      <w:r>
        <w:t>Real earnings management and accrued earnings management can be distinguished based on the various methods of earnings management.</w:t>
      </w:r>
    </w:p>
    <w:p/>
    <w:p>
      <w:r>
        <w:t>Real earnings management refers to the behaviour that influences the level of profit by modifying the actual running operations of an organisation, such as accelerating or delaying sales or purchases, raising or decreasing research and development expenditures, selling or acquiring assets, etc. This sort of earnings management typically affects the cash flow and future earnings of the organisation, but does not break accounting standards or rules and regulations.</w:t>
      </w:r>
    </w:p>
    <w:p/>
    <w:p>
      <w:r>
        <w:t>Accrued surplus management refers to the selection or modification of accounting policies, estimations, or procedures that influence the profit level, such as modifying the depreciation method, adjusting provisions for bad debt, and calculating the impairment loss of returned assets, etc. Typically, this form of earnings management has no impact on the company's cash flow or future earnings, but it may contravene accounting rules or laws and regulations.</w:t>
      </w:r>
    </w:p>
    <w:p/>
    <w:p>
      <w:r>
        <w:t>Both kinds of surplus management include benefits and drawbacks, as well as hazards. Compared to genuine surplus management and accruing surplus management, it is more difficult to discover and supervise, as well as more likely to harm the enterprise's long-term worth and competitiveness. Accrued earnings management is easier to amend and reverse than real earnings management, but it is also easier to attract auditors' and regulators' attention and penalty. In order to execute effective profits management, businesses must balance numerous elements and select the most suitable methods and degrees.</w:t>
      </w:r>
    </w:p>
    <w:p/>
    <w:p>
      <w:pPr>
        <w:pStyle w:val="2"/>
        <w:bidi w:val="0"/>
      </w:pPr>
      <w:r>
        <w:t>3. Motivation for Datang Telecom's earnings management</w:t>
      </w:r>
    </w:p>
    <w:p/>
    <w:p>
      <w:r>
        <w:t>In order to investigate the motive behind Datang Telecom's earnings management, this research analyses the company's financial statistics and related information from 2016 to 2020. This research concludes, based on the findings of an analysis, that the primary drivers of Datang Telecom's earnings management are the following:</w:t>
      </w:r>
    </w:p>
    <w:p/>
    <w:p>
      <w:pPr>
        <w:numPr>
          <w:ilvl w:val="0"/>
          <w:numId w:val="2"/>
        </w:numPr>
        <w:ind w:left="420" w:leftChars="0" w:hanging="420" w:firstLineChars="0"/>
      </w:pPr>
      <w:r>
        <w:t>Motivation for shell defence. Shell protection refers to the efforts taken by listed firms to avoid delisting, one of which is earnings management to turn a loss into a profit or attain the required profit level. According to the relevant regulations of the Shanghai Stock Exchange, the listing may be suspended or terminated if the listed company experiences losses for two consecutive years, its net profit is less than 6 million yuan for three consecutive years, or its return on equity is less than 3% for three consecutive years. Hence, listed businesses have a strong incentive to preserve their listing status and "shell" resources in order to protect their shareholders' interests and reputation in the market.</w:t>
      </w:r>
    </w:p>
    <w:p/>
    <w:p>
      <w:r>
        <w:t>From 2016 to 2018, Datang Telecom incurred losses of 586 million yuan, -456 million yuan, and 247 million yuan, respectively, and the loss in 2018 was close to 50% of its operating income for the year. This means that Datang Telecom faces the possibility of being delisted, thus there is a strong incentive to safeguard the shell. Datang Telecom generated a minor profit of 20 million yuan in 2019 and 2020.04 million yuan in 2020, and turned a loss into a profit, according to its financial filings. In addition, there were substantial nonrecurring profit and loss items in these two years, totaling 105 million yuan and 118 million yuan, respectively, or 525% and 295% of the year's net profit. This demonstrates that Datang Telecom may utilise nonrecurring profit and loss items for earnings management purposes, in order to achieve shell protection.</w:t>
      </w:r>
    </w:p>
    <w:p/>
    <w:p>
      <w:pPr>
        <w:numPr>
          <w:ilvl w:val="0"/>
          <w:numId w:val="2"/>
        </w:numPr>
        <w:ind w:left="420" w:leftChars="0" w:hanging="420" w:firstLineChars="0"/>
      </w:pPr>
      <w:r>
        <w:t>The financing incentive. Financing refers to a listed company's habit of getting cash from outside sources in order to meet its development needs, one of which is to raise its share capital or debt through the issuance of stocks or bonds. In accordance with applicable capital market regulations, if a publicly traded firm wishes to refinance its equity, it must meet specific parameters, such as net profit, return on equity, stock price, etc. Hence, listed firms have a significant motivation to enhance their financial performance and market performance in order to increase their funding opportunities and reduce their financing costs.</w:t>
      </w:r>
    </w:p>
    <w:p/>
    <w:p>
      <w:r>
        <w:t>Datang Telecom has raised approximately 8 billion yuan through various equity refinancing activities between 2016 and 2020, including private placement, rights issuance, convertible bonds, and other ways. The funds are utilised primarily for debt repayment, replenishment of working capital, and investment in research and development projects. This demonstrates that Datang Telecom is facing increased capital demands and expansion requirements, hence creating a strong funding incentive. According to its financial statements, Datang Telecom has a high level of accrued items, such as accounts receivable, inventory, prepayments, etc., which account for 24.9%, 23.6%, 23.1%, 22.8%, and 21.7% of its total assets, and 13.4%, 12.9%, 11.8%, 11.4%, 10.4%, and 9.7% of its total assets, respectively. This suggests that Datang Telecom may utilise accrual projects for earnings management in order to meet its financial objective.</w:t>
      </w:r>
    </w:p>
    <w:p/>
    <w:p>
      <w:pPr>
        <w:numPr>
          <w:ilvl w:val="0"/>
          <w:numId w:val="2"/>
        </w:numPr>
        <w:ind w:left="420" w:leftChars="0" w:hanging="420" w:firstLineChars="0"/>
      </w:pPr>
      <w:r>
        <w:t>Remuneration incentivizes. Compensation refers to the remuneration paid by a publicly traded firm to its management in order to motivate and restrict them, including the performance bonus or equity incentive tied to the enterprise's performance. According to the relevant assumptions of the agency theory, if there is a conflict of interest or information asymmetry between the listed company's management and its shareholders, the management may pursue its own personal interests and harm the shareholders'. In order to motivate the interests of management and shareholders and increase their job efficiency and effectiveness, it is vital for publicly traded companies to develop an appropriate pay scheme.</w:t>
      </w:r>
    </w:p>
    <w:p>
      <w:pPr>
        <w:numPr>
          <w:numId w:val="0"/>
        </w:numPr>
        <w:ind w:leftChars="0"/>
      </w:pPr>
      <w:r>
        <w:t>Between 2016 and 2020, Datang Telecom established multiple equity incentive plans, including restricted stock and stock options, and distributed approximately 120 million shares of equity incentive to around 200 managers and key technical staff. These equity incentives are granted and unlocked based on enterprise performance measures such as net profit, operational income, return on equity, etc. This demonstrates that Datang Telecom deliberately linked the administration of salaries and organisational success in an effort to increase employee motivation and loyalty. Yet, this may also result in earnings management in order to achieve or surpass predicted performance metrics, hence increasing bonuses or stock gains.</w:t>
      </w:r>
    </w:p>
    <w:p/>
    <w:p>
      <w:r>
        <w:t>In conclusion, the motive behind excess management is primarily for the purposes of shell protection, finance, and compensation, which are related to its operational challenges and development requirements and also reflect the management's opportunistic nature.</w:t>
      </w:r>
    </w:p>
    <w:p/>
    <w:p>
      <w:pPr>
        <w:pStyle w:val="2"/>
        <w:numPr>
          <w:ilvl w:val="0"/>
          <w:numId w:val="1"/>
        </w:numPr>
        <w:bidi w:val="0"/>
      </w:pPr>
      <w:r>
        <w:t>Datang Telecom evaluates the ethics of earnings management</w:t>
      </w:r>
    </w:p>
    <w:p/>
    <w:p>
      <w:pPr>
        <w:pStyle w:val="3"/>
        <w:bidi w:val="0"/>
      </w:pPr>
      <w:r>
        <w:rPr>
          <w:rFonts w:hint="eastAsia"/>
          <w:lang w:val="en-US" w:eastAsia="zh-CN"/>
        </w:rPr>
        <w:t xml:space="preserve">4.1 </w:t>
      </w:r>
      <w:r>
        <w:t>Ethical assessment</w:t>
      </w:r>
    </w:p>
    <w:p/>
    <w:p>
      <w:r>
        <w:t>This paper will utilise justice theory, utilitarianism, and Zhuangzi to assess the morality and validity of Datang Telecom's earnings management.</w:t>
      </w:r>
    </w:p>
    <w:p/>
    <w:p>
      <w:pPr>
        <w:pStyle w:val="4"/>
        <w:bidi w:val="0"/>
      </w:pPr>
      <w:r>
        <w:t>4.1.1 The Justice Theory</w:t>
      </w:r>
    </w:p>
    <w:p/>
    <w:p>
      <w:r>
        <w:t>The theory of justice is an ethical theory based on rights and duties, which asserts that everyone should be treated fairly and equally and should not be subjected to discrimination or deprivation. According to the theory of justice, moral behaviour is defined as respecting the rights of others and fulfilling one's own obligations, whereas immoral behaviour is defined as violating the rights of others or one's own obligations.</w:t>
      </w:r>
    </w:p>
    <w:p/>
    <w:p>
      <w:r>
        <w:t>From the perspective of justice theory, "Datang Telecom's" earnings management is immoral since it violates the rights of investors, regulators, and the general public, as well as its obligations as a publicly traded corporation.</w:t>
      </w:r>
    </w:p>
    <w:p/>
    <w:p>
      <w:pPr>
        <w:numPr>
          <w:ilvl w:val="0"/>
          <w:numId w:val="3"/>
        </w:numPr>
        <w:ind w:left="420" w:leftChars="0" w:hanging="420" w:firstLineChars="0"/>
      </w:pPr>
      <w:r>
        <w:t>The earnings management of "Datang Telecom" breached the investors' right to know and chose. Investors are entitled to accurate, complete, and trustworthy financial information in order to make sound investment decisions. "Datang Telecom" affects the accounting surplus by manipulating asset impairment items, thereby distorting and invalidating the financial report, misleading investors regarding the enterprise value and risk, and harming investor interests.</w:t>
      </w:r>
    </w:p>
    <w:p/>
    <w:p>
      <w:pPr>
        <w:numPr>
          <w:ilvl w:val="0"/>
          <w:numId w:val="3"/>
        </w:numPr>
        <w:ind w:left="420" w:leftChars="0" w:hanging="420" w:firstLineChars="0"/>
      </w:pPr>
      <w:r>
        <w:t>The surplus management of "Datang Telecom" has violated the regulator's monitoring and law enforcement powers. In order to maintain the market order and the credit system, regulators have the authority to supervise and standardise the financial reporting system of publicly traded companies. "Datang Telecom's" use of accounting standards in the operational space to manipulate the accounting surplus, so that the financial report does not meet the basic requirements of authenticity, integrity, and reliability, hindered the supervision of the supervision of the fi</w:t>
      </w:r>
    </w:p>
    <w:p/>
    <w:p>
      <w:pPr>
        <w:numPr>
          <w:ilvl w:val="0"/>
          <w:numId w:val="3"/>
        </w:numPr>
        <w:ind w:left="420" w:leftChars="0" w:hanging="420" w:firstLineChars="0"/>
      </w:pPr>
      <w:r>
        <w:t>The earnings management of "Datang Telecom" breaches the public's confidence and interest. The public has the right to believe that the financial reports of listed companies accurately reflect the real situation and social responsibility of the company, as well as the integrity and respect of the listed companies to the public. Due to "Datang Telecom's" manipulation of accounting surplus, the financial report lost credit and value, harmed the public's trust and respect for listed companies, and negatively impacted the public's welfare and interests.</w:t>
      </w:r>
    </w:p>
    <w:p/>
    <w:p>
      <w:pPr>
        <w:numPr>
          <w:ilvl w:val="0"/>
          <w:numId w:val="3"/>
        </w:numPr>
        <w:ind w:left="420" w:leftChars="0" w:hanging="420" w:firstLineChars="0"/>
      </w:pPr>
      <w:r>
        <w:t>The earnings management of "Datang Telecom" violates its obligations as a publicly traded business. Listed companies are obligated to comply with the relevant laws and regulations and accounting standards, preparation and disclosure of true, complete, and reliable financial reports, to protect the legitimate rights and interests of the public and investors of stakeholders, as well as an obligation to their own financial situation and business activities, in order to maintain their reputation and image. "Datang Telecom" by manipulating the accounting su</w:t>
      </w:r>
    </w:p>
    <w:p/>
    <w:p>
      <w:pPr>
        <w:pStyle w:val="4"/>
        <w:bidi w:val="0"/>
      </w:pPr>
      <w:r>
        <w:t>4.1.2 Utilitarianism</w:t>
      </w:r>
    </w:p>
    <w:p>
      <w:r>
        <w:t>Utilitarianism is an ethical theory based on consequences, asserting that moral activity is the behaviour that can offer the most happiness or the least amount of pain, whereas immoral behaviour is the behaviour that cannot bring the greatest happiness or the least amount of pain. Utilitarianism asserts that moral judgement should be based on the entire effect of an act on all those affected, as opposed to the act's character or motivation.</w:t>
      </w:r>
    </w:p>
    <w:p/>
    <w:p>
      <w:r>
        <w:t>From a utilitarian standpoint, "Datang Telecom's" earnings management is immoral because it cannot produce the most happiness or the least suffering, but rather brings more negative outcomes:</w:t>
      </w:r>
    </w:p>
    <w:p/>
    <w:p>
      <w:r>
        <w:t>"Datang Telecom" earnings management may offer some short-term benefits to itself, such as better performance, stock price, market share, etc., but because these benefits are based on a false and unsustainable foundation, they are difficult to maintain over the long run. However, "Datang Telecom's" earnings management will result in long-term losses for investors, regulators, the public, and other stakeholders, including misleading investment decisions, obstructing market monitoring, and social credit harm, among others. Consequently, "Datang Telecom" excess management cannot cause all affected parties to acquire happiness or alleviate suffering, but it can cause some affected parties to obtain short happiness or alleviate short suffering, and others to endure lengthy misfortune or exacerbate long suffering.</w:t>
      </w:r>
    </w:p>
    <w:p/>
    <w:p>
      <w:pPr>
        <w:pStyle w:val="4"/>
        <w:bidi w:val="0"/>
      </w:pPr>
      <w:r>
        <w:t>4.1.3 Chuang Zi-ism</w:t>
      </w:r>
    </w:p>
    <w:p/>
    <w:p>
      <w:r>
        <w:t>As a prominent exponent of ancient Chinese Taoism, Zhuangzi theory emphasises the combination of Tao (natural law) and virtue (moral character) and supports a lifestyle that conforms to nature, rules without activity, and places moral character at its centre. The Zhuangzi concept holds that individuals should adhere to the natural law, use the Tao as their standard, and attain the harmonious coexistence of individuals and society.</w:t>
      </w:r>
    </w:p>
    <w:p/>
    <w:p>
      <w:r>
        <w:t>From the standpoint of the Zhuangzi doctrine, the surplus management scandal at Datang Telecom Technologies Company violates the moral criteria, as evidenced by the following:</w:t>
      </w:r>
    </w:p>
    <w:p/>
    <w:p>
      <w:pPr>
        <w:numPr>
          <w:ilvl w:val="0"/>
          <w:numId w:val="3"/>
        </w:numPr>
        <w:ind w:left="420" w:leftChars="0" w:hanging="420" w:firstLineChars="0"/>
      </w:pPr>
      <w:r>
        <w:t>By falsifying its financial data, Datang deceived investors and authorities in violation of the law of nature, namely the business values of fairness, justice, and honesty.</w:t>
      </w:r>
    </w:p>
    <w:p/>
    <w:p>
      <w:pPr>
        <w:numPr>
          <w:ilvl w:val="0"/>
          <w:numId w:val="3"/>
        </w:numPr>
        <w:ind w:left="420" w:leftChars="0" w:hanging="420" w:firstLineChars="0"/>
      </w:pPr>
      <w:r>
        <w:t>Harm harmonious coexistence: earnings management scandal leads to investors' interests, a breakdown in trust, and the destruction of the company and its investors! A coexistence between regulators, employees, and society that is peaceful.</w:t>
      </w:r>
    </w:p>
    <w:p/>
    <w:p>
      <w:pPr>
        <w:numPr>
          <w:ilvl w:val="0"/>
          <w:numId w:val="3"/>
        </w:numPr>
        <w:ind w:left="420" w:leftChars="0" w:hanging="420" w:firstLineChars="0"/>
      </w:pPr>
      <w:r>
        <w:t>The surplus management behaviour of Datang Corporation demonstrates a lack of moral qualities such as honesty, justice, and accountability. These moral characteristics are essential for the enterprise's long-term success.</w:t>
      </w:r>
    </w:p>
    <w:p/>
    <w:p>
      <w:pPr>
        <w:pStyle w:val="3"/>
        <w:bidi w:val="0"/>
      </w:pPr>
      <w:r>
        <w:t>4.2 Appropriateness of business ethics standards</w:t>
      </w:r>
    </w:p>
    <w:p/>
    <w:p>
      <w:r>
        <w:t>My Chinese master's degree is in philosophy. I select the Zhuangzi philosophy as the foundational reference for evaluating the company's corporate ethics.</w:t>
      </w:r>
    </w:p>
    <w:p/>
    <w:p>
      <w:pPr>
        <w:numPr>
          <w:ilvl w:val="0"/>
          <w:numId w:val="3"/>
        </w:numPr>
        <w:ind w:left="420" w:leftChars="0" w:hanging="420" w:firstLineChars="0"/>
      </w:pPr>
      <w:r>
        <w:t>Compliance with the natural law: Datang Corporation must reexamine its business practises to guarantee the financial report is accurate, fair, and in accordance with business ethics and applicable laws and regulations. This allows the organisation to adhere to natural principles and achieve sustainable development.</w:t>
      </w:r>
    </w:p>
    <w:p/>
    <w:p>
      <w:pPr>
        <w:numPr>
          <w:ilvl w:val="0"/>
          <w:numId w:val="3"/>
        </w:numPr>
        <w:ind w:left="420" w:leftChars="0" w:hanging="420" w:firstLineChars="0"/>
      </w:pPr>
      <w:r>
        <w:t>To achieve harmonic cohabitation</w:t>
      </w:r>
      <w:r>
        <w:rPr>
          <w:rFonts w:hint="eastAsia"/>
          <w:lang w:eastAsia="zh-CN"/>
        </w:rPr>
        <w:t>：</w:t>
      </w:r>
      <w:r>
        <w:t>Datang firm should take steps to recover investor confidence, compensate for investment losses, and increase communication and cooperation with authorities, employees, and the community.</w:t>
      </w:r>
    </w:p>
    <w:p/>
    <w:p>
      <w:pPr>
        <w:numPr>
          <w:ilvl w:val="0"/>
          <w:numId w:val="3"/>
        </w:numPr>
        <w:ind w:left="420" w:leftChars="0" w:hanging="420" w:firstLineChars="0"/>
      </w:pPr>
      <w:r>
        <w:t>Increase moral quality: Datang company should focus on the cultivation of moral quality from the corporate culture, system design, and staff training perspectives, in order to improve the company's overall moral quality.</w:t>
      </w:r>
    </w:p>
    <w:p/>
    <w:p>
      <w:r>
        <w:t>In conclusion, from the perspective of Zhuangzi's ideology, Datang Telecom Technology Company's earnings management scandal breaches the criteria of moral quality and damages the harmonious coexistence of all stakeholders. Thus, the company's corporate ethics require a full assessment and improvement.</w:t>
      </w:r>
    </w:p>
    <w:p/>
    <w:p>
      <w:r>
        <w:t>Considering the existing corporate ethics of Datang Company, the following recommendations are made in accordance with Zhuangzi's doctrine:</w:t>
      </w:r>
    </w:p>
    <w:p/>
    <w:p>
      <w:pPr>
        <w:numPr>
          <w:ilvl w:val="0"/>
          <w:numId w:val="3"/>
        </w:numPr>
        <w:ind w:left="420" w:leftChars="0" w:hanging="420" w:firstLineChars="0"/>
      </w:pPr>
      <w:r>
        <w:t>Building corporate culture requires that the organisation stress the central position of integrity, fairness, and accountability as well as other moral values, and ensure that employees understand the significance of these moral qualities through organising activities and internal publicity. Datang Corporation must build and enhance its internal supervision, audit, risk management, and other processes to ensure that its operations comply with applicable laws, regulations, and ethical standards. Simultaneously, the corporation should take the violation of the moral code seriously and administer the appropriate punishment.</w:t>
      </w:r>
    </w:p>
    <w:p/>
    <w:p>
      <w:pPr>
        <w:numPr>
          <w:ilvl w:val="0"/>
          <w:numId w:val="3"/>
        </w:numPr>
        <w:ind w:left="420" w:leftChars="0" w:hanging="420" w:firstLineChars="0"/>
      </w:pPr>
      <w:r>
        <w:t>Increase the moral quality of employees by enhancing their moral training so that they grasp the significance of moral quality to the organisation and their own personal growth. In addition, businesses can provide moral role models to inspire employees to learn from them and enhance their moral character.</w:t>
      </w:r>
    </w:p>
    <w:p/>
    <w:p>
      <w:pPr>
        <w:numPr>
          <w:ilvl w:val="0"/>
          <w:numId w:val="3"/>
        </w:numPr>
        <w:ind w:left="420" w:leftChars="0" w:hanging="420" w:firstLineChars="0"/>
      </w:pPr>
      <w:r>
        <w:t>Enhance communication with stakeholders: Datang firm must build an efficient communication structure, maintain good communication with investors, regulatory authorities, employees, and the community, and improve the openness of information disclosure. Application of social responsibility: the corporation must actively fulfil its social obligation, pay attention to environmental preservation, employee welfare, and other areas, and strive for the harmonious coexistence of the enterprise and society.</w:t>
      </w:r>
    </w:p>
    <w:p/>
    <w:p>
      <w:r>
        <w:t>With the aforementioned steps, Datang Telecom Technology Corporation can gradually enhance the suitability of corporate ethics, adhere to the ethical criteria of Zhuangzi's ideology, and achieve the peaceful coexistence of the company and all of its stakeholders. This will help the organisation generate a positive social image, enhance its core competitiveness, and achieve sustainable development over the long run.</w:t>
      </w:r>
    </w:p>
    <w:p>
      <w:pPr>
        <w:pStyle w:val="2"/>
        <w:bidi w:val="0"/>
      </w:pPr>
    </w:p>
    <w:p>
      <w:pPr>
        <w:pStyle w:val="2"/>
        <w:bidi w:val="0"/>
      </w:pPr>
      <w:r>
        <w:t>5. Critical analysis of the function of the United Kingdom's corporate governance framework in limiting surplus management</w:t>
      </w:r>
    </w:p>
    <w:p/>
    <w:p>
      <w:r>
        <w:t>The corporate governance structure of the United Kingdom is primarily based on the UK Corporate Governance Code (hereafter referred to as the "Guidelines"), which aims to increase the company's transparency, safeguard the rights and interests of shareholders, and establish an effective corporate governance system. The board of directors, independent directors, board of supervisors, audit committee, and other institutions play a significant part in the corporate governance framework of the United Kingdom. This section will examine the role of the corporate governance system in the United Kingdom in constraining earnings management from three perspectives: the board of directors, the audit committee, and independent directors.</w:t>
      </w:r>
    </w:p>
    <w:p/>
    <w:p>
      <w:r>
        <w:t>Initially, the board of directors is responsible for decision-making and oversight in the corporate governance system of the United Kingdom. According to the regulations, the Board of Directors is responsible for defining the company's strategy, determining risk tolerance, reviewing the performance of management, etc. Yet, in terms of regulating earnings management, the board may face the following challenges: first, a potential conflict of interest with senior executives. Since board members tend to have tight relationships with executives, they may side with management on matters of earnings management and disregard shareholder interests. Second, the board members' knowledge may be insufficient. Board members who lack a comprehensive understanding of finance and accounting may find it difficult to detect earnings management. Hence, the board's involvement in restricting earnings management may be limited.</w:t>
      </w:r>
    </w:p>
    <w:p/>
    <w:p>
      <w:r>
        <w:t>The audit committee has significant functions within the corporate governance system of the United Kingdom. According to the standards, the audit committee is responsible for monitoring the financial reports' accuracy, reviewing internal financial controls, selecting auditors, etc. Yet, the Audit Board also has limitations in its management of surplus funds. One is that the board and management may influence the audit committee. Since audit committee members are frequently board members, they may be subject to board and management pressure, resulting in inadequate oversight. The second possibility is that the audit committee lacks the necessary resources and knowledge. The audit board has numerous functions and needs a substantial amount of time and effort. Therefore, audit committee members may not be able to focus more on earnings management. However, some audit committee members may lack the necessary financial and accounting knowledge to appropriately evaluate earnings management conduct. Hence, the Audit Committee's ability to restrict surplus management is limited.</w:t>
      </w:r>
    </w:p>
    <w:p/>
    <w:p>
      <w:r>
        <w:t>Finally, independent directors play a crucial part in the corporate governance framework of the United Kingdom. According to the standards, independent directors must provide impartial perspectives on company governance and safeguard shareholder interests. But, independent directors confront obstacles when attempting to restrict earnings management. One is that independence may be called into question. In theory, independent directors should maintain their independence, but in practise, they may be swayed by the company's internal and external stakeholders. Second, the professional qualifications of the independent directors may not be adequate. Similar to audit boards, independent directors may lack competence in the financial and accounting disciplines and struggle to detect and prevent earnings management. Hence, the independent directors are likewise constrained in their ability to restrict earnings management.</w:t>
      </w:r>
    </w:p>
    <w:p/>
    <w:p>
      <w:pPr>
        <w:pStyle w:val="2"/>
        <w:bidi w:val="0"/>
      </w:pPr>
      <w:r>
        <w:t>6. Interventions and recommendations</w:t>
      </w:r>
    </w:p>
    <w:p/>
    <w:p>
      <w:r>
        <w:t>In order to enhance the structure of corporate governance in the United Kingdom to prevent the recurrence of similar accounting crises, the following recommendations are worthy of consideration based on an analysis of Datang Telecom Technologies Company's earnings management behaviour:</w:t>
      </w:r>
    </w:p>
    <w:p/>
    <w:p>
      <w:pPr>
        <w:pStyle w:val="3"/>
        <w:bidi w:val="0"/>
      </w:pPr>
      <w:r>
        <w:t>6.1 Enhance accounting rules and system for delisting</w:t>
      </w:r>
    </w:p>
    <w:p/>
    <w:p>
      <w:r>
        <w:t>Accounting standards and the delisting system are a crucial foundation and assurance for firms to standardise their earnings management conduct. Thus, it is vital to continually enhance the accounting standards and delisting system in order to enhance the uniformity and consistency of the preparation and presentation of financial statements by businesses and to increase the cost and risk of earnings management behaviour. Specifically, it may be made better in the following areas:</w:t>
      </w:r>
    </w:p>
    <w:p/>
    <w:p>
      <w:pPr>
        <w:numPr>
          <w:ilvl w:val="0"/>
          <w:numId w:val="3"/>
        </w:numPr>
        <w:ind w:left="420" w:leftChars="0" w:hanging="420" w:firstLineChars="0"/>
      </w:pPr>
      <w:r>
        <w:t>Increase the applicability and operability of accounting standards, reduce their selectability and ambiguity, clarify the definition and interpretation of accounting standards, standardise the implementation and compliance of accounting standards, and prevent businesses from exploiting the loopholes or differences in accounting standards for earnings management.</w:t>
      </w:r>
    </w:p>
    <w:p/>
    <w:p>
      <w:pPr>
        <w:numPr>
          <w:ilvl w:val="0"/>
          <w:numId w:val="3"/>
        </w:numPr>
        <w:ind w:left="420" w:leftChars="0" w:hanging="420" w:firstLineChars="0"/>
      </w:pPr>
      <w:r>
        <w:t>Enhance the rules and processes of the delisting system, enhance its enforceability and efficacy, lower its complexity and expense, enhance its fairness and transparency, and prevent businesses from exploiting the system's flaws or weaknesses for profits management.</w:t>
      </w:r>
    </w:p>
    <w:p/>
    <w:p>
      <w:pPr>
        <w:numPr>
          <w:ilvl w:val="0"/>
          <w:numId w:val="3"/>
        </w:numPr>
        <w:ind w:left="420" w:leftChars="0" w:hanging="420" w:firstLineChars="0"/>
      </w:pPr>
      <w:r>
        <w:t>Enhance the coordination and cooperation between accounting standards and the delisting system, eliminate any conflicts or inconsistencies between the two, create a complementarity or promotion between the two, and prevent businesses from using differences or inconsistencies between accounting standards and the delisting system to engage in earnings management.</w:t>
      </w:r>
    </w:p>
    <w:p/>
    <w:p>
      <w:pPr>
        <w:pStyle w:val="3"/>
        <w:bidi w:val="0"/>
      </w:pPr>
      <w:r>
        <w:t>6.2 Increase external auditing and oversight</w:t>
      </w:r>
    </w:p>
    <w:p/>
    <w:p>
      <w:r>
        <w:t>External oversight and audit are essential tools for standardising the earnings management behaviour of businesses. Thus, it is vital to boost external supervision and audit to enhance the veracity and dependability of businesses when creating and presenting financial accounts, and to increase the difficulty and pressure on businesses. Specifically, it can be improved in the following ways:</w:t>
      </w:r>
    </w:p>
    <w:p/>
    <w:p>
      <w:pPr>
        <w:pStyle w:val="4"/>
        <w:bidi w:val="0"/>
      </w:pPr>
      <w:r>
        <w:t>6.2.1 Enhance oversight of listed firms</w:t>
      </w:r>
    </w:p>
    <w:p/>
    <w:p>
      <w:r>
        <w:t>The oversight and management of relevant departments on the capital market is a crucial line of defence for ensuring the authenticity and precision of the financial information quality of listed firms. The delisting system offers a foundation for the implementation of earnings management in loss-making listed companies, while the insufficient implementation of regulatory obligations and the low severity of punishments further promote the application of earnings management in businesses. Inevitably, both western and Chinese businesses will utilise earnings management to adjust corporate profits to some degree. Thus, earnings management cannot be totally avoided and forbidden. For regulators, specification loss of listed companies that use surplus management should be a greater responsibility, along with a reasonable guide to the implementation of earnings management. Since excessive use of surplus management can even result in financial fraud enterprises, relevant regulators should resolutely improve enforcement and penalties, serving as a deterrent to other businesses. Simultaneously, we should strengthen the law's publicity and education, increase the businesses' and investors' legal acuity, and advise listed companies to handle and utilise the surplus management with care.</w:t>
      </w:r>
    </w:p>
    <w:p/>
    <w:p>
      <w:pPr>
        <w:pStyle w:val="4"/>
        <w:bidi w:val="0"/>
      </w:pPr>
      <w:r>
        <w:t>6.2.2 Strengthen the independence of the third-party auditing organisations</w:t>
      </w:r>
    </w:p>
    <w:p/>
    <w:p>
      <w:r>
        <w:t>In order to ensure the independence and objectivity of audit findings, third-party audit regulatory bodies, such as accounting firms, must also maintain an objective, unbiased, and honest audit attitude. Currently, the business income of third-party auditors is closely tied to the enterprise being audited. As a result, third-party auditors will act in their own self-interest and issue false audit reports. To solve the problem that the third-party audit is not independent and objective, the following aspects can be considered as the breakthrough point: one is to increase the third-party audit institutions' illegal cost and legal responsibility, and to conceal the excessive use of listed companies. Similarly, accounting firms that are able to maintain objectivity and neutrality can be moderately praised to encourage them to continue to play by the rules. Second, it is required to improve the professional ethics of employees, develop high-standard industry norms, establish a sound professional ethics training system, increase the quality level of audit practitioners, and boost the moral quality level of the audit supervision industry.</w:t>
      </w:r>
    </w:p>
    <w:p/>
    <w:p>
      <w:pPr>
        <w:pStyle w:val="3"/>
        <w:bidi w:val="0"/>
      </w:pPr>
      <w:r>
        <w:t>6.3 Enhance the capacity for corporate internal governance</w:t>
      </w:r>
    </w:p>
    <w:p/>
    <w:p>
      <w:pPr>
        <w:pStyle w:val="4"/>
        <w:bidi w:val="0"/>
      </w:pPr>
      <w:r>
        <w:t>6.3.1 Enhance the organization's internal governance structure</w:t>
      </w:r>
    </w:p>
    <w:p/>
    <w:p>
      <w:r>
        <w:t>A flawless and effective internal governance framework is the key to improving corporate governance, which can assure the healthy and steady growth of businesses. The reason why Datang Telecom does not focus on enhancing its operating ability, but rather employs earnings management to conceal financial data, is because the company's internal governance structure is imperfect and there are still numerous issues. In compliance with the laws and regulations governing listed businesses, Datang Telecom will enhance and polish its internal governance system.</w:t>
      </w:r>
    </w:p>
    <w:p/>
    <w:p>
      <w:r>
        <w:t>To play the role of the board of directors to its fullest extent, it is vital to develop an effective balance mechanism with the board of directors. In the majority of publicly traded corporations, the board of directors cannot fulfil its duties. At a state-owned firm like Datang Telecom, where the equity is concentrated in the hands of the government, the supervisory board cannot fully exercise its oversight responsibilities. To improve the current situation, the enterprise must guarantee the board of directors' authority, permit its independent participation in company decision-making, review company business activities and major issues, reduce the internal friction of state-owned holding companies, and transform passive participants in the corporate governance process into active executors. At the same time, also related to the members of the board of supervisors regulation and checks and balances, supervision and checks and balances, only in this way can the negative effects caused by the abuse of the board of supervisors be minimised, so as to truly improve the effectiveness of the board of supervisors, ultimately achieve the interests of shareholders and the purpose of protecting the legitimate rights and interests of small and medium-sized investors, and make the board of supervisors more effective.</w:t>
      </w:r>
    </w:p>
    <w:p/>
    <w:p>
      <w:r>
        <w:t>Improving the internal audit system is a necessary condition for enhancing the internal governance mechanism of state-owned publicly traded firms. On the one hand, internal audit, as an internal monitoring and restriction tool, can assist businesses in identifying internal flaws, closing gaps, and minimising operational risks. Internal audit, on the other hand, can give organisations with full risk management information and assist them in avoiding financial risks and preventing fraud. By enhancing the internal audit system, not only can the independence of the board of directors be bolstered, but the business risk can be reduced, the enterprise's value can be increased, and more profit space can be created.</w:t>
      </w:r>
    </w:p>
    <w:p/>
    <w:p>
      <w:r>
        <w:t>Concurrently, it is vital to alter the enterprise's current internal climate, forsake cronyism and seniority, construct a fair and transparent personnel orientation and assessment system, and develop a positive corporate culture. In order to remain unbeatable in a market climate where competition is intensifying, businesses must increase their management and management level. An effective manager must first possess strategic foresight and an inventive mindset, and then possess exceptional technical skills. Only in this manner will we be able to sustain the enterprise's energy, innovation, and progress. In order to promote the stable, quick, and healthy development of businesses, it is essential to introduce and cultivate high-quality talents with genuine talent and practical experience.</w:t>
      </w:r>
    </w:p>
    <w:p/>
    <w:p/>
    <w:p/>
    <w:p>
      <w:pPr>
        <w:pStyle w:val="4"/>
        <w:bidi w:val="0"/>
      </w:pPr>
      <w:r>
        <w:t>6.3.2 Improve the firm's ability to continue operations</w:t>
      </w:r>
    </w:p>
    <w:p/>
    <w:p>
      <w:r>
        <w:t>Datang Telecom's ability to maintain its status as a publicly traded business is contingent on its profit level, which is also tied to the performance evaluation and compensation of the company's management. Nonetheless, the company's management should not place an undue emphasis on net profit at the expense of operational efficiency. According to Datang Telecom's income statement for the past few years, its primary source of revenue has been shrinking. Even while there are irresistible external forces such as COVID-19 and trade friction, the most important factor is that firms do not focus on the growth of their core business. Using earnings management to assist the company produce a profit in 2018 has resulted in short-term economic gains. Yet, from the perspective of the company's future development, following the success of shell protection, the company does not focus on enhancing its capacity for sustainable development, nor does it address the company's long-term and stable development. Datang Telecom must focus on enhancing its production capacity and degree of scientific research and technology in order to increase its management and sustainable development capabilities. Loss of listed companies should use earnings management to maintain their listed status, strengthen their financial capacity, seize opportunities, seek breakthroughs, fundamentally increase their revenue level, reduce business risk, and protect minority shareholders' interests.</w:t>
      </w:r>
    </w:p>
    <w:p>
      <w:pPr>
        <w:pStyle w:val="4"/>
        <w:bidi w:val="0"/>
      </w:pPr>
    </w:p>
    <w:p>
      <w:pPr>
        <w:pStyle w:val="4"/>
        <w:bidi w:val="0"/>
      </w:pPr>
      <w:r>
        <w:t>6.3.3 Enhance the evaluation indicators of administration</w:t>
      </w:r>
    </w:p>
    <w:p/>
    <w:p>
      <w:r>
        <w:t>The ownership, operation, and management rights of firms are distinct from one another, necessitating that the owner perform regular evaluations of the operators to monitor their company activity. This plays a significant role in motivating operators and enhancing the economic benefits of businesses. As a state-owned organisation, Datang Telecom is controlled by the government; therefore, the company's management must interact with the government department's assessment employees. This increases the evaluation needs for the management people. The state has created and disseminated performance requirements and evaluation criteria for managers of state-owned publicly traded firms. As a state-owned technology company, Datang Telecom's managers are evaluated primarily based on their annual R&amp;D expenditures and the output of scientific research. In addition, the cost of the company's scientific research process is included in the calculation of the company's economic benefits, which provides a crucial method for companies to implement earnings management. In addition to the scientific research indicators, the appraisal requirements will also include evaluating the current and future enterprise management ability, enterprise internal governance construction situation, etc., and through the use of more objective and real indicators, management will be prompted to focus more on the enterprise management ability, improve the efficiency of corporate governance, and thereby improve real business performance.</w:t>
      </w:r>
    </w:p>
    <w:p/>
    <w:p>
      <w:pPr>
        <w:pStyle w:val="3"/>
        <w:bidi w:val="0"/>
      </w:pPr>
      <w:r>
        <w:t>6.4 Improve investors' risk consciousness and risk identification skills</w:t>
      </w:r>
    </w:p>
    <w:p/>
    <w:p>
      <w:pPr>
        <w:pStyle w:val="4"/>
        <w:bidi w:val="0"/>
      </w:pPr>
      <w:r>
        <w:t>6.4.1 To fully comprehend investment risk</w:t>
      </w:r>
    </w:p>
    <w:p/>
    <w:p>
      <w:r>
        <w:t>The enterprise financial report provided by a publicly traded company is a crucial factor for minority shareholders' investment decisions. The veracity and correctness of the enterprise's financial report are tied to the minority shareholders' investment returns. Yet, the frequent use of earnings management to whitewash the financial data of publicly traded companies has led to a certain degree of accounting information distortion, to the detriment of creditors' and investors' interests. In order for the majority of investors to make informed investment decisions, it is vital that they are able to accurately determine if the financial data disclosed by loss-making publicly traded corporations has been manipulated excessively. Investors should maintain an objective and prudent investment stance, pay special attention to the loss of abnormal financial data in the financial reports of listed companies, and focus on the analysis of the surplus management areas, such as accounting policy, accounting estimates, non-recurring profit and loss, and related party transactions to determine if they are risky and abnormal. At the same time, investors should use their own dialectical reasoning, clearly recognise the risk of investment, thoroughly evaluate the risk factors prior to making decisions, and avoid being naively hopeful and pursuing short-term gains. In addition, investors should pay attention to the corporate governance structure of listed businesses, comprehend their operating rules and internal control system, be prepared to cope with potential risks and problems, and monitor their investment status. Pay close attention to the situation of the enterprise's industry and the relevant government policies, continually learn and expand your financial knowledge in the relevant fields, fully identify the profit manipulation means that exist in the financial statements, and ensure the investment decisions are correct and effective.</w:t>
      </w:r>
    </w:p>
    <w:p/>
    <w:p>
      <w:pPr>
        <w:pStyle w:val="4"/>
        <w:bidi w:val="0"/>
      </w:pPr>
      <w:r>
        <w:t>6.4.2 Adhere to the development status of the enterprise's principal business.</w:t>
      </w:r>
    </w:p>
    <w:p/>
    <w:p>
      <w:r>
        <w:t>In recent years, the emergence of 5G technology has ushered in new growth for technology companies, and Datang Telecom seized the chance to begin research and development of 5G technology. As an emerging business, 5G technology has attracted a significant number of capital market investors. Several investors saw the halo of Datang Telecom's "state-owned enterprise + 5G" and wanted to invest, but they neglected the company's current operational position. According to the analysis of Datang Telecom's financial situation, its primary business income status is very poor, its income cannot be costed, the positive growth of net profit is not dependent on the improvement of income capacity, and the company relies heavily on non-recurring profits and losses to increase profits. Observing the growth of Datang Telecom's core business, we can see that the traditional communication industry, upon which it had relied for a long time, fell into a development decline. The company then shifted its focus to the field of integrated circuits and 5G technology, but this did not play a significant role in enhancing business performance. The operating situation of Datang Telecom continues to deteriorate, and the company even faced delisting twice in three years, which is without a doubt a heavy blow to the investors who invested in Datang Telecom, severely damaging their investment interests and investment confidence, and destroying the normal development of the capital market. Consequently, investors should not blindly follow the trend and choose investment businesses when investing, but rather make decisions based on the current operating status and future development trend of listed companies to ensure that they may achieve higher returns and prevent danger.</w:t>
      </w:r>
    </w:p>
    <w:p/>
    <w:p>
      <w:pPr>
        <w:pStyle w:val="4"/>
        <w:bidi w:val="0"/>
      </w:pPr>
      <w:r>
        <w:t>6.4.3 Consider the financial accounts of publicly traded enterprises</w:t>
      </w:r>
    </w:p>
    <w:p/>
    <w:p>
      <w:r>
        <w:t>The majority of small and medium-sized investors can immediately contact an enterprise's financial report, which also serves as the primary basis for investors to undertake investment analysis. The crucial data and indicators included in the financial statements not only have a significant effect on the financial status of businesses, but also have a significant effect on the investment decisions of investors. Hence, if investors wish to avoid being mislead by the financial statements of businesses, it is vital to improve their capacity to recognise financial statements. The enterprise's net profit is a crucial indicator that not only represents the company's operating outcomes and financial success in a given period, but also its solvency and profitability. Yet, firms can alter this information through earnings management. If investors want to determine whether the enterprise's net profit is accurate and trustworthy, they can examine the net profit's contents. Initially, the company can evaluate its operational income. If the percentage of operating income to enterprise profit is appropriate, the company's operating ability is deemed to be strong, and operating income can drive the growth of enterprise profit. In contrast, we should focus on the expansion of enterprise interests other than operating income and examine whether manipulation of profits is occurring. There are numerous ways for businesses to manipulate profit, with nonrecurring profit and loss items being the most important. In general, when the amount of nonrecurring profit and loss grows, the enterprise's non-net profit deduction will decrease proportionally. When the enterprise's net profit is positive and the deduction of non-net profit is negative, it is vital to determine whether non-recurring profit and loss are concealing the enterprise's genuine level of net profit. In addition, pay special attention to enterprise related party transactions, as related party transactions, which are interested transactions between companies, are often difficult to identify, necessitating an analysis of the enterprise financial report's data on related party transactions to determine if there is an atypically large number of related party transactions. In addition to focusing on their government subsidy projects, state-owned firms should also pay attention to their government subsidy initiatives. State-owned firms acquire government subsidies more easily than private enterprises. Hence, it is simple for listed businesses to become the primary means by which state-owned industries influence profits.</w:t>
      </w:r>
    </w:p>
    <w:p/>
    <w:p>
      <w:r>
        <w:t>When investors can precisely determine whether a company manipulates its financial statement items for profit, they can mitigate some of their own investing risks. When a company understands that investors have seen through its manipulation of financial statement data, it will lessen its earnings management practises and place a greater emphasis on enhancing its production and operational capability.</w:t>
      </w:r>
    </w:p>
    <w:p/>
    <w:p>
      <w:r>
        <w:t>Using these measures, the corporate governance system in the United Kingdom can play a larger role in preventing earnings management and accounting problems. It should be highlighted, however, that the reform of the corporate governance structure is not a process that can be completed overnight and requires long-term commitment and work. We can only enhance corporate governance and defend the rights and interests of investors and other stakeholders through the combined efforts of all parties.</w:t>
      </w:r>
    </w:p>
    <w:p/>
    <w:p>
      <w:pPr>
        <w:pStyle w:val="2"/>
        <w:bidi w:val="0"/>
      </w:pPr>
      <w:r>
        <w:t>7 Research Conclusion</w:t>
      </w:r>
    </w:p>
    <w:p/>
    <w:p>
      <w:r>
        <w:t>The installation of a delisting mechanism can eliminate organisations that do not fulfil development requirements and that pose hazards and hidden threats, thereby optimising resource allocation and enhancing the quality of listed companies. However, China's relatively lax delisting system allows loss-making listed companies to maintain their listing status with relative ease. Each year, a large number of ST companies adopt earnings management techniques to enhance profits and successfully "guard the shell." This essay uses Datang Telecom as a case study. It then clarifies the definition of "earnings management" after introducing the company's situation from the perspectives of industry characteristics, basic situation, the "hat-wearing" procedure, and its primary business status. Afterwards, from the perspective of earnings management's motivation. Coupled with the corporate governance system of the United Kingdom for reference.</w:t>
      </w:r>
    </w:p>
    <w:p/>
    <w:p>
      <w:r>
        <w:t>The subsequent findings are reached:</w:t>
      </w:r>
    </w:p>
    <w:p/>
    <w:p>
      <w:pPr>
        <w:numPr>
          <w:ilvl w:val="0"/>
          <w:numId w:val="3"/>
        </w:numPr>
        <w:ind w:left="420" w:leftChars="0" w:hanging="420" w:firstLineChars="0"/>
      </w:pPr>
      <w:r>
        <w:rPr>
          <w:rFonts w:hint="eastAsia"/>
          <w:lang w:val="en-US" w:eastAsia="zh-CN"/>
        </w:rPr>
        <w:t>First，</w:t>
      </w:r>
      <w:r>
        <w:t>Datang Telecom's first behaviour is surplus management adjustment.</w:t>
      </w:r>
    </w:p>
    <w:p/>
    <w:p>
      <w:pPr>
        <w:numPr>
          <w:ilvl w:val="0"/>
          <w:numId w:val="3"/>
        </w:numPr>
        <w:ind w:left="420" w:leftChars="0" w:hanging="420" w:firstLineChars="0"/>
      </w:pPr>
      <w:r>
        <w:t>Second, Datang Telecom is highly motivated to implement earnings management and has employed a number of strategies to achieve so. Keep listed qualification, financing motivation, and executive compensation are the primary motivations for datang telecom earnings management. It adopted a variety of earnings management means, such as related party transactions, in the year prior to the turnaround for large asset impairment losses, disposal of noncurrent assets, and use of government subsidies, etc., changed the financial statements data, and achieved a successful turnaround.</w:t>
      </w:r>
    </w:p>
    <w:p/>
    <w:p>
      <w:pPr>
        <w:numPr>
          <w:ilvl w:val="0"/>
          <w:numId w:val="3"/>
        </w:numPr>
        <w:ind w:left="420" w:leftChars="0" w:hanging="420" w:firstLineChars="0"/>
      </w:pPr>
      <w:r>
        <w:t xml:space="preserve">Finally, </w:t>
      </w:r>
      <w:r>
        <w:rPr>
          <w:rFonts w:hint="eastAsia"/>
          <w:lang w:val="en-US" w:eastAsia="zh-CN"/>
        </w:rPr>
        <w:t>D</w:t>
      </w:r>
      <w:r>
        <w:t>atang Telecom is unable to significantly enhance its actual operating conditions through earnings management. The analysis of the subsequent impact of earnings management reveals that the company's solvency, profitability, and operating capacity have not been significantly improved, its stock price has not been favoured by investors after a brief recovery, and its earnings management behaviour has even to some extent harmed the interests of stakeholders. If the organisation is serious about overcoming its financial issues, it should focus on enhancing its operating capability, growing its operating income, and achieving sustainable long-term growth.</w:t>
      </w:r>
    </w:p>
    <w:p/>
    <w:p>
      <w:r>
        <w:t>Fourth, the internal issues, lack of external oversight, and defective rules and regulations are the primary causes for datang Telecom's earnings management. The firm was able to maintain its listing status through excessive earnings management, mostly as a result of faulty internal governance, inadequate external supervision, and flawed rules and regulations. To standardise the earnings management behaviour of loss-making listed companies, it is necessary to focus on long-term development and improve the level of operation and management; accounting standards and pertinent policies must also be continuously improved and refined; and external supervision must strengthen its regulatory function and play its proper role.</w:t>
      </w:r>
    </w:p>
    <w:p/>
    <w:p>
      <w:pPr>
        <w:pStyle w:val="2"/>
        <w:bidi w:val="0"/>
      </w:pPr>
      <w:bookmarkStart w:id="16" w:name="_Toc9662"/>
      <w:r>
        <w:t>Reference</w:t>
      </w:r>
      <w:r>
        <w:rPr>
          <w:rFonts w:hint="eastAsia"/>
          <w:lang w:val="en-US"/>
        </w:rPr>
        <w:t>s</w:t>
      </w:r>
      <w:bookmarkEnd w:id="16"/>
    </w:p>
    <w:p>
      <w:pPr>
        <w:pStyle w:val="10"/>
        <w:keepNext w:val="0"/>
        <w:keepLines w:val="0"/>
        <w:widowControl/>
        <w:numPr>
          <w:ilvl w:val="0"/>
          <w:numId w:val="4"/>
        </w:numPr>
        <w:suppressLineNumbers w:val="0"/>
        <w:ind w:left="425" w:leftChars="0" w:hanging="425" w:firstLineChars="0"/>
      </w:pPr>
      <w:r>
        <w:t xml:space="preserve">Abarbanell, J.S. and Lehavy, R. (2003) “Biased forecasts or biased earnings? the role of reported earnings in explaining apparent bias and over/underreaction in analysts' earnings forecasts,” </w:t>
      </w:r>
      <w:r>
        <w:rPr>
          <w:i/>
          <w:iCs/>
        </w:rPr>
        <w:t>SSRN Electronic Journal</w:t>
      </w:r>
      <w:r>
        <w:t xml:space="preserve"> [Preprint]. Available at: https://doi.org/10.2139/ssrn.232453. </w:t>
      </w:r>
    </w:p>
    <w:p>
      <w:pPr>
        <w:pStyle w:val="10"/>
        <w:keepNext w:val="0"/>
        <w:keepLines w:val="0"/>
        <w:widowControl/>
        <w:numPr>
          <w:ilvl w:val="0"/>
          <w:numId w:val="4"/>
        </w:numPr>
        <w:suppressLineNumbers w:val="0"/>
        <w:ind w:left="425" w:leftChars="0" w:hanging="425" w:firstLineChars="0"/>
      </w:pPr>
      <w:r>
        <w:t xml:space="preserve">Badertscher, B.A. (2011) “Overvaluation and the choice of Alternative Earnings Management Mechanisms,” </w:t>
      </w:r>
      <w:r>
        <w:rPr>
          <w:i/>
          <w:iCs/>
        </w:rPr>
        <w:t>The Accounting Review</w:t>
      </w:r>
      <w:r>
        <w:t xml:space="preserve">, 86(5), pp. 1491–1518. Available at: https://doi.org/10.2308/accr-10092. </w:t>
      </w:r>
    </w:p>
    <w:p>
      <w:pPr>
        <w:pStyle w:val="10"/>
        <w:keepNext w:val="0"/>
        <w:keepLines w:val="0"/>
        <w:widowControl/>
        <w:numPr>
          <w:ilvl w:val="0"/>
          <w:numId w:val="4"/>
        </w:numPr>
        <w:suppressLineNumbers w:val="0"/>
        <w:ind w:left="425" w:leftChars="0" w:hanging="425" w:firstLineChars="0"/>
      </w:pPr>
      <w:r>
        <w:t xml:space="preserve">Bartov, E., Givoly, D. and Hayn, C. (2000) “The rewards to meeting or beating earnings expectations,” </w:t>
      </w:r>
      <w:r>
        <w:rPr>
          <w:i/>
          <w:iCs/>
        </w:rPr>
        <w:t>SSRN Electronic Journal</w:t>
      </w:r>
      <w:r>
        <w:t xml:space="preserve"> [Preprint]. Available at: https://doi.org/10.2139/ssrn.247435. </w:t>
      </w:r>
    </w:p>
    <w:p>
      <w:pPr>
        <w:pStyle w:val="10"/>
        <w:keepNext w:val="0"/>
        <w:keepLines w:val="0"/>
        <w:widowControl/>
        <w:numPr>
          <w:ilvl w:val="0"/>
          <w:numId w:val="4"/>
        </w:numPr>
        <w:suppressLineNumbers w:val="0"/>
        <w:ind w:left="425" w:leftChars="0" w:hanging="425" w:firstLineChars="0"/>
      </w:pPr>
      <w:r>
        <w:t xml:space="preserve">Bekiris, F.V. and Doukakis, L.C. (2011) “Corporate governance and accruals earnings management,” </w:t>
      </w:r>
      <w:r>
        <w:rPr>
          <w:i/>
          <w:iCs/>
        </w:rPr>
        <w:t>Managerial and Decision Economics</w:t>
      </w:r>
      <w:r>
        <w:t xml:space="preserve">, 32(7), pp. 439–456. Available at: https://doi.org/10.1002/mde.1541. </w:t>
      </w:r>
    </w:p>
    <w:p>
      <w:pPr>
        <w:pStyle w:val="10"/>
        <w:keepNext w:val="0"/>
        <w:keepLines w:val="0"/>
        <w:widowControl/>
        <w:numPr>
          <w:ilvl w:val="0"/>
          <w:numId w:val="4"/>
        </w:numPr>
        <w:suppressLineNumbers w:val="0"/>
        <w:ind w:left="425" w:leftChars="0" w:hanging="425" w:firstLineChars="0"/>
      </w:pPr>
      <w:r>
        <w:t xml:space="preserve">Cupertino, C.M., Martinez, A.L. and da Costa, N.C.A. (2017) “Earnings management strategies in Brazil: Determinant costs and temporal sequence,” </w:t>
      </w:r>
      <w:r>
        <w:rPr>
          <w:i/>
          <w:iCs/>
        </w:rPr>
        <w:t>Contaduría y Administración</w:t>
      </w:r>
      <w:r>
        <w:t xml:space="preserve">, 62(5), pp. 1460–1478. Available at: https://doi.org/10.1016/j.cya.2016.11.002. </w:t>
      </w:r>
    </w:p>
    <w:p>
      <w:pPr>
        <w:pStyle w:val="10"/>
        <w:keepNext w:val="0"/>
        <w:keepLines w:val="0"/>
        <w:widowControl/>
        <w:numPr>
          <w:ilvl w:val="0"/>
          <w:numId w:val="4"/>
        </w:numPr>
        <w:suppressLineNumbers w:val="0"/>
        <w:ind w:left="425" w:leftChars="0" w:hanging="425" w:firstLineChars="0"/>
      </w:pPr>
      <w:r>
        <w:t xml:space="preserve">Cohen, D.A. and Lys, T.Z. (2022) “Substitution between accrual- based earnings management and real activities manipulation – a commentary and guidance for future research,” </w:t>
      </w:r>
      <w:r>
        <w:rPr>
          <w:i/>
          <w:iCs/>
        </w:rPr>
        <w:t>SSRN Electronic Journal</w:t>
      </w:r>
      <w:r>
        <w:t xml:space="preserve"> [Preprint]. Available at: https://doi.org/10.2139/ssrn.4042253. </w:t>
      </w:r>
    </w:p>
    <w:p>
      <w:pPr>
        <w:pStyle w:val="10"/>
        <w:keepNext w:val="0"/>
        <w:keepLines w:val="0"/>
        <w:widowControl/>
        <w:numPr>
          <w:ilvl w:val="0"/>
          <w:numId w:val="4"/>
        </w:numPr>
        <w:suppressLineNumbers w:val="0"/>
        <w:ind w:left="425" w:leftChars="0" w:hanging="425" w:firstLineChars="0"/>
      </w:pPr>
      <w:r>
        <w:t xml:space="preserve">曹 静 and 窦 论文 (2020) “融资融券对真实盈余管理的影响研究,” </w:t>
      </w:r>
      <w:r>
        <w:rPr>
          <w:i/>
          <w:iCs/>
        </w:rPr>
        <w:t>财经与管理</w:t>
      </w:r>
      <w:r>
        <w:t xml:space="preserve">, 4(10), p. 28. Available at: https://doi.org/10.26549/cjygl.v4i10.5120. </w:t>
      </w:r>
    </w:p>
    <w:p>
      <w:pPr>
        <w:pStyle w:val="10"/>
        <w:keepNext w:val="0"/>
        <w:keepLines w:val="0"/>
        <w:widowControl/>
        <w:numPr>
          <w:ilvl w:val="0"/>
          <w:numId w:val="4"/>
        </w:numPr>
        <w:suppressLineNumbers w:val="0"/>
        <w:ind w:left="425" w:leftChars="0" w:hanging="425" w:firstLineChars="0"/>
      </w:pPr>
      <w:r>
        <w:t xml:space="preserve">DeAngelo, H., DeAngelo, L. and Skinner, D.J. (1994) “Accounting choice in troubled companies,” </w:t>
      </w:r>
      <w:r>
        <w:rPr>
          <w:i/>
          <w:iCs/>
        </w:rPr>
        <w:t>Journal of Accounting and Economics</w:t>
      </w:r>
      <w:r>
        <w:t xml:space="preserve">, 17(1-2), pp. 113–143. Available at: https://doi.org/10.1016/0165-4101(94)90007-8. </w:t>
      </w:r>
    </w:p>
    <w:p>
      <w:pPr>
        <w:pStyle w:val="10"/>
        <w:keepNext w:val="0"/>
        <w:keepLines w:val="0"/>
        <w:widowControl/>
        <w:numPr>
          <w:ilvl w:val="0"/>
          <w:numId w:val="4"/>
        </w:numPr>
        <w:suppressLineNumbers w:val="0"/>
        <w:ind w:left="425" w:leftChars="0" w:hanging="425" w:firstLineChars="0"/>
      </w:pPr>
      <w:r>
        <w:t xml:space="preserve">Dechow, P.M., Hutton, A.P. and Sloan, R.G. (1999) “The relation between analysts' forecasts of long-term earnings growth and stock price performance following equity offerings,” </w:t>
      </w:r>
      <w:r>
        <w:rPr>
          <w:i/>
          <w:iCs/>
        </w:rPr>
        <w:t>SSRN Electronic Journal</w:t>
      </w:r>
      <w:r>
        <w:t xml:space="preserve"> [Preprint]. Available at: https://doi.org/10.2139/ssrn.168488. </w:t>
      </w:r>
    </w:p>
    <w:p>
      <w:pPr>
        <w:pStyle w:val="10"/>
        <w:keepNext w:val="0"/>
        <w:keepLines w:val="0"/>
        <w:widowControl/>
        <w:numPr>
          <w:ilvl w:val="0"/>
          <w:numId w:val="4"/>
        </w:numPr>
        <w:suppressLineNumbers w:val="0"/>
        <w:ind w:left="425" w:leftChars="0" w:hanging="425" w:firstLineChars="0"/>
      </w:pPr>
      <w:r>
        <w:t xml:space="preserve">Dechow, P.M. and Skinner, D. (2000) “Earnings management: Reconciling the views of accounting academics, practitioners, and regulators,” </w:t>
      </w:r>
      <w:r>
        <w:rPr>
          <w:i/>
          <w:iCs/>
        </w:rPr>
        <w:t>SSRN Electronic Journal</w:t>
      </w:r>
      <w:r>
        <w:t xml:space="preserve"> [Preprint]. Available at: https://doi.org/10.2139/ssrn.218959. </w:t>
      </w:r>
    </w:p>
    <w:p>
      <w:pPr>
        <w:pStyle w:val="10"/>
        <w:keepNext w:val="0"/>
        <w:keepLines w:val="0"/>
        <w:widowControl/>
        <w:numPr>
          <w:ilvl w:val="0"/>
          <w:numId w:val="4"/>
        </w:numPr>
        <w:suppressLineNumbers w:val="0"/>
        <w:ind w:left="425" w:leftChars="0" w:hanging="425" w:firstLineChars="0"/>
      </w:pPr>
      <w:r>
        <w:t xml:space="preserve">Duh, R.-R., Lee, W.-C. and Lin, C.-C. (2009) “Reversing an impairment loss and earnings management: The Role of Corporate Governance,” </w:t>
      </w:r>
      <w:r>
        <w:rPr>
          <w:i/>
          <w:iCs/>
        </w:rPr>
        <w:t>The International Journal of Accounting</w:t>
      </w:r>
      <w:r>
        <w:t xml:space="preserve">, 44(2), pp. 113–137. Available at: https://doi.org/10.1016/j.intacc.2009.03.001. </w:t>
      </w:r>
    </w:p>
    <w:p>
      <w:pPr>
        <w:pStyle w:val="10"/>
        <w:keepNext w:val="0"/>
        <w:keepLines w:val="0"/>
        <w:widowControl/>
        <w:numPr>
          <w:ilvl w:val="0"/>
          <w:numId w:val="4"/>
        </w:numPr>
        <w:suppressLineNumbers w:val="0"/>
        <w:ind w:left="425" w:leftChars="0" w:hanging="425" w:firstLineChars="0"/>
      </w:pPr>
      <w:r>
        <w:t xml:space="preserve">El Diri, M. (2017) “Motives of earnings management,” </w:t>
      </w:r>
      <w:r>
        <w:rPr>
          <w:i/>
          <w:iCs/>
        </w:rPr>
        <w:t>Introduction to Earnings Management</w:t>
      </w:r>
      <w:r>
        <w:t xml:space="preserve">, pp. 63–108. Available at: https://doi.org/10.1007/978-3-319-62686-4_4. </w:t>
      </w:r>
    </w:p>
    <w:p>
      <w:pPr>
        <w:pStyle w:val="10"/>
        <w:keepNext w:val="0"/>
        <w:keepLines w:val="0"/>
        <w:widowControl/>
        <w:numPr>
          <w:ilvl w:val="0"/>
          <w:numId w:val="4"/>
        </w:numPr>
        <w:suppressLineNumbers w:val="0"/>
        <w:ind w:left="425" w:leftChars="0" w:hanging="425" w:firstLineChars="0"/>
      </w:pPr>
      <w:r>
        <w:t xml:space="preserve">Healy, P.M. and Wahlen, J. (1999) “A review of the Earnings Management Literature and its implications for standard setting,” </w:t>
      </w:r>
      <w:r>
        <w:rPr>
          <w:i/>
          <w:iCs/>
        </w:rPr>
        <w:t>SSRN Electronic Journal</w:t>
      </w:r>
      <w:r>
        <w:t xml:space="preserve"> [Preprint]. Available at: https://doi.org/10.2139/ssrn.156445. </w:t>
      </w:r>
    </w:p>
    <w:p>
      <w:pPr>
        <w:pStyle w:val="10"/>
        <w:keepNext w:val="0"/>
        <w:keepLines w:val="0"/>
        <w:widowControl/>
        <w:numPr>
          <w:ilvl w:val="0"/>
          <w:numId w:val="4"/>
        </w:numPr>
        <w:suppressLineNumbers w:val="0"/>
        <w:ind w:left="425" w:leftChars="0" w:hanging="425" w:firstLineChars="0"/>
      </w:pPr>
      <w:r>
        <w:t xml:space="preserve">Huang, S. (2012) “Executive compensation and horizon incentives: An empirical investigation of corporate cash payout,” </w:t>
      </w:r>
      <w:r>
        <w:rPr>
          <w:i/>
          <w:iCs/>
        </w:rPr>
        <w:t>SSRN Electronic Journal</w:t>
      </w:r>
      <w:r>
        <w:t xml:space="preserve"> [Preprint]. Available at: https://doi.org/10.2139/ssrn.2020043. </w:t>
      </w:r>
    </w:p>
    <w:p>
      <w:pPr>
        <w:pStyle w:val="10"/>
        <w:keepNext w:val="0"/>
        <w:keepLines w:val="0"/>
        <w:widowControl/>
        <w:numPr>
          <w:ilvl w:val="0"/>
          <w:numId w:val="4"/>
        </w:numPr>
        <w:suppressLineNumbers w:val="0"/>
        <w:ind w:left="425" w:leftChars="0" w:hanging="425" w:firstLineChars="0"/>
      </w:pPr>
      <w:r>
        <w:t xml:space="preserve">Jones, J.J. (1991) “Earnings management during import relief investigations,” </w:t>
      </w:r>
      <w:r>
        <w:rPr>
          <w:i/>
          <w:iCs/>
        </w:rPr>
        <w:t>Journal of Accounting Research</w:t>
      </w:r>
      <w:r>
        <w:t xml:space="preserve">, 29(2), p. 193. Available at: https://doi.org/10.2307/2491047. </w:t>
      </w:r>
    </w:p>
    <w:p>
      <w:pPr>
        <w:pStyle w:val="10"/>
        <w:keepNext w:val="0"/>
        <w:keepLines w:val="0"/>
        <w:widowControl/>
        <w:numPr>
          <w:ilvl w:val="0"/>
          <w:numId w:val="4"/>
        </w:numPr>
        <w:suppressLineNumbers w:val="0"/>
        <w:ind w:left="425" w:leftChars="0" w:hanging="425" w:firstLineChars="0"/>
      </w:pPr>
      <w:r>
        <w:t xml:space="preserve">金蘭 </w:t>
      </w:r>
      <w:r>
        <w:rPr>
          <w:i/>
          <w:iCs/>
        </w:rPr>
        <w:t>et al.</w:t>
      </w:r>
      <w:r>
        <w:t xml:space="preserve"> (2019) “上市公司盈余管理对非效率投资的影响研究 : 股权结构的调节作用分类检验,” </w:t>
      </w:r>
      <w:r>
        <w:rPr>
          <w:i/>
          <w:iCs/>
        </w:rPr>
        <w:t>Korea International Accounting Review</w:t>
      </w:r>
      <w:r>
        <w:t xml:space="preserve">, null(87), pp. 99–119. Available at: https://doi.org/10.21073/kiar.2019..87.005. </w:t>
      </w:r>
    </w:p>
    <w:p>
      <w:pPr>
        <w:pStyle w:val="10"/>
        <w:keepNext w:val="0"/>
        <w:keepLines w:val="0"/>
        <w:widowControl/>
        <w:numPr>
          <w:ilvl w:val="0"/>
          <w:numId w:val="4"/>
        </w:numPr>
        <w:suppressLineNumbers w:val="0"/>
        <w:ind w:left="425" w:leftChars="0" w:hanging="425" w:firstLineChars="0"/>
      </w:pPr>
      <w:r>
        <w:t xml:space="preserve">Kałdoński, M. and Jewartowski, T. (2020) “DO firms using real earnings management care about taxes? evidence from a high book-tax conformity country,” </w:t>
      </w:r>
      <w:r>
        <w:rPr>
          <w:i/>
          <w:iCs/>
        </w:rPr>
        <w:t>Finance Research Letters</w:t>
      </w:r>
      <w:r>
        <w:t xml:space="preserve">, 35, p. 101351. Available at: https://doi.org/10.1016/j.frl.2019.101351. </w:t>
      </w:r>
    </w:p>
    <w:p>
      <w:pPr>
        <w:pStyle w:val="10"/>
        <w:keepNext w:val="0"/>
        <w:keepLines w:val="0"/>
        <w:widowControl/>
        <w:numPr>
          <w:ilvl w:val="0"/>
          <w:numId w:val="4"/>
        </w:numPr>
        <w:suppressLineNumbers w:val="0"/>
        <w:ind w:left="425" w:leftChars="0" w:hanging="425" w:firstLineChars="0"/>
      </w:pPr>
      <w:r>
        <w:t xml:space="preserve">Key, K.G. (1997) “Political cost incentives for earnings management in the cable television industry,” </w:t>
      </w:r>
      <w:r>
        <w:rPr>
          <w:i/>
          <w:iCs/>
        </w:rPr>
        <w:t>Journal of Accounting and Economics</w:t>
      </w:r>
      <w:r>
        <w:t xml:space="preserve">, 23(3), pp. 309–337. Available at: https://doi.org/10.1016/s0165-4101(97)00012-8. </w:t>
      </w:r>
    </w:p>
    <w:p>
      <w:pPr>
        <w:pStyle w:val="10"/>
        <w:keepNext w:val="0"/>
        <w:keepLines w:val="0"/>
        <w:widowControl/>
        <w:numPr>
          <w:ilvl w:val="0"/>
          <w:numId w:val="4"/>
        </w:numPr>
        <w:suppressLineNumbers w:val="0"/>
        <w:ind w:left="425" w:leftChars="0" w:hanging="425" w:firstLineChars="0"/>
      </w:pPr>
      <w:r>
        <w:t xml:space="preserve">Mongrut, S. and Winkelried, D. (2019) “Unintended effects of IFRS adoption on earnings management: The case of Latin America,” </w:t>
      </w:r>
      <w:r>
        <w:rPr>
          <w:i/>
          <w:iCs/>
        </w:rPr>
        <w:t>Emerging Markets Review</w:t>
      </w:r>
      <w:r>
        <w:t xml:space="preserve">, 38, pp. 377–388. Available at: https://doi.org/10.1016/j.ememar.2018.11.004. </w:t>
      </w:r>
    </w:p>
    <w:p>
      <w:pPr>
        <w:pStyle w:val="10"/>
        <w:keepNext w:val="0"/>
        <w:keepLines w:val="0"/>
        <w:widowControl/>
        <w:numPr>
          <w:ilvl w:val="0"/>
          <w:numId w:val="4"/>
        </w:numPr>
        <w:suppressLineNumbers w:val="0"/>
        <w:ind w:left="425" w:leftChars="0" w:hanging="425" w:firstLineChars="0"/>
      </w:pPr>
      <w:r>
        <w:t xml:space="preserve">Piosik, A. and Genge, E. (2020) “Earnings management prior to mergers and acquisitions: The role of acquirers’ ownership structures. evidence from Poland,” </w:t>
      </w:r>
      <w:r>
        <w:rPr>
          <w:i/>
          <w:iCs/>
        </w:rPr>
        <w:t>Procedia Computer Science</w:t>
      </w:r>
      <w:r>
        <w:t xml:space="preserve">, 176, pp. 1299–1311. Available at: https://doi.org/10.1016/j.procs.2020.09.139. </w:t>
      </w:r>
    </w:p>
    <w:p>
      <w:pPr>
        <w:pStyle w:val="10"/>
        <w:keepNext w:val="0"/>
        <w:keepLines w:val="0"/>
        <w:widowControl/>
        <w:numPr>
          <w:ilvl w:val="0"/>
          <w:numId w:val="4"/>
        </w:numPr>
        <w:suppressLineNumbers w:val="0"/>
        <w:ind w:left="425" w:leftChars="0" w:hanging="425" w:firstLineChars="0"/>
      </w:pPr>
      <w:r>
        <w:t xml:space="preserve">Sweeney, A.P. (1994) “Debt-covenant violations and managers' accounting responses,” </w:t>
      </w:r>
      <w:r>
        <w:rPr>
          <w:i/>
          <w:iCs/>
        </w:rPr>
        <w:t>Journal of Accounting and Economics</w:t>
      </w:r>
      <w:r>
        <w:t xml:space="preserve">, 17(3), pp. 281–308. Available at: https://doi.org/10.1016/0165-4101(94)90030-2. </w:t>
      </w:r>
    </w:p>
    <w:p>
      <w:pPr>
        <w:pStyle w:val="10"/>
        <w:keepNext w:val="0"/>
        <w:keepLines w:val="0"/>
        <w:widowControl/>
        <w:numPr>
          <w:ilvl w:val="0"/>
          <w:numId w:val="4"/>
        </w:numPr>
        <w:suppressLineNumbers w:val="0"/>
        <w:ind w:left="425" w:leftChars="0" w:hanging="425" w:firstLineChars="0"/>
      </w:pPr>
      <w:r>
        <w:t xml:space="preserve">Schroeder, R.G., Clark, M.W. and Cathey, J.M. (2005) </w:t>
      </w:r>
      <w:r>
        <w:rPr>
          <w:i/>
          <w:iCs/>
        </w:rPr>
        <w:t>Financial Accounting Theroy and analysis: Text readings and case</w:t>
      </w:r>
      <w:r>
        <w:t xml:space="preserve">. New Jersey: Wiley. </w:t>
      </w:r>
    </w:p>
    <w:p>
      <w:pPr>
        <w:pStyle w:val="10"/>
        <w:keepNext w:val="0"/>
        <w:keepLines w:val="0"/>
        <w:widowControl/>
        <w:numPr>
          <w:ilvl w:val="0"/>
          <w:numId w:val="4"/>
        </w:numPr>
        <w:suppressLineNumbers w:val="0"/>
        <w:ind w:left="425" w:leftChars="0" w:hanging="425" w:firstLineChars="0"/>
      </w:pPr>
      <w:r>
        <w:t xml:space="preserve">Wilson, G.P. (1996) “Discussion write-offs: Manipulation or impairment?,” </w:t>
      </w:r>
      <w:r>
        <w:rPr>
          <w:i/>
          <w:iCs/>
        </w:rPr>
        <w:t>Journal of Accounting Research</w:t>
      </w:r>
      <w:r>
        <w:t xml:space="preserve">, 34, p. 171. Available at: https://doi.org/10.2307/2491432. </w:t>
      </w:r>
    </w:p>
    <w:p>
      <w:pPr>
        <w:pStyle w:val="10"/>
        <w:keepNext w:val="0"/>
        <w:keepLines w:val="0"/>
        <w:widowControl/>
        <w:numPr>
          <w:ilvl w:val="0"/>
          <w:numId w:val="4"/>
        </w:numPr>
        <w:suppressLineNumbers w:val="0"/>
        <w:ind w:left="425" w:leftChars="0" w:hanging="425" w:firstLineChars="0"/>
      </w:pPr>
      <w:r>
        <w:t xml:space="preserve">Menicucci, E. (2019) “Earnings Quality and Earnings Management,” </w:t>
      </w:r>
      <w:r>
        <w:rPr>
          <w:i/>
          <w:iCs/>
        </w:rPr>
        <w:t>Earnings Quality</w:t>
      </w:r>
      <w:r>
        <w:t xml:space="preserve">, pp. 53–82. Available at: https://doi.org/10.1007/978-3-030-36798-5_3. </w:t>
      </w:r>
    </w:p>
    <w:p>
      <w:pPr>
        <w:pStyle w:val="10"/>
        <w:keepNext w:val="0"/>
        <w:keepLines w:val="0"/>
        <w:widowControl/>
        <w:numPr>
          <w:ilvl w:val="0"/>
          <w:numId w:val="4"/>
        </w:numPr>
        <w:suppressLineNumbers w:val="0"/>
        <w:ind w:left="425" w:leftChars="0" w:hanging="425" w:firstLineChars="0"/>
      </w:pPr>
      <w:r>
        <w:t xml:space="preserve">Xie, B., Davidson, W.N. and DaDalt, P.J. (2002) “Earnings management and corporate governance: The roles of the Board and the Audit Committee,” </w:t>
      </w:r>
      <w:r>
        <w:rPr>
          <w:i/>
          <w:iCs/>
        </w:rPr>
        <w:t>SSRN Electronic Journal</w:t>
      </w:r>
      <w:r>
        <w:t xml:space="preserve"> [Preprint]. Available at: https://doi.org/10.2139/ssrn.304195. </w:t>
      </w:r>
    </w:p>
    <w:sectPr>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auto"/>
    <w:pitch w:val="default"/>
    <w:sig w:usb0="E0002EFF" w:usb1="C000785B" w:usb2="00000009" w:usb3="00000000" w:csb0="400001FF" w:csb1="FFFF0000"/>
  </w:font>
  <w:font w:name="宋体">
    <w:panose1 w:val="02010600030101010101"/>
    <w:charset w:val="80"/>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楷体_GB2312">
    <w:panose1 w:val="02010609030101010101"/>
    <w:charset w:val="86"/>
    <w:family w:val="auto"/>
    <w:pitch w:val="default"/>
    <w:sig w:usb0="00000001" w:usb1="080E0000" w:usb2="00000000" w:usb3="00000000" w:csb0="00040000" w:csb1="00000000"/>
  </w:font>
  <w:font w:name="Cambria">
    <w:panose1 w:val="02040503050406030204"/>
    <w:charset w:val="00"/>
    <w:family w:val="auto"/>
    <w:pitch w:val="default"/>
    <w:sig w:usb0="E00006FF" w:usb1="420024FF" w:usb2="02000000" w:usb3="00000000" w:csb0="2000019F" w:csb1="00000000"/>
  </w:font>
  <w:font w:name="Wingdings">
    <w:panose1 w:val="05000000000000000000"/>
    <w:charset w:val="00"/>
    <w:family w:val="auto"/>
    <w:pitch w:val="default"/>
    <w:sig w:usb0="00000000" w:usb1="00000000" w:usb2="00000000" w:usb3="00000000" w:csb0="80000000" w:csb1="00000000"/>
  </w:font>
  <w:font w:name="Symbol">
    <w:panose1 w:val="05050102010706020507"/>
    <w:charset w:val="00"/>
    <w:family w:val="auto"/>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8"/>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8"/>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6A3150A"/>
    <w:multiLevelType w:val="singleLevel"/>
    <w:tmpl w:val="86A3150A"/>
    <w:lvl w:ilvl="0" w:tentative="0">
      <w:start w:val="1"/>
      <w:numFmt w:val="bullet"/>
      <w:lvlText w:val=""/>
      <w:lvlJc w:val="left"/>
      <w:pPr>
        <w:ind w:left="420" w:hanging="420"/>
      </w:pPr>
      <w:rPr>
        <w:rFonts w:hint="default" w:ascii="Wingdings" w:hAnsi="Wingdings"/>
      </w:rPr>
    </w:lvl>
  </w:abstractNum>
  <w:abstractNum w:abstractNumId="1">
    <w:nsid w:val="CE00985D"/>
    <w:multiLevelType w:val="singleLevel"/>
    <w:tmpl w:val="CE00985D"/>
    <w:lvl w:ilvl="0" w:tentative="0">
      <w:start w:val="1"/>
      <w:numFmt w:val="decimal"/>
      <w:lvlText w:val="[%1]"/>
      <w:lvlJc w:val="left"/>
      <w:pPr>
        <w:tabs>
          <w:tab w:val="left" w:pos="420"/>
        </w:tabs>
        <w:ind w:left="425" w:hanging="425"/>
      </w:pPr>
      <w:rPr>
        <w:rFonts w:hint="default"/>
      </w:rPr>
    </w:lvl>
  </w:abstractNum>
  <w:abstractNum w:abstractNumId="2">
    <w:nsid w:val="087DC967"/>
    <w:multiLevelType w:val="singleLevel"/>
    <w:tmpl w:val="087DC967"/>
    <w:lvl w:ilvl="0" w:tentative="0">
      <w:start w:val="1"/>
      <w:numFmt w:val="decimal"/>
      <w:suff w:val="space"/>
      <w:lvlText w:val="%1."/>
      <w:lvlJc w:val="left"/>
    </w:lvl>
  </w:abstractNum>
  <w:abstractNum w:abstractNumId="3">
    <w:nsid w:val="4FFA4082"/>
    <w:multiLevelType w:val="singleLevel"/>
    <w:tmpl w:val="4FFA4082"/>
    <w:lvl w:ilvl="0" w:tentative="0">
      <w:start w:val="1"/>
      <w:numFmt w:val="bullet"/>
      <w:lvlText w:val=""/>
      <w:lvlJc w:val="left"/>
      <w:pPr>
        <w:ind w:left="420" w:hanging="420"/>
      </w:pPr>
      <w:rPr>
        <w:rFonts w:hint="default" w:ascii="Wingdings" w:hAnsi="Wingdings"/>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2"/>
  <w:displayBackgroundShape w:val="1"/>
  <w:bordersDoNotSurroundHeader w:val="0"/>
  <w:bordersDoNotSurroundFooter w:val="0"/>
  <w:documentProtection w:enforcement="0"/>
  <w:displayHorizontalDrawingGridEvery w:val="1"/>
  <w:displayVerticalDrawingGridEvery w:val="1"/>
  <w:noPunctuationKerning w:val="1"/>
  <w:compat>
    <w:doNotExpandShiftReturn/>
    <w:doNotWrapTextWithPunct/>
    <w:doNotUseEastAsianBreakRules/>
    <w:useFELayout/>
    <w:doNotUseIndentAsNumberingTabStop/>
    <w:compatSetting w:name="compatibilityMode" w:uri="http://schemas.microsoft.com/office/word" w:val="15"/>
  </w:compat>
  <w:docVars>
    <w:docVar w:name="commondata" w:val="eyJoZGlkIjoiMDUwNzRhMzUzYTRhNDhmNjAyZjY2NzQzNjliZDg1MjgifQ=="/>
    <w:docVar w:name="KSO_WPS_MARK_KEY" w:val="d058b12a-34b7-4e83-a632-b00ad3c6a1e2"/>
  </w:docVars>
  <w:rsids>
    <w:rsidRoot w:val="00000000"/>
    <w:rsid w:val="1EC75611"/>
    <w:rsid w:val="438D3FB6"/>
    <w:rsid w:val="5FC829BC"/>
    <w:rsid w:val="702A28D7"/>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nhideWhenUsed="0" w:uiPriority="0" w:semiHidden="0" w:name="heading 3"/>
    <w:lsdException w:qFormat="1" w:unhideWhenUsed="0" w:uiPriority="0" w:semiHidden="0" w:name="heading 4"/>
    <w:lsdException w:qFormat="1" w:unhideWhenUsed="0" w:uiPriority="0" w:semiHidden="0" w:name="heading 5"/>
    <w:lsdException w:qFormat="1" w:unhideWhenUsed="0" w:uiPriority="0" w:semiHidden="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iPriority="99"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iPriority="99"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0"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ind w:firstLine="0" w:firstLineChars="0"/>
      <w:jc w:val="both"/>
    </w:pPr>
    <w:rPr>
      <w:rFonts w:ascii="Times New Roman" w:hAnsi="Times New Roman" w:eastAsia="宋体"/>
      <w:sz w:val="24"/>
      <w:szCs w:val="22"/>
    </w:rPr>
  </w:style>
  <w:style w:type="paragraph" w:styleId="2">
    <w:name w:val="heading 1"/>
    <w:basedOn w:val="1"/>
    <w:next w:val="1"/>
    <w:qFormat/>
    <w:uiPriority w:val="0"/>
    <w:pPr>
      <w:spacing w:line="360" w:lineRule="auto"/>
      <w:outlineLvl w:val="0"/>
    </w:pPr>
    <w:rPr>
      <w:rFonts w:ascii="Times New Roman" w:hAnsi="Times New Roman" w:eastAsia="宋体"/>
      <w:b/>
      <w:color w:val="000000" w:themeColor="text1"/>
      <w:sz w:val="32"/>
      <w:szCs w:val="32"/>
      <w14:textFill>
        <w14:solidFill>
          <w14:schemeClr w14:val="tx1"/>
        </w14:solidFill>
      </w14:textFill>
    </w:rPr>
  </w:style>
  <w:style w:type="paragraph" w:styleId="3">
    <w:name w:val="heading 2"/>
    <w:next w:val="1"/>
    <w:qFormat/>
    <w:uiPriority w:val="0"/>
    <w:pPr>
      <w:spacing w:line="360" w:lineRule="auto"/>
      <w:outlineLvl w:val="1"/>
    </w:pPr>
    <w:rPr>
      <w:rFonts w:ascii="Times New Roman" w:hAnsi="Times New Roman" w:eastAsia="宋体"/>
      <w:b/>
      <w:color w:val="000000" w:themeColor="text1"/>
      <w:sz w:val="30"/>
      <w:szCs w:val="26"/>
      <w14:textFill>
        <w14:solidFill>
          <w14:schemeClr w14:val="tx1"/>
        </w14:solidFill>
      </w14:textFill>
    </w:rPr>
  </w:style>
  <w:style w:type="paragraph" w:styleId="4">
    <w:name w:val="heading 3"/>
    <w:next w:val="1"/>
    <w:qFormat/>
    <w:uiPriority w:val="0"/>
    <w:pPr>
      <w:outlineLvl w:val="2"/>
    </w:pPr>
    <w:rPr>
      <w:rFonts w:ascii="Times New Roman" w:hAnsi="Times New Roman" w:eastAsia="宋体"/>
      <w:b/>
      <w:color w:val="000000" w:themeColor="text1"/>
      <w:sz w:val="24"/>
      <w:szCs w:val="24"/>
      <w14:textFill>
        <w14:solidFill>
          <w14:schemeClr w14:val="tx1"/>
        </w14:solidFill>
      </w14:textFill>
    </w:rPr>
  </w:style>
  <w:style w:type="paragraph" w:styleId="5">
    <w:name w:val="heading 4"/>
    <w:next w:val="1"/>
    <w:qFormat/>
    <w:uiPriority w:val="0"/>
    <w:rPr>
      <w:i/>
      <w:iCs/>
      <w:color w:val="2E74B5"/>
      <w:sz w:val="21"/>
      <w:szCs w:val="22"/>
    </w:rPr>
  </w:style>
  <w:style w:type="paragraph" w:styleId="6">
    <w:name w:val="heading 5"/>
    <w:next w:val="1"/>
    <w:qFormat/>
    <w:uiPriority w:val="0"/>
    <w:rPr>
      <w:color w:val="2E74B5"/>
      <w:sz w:val="21"/>
      <w:szCs w:val="22"/>
    </w:rPr>
  </w:style>
  <w:style w:type="paragraph" w:styleId="7">
    <w:name w:val="heading 6"/>
    <w:next w:val="1"/>
    <w:qFormat/>
    <w:uiPriority w:val="0"/>
    <w:rPr>
      <w:color w:val="1F4D78"/>
      <w:sz w:val="21"/>
      <w:szCs w:val="22"/>
    </w:rPr>
  </w:style>
  <w:style w:type="character" w:default="1" w:styleId="13">
    <w:name w:val="Default Paragraph Font"/>
    <w:semiHidden/>
    <w:unhideWhenUsed/>
    <w:qFormat/>
    <w:uiPriority w:val="1"/>
  </w:style>
  <w:style w:type="table" w:default="1" w:styleId="12">
    <w:name w:val="Normal Table"/>
    <w:semiHidden/>
    <w:qFormat/>
    <w:uiPriority w:val="0"/>
    <w:tblPr>
      <w:tblCellMar>
        <w:top w:w="0" w:type="dxa"/>
        <w:left w:w="108" w:type="dxa"/>
        <w:bottom w:w="0" w:type="dxa"/>
        <w:right w:w="108" w:type="dxa"/>
      </w:tblCellMar>
    </w:tblPr>
  </w:style>
  <w:style w:type="paragraph" w:styleId="8">
    <w:name w:val="footer"/>
    <w:basedOn w:val="1"/>
    <w:qFormat/>
    <w:uiPriority w:val="0"/>
    <w:pPr>
      <w:tabs>
        <w:tab w:val="center" w:pos="4153"/>
        <w:tab w:val="right" w:pos="8306"/>
      </w:tabs>
      <w:snapToGrid w:val="0"/>
      <w:jc w:val="left"/>
    </w:pPr>
    <w:rPr>
      <w:sz w:val="18"/>
    </w:rPr>
  </w:style>
  <w:style w:type="paragraph" w:styleId="9">
    <w:name w:val="footnote text"/>
    <w:link w:val="17"/>
    <w:semiHidden/>
    <w:unhideWhenUsed/>
    <w:uiPriority w:val="99"/>
    <w:pPr>
      <w:spacing w:after="0" w:line="240" w:lineRule="auto"/>
    </w:pPr>
    <w:rPr>
      <w:sz w:val="20"/>
      <w:szCs w:val="20"/>
    </w:rPr>
  </w:style>
  <w:style w:type="paragraph" w:styleId="10">
    <w:name w:val="Normal (Web)"/>
    <w:basedOn w:val="1"/>
    <w:uiPriority w:val="0"/>
    <w:pPr>
      <w:spacing w:before="0" w:beforeAutospacing="1" w:after="0" w:afterAutospacing="1"/>
      <w:ind w:left="0" w:right="0"/>
      <w:jc w:val="left"/>
    </w:pPr>
    <w:rPr>
      <w:kern w:val="0"/>
      <w:sz w:val="24"/>
      <w:lang w:val="en-US" w:eastAsia="zh-CN" w:bidi="ar"/>
    </w:rPr>
  </w:style>
  <w:style w:type="paragraph" w:styleId="11">
    <w:name w:val="Title"/>
    <w:qFormat/>
    <w:uiPriority w:val="0"/>
    <w:rPr>
      <w:sz w:val="56"/>
      <w:szCs w:val="56"/>
    </w:rPr>
  </w:style>
  <w:style w:type="character" w:styleId="14">
    <w:name w:val="Hyperlink"/>
    <w:unhideWhenUsed/>
    <w:qFormat/>
    <w:uiPriority w:val="99"/>
    <w:rPr>
      <w:color w:val="0563C1"/>
      <w:u w:val="single"/>
    </w:rPr>
  </w:style>
  <w:style w:type="character" w:styleId="15">
    <w:name w:val="footnote reference"/>
    <w:semiHidden/>
    <w:unhideWhenUsed/>
    <w:qFormat/>
    <w:uiPriority w:val="99"/>
    <w:rPr>
      <w:vertAlign w:val="superscript"/>
    </w:rPr>
  </w:style>
  <w:style w:type="paragraph" w:styleId="16">
    <w:name w:val="List Paragraph"/>
    <w:qFormat/>
    <w:uiPriority w:val="0"/>
    <w:rPr>
      <w:sz w:val="21"/>
      <w:szCs w:val="22"/>
    </w:rPr>
  </w:style>
  <w:style w:type="character" w:customStyle="1" w:styleId="17">
    <w:name w:val="Footnote Text Char"/>
    <w:link w:val="9"/>
    <w:semiHidden/>
    <w:unhideWhenUsed/>
    <w:qFormat/>
    <w:uiPriority w:val="99"/>
    <w:rPr>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Pages>15</Pages>
  <Words>6779</Words>
  <Characters>40862</Characters>
  <TotalTime>2</TotalTime>
  <ScaleCrop>false</ScaleCrop>
  <LinksUpToDate>false</LinksUpToDate>
  <CharactersWithSpaces>47534</CharactersWithSpaces>
  <Application>WPS Office_11.1.0.12970_F1E327BC-269C-435d-A152-05C5408002CA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2023-03-30T21:20:00Z</dcterms:created>
  <dc:creator>Un-named</dc:creator>
  <cp:lastModifiedBy>无关风月</cp:lastModifiedBy>
  <dcterms:modified xsi:type="dcterms:W3CDTF">2023-03-30T15:30:08Z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2052-11.1.0.12970</vt:lpwstr>
  </property>
  <property fmtid="{D5CDD505-2E9C-101B-9397-08002B2CF9AE}" pid="3" name="ICV">
    <vt:lpwstr>7D118C7A33954872AA169F18DF008DA8</vt:lpwstr>
  </property>
</Properties>
</file>