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BE773" w14:textId="60326A16" w:rsidR="34E5AF60" w:rsidRDefault="34E5AF60" w:rsidP="34E5AF60">
      <w:pPr>
        <w:ind w:right="237"/>
        <w:rPr>
          <w:color w:val="000000" w:themeColor="text1"/>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AC1BA7E" w:rsidR="7908378C" w:rsidRDefault="00FF289D" w:rsidP="33572C6E">
            <w:pPr>
              <w:ind w:right="237"/>
              <w:rPr>
                <w:b/>
                <w:bCs/>
                <w:color w:val="auto"/>
                <w:sz w:val="32"/>
                <w:szCs w:val="32"/>
              </w:rPr>
            </w:pPr>
            <w:r>
              <w:rPr>
                <w:b/>
                <w:bCs/>
                <w:color w:val="auto"/>
                <w:sz w:val="32"/>
                <w:szCs w:val="32"/>
              </w:rPr>
              <w:t>Learner name: Lauren Williams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60C1D6C1" w:rsidR="7908378C" w:rsidRDefault="00FF289D" w:rsidP="33572C6E">
            <w:pPr>
              <w:ind w:right="237"/>
              <w:rPr>
                <w:b/>
                <w:bCs/>
                <w:color w:val="auto"/>
                <w:sz w:val="32"/>
                <w:szCs w:val="32"/>
              </w:rPr>
            </w:pPr>
            <w:r>
              <w:rPr>
                <w:b/>
                <w:bCs/>
                <w:color w:val="auto"/>
                <w:sz w:val="32"/>
                <w:szCs w:val="32"/>
              </w:rPr>
              <w:t>2029468</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A40497"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3DF71E29" w14:textId="35A18DC0" w:rsidR="000B6673" w:rsidRDefault="000B6673" w:rsidP="000B6673">
      <w:pPr>
        <w:rPr>
          <w:rFonts w:eastAsia="Arial"/>
          <w:color w:val="000000" w:themeColor="text1"/>
          <w:sz w:val="24"/>
          <w:szCs w:val="24"/>
        </w:rPr>
      </w:pPr>
    </w:p>
    <w:p w14:paraId="11C7E029" w14:textId="77777777" w:rsidR="000B6673" w:rsidRDefault="000B6673" w:rsidP="000B6673">
      <w:pPr>
        <w:rPr>
          <w:b/>
          <w:bCs/>
        </w:rPr>
      </w:pPr>
    </w:p>
    <w:p w14:paraId="4C4CD59A" w14:textId="77777777" w:rsidR="000B6673" w:rsidRPr="000B6673" w:rsidRDefault="000B6673" w:rsidP="000B6673">
      <w:pPr>
        <w:spacing w:line="480" w:lineRule="auto"/>
        <w:ind w:firstLine="720"/>
        <w:rPr>
          <w:sz w:val="24"/>
          <w:szCs w:val="24"/>
        </w:rPr>
      </w:pPr>
      <w:r w:rsidRPr="000B6673">
        <w:rPr>
          <w:sz w:val="24"/>
          <w:szCs w:val="24"/>
        </w:rPr>
        <w:t>In this essay I will be using Borton’s Model of Reflection (1970) to analyse a policing incident which I recently dealt with. The model emphasises three stages – “What?” “So What?” and “Now What?” and by going through these stages I will be able to explain the relevant details of the incident including different contexts, understand and discuss why these contexts are relevant when discussing victimisation and finally evaluate and explore how going forward I can use my experience to better understand and tackle repeat victimisation and repeat offending. By using this model and systematically reflecting on the incident I will be able to identify areas where I may need improvement in dealing with these issues and this will benefit me as part of my professional development.</w:t>
      </w:r>
    </w:p>
    <w:p w14:paraId="3AAB4319" w14:textId="77777777" w:rsidR="000B6673" w:rsidRPr="000B6673" w:rsidRDefault="000B6673" w:rsidP="000B6673">
      <w:pPr>
        <w:spacing w:line="480" w:lineRule="auto"/>
        <w:ind w:firstLine="720"/>
        <w:rPr>
          <w:sz w:val="24"/>
          <w:szCs w:val="24"/>
        </w:rPr>
      </w:pPr>
      <w:r w:rsidRPr="000B6673">
        <w:rPr>
          <w:sz w:val="24"/>
          <w:szCs w:val="24"/>
        </w:rPr>
        <w:t xml:space="preserve">In this essay I will be discussing an incident during which I dealt with and supported a victim of crime who was extremely vulnerable and at risk of further </w:t>
      </w:r>
      <w:r w:rsidRPr="000B6673">
        <w:rPr>
          <w:sz w:val="24"/>
          <w:szCs w:val="24"/>
        </w:rPr>
        <w:lastRenderedPageBreak/>
        <w:t>harm. The victim was a young teenage girl who was living in a supported living house for teenagers, who was especially vulnerable to exploitation. The reason for this being due to her childhood experiences as she had experienced physical and sexual abuse as a child before being re-homed by social services. Individuals who have adverse childhood experiences (</w:t>
      </w:r>
      <w:proofErr w:type="spellStart"/>
      <w:r w:rsidRPr="000B6673">
        <w:rPr>
          <w:sz w:val="24"/>
          <w:szCs w:val="24"/>
        </w:rPr>
        <w:t>Boullier</w:t>
      </w:r>
      <w:proofErr w:type="spellEnd"/>
      <w:r w:rsidRPr="000B6673">
        <w:rPr>
          <w:sz w:val="24"/>
          <w:szCs w:val="24"/>
        </w:rPr>
        <w:t xml:space="preserve"> &amp; Blair, 2018) are already more at risk of vulnerability whilst growing up, while specifically in this case the previous sexual abuse experiences made this victim several times more likely to be victim to further child sexual exploitation in later adolescence (Laird et al., 2022). </w:t>
      </w:r>
    </w:p>
    <w:p w14:paraId="5739DADD" w14:textId="77777777" w:rsidR="000B6673" w:rsidRPr="000B6673" w:rsidRDefault="000B6673" w:rsidP="000B6673">
      <w:pPr>
        <w:spacing w:line="480" w:lineRule="auto"/>
        <w:ind w:firstLine="720"/>
        <w:rPr>
          <w:sz w:val="24"/>
          <w:szCs w:val="24"/>
        </w:rPr>
      </w:pPr>
      <w:r w:rsidRPr="000B6673">
        <w:rPr>
          <w:sz w:val="24"/>
          <w:szCs w:val="24"/>
        </w:rPr>
        <w:t>The victim in this case had entered into a relationship with an adult male who was several years older than her, and this male had a history of violent relationships with young women of her age, some of which were from the same home. The friends of this victim, being aware of the male’s history, attempted to encourage her to leave the situation however she would not do so. At this point the victim was already manipulated into believing the male when he told her that the accusations against him were lies and alienated her from her friends and family, which appeared to have been done as a form of gaslighting the victim. Gaslighting can be defined as “psychological manipulation of a person usually over an extended period of time that causes the victim to question the validity of their own thoughts, perception of reality, or memories” (Webster, 2022). This term provides a suitable explanation for how the male had manipulated the victim in this case.</w:t>
      </w:r>
    </w:p>
    <w:p w14:paraId="618E46BF" w14:textId="77777777" w:rsidR="000B6673" w:rsidRPr="000B6673" w:rsidRDefault="000B6673" w:rsidP="000B6673">
      <w:pPr>
        <w:spacing w:line="480" w:lineRule="auto"/>
        <w:ind w:firstLine="720"/>
        <w:rPr>
          <w:sz w:val="24"/>
          <w:szCs w:val="24"/>
        </w:rPr>
      </w:pPr>
      <w:r w:rsidRPr="000B6673">
        <w:rPr>
          <w:sz w:val="24"/>
          <w:szCs w:val="24"/>
        </w:rPr>
        <w:t xml:space="preserve">Sweet (2019) explores the idea that gaslighting is facilitated by gendered stereotypes, specifically by associating femininity with irrationality. This applied in this example as the male had manipulated the victim into believing that the previous reports had been made against him maliciously by other girls and that they were over-reacting and exaggerating these incidents to get him into trouble. The victim </w:t>
      </w:r>
      <w:r w:rsidRPr="000B6673">
        <w:rPr>
          <w:sz w:val="24"/>
          <w:szCs w:val="24"/>
        </w:rPr>
        <w:lastRenderedPageBreak/>
        <w:t>had then believed the male and began to defend his actions against the previous girls as well as against herself, to anyone who expressed concerns about their relationship.</w:t>
      </w:r>
    </w:p>
    <w:p w14:paraId="2A3CEDE5" w14:textId="77777777" w:rsidR="000B6673" w:rsidRPr="000B6673" w:rsidRDefault="000B6673" w:rsidP="000B6673">
      <w:pPr>
        <w:spacing w:line="480" w:lineRule="auto"/>
        <w:ind w:firstLine="720"/>
        <w:rPr>
          <w:sz w:val="24"/>
          <w:szCs w:val="24"/>
        </w:rPr>
      </w:pPr>
      <w:r w:rsidRPr="000B6673">
        <w:rPr>
          <w:sz w:val="24"/>
          <w:szCs w:val="24"/>
        </w:rPr>
        <w:t xml:space="preserve">I had been made aware of this relationship initially during a call involving the victim being reported missing from her home. On speaking to the staff at the home and other girls that lived there, as well as using my prior knowledge of the male due to similar situations I was able to locate her at his address. I then took the victim back home and tried to advise her to stay away from the male, however she made it clear to me that she had no intention of doing so. I felt that there were limited options for me at this stage as the victim was not willing to engage with me. The steps that I took to try and safeguard the victim was firstly speaking to the staff at the home, who are support workers that have a responsibility for the safety and wellbeing of the children that reside there, and also communicate with the victim’s social worker to explain what was going on. </w:t>
      </w:r>
    </w:p>
    <w:p w14:paraId="7E7F423B" w14:textId="77777777" w:rsidR="000B6673" w:rsidRPr="000B6673" w:rsidRDefault="000B6673" w:rsidP="000B6673">
      <w:pPr>
        <w:spacing w:line="480" w:lineRule="auto"/>
        <w:ind w:firstLine="720"/>
        <w:rPr>
          <w:sz w:val="24"/>
          <w:szCs w:val="24"/>
        </w:rPr>
      </w:pPr>
      <w:r w:rsidRPr="000B6673">
        <w:rPr>
          <w:sz w:val="24"/>
          <w:szCs w:val="24"/>
        </w:rPr>
        <w:t xml:space="preserve">The second thing that I was able to do due to the victim’s age was submit a public protection notification which is “an information sharing document which allows officers to record safeguarding concerns where identified” (South Wales Police, 2008). I submitted this on behalf of the victim despite the fact that she did not wish to engage with me, as I believed that her age and vulnerability meant that she was unable to protect herself from the risk of harm that she was at. It was necessary to share details about the victim’s situation with other agencies such as social services and domestic violence aid/charities in the hope that they would also reach out to the victim. Sometimes this is more beneficial to offer third party support as victims of domestic violence are less likely to call the police themselves (Felson et al., 2006) </w:t>
      </w:r>
      <w:r w:rsidRPr="000B6673">
        <w:rPr>
          <w:sz w:val="24"/>
          <w:szCs w:val="24"/>
        </w:rPr>
        <w:lastRenderedPageBreak/>
        <w:t>and therefore offering a service that is separate from the police may make them more likely to engage and discuss what is going on.</w:t>
      </w:r>
    </w:p>
    <w:p w14:paraId="731CBBAE" w14:textId="77777777" w:rsidR="000B6673" w:rsidRPr="000B6673" w:rsidRDefault="000B6673" w:rsidP="000B6673">
      <w:pPr>
        <w:spacing w:line="480" w:lineRule="auto"/>
        <w:ind w:firstLine="720"/>
        <w:rPr>
          <w:sz w:val="24"/>
          <w:szCs w:val="24"/>
        </w:rPr>
      </w:pPr>
      <w:r w:rsidRPr="000B6673">
        <w:rPr>
          <w:sz w:val="24"/>
          <w:szCs w:val="24"/>
        </w:rPr>
        <w:t xml:space="preserve">The relationship between the victim and the male then eventually moved on from emotional abuse to physical abuse, as is often seen in situations where a domestic violence perpetrator gains a new relationship (Messing, 2007) as the perpetrator will allow the victim to gain a sense of security before showing any indications of abuse. </w:t>
      </w:r>
    </w:p>
    <w:p w14:paraId="3058F1EE" w14:textId="77777777" w:rsidR="000B6673" w:rsidRPr="000B6673" w:rsidRDefault="000B6673" w:rsidP="000B6673">
      <w:pPr>
        <w:spacing w:line="480" w:lineRule="auto"/>
        <w:ind w:firstLine="720"/>
        <w:rPr>
          <w:sz w:val="24"/>
          <w:szCs w:val="24"/>
        </w:rPr>
      </w:pPr>
      <w:r w:rsidRPr="000B6673">
        <w:rPr>
          <w:sz w:val="24"/>
          <w:szCs w:val="24"/>
        </w:rPr>
        <w:t xml:space="preserve">I then attended an incident where the victim reported that the male had punched her to the stomach leaving bruising. Due to the escalation in violence I felt that I had more options in dealing with the situation than I had previously. I was able to arrest the male for assault occasioning bodily harm (Section 47 Offences Against the Person Act, 1861) whereby he was subsequently charged.  I felt that there were more ways for me to safeguard the victim due to being able to take the male into custody. I was also able to offer her victim support services which are independent from the police (South Wales Police, 2022) and special measures, making it easier for her to give testimony when the case went to court (Crown Prosecution Service, 2021) in order to increase her willingness to provide a statement of complaint against him. </w:t>
      </w:r>
    </w:p>
    <w:p w14:paraId="5F460AB4" w14:textId="77777777" w:rsidR="000B6673" w:rsidRPr="000B6673" w:rsidRDefault="000B6673" w:rsidP="000B6673">
      <w:pPr>
        <w:spacing w:line="480" w:lineRule="auto"/>
        <w:ind w:firstLine="360"/>
        <w:rPr>
          <w:sz w:val="24"/>
          <w:szCs w:val="24"/>
        </w:rPr>
      </w:pPr>
      <w:r w:rsidRPr="000B6673">
        <w:rPr>
          <w:sz w:val="24"/>
          <w:szCs w:val="24"/>
        </w:rPr>
        <w:t xml:space="preserve">Lupton and Khan (2009) state that “The importance of inter-agency collaboration in child protection is a persistent message from the series of public child abuse enquiries held over the last two decades.” With this in mind I found that in the incident that I was involved in with regard to inter-agency communication was not up to a standard which could have prevented the victim from harm earlier on. Despite the fact that the victim was living in a staffed accommodation, the staff would not </w:t>
      </w:r>
      <w:r w:rsidRPr="000B6673">
        <w:rPr>
          <w:sz w:val="24"/>
          <w:szCs w:val="24"/>
        </w:rPr>
        <w:lastRenderedPageBreak/>
        <w:t xml:space="preserve">intervene to prevent her from going out to meet the suspect during the early stages of their relationship which could have assisted in safeguarding her. </w:t>
      </w:r>
    </w:p>
    <w:p w14:paraId="1D159407" w14:textId="77777777" w:rsidR="000B6673" w:rsidRPr="000B6673" w:rsidRDefault="000B6673" w:rsidP="000B6673">
      <w:pPr>
        <w:spacing w:line="480" w:lineRule="auto"/>
        <w:ind w:firstLine="720"/>
        <w:rPr>
          <w:sz w:val="24"/>
          <w:szCs w:val="24"/>
        </w:rPr>
      </w:pPr>
      <w:r w:rsidRPr="000B6673">
        <w:rPr>
          <w:sz w:val="24"/>
          <w:szCs w:val="24"/>
        </w:rPr>
        <w:t xml:space="preserve">Although social services were made aware of the situation when it first started developing and were given information from myself of the suspect’s history of domestic abuse, they did not attempt to move the victim away from the area or to a different home.  This could have prevented or at least hindered contact between the victim and suspect because at the time, the home was two minutes away from where the suspect lived. In creating some distance between them this could have made it more difficult for the suspect to manipulate the victim. </w:t>
      </w:r>
    </w:p>
    <w:p w14:paraId="5FDC94F3" w14:textId="77777777" w:rsidR="000B6673" w:rsidRPr="000B6673" w:rsidRDefault="000B6673" w:rsidP="000B6673">
      <w:pPr>
        <w:spacing w:line="480" w:lineRule="auto"/>
        <w:rPr>
          <w:sz w:val="24"/>
          <w:szCs w:val="24"/>
        </w:rPr>
      </w:pPr>
      <w:r w:rsidRPr="000B6673">
        <w:rPr>
          <w:sz w:val="24"/>
          <w:szCs w:val="24"/>
        </w:rPr>
        <w:tab/>
        <w:t xml:space="preserve">In terms of what works to tackle repeat victimisation and offending, there are a couple of theories to consider. The first one I will discuss is the Problem Analysis Triangle (PAT) which is derived from Routine Activity Theory (RAT) (College of Policing, 2022). The root idea of these theories as outlined by Cohen and Felson (1979) is that for a crime to occur, there must be three elements present: a motivated offender, a suitable target and a suitable location where there are no obstacles or deterrents to committing the crime. </w:t>
      </w:r>
    </w:p>
    <w:p w14:paraId="2C4B2843" w14:textId="77777777" w:rsidR="000B6673" w:rsidRPr="000B6673" w:rsidRDefault="000B6673" w:rsidP="000B6673">
      <w:pPr>
        <w:spacing w:line="480" w:lineRule="auto"/>
        <w:rPr>
          <w:sz w:val="24"/>
          <w:szCs w:val="24"/>
        </w:rPr>
      </w:pPr>
      <w:r w:rsidRPr="000B6673">
        <w:rPr>
          <w:noProof/>
          <w:sz w:val="24"/>
          <w:szCs w:val="24"/>
        </w:rPr>
        <w:drawing>
          <wp:inline distT="0" distB="0" distL="0" distR="0" wp14:anchorId="14BF6627" wp14:editId="0DBE92D5">
            <wp:extent cx="5731510" cy="2508250"/>
            <wp:effectExtent l="0" t="0" r="0" b="0"/>
            <wp:docPr id="1" name="Picture 1" descr="A triangle with the words Offender, Location and Victim on the flat s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triangle with the words Offender, Location and Victim on the flat sid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508250"/>
                    </a:xfrm>
                    <a:prstGeom prst="rect">
                      <a:avLst/>
                    </a:prstGeom>
                    <a:noFill/>
                    <a:ln>
                      <a:noFill/>
                    </a:ln>
                  </pic:spPr>
                </pic:pic>
              </a:graphicData>
            </a:graphic>
          </wp:inline>
        </w:drawing>
      </w:r>
    </w:p>
    <w:p w14:paraId="5A546117" w14:textId="77777777" w:rsidR="000B6673" w:rsidRPr="000B6673" w:rsidRDefault="000B6673" w:rsidP="000B6673">
      <w:pPr>
        <w:tabs>
          <w:tab w:val="left" w:pos="910"/>
        </w:tabs>
        <w:spacing w:line="480" w:lineRule="auto"/>
        <w:rPr>
          <w:sz w:val="24"/>
          <w:szCs w:val="24"/>
        </w:rPr>
      </w:pPr>
      <w:r w:rsidRPr="000B6673">
        <w:rPr>
          <w:sz w:val="24"/>
          <w:szCs w:val="24"/>
        </w:rPr>
        <w:tab/>
        <w:t>Fig 1. Problem Analysis Triangle (College of Policing, 2022)</w:t>
      </w:r>
    </w:p>
    <w:p w14:paraId="721D8585" w14:textId="77777777" w:rsidR="000B6673" w:rsidRPr="000B6673" w:rsidRDefault="000B6673" w:rsidP="000B6673">
      <w:pPr>
        <w:tabs>
          <w:tab w:val="left" w:pos="910"/>
        </w:tabs>
        <w:spacing w:line="480" w:lineRule="auto"/>
        <w:rPr>
          <w:sz w:val="24"/>
          <w:szCs w:val="24"/>
        </w:rPr>
      </w:pPr>
    </w:p>
    <w:p w14:paraId="71983B2C" w14:textId="77777777" w:rsidR="000B6673" w:rsidRPr="000B6673" w:rsidRDefault="000B6673" w:rsidP="000B6673">
      <w:pPr>
        <w:spacing w:line="480" w:lineRule="auto"/>
        <w:rPr>
          <w:sz w:val="24"/>
          <w:szCs w:val="24"/>
        </w:rPr>
      </w:pPr>
      <w:r w:rsidRPr="000B6673">
        <w:rPr>
          <w:sz w:val="24"/>
          <w:szCs w:val="24"/>
        </w:rPr>
        <w:lastRenderedPageBreak/>
        <w:tab/>
        <w:t xml:space="preserve">This theory allows us to look at the bigger picture when it comes to repeat victims or offenders and gives police and other agencies an opportunity to change the outcome for them. The theory lends itself to the idea that in order to prevent an offence we need to remove one of the elements of the triangle. This gives us options to treat the cause of the issue in one of three ways, for example if we remove the offender by ways of incarceration or by enforcing curfews and restrictions on them then this can work to protect the victim. </w:t>
      </w:r>
    </w:p>
    <w:p w14:paraId="7822EA90" w14:textId="77777777" w:rsidR="000B6673" w:rsidRPr="000B6673" w:rsidRDefault="000B6673" w:rsidP="000B6673">
      <w:pPr>
        <w:spacing w:line="480" w:lineRule="auto"/>
        <w:ind w:firstLine="720"/>
        <w:rPr>
          <w:sz w:val="24"/>
          <w:szCs w:val="24"/>
        </w:rPr>
      </w:pPr>
      <w:r w:rsidRPr="000B6673">
        <w:rPr>
          <w:sz w:val="24"/>
          <w:szCs w:val="24"/>
        </w:rPr>
        <w:t>Similarly, use of rehabilitative methods (</w:t>
      </w:r>
      <w:proofErr w:type="spellStart"/>
      <w:r w:rsidRPr="000B6673">
        <w:rPr>
          <w:sz w:val="24"/>
          <w:szCs w:val="24"/>
        </w:rPr>
        <w:t>Bastow</w:t>
      </w:r>
      <w:proofErr w:type="spellEnd"/>
      <w:r w:rsidRPr="000B6673">
        <w:rPr>
          <w:sz w:val="24"/>
          <w:szCs w:val="24"/>
        </w:rPr>
        <w:t>, 2014) towards offenders if successful can remove the offender from the picture altogether. Alternatively if this is not an option, we can also look at either removing the victim from the situation or altering the environment through safeguarding and other measures so that the offender will be deterred from committing any further offences. This method is especially useful when considering both sides of the spectrum; repeat victims and repeat offenders. It is beneficial to not only policing, but also the other agencies that are involved in victim protection or offender management in order to manage repeat victims and offenders and encourages us to look at each incident or offence with a holistic view.</w:t>
      </w:r>
    </w:p>
    <w:p w14:paraId="6E8D7F96" w14:textId="77777777" w:rsidR="000B6673" w:rsidRPr="000B6673" w:rsidRDefault="000B6673" w:rsidP="000B6673">
      <w:pPr>
        <w:spacing w:line="480" w:lineRule="auto"/>
        <w:rPr>
          <w:sz w:val="24"/>
          <w:szCs w:val="24"/>
        </w:rPr>
      </w:pPr>
      <w:r w:rsidRPr="000B6673">
        <w:rPr>
          <w:sz w:val="24"/>
          <w:szCs w:val="24"/>
        </w:rPr>
        <w:tab/>
        <w:t>Another theory to consider when tackling repeat victimisation and offending is that of Evidence-Based Policing (EBP) (College of Policing, 2022). Sherman (1998) describes evidence-based policing as “the use of the best available research on the outcomes of police work to implement guidelines and evaluate”. This means that we should be analysing policing outcomes, both negative and positive ones, to understand what works (or does not work) to tackle certain issues. In this case we can use the concept of evidence-based policing to consider studies and research that covers repeat victimisation as an extensive issue (Pease &amp; Farrell, 2016).</w:t>
      </w:r>
    </w:p>
    <w:p w14:paraId="45647F46" w14:textId="77777777" w:rsidR="000B6673" w:rsidRPr="000B6673" w:rsidRDefault="000B6673" w:rsidP="000B6673">
      <w:pPr>
        <w:spacing w:line="480" w:lineRule="auto"/>
        <w:rPr>
          <w:sz w:val="24"/>
          <w:szCs w:val="24"/>
        </w:rPr>
      </w:pPr>
      <w:r w:rsidRPr="000B6673">
        <w:rPr>
          <w:sz w:val="24"/>
          <w:szCs w:val="24"/>
        </w:rPr>
        <w:lastRenderedPageBreak/>
        <w:tab/>
        <w:t xml:space="preserve">EPB is especially useful to consider with repeat victimisation/offending as the research that is analysed can both help us understand the extent of the issues and the root problems or causes of those issues, as well as evaluating the effectiveness of interventions used by the police (or even other agencies). By looking at this research we can establish what is the best practice moving forward to benefit those vulnerable people. </w:t>
      </w:r>
    </w:p>
    <w:p w14:paraId="3B737BEB" w14:textId="77777777" w:rsidR="000B6673" w:rsidRPr="000B6673" w:rsidRDefault="000B6673" w:rsidP="000B6673">
      <w:pPr>
        <w:spacing w:line="480" w:lineRule="auto"/>
        <w:rPr>
          <w:sz w:val="24"/>
          <w:szCs w:val="24"/>
        </w:rPr>
      </w:pPr>
      <w:r w:rsidRPr="000B6673">
        <w:rPr>
          <w:sz w:val="24"/>
          <w:szCs w:val="24"/>
        </w:rPr>
        <w:tab/>
        <w:t xml:space="preserve">In conclusion, in this situation I believe that the professional approaches to managing vulnerable people did not meet the standard that it should do. There are several areas in which both the police and partner agencies could improve on this. In terms of policing, it is much easier for us to safeguard victims after they have been subject to a criminal offence, making it difficult to tackle repeat victimisation especially in situations where the victims are vulnerable and more unwilling to engage or come forward. Going forward, more focus should be made on early interventions for helping people who are in vulnerable situations or more likely to be exposed to crime before they can become victims and subsequently repeat victims. </w:t>
      </w:r>
    </w:p>
    <w:p w14:paraId="5865B7E4" w14:textId="77777777" w:rsidR="000B6673" w:rsidRPr="000B6673" w:rsidRDefault="000B6673" w:rsidP="000B6673">
      <w:pPr>
        <w:spacing w:line="480" w:lineRule="auto"/>
        <w:ind w:firstLine="720"/>
        <w:rPr>
          <w:sz w:val="24"/>
          <w:szCs w:val="24"/>
        </w:rPr>
      </w:pPr>
      <w:r w:rsidRPr="000B6673">
        <w:rPr>
          <w:sz w:val="24"/>
          <w:szCs w:val="24"/>
        </w:rPr>
        <w:t xml:space="preserve">On the other hand, partner agencies and especially social services have struggled in terms of communication between themselves which, if improved could make a huge impact on the amount of people who become repeat victims. After the abuse escalated to physical violence and the suspect was arrested I found that partner agencies were much more willing to get involved, however had they been more focused on early intervention strategies then the escalation could have been prevented or minimised. </w:t>
      </w:r>
    </w:p>
    <w:p w14:paraId="514C97A5" w14:textId="3BEF3D77" w:rsidR="000B6673" w:rsidRDefault="000B6673" w:rsidP="000B6673">
      <w:pPr>
        <w:spacing w:line="480" w:lineRule="auto"/>
        <w:ind w:firstLine="720"/>
        <w:rPr>
          <w:sz w:val="24"/>
          <w:szCs w:val="24"/>
        </w:rPr>
      </w:pPr>
      <w:r w:rsidRPr="000B6673">
        <w:rPr>
          <w:sz w:val="24"/>
          <w:szCs w:val="24"/>
        </w:rPr>
        <w:t xml:space="preserve">When it comes to repeat victimisation and repeat offending, the main impact factors can be allocated into the three categories of “victim” “offender” and “location” as per the PAT theory. EBP gives us a further foundation to evidence that these </w:t>
      </w:r>
      <w:r w:rsidRPr="000B6673">
        <w:rPr>
          <w:sz w:val="24"/>
          <w:szCs w:val="24"/>
        </w:rPr>
        <w:lastRenderedPageBreak/>
        <w:t xml:space="preserve">factors do make a difference to the outcome of repeat offending. The best way to tackle these issues according to PAT theory is to remove one of these categories altogether, however we know from experience and research that this is not always the case or even possible to do. I believe that in the future when it comes to tackling repeat victimisation and offending I will utilise EPB in order to use to most effective methods to support victims of crime in my role, and to prevent offending along with partner agencies. </w:t>
      </w:r>
    </w:p>
    <w:p w14:paraId="6415DD63" w14:textId="35DB1308" w:rsidR="000B6673" w:rsidRDefault="000B6673" w:rsidP="000B6673">
      <w:pPr>
        <w:spacing w:line="480" w:lineRule="auto"/>
        <w:ind w:firstLine="720"/>
        <w:rPr>
          <w:sz w:val="24"/>
          <w:szCs w:val="24"/>
        </w:rPr>
      </w:pPr>
    </w:p>
    <w:p w14:paraId="3075DB3F" w14:textId="6E401459" w:rsidR="000B6673" w:rsidRPr="000B6673" w:rsidRDefault="000B6673" w:rsidP="000B6673">
      <w:pPr>
        <w:spacing w:line="480" w:lineRule="auto"/>
        <w:ind w:firstLine="720"/>
        <w:rPr>
          <w:sz w:val="24"/>
          <w:szCs w:val="24"/>
        </w:rPr>
      </w:pPr>
      <w:r>
        <w:rPr>
          <w:sz w:val="24"/>
          <w:szCs w:val="24"/>
        </w:rPr>
        <w:t>Word Count: 2064.</w:t>
      </w:r>
    </w:p>
    <w:p w14:paraId="68317E39" w14:textId="02626B6A" w:rsidR="00E676F7" w:rsidRPr="000B6673" w:rsidRDefault="00E676F7" w:rsidP="000B6673">
      <w:pPr>
        <w:overflowPunct/>
        <w:autoSpaceDE/>
        <w:autoSpaceDN/>
        <w:adjustRightInd/>
        <w:spacing w:line="480" w:lineRule="auto"/>
        <w:textAlignment w:val="auto"/>
        <w:rPr>
          <w:b/>
          <w:bCs/>
          <w:sz w:val="24"/>
          <w:szCs w:val="24"/>
        </w:rPr>
      </w:pPr>
    </w:p>
    <w:p w14:paraId="5B8E35D7" w14:textId="6EA3E45F" w:rsidR="69F7424F" w:rsidRPr="000B6673" w:rsidRDefault="69F7424F" w:rsidP="000B6673">
      <w:pPr>
        <w:pStyle w:val="paragraph"/>
        <w:spacing w:before="0" w:beforeAutospacing="0" w:after="0" w:afterAutospacing="0" w:line="480" w:lineRule="auto"/>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A40497" w:rsidRDefault="00025650" w:rsidP="00A40497">
      <w:pPr>
        <w:spacing w:line="480" w:lineRule="auto"/>
        <w:ind w:right="237"/>
        <w:jc w:val="both"/>
        <w:rPr>
          <w:color w:val="000000" w:themeColor="text1"/>
          <w:sz w:val="24"/>
          <w:szCs w:val="24"/>
        </w:rPr>
      </w:pPr>
    </w:p>
    <w:p w14:paraId="40C86D3E" w14:textId="642CEEC9" w:rsidR="00A40497" w:rsidRPr="00A40497" w:rsidRDefault="00A40497" w:rsidP="00A40497">
      <w:pPr>
        <w:spacing w:line="480" w:lineRule="auto"/>
        <w:ind w:firstLine="720"/>
        <w:rPr>
          <w:sz w:val="24"/>
          <w:szCs w:val="24"/>
        </w:rPr>
      </w:pPr>
      <w:r w:rsidRPr="00A40497">
        <w:rPr>
          <w:sz w:val="24"/>
          <w:szCs w:val="24"/>
        </w:rPr>
        <w:t>During this essay I will be using Borton’s Developmental Framework (1970) to reflect on the incident which I will be discussing. By using the structured nature of the model I can evaluate my thought processes and actions at each stage of the incident and utilise the stages of “What?”, “So What?” and “Now What?” to discuss the details of the incident and its wider implications on policing domestic violence. I can also use this to evaluate my own development and identify areas for me to improve in when dealing with future domestic violence incidents. For this essay I will be discussing an incident of domestic violence to which I responded to and had a significant role within the investigatio</w:t>
      </w:r>
      <w:r>
        <w:rPr>
          <w:sz w:val="24"/>
          <w:szCs w:val="24"/>
        </w:rPr>
        <w:t>n.</w:t>
      </w:r>
    </w:p>
    <w:p w14:paraId="25F8EF67" w14:textId="77777777" w:rsidR="00A40497" w:rsidRPr="00A40497" w:rsidRDefault="00A40497" w:rsidP="00A40497">
      <w:pPr>
        <w:spacing w:line="480" w:lineRule="auto"/>
        <w:rPr>
          <w:sz w:val="24"/>
          <w:szCs w:val="24"/>
        </w:rPr>
      </w:pPr>
      <w:r w:rsidRPr="00A40497">
        <w:rPr>
          <w:b/>
          <w:bCs/>
          <w:sz w:val="24"/>
          <w:szCs w:val="24"/>
        </w:rPr>
        <w:tab/>
      </w:r>
      <w:r w:rsidRPr="00A40497">
        <w:rPr>
          <w:sz w:val="24"/>
          <w:szCs w:val="24"/>
        </w:rPr>
        <w:t xml:space="preserve">Domestic violence is an extremely prevalent issue in policing and tends to make up the majority of incidents that I attend in my day-to-day role in response policing. Domestic violence is described as “Behaviour of a person (A) towards another person (B) if they are each aged 16 or over and are personally connected to each other, and the behaviour is abusive” (Domestic Abuse Act 2021) In this context to be “personally connected” to someone could be that are or have been in an intimate relationship, or an immediate family member. Domestic violence does not always have to be perpetrated by physical violence, although this is the impression that is often given by how the media portrays it. It can also be facilitated through financial abuse, sexual abuse or even emotional abuse such as coercive and controlling behaviour (Crown Prosecution Service, 2022). </w:t>
      </w:r>
    </w:p>
    <w:p w14:paraId="5A050E52" w14:textId="77777777" w:rsidR="00A40497" w:rsidRPr="00A40497" w:rsidRDefault="00A40497" w:rsidP="00A40497">
      <w:pPr>
        <w:spacing w:line="480" w:lineRule="auto"/>
        <w:ind w:firstLine="720"/>
        <w:rPr>
          <w:sz w:val="24"/>
          <w:szCs w:val="24"/>
        </w:rPr>
      </w:pPr>
      <w:r w:rsidRPr="00A40497">
        <w:rPr>
          <w:sz w:val="24"/>
          <w:szCs w:val="24"/>
        </w:rPr>
        <w:lastRenderedPageBreak/>
        <w:t>Domestic violence dates back so far in history that we can attribute its roots in social inequality between men and woman that was once the standard for society (Hague &amp; Males, 1998). Over time it has become more acceptable to speak about the topic, whereas it was previously considered to be private within the relationship. Due to the nature of domestic violence it has produced an ideation that women are the primary victims due to being seen as the “weaker” and more vulnerable half of society. This has implications for both female victims who will often automatically be considered to be these weak, vulnerable individuals, whilst male victims face a challenge with being taken seriously and will be more vulnerable to negative stigma that comes with being a victim of domestic violence (</w:t>
      </w:r>
      <w:proofErr w:type="spellStart"/>
      <w:r w:rsidRPr="00A40497">
        <w:rPr>
          <w:sz w:val="24"/>
          <w:szCs w:val="24"/>
        </w:rPr>
        <w:t>Tsui</w:t>
      </w:r>
      <w:proofErr w:type="spellEnd"/>
      <w:r w:rsidRPr="00A40497">
        <w:rPr>
          <w:sz w:val="24"/>
          <w:szCs w:val="24"/>
        </w:rPr>
        <w:t>, 2014).</w:t>
      </w:r>
    </w:p>
    <w:p w14:paraId="0F0339B5" w14:textId="77777777" w:rsidR="00A40497" w:rsidRPr="00A40497" w:rsidRDefault="00A40497" w:rsidP="00A40497">
      <w:pPr>
        <w:spacing w:line="480" w:lineRule="auto"/>
        <w:rPr>
          <w:sz w:val="24"/>
          <w:szCs w:val="24"/>
        </w:rPr>
      </w:pPr>
      <w:r w:rsidRPr="00A40497">
        <w:rPr>
          <w:b/>
          <w:bCs/>
          <w:sz w:val="24"/>
          <w:szCs w:val="24"/>
        </w:rPr>
        <w:tab/>
      </w:r>
      <w:r w:rsidRPr="00A40497">
        <w:rPr>
          <w:sz w:val="24"/>
          <w:szCs w:val="24"/>
        </w:rPr>
        <w:t>The incident that I attended was a domestic violence incident between married partners who lived at the same address. The victim was the male partner and the perpetrator was the female partner. I was made aware of the incident which was initially a third party report that had come to us from a friend who was concerned about the male after he had disclosed to him that the suspect had been controlling his finances and physically abusing him.  Due to the nature of the report I first decided to speak to the friend to get a full understanding of what had been disclosed to him. The friend happily provided me with a witness statement detailing all of the disclosures that had been made to him by his friend, including mention that the suspect had physically assaulted him on several occasions, that she never allowed him to go out without her and she controlled his finances and did not allow him access to their bank accounts.</w:t>
      </w:r>
    </w:p>
    <w:p w14:paraId="09C98709" w14:textId="77777777" w:rsidR="00A40497" w:rsidRPr="00A40497" w:rsidRDefault="00A40497" w:rsidP="00A40497">
      <w:pPr>
        <w:spacing w:line="480" w:lineRule="auto"/>
        <w:rPr>
          <w:sz w:val="24"/>
          <w:szCs w:val="24"/>
        </w:rPr>
      </w:pPr>
      <w:r w:rsidRPr="00A40497">
        <w:rPr>
          <w:sz w:val="24"/>
          <w:szCs w:val="24"/>
        </w:rPr>
        <w:tab/>
        <w:t xml:space="preserve">After having this disclosure I was concerned for the welfare of the victim, therefore I attended at the home address of the couple in order to carry out a welfare check and speak to the victim regarding the report. On attendance at the address I </w:t>
      </w:r>
      <w:r w:rsidRPr="00A40497">
        <w:rPr>
          <w:sz w:val="24"/>
          <w:szCs w:val="24"/>
        </w:rPr>
        <w:lastRenderedPageBreak/>
        <w:t xml:space="preserve">activated my body-worn camera which is a force policy for dealing with domestic violence incidents (Police Federation, 2022). This is an extremely helpful tactic for dealing with these incidents as victims will often make disclosures to us in the heat of the moment or at the time but later not be willing to sign a statement to the same effect. This can be due to several reasons such as witness intimidation or guilt (Tarling, Dowds &amp; Budd, 2000). </w:t>
      </w:r>
    </w:p>
    <w:p w14:paraId="134E132D" w14:textId="77777777" w:rsidR="00A40497" w:rsidRPr="00A40497" w:rsidRDefault="00A40497" w:rsidP="00A40497">
      <w:pPr>
        <w:spacing w:line="480" w:lineRule="auto"/>
        <w:rPr>
          <w:sz w:val="24"/>
          <w:szCs w:val="24"/>
        </w:rPr>
      </w:pPr>
      <w:r w:rsidRPr="00A40497">
        <w:rPr>
          <w:sz w:val="24"/>
          <w:szCs w:val="24"/>
        </w:rPr>
        <w:tab/>
        <w:t>The use of body-worn video also ties in with another strategy that is useful for dealing with domestic incidents and this is called evidence-led (or victimless) prosecution. This is something that has been brought in by the Crown Prosecution Service in efforts to get more prosecutions for domestic violence when the victim withdraws their complaint or is not willing to attend court/provide statements, but we still have gathered a significant amount of evidence to suggest that the abuse is going on. This could be in the form of CCTV, third party disclosures or witnesses, police witnessed incidents or disclosures made to us that we have recordings of due to the policy I have explained earlier. This is also an extremely effective strategy for dealing with domestic violence because before this was utilised a lot of domestic violence would go un-reported and would not be dealt with appropriately, however since the introduction of this strategy we now are able to safeguard more vulnerable individuals (Ellison, 2008).</w:t>
      </w:r>
    </w:p>
    <w:p w14:paraId="354273F3" w14:textId="77777777" w:rsidR="00A40497" w:rsidRPr="00A40497" w:rsidRDefault="00A40497" w:rsidP="00A40497">
      <w:pPr>
        <w:spacing w:line="480" w:lineRule="auto"/>
        <w:rPr>
          <w:sz w:val="24"/>
          <w:szCs w:val="24"/>
        </w:rPr>
      </w:pPr>
      <w:r w:rsidRPr="00A40497">
        <w:rPr>
          <w:sz w:val="24"/>
          <w:szCs w:val="24"/>
        </w:rPr>
        <w:tab/>
        <w:t xml:space="preserve">This strategy is extremely relevant to the incident that I attended. I attended with another officer so that we were able to split the couple up and speak to each of them separately in hopes that this would make it easier for the victim to disclose to us what was happening. I spoke with the victim who I noticed had bruising on his face which looked fairly recent. I explained to him why we were in attendance and he became upset and disclosed to me that he was suffering financial and emotional </w:t>
      </w:r>
      <w:r w:rsidRPr="00A40497">
        <w:rPr>
          <w:sz w:val="24"/>
          <w:szCs w:val="24"/>
        </w:rPr>
        <w:lastRenderedPageBreak/>
        <w:t>abuse from his partner and did not know how to leave the relationship without support. I also then asked him about the bruising and he also admitted that his partner had caused it by punching him the previous day.</w:t>
      </w:r>
    </w:p>
    <w:p w14:paraId="5166F982" w14:textId="77777777" w:rsidR="00A40497" w:rsidRPr="00A40497" w:rsidRDefault="00A40497" w:rsidP="00A40497">
      <w:pPr>
        <w:spacing w:line="480" w:lineRule="auto"/>
        <w:rPr>
          <w:sz w:val="24"/>
          <w:szCs w:val="24"/>
        </w:rPr>
      </w:pPr>
      <w:r w:rsidRPr="00A40497">
        <w:rPr>
          <w:sz w:val="24"/>
          <w:szCs w:val="24"/>
        </w:rPr>
        <w:tab/>
        <w:t>I then asked the victim if he would be willing to provide a statement and attend court, which is where his demeanour changed and he became reluctant to agree. I knew that this would be a challenge for the case because he was intimidated and vulnerable particularly to the stigma of being a male victim of a female perpetrator, however I was able to explain to him about the special measures (Crown Prosecution Service 2021) that could be used at court so that he did not have to face the suspect directly, which appeared to make him more at ease. In then went on to explain that there were other safeguarding measures that we could put in place for him once the suspect was arrested, and the victim then agreed to provide a statement. Due to this, the suspect was then arrested on suspicion of coercive control (Section 76 Serious Crime Act 2015) and domestic assault (Section 39 Criminal Justice Act 1988) and the victim provided me with a full statement of complaint, evidence from his banking and photographs of his injuries.</w:t>
      </w:r>
    </w:p>
    <w:p w14:paraId="767ECDF5" w14:textId="77777777" w:rsidR="00A40497" w:rsidRPr="00A40497" w:rsidRDefault="00A40497" w:rsidP="00A40497">
      <w:pPr>
        <w:spacing w:line="480" w:lineRule="auto"/>
        <w:rPr>
          <w:sz w:val="24"/>
          <w:szCs w:val="24"/>
        </w:rPr>
      </w:pPr>
      <w:r w:rsidRPr="00A40497">
        <w:rPr>
          <w:sz w:val="24"/>
          <w:szCs w:val="24"/>
        </w:rPr>
        <w:tab/>
        <w:t xml:space="preserve">Due to the fact that the suspect and victim were living in the same home and the suspect could only be held for a short time in custody, I decided to utilise another strategy that is available for dealing with domestic incidents – a Domestic Violence Protection Notice (DVPN) (Section 24 Crime and Security Act 2010). I applied for this as I believed that if the suspect was to return to the marital home with the victim then he may be intimidated to withdraw his complaint. Therefore I applied for an got a DVPN in place which then restricted the suspect from returning home or having any contact with the victim for 28 days. This is a very effective tool to use when dealing with domestic violence incidents as it allows for victims to have a period </w:t>
      </w:r>
      <w:r w:rsidRPr="00A40497">
        <w:rPr>
          <w:sz w:val="24"/>
          <w:szCs w:val="24"/>
        </w:rPr>
        <w:lastRenderedPageBreak/>
        <w:t>whereby we can get them support from other agencies and domestic abuse charities such as Live Fear Free (Welsh Women’s Aid, 2022)  who will support them in leaving the abusive relationship (College of Policing, 2022)</w:t>
      </w:r>
    </w:p>
    <w:p w14:paraId="79B0391F" w14:textId="77777777" w:rsidR="00A40497" w:rsidRPr="00A40497" w:rsidRDefault="00A40497" w:rsidP="00A40497">
      <w:pPr>
        <w:spacing w:line="480" w:lineRule="auto"/>
        <w:rPr>
          <w:sz w:val="24"/>
          <w:szCs w:val="24"/>
        </w:rPr>
      </w:pPr>
      <w:r w:rsidRPr="00A40497">
        <w:rPr>
          <w:sz w:val="24"/>
          <w:szCs w:val="24"/>
        </w:rPr>
        <w:tab/>
        <w:t>I found this to be the best step that I took when dealing with this incident particularly as within the time that the suspect was in custody, the victim contacted me to withdraw his complaint. I knew that this was due to him being concerned about repercussions from his wife or her family if he was to pursue a complaint and leave her (Dutton &amp; White, 2013). Although the victim did withdraw his complaint, the DVPN stayed in place for the full 28 days during which time I was able to submit a Public Protection Notification (PPN) which is a document that allows us to share safeguarding concerns with other agencies in many different cases, including domestic violence. I also got the victim in contact with domestic abuse charities, and our domestic abuse unit where he was then supported by these agencies and did still end up leaving the marriage.</w:t>
      </w:r>
    </w:p>
    <w:p w14:paraId="788C43AF" w14:textId="77777777" w:rsidR="00A40497" w:rsidRPr="00A40497" w:rsidRDefault="00A40497" w:rsidP="00A40497">
      <w:pPr>
        <w:spacing w:line="480" w:lineRule="auto"/>
        <w:rPr>
          <w:sz w:val="24"/>
          <w:szCs w:val="24"/>
        </w:rPr>
      </w:pPr>
      <w:r w:rsidRPr="00A40497">
        <w:rPr>
          <w:sz w:val="24"/>
          <w:szCs w:val="24"/>
        </w:rPr>
        <w:tab/>
        <w:t>Although the complaint was withdrawn, due to the relatively new legislation I have previously explained I was still able to go to the Crown Prosecution Service (CPS) with the evidence that I did have and due to there being photographs, third party and body-worn video disclosures and evidence of the financial abuse the CPS decided to charge the suspect and she was then given a prison sentence. This was a massive success in terms of victimless prosecution and also then safeguarded the victim even further whilst he was making the arrangements to end the marriage as the suspect had been incarcerated.</w:t>
      </w:r>
    </w:p>
    <w:p w14:paraId="380D804B" w14:textId="77777777" w:rsidR="00A40497" w:rsidRPr="00A40497" w:rsidRDefault="00A40497" w:rsidP="00A40497">
      <w:pPr>
        <w:spacing w:line="480" w:lineRule="auto"/>
        <w:rPr>
          <w:sz w:val="24"/>
          <w:szCs w:val="24"/>
        </w:rPr>
      </w:pPr>
      <w:r w:rsidRPr="00A40497">
        <w:rPr>
          <w:sz w:val="24"/>
          <w:szCs w:val="24"/>
        </w:rPr>
        <w:tab/>
        <w:t xml:space="preserve">It appears that in recent years due to new legislation and policing becoming more focused on domestic violence there have been many effective strategies put forward and has made it easier for both the police and CPS to deal effectively with </w:t>
      </w:r>
      <w:r w:rsidRPr="00A40497">
        <w:rPr>
          <w:sz w:val="24"/>
          <w:szCs w:val="24"/>
        </w:rPr>
        <w:lastRenderedPageBreak/>
        <w:t xml:space="preserve">domestic violence. Although this incident that I have attended does outline the effectiveness of strategies that police can use after the violence has already taken place, there has also been a shift in focus towards preventative measures and safeguarding victims of domestic violence. </w:t>
      </w:r>
    </w:p>
    <w:p w14:paraId="78FF907D" w14:textId="77777777" w:rsidR="00A40497" w:rsidRPr="00A40497" w:rsidRDefault="00A40497" w:rsidP="00A40497">
      <w:pPr>
        <w:spacing w:line="480" w:lineRule="auto"/>
        <w:ind w:firstLine="720"/>
        <w:rPr>
          <w:sz w:val="24"/>
          <w:szCs w:val="24"/>
        </w:rPr>
      </w:pPr>
      <w:r w:rsidRPr="00A40497">
        <w:rPr>
          <w:sz w:val="24"/>
          <w:szCs w:val="24"/>
        </w:rPr>
        <w:t xml:space="preserve">One of these strategies that has been helpful for policing is the introduction of Clare’s Law or Domestic Violence Disclosure Scheme (Home Office, 2013). This was introduced after a victim Clare Wood was killed by her partner, who had a long history of domestic violence towards other women which she had not been aware of. Clare’s Law allows anyone who enters into an intimate relationship with someone to put a request in with police and be informed if their partner has a history of domestic violence. This is an extremely useful tool to have both for safeguarding those who may become victims of domestic violence, and also for police and other agencies to be aware when high risk perpetrators of domestic violence enter into a new relationship and allow us early intervention of that violence (Fitz-Gibbon &amp; </w:t>
      </w:r>
      <w:proofErr w:type="spellStart"/>
      <w:r w:rsidRPr="00A40497">
        <w:rPr>
          <w:sz w:val="24"/>
          <w:szCs w:val="24"/>
        </w:rPr>
        <w:t>Walklate</w:t>
      </w:r>
      <w:proofErr w:type="spellEnd"/>
      <w:r w:rsidRPr="00A40497">
        <w:rPr>
          <w:sz w:val="24"/>
          <w:szCs w:val="24"/>
        </w:rPr>
        <w:t>, 2016).</w:t>
      </w:r>
    </w:p>
    <w:p w14:paraId="7F57040B" w14:textId="77777777" w:rsidR="00A40497" w:rsidRPr="00A40497" w:rsidRDefault="00A40497" w:rsidP="00A40497">
      <w:pPr>
        <w:spacing w:line="480" w:lineRule="auto"/>
        <w:rPr>
          <w:sz w:val="24"/>
          <w:szCs w:val="24"/>
        </w:rPr>
      </w:pPr>
      <w:r w:rsidRPr="00A40497">
        <w:rPr>
          <w:b/>
          <w:bCs/>
          <w:sz w:val="24"/>
          <w:szCs w:val="24"/>
        </w:rPr>
        <w:tab/>
      </w:r>
      <w:r w:rsidRPr="00A40497">
        <w:rPr>
          <w:sz w:val="24"/>
          <w:szCs w:val="24"/>
        </w:rPr>
        <w:t xml:space="preserve">In conclusion, domestic violence is a very prevalent issue for policing. In the past there has been a tendency for people to “look the other way” when it comes to violence in a relationship however there has been a real shift in recent years that has effected the way we police domestic incidents massively. This does not mean that there is still not a huge issue of under-reporting when it comes to domestic violence however it does appear to be a step in the right direction to decrease that gap as reporting of domestic violence in the UK has increased by 88% in recent years.  Experience and research suggest that this increase can be attributed to both the increase in effective strategies that the police are able to use when dealing with </w:t>
      </w:r>
      <w:r w:rsidRPr="00A40497">
        <w:rPr>
          <w:sz w:val="24"/>
          <w:szCs w:val="24"/>
        </w:rPr>
        <w:lastRenderedPageBreak/>
        <w:t>domestic incidents, but also the focus on preventative measures and safeguarding those who are susceptible to becoming victims of domestic violence.</w:t>
      </w:r>
    </w:p>
    <w:p w14:paraId="484304EB" w14:textId="77777777" w:rsidR="00A40497" w:rsidRPr="00A40497" w:rsidRDefault="00A40497" w:rsidP="00A40497">
      <w:pPr>
        <w:spacing w:line="480" w:lineRule="auto"/>
        <w:rPr>
          <w:sz w:val="24"/>
          <w:szCs w:val="24"/>
        </w:rPr>
      </w:pPr>
      <w:r w:rsidRPr="00A40497">
        <w:rPr>
          <w:sz w:val="24"/>
          <w:szCs w:val="24"/>
        </w:rPr>
        <w:tab/>
        <w:t>The incident that I attended is a good example of where these strategies have worked effectively in protecting a vulnerable victim and safeguarding him to the point where he was able to leave the abusive relationship. I recognised that there were several challenges associated with the situation, particularly the fact that the victim was male and the perpetrator was female and the stigma that comes with this which deters them from reporting to police. This being said I feel like there were enough options available to me to still safeguard the victim and get a positive result.</w:t>
      </w:r>
    </w:p>
    <w:p w14:paraId="4E208D01" w14:textId="77777777" w:rsidR="00A40497" w:rsidRPr="00A40497" w:rsidRDefault="00A40497" w:rsidP="00A40497">
      <w:pPr>
        <w:spacing w:line="480" w:lineRule="auto"/>
        <w:ind w:firstLine="720"/>
        <w:rPr>
          <w:sz w:val="24"/>
          <w:szCs w:val="24"/>
        </w:rPr>
      </w:pPr>
      <w:r w:rsidRPr="00A40497">
        <w:rPr>
          <w:sz w:val="24"/>
          <w:szCs w:val="24"/>
        </w:rPr>
        <w:t xml:space="preserve"> I believe that this incident has influenced how I will police domestic violence going forward and I feel more confident in knowing that there are options for me to protect people who do present to us as vulnerable and who may not be confident enough to take the necessary steps to leave an abusive situation/relationship. With the increasing focus on domestic violence it suggests that we can only improve on our strategies and actions going forward.</w:t>
      </w:r>
    </w:p>
    <w:p w14:paraId="77185B9A" w14:textId="1346CEF2" w:rsidR="00025650" w:rsidRDefault="00025650" w:rsidP="0FF883D4">
      <w:pPr>
        <w:ind w:right="237"/>
        <w:jc w:val="both"/>
        <w:rPr>
          <w:color w:val="000000" w:themeColor="text1"/>
          <w:sz w:val="24"/>
          <w:szCs w:val="24"/>
        </w:rPr>
      </w:pPr>
    </w:p>
    <w:p w14:paraId="1E7DC347" w14:textId="46651B3A" w:rsidR="00A40497" w:rsidRPr="00E676F7" w:rsidRDefault="00A40497" w:rsidP="0FF883D4">
      <w:pPr>
        <w:ind w:right="237"/>
        <w:jc w:val="both"/>
        <w:rPr>
          <w:color w:val="000000" w:themeColor="text1"/>
          <w:sz w:val="24"/>
          <w:szCs w:val="24"/>
        </w:rPr>
      </w:pPr>
      <w:r>
        <w:rPr>
          <w:color w:val="000000" w:themeColor="text1"/>
          <w:sz w:val="24"/>
          <w:szCs w:val="24"/>
        </w:rPr>
        <w:t>Word Count: 2132</w:t>
      </w:r>
    </w:p>
    <w:p w14:paraId="00BED0F7" w14:textId="4DDE863A" w:rsidR="00025650" w:rsidRPr="00E676F7" w:rsidRDefault="00025650" w:rsidP="0FF883D4">
      <w:pPr>
        <w:ind w:right="237"/>
        <w:jc w:val="both"/>
        <w:rPr>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64B43CE1" w14:textId="2FD251AB" w:rsidR="0FF883D4" w:rsidRDefault="0FF883D4" w:rsidP="0FF883D4">
      <w:pPr>
        <w:ind w:right="237"/>
        <w:jc w:val="both"/>
        <w:rPr>
          <w:b/>
          <w:bCs/>
          <w:color w:val="000000" w:themeColor="text1"/>
          <w:sz w:val="24"/>
          <w:szCs w:val="24"/>
        </w:rPr>
      </w:pPr>
    </w:p>
    <w:p w14:paraId="3293DF8B" w14:textId="6DF3A9D7" w:rsidR="00A40497" w:rsidRDefault="00A40497" w:rsidP="0FF883D4">
      <w:pPr>
        <w:ind w:right="237"/>
        <w:jc w:val="both"/>
        <w:rPr>
          <w:b/>
          <w:bCs/>
          <w:color w:val="000000" w:themeColor="text1"/>
          <w:sz w:val="24"/>
          <w:szCs w:val="24"/>
        </w:rPr>
      </w:pPr>
    </w:p>
    <w:p w14:paraId="37C78ED9" w14:textId="7DBFEA7A" w:rsidR="00A40497" w:rsidRDefault="00A40497" w:rsidP="0FF883D4">
      <w:pPr>
        <w:ind w:right="237"/>
        <w:jc w:val="both"/>
        <w:rPr>
          <w:b/>
          <w:bCs/>
          <w:color w:val="000000" w:themeColor="text1"/>
          <w:sz w:val="24"/>
          <w:szCs w:val="24"/>
        </w:rPr>
      </w:pPr>
    </w:p>
    <w:p w14:paraId="46934DBF" w14:textId="77777777" w:rsidR="00A40497" w:rsidRDefault="00A40497"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lastRenderedPageBreak/>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50FD66F0" w:rsidR="0FF883D4" w:rsidRDefault="5CE196A1" w:rsidP="5CE196A1">
      <w:r w:rsidRPr="5CE196A1">
        <w:rPr>
          <w:rFonts w:eastAsia="Arial"/>
          <w:b/>
          <w:bCs/>
          <w:color w:val="000000" w:themeColor="text1"/>
          <w:sz w:val="24"/>
          <w:szCs w:val="24"/>
        </w:rPr>
        <w:t xml:space="preserve">Signed: </w:t>
      </w:r>
      <w:r w:rsidR="000B6673">
        <w:rPr>
          <w:rFonts w:eastAsia="Arial"/>
          <w:b/>
          <w:bCs/>
          <w:color w:val="000000" w:themeColor="text1"/>
          <w:sz w:val="24"/>
          <w:szCs w:val="24"/>
        </w:rPr>
        <w:t>Lauren Williams.</w:t>
      </w:r>
    </w:p>
    <w:p w14:paraId="563192E7" w14:textId="7A83C86F" w:rsidR="0FF883D4" w:rsidRDefault="5CE196A1" w:rsidP="5CE196A1">
      <w:r w:rsidRPr="5CE196A1">
        <w:rPr>
          <w:rFonts w:eastAsia="Arial"/>
          <w:b/>
          <w:bCs/>
          <w:color w:val="000000" w:themeColor="text1"/>
          <w:sz w:val="24"/>
          <w:szCs w:val="24"/>
        </w:rPr>
        <w:t xml:space="preserve"> </w:t>
      </w:r>
    </w:p>
    <w:p w14:paraId="22DBB0E5" w14:textId="606EAEFE" w:rsidR="0FF883D4" w:rsidRDefault="5CE196A1" w:rsidP="5CE196A1">
      <w:r w:rsidRPr="5CE196A1">
        <w:rPr>
          <w:rFonts w:eastAsia="Arial"/>
          <w:b/>
          <w:bCs/>
          <w:color w:val="000000" w:themeColor="text1"/>
          <w:sz w:val="24"/>
          <w:szCs w:val="24"/>
        </w:rPr>
        <w:t>Date:</w:t>
      </w:r>
      <w:r w:rsidR="000B6673">
        <w:rPr>
          <w:rFonts w:eastAsia="Arial"/>
          <w:b/>
          <w:bCs/>
          <w:color w:val="000000" w:themeColor="text1"/>
          <w:sz w:val="24"/>
          <w:szCs w:val="24"/>
        </w:rPr>
        <w:t xml:space="preserve"> 27/10/2022.</w:t>
      </w:r>
    </w:p>
    <w:p w14:paraId="482B2B3A" w14:textId="58CD1802" w:rsidR="0FF883D4" w:rsidRDefault="0FF883D4" w:rsidP="5CE196A1">
      <w:pPr>
        <w:ind w:left="2880" w:right="225" w:firstLine="720"/>
        <w:rPr>
          <w:b/>
          <w:bCs/>
          <w:sz w:val="24"/>
          <w:szCs w:val="24"/>
          <w:lang w:eastAsia="zh-TW"/>
        </w:rPr>
        <w:sectPr w:rsidR="0FF883D4" w:rsidSect="0022001B">
          <w:headerReference w:type="even" r:id="rId16"/>
          <w:headerReference w:type="default" r:id="rId17"/>
          <w:footerReference w:type="even" r:id="rId18"/>
          <w:footerReference w:type="default" r:id="rId19"/>
          <w:headerReference w:type="first" r:id="rId20"/>
          <w:footerReference w:type="first" r:id="rId21"/>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64CD3C14" w14:textId="1EADEF88" w:rsidR="00BC1A47" w:rsidRPr="00A40497" w:rsidRDefault="000F7ECD" w:rsidP="00A40497">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393685F2" w14:textId="7BBD6ADA" w:rsidR="00BC1A47" w:rsidRPr="00A40497" w:rsidRDefault="00BC1A47" w:rsidP="00A40497">
      <w:pPr>
        <w:keepNext/>
        <w:spacing w:before="240" w:after="60" w:line="480" w:lineRule="auto"/>
        <w:ind w:right="237"/>
        <w:jc w:val="both"/>
        <w:rPr>
          <w:sz w:val="24"/>
          <w:szCs w:val="24"/>
        </w:rPr>
      </w:pPr>
    </w:p>
    <w:p w14:paraId="53FE6274" w14:textId="77777777" w:rsidR="00BC1A47" w:rsidRPr="00A40497" w:rsidRDefault="00BC1A47" w:rsidP="00A40497">
      <w:pPr>
        <w:spacing w:line="480" w:lineRule="auto"/>
        <w:rPr>
          <w:sz w:val="24"/>
          <w:szCs w:val="24"/>
        </w:rPr>
      </w:pPr>
      <w:proofErr w:type="spellStart"/>
      <w:r w:rsidRPr="00A40497">
        <w:rPr>
          <w:sz w:val="24"/>
          <w:szCs w:val="24"/>
        </w:rPr>
        <w:t>Bastow</w:t>
      </w:r>
      <w:proofErr w:type="spellEnd"/>
      <w:r w:rsidRPr="00A40497">
        <w:rPr>
          <w:sz w:val="24"/>
          <w:szCs w:val="24"/>
        </w:rPr>
        <w:t xml:space="preserve">, S., 2014. Transforming rehabilitation: evolution not revolution. </w:t>
      </w:r>
      <w:r w:rsidRPr="00A40497">
        <w:rPr>
          <w:i/>
          <w:iCs/>
          <w:sz w:val="24"/>
          <w:szCs w:val="24"/>
        </w:rPr>
        <w:t xml:space="preserve">Criminal Justice Matters, </w:t>
      </w:r>
      <w:r w:rsidRPr="00A40497">
        <w:rPr>
          <w:sz w:val="24"/>
          <w:szCs w:val="24"/>
        </w:rPr>
        <w:t>97(1), pp. 10-11.</w:t>
      </w:r>
    </w:p>
    <w:p w14:paraId="6113D634" w14:textId="77777777" w:rsidR="00BC1A47" w:rsidRPr="00A40497" w:rsidRDefault="00BC1A47" w:rsidP="00A40497">
      <w:pPr>
        <w:spacing w:line="480" w:lineRule="auto"/>
        <w:rPr>
          <w:sz w:val="24"/>
          <w:szCs w:val="24"/>
        </w:rPr>
      </w:pPr>
    </w:p>
    <w:p w14:paraId="510D6F77" w14:textId="77777777" w:rsidR="00BC1A47" w:rsidRPr="00A40497" w:rsidRDefault="00BC1A47" w:rsidP="00A40497">
      <w:pPr>
        <w:spacing w:line="480" w:lineRule="auto"/>
        <w:rPr>
          <w:sz w:val="24"/>
          <w:szCs w:val="24"/>
        </w:rPr>
      </w:pPr>
      <w:proofErr w:type="spellStart"/>
      <w:r w:rsidRPr="00A40497">
        <w:rPr>
          <w:sz w:val="24"/>
          <w:szCs w:val="24"/>
        </w:rPr>
        <w:t>Borton</w:t>
      </w:r>
      <w:proofErr w:type="spellEnd"/>
      <w:r w:rsidRPr="00A40497">
        <w:rPr>
          <w:sz w:val="24"/>
          <w:szCs w:val="24"/>
        </w:rPr>
        <w:t>, T., 1970. Process concerns reach, touch and teach. New York, NY: McGaw-Hill Brook Co, pp 75-91.</w:t>
      </w:r>
    </w:p>
    <w:p w14:paraId="0B7A1BA0" w14:textId="77777777" w:rsidR="00BC1A47" w:rsidRPr="00A40497" w:rsidRDefault="00BC1A47" w:rsidP="00A40497">
      <w:pPr>
        <w:spacing w:line="480" w:lineRule="auto"/>
        <w:rPr>
          <w:sz w:val="24"/>
          <w:szCs w:val="24"/>
        </w:rPr>
      </w:pPr>
    </w:p>
    <w:p w14:paraId="6682721C" w14:textId="77777777" w:rsidR="00BC1A47" w:rsidRPr="00A40497" w:rsidRDefault="00BC1A47" w:rsidP="00A40497">
      <w:pPr>
        <w:spacing w:line="480" w:lineRule="auto"/>
        <w:rPr>
          <w:sz w:val="24"/>
          <w:szCs w:val="24"/>
        </w:rPr>
      </w:pPr>
      <w:proofErr w:type="spellStart"/>
      <w:r w:rsidRPr="00A40497">
        <w:rPr>
          <w:sz w:val="24"/>
          <w:szCs w:val="24"/>
        </w:rPr>
        <w:t>Boullier</w:t>
      </w:r>
      <w:proofErr w:type="spellEnd"/>
      <w:r w:rsidRPr="00A40497">
        <w:rPr>
          <w:sz w:val="24"/>
          <w:szCs w:val="24"/>
        </w:rPr>
        <w:t xml:space="preserve">, M. &amp; Blair, M., 2018. Adverse childhood experiences. </w:t>
      </w:r>
      <w:r w:rsidRPr="00A40497">
        <w:rPr>
          <w:i/>
          <w:iCs/>
          <w:sz w:val="24"/>
          <w:szCs w:val="24"/>
        </w:rPr>
        <w:t xml:space="preserve">Paediatrics and Child Health, </w:t>
      </w:r>
      <w:r w:rsidRPr="00A40497">
        <w:rPr>
          <w:sz w:val="24"/>
          <w:szCs w:val="24"/>
        </w:rPr>
        <w:t>28(3), pp. 132-137.</w:t>
      </w:r>
    </w:p>
    <w:p w14:paraId="356083B9" w14:textId="77777777" w:rsidR="00BC1A47" w:rsidRPr="00A40497" w:rsidRDefault="00BC1A47" w:rsidP="00A40497">
      <w:pPr>
        <w:spacing w:line="480" w:lineRule="auto"/>
        <w:rPr>
          <w:sz w:val="24"/>
          <w:szCs w:val="24"/>
        </w:rPr>
      </w:pPr>
    </w:p>
    <w:p w14:paraId="52AA2B18" w14:textId="3B528720" w:rsidR="00BC1A47" w:rsidRPr="00A40497" w:rsidRDefault="00BC1A47" w:rsidP="00A40497">
      <w:pPr>
        <w:spacing w:line="480" w:lineRule="auto"/>
        <w:rPr>
          <w:sz w:val="24"/>
          <w:szCs w:val="24"/>
        </w:rPr>
      </w:pPr>
      <w:r w:rsidRPr="00A40497">
        <w:rPr>
          <w:sz w:val="24"/>
          <w:szCs w:val="24"/>
        </w:rPr>
        <w:t>Bryant, R &amp; Bryant, S., 2019. Blackstone’s Handbook for Policing Students 2020. Oxford University, USA.</w:t>
      </w:r>
    </w:p>
    <w:p w14:paraId="6816ACB7" w14:textId="48ECDD5E" w:rsidR="00A40497" w:rsidRPr="00A40497" w:rsidRDefault="00A40497" w:rsidP="00A40497">
      <w:pPr>
        <w:spacing w:line="480" w:lineRule="auto"/>
        <w:rPr>
          <w:sz w:val="24"/>
          <w:szCs w:val="24"/>
        </w:rPr>
      </w:pPr>
    </w:p>
    <w:p w14:paraId="41F546C6" w14:textId="5664456E" w:rsidR="00A40497" w:rsidRPr="00A40497" w:rsidRDefault="00A40497" w:rsidP="00A40497">
      <w:pPr>
        <w:spacing w:line="480" w:lineRule="auto"/>
        <w:rPr>
          <w:sz w:val="24"/>
          <w:szCs w:val="24"/>
        </w:rPr>
      </w:pPr>
      <w:r w:rsidRPr="00A40497">
        <w:rPr>
          <w:sz w:val="24"/>
          <w:szCs w:val="24"/>
        </w:rPr>
        <w:t xml:space="preserve">Clare’s Law </w:t>
      </w:r>
      <w:r w:rsidRPr="00A40497">
        <w:rPr>
          <w:sz w:val="24"/>
          <w:szCs w:val="24"/>
        </w:rPr>
        <w:t>(</w:t>
      </w:r>
      <w:r w:rsidRPr="00A40497">
        <w:rPr>
          <w:sz w:val="24"/>
          <w:szCs w:val="24"/>
        </w:rPr>
        <w:t>2022</w:t>
      </w:r>
      <w:r w:rsidRPr="00A40497">
        <w:rPr>
          <w:sz w:val="24"/>
          <w:szCs w:val="24"/>
        </w:rPr>
        <w:t>)</w:t>
      </w:r>
      <w:r w:rsidRPr="00A40497">
        <w:rPr>
          <w:sz w:val="24"/>
          <w:szCs w:val="24"/>
        </w:rPr>
        <w:t xml:space="preserve"> Available at: </w:t>
      </w:r>
      <w:hyperlink r:id="rId22" w:history="1">
        <w:r w:rsidRPr="00A40497">
          <w:rPr>
            <w:rStyle w:val="Hyperlink"/>
            <w:sz w:val="24"/>
            <w:szCs w:val="24"/>
          </w:rPr>
          <w:t>https://clares-law.com/what-is-clares-law/</w:t>
        </w:r>
      </w:hyperlink>
      <w:r w:rsidRPr="00A40497">
        <w:rPr>
          <w:sz w:val="24"/>
          <w:szCs w:val="24"/>
        </w:rPr>
        <w:t xml:space="preserve"> </w:t>
      </w:r>
      <w:r w:rsidRPr="00A40497">
        <w:rPr>
          <w:sz w:val="24"/>
          <w:szCs w:val="24"/>
        </w:rPr>
        <w:t xml:space="preserve"> (Accessed 30th October 2022)</w:t>
      </w:r>
    </w:p>
    <w:p w14:paraId="65441E38" w14:textId="77777777" w:rsidR="00BC1A47" w:rsidRPr="00A40497" w:rsidRDefault="00BC1A47" w:rsidP="00A40497">
      <w:pPr>
        <w:spacing w:line="480" w:lineRule="auto"/>
        <w:rPr>
          <w:sz w:val="24"/>
          <w:szCs w:val="24"/>
        </w:rPr>
      </w:pPr>
    </w:p>
    <w:p w14:paraId="014836C5" w14:textId="77777777" w:rsidR="00BC1A47" w:rsidRPr="00A40497" w:rsidRDefault="00BC1A47" w:rsidP="00A40497">
      <w:pPr>
        <w:spacing w:line="480" w:lineRule="auto"/>
        <w:rPr>
          <w:sz w:val="24"/>
          <w:szCs w:val="24"/>
        </w:rPr>
      </w:pPr>
      <w:r w:rsidRPr="00A40497">
        <w:rPr>
          <w:sz w:val="24"/>
          <w:szCs w:val="24"/>
        </w:rPr>
        <w:t xml:space="preserve">Cohen, L. E. &amp; Felson, M., 1979. Social change and crime rate trends: A routine activity approach. </w:t>
      </w:r>
      <w:r w:rsidRPr="00A40497">
        <w:rPr>
          <w:i/>
          <w:iCs/>
          <w:sz w:val="24"/>
          <w:szCs w:val="24"/>
        </w:rPr>
        <w:t xml:space="preserve">American Sociological Review, </w:t>
      </w:r>
      <w:r w:rsidRPr="00A40497">
        <w:rPr>
          <w:sz w:val="24"/>
          <w:szCs w:val="24"/>
        </w:rPr>
        <w:t xml:space="preserve">pp. 588-608.  </w:t>
      </w:r>
    </w:p>
    <w:p w14:paraId="4A69D0AC" w14:textId="77777777" w:rsidR="00BC1A47" w:rsidRPr="00A40497" w:rsidRDefault="00BC1A47" w:rsidP="00A40497">
      <w:pPr>
        <w:spacing w:line="480" w:lineRule="auto"/>
        <w:rPr>
          <w:sz w:val="24"/>
          <w:szCs w:val="24"/>
        </w:rPr>
      </w:pPr>
    </w:p>
    <w:p w14:paraId="58773DA9" w14:textId="77777777" w:rsidR="00BC1A47" w:rsidRPr="00A40497" w:rsidRDefault="00BC1A47" w:rsidP="00A40497">
      <w:pPr>
        <w:spacing w:line="480" w:lineRule="auto"/>
        <w:rPr>
          <w:sz w:val="24"/>
          <w:szCs w:val="24"/>
        </w:rPr>
      </w:pPr>
      <w:r w:rsidRPr="00A40497">
        <w:rPr>
          <w:sz w:val="24"/>
          <w:szCs w:val="24"/>
        </w:rPr>
        <w:lastRenderedPageBreak/>
        <w:t xml:space="preserve">College of Policing (2022) </w:t>
      </w:r>
      <w:r w:rsidRPr="00A40497">
        <w:rPr>
          <w:i/>
          <w:iCs/>
          <w:sz w:val="24"/>
          <w:szCs w:val="24"/>
        </w:rPr>
        <w:t xml:space="preserve">Analysis. </w:t>
      </w:r>
      <w:r w:rsidRPr="00A40497">
        <w:rPr>
          <w:sz w:val="24"/>
          <w:szCs w:val="24"/>
        </w:rPr>
        <w:t>Available at: https://www.college.police.uk/app/intelligence-management/analysis/analysis (Accessed 26th October 2022)</w:t>
      </w:r>
    </w:p>
    <w:p w14:paraId="71856644" w14:textId="16E4E0DF" w:rsidR="00BC1A47" w:rsidRPr="00A40497" w:rsidRDefault="00BC1A47" w:rsidP="00A40497">
      <w:pPr>
        <w:spacing w:line="480" w:lineRule="auto"/>
        <w:rPr>
          <w:sz w:val="24"/>
          <w:szCs w:val="24"/>
        </w:rPr>
      </w:pPr>
    </w:p>
    <w:p w14:paraId="6593914B" w14:textId="75F4153D" w:rsidR="00A40497" w:rsidRPr="00A40497" w:rsidRDefault="00A40497" w:rsidP="00A40497">
      <w:pPr>
        <w:spacing w:line="480" w:lineRule="auto"/>
        <w:rPr>
          <w:sz w:val="24"/>
          <w:szCs w:val="24"/>
        </w:rPr>
      </w:pPr>
      <w:r w:rsidRPr="00A40497">
        <w:rPr>
          <w:sz w:val="24"/>
          <w:szCs w:val="24"/>
        </w:rPr>
        <w:t xml:space="preserve">College of Policing </w:t>
      </w:r>
      <w:r w:rsidRPr="00A40497">
        <w:rPr>
          <w:sz w:val="24"/>
          <w:szCs w:val="24"/>
        </w:rPr>
        <w:t>(</w:t>
      </w:r>
      <w:r w:rsidRPr="00A40497">
        <w:rPr>
          <w:sz w:val="24"/>
          <w:szCs w:val="24"/>
        </w:rPr>
        <w:t>2022</w:t>
      </w:r>
      <w:r w:rsidRPr="00A40497">
        <w:rPr>
          <w:sz w:val="24"/>
          <w:szCs w:val="24"/>
        </w:rPr>
        <w:t>)</w:t>
      </w:r>
      <w:r w:rsidRPr="00A40497">
        <w:rPr>
          <w:sz w:val="24"/>
          <w:szCs w:val="24"/>
        </w:rPr>
        <w:t xml:space="preserve"> </w:t>
      </w:r>
      <w:r w:rsidRPr="00A40497">
        <w:rPr>
          <w:i/>
          <w:iCs/>
          <w:sz w:val="24"/>
          <w:szCs w:val="24"/>
        </w:rPr>
        <w:t>Court orders and notices.</w:t>
      </w:r>
      <w:r w:rsidRPr="00A40497">
        <w:rPr>
          <w:sz w:val="24"/>
          <w:szCs w:val="24"/>
        </w:rPr>
        <w:t xml:space="preserve"> Available at: </w:t>
      </w:r>
      <w:hyperlink r:id="rId23" w:history="1">
        <w:r w:rsidRPr="00A40497">
          <w:rPr>
            <w:rStyle w:val="Hyperlink"/>
            <w:sz w:val="24"/>
            <w:szCs w:val="24"/>
          </w:rPr>
          <w:t>https://www.college.police.uk/app/major-investigation-and-public-protection/managing-sexual-offenders-and-violent-offenders/court-orders-and-notices#domestic-violence-protection-notice-dvpn-and-domestic-violence-protection-order-dvpo-section-24-crime-and-security-act-2010</w:t>
        </w:r>
      </w:hyperlink>
      <w:r w:rsidRPr="00A40497">
        <w:rPr>
          <w:sz w:val="24"/>
          <w:szCs w:val="24"/>
        </w:rPr>
        <w:t xml:space="preserve"> </w:t>
      </w:r>
      <w:r w:rsidRPr="00A40497">
        <w:rPr>
          <w:sz w:val="24"/>
          <w:szCs w:val="24"/>
        </w:rPr>
        <w:t xml:space="preserve"> (Accessed 30th October 2022)</w:t>
      </w:r>
    </w:p>
    <w:p w14:paraId="6A51F893" w14:textId="77777777" w:rsidR="00A40497" w:rsidRPr="00A40497" w:rsidRDefault="00A40497" w:rsidP="00A40497">
      <w:pPr>
        <w:spacing w:line="480" w:lineRule="auto"/>
        <w:rPr>
          <w:sz w:val="24"/>
          <w:szCs w:val="24"/>
        </w:rPr>
      </w:pPr>
    </w:p>
    <w:p w14:paraId="25B131CB" w14:textId="2897DB91" w:rsidR="00BC1A47" w:rsidRPr="00A40497" w:rsidRDefault="00BC1A47" w:rsidP="00A40497">
      <w:pPr>
        <w:spacing w:line="480" w:lineRule="auto"/>
        <w:rPr>
          <w:sz w:val="24"/>
          <w:szCs w:val="24"/>
        </w:rPr>
      </w:pPr>
      <w:r w:rsidRPr="00A40497">
        <w:rPr>
          <w:sz w:val="24"/>
          <w:szCs w:val="24"/>
        </w:rPr>
        <w:t xml:space="preserve">College of Policing (2022) </w:t>
      </w:r>
      <w:r w:rsidRPr="00A40497">
        <w:rPr>
          <w:i/>
          <w:iCs/>
          <w:sz w:val="24"/>
          <w:szCs w:val="24"/>
        </w:rPr>
        <w:t xml:space="preserve">Evidence-based policing. </w:t>
      </w:r>
      <w:r w:rsidRPr="00A40497">
        <w:rPr>
          <w:sz w:val="24"/>
          <w:szCs w:val="24"/>
        </w:rPr>
        <w:t xml:space="preserve">Available at: </w:t>
      </w:r>
      <w:hyperlink r:id="rId24" w:history="1">
        <w:r w:rsidRPr="00A40497">
          <w:rPr>
            <w:rStyle w:val="Hyperlink"/>
            <w:sz w:val="24"/>
            <w:szCs w:val="24"/>
          </w:rPr>
          <w:t>Evidenchttps://www.college.police.uk/research/evidence-based-policing-EBPe-based policing | College of Policing</w:t>
        </w:r>
      </w:hyperlink>
      <w:r w:rsidRPr="00A40497">
        <w:rPr>
          <w:sz w:val="24"/>
          <w:szCs w:val="24"/>
        </w:rPr>
        <w:t xml:space="preserve"> (Accessed 26</w:t>
      </w:r>
      <w:r w:rsidRPr="00A40497">
        <w:rPr>
          <w:sz w:val="24"/>
          <w:szCs w:val="24"/>
          <w:vertAlign w:val="superscript"/>
        </w:rPr>
        <w:t>th</w:t>
      </w:r>
      <w:r w:rsidRPr="00A40497">
        <w:rPr>
          <w:sz w:val="24"/>
          <w:szCs w:val="24"/>
        </w:rPr>
        <w:t xml:space="preserve"> October 2022)</w:t>
      </w:r>
    </w:p>
    <w:p w14:paraId="64CF06AA" w14:textId="753FA26A" w:rsidR="00A40497" w:rsidRPr="00A40497" w:rsidRDefault="00A40497" w:rsidP="00A40497">
      <w:pPr>
        <w:spacing w:line="480" w:lineRule="auto"/>
        <w:rPr>
          <w:sz w:val="24"/>
          <w:szCs w:val="24"/>
        </w:rPr>
      </w:pPr>
    </w:p>
    <w:p w14:paraId="2546A39C" w14:textId="3FF013FC" w:rsidR="00A40497" w:rsidRPr="00A40497" w:rsidRDefault="00A40497" w:rsidP="00A40497">
      <w:pPr>
        <w:spacing w:line="480" w:lineRule="auto"/>
        <w:rPr>
          <w:sz w:val="24"/>
          <w:szCs w:val="24"/>
        </w:rPr>
      </w:pPr>
      <w:r w:rsidRPr="00A40497">
        <w:rPr>
          <w:i/>
          <w:iCs/>
          <w:sz w:val="24"/>
          <w:szCs w:val="24"/>
        </w:rPr>
        <w:t>Crime and Security Act 2010</w:t>
      </w:r>
      <w:r w:rsidRPr="00A40497">
        <w:rPr>
          <w:sz w:val="24"/>
          <w:szCs w:val="24"/>
        </w:rPr>
        <w:t xml:space="preserve"> c. 24.</w:t>
      </w:r>
      <w:r w:rsidRPr="00A40497">
        <w:rPr>
          <w:sz w:val="24"/>
          <w:szCs w:val="24"/>
        </w:rPr>
        <w:t xml:space="preserve"> Available at: https://www.legislation.gov.uk/ukpga/2010/17/section/24 (Accessed 30th October 2022)</w:t>
      </w:r>
    </w:p>
    <w:p w14:paraId="783B74DF" w14:textId="1BFF9669" w:rsidR="00A40497" w:rsidRPr="00A40497" w:rsidRDefault="00A40497" w:rsidP="00A40497">
      <w:pPr>
        <w:spacing w:line="480" w:lineRule="auto"/>
        <w:rPr>
          <w:sz w:val="24"/>
          <w:szCs w:val="24"/>
        </w:rPr>
      </w:pPr>
    </w:p>
    <w:p w14:paraId="3739F650" w14:textId="7BCCEDD4" w:rsidR="00A40497" w:rsidRPr="00A40497" w:rsidRDefault="00A40497" w:rsidP="00A40497">
      <w:pPr>
        <w:spacing w:line="480" w:lineRule="auto"/>
        <w:rPr>
          <w:sz w:val="24"/>
          <w:szCs w:val="24"/>
        </w:rPr>
      </w:pPr>
      <w:r w:rsidRPr="00A40497">
        <w:rPr>
          <w:i/>
          <w:iCs/>
          <w:sz w:val="24"/>
          <w:szCs w:val="24"/>
        </w:rPr>
        <w:t>Criminal Justice Act 1988</w:t>
      </w:r>
      <w:r w:rsidRPr="00A40497">
        <w:rPr>
          <w:i/>
          <w:iCs/>
          <w:sz w:val="24"/>
          <w:szCs w:val="24"/>
        </w:rPr>
        <w:t xml:space="preserve"> </w:t>
      </w:r>
      <w:r w:rsidRPr="00A40497">
        <w:rPr>
          <w:sz w:val="24"/>
          <w:szCs w:val="24"/>
        </w:rPr>
        <w:t xml:space="preserve">c. 39. </w:t>
      </w:r>
      <w:r w:rsidRPr="00A40497">
        <w:rPr>
          <w:sz w:val="24"/>
          <w:szCs w:val="24"/>
        </w:rPr>
        <w:t>Available at: https://www.legislation.gov.uk/ukpga/1988/33/section/39 (Accessed 30th October 2022)</w:t>
      </w:r>
    </w:p>
    <w:p w14:paraId="7FCCE94E" w14:textId="731F48F3" w:rsidR="00A40497" w:rsidRPr="00A40497" w:rsidRDefault="00A40497" w:rsidP="00A40497">
      <w:pPr>
        <w:spacing w:line="480" w:lineRule="auto"/>
        <w:rPr>
          <w:sz w:val="24"/>
          <w:szCs w:val="24"/>
        </w:rPr>
      </w:pPr>
    </w:p>
    <w:p w14:paraId="123E769C" w14:textId="1E2EA331" w:rsidR="00A40497" w:rsidRPr="00A40497" w:rsidRDefault="00A40497" w:rsidP="00A40497">
      <w:pPr>
        <w:spacing w:line="480" w:lineRule="auto"/>
        <w:rPr>
          <w:sz w:val="24"/>
          <w:szCs w:val="24"/>
        </w:rPr>
      </w:pPr>
      <w:r w:rsidRPr="00A40497">
        <w:rPr>
          <w:sz w:val="24"/>
          <w:szCs w:val="24"/>
        </w:rPr>
        <w:t xml:space="preserve">Crown Prosecution Service </w:t>
      </w:r>
      <w:r w:rsidRPr="00A40497">
        <w:rPr>
          <w:sz w:val="24"/>
          <w:szCs w:val="24"/>
        </w:rPr>
        <w:t>(</w:t>
      </w:r>
      <w:r w:rsidRPr="00A40497">
        <w:rPr>
          <w:sz w:val="24"/>
          <w:szCs w:val="24"/>
        </w:rPr>
        <w:t>2022</w:t>
      </w:r>
      <w:r w:rsidRPr="00A40497">
        <w:rPr>
          <w:sz w:val="24"/>
          <w:szCs w:val="24"/>
        </w:rPr>
        <w:t>)</w:t>
      </w:r>
      <w:r w:rsidRPr="00A40497">
        <w:rPr>
          <w:sz w:val="24"/>
          <w:szCs w:val="24"/>
        </w:rPr>
        <w:t xml:space="preserve"> </w:t>
      </w:r>
      <w:r w:rsidRPr="00A40497">
        <w:rPr>
          <w:i/>
          <w:iCs/>
          <w:sz w:val="24"/>
          <w:szCs w:val="24"/>
        </w:rPr>
        <w:t>Domestic Abuse</w:t>
      </w:r>
      <w:r w:rsidRPr="00A40497">
        <w:rPr>
          <w:sz w:val="24"/>
          <w:szCs w:val="24"/>
        </w:rPr>
        <w:t>. Available at: Domhttps://www.cps.gov.uk/crime-info/domestic-abuseestic abuse | The Crown Prosecution Service (cps.gov.uk) (Accessed 29th October 2022)</w:t>
      </w:r>
    </w:p>
    <w:p w14:paraId="19D01296" w14:textId="77777777" w:rsidR="00BC1A47" w:rsidRPr="00A40497" w:rsidRDefault="00BC1A47" w:rsidP="00A40497">
      <w:pPr>
        <w:spacing w:line="480" w:lineRule="auto"/>
        <w:rPr>
          <w:sz w:val="24"/>
          <w:szCs w:val="24"/>
        </w:rPr>
      </w:pPr>
    </w:p>
    <w:p w14:paraId="5E65D62A" w14:textId="2DE73690" w:rsidR="00BC1A47" w:rsidRPr="00A40497" w:rsidRDefault="00BC1A47" w:rsidP="00A40497">
      <w:pPr>
        <w:spacing w:line="480" w:lineRule="auto"/>
        <w:rPr>
          <w:sz w:val="24"/>
          <w:szCs w:val="24"/>
        </w:rPr>
      </w:pPr>
      <w:r w:rsidRPr="00A40497">
        <w:rPr>
          <w:sz w:val="24"/>
          <w:szCs w:val="24"/>
        </w:rPr>
        <w:t xml:space="preserve">Crown Prosecution Service (2021) </w:t>
      </w:r>
      <w:r w:rsidRPr="00A40497">
        <w:rPr>
          <w:i/>
          <w:iCs/>
          <w:sz w:val="24"/>
          <w:szCs w:val="24"/>
        </w:rPr>
        <w:t xml:space="preserve">Special Measures. </w:t>
      </w:r>
      <w:r w:rsidRPr="00A40497">
        <w:rPr>
          <w:sz w:val="24"/>
          <w:szCs w:val="24"/>
        </w:rPr>
        <w:t xml:space="preserve">Available at: </w:t>
      </w:r>
      <w:hyperlink r:id="rId25" w:history="1">
        <w:r w:rsidRPr="00A40497">
          <w:rPr>
            <w:rStyle w:val="Hyperlink"/>
            <w:sz w:val="24"/>
            <w:szCs w:val="24"/>
          </w:rPr>
          <w:t>Sphttps://www.college.police.uk/app/intelligence-management/analysis/analysisecial Measures | The Crown Prosecution Service (cps.gov.uk)</w:t>
        </w:r>
      </w:hyperlink>
      <w:r w:rsidRPr="00A40497">
        <w:rPr>
          <w:sz w:val="24"/>
          <w:szCs w:val="24"/>
        </w:rPr>
        <w:t xml:space="preserve"> (Accessed 26</w:t>
      </w:r>
      <w:r w:rsidRPr="00A40497">
        <w:rPr>
          <w:sz w:val="24"/>
          <w:szCs w:val="24"/>
          <w:vertAlign w:val="superscript"/>
        </w:rPr>
        <w:t>th</w:t>
      </w:r>
      <w:r w:rsidRPr="00A40497">
        <w:rPr>
          <w:sz w:val="24"/>
          <w:szCs w:val="24"/>
        </w:rPr>
        <w:t xml:space="preserve"> October 2022)</w:t>
      </w:r>
    </w:p>
    <w:p w14:paraId="1A2501AA" w14:textId="18BD97F3" w:rsidR="00A40497" w:rsidRPr="00A40497" w:rsidRDefault="00A40497" w:rsidP="00A40497">
      <w:pPr>
        <w:spacing w:line="480" w:lineRule="auto"/>
        <w:rPr>
          <w:sz w:val="24"/>
          <w:szCs w:val="24"/>
        </w:rPr>
      </w:pPr>
    </w:p>
    <w:p w14:paraId="3C7AF9CD" w14:textId="330FFE3E" w:rsidR="00A40497" w:rsidRPr="00A40497" w:rsidRDefault="00A40497" w:rsidP="00A40497">
      <w:pPr>
        <w:spacing w:line="480" w:lineRule="auto"/>
        <w:rPr>
          <w:sz w:val="24"/>
          <w:szCs w:val="24"/>
        </w:rPr>
      </w:pPr>
      <w:r w:rsidRPr="00A40497">
        <w:rPr>
          <w:i/>
          <w:iCs/>
          <w:sz w:val="24"/>
          <w:szCs w:val="24"/>
        </w:rPr>
        <w:t>Domestic Abuse Act 2021</w:t>
      </w:r>
      <w:r w:rsidRPr="00A40497">
        <w:rPr>
          <w:sz w:val="24"/>
          <w:szCs w:val="24"/>
        </w:rPr>
        <w:t>.</w:t>
      </w:r>
      <w:r w:rsidRPr="00A40497">
        <w:rPr>
          <w:sz w:val="24"/>
          <w:szCs w:val="24"/>
        </w:rPr>
        <w:t xml:space="preserve"> Available at: https://www.legislation.gov.uk/ukpga/2021/17/part/1/enacted (Accessed 29th October 2022)</w:t>
      </w:r>
    </w:p>
    <w:p w14:paraId="079970A9" w14:textId="2483B898" w:rsidR="00A40497" w:rsidRPr="00A40497" w:rsidRDefault="00A40497" w:rsidP="00A40497">
      <w:pPr>
        <w:spacing w:line="480" w:lineRule="auto"/>
        <w:rPr>
          <w:sz w:val="24"/>
          <w:szCs w:val="24"/>
        </w:rPr>
      </w:pPr>
    </w:p>
    <w:p w14:paraId="6C4D77B5" w14:textId="255A0236" w:rsidR="00A40497" w:rsidRPr="00A40497" w:rsidRDefault="00A40497" w:rsidP="00A40497">
      <w:pPr>
        <w:spacing w:line="480" w:lineRule="auto"/>
        <w:rPr>
          <w:sz w:val="24"/>
          <w:szCs w:val="24"/>
        </w:rPr>
      </w:pPr>
      <w:r w:rsidRPr="00A40497">
        <w:rPr>
          <w:sz w:val="24"/>
          <w:szCs w:val="24"/>
        </w:rPr>
        <w:t>Dutton, D. G. &amp; White, K. R., 2013. Male victims of domestic violence.</w:t>
      </w:r>
      <w:r w:rsidRPr="00A40497">
        <w:rPr>
          <w:i/>
          <w:iCs/>
          <w:sz w:val="24"/>
          <w:szCs w:val="24"/>
        </w:rPr>
        <w:t xml:space="preserve"> New male studies: An international journal</w:t>
      </w:r>
      <w:r w:rsidRPr="00A40497">
        <w:rPr>
          <w:sz w:val="24"/>
          <w:szCs w:val="24"/>
        </w:rPr>
        <w:t>, 2(1), pp. 5-17.</w:t>
      </w:r>
    </w:p>
    <w:p w14:paraId="301BA801" w14:textId="77777777" w:rsidR="00A40497" w:rsidRPr="00A40497" w:rsidRDefault="00A40497" w:rsidP="00A40497">
      <w:pPr>
        <w:spacing w:line="480" w:lineRule="auto"/>
        <w:rPr>
          <w:sz w:val="24"/>
          <w:szCs w:val="24"/>
        </w:rPr>
      </w:pPr>
    </w:p>
    <w:p w14:paraId="1E40C135" w14:textId="3008F2ED" w:rsidR="00A40497" w:rsidRPr="00A40497" w:rsidRDefault="00A40497" w:rsidP="00A40497">
      <w:pPr>
        <w:spacing w:line="480" w:lineRule="auto"/>
        <w:rPr>
          <w:sz w:val="24"/>
          <w:szCs w:val="24"/>
        </w:rPr>
      </w:pPr>
      <w:r w:rsidRPr="00A40497">
        <w:rPr>
          <w:sz w:val="24"/>
          <w:szCs w:val="24"/>
        </w:rPr>
        <w:t xml:space="preserve">Ellison, L., 2008. Prosecuting domestic violence without victim participation. </w:t>
      </w:r>
      <w:r w:rsidRPr="00A40497">
        <w:rPr>
          <w:i/>
          <w:iCs/>
          <w:sz w:val="24"/>
          <w:szCs w:val="24"/>
        </w:rPr>
        <w:t>Modern Law Review,</w:t>
      </w:r>
      <w:r w:rsidRPr="00A40497">
        <w:rPr>
          <w:sz w:val="24"/>
          <w:szCs w:val="24"/>
        </w:rPr>
        <w:t xml:space="preserve"> 65(6), pp. 834-858.</w:t>
      </w:r>
    </w:p>
    <w:p w14:paraId="03D5E2A7" w14:textId="77777777" w:rsidR="00BC1A47" w:rsidRPr="00A40497" w:rsidRDefault="00BC1A47" w:rsidP="00A40497">
      <w:pPr>
        <w:spacing w:line="480" w:lineRule="auto"/>
        <w:rPr>
          <w:sz w:val="24"/>
          <w:szCs w:val="24"/>
        </w:rPr>
      </w:pPr>
    </w:p>
    <w:p w14:paraId="3F64C888" w14:textId="04A8E8C2" w:rsidR="00BC1A47" w:rsidRPr="00A40497" w:rsidRDefault="00BC1A47" w:rsidP="00A40497">
      <w:pPr>
        <w:spacing w:line="480" w:lineRule="auto"/>
        <w:rPr>
          <w:sz w:val="24"/>
          <w:szCs w:val="24"/>
        </w:rPr>
      </w:pPr>
      <w:r w:rsidRPr="00A40497">
        <w:rPr>
          <w:sz w:val="24"/>
          <w:szCs w:val="24"/>
        </w:rPr>
        <w:t xml:space="preserve">Felson, R. B., Messner, S. F., Hoskin, A. W. &amp; Deane, G., 2006. Reasons for reporting and not reporting domestic violence to the police. </w:t>
      </w:r>
      <w:r w:rsidRPr="00A40497">
        <w:rPr>
          <w:i/>
          <w:iCs/>
          <w:sz w:val="24"/>
          <w:szCs w:val="24"/>
        </w:rPr>
        <w:t xml:space="preserve">Criminology, </w:t>
      </w:r>
      <w:r w:rsidRPr="00A40497">
        <w:rPr>
          <w:sz w:val="24"/>
          <w:szCs w:val="24"/>
        </w:rPr>
        <w:t>40(3), pp. 617-648.</w:t>
      </w:r>
    </w:p>
    <w:p w14:paraId="5EF60B07" w14:textId="2012005C" w:rsidR="00A40497" w:rsidRPr="00A40497" w:rsidRDefault="00A40497" w:rsidP="00A40497">
      <w:pPr>
        <w:spacing w:line="480" w:lineRule="auto"/>
        <w:rPr>
          <w:sz w:val="24"/>
          <w:szCs w:val="24"/>
        </w:rPr>
      </w:pPr>
    </w:p>
    <w:p w14:paraId="6DA483B7" w14:textId="425EE922" w:rsidR="00A40497" w:rsidRPr="00A40497" w:rsidRDefault="00A40497" w:rsidP="00A40497">
      <w:pPr>
        <w:spacing w:line="480" w:lineRule="auto"/>
        <w:rPr>
          <w:sz w:val="24"/>
          <w:szCs w:val="24"/>
        </w:rPr>
      </w:pPr>
      <w:r w:rsidRPr="00A40497">
        <w:rPr>
          <w:sz w:val="24"/>
          <w:szCs w:val="24"/>
        </w:rPr>
        <w:t xml:space="preserve">Fitz-Gibbon, K. &amp; </w:t>
      </w:r>
      <w:proofErr w:type="spellStart"/>
      <w:r w:rsidRPr="00A40497">
        <w:rPr>
          <w:sz w:val="24"/>
          <w:szCs w:val="24"/>
        </w:rPr>
        <w:t>Walklate</w:t>
      </w:r>
      <w:proofErr w:type="spellEnd"/>
      <w:r w:rsidRPr="00A40497">
        <w:rPr>
          <w:sz w:val="24"/>
          <w:szCs w:val="24"/>
        </w:rPr>
        <w:t xml:space="preserve">, S., 2016. The efficacy of Clare’s Law in domestic violence law reform in England and Wales. </w:t>
      </w:r>
      <w:r w:rsidRPr="00A40497">
        <w:rPr>
          <w:i/>
          <w:iCs/>
          <w:sz w:val="24"/>
          <w:szCs w:val="24"/>
        </w:rPr>
        <w:t>Criminology and Criminal Justice,</w:t>
      </w:r>
      <w:r w:rsidRPr="00A40497">
        <w:rPr>
          <w:sz w:val="24"/>
          <w:szCs w:val="24"/>
        </w:rPr>
        <w:t xml:space="preserve"> 17(3), </w:t>
      </w:r>
      <w:proofErr w:type="spellStart"/>
      <w:r w:rsidRPr="00A40497">
        <w:rPr>
          <w:sz w:val="24"/>
          <w:szCs w:val="24"/>
        </w:rPr>
        <w:t>doi</w:t>
      </w:r>
      <w:proofErr w:type="spellEnd"/>
      <w:r w:rsidRPr="00A40497">
        <w:rPr>
          <w:sz w:val="24"/>
          <w:szCs w:val="24"/>
        </w:rPr>
        <w:t>: https://doi.org/10.1177/1748895816671383 (Accessed 30th October 2022)</w:t>
      </w:r>
    </w:p>
    <w:p w14:paraId="186DD529" w14:textId="212E778B" w:rsidR="00BC1A47" w:rsidRPr="00A40497" w:rsidRDefault="00BC1A47" w:rsidP="00A40497">
      <w:pPr>
        <w:spacing w:line="480" w:lineRule="auto"/>
        <w:rPr>
          <w:sz w:val="24"/>
          <w:szCs w:val="24"/>
        </w:rPr>
      </w:pPr>
    </w:p>
    <w:p w14:paraId="7563A966" w14:textId="78C60356" w:rsidR="00A40497" w:rsidRPr="00A40497" w:rsidRDefault="00A40497" w:rsidP="00A40497">
      <w:pPr>
        <w:spacing w:line="480" w:lineRule="auto"/>
        <w:rPr>
          <w:sz w:val="24"/>
          <w:szCs w:val="24"/>
        </w:rPr>
      </w:pPr>
      <w:r w:rsidRPr="00A40497">
        <w:rPr>
          <w:sz w:val="24"/>
          <w:szCs w:val="24"/>
        </w:rPr>
        <w:lastRenderedPageBreak/>
        <w:t xml:space="preserve">Hague, G.M. &amp; </w:t>
      </w:r>
      <w:proofErr w:type="spellStart"/>
      <w:r w:rsidRPr="00A40497">
        <w:rPr>
          <w:sz w:val="24"/>
          <w:szCs w:val="24"/>
        </w:rPr>
        <w:t>Malos</w:t>
      </w:r>
      <w:proofErr w:type="spellEnd"/>
      <w:r w:rsidRPr="00A40497">
        <w:rPr>
          <w:sz w:val="24"/>
          <w:szCs w:val="24"/>
        </w:rPr>
        <w:t xml:space="preserve">, E.M., 1998. </w:t>
      </w:r>
      <w:r w:rsidRPr="00A40497">
        <w:rPr>
          <w:i/>
          <w:iCs/>
          <w:sz w:val="24"/>
          <w:szCs w:val="24"/>
        </w:rPr>
        <w:t>Domestic violence: Action for change.</w:t>
      </w:r>
      <w:r w:rsidRPr="00A40497">
        <w:rPr>
          <w:sz w:val="24"/>
          <w:szCs w:val="24"/>
        </w:rPr>
        <w:t xml:space="preserve"> New Clarion Press.</w:t>
      </w:r>
    </w:p>
    <w:p w14:paraId="2B278A84" w14:textId="77777777" w:rsidR="00A40497" w:rsidRPr="00A40497" w:rsidRDefault="00A40497" w:rsidP="00A40497">
      <w:pPr>
        <w:spacing w:line="480" w:lineRule="auto"/>
        <w:rPr>
          <w:sz w:val="24"/>
          <w:szCs w:val="24"/>
        </w:rPr>
      </w:pPr>
    </w:p>
    <w:p w14:paraId="4FB3FDEB" w14:textId="04C327BA" w:rsidR="00A40497" w:rsidRPr="00A40497" w:rsidRDefault="00A40497" w:rsidP="00A40497">
      <w:pPr>
        <w:spacing w:line="480" w:lineRule="auto"/>
        <w:rPr>
          <w:sz w:val="24"/>
          <w:szCs w:val="24"/>
        </w:rPr>
      </w:pPr>
      <w:r w:rsidRPr="00A40497">
        <w:rPr>
          <w:sz w:val="24"/>
          <w:szCs w:val="24"/>
        </w:rPr>
        <w:t xml:space="preserve">Home Office </w:t>
      </w:r>
      <w:r w:rsidRPr="00A40497">
        <w:rPr>
          <w:sz w:val="24"/>
          <w:szCs w:val="24"/>
        </w:rPr>
        <w:t>(</w:t>
      </w:r>
      <w:r w:rsidRPr="00A40497">
        <w:rPr>
          <w:sz w:val="24"/>
          <w:szCs w:val="24"/>
        </w:rPr>
        <w:t>2013</w:t>
      </w:r>
      <w:r w:rsidRPr="00A40497">
        <w:rPr>
          <w:sz w:val="24"/>
          <w:szCs w:val="24"/>
        </w:rPr>
        <w:t>)</w:t>
      </w:r>
      <w:r w:rsidRPr="00A40497">
        <w:rPr>
          <w:sz w:val="24"/>
          <w:szCs w:val="24"/>
        </w:rPr>
        <w:t xml:space="preserve"> </w:t>
      </w:r>
      <w:r w:rsidRPr="00A40497">
        <w:rPr>
          <w:i/>
          <w:iCs/>
          <w:sz w:val="24"/>
          <w:szCs w:val="24"/>
        </w:rPr>
        <w:t>Clare’s law to become a national scheme.</w:t>
      </w:r>
      <w:r w:rsidRPr="00A40497">
        <w:rPr>
          <w:sz w:val="24"/>
          <w:szCs w:val="24"/>
        </w:rPr>
        <w:t xml:space="preserve"> Available at: https://www.gov.uk/government/news/clares-law-to-become-a-national-scheme (Accessed 30th October 2022)</w:t>
      </w:r>
    </w:p>
    <w:p w14:paraId="560C4838" w14:textId="77777777" w:rsidR="00A40497" w:rsidRPr="00A40497" w:rsidRDefault="00A40497" w:rsidP="00A40497">
      <w:pPr>
        <w:spacing w:line="480" w:lineRule="auto"/>
        <w:rPr>
          <w:sz w:val="24"/>
          <w:szCs w:val="24"/>
        </w:rPr>
      </w:pPr>
    </w:p>
    <w:p w14:paraId="489751DF" w14:textId="77777777" w:rsidR="00BC1A47" w:rsidRPr="00A40497" w:rsidRDefault="00BC1A47" w:rsidP="00A40497">
      <w:pPr>
        <w:spacing w:line="480" w:lineRule="auto"/>
        <w:rPr>
          <w:sz w:val="24"/>
          <w:szCs w:val="24"/>
        </w:rPr>
      </w:pPr>
      <w:r w:rsidRPr="00A40497">
        <w:rPr>
          <w:sz w:val="24"/>
          <w:szCs w:val="24"/>
        </w:rPr>
        <w:t xml:space="preserve">Laird, J. J., </w:t>
      </w:r>
      <w:proofErr w:type="spellStart"/>
      <w:r w:rsidRPr="00A40497">
        <w:rPr>
          <w:sz w:val="24"/>
          <w:szCs w:val="24"/>
        </w:rPr>
        <w:t>Klettke</w:t>
      </w:r>
      <w:proofErr w:type="spellEnd"/>
      <w:r w:rsidRPr="00A40497">
        <w:rPr>
          <w:sz w:val="24"/>
          <w:szCs w:val="24"/>
        </w:rPr>
        <w:t xml:space="preserve">, B., Hall, K., Clancy, E. &amp; </w:t>
      </w:r>
      <w:proofErr w:type="spellStart"/>
      <w:r w:rsidRPr="00A40497">
        <w:rPr>
          <w:sz w:val="24"/>
          <w:szCs w:val="24"/>
        </w:rPr>
        <w:t>Halliford</w:t>
      </w:r>
      <w:proofErr w:type="spellEnd"/>
      <w:r w:rsidRPr="00A40497">
        <w:rPr>
          <w:sz w:val="24"/>
          <w:szCs w:val="24"/>
        </w:rPr>
        <w:t xml:space="preserve">, D., 2022. Demographic and psychosocial factors associated with child sexual exploitation: A systematic review and meta-analysis. </w:t>
      </w:r>
      <w:r w:rsidRPr="00A40497">
        <w:rPr>
          <w:i/>
          <w:iCs/>
          <w:sz w:val="24"/>
          <w:szCs w:val="24"/>
        </w:rPr>
        <w:t xml:space="preserve">JAMA network open, </w:t>
      </w:r>
      <w:r w:rsidRPr="00A40497">
        <w:rPr>
          <w:sz w:val="24"/>
          <w:szCs w:val="24"/>
        </w:rPr>
        <w:t>3(9). (Accessed 24</w:t>
      </w:r>
      <w:r w:rsidRPr="00A40497">
        <w:rPr>
          <w:sz w:val="24"/>
          <w:szCs w:val="24"/>
          <w:vertAlign w:val="superscript"/>
        </w:rPr>
        <w:t>th</w:t>
      </w:r>
      <w:r w:rsidRPr="00A40497">
        <w:rPr>
          <w:sz w:val="24"/>
          <w:szCs w:val="24"/>
        </w:rPr>
        <w:t xml:space="preserve"> October 2022)</w:t>
      </w:r>
    </w:p>
    <w:p w14:paraId="702CB8E4" w14:textId="77777777" w:rsidR="00BC1A47" w:rsidRPr="00A40497" w:rsidRDefault="00BC1A47" w:rsidP="00A40497">
      <w:pPr>
        <w:spacing w:line="480" w:lineRule="auto"/>
        <w:rPr>
          <w:sz w:val="24"/>
          <w:szCs w:val="24"/>
        </w:rPr>
      </w:pPr>
    </w:p>
    <w:p w14:paraId="7EBDFDB5" w14:textId="77777777" w:rsidR="00BC1A47" w:rsidRPr="00A40497" w:rsidRDefault="00BC1A47" w:rsidP="00A40497">
      <w:pPr>
        <w:spacing w:line="480" w:lineRule="auto"/>
        <w:rPr>
          <w:sz w:val="24"/>
          <w:szCs w:val="24"/>
        </w:rPr>
      </w:pPr>
      <w:r w:rsidRPr="00A40497">
        <w:rPr>
          <w:sz w:val="24"/>
          <w:szCs w:val="24"/>
        </w:rPr>
        <w:t xml:space="preserve">Lupton, C. &amp; Khan, P., 2009. The role of health professionals in the UK child protection system: a literature review. </w:t>
      </w:r>
      <w:r w:rsidRPr="00A40497">
        <w:rPr>
          <w:i/>
          <w:iCs/>
          <w:sz w:val="24"/>
          <w:szCs w:val="24"/>
        </w:rPr>
        <w:t xml:space="preserve"> Journal of Interprofessional Care, </w:t>
      </w:r>
      <w:r w:rsidRPr="00A40497">
        <w:rPr>
          <w:sz w:val="24"/>
          <w:szCs w:val="24"/>
        </w:rPr>
        <w:t>12(2), pp 209-221.</w:t>
      </w:r>
    </w:p>
    <w:p w14:paraId="59BB04C2" w14:textId="77777777" w:rsidR="00BC1A47" w:rsidRPr="00A40497" w:rsidRDefault="00BC1A47" w:rsidP="00A40497">
      <w:pPr>
        <w:spacing w:line="480" w:lineRule="auto"/>
        <w:rPr>
          <w:sz w:val="24"/>
          <w:szCs w:val="24"/>
        </w:rPr>
      </w:pPr>
      <w:r w:rsidRPr="00A40497">
        <w:rPr>
          <w:sz w:val="24"/>
          <w:szCs w:val="24"/>
        </w:rPr>
        <w:t xml:space="preserve"> </w:t>
      </w:r>
    </w:p>
    <w:p w14:paraId="76B277FD" w14:textId="77777777" w:rsidR="00BC1A47" w:rsidRPr="00A40497" w:rsidRDefault="00BC1A47" w:rsidP="00A40497">
      <w:pPr>
        <w:spacing w:line="480" w:lineRule="auto"/>
        <w:rPr>
          <w:sz w:val="24"/>
          <w:szCs w:val="24"/>
        </w:rPr>
      </w:pPr>
      <w:r w:rsidRPr="00A40497">
        <w:rPr>
          <w:sz w:val="24"/>
          <w:szCs w:val="24"/>
        </w:rPr>
        <w:t xml:space="preserve">Merriam-Webster. (n.d.) Gaslighting. In </w:t>
      </w:r>
      <w:r w:rsidRPr="00A40497">
        <w:rPr>
          <w:i/>
          <w:iCs/>
          <w:sz w:val="24"/>
          <w:szCs w:val="24"/>
        </w:rPr>
        <w:t xml:space="preserve">Merriam-Webster.com dictionary. </w:t>
      </w:r>
      <w:r w:rsidRPr="00A40497">
        <w:rPr>
          <w:sz w:val="24"/>
          <w:szCs w:val="24"/>
        </w:rPr>
        <w:t xml:space="preserve">Retrieved October 24, 2022, from </w:t>
      </w:r>
      <w:hyperlink r:id="rId26" w:history="1">
        <w:r w:rsidRPr="00A40497">
          <w:rPr>
            <w:rStyle w:val="Hyperlink"/>
            <w:sz w:val="24"/>
            <w:szCs w:val="24"/>
          </w:rPr>
          <w:t>https://www.merriam-webster.com/dictionary/gaslighting</w:t>
        </w:r>
      </w:hyperlink>
      <w:r w:rsidRPr="00A40497">
        <w:rPr>
          <w:sz w:val="24"/>
          <w:szCs w:val="24"/>
        </w:rPr>
        <w:t>.</w:t>
      </w:r>
    </w:p>
    <w:p w14:paraId="37B22C3B" w14:textId="77777777" w:rsidR="00BC1A47" w:rsidRPr="00A40497" w:rsidRDefault="00BC1A47" w:rsidP="00A40497">
      <w:pPr>
        <w:spacing w:line="480" w:lineRule="auto"/>
        <w:rPr>
          <w:sz w:val="24"/>
          <w:szCs w:val="24"/>
        </w:rPr>
      </w:pPr>
    </w:p>
    <w:p w14:paraId="4957AF12" w14:textId="77777777" w:rsidR="00BC1A47" w:rsidRPr="00A40497" w:rsidRDefault="00BC1A47" w:rsidP="00A40497">
      <w:pPr>
        <w:spacing w:line="480" w:lineRule="auto"/>
        <w:rPr>
          <w:sz w:val="24"/>
          <w:szCs w:val="24"/>
        </w:rPr>
      </w:pPr>
      <w:r w:rsidRPr="00A40497">
        <w:rPr>
          <w:sz w:val="24"/>
          <w:szCs w:val="24"/>
        </w:rPr>
        <w:t xml:space="preserve">Messing, J. T. (2007) </w:t>
      </w:r>
      <w:r w:rsidRPr="00A40497">
        <w:rPr>
          <w:i/>
          <w:iCs/>
          <w:sz w:val="24"/>
          <w:szCs w:val="24"/>
        </w:rPr>
        <w:t xml:space="preserve">Assessing the risk: What police reports reveal about domestic violence escalation. </w:t>
      </w:r>
      <w:r w:rsidRPr="00A40497">
        <w:rPr>
          <w:sz w:val="24"/>
          <w:szCs w:val="24"/>
        </w:rPr>
        <w:t xml:space="preserve">University of California. </w:t>
      </w:r>
    </w:p>
    <w:p w14:paraId="43E424FF" w14:textId="77777777" w:rsidR="00BC1A47" w:rsidRPr="00A40497" w:rsidRDefault="00BC1A47" w:rsidP="00A40497">
      <w:pPr>
        <w:spacing w:line="480" w:lineRule="auto"/>
        <w:rPr>
          <w:sz w:val="24"/>
          <w:szCs w:val="24"/>
        </w:rPr>
      </w:pPr>
    </w:p>
    <w:p w14:paraId="226C3436" w14:textId="77777777" w:rsidR="00BC1A47" w:rsidRPr="00A40497" w:rsidRDefault="00BC1A47" w:rsidP="00A40497">
      <w:pPr>
        <w:spacing w:line="480" w:lineRule="auto"/>
        <w:rPr>
          <w:sz w:val="24"/>
          <w:szCs w:val="24"/>
        </w:rPr>
      </w:pPr>
      <w:r w:rsidRPr="00A40497">
        <w:rPr>
          <w:i/>
          <w:iCs/>
          <w:sz w:val="24"/>
          <w:szCs w:val="24"/>
        </w:rPr>
        <w:t xml:space="preserve">Offences Against the Person Act 1861 </w:t>
      </w:r>
      <w:r w:rsidRPr="00A40497">
        <w:rPr>
          <w:sz w:val="24"/>
          <w:szCs w:val="24"/>
        </w:rPr>
        <w:t xml:space="preserve">c.47. Available at: </w:t>
      </w:r>
      <w:hyperlink r:id="rId27" w:history="1">
        <w:r w:rsidRPr="00A40497">
          <w:rPr>
            <w:rStyle w:val="Hyperlink"/>
            <w:sz w:val="24"/>
            <w:szCs w:val="24"/>
          </w:rPr>
          <w:t>Offences https://www.college.police.uk/app/intelligence-management/analysis/analysisagainst the Person Act 1861 (legislation.gov.uk)</w:t>
        </w:r>
      </w:hyperlink>
      <w:r w:rsidRPr="00A40497">
        <w:rPr>
          <w:sz w:val="24"/>
          <w:szCs w:val="24"/>
        </w:rPr>
        <w:t xml:space="preserve"> (Accessed 24</w:t>
      </w:r>
      <w:r w:rsidRPr="00A40497">
        <w:rPr>
          <w:sz w:val="24"/>
          <w:szCs w:val="24"/>
          <w:vertAlign w:val="superscript"/>
        </w:rPr>
        <w:t>th</w:t>
      </w:r>
      <w:r w:rsidRPr="00A40497">
        <w:rPr>
          <w:sz w:val="24"/>
          <w:szCs w:val="24"/>
        </w:rPr>
        <w:t xml:space="preserve"> October 2022)</w:t>
      </w:r>
    </w:p>
    <w:p w14:paraId="2C1BD2D6" w14:textId="77777777" w:rsidR="00BC1A47" w:rsidRPr="00A40497" w:rsidRDefault="00BC1A47" w:rsidP="00A40497">
      <w:pPr>
        <w:spacing w:line="480" w:lineRule="auto"/>
        <w:rPr>
          <w:sz w:val="24"/>
          <w:szCs w:val="24"/>
        </w:rPr>
      </w:pPr>
    </w:p>
    <w:p w14:paraId="178E6304" w14:textId="3C3A91F9" w:rsidR="00A40497" w:rsidRPr="00A40497" w:rsidRDefault="00BC1A47" w:rsidP="00A40497">
      <w:pPr>
        <w:spacing w:line="480" w:lineRule="auto"/>
        <w:rPr>
          <w:sz w:val="24"/>
          <w:szCs w:val="24"/>
        </w:rPr>
      </w:pPr>
      <w:r w:rsidRPr="00A40497">
        <w:rPr>
          <w:sz w:val="24"/>
          <w:szCs w:val="24"/>
        </w:rPr>
        <w:lastRenderedPageBreak/>
        <w:t xml:space="preserve">Pease, K. &amp; Farrell, G., 2016. </w:t>
      </w:r>
      <w:r w:rsidRPr="00A40497">
        <w:rPr>
          <w:i/>
          <w:iCs/>
          <w:sz w:val="24"/>
          <w:szCs w:val="24"/>
        </w:rPr>
        <w:t xml:space="preserve">Repeat Victimisation. </w:t>
      </w:r>
      <w:r w:rsidRPr="00A40497">
        <w:rPr>
          <w:sz w:val="24"/>
          <w:szCs w:val="24"/>
        </w:rPr>
        <w:t>In “Environmental Criminology and Crime Analysis”, 2</w:t>
      </w:r>
      <w:r w:rsidRPr="00A40497">
        <w:rPr>
          <w:sz w:val="24"/>
          <w:szCs w:val="24"/>
          <w:vertAlign w:val="superscript"/>
        </w:rPr>
        <w:t xml:space="preserve">nd </w:t>
      </w:r>
      <w:r w:rsidRPr="00A40497">
        <w:rPr>
          <w:sz w:val="24"/>
          <w:szCs w:val="24"/>
        </w:rPr>
        <w:t xml:space="preserve">ed. Wortley, R. &amp; </w:t>
      </w:r>
      <w:proofErr w:type="spellStart"/>
      <w:r w:rsidRPr="00A40497">
        <w:rPr>
          <w:sz w:val="24"/>
          <w:szCs w:val="24"/>
        </w:rPr>
        <w:t>Townsley</w:t>
      </w:r>
      <w:proofErr w:type="spellEnd"/>
      <w:r w:rsidRPr="00A40497">
        <w:rPr>
          <w:sz w:val="24"/>
          <w:szCs w:val="24"/>
        </w:rPr>
        <w:t xml:space="preserve">, M. Routledge. </w:t>
      </w:r>
    </w:p>
    <w:p w14:paraId="2631EF05" w14:textId="77777777" w:rsidR="00A40497" w:rsidRPr="00A40497" w:rsidRDefault="00A40497" w:rsidP="00A40497">
      <w:pPr>
        <w:spacing w:line="480" w:lineRule="auto"/>
        <w:rPr>
          <w:sz w:val="24"/>
          <w:szCs w:val="24"/>
        </w:rPr>
      </w:pPr>
    </w:p>
    <w:p w14:paraId="65045E0D" w14:textId="79A44866" w:rsidR="00A40497" w:rsidRPr="00A40497" w:rsidRDefault="00A40497" w:rsidP="00A40497">
      <w:pPr>
        <w:spacing w:line="480" w:lineRule="auto"/>
        <w:rPr>
          <w:sz w:val="24"/>
          <w:szCs w:val="24"/>
        </w:rPr>
      </w:pPr>
      <w:r w:rsidRPr="00A40497">
        <w:rPr>
          <w:sz w:val="24"/>
          <w:szCs w:val="24"/>
        </w:rPr>
        <w:t xml:space="preserve">Police Federation </w:t>
      </w:r>
      <w:r w:rsidRPr="00A40497">
        <w:rPr>
          <w:sz w:val="24"/>
          <w:szCs w:val="24"/>
        </w:rPr>
        <w:t>(</w:t>
      </w:r>
      <w:r w:rsidRPr="00A40497">
        <w:rPr>
          <w:sz w:val="24"/>
          <w:szCs w:val="24"/>
        </w:rPr>
        <w:t>2022</w:t>
      </w:r>
      <w:r w:rsidRPr="00A40497">
        <w:rPr>
          <w:sz w:val="24"/>
          <w:szCs w:val="24"/>
        </w:rPr>
        <w:t>)</w:t>
      </w:r>
      <w:r w:rsidRPr="00A40497">
        <w:rPr>
          <w:sz w:val="24"/>
          <w:szCs w:val="24"/>
        </w:rPr>
        <w:t xml:space="preserve"> </w:t>
      </w:r>
      <w:r w:rsidRPr="00A40497">
        <w:rPr>
          <w:i/>
          <w:iCs/>
          <w:sz w:val="24"/>
          <w:szCs w:val="24"/>
        </w:rPr>
        <w:t>Body-worn video.</w:t>
      </w:r>
      <w:r w:rsidRPr="00A40497">
        <w:rPr>
          <w:sz w:val="24"/>
          <w:szCs w:val="24"/>
        </w:rPr>
        <w:t xml:space="preserve"> Available at: https://www.polfed.org/our-work/operational-policing/body-worn-video/ (Accessed 29th October 2022)</w:t>
      </w:r>
    </w:p>
    <w:p w14:paraId="7BF10C90" w14:textId="6B62E458" w:rsidR="00BC1A47" w:rsidRPr="00A40497" w:rsidRDefault="00BC1A47" w:rsidP="00A40497">
      <w:pPr>
        <w:spacing w:line="480" w:lineRule="auto"/>
        <w:rPr>
          <w:sz w:val="24"/>
          <w:szCs w:val="24"/>
        </w:rPr>
      </w:pPr>
    </w:p>
    <w:p w14:paraId="4BDEF782" w14:textId="78862B08" w:rsidR="00A40497" w:rsidRPr="00A40497" w:rsidRDefault="00A40497" w:rsidP="00A40497">
      <w:pPr>
        <w:spacing w:line="480" w:lineRule="auto"/>
        <w:rPr>
          <w:sz w:val="24"/>
          <w:szCs w:val="24"/>
        </w:rPr>
      </w:pPr>
      <w:r w:rsidRPr="00A40497">
        <w:rPr>
          <w:i/>
          <w:iCs/>
          <w:sz w:val="24"/>
          <w:szCs w:val="24"/>
        </w:rPr>
        <w:t>Serious Crime Act 2015</w:t>
      </w:r>
      <w:r w:rsidRPr="00A40497">
        <w:rPr>
          <w:sz w:val="24"/>
          <w:szCs w:val="24"/>
        </w:rPr>
        <w:t xml:space="preserve"> c.76.</w:t>
      </w:r>
      <w:r w:rsidRPr="00A40497">
        <w:rPr>
          <w:sz w:val="24"/>
          <w:szCs w:val="24"/>
        </w:rPr>
        <w:t xml:space="preserve"> Available at: https://www.legislation.gov.uk/ukpga/2015/9/section/76/enacted (Accessed 30th October 2022)</w:t>
      </w:r>
    </w:p>
    <w:p w14:paraId="3A6127A4" w14:textId="77777777" w:rsidR="00A40497" w:rsidRPr="00A40497" w:rsidRDefault="00A40497" w:rsidP="00A40497">
      <w:pPr>
        <w:spacing w:line="480" w:lineRule="auto"/>
        <w:rPr>
          <w:sz w:val="24"/>
          <w:szCs w:val="24"/>
        </w:rPr>
      </w:pPr>
    </w:p>
    <w:p w14:paraId="697BD7C9" w14:textId="77777777" w:rsidR="00BC1A47" w:rsidRPr="00A40497" w:rsidRDefault="00BC1A47" w:rsidP="00A40497">
      <w:pPr>
        <w:spacing w:line="480" w:lineRule="auto"/>
        <w:rPr>
          <w:sz w:val="24"/>
          <w:szCs w:val="24"/>
        </w:rPr>
      </w:pPr>
      <w:r w:rsidRPr="00A40497">
        <w:rPr>
          <w:sz w:val="24"/>
          <w:szCs w:val="24"/>
        </w:rPr>
        <w:t xml:space="preserve">Sherman, L. W., 1998. </w:t>
      </w:r>
      <w:r w:rsidRPr="00A40497">
        <w:rPr>
          <w:i/>
          <w:iCs/>
          <w:sz w:val="24"/>
          <w:szCs w:val="24"/>
        </w:rPr>
        <w:t xml:space="preserve">Evidence-based policing. Ideas in American policing. </w:t>
      </w:r>
      <w:r w:rsidRPr="00A40497">
        <w:rPr>
          <w:sz w:val="24"/>
          <w:szCs w:val="24"/>
        </w:rPr>
        <w:t>Washington, DC: Police Foundation.</w:t>
      </w:r>
    </w:p>
    <w:p w14:paraId="4F123460" w14:textId="77777777" w:rsidR="00BC1A47" w:rsidRPr="00A40497" w:rsidRDefault="00BC1A47" w:rsidP="00A40497">
      <w:pPr>
        <w:spacing w:line="480" w:lineRule="auto"/>
        <w:rPr>
          <w:sz w:val="24"/>
          <w:szCs w:val="24"/>
        </w:rPr>
      </w:pPr>
    </w:p>
    <w:p w14:paraId="08703878" w14:textId="77777777" w:rsidR="00BC1A47" w:rsidRPr="00A40497" w:rsidRDefault="00BC1A47" w:rsidP="00A40497">
      <w:pPr>
        <w:spacing w:line="480" w:lineRule="auto"/>
        <w:rPr>
          <w:sz w:val="24"/>
          <w:szCs w:val="24"/>
        </w:rPr>
      </w:pPr>
      <w:r w:rsidRPr="00A40497">
        <w:rPr>
          <w:sz w:val="24"/>
          <w:szCs w:val="24"/>
        </w:rPr>
        <w:t xml:space="preserve">South Wales Police (2008) </w:t>
      </w:r>
      <w:r w:rsidRPr="00A40497">
        <w:rPr>
          <w:i/>
          <w:iCs/>
          <w:sz w:val="24"/>
          <w:szCs w:val="24"/>
        </w:rPr>
        <w:t>Adults at risk</w:t>
      </w:r>
      <w:r w:rsidRPr="00A40497">
        <w:rPr>
          <w:sz w:val="24"/>
          <w:szCs w:val="24"/>
        </w:rPr>
        <w:t xml:space="preserve">. Available at: </w:t>
      </w:r>
      <w:hyperlink r:id="rId28" w:history="1">
        <w:r w:rsidRPr="00A40497">
          <w:rPr>
            <w:rStyle w:val="Hyperlink"/>
            <w:sz w:val="24"/>
            <w:szCs w:val="24"/>
          </w:rPr>
          <w:t>adults-at-riskhttps://www.college.police.uk/app/intelligence-management/analysis/analysis---english.pdf (south-wales.police.uk)</w:t>
        </w:r>
      </w:hyperlink>
      <w:r w:rsidRPr="00A40497">
        <w:rPr>
          <w:sz w:val="24"/>
          <w:szCs w:val="24"/>
        </w:rPr>
        <w:t xml:space="preserve"> (Accessed 24</w:t>
      </w:r>
      <w:r w:rsidRPr="00A40497">
        <w:rPr>
          <w:sz w:val="24"/>
          <w:szCs w:val="24"/>
          <w:vertAlign w:val="superscript"/>
        </w:rPr>
        <w:t>th</w:t>
      </w:r>
      <w:r w:rsidRPr="00A40497">
        <w:rPr>
          <w:sz w:val="24"/>
          <w:szCs w:val="24"/>
        </w:rPr>
        <w:t xml:space="preserve"> October 2022)</w:t>
      </w:r>
    </w:p>
    <w:p w14:paraId="54331528" w14:textId="77777777" w:rsidR="00BC1A47" w:rsidRPr="00A40497" w:rsidRDefault="00BC1A47" w:rsidP="00A40497">
      <w:pPr>
        <w:spacing w:line="480" w:lineRule="auto"/>
        <w:rPr>
          <w:sz w:val="24"/>
          <w:szCs w:val="24"/>
        </w:rPr>
      </w:pPr>
    </w:p>
    <w:p w14:paraId="46BF76E6" w14:textId="77777777" w:rsidR="00BC1A47" w:rsidRPr="00A40497" w:rsidRDefault="00BC1A47" w:rsidP="00A40497">
      <w:pPr>
        <w:spacing w:line="480" w:lineRule="auto"/>
        <w:rPr>
          <w:sz w:val="24"/>
          <w:szCs w:val="24"/>
        </w:rPr>
      </w:pPr>
      <w:r w:rsidRPr="00A40497">
        <w:rPr>
          <w:sz w:val="24"/>
          <w:szCs w:val="24"/>
        </w:rPr>
        <w:t xml:space="preserve">South Wales Police (2022) </w:t>
      </w:r>
      <w:r w:rsidRPr="00A40497">
        <w:rPr>
          <w:i/>
          <w:iCs/>
          <w:sz w:val="24"/>
          <w:szCs w:val="24"/>
        </w:rPr>
        <w:t xml:space="preserve">Victim and witness support organisations. </w:t>
      </w:r>
      <w:r w:rsidRPr="00A40497">
        <w:rPr>
          <w:sz w:val="24"/>
          <w:szCs w:val="24"/>
        </w:rPr>
        <w:t xml:space="preserve">Available at: </w:t>
      </w:r>
      <w:hyperlink r:id="rId29" w:history="1">
        <w:r w:rsidRPr="00A40497">
          <w:rPr>
            <w:rStyle w:val="Hyperlink"/>
            <w:sz w:val="24"/>
            <w:szCs w:val="24"/>
          </w:rPr>
          <w:t>Vichttps://www.college.police.uk/app/intelligence-management/analysis/analysistim and witness support organisations | South Wales Police (south-wales.police.uk)</w:t>
        </w:r>
      </w:hyperlink>
      <w:r w:rsidRPr="00A40497">
        <w:rPr>
          <w:sz w:val="24"/>
          <w:szCs w:val="24"/>
        </w:rPr>
        <w:t xml:space="preserve"> (Accessed 26</w:t>
      </w:r>
      <w:r w:rsidRPr="00A40497">
        <w:rPr>
          <w:sz w:val="24"/>
          <w:szCs w:val="24"/>
          <w:vertAlign w:val="superscript"/>
        </w:rPr>
        <w:t>th</w:t>
      </w:r>
      <w:r w:rsidRPr="00A40497">
        <w:rPr>
          <w:sz w:val="24"/>
          <w:szCs w:val="24"/>
        </w:rPr>
        <w:t xml:space="preserve"> October 2022)</w:t>
      </w:r>
    </w:p>
    <w:p w14:paraId="3A412774" w14:textId="77777777" w:rsidR="00BC1A47" w:rsidRPr="00A40497" w:rsidRDefault="00BC1A47" w:rsidP="00A40497">
      <w:pPr>
        <w:spacing w:line="480" w:lineRule="auto"/>
        <w:rPr>
          <w:sz w:val="24"/>
          <w:szCs w:val="24"/>
        </w:rPr>
      </w:pPr>
    </w:p>
    <w:p w14:paraId="70935512" w14:textId="77777777" w:rsidR="00BC1A47" w:rsidRPr="00A40497" w:rsidRDefault="00BC1A47" w:rsidP="00A40497">
      <w:pPr>
        <w:spacing w:line="480" w:lineRule="auto"/>
        <w:rPr>
          <w:sz w:val="24"/>
          <w:szCs w:val="24"/>
        </w:rPr>
      </w:pPr>
      <w:r w:rsidRPr="00A40497">
        <w:rPr>
          <w:sz w:val="24"/>
          <w:szCs w:val="24"/>
        </w:rPr>
        <w:t xml:space="preserve">Sweet, P. L., 2019. The sociology of gaslighting. </w:t>
      </w:r>
      <w:r w:rsidRPr="00A40497">
        <w:rPr>
          <w:i/>
          <w:iCs/>
          <w:sz w:val="24"/>
          <w:szCs w:val="24"/>
        </w:rPr>
        <w:t xml:space="preserve">American Sociological Review, </w:t>
      </w:r>
      <w:r w:rsidRPr="00A40497">
        <w:rPr>
          <w:sz w:val="24"/>
          <w:szCs w:val="24"/>
        </w:rPr>
        <w:t xml:space="preserve">84(5). </w:t>
      </w:r>
      <w:proofErr w:type="spellStart"/>
      <w:r w:rsidRPr="00A40497">
        <w:rPr>
          <w:sz w:val="24"/>
          <w:szCs w:val="24"/>
        </w:rPr>
        <w:t>doi</w:t>
      </w:r>
      <w:proofErr w:type="spellEnd"/>
      <w:r w:rsidRPr="00A40497">
        <w:rPr>
          <w:sz w:val="24"/>
          <w:szCs w:val="24"/>
        </w:rPr>
        <w:t xml:space="preserve">: </w:t>
      </w:r>
      <w:hyperlink r:id="rId30" w:history="1">
        <w:r w:rsidRPr="00A40497">
          <w:rPr>
            <w:rStyle w:val="Hyperlink"/>
            <w:sz w:val="24"/>
            <w:szCs w:val="24"/>
          </w:rPr>
          <w:t>https://doi.org/10.1177/0003122419874843</w:t>
        </w:r>
      </w:hyperlink>
      <w:r w:rsidRPr="00A40497">
        <w:rPr>
          <w:sz w:val="24"/>
          <w:szCs w:val="24"/>
        </w:rPr>
        <w:t xml:space="preserve"> (Accessed 24th October 2022)</w:t>
      </w:r>
    </w:p>
    <w:p w14:paraId="5F337BC3" w14:textId="77777777" w:rsidR="00BC1A47" w:rsidRPr="00A40497" w:rsidRDefault="00BC1A47" w:rsidP="00A40497">
      <w:pPr>
        <w:spacing w:line="480" w:lineRule="auto"/>
        <w:rPr>
          <w:sz w:val="24"/>
          <w:szCs w:val="24"/>
        </w:rPr>
      </w:pPr>
    </w:p>
    <w:p w14:paraId="0D9D033D" w14:textId="549B2E99" w:rsidR="00A40497" w:rsidRDefault="00A40497" w:rsidP="00A40497">
      <w:pPr>
        <w:spacing w:line="480" w:lineRule="auto"/>
        <w:rPr>
          <w:sz w:val="24"/>
          <w:szCs w:val="24"/>
        </w:rPr>
      </w:pPr>
      <w:proofErr w:type="spellStart"/>
      <w:r w:rsidRPr="00A40497">
        <w:rPr>
          <w:sz w:val="24"/>
          <w:szCs w:val="24"/>
        </w:rPr>
        <w:t>Tsui</w:t>
      </w:r>
      <w:proofErr w:type="spellEnd"/>
      <w:r w:rsidRPr="00A40497">
        <w:rPr>
          <w:sz w:val="24"/>
          <w:szCs w:val="24"/>
        </w:rPr>
        <w:t>, V.</w:t>
      </w:r>
      <w:r w:rsidRPr="00A40497">
        <w:rPr>
          <w:sz w:val="24"/>
          <w:szCs w:val="24"/>
        </w:rPr>
        <w:t xml:space="preserve">, </w:t>
      </w:r>
      <w:r w:rsidRPr="00A40497">
        <w:rPr>
          <w:sz w:val="24"/>
          <w:szCs w:val="24"/>
        </w:rPr>
        <w:t>2014</w:t>
      </w:r>
      <w:r w:rsidRPr="00A40497">
        <w:rPr>
          <w:sz w:val="24"/>
          <w:szCs w:val="24"/>
        </w:rPr>
        <w:t xml:space="preserve">. </w:t>
      </w:r>
      <w:r w:rsidRPr="00A40497">
        <w:rPr>
          <w:sz w:val="24"/>
          <w:szCs w:val="24"/>
        </w:rPr>
        <w:t xml:space="preserve">Male Victims of Intimate Partner Abuse: Use and Helpfulness of Services. </w:t>
      </w:r>
      <w:r w:rsidRPr="00A40497">
        <w:rPr>
          <w:i/>
          <w:iCs/>
          <w:sz w:val="24"/>
          <w:szCs w:val="24"/>
        </w:rPr>
        <w:t>Social Work,</w:t>
      </w:r>
      <w:r w:rsidRPr="00A40497">
        <w:rPr>
          <w:sz w:val="24"/>
          <w:szCs w:val="24"/>
        </w:rPr>
        <w:t xml:space="preserve"> 59(2), pp. 121-130.</w:t>
      </w:r>
    </w:p>
    <w:p w14:paraId="605787E9" w14:textId="77777777" w:rsidR="00A40497" w:rsidRPr="00A40497" w:rsidRDefault="00A40497" w:rsidP="00A40497">
      <w:pPr>
        <w:spacing w:line="480" w:lineRule="auto"/>
        <w:rPr>
          <w:sz w:val="24"/>
          <w:szCs w:val="24"/>
        </w:rPr>
      </w:pPr>
    </w:p>
    <w:p w14:paraId="67B0CA76" w14:textId="1034AB5E" w:rsidR="00A40497" w:rsidRDefault="00A40497" w:rsidP="00A40497">
      <w:pPr>
        <w:keepNext/>
        <w:spacing w:before="240" w:after="60" w:line="480" w:lineRule="auto"/>
        <w:ind w:right="237"/>
        <w:jc w:val="both"/>
        <w:rPr>
          <w:sz w:val="24"/>
          <w:szCs w:val="24"/>
        </w:rPr>
      </w:pPr>
      <w:r w:rsidRPr="00A40497">
        <w:rPr>
          <w:sz w:val="24"/>
          <w:szCs w:val="24"/>
        </w:rPr>
        <w:t xml:space="preserve">Tarling, R., Dowds, L. &amp; Budd, T., 2000. </w:t>
      </w:r>
      <w:r w:rsidRPr="00A40497">
        <w:rPr>
          <w:i/>
          <w:iCs/>
          <w:sz w:val="24"/>
          <w:szCs w:val="24"/>
        </w:rPr>
        <w:t>Victim and witness intimidation: Key findings from the British crime survey.</w:t>
      </w:r>
      <w:r w:rsidRPr="00A40497">
        <w:rPr>
          <w:sz w:val="24"/>
          <w:szCs w:val="24"/>
        </w:rPr>
        <w:t xml:space="preserve"> Available at: https://www.ojp.gov/ncjrs/virtual-library/abstracts/victim-and-witness-intimidation-key-findings-british-crime-survey (Accessed 29th October 2022)</w:t>
      </w:r>
    </w:p>
    <w:p w14:paraId="4F9EEB19" w14:textId="77777777" w:rsidR="00A40497" w:rsidRPr="00A40497" w:rsidRDefault="00A40497" w:rsidP="00A40497">
      <w:pPr>
        <w:keepNext/>
        <w:spacing w:before="240" w:after="60" w:line="480" w:lineRule="auto"/>
        <w:ind w:right="237"/>
        <w:jc w:val="both"/>
        <w:rPr>
          <w:sz w:val="24"/>
          <w:szCs w:val="24"/>
        </w:rPr>
      </w:pPr>
    </w:p>
    <w:p w14:paraId="35E3482C" w14:textId="4F3015DA" w:rsidR="00A40497" w:rsidRPr="00A40497" w:rsidRDefault="00A40497" w:rsidP="00A40497">
      <w:pPr>
        <w:keepNext/>
        <w:spacing w:before="240" w:after="60" w:line="480" w:lineRule="auto"/>
        <w:ind w:right="237"/>
        <w:jc w:val="both"/>
        <w:rPr>
          <w:sz w:val="24"/>
          <w:szCs w:val="24"/>
        </w:rPr>
      </w:pPr>
      <w:r w:rsidRPr="00A40497">
        <w:rPr>
          <w:sz w:val="24"/>
          <w:szCs w:val="24"/>
        </w:rPr>
        <w:t xml:space="preserve">Welsh Women’s Aid 2022. </w:t>
      </w:r>
      <w:r w:rsidRPr="00A40497">
        <w:rPr>
          <w:i/>
          <w:iCs/>
          <w:sz w:val="24"/>
          <w:szCs w:val="24"/>
        </w:rPr>
        <w:t>Live Fear Free Helpline</w:t>
      </w:r>
      <w:r w:rsidRPr="00A40497">
        <w:rPr>
          <w:sz w:val="24"/>
          <w:szCs w:val="24"/>
        </w:rPr>
        <w:t>. Available at: https://welshwomensaid.org.uk/what-we-do/live-fear-free-helpline/ (Accessed 30th October 2022)</w:t>
      </w:r>
    </w:p>
    <w:sectPr w:rsidR="00A40497" w:rsidRPr="00A4049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57AD7" w14:textId="77777777" w:rsidR="000B6673" w:rsidRDefault="000B66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5C92BA61" w:rsidR="00F6513F" w:rsidRDefault="00F6513F">
    <w:pPr>
      <w:pStyle w:val="Footer"/>
      <w:jc w:val="right"/>
    </w:pPr>
    <w:r>
      <w:fldChar w:fldCharType="begin"/>
    </w:r>
    <w:r>
      <w:instrText xml:space="preserve"> PAGE   \* MERGEFORMAT </w:instrText>
    </w:r>
    <w:r>
      <w:fldChar w:fldCharType="separate"/>
    </w:r>
    <w:r w:rsidR="00FF289D">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5309D" w14:textId="77777777" w:rsidR="000B6673" w:rsidRDefault="000B66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EE538" w14:textId="77777777" w:rsidR="000B6673" w:rsidRDefault="000B66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91E29" w14:textId="77777777" w:rsidR="000B6673" w:rsidRDefault="000B66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39332" w14:textId="77777777" w:rsidR="000B6673" w:rsidRDefault="000B6673">
    <w:pPr>
      <w:pStyle w:val="Header"/>
    </w:pPr>
  </w:p>
</w:hdr>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B0CAC6EA"/>
    <w:lvl w:ilvl="0" w:tplc="79D69C3E">
      <w:start w:val="1"/>
      <w:numFmt w:val="decimal"/>
      <w:lvlText w:val="%1."/>
      <w:lvlJc w:val="left"/>
      <w:pPr>
        <w:ind w:left="720" w:hanging="360"/>
      </w:pPr>
    </w:lvl>
    <w:lvl w:ilvl="1" w:tplc="7A2EB8B6">
      <w:start w:val="1"/>
      <w:numFmt w:val="lowerLetter"/>
      <w:lvlText w:val="%2."/>
      <w:lvlJc w:val="left"/>
      <w:pPr>
        <w:ind w:left="1440" w:hanging="360"/>
      </w:pPr>
    </w:lvl>
    <w:lvl w:ilvl="2" w:tplc="9380236C">
      <w:start w:val="1"/>
      <w:numFmt w:val="lowerRoman"/>
      <w:lvlText w:val="%3."/>
      <w:lvlJc w:val="right"/>
      <w:pPr>
        <w:ind w:left="2160" w:hanging="180"/>
      </w:pPr>
    </w:lvl>
    <w:lvl w:ilvl="3" w:tplc="520C2BAE">
      <w:start w:val="1"/>
      <w:numFmt w:val="decimal"/>
      <w:lvlText w:val="%4."/>
      <w:lvlJc w:val="left"/>
      <w:pPr>
        <w:ind w:left="2880" w:hanging="360"/>
      </w:pPr>
    </w:lvl>
    <w:lvl w:ilvl="4" w:tplc="187EFDC0">
      <w:start w:val="1"/>
      <w:numFmt w:val="lowerLetter"/>
      <w:lvlText w:val="%5."/>
      <w:lvlJc w:val="left"/>
      <w:pPr>
        <w:ind w:left="3600" w:hanging="360"/>
      </w:pPr>
    </w:lvl>
    <w:lvl w:ilvl="5" w:tplc="575CF9D4">
      <w:start w:val="1"/>
      <w:numFmt w:val="lowerRoman"/>
      <w:lvlText w:val="%6."/>
      <w:lvlJc w:val="right"/>
      <w:pPr>
        <w:ind w:left="4320" w:hanging="180"/>
      </w:pPr>
    </w:lvl>
    <w:lvl w:ilvl="6" w:tplc="DDDAAED0">
      <w:start w:val="1"/>
      <w:numFmt w:val="decimal"/>
      <w:lvlText w:val="%7."/>
      <w:lvlJc w:val="left"/>
      <w:pPr>
        <w:ind w:left="5040" w:hanging="360"/>
      </w:pPr>
    </w:lvl>
    <w:lvl w:ilvl="7" w:tplc="DECA7C0C">
      <w:start w:val="1"/>
      <w:numFmt w:val="lowerLetter"/>
      <w:lvlText w:val="%8."/>
      <w:lvlJc w:val="left"/>
      <w:pPr>
        <w:ind w:left="5760" w:hanging="360"/>
      </w:pPr>
    </w:lvl>
    <w:lvl w:ilvl="8" w:tplc="63F0509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52B09258"/>
    <w:lvl w:ilvl="0" w:tplc="D546801C">
      <w:start w:val="1"/>
      <w:numFmt w:val="decimal"/>
      <w:lvlText w:val="%1."/>
      <w:lvlJc w:val="left"/>
      <w:pPr>
        <w:ind w:left="720" w:hanging="360"/>
      </w:pPr>
    </w:lvl>
    <w:lvl w:ilvl="1" w:tplc="36DE369E">
      <w:start w:val="1"/>
      <w:numFmt w:val="decimal"/>
      <w:lvlText w:val="%2."/>
      <w:lvlJc w:val="left"/>
      <w:pPr>
        <w:ind w:left="1440" w:hanging="360"/>
      </w:pPr>
    </w:lvl>
    <w:lvl w:ilvl="2" w:tplc="ABEC206A">
      <w:start w:val="1"/>
      <w:numFmt w:val="lowerRoman"/>
      <w:lvlText w:val="%3."/>
      <w:lvlJc w:val="right"/>
      <w:pPr>
        <w:ind w:left="2160" w:hanging="180"/>
      </w:pPr>
    </w:lvl>
    <w:lvl w:ilvl="3" w:tplc="FB36E0C4">
      <w:start w:val="1"/>
      <w:numFmt w:val="decimal"/>
      <w:lvlText w:val="%4."/>
      <w:lvlJc w:val="left"/>
      <w:pPr>
        <w:ind w:left="2880" w:hanging="360"/>
      </w:pPr>
    </w:lvl>
    <w:lvl w:ilvl="4" w:tplc="854E8648">
      <w:start w:val="1"/>
      <w:numFmt w:val="lowerLetter"/>
      <w:lvlText w:val="%5."/>
      <w:lvlJc w:val="left"/>
      <w:pPr>
        <w:ind w:left="3600" w:hanging="360"/>
      </w:pPr>
    </w:lvl>
    <w:lvl w:ilvl="5" w:tplc="D7F8FC0E">
      <w:start w:val="1"/>
      <w:numFmt w:val="lowerRoman"/>
      <w:lvlText w:val="%6."/>
      <w:lvlJc w:val="right"/>
      <w:pPr>
        <w:ind w:left="4320" w:hanging="180"/>
      </w:pPr>
    </w:lvl>
    <w:lvl w:ilvl="6" w:tplc="27E86454">
      <w:start w:val="1"/>
      <w:numFmt w:val="decimal"/>
      <w:lvlText w:val="%7."/>
      <w:lvlJc w:val="left"/>
      <w:pPr>
        <w:ind w:left="5040" w:hanging="360"/>
      </w:pPr>
    </w:lvl>
    <w:lvl w:ilvl="7" w:tplc="676E773E">
      <w:start w:val="1"/>
      <w:numFmt w:val="lowerLetter"/>
      <w:lvlText w:val="%8."/>
      <w:lvlJc w:val="left"/>
      <w:pPr>
        <w:ind w:left="5760" w:hanging="360"/>
      </w:pPr>
    </w:lvl>
    <w:lvl w:ilvl="8" w:tplc="1E68D67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10"/>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2"/>
  </w:num>
  <w:num w:numId="5">
    <w:abstractNumId w:val="44"/>
  </w:num>
  <w:num w:numId="6">
    <w:abstractNumId w:val="46"/>
  </w:num>
  <w:num w:numId="7">
    <w:abstractNumId w:val="34"/>
  </w:num>
  <w:num w:numId="8">
    <w:abstractNumId w:val="32"/>
  </w:num>
  <w:num w:numId="9">
    <w:abstractNumId w:val="29"/>
  </w:num>
  <w:num w:numId="10">
    <w:abstractNumId w:val="30"/>
  </w:num>
  <w:num w:numId="11">
    <w:abstractNumId w:val="9"/>
  </w:num>
  <w:num w:numId="12">
    <w:abstractNumId w:val="33"/>
  </w:num>
  <w:num w:numId="13">
    <w:abstractNumId w:val="17"/>
  </w:num>
  <w:num w:numId="14">
    <w:abstractNumId w:val="16"/>
  </w:num>
  <w:num w:numId="15">
    <w:abstractNumId w:val="26"/>
  </w:num>
  <w:num w:numId="16">
    <w:abstractNumId w:val="7"/>
  </w:num>
  <w:num w:numId="17">
    <w:abstractNumId w:val="25"/>
  </w:num>
  <w:num w:numId="18">
    <w:abstractNumId w:val="15"/>
  </w:num>
  <w:num w:numId="19">
    <w:abstractNumId w:val="13"/>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8"/>
  </w:num>
  <w:num w:numId="23">
    <w:abstractNumId w:val="14"/>
  </w:num>
  <w:num w:numId="24">
    <w:abstractNumId w:val="11"/>
  </w:num>
  <w:num w:numId="25">
    <w:abstractNumId w:val="27"/>
  </w:num>
  <w:num w:numId="26">
    <w:abstractNumId w:val="19"/>
  </w:num>
  <w:num w:numId="27">
    <w:abstractNumId w:val="40"/>
  </w:num>
  <w:num w:numId="28">
    <w:abstractNumId w:val="35"/>
  </w:num>
  <w:num w:numId="29">
    <w:abstractNumId w:val="39"/>
  </w:num>
  <w:num w:numId="30">
    <w:abstractNumId w:val="20"/>
  </w:num>
  <w:num w:numId="31">
    <w:abstractNumId w:val="42"/>
  </w:num>
  <w:num w:numId="32">
    <w:abstractNumId w:val="31"/>
  </w:num>
  <w:num w:numId="33">
    <w:abstractNumId w:val="12"/>
  </w:num>
  <w:num w:numId="34">
    <w:abstractNumId w:val="43"/>
  </w:num>
  <w:num w:numId="35">
    <w:abstractNumId w:val="38"/>
  </w:num>
  <w:num w:numId="36">
    <w:abstractNumId w:val="4"/>
  </w:num>
  <w:num w:numId="37">
    <w:abstractNumId w:val="45"/>
  </w:num>
  <w:num w:numId="38">
    <w:abstractNumId w:val="41"/>
  </w:num>
  <w:num w:numId="39">
    <w:abstractNumId w:val="36"/>
  </w:num>
  <w:num w:numId="40">
    <w:abstractNumId w:val="37"/>
  </w:num>
  <w:num w:numId="41">
    <w:abstractNumId w:val="3"/>
  </w:num>
  <w:num w:numId="42">
    <w:abstractNumId w:val="5"/>
  </w:num>
  <w:num w:numId="43">
    <w:abstractNumId w:val="24"/>
  </w:num>
  <w:num w:numId="44">
    <w:abstractNumId w:val="6"/>
  </w:num>
  <w:num w:numId="45">
    <w:abstractNumId w:val="2"/>
  </w:num>
  <w:num w:numId="46">
    <w:abstractNumId w:val="0"/>
  </w:num>
  <w:num w:numId="47">
    <w:abstractNumId w:val="21"/>
  </w:num>
  <w:num w:numId="48">
    <w:abstractNumId w:val="28"/>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673"/>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497"/>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A47"/>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289D"/>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A404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1.xml"/><Relationship Id="rId26" Type="http://schemas.openxmlformats.org/officeDocument/2006/relationships/hyperlink" Target="https://www.merriam-webster.com/dictionary/gaslighting"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2.xml"/><Relationship Id="rId25" Type="http://schemas.openxmlformats.org/officeDocument/2006/relationships/hyperlink" Target="https://www.cps.gov.uk/legal-guidance/special-measures" TargetMode="External"/><Relationship Id="rId33"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s://www.south-wales.police.uk/advice/advice-and-information/victim-support/Victim-witness-support-organisation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research/evidence-based-policing-EBP"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college.police.uk/app/major-investigation-and-public-protection/managing-sexual-offenders-and-violent-offenders/court-orders-and-notices#domestic-violence-protection-notice-dvpn-and-domestic-violence-protection-order-dvpo-section-24-crime-and-security-act-2010" TargetMode="External"/><Relationship Id="rId28" Type="http://schemas.openxmlformats.org/officeDocument/2006/relationships/hyperlink" Target="https://www.south-wales.police.uk/SysSiteAssets/media/downloads/south-wales/about-us/policies-and-procedures/english/adults-at-risk---english.pdf" TargetMode="Externa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clares-law.com/what-is-clares-law/" TargetMode="External"/><Relationship Id="rId27" Type="http://schemas.openxmlformats.org/officeDocument/2006/relationships/hyperlink" Target="https://www.legislation.gov.uk/ukpga/Vict/24-25/100/crossheading/assaults" TargetMode="External"/><Relationship Id="rId30" Type="http://schemas.openxmlformats.org/officeDocument/2006/relationships/hyperlink" Target="https://doi.org/10.1177/0003122419874843"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12FE-1FD1-49EA-B6C0-E2F555C33180}">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1ecf5648-3750-43f5-867d-bfaa16e6e17e"/>
    <ds:schemaRef ds:uri="http://www.w3.org/XML/1998/namespac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343D1840-5FD8-4E86-8B60-6509E8A1B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28</Pages>
  <Words>6092</Words>
  <Characters>34737</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Williams,Lauren swp6932</cp:lastModifiedBy>
  <cp:revision>5</cp:revision>
  <cp:lastPrinted>2014-08-26T08:55:00Z</cp:lastPrinted>
  <dcterms:created xsi:type="dcterms:W3CDTF">2022-07-30T06:46:00Z</dcterms:created>
  <dcterms:modified xsi:type="dcterms:W3CDTF">2022-10-30T13:33:00Z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6bac4201-9a94-4ec0-839a-3fa755c65ecd</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2022-10-26T17:57:41Z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aee01dd8-0544-44dd-acfa-c5faf2bccd57</vt:lpwstr>
  </property>
  <property fmtid="{D5CDD505-2E9C-101B-9397-08002B2CF9AE}" pid="12" name="MSIP_Label_66cf8fe5-b7b7-4df7-b38d-1c61ac2f6639_ContentBits">
    <vt:lpwstr>0</vt:lpwstr>
  </property>
</Properties>
</file>