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p>
    <w:p>
      <w:pPr>
        <w:spacing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t>Clothing Retailers: A Guide to Intercultural Communication and Culture in Global Business Expansion</w:t>
      </w:r>
    </w:p>
    <w:p>
      <w:pPr>
        <w:spacing w:line="480" w:lineRule="auto"/>
        <w:contextualSpacing/>
        <w:jc w:val="center"/>
        <w:rPr>
          <w:rFonts w:hint="eastAsia" w:ascii="Times New Roman" w:hAnsi="Times New Roman" w:eastAsia="宋体" w:cs="Times New Roman"/>
          <w:sz w:val="24"/>
          <w:szCs w:val="24"/>
          <w:lang w:val="en-US" w:eastAsia="zh-CN"/>
        </w:rPr>
      </w:pPr>
      <w:r>
        <w:rPr>
          <w:rFonts w:ascii="Times New Roman" w:hAnsi="Times New Roman" w:cs="Times New Roman"/>
          <w:sz w:val="24"/>
          <w:szCs w:val="24"/>
        </w:rPr>
        <w:t>Student’s</w:t>
      </w:r>
      <w:r>
        <w:rPr>
          <w:rFonts w:hint="eastAsia" w:ascii="Times New Roman" w:hAnsi="Times New Roman" w:eastAsia="宋体" w:cs="Times New Roman"/>
          <w:sz w:val="24"/>
          <w:szCs w:val="24"/>
          <w:lang w:val="en-US" w:eastAsia="zh-CN"/>
        </w:rPr>
        <w:t xml:space="preserve"> </w:t>
      </w:r>
      <w:r>
        <w:rPr>
          <w:rFonts w:ascii="Times New Roman" w:hAnsi="Times New Roman" w:cs="Times New Roman"/>
          <w:sz w:val="24"/>
          <w:szCs w:val="24"/>
        </w:rPr>
        <w:t>Name</w:t>
      </w:r>
      <w:r>
        <w:rPr>
          <w:rFonts w:hint="eastAsia" w:ascii="Times New Roman" w:hAnsi="Times New Roman" w:eastAsia="宋体" w:cs="Times New Roman"/>
          <w:sz w:val="24"/>
          <w:szCs w:val="24"/>
          <w:lang w:val="en-US" w:eastAsia="zh-CN"/>
        </w:rPr>
        <w:t xml:space="preserve">: </w:t>
      </w:r>
      <w:bookmarkStart w:id="20" w:name="_GoBack"/>
      <w:bookmarkEnd w:id="20"/>
      <w:r>
        <w:rPr>
          <w:rFonts w:hint="eastAsia" w:ascii="Times New Roman" w:hAnsi="Times New Roman" w:eastAsia="宋体" w:cs="Times New Roman"/>
          <w:sz w:val="24"/>
          <w:szCs w:val="24"/>
          <w:lang w:val="en-US" w:eastAsia="zh-CN"/>
        </w:rPr>
        <w:t>WangMingHao</w:t>
      </w:r>
    </w:p>
    <w:p>
      <w:pPr>
        <w:spacing w:line="480" w:lineRule="auto"/>
        <w:contextualSpacing/>
        <w:jc w:val="both"/>
        <w:rPr>
          <w:rFonts w:hint="default" w:ascii="Times New Roman" w:hAnsi="Times New Roman" w:eastAsia="宋体" w:cs="Times New Roman"/>
          <w:sz w:val="24"/>
          <w:szCs w:val="24"/>
          <w:lang w:val="en-US" w:eastAsia="zh-CN"/>
        </w:rPr>
      </w:pPr>
    </w:p>
    <w:p>
      <w:pPr>
        <w:spacing w:line="480" w:lineRule="auto"/>
        <w:contextualSpacing/>
        <w:jc w:val="center"/>
        <w:rPr>
          <w:rFonts w:hint="default" w:ascii="Times New Roman" w:hAnsi="Times New Roman" w:eastAsia="宋体" w:cs="Times New Roman"/>
          <w:sz w:val="24"/>
          <w:szCs w:val="24"/>
          <w:lang w:val="en-US" w:eastAsia="zh-CN"/>
        </w:rPr>
      </w:pPr>
      <w:r>
        <w:rPr>
          <w:rFonts w:ascii="Times New Roman" w:hAnsi="Times New Roman" w:cs="Times New Roman"/>
          <w:sz w:val="24"/>
          <w:szCs w:val="24"/>
        </w:rPr>
        <w:t>Course Code</w:t>
      </w:r>
      <w:r>
        <w:rPr>
          <w:rFonts w:hint="eastAsia" w:ascii="Times New Roman" w:hAnsi="Times New Roman" w:eastAsia="宋体" w:cs="Times New Roman"/>
          <w:sz w:val="24"/>
          <w:szCs w:val="24"/>
          <w:lang w:val="en-US" w:eastAsia="zh-CN"/>
        </w:rPr>
        <w:t>:6003</w:t>
      </w:r>
    </w:p>
    <w:p>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Institutional Affiliation</w:t>
      </w:r>
    </w:p>
    <w:p>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Due Date</w:t>
      </w: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p>
      <w:pPr>
        <w:spacing w:line="480" w:lineRule="auto"/>
        <w:contextualSpacing/>
        <w:jc w:val="both"/>
        <w:rPr>
          <w:rFonts w:ascii="Times New Roman" w:hAnsi="Times New Roman" w:cs="Times New Roman"/>
          <w:b/>
          <w:sz w:val="24"/>
          <w:szCs w:val="24"/>
        </w:rPr>
      </w:pPr>
    </w:p>
    <w:sdt>
      <w:sdtPr>
        <w:rPr>
          <w:rFonts w:ascii="Times New Roman" w:hAnsi="Times New Roman" w:cs="Times New Roman" w:eastAsiaTheme="minorHAnsi"/>
          <w:color w:val="auto"/>
          <w:sz w:val="24"/>
          <w:szCs w:val="24"/>
        </w:rPr>
        <w:id w:val="-132874494"/>
        <w:docPartObj>
          <w:docPartGallery w:val="Table of Contents"/>
          <w:docPartUnique/>
        </w:docPartObj>
      </w:sdtPr>
      <w:sdtEndPr>
        <w:rPr>
          <w:rFonts w:ascii="Times New Roman" w:hAnsi="Times New Roman" w:cs="Times New Roman" w:eastAsiaTheme="minorHAnsi"/>
          <w:b/>
          <w:bCs/>
          <w:color w:val="auto"/>
          <w:sz w:val="24"/>
          <w:szCs w:val="24"/>
        </w:rPr>
      </w:sdtEndPr>
      <w:sdtContent>
        <w:p>
          <w:pPr>
            <w:pStyle w:val="16"/>
            <w:spacing w:line="480" w:lineRule="auto"/>
            <w:jc w:val="both"/>
            <w:rPr>
              <w:rFonts w:ascii="Times New Roman" w:hAnsi="Times New Roman" w:cs="Times New Roman"/>
              <w:sz w:val="24"/>
              <w:szCs w:val="24"/>
            </w:rPr>
          </w:pPr>
          <w:r>
            <w:rPr>
              <w:rFonts w:ascii="Times New Roman" w:hAnsi="Times New Roman" w:cs="Times New Roman"/>
              <w:sz w:val="24"/>
              <w:szCs w:val="24"/>
            </w:rPr>
            <w:t>Contents</w:t>
          </w:r>
        </w:p>
        <w:p>
          <w:pPr>
            <w:pStyle w:val="8"/>
            <w:tabs>
              <w:tab w:val="right" w:leader="dot" w:pos="9350"/>
            </w:tabs>
            <w:spacing w:line="480" w:lineRule="auto"/>
            <w:jc w:val="both"/>
            <w:rPr>
              <w:rFonts w:ascii="Times New Roman" w:hAnsi="Times New Roman" w:cs="Times New Roman"/>
              <w:sz w:val="24"/>
              <w:szCs w:val="24"/>
            </w:rPr>
          </w:pPr>
          <w:r>
            <w:rPr>
              <w:rFonts w:ascii="Times New Roman" w:hAnsi="Times New Roman" w:cs="Times New Roman"/>
              <w:b/>
              <w:bCs/>
              <w:sz w:val="24"/>
              <w:szCs w:val="24"/>
            </w:rPr>
            <w:fldChar w:fldCharType="begin"/>
          </w:r>
          <w:r>
            <w:rPr>
              <w:rFonts w:ascii="Times New Roman" w:hAnsi="Times New Roman" w:cs="Times New Roman"/>
              <w:b/>
              <w:bCs/>
              <w:sz w:val="24"/>
              <w:szCs w:val="24"/>
            </w:rPr>
            <w:instrText xml:space="preserve"> TOC \o "1-3" \h \z \u </w:instrText>
          </w:r>
          <w:r>
            <w:rPr>
              <w:rFonts w:ascii="Times New Roman" w:hAnsi="Times New Roman" w:cs="Times New Roman"/>
              <w:b/>
              <w:bCs/>
              <w:sz w:val="24"/>
              <w:szCs w:val="24"/>
            </w:rPr>
            <w:fldChar w:fldCharType="separate"/>
          </w:r>
          <w:r>
            <w:fldChar w:fldCharType="begin"/>
          </w:r>
          <w:r>
            <w:instrText xml:space="preserve"> HYPERLINK \l "_Toc150803976" </w:instrText>
          </w:r>
          <w:r>
            <w:fldChar w:fldCharType="separate"/>
          </w:r>
          <w:r>
            <w:rPr>
              <w:rStyle w:val="12"/>
              <w:rFonts w:ascii="Times New Roman" w:hAnsi="Times New Roman" w:cs="Times New Roman"/>
              <w:b/>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_Toc150803976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"_Toc150803977" </w:instrText>
          </w:r>
          <w:r>
            <w:fldChar w:fldCharType="separate"/>
          </w:r>
          <w:r>
            <w:rPr>
              <w:rStyle w:val="12"/>
              <w:rFonts w:ascii="Times New Roman" w:hAnsi="Times New Roman" w:cs="Times New Roman"/>
              <w:b/>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_Toc150803977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"_Toc150803978" </w:instrText>
          </w:r>
          <w:r>
            <w:fldChar w:fldCharType="separate"/>
          </w:r>
          <w:r>
            <w:rPr>
              <w:rStyle w:val="12"/>
              <w:rFonts w:ascii="Times New Roman" w:hAnsi="Times New Roman" w:cs="Times New Roman"/>
              <w:b/>
              <w:sz w:val="24"/>
              <w:szCs w:val="24"/>
            </w:rPr>
            <w:t>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_Toc150803978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"_Toc150803979" </w:instrText>
          </w:r>
          <w:r>
            <w:fldChar w:fldCharType="separate"/>
          </w:r>
          <w:r>
            <w:rPr>
              <w:rStyle w:val="12"/>
              <w:rFonts w:ascii="Times New Roman" w:hAnsi="Times New Roman" w:cs="Times New Roman"/>
              <w:b/>
              <w:sz w:val="24"/>
              <w:szCs w:val="24"/>
            </w:rPr>
            <w:t>International  Business Communication Theories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_Toc150803979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"_Toc150803980" </w:instrText>
          </w:r>
          <w:r>
            <w:fldChar w:fldCharType="separate"/>
          </w:r>
          <w:r>
            <w:rPr>
              <w:rStyle w:val="12"/>
              <w:rFonts w:ascii="Times New Roman" w:hAnsi="Times New Roman" w:cs="Times New Roman"/>
              <w:b/>
              <w:sz w:val="24"/>
              <w:szCs w:val="24"/>
            </w:rPr>
            <w:t>Skills Required for International Business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_Toc150803980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"_Toc150803981" </w:instrText>
          </w:r>
          <w:r>
            <w:fldChar w:fldCharType="separate"/>
          </w:r>
          <w:r>
            <w:rPr>
              <w:rStyle w:val="12"/>
              <w:rFonts w:ascii="Times New Roman" w:hAnsi="Times New Roman" w:cs="Times New Roman"/>
              <w:sz w:val="24"/>
              <w:szCs w:val="24"/>
            </w:rPr>
            <w:t>1. Ability to collaborate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_Toc150803981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"_Toc150803982" </w:instrText>
          </w:r>
          <w:r>
            <w:fldChar w:fldCharType="separate"/>
          </w:r>
          <w:r>
            <w:rPr>
              <w:rStyle w:val="12"/>
              <w:rFonts w:ascii="Times New Roman" w:hAnsi="Times New Roman" w:cs="Times New Roman"/>
              <w:sz w:val="24"/>
              <w:szCs w:val="24"/>
            </w:rPr>
            <w:t>2. Business acumen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_Toc150803982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"_Toc150803983" </w:instrText>
          </w:r>
          <w:r>
            <w:fldChar w:fldCharType="separate"/>
          </w:r>
          <w:r>
            <w:rPr>
              <w:rStyle w:val="12"/>
              <w:rFonts w:ascii="Times New Roman" w:hAnsi="Times New Roman" w:cs="Times New Roman"/>
              <w:sz w:val="24"/>
              <w:szCs w:val="24"/>
            </w:rPr>
            <w:t>3. Knowledge of cultural norms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_Toc150803983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"_Toc150803984" </w:instrText>
          </w:r>
          <w:r>
            <w:fldChar w:fldCharType="separate"/>
          </w:r>
          <w:r>
            <w:rPr>
              <w:rStyle w:val="12"/>
              <w:rFonts w:ascii="Times New Roman" w:hAnsi="Times New Roman" w:cs="Times New Roman"/>
              <w:sz w:val="24"/>
              <w:szCs w:val="24"/>
            </w:rPr>
            <w:t>4. Proficiency in communicating across cultures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_Toc150803984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"_Toc150803985" </w:instrText>
          </w:r>
          <w:r>
            <w:fldChar w:fldCharType="separate"/>
          </w:r>
          <w:r>
            <w:rPr>
              <w:rStyle w:val="12"/>
              <w:rFonts w:ascii="Times New Roman" w:hAnsi="Times New Roman" w:cs="Times New Roman"/>
              <w:sz w:val="24"/>
              <w:szCs w:val="24"/>
            </w:rPr>
            <w:t>5. Intelligence, emotional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_Toc150803985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"_Toc150803986" </w:instrText>
          </w:r>
          <w:r>
            <w:fldChar w:fldCharType="separate"/>
          </w:r>
          <w:r>
            <w:rPr>
              <w:rStyle w:val="12"/>
              <w:rFonts w:ascii="Times New Roman" w:hAnsi="Times New Roman" w:cs="Times New Roman"/>
              <w:sz w:val="24"/>
              <w:szCs w:val="24"/>
            </w:rPr>
            <w:t>6. Flexible thinking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_Toc150803986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"_Toc150803987" </w:instrText>
          </w:r>
          <w:r>
            <w:fldChar w:fldCharType="separate"/>
          </w:r>
          <w:r>
            <w:rPr>
              <w:rStyle w:val="12"/>
              <w:rFonts w:ascii="Times New Roman" w:hAnsi="Times New Roman" w:cs="Times New Roman"/>
              <w:b/>
              <w:sz w:val="24"/>
              <w:szCs w:val="24"/>
            </w:rPr>
            <w:t>Methods of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_Toc150803987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"_Toc150803988" </w:instrText>
          </w:r>
          <w:r>
            <w:fldChar w:fldCharType="separate"/>
          </w:r>
          <w:r>
            <w:rPr>
              <w:rStyle w:val="12"/>
              <w:rFonts w:ascii="Times New Roman" w:hAnsi="Times New Roman" w:cs="Times New Roman"/>
              <w:b/>
              <w:sz w:val="24"/>
              <w:szCs w:val="24"/>
            </w:rPr>
            <w:t>Effective Communication and Relationship Building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_Toc150803988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"_Toc150803989" </w:instrText>
          </w:r>
          <w:r>
            <w:fldChar w:fldCharType="separate"/>
          </w:r>
          <w:r>
            <w:rPr>
              <w:rStyle w:val="12"/>
              <w:rFonts w:ascii="Times New Roman" w:hAnsi="Times New Roman" w:cs="Times New Roman"/>
              <w:b/>
              <w:sz w:val="24"/>
              <w:szCs w:val="24"/>
            </w:rPr>
            <w:t>Potential Failures in Business Communication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_Toc150803989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"_Toc150803990" </w:instrText>
          </w:r>
          <w:r>
            <w:fldChar w:fldCharType="separate"/>
          </w:r>
          <w:r>
            <w:rPr>
              <w:rStyle w:val="12"/>
              <w:rFonts w:ascii="Times New Roman" w:hAnsi="Times New Roman" w:cs="Times New Roman"/>
              <w:sz w:val="24"/>
              <w:szCs w:val="24"/>
            </w:rPr>
            <w:t>Ineffective Guidance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_Toc150803990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"_Toc150803991" </w:instrText>
          </w:r>
          <w:r>
            <w:fldChar w:fldCharType="separate"/>
          </w:r>
          <w:r>
            <w:rPr>
              <w:rStyle w:val="12"/>
              <w:rFonts w:ascii="Times New Roman" w:hAnsi="Times New Roman" w:cs="Times New Roman"/>
              <w:sz w:val="24"/>
              <w:szCs w:val="24"/>
            </w:rPr>
            <w:t>Uncertain Goals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_Toc150803991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"_Toc150803992" </w:instrText>
          </w:r>
          <w:r>
            <w:fldChar w:fldCharType="separate"/>
          </w:r>
          <w:r>
            <w:rPr>
              <w:rStyle w:val="12"/>
              <w:rFonts w:ascii="Times New Roman" w:hAnsi="Times New Roman" w:cs="Times New Roman"/>
              <w:sz w:val="24"/>
              <w:szCs w:val="24"/>
            </w:rPr>
            <w:t>Limited Input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_Toc150803992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"_Toc150803993" </w:instrText>
          </w:r>
          <w:r>
            <w:fldChar w:fldCharType="separate"/>
          </w:r>
          <w:r>
            <w:rPr>
              <w:rStyle w:val="12"/>
              <w:rFonts w:ascii="Times New Roman" w:hAnsi="Times New Roman" w:cs="Times New Roman"/>
              <w:b/>
              <w:sz w:val="24"/>
              <w:szCs w:val="24"/>
            </w:rPr>
            <w:t>Culture Differences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_Toc150803993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"_Toc150803994" </w:instrText>
          </w:r>
          <w:r>
            <w:fldChar w:fldCharType="separate"/>
          </w:r>
          <w:r>
            <w:rPr>
              <w:rStyle w:val="12"/>
              <w:rFonts w:ascii="Times New Roman" w:hAnsi="Times New Roman" w:cs="Times New Roman"/>
              <w:b/>
              <w:sz w:val="24"/>
              <w:szCs w:val="24"/>
            </w:rPr>
            <w:t>Conclusions and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_Toc150803994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right" w:leader="dot" w:pos="9350"/>
            </w:tabs>
            <w:spacing w:line="480" w:lineRule="auto"/>
            <w:jc w:val="both"/>
            <w:rPr>
              <w:rFonts w:ascii="Times New Roman" w:hAnsi="Times New Roman" w:cs="Times New Roman"/>
              <w:sz w:val="24"/>
              <w:szCs w:val="24"/>
            </w:rPr>
          </w:pPr>
          <w:r>
            <w:fldChar w:fldCharType="begin"/>
          </w:r>
          <w:r>
            <w:instrText xml:space="preserve"> HYPERLINK \l "_Toc150803995" </w:instrText>
          </w:r>
          <w:r>
            <w:fldChar w:fldCharType="separate"/>
          </w:r>
          <w:r>
            <w:rPr>
              <w:rStyle w:val="12"/>
              <w:rFonts w:ascii="Times New Roman" w:hAnsi="Times New Roman" w:cs="Times New Roman"/>
              <w:b/>
              <w:sz w:val="24"/>
              <w:szCs w:val="24"/>
            </w:rPr>
            <w:t>References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_Toc150803995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480" w:lineRule="auto"/>
            <w:jc w:val="both"/>
            <w:rPr>
              <w:rFonts w:ascii="Times New Roman" w:hAnsi="Times New Roman" w:cs="Times New Roman"/>
              <w:sz w:val="24"/>
              <w:szCs w:val="24"/>
            </w:rPr>
          </w:pPr>
          <w:r>
            <w:rPr>
              <w:rFonts w:ascii="Times New Roman" w:hAnsi="Times New Roman" w:cs="Times New Roman"/>
              <w:b/>
              <w:bCs/>
              <w:sz w:val="24"/>
              <w:szCs w:val="24"/>
            </w:rPr>
            <w:fldChar w:fldCharType="end"/>
          </w:r>
        </w:p>
      </w:sdtContent>
    </w:sdt>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rPr>
          <w:rFonts w:ascii="Times New Roman" w:hAnsi="Times New Roman" w:cs="Times New Roman"/>
          <w:b/>
          <w:color w:val="000000" w:themeColor="text1"/>
          <w:sz w:val="24"/>
          <w:szCs w:val="24"/>
          <w14:textFill>
            <w14:solidFill>
              <w14:schemeClr w14:val="tx1"/>
            </w14:solidFill>
          </w14:textFill>
        </w:rPr>
      </w:pP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0" w:name="_Toc150803976"/>
      <w:r>
        <w:rPr>
          <w:rFonts w:ascii="Times New Roman" w:hAnsi="Times New Roman" w:cs="Times New Roman"/>
          <w:b/>
          <w:color w:val="000000" w:themeColor="text1"/>
          <w:sz w:val="24"/>
          <w:szCs w:val="24"/>
          <w14:textFill>
            <w14:solidFill>
              <w14:schemeClr w14:val="tx1"/>
            </w14:solidFill>
          </w14:textFill>
        </w:rPr>
        <w:t>Executive Summary</w:t>
      </w:r>
      <w:bookmarkEnd w:id="0"/>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executive summary, which highlights the critical findings and suggestions of the paper, highlights the crucial importance of intercultural communication in the context of international corporate expansion. The paper provides a thorough grasp of the application of key theories of international business communication, such as those of Hofstede, Hall, and Trompenaars. The statement highlights the essential competencies required for efficacious international communication, which include cultural awareness, flexibility, and proficient networking. Practical strategies for promoting cross-cultural cooperation are further clarified by analyzing different communication modalities. In addition, the report examines the consequences of possible communication breakdowns, uncovering the complex processes that impact relationship development in many cultural situations.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As our proposals emphasize, the apparel retailer must incorporate these theories and competencies into their expansion plan. The paper promotes a sophisticated approach to developing relationships with Asian partners, emphasizing the importance of cultural concerns. By applying these insights, the store may effectively manage cultural quirks, promoting strong global partnerships and guaranteeing the success of its growth initiatives.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As a strategic guide, this research provides the clothes retailer with the necessary tools to successfully negotiate the challenges of cross-cultural communication, strengthening their basis for successful international business expansion.</w:t>
      </w: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 w:name="_Toc150803977"/>
      <w:r>
        <w:rPr>
          <w:rFonts w:ascii="Times New Roman" w:hAnsi="Times New Roman" w:cs="Times New Roman"/>
          <w:b/>
          <w:color w:val="000000" w:themeColor="text1"/>
          <w:sz w:val="24"/>
          <w:szCs w:val="24"/>
          <w14:textFill>
            <w14:solidFill>
              <w14:schemeClr w14:val="tx1"/>
            </w14:solidFill>
          </w14:textFill>
        </w:rPr>
        <w:t>Introduction</w:t>
      </w:r>
      <w:bookmarkEnd w:id="1"/>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Effective corporate communication becomes crucial in the fashion industry's ever-changing global scene, defined by its diversified sourcing techniques, global reach, and global network of stakeholders. The complex issue that a clothes retail company entering the Asian market must deal with is that the region's diverse cultural background frequently results in miscommunication and misconceptions.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This paper highlights how important intercultural communication is to a clothes retailer's global expansion. The fashion industry is a worldwide enterprise encompassing several languages, cultures, and socio-economic contexts, making it crucial to overcome communication barriers. This paper aims to offer useful advice and methods for navigating cultural differences and linguistic hurdles to promote effective communication in the complex world of international business. Handling global and multicultural operations has inherent challenges, further compounded by cultural differences in how people perceive dissent, communication styles, and punctuality (</w:t>
      </w:r>
      <w:r>
        <w:rPr>
          <w:rFonts w:ascii="Times New Roman" w:hAnsi="Times New Roman" w:cs="Times New Roman"/>
          <w:color w:val="222222"/>
          <w:sz w:val="24"/>
          <w:szCs w:val="24"/>
          <w:shd w:val="clear" w:color="auto" w:fill="FFFFFF"/>
        </w:rPr>
        <w:t>Leão, 2023)</w:t>
      </w:r>
      <w:r>
        <w:rPr>
          <w:rFonts w:ascii="Times New Roman" w:hAnsi="Times New Roman" w:cs="Times New Roman"/>
          <w:sz w:val="24"/>
          <w:szCs w:val="24"/>
        </w:rPr>
        <w:t>. For example, Britain prioritizes timeliness, but countries such as Brazil and Argentina take a more casual approach. The paper clarifies these cultural quirks and provides a basis for comprehending and adjusting to various work settings.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Affective and cognitive trust, the cornerstone of fruitful cross-border interactions, are also covered in detail. The paper emphasizes the significance of understanding and managing these cultural nuances by comparing the American strategy of separating cognitive and affective trust and the more integrated approach in China and the Gulf countries. The report explores the domains of faith and argues that effective communication requires a deep grasp of and adaptation to varied cultural norms.</w:t>
      </w: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2" w:name="_Toc150803978"/>
      <w:r>
        <w:rPr>
          <w:rFonts w:ascii="Times New Roman" w:hAnsi="Times New Roman" w:cs="Times New Roman"/>
          <w:b/>
          <w:color w:val="000000" w:themeColor="text1"/>
          <w:sz w:val="24"/>
          <w:szCs w:val="24"/>
          <w14:textFill>
            <w14:solidFill>
              <w14:schemeClr w14:val="tx1"/>
            </w14:solidFill>
          </w14:textFill>
        </w:rPr>
        <w:t>Findings</w:t>
      </w:r>
      <w:bookmarkEnd w:id="2"/>
    </w:p>
    <w:p>
      <w:pPr>
        <w:pStyle w:val="3"/>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3" w:name="_Toc150803979"/>
      <w:r>
        <w:rPr>
          <w:rFonts w:ascii="Times New Roman" w:hAnsi="Times New Roman" w:cs="Times New Roman"/>
          <w:b/>
          <w:color w:val="000000" w:themeColor="text1"/>
          <w:sz w:val="24"/>
          <w:szCs w:val="24"/>
          <w14:textFill>
            <w14:solidFill>
              <w14:schemeClr w14:val="tx1"/>
            </w14:solidFill>
          </w14:textFill>
        </w:rPr>
        <w:t>International Business Communication Theories</w:t>
      </w:r>
      <w:bookmarkEnd w:id="3"/>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Three well-known theories—Hofstede's cultural dimensions, Trompenaars' cultural dimensions, and Hall's high-context and low-context cultures—provide insightful guidance for managing the challenges of cross-cultural encounters in international business communication.</w:t>
      </w: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Geert Hofstede's theory of cultural dimensions provides a foundation for comprehending how various cultures handle important facets of social interaction. A culture's acceptance of hierarchy can be shown in one size called power distance, which ranges from high power distance—where a strong scale is expected—to low power distance—which offers a desire for minimal hierarchy. The individual vs collectivist dimension delves into whether a culture places more value on the needs of the person or the group. Thorough knowledge of cultural differences in communication preferences and styles also includes considerations of indulgence, long-term orientation, masculinity, uncertainty avoidance, and long-term orientation (Esen , 2022).</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seven dimensions in Fons Trompenaars' theory of cultural dimensions explore how cultures differ in how they approach rules, prioritize individuals versus groups, work in task-focused versus relationship-oriented ways, express emotions, achieve versus attribute, manage time, and have internal versus external directions. This framework enhances our knowledge of how various cultures approach these basic concepts and influence communication norms and techniques.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According to Edward T. Hall's notion of high-context and low-context civilizations, context is crucial for communication. People communicate meaning in high-context cultures like those found in China, Japan, and the Arab world by using interpersonal interactions, contextual signals, and nonverbal cues. Low-context cultures, on the other hand—which include areas of Europe and North America—prioritize explicit verbal communication because they believe that the listener needs more specific information. Awareness of this distinction affects how communications are shared and understood in various cultural contexts, making it essential for effective communication.</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Combining these three ideas gives organizations a strong foundation to venturing into international markets by offering varied viewpoints on cultural aspects, communication methods, and contextual factors. By integrating these ideas, businesses can customize their approaches to communication, promoting efficient cross-cultural cooperation and reducing the possibility of miscommunication.</w:t>
      </w:r>
    </w:p>
    <w:p>
      <w:pPr>
        <w:pStyle w:val="3"/>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4" w:name="_Toc150803980"/>
      <w:r>
        <w:rPr>
          <w:rFonts w:ascii="Times New Roman" w:hAnsi="Times New Roman" w:cs="Times New Roman"/>
          <w:b/>
          <w:color w:val="000000" w:themeColor="text1"/>
          <w:sz w:val="24"/>
          <w:szCs w:val="24"/>
          <w14:textFill>
            <w14:solidFill>
              <w14:schemeClr w14:val="tx1"/>
            </w14:solidFill>
          </w14:textFill>
        </w:rPr>
        <w:t>Skills Required for International Business Communication</w:t>
      </w:r>
      <w:bookmarkEnd w:id="4"/>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In its basic form, international business is exchanging goods or services between nations in different physical regions. That may seem easy enough, but doing business with countries other than one's own might sometimes provide difficulties, particularly when there are differences in trade regulations, customs, currencies, or standard operations. </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Commerce executives nowadays must have the knowledge and abilities to handle and avoid the costly errors that might happen in international commerce if they are to succeed. This guide looks at eight key competencies for mastering international business.</w:t>
      </w:r>
    </w:p>
    <w:p>
      <w:pPr>
        <w:spacing w:line="480" w:lineRule="auto"/>
        <w:contextualSpacing/>
        <w:jc w:val="both"/>
        <w:rPr>
          <w:rFonts w:ascii="Times New Roman" w:hAnsi="Times New Roman" w:cs="Times New Roman"/>
          <w:sz w:val="24"/>
          <w:szCs w:val="24"/>
        </w:rPr>
      </w:pP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5" w:name="_Toc150803981"/>
      <w:r>
        <w:rPr>
          <w:rFonts w:ascii="Times New Roman" w:hAnsi="Times New Roman" w:cs="Times New Roman"/>
          <w:color w:val="000000" w:themeColor="text1"/>
          <w14:textFill>
            <w14:solidFill>
              <w14:schemeClr w14:val="tx1"/>
            </w14:solidFill>
          </w14:textFill>
        </w:rPr>
        <w:t>1. Ability to collaborate</w:t>
      </w:r>
      <w:bookmarkEnd w:id="5"/>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Leadership and humility are necessary for effective cooperation, or the capacity to cooperate with others to accomplish a common objective. Knowing when to back down and let others take the lead is as important as how to defend your company and goals. Proficient individuals acknowledge the advantages of cooperation and appreciate the significance of collaborating with domestic and foreign associates to achieve objectives. </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6" w:name="_Toc150803982"/>
      <w:r>
        <w:rPr>
          <w:rFonts w:ascii="Times New Roman" w:hAnsi="Times New Roman" w:cs="Times New Roman"/>
          <w:color w:val="000000" w:themeColor="text1"/>
          <w14:textFill>
            <w14:solidFill>
              <w14:schemeClr w14:val="tx1"/>
            </w14:solidFill>
          </w14:textFill>
        </w:rPr>
        <w:t>2. Business acumen</w:t>
      </w:r>
      <w:bookmarkEnd w:id="6"/>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Business agents should be adept at networking, particularly when doing business internationally. New or improved international commercial chances may arise from the capacity to quickly create rapport and relationships with experts abroad, particularly those in the same or a related industry (Ong et al., 2022). </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7" w:name="_Toc150803983"/>
      <w:r>
        <w:rPr>
          <w:rFonts w:ascii="Times New Roman" w:hAnsi="Times New Roman" w:cs="Times New Roman"/>
          <w:color w:val="000000" w:themeColor="text1"/>
          <w14:textFill>
            <w14:solidFill>
              <w14:schemeClr w14:val="tx1"/>
            </w14:solidFill>
          </w14:textFill>
        </w:rPr>
        <w:t>3. Knowledge of cultural norms</w:t>
      </w:r>
      <w:bookmarkEnd w:id="7"/>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Proficiency in the languages, customs, beliefs, international business protocols, and social mores of any culture you work with can help professionals and their organizations avoid unpleasant circumstances and lost or missed commercial opportunities.  </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8" w:name="_Toc150803984"/>
      <w:r>
        <w:rPr>
          <w:rFonts w:ascii="Times New Roman" w:hAnsi="Times New Roman" w:cs="Times New Roman"/>
          <w:color w:val="000000" w:themeColor="text1"/>
          <w14:textFill>
            <w14:solidFill>
              <w14:schemeClr w14:val="tx1"/>
            </w14:solidFill>
          </w14:textFill>
        </w:rPr>
        <w:t>4. Proficiency in communicating across cultures</w:t>
      </w:r>
      <w:bookmarkEnd w:id="8"/>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Strong communication abilities and the capacity to interact with people from different cultural backgrounds are prerequisites for international business. These exchanges can be textual, gestural, or spoken. Understanding and interpreting body language cues that convey messages is also essential (</w:t>
      </w:r>
      <w:r>
        <w:rPr>
          <w:rFonts w:ascii="Times New Roman" w:hAnsi="Times New Roman" w:cs="Times New Roman"/>
          <w:color w:val="222222"/>
          <w:sz w:val="24"/>
          <w:szCs w:val="24"/>
          <w:shd w:val="clear" w:color="auto" w:fill="FFFFFF"/>
        </w:rPr>
        <w:t>Mathews et al., 2023)</w:t>
      </w:r>
      <w:r>
        <w:rPr>
          <w:rFonts w:ascii="Times New Roman" w:hAnsi="Times New Roman" w:cs="Times New Roman"/>
          <w:sz w:val="24"/>
          <w:szCs w:val="24"/>
        </w:rPr>
        <w:t xml:space="preserve">. </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Cultural nuances can influence these cues, emphasizing the importance of being mindful of cultural differences. Gaining proficiency in foreign languages can facilitate cross-cultural communication.</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9" w:name="_Toc150803985"/>
      <w:r>
        <w:rPr>
          <w:rFonts w:ascii="Times New Roman" w:hAnsi="Times New Roman" w:cs="Times New Roman"/>
          <w:color w:val="000000" w:themeColor="text1"/>
          <w14:textFill>
            <w14:solidFill>
              <w14:schemeClr w14:val="tx1"/>
            </w14:solidFill>
          </w14:textFill>
        </w:rPr>
        <w:t>5. Intelligence, emotional</w:t>
      </w:r>
      <w:bookmarkEnd w:id="9"/>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One of the most useful abilities a business professional may have when negotiating or managing a multinational team is emotional intelligence. Emotional intelligence primarily consists of self-awareness and the capacity to regulate emotions, particularly under pressure (</w:t>
      </w:r>
      <w:r>
        <w:rPr>
          <w:rFonts w:ascii="Times New Roman" w:hAnsi="Times New Roman" w:cs="Times New Roman"/>
          <w:color w:val="222222"/>
          <w:sz w:val="24"/>
          <w:szCs w:val="24"/>
          <w:shd w:val="clear" w:color="auto" w:fill="FFFFFF"/>
        </w:rPr>
        <w:t>Al Maalouf et al., 2023)</w:t>
      </w:r>
      <w:r>
        <w:rPr>
          <w:rFonts w:ascii="Times New Roman" w:hAnsi="Times New Roman" w:cs="Times New Roman"/>
          <w:sz w:val="24"/>
          <w:szCs w:val="24"/>
        </w:rPr>
        <w:t xml:space="preserve">. When working with a team where communication may be impacted by language and cultural differences, emotionally intelligent professionals behave with empathy. </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High emotional intelligence individuals may be better able to gauge, for instance, how each party in a negotiation process feels about a proposed agreement. With this information, they may frequently pinpoint particular aspects of the deal that a side is hesitant to accept and then suggest workable substitutes. Along with being able to identify and manage their emotions, they can also self-regulate their actions. </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10" w:name="_Toc150803986"/>
      <w:r>
        <w:rPr>
          <w:rFonts w:ascii="Times New Roman" w:hAnsi="Times New Roman" w:cs="Times New Roman"/>
          <w:color w:val="000000" w:themeColor="text1"/>
          <w14:textFill>
            <w14:solidFill>
              <w14:schemeClr w14:val="tx1"/>
            </w14:solidFill>
          </w14:textFill>
        </w:rPr>
        <w:t>6. Flexible thinking</w:t>
      </w:r>
      <w:bookmarkEnd w:id="10"/>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Professionals must have adaptive thinking abilities because international business is a dynamic field. People with these skills can think through possible answers to challenging circumstances (Grant , 2022). They can stand back, consider their options, and determine the best course of action in that situation. </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These skills can prevent high-risk scenarios, maintain a company's reputation with its international partners, prevent possible transactions from collapsing, and more. One of the biggest advantages of international business is the capacity to reason logically, even in unpredictable and changing situations (</w:t>
      </w:r>
      <w:r>
        <w:rPr>
          <w:rFonts w:ascii="Times New Roman" w:hAnsi="Times New Roman" w:cs="Times New Roman"/>
          <w:color w:val="222222"/>
          <w:sz w:val="24"/>
          <w:szCs w:val="24"/>
          <w:shd w:val="clear" w:color="auto" w:fill="FFFFFF"/>
        </w:rPr>
        <w:t>Zahra, Petricevic and Luo, 2022)</w:t>
      </w:r>
      <w:r>
        <w:rPr>
          <w:rFonts w:ascii="Times New Roman" w:hAnsi="Times New Roman" w:cs="Times New Roman"/>
          <w:sz w:val="24"/>
          <w:szCs w:val="24"/>
        </w:rPr>
        <w:t>.</w:t>
      </w:r>
    </w:p>
    <w:p>
      <w:pPr>
        <w:pStyle w:val="3"/>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1" w:name="_Toc150803987"/>
      <w:r>
        <w:rPr>
          <w:rFonts w:ascii="Times New Roman" w:hAnsi="Times New Roman" w:cs="Times New Roman"/>
          <w:b/>
          <w:color w:val="000000" w:themeColor="text1"/>
          <w:sz w:val="24"/>
          <w:szCs w:val="24"/>
          <w14:textFill>
            <w14:solidFill>
              <w14:schemeClr w14:val="tx1"/>
            </w14:solidFill>
          </w14:textFill>
        </w:rPr>
        <w:t>Methods of Communication</w:t>
      </w:r>
      <w:bookmarkEnd w:id="11"/>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For cross-cultural contacts to be successful in the setting of international business, communication method analysis becomes essential. Two communication methods are often used in the global corporate landscape: electronic and non-electronic forms.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use of electronic communication tools greatly enhances international business connections. Teams who are geographically separated can communicate easily thanks to tools like email, text messaging, phone and video calls, employee intranets, and HR software (Ali , 2022). These techniques are very helpful for regular business exchanges, exchanging important papers, and holding virtual meetings where in-person contact is impossible.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International business also recognizes the value of non-electronic communication techniques, including in-person meetings and hard copies of documents. Even in digital communication, face-to-face meetings are still necessary in some situations, particularly when dealing with delicate issues or negotiations (</w:t>
      </w:r>
      <w:r>
        <w:rPr>
          <w:rFonts w:ascii="Times New Roman" w:hAnsi="Times New Roman" w:cs="Times New Roman"/>
          <w:color w:val="222222"/>
          <w:sz w:val="24"/>
          <w:szCs w:val="24"/>
          <w:shd w:val="clear" w:color="auto" w:fill="FFFFFF"/>
        </w:rPr>
        <w:t>Koester,  2022)</w:t>
      </w:r>
      <w:r>
        <w:rPr>
          <w:rFonts w:ascii="Times New Roman" w:hAnsi="Times New Roman" w:cs="Times New Roman"/>
          <w:sz w:val="24"/>
          <w:szCs w:val="24"/>
        </w:rPr>
        <w:t>. Furthermore, some papers may require physical copies, such as contracts for services rendered or documentation for tax and employment records.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Electronic or non-electronic written communication is essential to international commerce. A documented record of conversations is produced by emails, letters, contracts, and other written forms, guaranteeing clarity and adherence to legal obligations. Written communication becomes an instrument for upholding international employment rules, avoiding miscommunication, and preserving transparency in a global setting (</w:t>
      </w:r>
      <w:r>
        <w:rPr>
          <w:rFonts w:ascii="Times New Roman" w:hAnsi="Times New Roman" w:cs="Times New Roman"/>
          <w:color w:val="222222"/>
          <w:sz w:val="24"/>
          <w:szCs w:val="24"/>
          <w:shd w:val="clear" w:color="auto" w:fill="FFFFFF"/>
        </w:rPr>
        <w:t>Oguz, Palvia and Mehta, 2023)</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Meetings, talks, and presentations are verbal communication techniques essential in international business. Although verbal approaches encourage informal talks, partnerships, and employee engagement, written communication is preferred for official and significant concerns (</w:t>
      </w:r>
      <w:r>
        <w:rPr>
          <w:rFonts w:ascii="Times New Roman" w:hAnsi="Times New Roman" w:cs="Times New Roman"/>
          <w:color w:val="222222"/>
          <w:sz w:val="24"/>
          <w:szCs w:val="24"/>
          <w:shd w:val="clear" w:color="auto" w:fill="FFFFFF"/>
        </w:rPr>
        <w:t>Swart, Bond-Barnard and Chugh, 2022)</w:t>
      </w:r>
      <w:r>
        <w:rPr>
          <w:rFonts w:ascii="Times New Roman" w:hAnsi="Times New Roman" w:cs="Times New Roman"/>
          <w:sz w:val="24"/>
          <w:szCs w:val="24"/>
        </w:rPr>
        <w:t>. Meeting in person can improve communication and foster relationships, especially in cross-cultural settings. This helps make international business ventures more successful.</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Carefully examining communication techniques reveals various functions and uses in global business. The method of choice is determined by the type of communication, the cultural setting, and the intended influence on international business operations.</w:t>
      </w:r>
    </w:p>
    <w:p>
      <w:pPr>
        <w:pStyle w:val="3"/>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2" w:name="_Toc150803988"/>
      <w:r>
        <w:rPr>
          <w:rFonts w:ascii="Times New Roman" w:hAnsi="Times New Roman" w:cs="Times New Roman"/>
          <w:b/>
          <w:color w:val="000000" w:themeColor="text1"/>
          <w:sz w:val="24"/>
          <w:szCs w:val="24"/>
          <w14:textFill>
            <w14:solidFill>
              <w14:schemeClr w14:val="tx1"/>
            </w14:solidFill>
          </w14:textFill>
        </w:rPr>
        <w:t>Effective Communication and Relationship Building</w:t>
      </w:r>
      <w:bookmarkEnd w:id="12"/>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Professional relationships revolve around effective communication, which should always bring something of worth and substance to the discussion. Making a meaningful contribution should be the aim of any interaction, whether it's a salesperson interacting with a customer to build a closer bond or comprehend the demands of the company or colleagues chatting with one another.</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Adding value to the team dynamic is crucial when colleagues communicate. Colleagues build mutual trust and cooperation through shrewd and pertinent feedback, eventually enhancing the team's performance (Em, 2023).</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Leaders must enhance the messages they convey. Leaders must foster an atmosphere in which members of their team look forward to meetings and actively absorb information from their interactions with them (</w:t>
      </w:r>
      <w:r>
        <w:rPr>
          <w:rFonts w:ascii="Times New Roman" w:hAnsi="Times New Roman" w:cs="Times New Roman"/>
          <w:color w:val="222222"/>
          <w:sz w:val="24"/>
          <w:szCs w:val="24"/>
          <w:shd w:val="clear" w:color="auto" w:fill="FFFFFF"/>
        </w:rPr>
        <w:t>Lemos and Brunstein, 2023)</w:t>
      </w:r>
      <w:r>
        <w:rPr>
          <w:rFonts w:ascii="Times New Roman" w:hAnsi="Times New Roman" w:cs="Times New Roman"/>
          <w:sz w:val="24"/>
          <w:szCs w:val="24"/>
        </w:rPr>
        <w:t>. Adding value to these interactions boosts team spirit and promotes individual and group development.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There should be a successful result in all forms of communication. Positive results produce a supportive and fulfilling work environment, whether by promoting closer relationships, learning more about the viewpoints of others, or stimulating creativity (</w:t>
      </w:r>
      <w:r>
        <w:rPr>
          <w:rFonts w:ascii="Times New Roman" w:hAnsi="Times New Roman" w:cs="Times New Roman"/>
          <w:color w:val="222222"/>
          <w:sz w:val="24"/>
          <w:szCs w:val="24"/>
          <w:shd w:val="clear" w:color="auto" w:fill="FFFFFF"/>
        </w:rPr>
        <w:t>Huang, Sun and Wang, 2022)</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We build better professional connections, improve teamwork, and accelerate individual and organizational progress when we priorities meaningful communication that adds value and produces great outcomes. Highlighting the importance of communication that is driven by values opens doors to increased success and satisfaction in our careers (</w:t>
      </w:r>
      <w:r>
        <w:rPr>
          <w:rFonts w:ascii="Times New Roman" w:hAnsi="Times New Roman" w:cs="Times New Roman"/>
          <w:color w:val="222222"/>
          <w:sz w:val="24"/>
          <w:szCs w:val="24"/>
          <w:shd w:val="clear" w:color="auto" w:fill="FFFFFF"/>
        </w:rPr>
        <w:t>LaGree et al., 2023)</w:t>
      </w:r>
      <w:r>
        <w:rPr>
          <w:rFonts w:ascii="Times New Roman" w:hAnsi="Times New Roman" w:cs="Times New Roman"/>
          <w:sz w:val="24"/>
          <w:szCs w:val="24"/>
        </w:rPr>
        <w:t>. Converse, do not market.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Communication abilities are crucial for various jobs when it comes to being successful in the workplace.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 salesperson can better understand their client's requirements and preferences by connecting with them deeper when communicating effectively. This knowledge promotes better connections and increases sales performance.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Similarly, coworkers gain from effective communication while working on projects or learning new procedures. Efficient and succinct communication promotes smooth teamwork and raises production levels overall.</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Effective communication in customer service enables representatives to identify and meet the specific needs of every client, increasing client happiness and loyalty (</w:t>
      </w:r>
      <w:r>
        <w:rPr>
          <w:rFonts w:ascii="Times New Roman" w:hAnsi="Times New Roman" w:cs="Times New Roman"/>
          <w:color w:val="222222"/>
          <w:sz w:val="24"/>
          <w:szCs w:val="24"/>
          <w:shd w:val="clear" w:color="auto" w:fill="FFFFFF"/>
        </w:rPr>
        <w:t>Miah,  2023)</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For leaders, creating a cohesive and productive team requires excellent communication. Excellent communicators can clearly express their goals, objectives, and criticism to their team, motivating them to collaborate peacefully and produce better outcomes.</w:t>
      </w:r>
    </w:p>
    <w:p>
      <w:pPr>
        <w:pStyle w:val="3"/>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3" w:name="_Toc150803989"/>
      <w:r>
        <w:rPr>
          <w:rFonts w:ascii="Times New Roman" w:hAnsi="Times New Roman" w:cs="Times New Roman"/>
          <w:b/>
          <w:color w:val="000000" w:themeColor="text1"/>
          <w:sz w:val="24"/>
          <w:szCs w:val="24"/>
          <w14:textFill>
            <w14:solidFill>
              <w14:schemeClr w14:val="tx1"/>
            </w14:solidFill>
          </w14:textFill>
        </w:rPr>
        <w:t>Potential Failures in Business Communication</w:t>
      </w:r>
      <w:bookmarkEnd w:id="13"/>
      <w:r>
        <w:rPr>
          <w:rFonts w:ascii="Times New Roman" w:hAnsi="Times New Roman" w:cs="Times New Roman"/>
          <w:b/>
          <w:color w:val="000000" w:themeColor="text1"/>
          <w:sz w:val="24"/>
          <w:szCs w:val="24"/>
          <w14:textFill>
            <w14:solidFill>
              <w14:schemeClr w14:val="tx1"/>
            </w14:solidFill>
          </w14:textFill>
        </w:rPr>
        <w:t xml:space="preserve"> </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14" w:name="_Toc150803990"/>
      <w:r>
        <w:rPr>
          <w:rFonts w:ascii="Times New Roman" w:hAnsi="Times New Roman" w:cs="Times New Roman"/>
          <w:color w:val="000000" w:themeColor="text1"/>
          <w14:textFill>
            <w14:solidFill>
              <w14:schemeClr w14:val="tx1"/>
            </w14:solidFill>
          </w14:textFill>
        </w:rPr>
        <w:t>Ineffective Guidance</w:t>
      </w:r>
      <w:bookmarkEnd w:id="14"/>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Workers seek guidance from managers and business owners in the workplace. Effective leadership-driven communication inspires employees to be more creative and productive. These capable leaders convey their aims, aspirations, and future visions in an understandable manner.</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Conversely, ineffective leaders frequently need more decisiveness and the capacity to motivate their staff. They could have an impatient communication style, expressing their impatience with their tone of voice, facial expressions, or other nonverbal cues.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Ignorant managers themselves may also be the cause of poor leadership and poor communication. Employees are left much more perplexed and irritated than when they arrived since these bosses cannot respond to inquiries or provide clarification(</w:t>
      </w:r>
      <w:r>
        <w:rPr>
          <w:rFonts w:ascii="Times New Roman" w:hAnsi="Times New Roman" w:cs="Times New Roman"/>
          <w:color w:val="222222"/>
          <w:sz w:val="24"/>
          <w:szCs w:val="24"/>
          <w:shd w:val="clear" w:color="auto" w:fill="FFFFFF"/>
        </w:rPr>
        <w:t>Tarafdar, Page and Marabelli, 2023)</w:t>
      </w:r>
      <w:r>
        <w:rPr>
          <w:rFonts w:ascii="Times New Roman" w:hAnsi="Times New Roman" w:cs="Times New Roman"/>
          <w:sz w:val="24"/>
          <w:szCs w:val="24"/>
        </w:rPr>
        <w:t>.</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15" w:name="_Toc150803991"/>
      <w:r>
        <w:rPr>
          <w:rFonts w:ascii="Times New Roman" w:hAnsi="Times New Roman" w:cs="Times New Roman"/>
          <w:color w:val="000000" w:themeColor="text1"/>
          <w14:textFill>
            <w14:solidFill>
              <w14:schemeClr w14:val="tx1"/>
            </w14:solidFill>
          </w14:textFill>
        </w:rPr>
        <w:t>Uncertain Goals</w:t>
      </w:r>
      <w:bookmarkEnd w:id="15"/>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In business, goals and objectives are crucial because they direct attention toward reaching desired results, including profitability (</w:t>
      </w:r>
      <w:r>
        <w:rPr>
          <w:rFonts w:ascii="Times New Roman" w:hAnsi="Times New Roman" w:cs="Times New Roman"/>
          <w:color w:val="222222"/>
          <w:sz w:val="24"/>
          <w:szCs w:val="24"/>
          <w:shd w:val="clear" w:color="auto" w:fill="FFFFFF"/>
        </w:rPr>
        <w:t>Mustafa, Azimli  and Sabir Jaf, 2022)</w:t>
      </w:r>
      <w:r>
        <w:rPr>
          <w:rFonts w:ascii="Times New Roman" w:hAnsi="Times New Roman" w:cs="Times New Roman"/>
          <w:sz w:val="24"/>
          <w:szCs w:val="24"/>
        </w:rPr>
        <w:t>. Being profitable does not appear out of nowhere. It takes alert staff members who understand what the management expects of them, and clear goals give them that guidance.</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Employees will only get the guidance they require if companies have clear strategic goals and managers know the tactical plans their teams must fulfil (</w:t>
      </w:r>
      <w:r>
        <w:rPr>
          <w:rFonts w:ascii="Times New Roman" w:hAnsi="Times New Roman" w:cs="Times New Roman"/>
          <w:color w:val="222222"/>
          <w:sz w:val="24"/>
          <w:szCs w:val="24"/>
          <w:shd w:val="clear" w:color="auto" w:fill="FFFFFF"/>
        </w:rPr>
        <w:t>Bubenik et al., 2022)</w:t>
      </w:r>
      <w:r>
        <w:rPr>
          <w:rFonts w:ascii="Times New Roman" w:hAnsi="Times New Roman" w:cs="Times New Roman"/>
          <w:sz w:val="24"/>
          <w:szCs w:val="24"/>
        </w:rPr>
        <w:t>. Confusion and frustration result from this. Workers may fail to meet expectations even when they give it their all.</w:t>
      </w:r>
    </w:p>
    <w:p>
      <w:pPr>
        <w:pStyle w:val="4"/>
        <w:spacing w:line="480" w:lineRule="auto"/>
        <w:jc w:val="both"/>
        <w:rPr>
          <w:rFonts w:ascii="Times New Roman" w:hAnsi="Times New Roman" w:cs="Times New Roman"/>
          <w:color w:val="000000" w:themeColor="text1"/>
          <w14:textFill>
            <w14:solidFill>
              <w14:schemeClr w14:val="tx1"/>
            </w14:solidFill>
          </w14:textFill>
        </w:rPr>
      </w:pPr>
      <w:bookmarkStart w:id="16" w:name="_Toc150803992"/>
      <w:r>
        <w:rPr>
          <w:rFonts w:ascii="Times New Roman" w:hAnsi="Times New Roman" w:cs="Times New Roman"/>
          <w:color w:val="000000" w:themeColor="text1"/>
          <w14:textFill>
            <w14:solidFill>
              <w14:schemeClr w14:val="tx1"/>
            </w14:solidFill>
          </w14:textFill>
        </w:rPr>
        <w:t>Limited Input</w:t>
      </w:r>
      <w:bookmarkEnd w:id="16"/>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Feedback is information that informs the individual who conducted an activity of the outcomes of that action. It is among the most significant modes of communication since genuine learning occurs there. Good employee feedback, both good and negative, offers insightful data that may be used to guide future decisions and enhancements (Sigh et al., 2022). High-achieving businesses understand that feedback is essential to their continuous improvement cycles.</w:t>
      </w:r>
    </w:p>
    <w:p>
      <w:pPr>
        <w:pStyle w:val="3"/>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7" w:name="_Toc150803993"/>
      <w:r>
        <w:rPr>
          <w:rFonts w:ascii="Times New Roman" w:hAnsi="Times New Roman" w:cs="Times New Roman"/>
          <w:b/>
          <w:color w:val="000000" w:themeColor="text1"/>
          <w:sz w:val="24"/>
          <w:szCs w:val="24"/>
          <w14:textFill>
            <w14:solidFill>
              <w14:schemeClr w14:val="tx1"/>
            </w14:solidFill>
          </w14:textFill>
        </w:rPr>
        <w:t>Culture Differences</w:t>
      </w:r>
      <w:bookmarkEnd w:id="17"/>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Asia, a region full of diversity, offers a tapestry of business cultures that demand careful observation. Whereas the entrepreneurial spirit of China is prevalent and relationships frequently entwined with business deals, business procedures and respect for hierarchy are commonplace in Japan (Sun , 2022). India's focus on interpersonal relationships sets it apart from South Korea's goal of achieving unity among all. It takes a sharp understanding of cultural quirks, communication styles, and business etiquette to navigate these disparate environments successfully.</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 Developing a successful connection with an Asian partner requires cultural understanding beyond business-related matters. In Asia, developing relationships is frequently prioritized over official business talks. Crucial skills include courtesy, understanding hierarchical structures, and recognizing nonverbal signs (</w:t>
      </w:r>
      <w:r>
        <w:rPr>
          <w:rFonts w:ascii="Times New Roman" w:hAnsi="Times New Roman" w:cs="Times New Roman"/>
          <w:color w:val="222222"/>
          <w:sz w:val="24"/>
          <w:szCs w:val="24"/>
          <w:shd w:val="clear" w:color="auto" w:fill="FFFFFF"/>
        </w:rPr>
        <w:t>Cuic Tankovic, Kapeš and Benazić, 2023)</w:t>
      </w:r>
      <w:r>
        <w:rPr>
          <w:rFonts w:ascii="Times New Roman" w:hAnsi="Times New Roman" w:cs="Times New Roman"/>
          <w:sz w:val="24"/>
          <w:szCs w:val="24"/>
        </w:rPr>
        <w:t>. Mutual understanding and shared experiences are key to developing trust in many Asian cultures. Respecting and trusting these cultural nuances leads to successful collaborations and long-lasting partnerships.</w:t>
      </w: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8" w:name="_Toc150803994"/>
      <w:r>
        <w:rPr>
          <w:rFonts w:ascii="Times New Roman" w:hAnsi="Times New Roman" w:cs="Times New Roman"/>
          <w:b/>
          <w:color w:val="000000" w:themeColor="text1"/>
          <w:sz w:val="24"/>
          <w:szCs w:val="24"/>
          <w14:textFill>
            <w14:solidFill>
              <w14:schemeClr w14:val="tx1"/>
            </w14:solidFill>
          </w14:textFill>
        </w:rPr>
        <w:t>Conclusions and Findings</w:t>
      </w:r>
      <w:bookmarkEnd w:id="18"/>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The application of scholarly theories provides a strong basis for the recommendations made throughout the report. The proposal to prioritize comprehending and adjusting to the different power distances, individualism-collectivism dynamics, and uncertainty avoidance in Asian cultures is based on scholarly insights. It draws on Geert Hofstede's theory of cultural dimensions. The need to adapt communication tactics to the unique cultural contexts found throughout global expansion is also supported by Fons Trompenaars' measurements of universalism-particularism and individualism-communitarianism (</w:t>
      </w:r>
      <w:r>
        <w:rPr>
          <w:rFonts w:ascii="Times New Roman" w:hAnsi="Times New Roman" w:cs="Times New Roman"/>
          <w:color w:val="222222"/>
          <w:sz w:val="24"/>
          <w:szCs w:val="24"/>
          <w:shd w:val="clear" w:color="auto" w:fill="FFFFFF"/>
        </w:rPr>
        <w:t>Lončar, 2023)</w:t>
      </w:r>
      <w:r>
        <w:rPr>
          <w:rFonts w:ascii="Times New Roman" w:hAnsi="Times New Roman" w:cs="Times New Roman"/>
          <w:sz w:val="24"/>
          <w:szCs w:val="24"/>
        </w:rPr>
        <w:t>.</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As a result, the paper sheds light on the complex relationship between intercultural communication theories and useful suggestions for the clothes shop expanding into the Asian market. These academic frameworks' main purpose is to explain cultural differences and provide practical solutions that operate in Asia's varied commercial environments.</w:t>
      </w:r>
    </w:p>
    <w:p>
      <w:pPr>
        <w:spacing w:line="480" w:lineRule="auto"/>
        <w:contextualSpacing/>
        <w:jc w:val="both"/>
        <w:rPr>
          <w:rFonts w:ascii="Times New Roman" w:hAnsi="Times New Roman" w:cs="Times New Roman"/>
          <w:sz w:val="24"/>
          <w:szCs w:val="24"/>
        </w:rPr>
      </w:pPr>
      <w:r>
        <w:rPr>
          <w:rFonts w:ascii="Times New Roman" w:hAnsi="Times New Roman" w:cs="Times New Roman"/>
          <w:sz w:val="24"/>
          <w:szCs w:val="24"/>
        </w:rPr>
        <w:t>Key findings show the importance of intercultural communication in the success of international corporate expansion. Theories like Hofstede's and Trompenaars' shed light on the subtleties of cultural understanding and demonstrate why effective communication is a strategic necessity rather than just a formality (</w:t>
      </w:r>
      <w:r>
        <w:rPr>
          <w:rFonts w:ascii="Times New Roman" w:hAnsi="Times New Roman" w:cs="Times New Roman"/>
          <w:color w:val="222222"/>
          <w:sz w:val="24"/>
          <w:szCs w:val="24"/>
          <w:shd w:val="clear" w:color="auto" w:fill="FFFFFF"/>
        </w:rPr>
        <w:t>Leal-Rodríguez et al., 2023)</w:t>
      </w:r>
      <w:r>
        <w:rPr>
          <w:rFonts w:ascii="Times New Roman" w:hAnsi="Times New Roman" w:cs="Times New Roman"/>
          <w:sz w:val="24"/>
          <w:szCs w:val="24"/>
        </w:rPr>
        <w:t>. The suggestions made have a clear bearing on the theories that have been explored. Personalized connection formation, for example, is consistent with the individualism-communitarianism component and highlights the significance of cultural context adaptation (</w:t>
      </w:r>
      <w:r>
        <w:rPr>
          <w:rFonts w:ascii="Times New Roman" w:hAnsi="Times New Roman" w:cs="Times New Roman"/>
          <w:color w:val="222222"/>
          <w:sz w:val="24"/>
          <w:szCs w:val="24"/>
          <w:shd w:val="clear" w:color="auto" w:fill="FFFFFF"/>
        </w:rPr>
        <w:t>McKinley and Lauby, 2023)</w:t>
      </w:r>
      <w:r>
        <w:rPr>
          <w:rFonts w:ascii="Times New Roman" w:hAnsi="Times New Roman" w:cs="Times New Roman"/>
          <w:sz w:val="24"/>
          <w:szCs w:val="24"/>
        </w:rPr>
        <w:t>. The report's credibility and relevance in the scenario of a clothes retailer venturing into the varied marketplaces of Asia are strengthened by this alignment, which guarantees that the practical advice provided is not haphazard but rather strategically influenced by recognized academic frameworks.</w:t>
      </w: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spacing w:line="480" w:lineRule="auto"/>
        <w:contextualSpacing/>
        <w:jc w:val="both"/>
        <w:rPr>
          <w:rFonts w:ascii="Times New Roman" w:hAnsi="Times New Roman" w:cs="Times New Roman"/>
          <w:sz w:val="24"/>
          <w:szCs w:val="24"/>
        </w:rPr>
      </w:pPr>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bookmarkStart w:id="19" w:name="_Toc150803995"/>
    </w:p>
    <w:p>
      <w:pPr>
        <w:pStyle w:val="2"/>
        <w:spacing w:line="480" w:lineRule="auto"/>
        <w:jc w:val="both"/>
        <w:rPr>
          <w:rFonts w:ascii="Times New Roman" w:hAnsi="Times New Roman" w:cs="Times New Roman"/>
          <w:b/>
          <w:color w:val="000000" w:themeColor="text1"/>
          <w:sz w:val="24"/>
          <w:szCs w:val="24"/>
          <w14:textFill>
            <w14:solidFill>
              <w14:schemeClr w14:val="tx1"/>
            </w14:solidFill>
          </w14:textFill>
        </w:rPr>
      </w:pPr>
      <w:r>
        <w:rPr>
          <w:rFonts w:ascii="Times New Roman" w:hAnsi="Times New Roman" w:cs="Times New Roman"/>
          <w:b/>
          <w:color w:val="000000" w:themeColor="text1"/>
          <w:sz w:val="24"/>
          <w:szCs w:val="24"/>
          <w14:textFill>
            <w14:solidFill>
              <w14:schemeClr w14:val="tx1"/>
            </w14:solidFill>
          </w14:textFill>
        </w:rPr>
        <w:t>References</w:t>
      </w:r>
      <w:bookmarkEnd w:id="19"/>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[1]Ali, S., 2022. Developing Effective Virtual Team Communication in the Case Company.</w:t>
      </w:r>
      <w:r>
        <w:t xml:space="preserve"> </w:t>
      </w:r>
      <w:r>
        <w:fldChar w:fldCharType="begin"/>
      </w:r>
      <w:r>
        <w:instrText xml:space="preserve"> HYPERLINK "https://www.theseus.fi/handle/10024/784778" </w:instrText>
      </w:r>
      <w:r>
        <w:fldChar w:fldCharType="separate"/>
      </w:r>
      <w:r>
        <w:rPr>
          <w:rStyle w:val="12"/>
          <w:rFonts w:ascii="Times New Roman" w:hAnsi="Times New Roman" w:cs="Times New Roman"/>
          <w:sz w:val="24"/>
          <w:szCs w:val="24"/>
          <w:shd w:val="clear" w:color="auto" w:fill="FFFFFF"/>
        </w:rPr>
        <w:t>https://www.theseus.fi/handle/10024/784778</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[2]Al Maalouf, N.J., Daouk, A., Elia, J., Ramadan, M., Sawaya, C., Baydoun, H. and Zakhem, N.B., 2023. The Impact of Emotional Intelligence on the Performance of Employees in the Lebanese Banking Sector During Crisis. </w:t>
      </w:r>
      <w:r>
        <w:rPr>
          <w:rFonts w:ascii="Times New Roman" w:hAnsi="Times New Roman" w:cs="Times New Roman"/>
          <w:i/>
          <w:iCs/>
          <w:color w:val="222222"/>
          <w:sz w:val="24"/>
          <w:szCs w:val="24"/>
          <w:shd w:val="clear" w:color="auto" w:fill="FFFFFF"/>
        </w:rPr>
        <w:t>Journal of law and sustainable development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11</w:t>
      </w:r>
      <w:r>
        <w:rPr>
          <w:rFonts w:ascii="Times New Roman" w:hAnsi="Times New Roman" w:cs="Times New Roman"/>
          <w:color w:val="222222"/>
          <w:sz w:val="24"/>
          <w:szCs w:val="24"/>
          <w:shd w:val="clear" w:color="auto" w:fill="FFFFFF"/>
        </w:rPr>
        <w:t>(9), pp.e1030-e1030.</w:t>
      </w:r>
      <w:r>
        <w:t xml:space="preserve"> </w:t>
      </w:r>
      <w:r>
        <w:fldChar w:fldCharType="begin"/>
      </w:r>
      <w:r>
        <w:instrText xml:space="preserve"> HYPERLINK "https://ojs.journalsdg.org/jlss/article/view/1030" </w:instrText>
      </w:r>
      <w:r>
        <w:fldChar w:fldCharType="separate"/>
      </w:r>
      <w:r>
        <w:rPr>
          <w:rStyle w:val="12"/>
          <w:rFonts w:ascii="Times New Roman" w:hAnsi="Times New Roman" w:cs="Times New Roman"/>
          <w:sz w:val="24"/>
          <w:szCs w:val="24"/>
          <w:shd w:val="clear" w:color="auto" w:fill="FFFFFF"/>
        </w:rPr>
        <w:t>https://ojs.journalsdg.org/jlss/article/view/1030</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[3]Bubenik, P., Capek, J., Rakyta, M., Binasova, V. and Staffenova, K., 2022. Impact of strategy change on business process management.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w:t>
      </w:r>
      <w:r>
        <w:rPr>
          <w:rFonts w:ascii="Times New Roman" w:hAnsi="Times New Roman" w:cs="Times New Roman"/>
          <w:color w:val="222222"/>
          <w:sz w:val="24"/>
          <w:szCs w:val="24"/>
          <w:shd w:val="clear" w:color="auto" w:fill="FFFFFF"/>
        </w:rPr>
        <w:t>(17), p.11112.</w:t>
      </w:r>
      <w:r>
        <w:t xml:space="preserve"> </w:t>
      </w:r>
      <w:r>
        <w:fldChar w:fldCharType="begin"/>
      </w:r>
      <w:r>
        <w:instrText xml:space="preserve"> HYPERLINK "https://www.mdpi.com/2071-1050/14/17/11112" </w:instrText>
      </w:r>
      <w:r>
        <w:fldChar w:fldCharType="separate"/>
      </w:r>
      <w:r>
        <w:rPr>
          <w:rStyle w:val="12"/>
          <w:rFonts w:ascii="Times New Roman" w:hAnsi="Times New Roman" w:cs="Times New Roman"/>
          <w:sz w:val="24"/>
          <w:szCs w:val="24"/>
          <w:shd w:val="clear" w:color="auto" w:fill="FFFFFF"/>
        </w:rPr>
        <w:t>https://www.mdpi.com/2071-1050/14/17/11112</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[4]Cuic Tankovic, A., Kapeš, J. and Benazić, D., 2023. Measuring the importance of communication skills in tourism. </w:t>
      </w:r>
      <w:r>
        <w:rPr>
          <w:rFonts w:ascii="Times New Roman" w:hAnsi="Times New Roman" w:cs="Times New Roman"/>
          <w:i/>
          <w:iCs/>
          <w:color w:val="222222"/>
          <w:sz w:val="24"/>
          <w:szCs w:val="24"/>
          <w:shd w:val="clear" w:color="auto" w:fill="FFFFFF"/>
        </w:rPr>
        <w:t>Economic research-Ekonomska istraživanja</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36</w:t>
      </w:r>
      <w:r>
        <w:rPr>
          <w:rFonts w:ascii="Times New Roman" w:hAnsi="Times New Roman" w:cs="Times New Roman"/>
          <w:color w:val="222222"/>
          <w:sz w:val="24"/>
          <w:szCs w:val="24"/>
          <w:shd w:val="clear" w:color="auto" w:fill="FFFFFF"/>
        </w:rPr>
        <w:t>(1), pp.460-479.</w:t>
      </w:r>
      <w:r>
        <w:t xml:space="preserve"> </w:t>
      </w:r>
      <w:r>
        <w:fldChar w:fldCharType="begin"/>
      </w:r>
      <w:r>
        <w:instrText xml:space="preserve"> HYPERLINK "https://hrcak.srce.hr/file/437930" </w:instrText>
      </w:r>
      <w:r>
        <w:fldChar w:fldCharType="separate"/>
      </w:r>
      <w:r>
        <w:rPr>
          <w:rStyle w:val="12"/>
          <w:rFonts w:ascii="Times New Roman" w:hAnsi="Times New Roman" w:cs="Times New Roman"/>
          <w:sz w:val="24"/>
          <w:szCs w:val="24"/>
          <w:shd w:val="clear" w:color="auto" w:fill="FFFFFF"/>
        </w:rPr>
        <w:t>https://hrcak.srce.hr/file/437930</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[5]Esen, Ü.B., 2022. Cross-Cultural Leadership: Managing Diversity. In </w:t>
      </w:r>
      <w:r>
        <w:rPr>
          <w:rFonts w:ascii="Times New Roman" w:hAnsi="Times New Roman" w:cs="Times New Roman"/>
          <w:i/>
          <w:iCs/>
          <w:color w:val="222222"/>
          <w:sz w:val="24"/>
          <w:szCs w:val="24"/>
          <w:shd w:val="clear" w:color="auto" w:fill="FFFFFF"/>
        </w:rPr>
        <w:t>Global Perspectives on Maintaining Gender, Age, and Religious Diversity in the Workplace</w:t>
      </w:r>
      <w:r>
        <w:rPr>
          <w:rFonts w:ascii="Times New Roman" w:hAnsi="Times New Roman" w:cs="Times New Roman"/>
          <w:color w:val="222222"/>
          <w:sz w:val="24"/>
          <w:szCs w:val="24"/>
          <w:shd w:val="clear" w:color="auto" w:fill="FFFFFF"/>
        </w:rPr>
        <w:t> (pp. 30-44). IGI Global.</w:t>
      </w:r>
      <w:r>
        <w:t xml:space="preserve"> </w:t>
      </w:r>
      <w:r>
        <w:fldChar w:fldCharType="begin"/>
      </w:r>
      <w:r>
        <w:instrText xml:space="preserve"> HYPERLINK "https://www.igi-global.com/chapter/cross-cultural-leadership/312381" </w:instrText>
      </w:r>
      <w:r>
        <w:fldChar w:fldCharType="separate"/>
      </w:r>
      <w:r>
        <w:rPr>
          <w:rStyle w:val="12"/>
          <w:rFonts w:ascii="Times New Roman" w:hAnsi="Times New Roman" w:cs="Times New Roman"/>
          <w:sz w:val="24"/>
          <w:szCs w:val="24"/>
          <w:shd w:val="clear" w:color="auto" w:fill="FFFFFF"/>
        </w:rPr>
        <w:t>https://www.igi-global.com/chapter/cross-cultural-leadership/312381</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[6]Em, S., 2023. A review of different ideas concerning the characteristics of a good leader and shaping new ideas of an effective 21st century leader. </w:t>
      </w:r>
      <w:r>
        <w:rPr>
          <w:rFonts w:ascii="Times New Roman" w:hAnsi="Times New Roman" w:cs="Times New Roman"/>
          <w:i/>
          <w:iCs/>
          <w:color w:val="222222"/>
          <w:sz w:val="24"/>
          <w:szCs w:val="24"/>
          <w:shd w:val="clear" w:color="auto" w:fill="FFFFFF"/>
        </w:rPr>
        <w:t>Journal of General Education and Humanities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(1), pp.13-34.</w:t>
      </w:r>
      <w:r>
        <w:t xml:space="preserve"> </w:t>
      </w:r>
      <w:r>
        <w:fldChar w:fldCharType="begin"/>
      </w:r>
      <w:r>
        <w:instrText xml:space="preserve"> HYPERLINK "https://journal-gehu.com/index.php/gehu/article/view/53" </w:instrText>
      </w:r>
      <w:r>
        <w:fldChar w:fldCharType="separate"/>
      </w:r>
      <w:r>
        <w:rPr>
          <w:rStyle w:val="12"/>
          <w:rFonts w:ascii="Times New Roman" w:hAnsi="Times New Roman" w:cs="Times New Roman"/>
          <w:sz w:val="24"/>
          <w:szCs w:val="24"/>
          <w:shd w:val="clear" w:color="auto" w:fill="FFFFFF"/>
        </w:rPr>
        <w:t>https://journal-gehu.com/index.php/gehu/article/view/53</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[7]Grant, A.M., 2022. Steps to solutions: A process for putting solution‐focused coaching principles into practice. </w:t>
      </w:r>
      <w:r>
        <w:rPr>
          <w:rFonts w:ascii="Times New Roman" w:hAnsi="Times New Roman" w:cs="Times New Roman"/>
          <w:i/>
          <w:iCs/>
          <w:color w:val="222222"/>
          <w:sz w:val="24"/>
          <w:szCs w:val="24"/>
          <w:shd w:val="clear" w:color="auto" w:fill="FFFFFF"/>
        </w:rPr>
        <w:t>Coaching Practiced</w:t>
      </w:r>
      <w:r>
        <w:rPr>
          <w:rFonts w:ascii="Times New Roman" w:hAnsi="Times New Roman" w:cs="Times New Roman"/>
          <w:color w:val="222222"/>
          <w:sz w:val="24"/>
          <w:szCs w:val="24"/>
          <w:shd w:val="clear" w:color="auto" w:fill="FFFFFF"/>
        </w:rPr>
        <w:t>, pp.299-310.</w:t>
      </w:r>
      <w:r>
        <w:t xml:space="preserve"> </w:t>
      </w:r>
      <w:r>
        <w:fldChar w:fldCharType="begin"/>
      </w:r>
      <w:r>
        <w:instrText xml:space="preserve"> HYPERLINK "https://onlinelibrary.wiley.com/doi/abs/10.1002/9781119835714.ch30" </w:instrText>
      </w:r>
      <w:r>
        <w:fldChar w:fldCharType="separate"/>
      </w:r>
      <w:r>
        <w:rPr>
          <w:rStyle w:val="12"/>
          <w:rFonts w:ascii="Times New Roman" w:hAnsi="Times New Roman" w:cs="Times New Roman"/>
          <w:sz w:val="24"/>
          <w:szCs w:val="24"/>
          <w:shd w:val="clear" w:color="auto" w:fill="FFFFFF"/>
        </w:rPr>
        <w:t>https://onlinelibrary.wiley.com/doi/abs/10.1002/9781119835714.ch30</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[8]Huang, X., Sun, M. and Wang, D., 2022. Work harder and smarter: The critical role of teachers’ job crafting in promoting teaching for creativity. </w:t>
      </w:r>
      <w:r>
        <w:rPr>
          <w:rFonts w:ascii="Times New Roman" w:hAnsi="Times New Roman" w:cs="Times New Roman"/>
          <w:i/>
          <w:iCs/>
          <w:color w:val="222222"/>
          <w:sz w:val="24"/>
          <w:szCs w:val="24"/>
          <w:shd w:val="clear" w:color="auto" w:fill="FFFFFF"/>
        </w:rPr>
        <w:t>Teaching and teacher education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116</w:t>
      </w:r>
      <w:r>
        <w:rPr>
          <w:rFonts w:ascii="Times New Roman" w:hAnsi="Times New Roman" w:cs="Times New Roman"/>
          <w:color w:val="222222"/>
          <w:sz w:val="24"/>
          <w:szCs w:val="24"/>
          <w:shd w:val="clear" w:color="auto" w:fill="FFFFFF"/>
        </w:rPr>
        <w:t>, p.103758.</w:t>
      </w:r>
      <w:r>
        <w:t xml:space="preserve"> </w:t>
      </w:r>
      <w:r>
        <w:fldChar w:fldCharType="begin"/>
      </w:r>
      <w:r>
        <w:instrText xml:space="preserve"> HYPERLINK "https://www.sciencedirect.com/science/article/pii/S0742051X22001329" </w:instrText>
      </w:r>
      <w:r>
        <w:fldChar w:fldCharType="separate"/>
      </w:r>
      <w:r>
        <w:rPr>
          <w:rStyle w:val="12"/>
          <w:rFonts w:ascii="Times New Roman" w:hAnsi="Times New Roman" w:cs="Times New Roman"/>
          <w:sz w:val="24"/>
          <w:szCs w:val="24"/>
          <w:shd w:val="clear" w:color="auto" w:fill="FFFFFF"/>
        </w:rPr>
        <w:t>https://www.sciencedirect.com/science/article/pii/S0742051X22001329</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[9]Koester, A., 2022. Why face-to-face communication matters: A comparison of face-to-face and computer-mediated communication. In </w:t>
      </w:r>
      <w:r>
        <w:rPr>
          <w:rFonts w:ascii="Times New Roman" w:hAnsi="Times New Roman" w:cs="Times New Roman"/>
          <w:i/>
          <w:iCs/>
          <w:color w:val="222222"/>
          <w:sz w:val="24"/>
          <w:szCs w:val="24"/>
          <w:shd w:val="clear" w:color="auto" w:fill="FFFFFF"/>
        </w:rPr>
        <w:t>COVID-19, Communication and Culture</w:t>
      </w:r>
      <w:r>
        <w:rPr>
          <w:rFonts w:ascii="Times New Roman" w:hAnsi="Times New Roman" w:cs="Times New Roman"/>
          <w:color w:val="222222"/>
          <w:sz w:val="24"/>
          <w:szCs w:val="24"/>
          <w:shd w:val="clear" w:color="auto" w:fill="FFFFFF"/>
        </w:rPr>
        <w:t> (pp. 115-134). Routledge.</w:t>
      </w:r>
      <w:r>
        <w:t xml:space="preserve"> </w:t>
      </w:r>
      <w:r>
        <w:fldChar w:fldCharType="begin"/>
      </w:r>
      <w:r>
        <w:instrText xml:space="preserve"> HYPERLINK "https://books.google.com/books?hl=en&amp;lr=&amp;id=fGdxEAAAQBAJ&amp;oi=fnd&amp;pg=PA115&amp;dq=Koester,+A.,+2022.+Why+face-to-face+communication+matters:+A+comparison+of+face-to-face+and+computer-mediated+communication.+In+COVID-19,+Communication+and+Culture+(pp.+115-134).+Routledge.&amp;ots=35GEUdO4f5&amp;sig=4VWEThLsYALaYbhqcNiFutd5-kY" </w:instrText>
      </w:r>
      <w:r>
        <w:fldChar w:fldCharType="separate"/>
      </w:r>
      <w:r>
        <w:rPr>
          <w:rStyle w:val="12"/>
          <w:rFonts w:ascii="Times New Roman" w:hAnsi="Times New Roman" w:cs="Times New Roman"/>
          <w:sz w:val="24"/>
          <w:szCs w:val="24"/>
          <w:shd w:val="clear" w:color="auto" w:fill="FFFFFF"/>
        </w:rPr>
        <w:t>https://books.google.com/books?hl=en&amp;lr=&amp;id=fGdxEAAAQBAJ&amp;oi=fnd&amp;pg=PA115&amp;dq=Koester,+A.,+2022.+Why+face-to-face+communication+matters:+A+comparison+of+face-to-face+and+computer-mediated+communication.+In+COVID-19,+Communication+and+Culture+(pp.+115-134).+Routledge.&amp;ots=35GEUdO4f5&amp;sig=4VWEThLsYALaYbhqcNiFutd5-kY</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[10]LaGree, D., Houston, B., Duffy, M. and Shin, H., 2023. The effect of respect: Respectful communication at work drives resiliency, engagement, and job satisfaction among early career employees. </w:t>
      </w:r>
      <w:r>
        <w:rPr>
          <w:rFonts w:ascii="Times New Roman" w:hAnsi="Times New Roman" w:cs="Times New Roman"/>
          <w:i/>
          <w:iCs/>
          <w:color w:val="222222"/>
          <w:sz w:val="24"/>
          <w:szCs w:val="24"/>
          <w:shd w:val="clear" w:color="auto" w:fill="FFFFFF"/>
        </w:rPr>
        <w:t>International Journal of Business Communication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60</w:t>
      </w:r>
      <w:r>
        <w:rPr>
          <w:rFonts w:ascii="Times New Roman" w:hAnsi="Times New Roman" w:cs="Times New Roman"/>
          <w:color w:val="222222"/>
          <w:sz w:val="24"/>
          <w:szCs w:val="24"/>
          <w:shd w:val="clear" w:color="auto" w:fill="FFFFFF"/>
        </w:rPr>
        <w:t>(3), pp.844-864.</w:t>
      </w:r>
      <w:r>
        <w:t xml:space="preserve"> </w:t>
      </w:r>
      <w:r>
        <w:fldChar w:fldCharType="begin"/>
      </w:r>
      <w:r>
        <w:instrText xml:space="preserve"> HYPERLINK "https://journals.sagepub.com/doi/abs/10.1177/23294884211016529" </w:instrText>
      </w:r>
      <w:r>
        <w:fldChar w:fldCharType="separate"/>
      </w:r>
      <w:r>
        <w:rPr>
          <w:rStyle w:val="12"/>
          <w:rFonts w:ascii="Times New Roman" w:hAnsi="Times New Roman" w:cs="Times New Roman"/>
          <w:sz w:val="24"/>
          <w:szCs w:val="24"/>
          <w:shd w:val="clear" w:color="auto" w:fill="FFFFFF"/>
        </w:rPr>
        <w:t>https://journals.sagepub.com/doi/abs/10.1177/23294884211016529</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[11]Leal-Rodríguez, A.L., Sanchís-Pedregosa, C., Moreno-Moreno, A.M. and Leal-Millán, A.G., 2023. Digitalization beyond technology: Proposing an explanatory and predictive model for digital culture in organizations. </w:t>
      </w:r>
      <w:r>
        <w:rPr>
          <w:rFonts w:ascii="Times New Roman" w:hAnsi="Times New Roman" w:cs="Times New Roman"/>
          <w:i/>
          <w:iCs/>
          <w:color w:val="222222"/>
          <w:sz w:val="24"/>
          <w:szCs w:val="24"/>
          <w:shd w:val="clear" w:color="auto" w:fill="FFFFFF"/>
        </w:rPr>
        <w:t>Journal of Innovation &amp; Knowledge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w:t>
      </w:r>
      <w:r>
        <w:rPr>
          <w:rFonts w:ascii="Times New Roman" w:hAnsi="Times New Roman" w:cs="Times New Roman"/>
          <w:color w:val="222222"/>
          <w:sz w:val="24"/>
          <w:szCs w:val="24"/>
          <w:shd w:val="clear" w:color="auto" w:fill="FFFFFF"/>
        </w:rPr>
        <w:t>(3), p.100409.</w:t>
      </w:r>
      <w:r>
        <w:t xml:space="preserve"> </w:t>
      </w:r>
      <w:r>
        <w:fldChar w:fldCharType="begin"/>
      </w:r>
      <w:r>
        <w:instrText xml:space="preserve"> HYPERLINK "https://www.sciencedirect.com/science/article/pii/S2444569X23001051" </w:instrText>
      </w:r>
      <w:r>
        <w:fldChar w:fldCharType="separate"/>
      </w:r>
      <w:r>
        <w:rPr>
          <w:rStyle w:val="12"/>
          <w:rFonts w:ascii="Times New Roman" w:hAnsi="Times New Roman" w:cs="Times New Roman"/>
          <w:sz w:val="24"/>
          <w:szCs w:val="24"/>
          <w:shd w:val="clear" w:color="auto" w:fill="FFFFFF"/>
        </w:rPr>
        <w:t>https://www.sciencedirect.com/science/article/pii/S2444569X23001051</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[12]Leão, I.P.D., 2023. Citizenship and english as a foreign language symbiosis in mainstream schooling: a key to intercultural democratic education.</w:t>
      </w:r>
      <w:r>
        <w:t xml:space="preserve"> </w:t>
      </w:r>
      <w:r>
        <w:fldChar w:fldCharType="begin"/>
      </w:r>
      <w:r>
        <w:instrText xml:space="preserve"> HYPERLINK "https://repositorioaberto.uab.pt/bitstream/10400.2/13757/1/TD_AnaLeao.pdf" </w:instrText>
      </w:r>
      <w:r>
        <w:fldChar w:fldCharType="separate"/>
      </w:r>
      <w:r>
        <w:rPr>
          <w:rStyle w:val="12"/>
          <w:rFonts w:ascii="Times New Roman" w:hAnsi="Times New Roman" w:cs="Times New Roman"/>
          <w:sz w:val="24"/>
          <w:szCs w:val="24"/>
          <w:shd w:val="clear" w:color="auto" w:fill="FFFFFF"/>
        </w:rPr>
        <w:t>https://repositorioaberto.uab.pt/bitstream/10400.2/13757/1/TD_AnaLeao.pdf</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[13]Lemos, V.A.F. and Brunstein, J., 2023. Fostering soft skills leadership through a critical reflection approach. </w:t>
      </w:r>
      <w:r>
        <w:rPr>
          <w:rFonts w:ascii="Times New Roman" w:hAnsi="Times New Roman" w:cs="Times New Roman"/>
          <w:i/>
          <w:iCs/>
          <w:color w:val="222222"/>
          <w:sz w:val="24"/>
          <w:szCs w:val="24"/>
          <w:shd w:val="clear" w:color="auto" w:fill="FFFFFF"/>
        </w:rPr>
        <w:t>Industrial and Commercial Training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55</w:t>
      </w:r>
      <w:r>
        <w:rPr>
          <w:rFonts w:ascii="Times New Roman" w:hAnsi="Times New Roman" w:cs="Times New Roman"/>
          <w:color w:val="222222"/>
          <w:sz w:val="24"/>
          <w:szCs w:val="24"/>
          <w:shd w:val="clear" w:color="auto" w:fill="FFFFFF"/>
        </w:rPr>
        <w:t>(1), pp.143-156.</w:t>
      </w:r>
      <w:r>
        <w:t xml:space="preserve"> </w:t>
      </w:r>
      <w:r>
        <w:fldChar w:fldCharType="begin"/>
      </w:r>
      <w:r>
        <w:instrText xml:space="preserve"> HYPERLINK "https://www.emerald.com/insight/content/doi/10.1108/ICT-01-2022-0001/full/html" </w:instrText>
      </w:r>
      <w:r>
        <w:fldChar w:fldCharType="separate"/>
      </w:r>
      <w:r>
        <w:rPr>
          <w:rStyle w:val="12"/>
          <w:rFonts w:ascii="Times New Roman" w:hAnsi="Times New Roman" w:cs="Times New Roman"/>
          <w:sz w:val="24"/>
          <w:szCs w:val="24"/>
          <w:shd w:val="clear" w:color="auto" w:fill="FFFFFF"/>
        </w:rPr>
        <w:t>https://www.emerald.com/insight/content/doi/10.1108/ICT-01-2022-0001/full/html</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[14]Lončar, K., 2023. </w:t>
      </w:r>
      <w:r>
        <w:rPr>
          <w:rFonts w:ascii="Times New Roman" w:hAnsi="Times New Roman" w:cs="Times New Roman"/>
          <w:i/>
          <w:iCs/>
          <w:color w:val="222222"/>
          <w:sz w:val="24"/>
          <w:szCs w:val="24"/>
          <w:shd w:val="clear" w:color="auto" w:fill="FFFFFF"/>
        </w:rPr>
        <w:t>The impact of national culture on business decision-making</w:t>
      </w:r>
      <w:r>
        <w:rPr>
          <w:rFonts w:ascii="Times New Roman" w:hAnsi="Times New Roman" w:cs="Times New Roman"/>
          <w:color w:val="222222"/>
          <w:sz w:val="24"/>
          <w:szCs w:val="24"/>
          <w:shd w:val="clear" w:color="auto" w:fill="FFFFFF"/>
        </w:rPr>
        <w:t> (Doctoral dissertation, University of Zagreb. Faculty of Economics and Business. Department of Organization and Management).</w:t>
      </w:r>
      <w:r>
        <w:t xml:space="preserve"> </w:t>
      </w:r>
      <w:r>
        <w:fldChar w:fldCharType="begin"/>
      </w:r>
      <w:r>
        <w:instrText xml:space="preserve"> HYPERLINK "https://repozitorij.unizg.hr/islandora/object/efzg:10864" </w:instrText>
      </w:r>
      <w:r>
        <w:fldChar w:fldCharType="separate"/>
      </w:r>
      <w:r>
        <w:rPr>
          <w:rStyle w:val="12"/>
          <w:rFonts w:ascii="Times New Roman" w:hAnsi="Times New Roman" w:cs="Times New Roman"/>
          <w:sz w:val="24"/>
          <w:szCs w:val="24"/>
          <w:shd w:val="clear" w:color="auto" w:fill="FFFFFF"/>
        </w:rPr>
        <w:t>https://repozitorij.unizg.hr/islandora/object/efzg:10864</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[15]Miah, M.R., 2023. Developing CRM system for medical equipment Service Company.</w:t>
      </w: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[16]Mathews, E., Cadwell, P., O’Boyle, S. and Dunne, S., 2023. Crisis interpreting and Deaf community access in the COVID-19 pandemic. </w:t>
      </w:r>
      <w:r>
        <w:rPr>
          <w:rFonts w:ascii="Times New Roman" w:hAnsi="Times New Roman" w:cs="Times New Roman"/>
          <w:i/>
          <w:iCs/>
          <w:color w:val="222222"/>
          <w:sz w:val="24"/>
          <w:szCs w:val="24"/>
          <w:shd w:val="clear" w:color="auto" w:fill="FFFFFF"/>
        </w:rPr>
        <w:t>Perspectives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31</w:t>
      </w:r>
      <w:r>
        <w:rPr>
          <w:rFonts w:ascii="Times New Roman" w:hAnsi="Times New Roman" w:cs="Times New Roman"/>
          <w:color w:val="222222"/>
          <w:sz w:val="24"/>
          <w:szCs w:val="24"/>
          <w:shd w:val="clear" w:color="auto" w:fill="FFFFFF"/>
        </w:rPr>
        <w:t>(3), pp.431-449.</w:t>
      </w:r>
      <w:r>
        <w:t xml:space="preserve"> </w:t>
      </w:r>
      <w:r>
        <w:fldChar w:fldCharType="begin"/>
      </w:r>
      <w:r>
        <w:instrText xml:space="preserve"> HYPERLINK "https://www.tandfonline.com/doi/abs/10.1080/0907676X.2022.2028873" </w:instrText>
      </w:r>
      <w:r>
        <w:fldChar w:fldCharType="separate"/>
      </w:r>
      <w:r>
        <w:rPr>
          <w:rStyle w:val="12"/>
          <w:rFonts w:ascii="Times New Roman" w:hAnsi="Times New Roman" w:cs="Times New Roman"/>
          <w:sz w:val="24"/>
          <w:szCs w:val="24"/>
          <w:shd w:val="clear" w:color="auto" w:fill="FFFFFF"/>
        </w:rPr>
        <w:t>https://www.tandfonline.com/doi/abs/10.1080/0907676X.2022.2028873</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[17]McKinley, C.J. and Lauby, F., 2023. Examining Cultural Worldview and Social Media as Contributors to Reduced COVID-19 Prevention Behaviors in the US and France. </w:t>
      </w:r>
      <w:r>
        <w:rPr>
          <w:rFonts w:ascii="Times New Roman" w:hAnsi="Times New Roman" w:cs="Times New Roman"/>
          <w:i/>
          <w:iCs/>
          <w:color w:val="222222"/>
          <w:sz w:val="24"/>
          <w:szCs w:val="24"/>
          <w:shd w:val="clear" w:color="auto" w:fill="FFFFFF"/>
        </w:rPr>
        <w:t>Western Journal of Communication</w:t>
      </w:r>
      <w:r>
        <w:rPr>
          <w:rFonts w:ascii="Times New Roman" w:hAnsi="Times New Roman" w:cs="Times New Roman"/>
          <w:color w:val="222222"/>
          <w:sz w:val="24"/>
          <w:szCs w:val="24"/>
          <w:shd w:val="clear" w:color="auto" w:fill="FFFFFF"/>
        </w:rPr>
        <w:t>, pp.1-26.</w:t>
      </w:r>
      <w:r>
        <w:t xml:space="preserve"> </w:t>
      </w:r>
      <w:r>
        <w:fldChar w:fldCharType="begin"/>
      </w:r>
      <w:r>
        <w:instrText xml:space="preserve"> HYPERLINK "https://www.tandfonline.com/doi/abs/10.1080/10570314.2023.2219231" </w:instrText>
      </w:r>
      <w:r>
        <w:fldChar w:fldCharType="separate"/>
      </w:r>
      <w:r>
        <w:rPr>
          <w:rStyle w:val="12"/>
          <w:rFonts w:ascii="Times New Roman" w:hAnsi="Times New Roman" w:cs="Times New Roman"/>
          <w:sz w:val="24"/>
          <w:szCs w:val="24"/>
          <w:shd w:val="clear" w:color="auto" w:fill="FFFFFF"/>
        </w:rPr>
        <w:t>https://www.tandfonline.com/doi/abs/10.1080/10570314.2023.2219231</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[18]Mustafa, A.M., Azimli, A. and Sabir Jaf, R.A., 2022. The Role of Resource Consumption Accounting in Achieving Competitive Prices and Sustainable Profitability. </w:t>
      </w:r>
      <w:r>
        <w:rPr>
          <w:rFonts w:ascii="Times New Roman" w:hAnsi="Times New Roman" w:cs="Times New Roman"/>
          <w:i/>
          <w:iCs/>
          <w:color w:val="222222"/>
          <w:sz w:val="24"/>
          <w:szCs w:val="24"/>
          <w:shd w:val="clear" w:color="auto" w:fill="FFFFFF"/>
        </w:rPr>
        <w:t>Energies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15</w:t>
      </w:r>
      <w:r>
        <w:rPr>
          <w:rFonts w:ascii="Times New Roman" w:hAnsi="Times New Roman" w:cs="Times New Roman"/>
          <w:color w:val="222222"/>
          <w:sz w:val="24"/>
          <w:szCs w:val="24"/>
          <w:shd w:val="clear" w:color="auto" w:fill="FFFFFF"/>
        </w:rPr>
        <w:t>(11), p.4155.</w:t>
      </w:r>
      <w:r>
        <w:t xml:space="preserve"> </w:t>
      </w:r>
      <w:r>
        <w:fldChar w:fldCharType="begin"/>
      </w:r>
      <w:r>
        <w:instrText xml:space="preserve"> HYPERLINK "https://www.mdpi.com/1996-1073/15/11/4155" </w:instrText>
      </w:r>
      <w:r>
        <w:fldChar w:fldCharType="separate"/>
      </w:r>
      <w:r>
        <w:rPr>
          <w:rStyle w:val="12"/>
          <w:rFonts w:ascii="Times New Roman" w:hAnsi="Times New Roman" w:cs="Times New Roman"/>
          <w:sz w:val="24"/>
          <w:szCs w:val="24"/>
          <w:shd w:val="clear" w:color="auto" w:fill="FFFFFF"/>
        </w:rPr>
        <w:t>https://www.mdpi.com/1996-1073/15/11/4155</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[19]Oguz, A., Palvia, P. and Mehta, N., 2023. Safely navigating global virtual teams amid the threat of cyberbullying. </w:t>
      </w:r>
      <w:r>
        <w:rPr>
          <w:rFonts w:ascii="Times New Roman" w:hAnsi="Times New Roman" w:cs="Times New Roman"/>
          <w:i/>
          <w:iCs/>
          <w:color w:val="222222"/>
          <w:sz w:val="24"/>
          <w:szCs w:val="24"/>
          <w:shd w:val="clear" w:color="auto" w:fill="FFFFFF"/>
        </w:rPr>
        <w:t>Organizational Dynamics</w:t>
      </w:r>
      <w:r>
        <w:rPr>
          <w:rFonts w:ascii="Times New Roman" w:hAnsi="Times New Roman" w:cs="Times New Roman"/>
          <w:color w:val="222222"/>
          <w:sz w:val="24"/>
          <w:szCs w:val="24"/>
          <w:shd w:val="clear" w:color="auto" w:fill="FFFFFF"/>
        </w:rPr>
        <w:t>, p.101009.</w:t>
      </w:r>
      <w:r>
        <w:t xml:space="preserve"> </w:t>
      </w:r>
      <w:r>
        <w:fldChar w:fldCharType="begin"/>
      </w:r>
      <w:r>
        <w:instrText xml:space="preserve"> HYPERLINK "https://www.sciencedirect.com/science/article/pii/S0090261623000530" </w:instrText>
      </w:r>
      <w:r>
        <w:fldChar w:fldCharType="separate"/>
      </w:r>
      <w:r>
        <w:rPr>
          <w:rStyle w:val="12"/>
          <w:rFonts w:ascii="Times New Roman" w:hAnsi="Times New Roman" w:cs="Times New Roman"/>
          <w:sz w:val="24"/>
          <w:szCs w:val="24"/>
          <w:shd w:val="clear" w:color="auto" w:fill="FFFFFF"/>
        </w:rPr>
        <w:t>https://www.sciencedirect.com/science/article/pii/S0090261623000530</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[20]Ong, X., Freeman, S., Goxe, F., Guercini, S. and Cooper, B., 2022. Outsidership, network positions and cooperation among internationalizing SMEs: An industry evolutionary perspective. </w:t>
      </w:r>
      <w:r>
        <w:rPr>
          <w:rFonts w:ascii="Times New Roman" w:hAnsi="Times New Roman" w:cs="Times New Roman"/>
          <w:i/>
          <w:iCs/>
          <w:color w:val="222222"/>
          <w:sz w:val="24"/>
          <w:szCs w:val="24"/>
          <w:shd w:val="clear" w:color="auto" w:fill="FFFFFF"/>
        </w:rPr>
        <w:t>International Business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31</w:t>
      </w:r>
      <w:r>
        <w:rPr>
          <w:rFonts w:ascii="Times New Roman" w:hAnsi="Times New Roman" w:cs="Times New Roman"/>
          <w:color w:val="222222"/>
          <w:sz w:val="24"/>
          <w:szCs w:val="24"/>
          <w:shd w:val="clear" w:color="auto" w:fill="FFFFFF"/>
        </w:rPr>
        <w:t>(3), p.101970.</w:t>
      </w:r>
      <w:r>
        <w:t xml:space="preserve"> </w:t>
      </w:r>
      <w:r>
        <w:fldChar w:fldCharType="begin"/>
      </w:r>
      <w:r>
        <w:instrText xml:space="preserve"> HYPERLINK "https://www.sciencedirect.com/science/article/pii/S0969593121001888" </w:instrText>
      </w:r>
      <w:r>
        <w:fldChar w:fldCharType="separate"/>
      </w:r>
      <w:r>
        <w:rPr>
          <w:rStyle w:val="12"/>
          <w:rFonts w:ascii="Times New Roman" w:hAnsi="Times New Roman" w:cs="Times New Roman"/>
          <w:sz w:val="24"/>
          <w:szCs w:val="24"/>
          <w:shd w:val="clear" w:color="auto" w:fill="FFFFFF"/>
        </w:rPr>
        <w:t>https://www.sciencedirect.com/science/article/pii/S0969593121001888</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[21]Singh, V., Chen, S.S., Singhania, M., Nanavati, B. and Gupta, A., 2022. How are reinforcement learning and deep learning algorithms used for big data based decision making in financial industries–A review and research agenda. </w:t>
      </w:r>
      <w:r>
        <w:rPr>
          <w:rFonts w:ascii="Times New Roman" w:hAnsi="Times New Roman" w:cs="Times New Roman"/>
          <w:i/>
          <w:iCs/>
          <w:color w:val="222222"/>
          <w:sz w:val="24"/>
          <w:szCs w:val="24"/>
          <w:shd w:val="clear" w:color="auto" w:fill="FFFFFF"/>
        </w:rPr>
        <w:t>International Journal of Information Management Data Insights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(2), p.100094.</w:t>
      </w:r>
      <w:r>
        <w:t xml:space="preserve"> </w:t>
      </w:r>
      <w:r>
        <w:fldChar w:fldCharType="begin"/>
      </w:r>
      <w:r>
        <w:instrText xml:space="preserve"> HYPERLINK "https://www.sciencedirect.com/science/article/pii/S2667096822000374" </w:instrText>
      </w:r>
      <w:r>
        <w:fldChar w:fldCharType="separate"/>
      </w:r>
      <w:r>
        <w:rPr>
          <w:rStyle w:val="12"/>
          <w:rFonts w:ascii="Times New Roman" w:hAnsi="Times New Roman" w:cs="Times New Roman"/>
          <w:sz w:val="24"/>
          <w:szCs w:val="24"/>
          <w:shd w:val="clear" w:color="auto" w:fill="FFFFFF"/>
        </w:rPr>
        <w:t>https://www.sciencedirect.com/science/article/pii/S2667096822000374</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[22]Sun, P., 2022. A Review of the Business Culture Differences between Canada and China. </w:t>
      </w:r>
      <w:r>
        <w:rPr>
          <w:rFonts w:ascii="Times New Roman" w:hAnsi="Times New Roman" w:cs="Times New Roman"/>
          <w:i/>
          <w:iCs/>
          <w:color w:val="222222"/>
          <w:sz w:val="24"/>
          <w:szCs w:val="24"/>
          <w:shd w:val="clear" w:color="auto" w:fill="FFFFFF"/>
        </w:rPr>
        <w:t>JSR</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w:t>
      </w:r>
      <w:r>
        <w:rPr>
          <w:rFonts w:ascii="Times New Roman" w:hAnsi="Times New Roman" w:cs="Times New Roman"/>
          <w:color w:val="222222"/>
          <w:sz w:val="24"/>
          <w:szCs w:val="24"/>
          <w:shd w:val="clear" w:color="auto" w:fill="FFFFFF"/>
        </w:rPr>
        <w:t>(1).</w:t>
      </w:r>
      <w:r>
        <w:t xml:space="preserve"> </w:t>
      </w:r>
      <w:r>
        <w:fldChar w:fldCharType="begin"/>
      </w:r>
      <w:r>
        <w:instrText xml:space="preserve"> HYPERLINK "https://www.researchgate.net/profile/Peng-Sun-104/publication/366028893_A_Review_of_the_Business_Culture_Differences_between_Canada_and_China/links/638edbcc11e9f00cda1f8894/A-Review-of-the-Business-Culture-Differences-between-Canada-and-China.pdf" </w:instrText>
      </w:r>
      <w:r>
        <w:fldChar w:fldCharType="separate"/>
      </w:r>
      <w:r>
        <w:rPr>
          <w:rStyle w:val="12"/>
          <w:rFonts w:ascii="Times New Roman" w:hAnsi="Times New Roman" w:cs="Times New Roman"/>
          <w:sz w:val="24"/>
          <w:szCs w:val="24"/>
          <w:shd w:val="clear" w:color="auto" w:fill="FFFFFF"/>
        </w:rPr>
        <w:t>https://www.researchgate.net/profile/Peng-Sun-104/publication/366028893_A_Review_of_the_Business_Culture_Differences_between_Canada_and_China/links/638edbcc11e9f00cda1f8894/A-Review-of-the-Business-Culture-Differences-between-Canada-and-China.pdf</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[23]Swart, K., Bond-Barnard, T. and Chugh, R., 2022. Challenges and critical success factors of digital communication, collaboration and knowledge sharing in project management virtual teams: a review. </w:t>
      </w:r>
      <w:r>
        <w:rPr>
          <w:rFonts w:ascii="Times New Roman" w:hAnsi="Times New Roman" w:cs="Times New Roman"/>
          <w:i/>
          <w:iCs/>
          <w:color w:val="222222"/>
          <w:sz w:val="24"/>
          <w:szCs w:val="24"/>
          <w:shd w:val="clear" w:color="auto" w:fill="FFFFFF"/>
        </w:rPr>
        <w:t>International Journal of Information Systems and Project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10</w:t>
      </w:r>
      <w:r>
        <w:rPr>
          <w:rFonts w:ascii="Times New Roman" w:hAnsi="Times New Roman" w:cs="Times New Roman"/>
          <w:color w:val="222222"/>
          <w:sz w:val="24"/>
          <w:szCs w:val="24"/>
          <w:shd w:val="clear" w:color="auto" w:fill="FFFFFF"/>
        </w:rPr>
        <w:t>(4), pp.84-103.</w:t>
      </w:r>
      <w:r>
        <w:t xml:space="preserve"> </w:t>
      </w:r>
      <w:r>
        <w:fldChar w:fldCharType="begin"/>
      </w:r>
      <w:r>
        <w:instrText xml:space="preserve"> HYPERLINK "https://aisel.aisnet.org/ijispm/vol10/iss4/5/" </w:instrText>
      </w:r>
      <w:r>
        <w:fldChar w:fldCharType="separate"/>
      </w:r>
      <w:r>
        <w:rPr>
          <w:rStyle w:val="12"/>
          <w:rFonts w:ascii="Times New Roman" w:hAnsi="Times New Roman" w:cs="Times New Roman"/>
          <w:sz w:val="24"/>
          <w:szCs w:val="24"/>
          <w:shd w:val="clear" w:color="auto" w:fill="FFFFFF"/>
        </w:rPr>
        <w:t>https://aisel.aisnet.org/ijispm/vol10/iss4/5/</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[24]Tarafdar, M., Page, X. and Marabelli, M., 2023. Algorithms as co‐workers: Human algorithm role interactions in algorithmic work. </w:t>
      </w:r>
      <w:r>
        <w:rPr>
          <w:rFonts w:ascii="Times New Roman" w:hAnsi="Times New Roman" w:cs="Times New Roman"/>
          <w:i/>
          <w:iCs/>
          <w:color w:val="222222"/>
          <w:sz w:val="24"/>
          <w:szCs w:val="24"/>
          <w:shd w:val="clear" w:color="auto" w:fill="FFFFFF"/>
        </w:rPr>
        <w:t>Information Systems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33</w:t>
      </w:r>
      <w:r>
        <w:rPr>
          <w:rFonts w:ascii="Times New Roman" w:hAnsi="Times New Roman" w:cs="Times New Roman"/>
          <w:color w:val="222222"/>
          <w:sz w:val="24"/>
          <w:szCs w:val="24"/>
          <w:shd w:val="clear" w:color="auto" w:fill="FFFFFF"/>
        </w:rPr>
        <w:t>(2), pp.232-267.</w:t>
      </w:r>
      <w:r>
        <w:t xml:space="preserve"> </w:t>
      </w:r>
      <w:r>
        <w:fldChar w:fldCharType="begin"/>
      </w:r>
      <w:r>
        <w:instrText xml:space="preserve"> HYPERLINK "https://onlinelibrary.wiley.com/doi/abs/10.1111/isj.12389" </w:instrText>
      </w:r>
      <w:r>
        <w:fldChar w:fldCharType="separate"/>
      </w:r>
      <w:r>
        <w:rPr>
          <w:rStyle w:val="12"/>
          <w:rFonts w:ascii="Times New Roman" w:hAnsi="Times New Roman" w:cs="Times New Roman"/>
          <w:sz w:val="24"/>
          <w:szCs w:val="24"/>
          <w:shd w:val="clear" w:color="auto" w:fill="FFFFFF"/>
        </w:rPr>
        <w:t>https://onlinelibrary.wiley.com/doi/abs/10.1111/isj.12389</w:t>
      </w:r>
      <w:r>
        <w:rPr>
          <w:rStyle w:val="12"/>
          <w:rFonts w:ascii="Times New Roman" w:hAnsi="Times New Roman" w:cs="Times New Roman"/>
          <w:sz w:val="24"/>
          <w:szCs w:val="24"/>
          <w:shd w:val="clear" w:color="auto" w:fill="FFFFFF"/>
        </w:rPr>
        <w:fldChar w:fldCharType="end"/>
      </w:r>
    </w:p>
    <w:p>
      <w:pPr>
        <w:spacing w:line="480" w:lineRule="auto"/>
        <w:contextualSpacing/>
        <w:jc w:val="both"/>
        <w:rPr>
          <w:rFonts w:ascii="Times New Roman" w:hAnsi="Times New Roman" w:cs="Times New Roman"/>
          <w:color w:val="222222"/>
          <w:sz w:val="24"/>
          <w:szCs w:val="24"/>
          <w:shd w:val="clear" w:color="auto" w:fill="FFFFFF"/>
        </w:rPr>
      </w:pPr>
    </w:p>
    <w:p>
      <w:pPr>
        <w:spacing w:line="480" w:lineRule="auto"/>
        <w:contextualSpacing/>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[25]Zahra, S.A., Petricevic, O. and Luo, Y., 2022. Toward an action-based view of dynamic capabilities for international business. </w:t>
      </w:r>
      <w:r>
        <w:rPr>
          <w:rFonts w:ascii="Times New Roman" w:hAnsi="Times New Roman" w:cs="Times New Roman"/>
          <w:i/>
          <w:iCs/>
          <w:color w:val="222222"/>
          <w:sz w:val="24"/>
          <w:szCs w:val="24"/>
          <w:shd w:val="clear" w:color="auto" w:fill="FFFFFF"/>
        </w:rPr>
        <w:t>Journal of International Business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53</w:t>
      </w:r>
      <w:r>
        <w:rPr>
          <w:rFonts w:ascii="Times New Roman" w:hAnsi="Times New Roman" w:cs="Times New Roman"/>
          <w:color w:val="222222"/>
          <w:sz w:val="24"/>
          <w:szCs w:val="24"/>
          <w:shd w:val="clear" w:color="auto" w:fill="FFFFFF"/>
        </w:rPr>
        <w:t>(4), pp.583-600.</w:t>
      </w:r>
      <w:r>
        <w:t xml:space="preserve"> </w:t>
      </w:r>
      <w:r>
        <w:fldChar w:fldCharType="begin"/>
      </w:r>
      <w:r>
        <w:instrText xml:space="preserve"> HYPERLINK "https://link.springer.com/article/10.1057/s41267-021-00487-2" </w:instrText>
      </w:r>
      <w:r>
        <w:fldChar w:fldCharType="separate"/>
      </w:r>
      <w:r>
        <w:rPr>
          <w:rStyle w:val="12"/>
          <w:rFonts w:ascii="Times New Roman" w:hAnsi="Times New Roman" w:cs="Times New Roman"/>
          <w:sz w:val="24"/>
          <w:szCs w:val="24"/>
          <w:shd w:val="clear" w:color="auto" w:fill="FFFFFF"/>
        </w:rPr>
        <w:t>https://link.springer.com/article/10.1057/s41267-021-00487-2</w:t>
      </w:r>
      <w:r>
        <w:rPr>
          <w:rStyle w:val="12"/>
          <w:rFonts w:ascii="Times New Roman" w:hAnsi="Times New Roman" w:cs="Times New Roman"/>
          <w:sz w:val="24"/>
          <w:szCs w:val="24"/>
          <w:shd w:val="clear" w:color="auto" w:fill="FFFFFF"/>
        </w:rPr>
        <w:fldChar w:fldCharType="end"/>
      </w:r>
    </w:p>
    <w:p>
      <w:pPr>
        <w:spacing w:line="480" w:lineRule="auto"/>
        <w:ind w:left="720" w:hanging="720"/>
        <w:jc w:val="both"/>
        <w:rPr>
          <w:rFonts w:ascii="Times New Roman" w:hAnsi="Times New Roman" w:cs="Times New Roman"/>
          <w:sz w:val="24"/>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334843368"/>
      <w:docPartObj>
        <w:docPartGallery w:val="autotext"/>
      </w:docPartObj>
    </w:sdtPr>
    <w:sdtContent>
      <w:p>
        <w:pPr>
          <w:pStyle w:val="7"/>
          <w:jc w:val="right"/>
        </w:pPr>
        <w:r>
          <w:fldChar w:fldCharType="begin"/>
        </w:r>
        <w:r>
          <w:instrText xml:space="preserve"> PAGE   \* MERGEFORMAT </w:instrText>
        </w:r>
        <w:r>
          <w:fldChar w:fldCharType="separate"/>
        </w:r>
        <w:r>
          <w:t>19</w:t>
        </w:r>
        <w:r>
          <w:fldChar w:fldCharType="end"/>
        </w:r>
      </w:p>
    </w:sdtContent>
  </w:sdt>
  <w:p>
    <w:pPr>
      <w:pStyle w:val="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9"/>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DVlMjdiZDIzOGZlMzNmNWI4ZDU5MDg0NjZhNzBlNWMifQ=="/>
  </w:docVars>
  <w:rsids>
    <w:rsidRoot w:val="002D3B1C"/>
    <w:rsid w:val="000032DB"/>
    <w:rsid w:val="00050E0A"/>
    <w:rsid w:val="00054904"/>
    <w:rsid w:val="00174DF5"/>
    <w:rsid w:val="001F4722"/>
    <w:rsid w:val="00295C30"/>
    <w:rsid w:val="002D3B1C"/>
    <w:rsid w:val="003213D2"/>
    <w:rsid w:val="003953E7"/>
    <w:rsid w:val="003C5595"/>
    <w:rsid w:val="003D3AA7"/>
    <w:rsid w:val="003E7C97"/>
    <w:rsid w:val="0058701A"/>
    <w:rsid w:val="005B5205"/>
    <w:rsid w:val="005F482A"/>
    <w:rsid w:val="00636C0F"/>
    <w:rsid w:val="006B597A"/>
    <w:rsid w:val="006D3E3B"/>
    <w:rsid w:val="00703DD6"/>
    <w:rsid w:val="00760177"/>
    <w:rsid w:val="00780B94"/>
    <w:rsid w:val="00804491"/>
    <w:rsid w:val="0083189A"/>
    <w:rsid w:val="008E6B4A"/>
    <w:rsid w:val="008F4A28"/>
    <w:rsid w:val="00992D46"/>
    <w:rsid w:val="00A914D8"/>
    <w:rsid w:val="00AB321A"/>
    <w:rsid w:val="00B637D5"/>
    <w:rsid w:val="00B8054C"/>
    <w:rsid w:val="00CA0C0C"/>
    <w:rsid w:val="00CA1F85"/>
    <w:rsid w:val="00CC2726"/>
    <w:rsid w:val="00CF265F"/>
    <w:rsid w:val="00D165CD"/>
    <w:rsid w:val="00D4018D"/>
    <w:rsid w:val="00DE7DEC"/>
    <w:rsid w:val="00E10DDB"/>
    <w:rsid w:val="00EB7026"/>
    <w:rsid w:val="00F2018F"/>
    <w:rsid w:val="00F47619"/>
    <w:rsid w:val="00FA1869"/>
    <w:rsid w:val="00FE1A12"/>
    <w:rsid w:val="00FE1FEB"/>
    <w:rsid w:val="00FF2A3D"/>
    <w:rsid w:val="0284071A"/>
    <w:rsid w:val="1BE060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4"/>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15"/>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1">
    <w:name w:val="Default Paragraph Font"/>
    <w:semiHidden/>
    <w:unhideWhenUsed/>
    <w:qFormat/>
    <w:uiPriority w:val="1"/>
  </w:style>
  <w:style w:type="table" w:default="1" w:styleId="10">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40"/>
    </w:pPr>
  </w:style>
  <w:style w:type="paragraph" w:styleId="6">
    <w:name w:val="footer"/>
    <w:basedOn w:val="1"/>
    <w:link w:val="18"/>
    <w:unhideWhenUsed/>
    <w:qFormat/>
    <w:uiPriority w:val="99"/>
    <w:pPr>
      <w:tabs>
        <w:tab w:val="center" w:pos="4680"/>
        <w:tab w:val="right" w:pos="9360"/>
      </w:tabs>
      <w:spacing w:after="0" w:line="240" w:lineRule="auto"/>
    </w:pPr>
  </w:style>
  <w:style w:type="paragraph" w:styleId="7">
    <w:name w:val="header"/>
    <w:basedOn w:val="1"/>
    <w:link w:val="17"/>
    <w:unhideWhenUsed/>
    <w:qFormat/>
    <w:uiPriority w:val="99"/>
    <w:pPr>
      <w:tabs>
        <w:tab w:val="center" w:pos="4680"/>
        <w:tab w:val="right" w:pos="9360"/>
      </w:tabs>
      <w:spacing w:after="0" w:line="240" w:lineRule="auto"/>
    </w:p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20"/>
    </w:p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character" w:customStyle="1" w:styleId="13">
    <w:name w:val="Heading 1 Char"/>
    <w:basedOn w:val="11"/>
    <w:link w:val="2"/>
    <w:qFormat/>
    <w:uiPriority w:val="9"/>
    <w:rPr>
      <w:rFonts w:asciiTheme="majorHAnsi" w:hAnsiTheme="majorHAnsi" w:eastAsiaTheme="majorEastAsia" w:cstheme="majorBidi"/>
      <w:color w:val="2E75B6" w:themeColor="accent1" w:themeShade="BF"/>
      <w:sz w:val="32"/>
      <w:szCs w:val="32"/>
    </w:rPr>
  </w:style>
  <w:style w:type="character" w:customStyle="1" w:styleId="14">
    <w:name w:val="Heading 2 Char"/>
    <w:basedOn w:val="11"/>
    <w:link w:val="3"/>
    <w:qFormat/>
    <w:uiPriority w:val="9"/>
    <w:rPr>
      <w:rFonts w:asciiTheme="majorHAnsi" w:hAnsiTheme="majorHAnsi" w:eastAsiaTheme="majorEastAsia" w:cstheme="majorBidi"/>
      <w:color w:val="2E75B6" w:themeColor="accent1" w:themeShade="BF"/>
      <w:sz w:val="26"/>
      <w:szCs w:val="26"/>
    </w:rPr>
  </w:style>
  <w:style w:type="character" w:customStyle="1" w:styleId="15">
    <w:name w:val="Heading 3 Char"/>
    <w:basedOn w:val="11"/>
    <w:link w:val="4"/>
    <w:qFormat/>
    <w:uiPriority w:val="9"/>
    <w:rPr>
      <w:rFonts w:asciiTheme="majorHAnsi" w:hAnsiTheme="majorHAnsi" w:eastAsiaTheme="majorEastAsia" w:cstheme="majorBidi"/>
      <w:color w:val="1F4E79" w:themeColor="accent1" w:themeShade="80"/>
      <w:sz w:val="24"/>
      <w:szCs w:val="24"/>
    </w:rPr>
  </w:style>
  <w:style w:type="paragraph" w:customStyle="1" w:styleId="16">
    <w:name w:val="TOC Heading"/>
    <w:basedOn w:val="2"/>
    <w:next w:val="1"/>
    <w:unhideWhenUsed/>
    <w:qFormat/>
    <w:uiPriority w:val="39"/>
    <w:pPr>
      <w:outlineLvl w:val="9"/>
    </w:pPr>
  </w:style>
  <w:style w:type="character" w:customStyle="1" w:styleId="17">
    <w:name w:val="Header Char"/>
    <w:basedOn w:val="11"/>
    <w:link w:val="7"/>
    <w:qFormat/>
    <w:uiPriority w:val="99"/>
  </w:style>
  <w:style w:type="character" w:customStyle="1" w:styleId="18">
    <w:name w:val="Footer Char"/>
    <w:basedOn w:val="11"/>
    <w:link w:val="6"/>
    <w:qFormat/>
    <w:uiPriority w:val="99"/>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5344FE-E24F-4141-B87A-26EB2A6D01EF}">
  <ds:schemaRefs/>
</ds:datastoreItem>
</file>

<file path=docProps/app.xml><?xml version="1.0" encoding="utf-8"?>
<Properties xmlns="http://schemas.openxmlformats.org/officeDocument/2006/extended-properties" xmlns:vt="http://schemas.openxmlformats.org/officeDocument/2006/docPropsVTypes">
  <Template>Normal</Template>
  <Pages>19</Pages>
  <Words>4622</Words>
  <Characters>26346</Characters>
  <Lines>219</Lines>
  <Paragraphs>61</Paragraphs>
  <TotalTime>1</TotalTime>
  <ScaleCrop>false</ScaleCrop>
  <LinksUpToDate>false</LinksUpToDate>
  <CharactersWithSpaces>30907</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2023-11-15T07:07:00Z</dcterms:created>
  <dc:creator>Microsoft account</dc:creator>
  <cp:lastModifiedBy>可口可乐</cp:lastModifiedBy>
  <dcterms:modified xsi:type="dcterms:W3CDTF">2023-11-20T06:41:14Z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4B4B53864E7C4F4587E8394B292F981A_12</vt:lpwstr>
  </property>
</Properties>
</file>