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7C2881" w14:textId="77777777" w:rsidR="00E74046" w:rsidRPr="00E74046" w:rsidRDefault="00E74046" w:rsidP="00E74046">
      <w:r w:rsidRPr="00E74046">
        <w:t>FINANCIAL BENCHMARK SUMMARY</w:t>
      </w:r>
    </w:p>
    <w:p w14:paraId="272AB68E" w14:textId="77777777" w:rsidR="00E74046" w:rsidRPr="00E74046" w:rsidRDefault="00E74046" w:rsidP="00E74046">
      <w:r w:rsidRPr="00E74046">
        <w:t>Target Company: RHP | Period: 2018–2022 | Industry: Lodging REITs</w:t>
      </w:r>
    </w:p>
    <w:p w14:paraId="2CAA2953" w14:textId="77777777" w:rsidR="00E74046" w:rsidRPr="00E74046" w:rsidRDefault="00E74046" w:rsidP="00E74046">
      <w:r w:rsidRPr="00E74046">
        <w:pict w14:anchorId="328A86C3">
          <v:rect id="_x0000_i1037" style="width:0;height:1.5pt" o:hralign="center" o:hrstd="t" o:hrnoshade="t" o:hr="t" fillcolor="black" stroked="f"/>
        </w:pict>
      </w:r>
    </w:p>
    <w:p w14:paraId="1700106C" w14:textId="77777777" w:rsidR="00E74046" w:rsidRPr="00E74046" w:rsidRDefault="00E74046" w:rsidP="00E74046">
      <w:r w:rsidRPr="00E74046">
        <w:t>PAGE 1: FIVE-YEAR FINANCIAL TREND ANALYSIS</w:t>
      </w:r>
    </w:p>
    <w:p w14:paraId="7882CCB5" w14:textId="77777777" w:rsidR="00E74046" w:rsidRPr="00E74046" w:rsidRDefault="00E74046" w:rsidP="00E74046">
      <w:r w:rsidRPr="00E74046">
        <w:t>All monetary values are in millions of US dollars, unless stated otherwise.</w:t>
      </w:r>
    </w:p>
    <w:p w14:paraId="4CF434EA" w14:textId="77777777" w:rsidR="00E74046" w:rsidRPr="00E74046" w:rsidRDefault="00E74046" w:rsidP="00E74046">
      <w:r w:rsidRPr="00E74046">
        <w:t>Core Financial Performance Overview</w:t>
      </w:r>
    </w:p>
    <w:p w14:paraId="4F9EC3E8" w14:textId="77777777" w:rsidR="00E74046" w:rsidRPr="00E74046" w:rsidRDefault="00E74046" w:rsidP="00E74046">
      <w:r w:rsidRPr="00E74046">
        <w:t>Over the five-year review period, the company’s financial performance shows a clear cycle of growth, disruption, and strong recovery. Revenue grew steadily from 1,275.1 in 2018 to 1,604.6 in 2019, before falling sharply to 524.5 in 2020 amid widespread industry challenges. A steady rebound followed, with revenue rising to 1,180.2 in 2021 and 1,520.8 in 2022 – returning close to pre-disruption levels.</w:t>
      </w:r>
    </w:p>
    <w:p w14:paraId="18CE7F63" w14:textId="77777777" w:rsidR="00E74046" w:rsidRPr="00E74046" w:rsidRDefault="00E74046" w:rsidP="00E74046">
      <w:r w:rsidRPr="00E74046">
        <w:t>Net income followed a more pronounced pattern: a profit of 264.7 in 2018 halved to 128.3 in 2019, turned to a substantial loss of 460.8 in 2020, narrowed to a minor loss of 12.5 in 2021, and recovered to a profit of 142.6 by 2022.</w:t>
      </w:r>
    </w:p>
    <w:p w14:paraId="44F9C637" w14:textId="77777777" w:rsidR="00E74046" w:rsidRPr="00E74046" w:rsidRDefault="00E74046" w:rsidP="00E74046">
      <w:r w:rsidRPr="00E74046">
        <w:t>Balance sheet items remained relatively stable overall. Total assets stood at 3,792.4 in 2018, peaked at 4,088.5 in 2019, and settled at 3,545.7 at the end of 2022. Shareholders’ equity was far more volatile: rising from 572.3 to 644.7 between 2018 and 2019, it fell sharply to 205.3 in 2020 and remained at 231.4 in 2022, reflecting the impact of accumulated losses on net asset value. Current liabilities stayed consistent across the period, ranging between 203.1 and 264.9, showing no undue rise in short-term payment obligations.</w:t>
      </w:r>
    </w:p>
    <w:p w14:paraId="3D36103C" w14:textId="77777777" w:rsidR="00E74046" w:rsidRPr="00E74046" w:rsidRDefault="00E74046" w:rsidP="00E74046">
      <w:r w:rsidRPr="00E74046">
        <w:t>Cash flow performance demonstrates underlying operational resilience. Operating cash flow was strong at 321.9 and 354.7 in 2018 and 2019 respectively, turned negative at -161.5 in 2020, then recovered firmly to 212.4 in 2021 and 338.1 in 2022. Capital expenditure declined steadily from 188.2 in 2018 to 102.7 in 2022, pointing to more disciplined investment spending. Market sentiment tracked financial results: year-end share price fell from 86.12 in 2018 to a low of 41.08 in 2020, before recovering to 71.25 in 2022. Diluted earnings per share moved in line with net income, dropping from 5.14 in 2018 to a loss of 7.59 in 2020, and returning to a positive 2.58 in the final year.</w:t>
      </w:r>
    </w:p>
    <w:p w14:paraId="5E19A8FC" w14:textId="77777777" w:rsidR="00E74046" w:rsidRPr="00E74046" w:rsidRDefault="00E74046" w:rsidP="00E74046">
      <w:r w:rsidRPr="00E74046">
        <w:t>Key Financial Ratio Trends</w:t>
      </w:r>
    </w:p>
    <w:p w14:paraId="1974A790" w14:textId="77777777" w:rsidR="00E74046" w:rsidRPr="00E74046" w:rsidRDefault="00E74046" w:rsidP="00E74046">
      <w:r w:rsidRPr="00E74046">
        <w:t>Return on equity was highly volatile over the period: 46.25 percent in 2018, 19.90 percent in 2019, deeply negative at -224.45 percent in 2020, still negative at -6.29 percent in 2021, before surging to 61.63 percent in 2022 – driven by restored profitability alongside a smaller equity base.</w:t>
      </w:r>
    </w:p>
    <w:p w14:paraId="2B4CF4E3" w14:textId="77777777" w:rsidR="00E74046" w:rsidRPr="00E74046" w:rsidRDefault="00E74046" w:rsidP="00E74046">
      <w:r w:rsidRPr="00E74046">
        <w:lastRenderedPageBreak/>
        <w:t>Return on assets followed a similar trajectory: 6.98 percent in 2018, 3.14 percent in 2019, -12.96 percent in 2020, -0.36 percent in 2021, and 4.02 percent in 2022.</w:t>
      </w:r>
    </w:p>
    <w:p w14:paraId="425B7D6F" w14:textId="77777777" w:rsidR="00E74046" w:rsidRPr="00E74046" w:rsidRDefault="00E74046" w:rsidP="00E74046">
      <w:r w:rsidRPr="00E74046">
        <w:t>The price-to-earnings ratio rose from 16.75 times in 2018 to 25.78 times in 2019, could not be calculated during loss-making years, and rebounded to 27.62 times in 2022.</w:t>
      </w:r>
    </w:p>
    <w:p w14:paraId="4AE7E46A" w14:textId="77777777" w:rsidR="00E74046" w:rsidRPr="00E74046" w:rsidRDefault="00E74046" w:rsidP="00E74046">
      <w:r w:rsidRPr="00E74046">
        <w:t>The operating cash flow ratio remained healthy at 1.33 times and 1.34 times in 2018 and 2019 respectively, dipped to -0.79 times in 2020 and 0.98 times in 2021, before improving to 1.47 times in 2022 – showing strong short-term liquidity coverage in the latest period.</w:t>
      </w:r>
    </w:p>
    <w:p w14:paraId="3D328F39" w14:textId="77777777" w:rsidR="00E74046" w:rsidRPr="00E74046" w:rsidRDefault="00E74046" w:rsidP="00E74046">
      <w:r w:rsidRPr="00E74046">
        <w:t>Free cash flow margin stood at 10.49 percent in 2018, improved to 12.60 percent in 2019, fell to -62.35 percent in 2020, recovered to 10.43 percent in 2021, and reached an industry-leading 15.48 percent in 2022.</w:t>
      </w:r>
    </w:p>
    <w:p w14:paraId="57AD59F1" w14:textId="77777777" w:rsidR="00E74046" w:rsidRPr="00E74046" w:rsidRDefault="00E74046" w:rsidP="00E74046">
      <w:r w:rsidRPr="00E74046">
        <w:pict w14:anchorId="0760BE96">
          <v:rect id="_x0000_i1038" style="width:0;height:1.5pt" o:hralign="center" o:hrstd="t" o:hrnoshade="t" o:hr="t" fillcolor="black" stroked="f"/>
        </w:pict>
      </w:r>
    </w:p>
    <w:p w14:paraId="30606365" w14:textId="77777777" w:rsidR="00E74046" w:rsidRPr="00E74046" w:rsidRDefault="00E74046" w:rsidP="00E74046">
      <w:r w:rsidRPr="00E74046">
        <w:t>PAGE 2: PEER AND INDUSTRY BENCHMARK COMPARISON</w:t>
      </w:r>
    </w:p>
    <w:p w14:paraId="7CD1E24B" w14:textId="77777777" w:rsidR="00E74046" w:rsidRPr="00E74046" w:rsidRDefault="00E74046" w:rsidP="00E74046">
      <w:r w:rsidRPr="00E74046">
        <w:t>Comparison Scope</w:t>
      </w:r>
    </w:p>
    <w:p w14:paraId="1AE357D3" w14:textId="77777777" w:rsidR="00E74046" w:rsidRPr="00E74046" w:rsidRDefault="00E74046" w:rsidP="00E74046">
      <w:r w:rsidRPr="00E74046">
        <w:t>The company’s 2022 performance is measured against two direct competitors – Host Hotels &amp; Resorts and Hilton Grand Vacations – plus the average for all listed lodging REITs.</w:t>
      </w:r>
    </w:p>
    <w:p w14:paraId="1EAD07CE" w14:textId="77777777" w:rsidR="00E74046" w:rsidRPr="00E74046" w:rsidRDefault="00E74046" w:rsidP="00E74046">
      <w:r w:rsidRPr="00E74046">
        <w:t>Performance Against Benchmarks</w:t>
      </w:r>
    </w:p>
    <w:p w14:paraId="6F112E9E" w14:textId="77777777" w:rsidR="00E74046" w:rsidRPr="00E74046" w:rsidRDefault="00E74046" w:rsidP="00E74046">
      <w:r w:rsidRPr="00E74046">
        <w:t>On return on equity, the company recorded 61.63 percent, compared with 18.25 percent for Host Hotels, 22.40 percent for Hilton Grand Vacations, and an industry average of 17.80 percent. This represents a 43.83 percentage point lead over the sector average, and outperforms both peers by a wide margin. It highlights exceptional efficiency in generating returns for shareholders, supported by strong earnings recovery and a relatively conservative equity base.</w:t>
      </w:r>
    </w:p>
    <w:p w14:paraId="013659DD" w14:textId="77777777" w:rsidR="00E74046" w:rsidRPr="00E74046" w:rsidRDefault="00E74046" w:rsidP="00E74046">
      <w:r w:rsidRPr="00E74046">
        <w:t>For return on assets, the company posted 4.02 percent, versus 3.15 percent for Host Hotels, 5.20 percent for Hilton Grand Vacations, and an industry average of 3.75 percent. This puts the company slightly ahead of the sector average, though it lags Hilton Grand Vacations, whose asset-light timeshare model naturally delivers higher returns per dollar of assets employed.</w:t>
      </w:r>
    </w:p>
    <w:p w14:paraId="1D222D82" w14:textId="77777777" w:rsidR="00E74046" w:rsidRPr="00E74046" w:rsidRDefault="00E74046" w:rsidP="00E74046">
      <w:r w:rsidRPr="00E74046">
        <w:t>The price-to-earnings ratio stands at 27.62 times, compared with 17.90 times for Host Hotels, 21.35 times for Hilton Grand Vacations, and an industry average of 19.50 times. The company trades at an 8.12 times premium to the sector average, reflecting investor confidence in its stronger post-pandemic recovery and brighter growth outlook relative to peers.</w:t>
      </w:r>
    </w:p>
    <w:p w14:paraId="43388CE0" w14:textId="77777777" w:rsidR="00E74046" w:rsidRPr="00E74046" w:rsidRDefault="00E74046" w:rsidP="00E74046">
      <w:r w:rsidRPr="00E74046">
        <w:lastRenderedPageBreak/>
        <w:t>On the operating cash flow ratio, the company achieved 1.47 times, against 1.12 times for Host Hotels, 1.25 times for Hilton Grand Vacations, and an industry average of 1.18 times. This is a 0.29 times improvement on the sector average, confirming robust liquidity and an ability to comfortably cover all short-term liabilities using cash generated from core operations.</w:t>
      </w:r>
    </w:p>
    <w:p w14:paraId="6B8138A3" w14:textId="77777777" w:rsidR="00E74046" w:rsidRPr="00E74046" w:rsidRDefault="00E74046" w:rsidP="00E74046">
      <w:r w:rsidRPr="00E74046">
        <w:t>For free cash flow margin, the company recorded 15.48 percent, compared with 9.75 percent for Host Hotels, 12.10 percent for Hilton Grand Vacations, and an industry average of 10.20 percent. This is a 5.28 percentage point lead over the sector average, making it one of the most efficient operators in the industry at turning top-line revenue into discretionary cash – available for dividend payments, debt reduction, further investment, or other value-creating uses.</w:t>
      </w:r>
    </w:p>
    <w:p w14:paraId="5766C3D8" w14:textId="77777777" w:rsidR="00E74046" w:rsidRPr="00E74046" w:rsidRDefault="00E74046" w:rsidP="00E74046">
      <w:r w:rsidRPr="00E74046">
        <w:t>Key Conclusions</w:t>
      </w:r>
    </w:p>
    <w:p w14:paraId="1C740E69" w14:textId="77777777" w:rsidR="00E74046" w:rsidRPr="00E74046" w:rsidRDefault="00E74046" w:rsidP="00E74046">
      <w:r w:rsidRPr="00E74046">
        <w:t>First, the company has delivered a resilient and full recovery following a period of major disruption, restoring revenue, profitability, and cash flow to near or above pre-crisis levels by the end of 2022. Second, it holds clear market-leading strengths in equity efficiency and cash conversion, which distinguish it from most sector peers. Third, its financial position is solid, with strong liquidity coverage and a more disciplined approach to capital investment that supports long-term cash generation. Fourth, its higher market valuation is fully justified by its stronger earnings rebound and superior operational performance. Finally, there remains scope to improve asset returns further, with competitors’ asset-light business models offering a useful benchmark for potential future efficiency gains.</w:t>
      </w:r>
    </w:p>
    <w:p w14:paraId="260ED099" w14:textId="022EAD8C" w:rsidR="00DF4D36" w:rsidRDefault="00E74046">
      <w:r w:rsidRPr="00E74046">
        <w:t>Overall, the company has successfully navigated a highly volatile period and emerges with a competitive financial profile, outperforming key industry benchmarks on profitability, cash generation, and financial strength.</w:t>
      </w:r>
    </w:p>
    <w:sectPr w:rsidR="00DF4D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046"/>
    <w:rsid w:val="00256312"/>
    <w:rsid w:val="008A3F57"/>
    <w:rsid w:val="00A43DF0"/>
    <w:rsid w:val="00DF4D36"/>
    <w:rsid w:val="00E74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25B32"/>
  <w15:chartTrackingRefBased/>
  <w15:docId w15:val="{53D2818F-6F6E-4AE4-87C1-9A18A0C5A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40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40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40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40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40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40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40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40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40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40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40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40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40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40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40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40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40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4046"/>
    <w:rPr>
      <w:rFonts w:eastAsiaTheme="majorEastAsia" w:cstheme="majorBidi"/>
      <w:color w:val="272727" w:themeColor="text1" w:themeTint="D8"/>
    </w:rPr>
  </w:style>
  <w:style w:type="paragraph" w:styleId="Title">
    <w:name w:val="Title"/>
    <w:basedOn w:val="Normal"/>
    <w:next w:val="Normal"/>
    <w:link w:val="TitleChar"/>
    <w:uiPriority w:val="10"/>
    <w:qFormat/>
    <w:rsid w:val="00E740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0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40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40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4046"/>
    <w:pPr>
      <w:spacing w:before="160"/>
      <w:jc w:val="center"/>
    </w:pPr>
    <w:rPr>
      <w:i/>
      <w:iCs/>
      <w:color w:val="404040" w:themeColor="text1" w:themeTint="BF"/>
    </w:rPr>
  </w:style>
  <w:style w:type="character" w:customStyle="1" w:styleId="QuoteChar">
    <w:name w:val="Quote Char"/>
    <w:basedOn w:val="DefaultParagraphFont"/>
    <w:link w:val="Quote"/>
    <w:uiPriority w:val="29"/>
    <w:rsid w:val="00E74046"/>
    <w:rPr>
      <w:i/>
      <w:iCs/>
      <w:color w:val="404040" w:themeColor="text1" w:themeTint="BF"/>
    </w:rPr>
  </w:style>
  <w:style w:type="paragraph" w:styleId="ListParagraph">
    <w:name w:val="List Paragraph"/>
    <w:basedOn w:val="Normal"/>
    <w:uiPriority w:val="34"/>
    <w:qFormat/>
    <w:rsid w:val="00E74046"/>
    <w:pPr>
      <w:ind w:left="720"/>
      <w:contextualSpacing/>
    </w:pPr>
  </w:style>
  <w:style w:type="character" w:styleId="IntenseEmphasis">
    <w:name w:val="Intense Emphasis"/>
    <w:basedOn w:val="DefaultParagraphFont"/>
    <w:uiPriority w:val="21"/>
    <w:qFormat/>
    <w:rsid w:val="00E74046"/>
    <w:rPr>
      <w:i/>
      <w:iCs/>
      <w:color w:val="0F4761" w:themeColor="accent1" w:themeShade="BF"/>
    </w:rPr>
  </w:style>
  <w:style w:type="paragraph" w:styleId="IntenseQuote">
    <w:name w:val="Intense Quote"/>
    <w:basedOn w:val="Normal"/>
    <w:next w:val="Normal"/>
    <w:link w:val="IntenseQuoteChar"/>
    <w:uiPriority w:val="30"/>
    <w:qFormat/>
    <w:rsid w:val="00E740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4046"/>
    <w:rPr>
      <w:i/>
      <w:iCs/>
      <w:color w:val="0F4761" w:themeColor="accent1" w:themeShade="BF"/>
    </w:rPr>
  </w:style>
  <w:style w:type="character" w:styleId="IntenseReference">
    <w:name w:val="Intense Reference"/>
    <w:basedOn w:val="DefaultParagraphFont"/>
    <w:uiPriority w:val="32"/>
    <w:qFormat/>
    <w:rsid w:val="00E740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982</Words>
  <Characters>5604</Characters>
  <Application>Microsoft Office Word</Application>
  <DocSecurity>0</DocSecurity>
  <Lines>46</Lines>
  <Paragraphs>13</Paragraphs>
  <ScaleCrop>false</ScaleCrop>
  <Company/>
  <LinksUpToDate>false</LinksUpToDate>
  <CharactersWithSpaces>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Kishan Vijaybhai Sangani (2527211)</dc:creator>
  <cp:keywords/>
  <dc:description/>
  <cp:lastModifiedBy>Kishan Vijaybhai Sangani (2527211)</cp:lastModifiedBy>
  <cp:revision>1</cp:revision>
  <dcterms:created xsi:type="dcterms:W3CDTF">2026-07-22T15:48:00Z</dcterms:created>
  <dcterms:modified xsi:type="dcterms:W3CDTF">2026-07-22T15:50:00Z</dcterms:modified>
</cp:coreProperties>
</file>