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56DBBF6B" w:rsidR="00EB12BC" w:rsidRPr="0074653C" w:rsidRDefault="00EB12BC" w:rsidP="00C03A91">
      <w:pPr>
        <w:tabs>
          <w:tab w:val="left" w:pos="6540"/>
        </w:tabs>
        <w:spacing w:line="360" w:lineRule="auto"/>
        <w:rPr>
          <w:rFonts w:ascii="Arial" w:hAnsi="Arial" w:cs="Arial"/>
          <w:sz w:val="28"/>
          <w:szCs w:val="28"/>
          <w:u w:val="single"/>
          <w:lang w:val="nl-NL"/>
        </w:rPr>
      </w:pPr>
      <w:r w:rsidRPr="0074653C">
        <w:rPr>
          <w:rFonts w:ascii="Arial" w:hAnsi="Arial" w:cs="Arial"/>
          <w:b/>
          <w:bCs/>
          <w:sz w:val="28"/>
          <w:szCs w:val="28"/>
          <w:lang w:val="nl-NL"/>
        </w:rPr>
        <w:t>Student name</w:t>
      </w:r>
      <w:r w:rsidRPr="0074653C">
        <w:rPr>
          <w:rFonts w:ascii="Arial" w:hAnsi="Arial" w:cs="Arial"/>
          <w:sz w:val="28"/>
          <w:szCs w:val="28"/>
          <w:lang w:val="nl-NL"/>
        </w:rPr>
        <w:t>:</w:t>
      </w:r>
      <w:r w:rsidR="0074653C" w:rsidRPr="0074653C">
        <w:rPr>
          <w:rFonts w:ascii="Arial" w:hAnsi="Arial" w:cs="Arial"/>
          <w:sz w:val="28"/>
          <w:szCs w:val="28"/>
          <w:lang w:val="nl-NL"/>
        </w:rPr>
        <w:t xml:space="preserve"> </w:t>
      </w:r>
      <w:r w:rsidR="0074653C" w:rsidRPr="0074653C">
        <w:rPr>
          <w:rFonts w:ascii="Arial" w:hAnsi="Arial" w:cs="Arial"/>
          <w:b/>
          <w:bCs/>
          <w:sz w:val="28"/>
          <w:szCs w:val="28"/>
          <w:lang w:val="nl-NL"/>
        </w:rPr>
        <w:t>Ion Untura</w:t>
      </w:r>
    </w:p>
    <w:p w14:paraId="3C83A8A7" w14:textId="5B3026C5" w:rsidR="00EB12BC" w:rsidRPr="0074653C" w:rsidRDefault="00EB12BC" w:rsidP="00C03A91">
      <w:pPr>
        <w:tabs>
          <w:tab w:val="left" w:pos="6540"/>
        </w:tabs>
        <w:spacing w:line="360" w:lineRule="auto"/>
        <w:rPr>
          <w:rFonts w:ascii="Arial" w:hAnsi="Arial" w:cs="Arial"/>
          <w:sz w:val="28"/>
          <w:szCs w:val="28"/>
          <w:lang w:val="nl-NL"/>
        </w:rPr>
      </w:pPr>
      <w:r w:rsidRPr="0074653C">
        <w:rPr>
          <w:rFonts w:ascii="Arial" w:hAnsi="Arial" w:cs="Arial"/>
          <w:b/>
          <w:bCs/>
          <w:sz w:val="28"/>
          <w:szCs w:val="28"/>
          <w:lang w:val="nl-NL"/>
        </w:rPr>
        <w:t>Student ID</w:t>
      </w:r>
      <w:r w:rsidRPr="0074653C">
        <w:rPr>
          <w:rFonts w:ascii="Arial" w:hAnsi="Arial" w:cs="Arial"/>
          <w:sz w:val="28"/>
          <w:szCs w:val="28"/>
          <w:lang w:val="nl-NL"/>
        </w:rPr>
        <w:t>:</w:t>
      </w:r>
      <w:r w:rsidR="0074653C" w:rsidRPr="0074653C">
        <w:rPr>
          <w:rFonts w:ascii="Arial" w:hAnsi="Arial" w:cs="Arial"/>
          <w:sz w:val="28"/>
          <w:szCs w:val="28"/>
          <w:lang w:val="nl-NL"/>
        </w:rPr>
        <w:t xml:space="preserve"> </w:t>
      </w:r>
      <w:r w:rsidR="0074653C" w:rsidRPr="0074653C">
        <w:rPr>
          <w:rFonts w:ascii="Arial" w:hAnsi="Arial" w:cs="Arial"/>
          <w:b/>
          <w:bCs/>
          <w:sz w:val="28"/>
          <w:szCs w:val="28"/>
          <w:lang w:val="nl-NL"/>
        </w:rPr>
        <w:t>2440192</w:t>
      </w:r>
    </w:p>
    <w:p w14:paraId="21E9DC72" w14:textId="77777777" w:rsidR="00EB12BC" w:rsidRPr="0074653C" w:rsidRDefault="00EB12BC" w:rsidP="00C03A91">
      <w:pPr>
        <w:tabs>
          <w:tab w:val="left" w:pos="6540"/>
        </w:tabs>
        <w:spacing w:line="360" w:lineRule="auto"/>
        <w:rPr>
          <w:rFonts w:ascii="Arial" w:hAnsi="Arial" w:cs="Arial"/>
          <w:sz w:val="28"/>
          <w:szCs w:val="28"/>
          <w:lang w:val="nl-NL"/>
        </w:rPr>
      </w:pPr>
    </w:p>
    <w:p w14:paraId="23BAC9B9" w14:textId="2E42BEFC" w:rsidR="00EB12BC" w:rsidRPr="0074653C" w:rsidRDefault="00EB12BC" w:rsidP="00C03A91">
      <w:pPr>
        <w:tabs>
          <w:tab w:val="left" w:pos="6540"/>
        </w:tabs>
        <w:spacing w:line="360" w:lineRule="auto"/>
        <w:rPr>
          <w:rFonts w:ascii="Arial" w:hAnsi="Arial" w:cs="Arial"/>
          <w:b/>
          <w:bCs/>
          <w:sz w:val="28"/>
          <w:szCs w:val="28"/>
        </w:rPr>
      </w:pPr>
      <w:r w:rsidRPr="0074653C">
        <w:rPr>
          <w:rFonts w:ascii="Arial" w:hAnsi="Arial" w:cs="Arial"/>
          <w:b/>
          <w:bCs/>
          <w:sz w:val="28"/>
          <w:szCs w:val="28"/>
          <w:lang w:val="nl-NL"/>
        </w:rPr>
        <w:t>Module name</w:t>
      </w:r>
      <w:r w:rsidRPr="0074653C">
        <w:rPr>
          <w:rFonts w:ascii="Arial" w:hAnsi="Arial" w:cs="Arial"/>
          <w:sz w:val="28"/>
          <w:szCs w:val="28"/>
          <w:lang w:val="nl-NL"/>
        </w:rPr>
        <w:t xml:space="preserve">: </w:t>
      </w:r>
      <w:r w:rsidR="00E037F6">
        <w:rPr>
          <w:rFonts w:ascii="Arial" w:hAnsi="Arial" w:cs="Arial"/>
          <w:b/>
          <w:bCs/>
          <w:sz w:val="28"/>
          <w:szCs w:val="28"/>
        </w:rPr>
        <w:t>Principles of Health and Social Care Practice</w:t>
      </w:r>
    </w:p>
    <w:p w14:paraId="4FD97C8C" w14:textId="06F8F2B6" w:rsidR="00EB12BC" w:rsidRPr="0074653C" w:rsidRDefault="00EB12BC" w:rsidP="00C03A91">
      <w:pPr>
        <w:tabs>
          <w:tab w:val="left" w:pos="6540"/>
        </w:tabs>
        <w:spacing w:line="360" w:lineRule="auto"/>
        <w:rPr>
          <w:rFonts w:ascii="Arial" w:hAnsi="Arial" w:cs="Arial"/>
          <w:b/>
          <w:bCs/>
          <w:sz w:val="28"/>
          <w:szCs w:val="28"/>
        </w:rPr>
      </w:pPr>
      <w:r w:rsidRPr="0074653C">
        <w:rPr>
          <w:rFonts w:ascii="Arial" w:hAnsi="Arial" w:cs="Arial"/>
          <w:b/>
          <w:bCs/>
          <w:sz w:val="28"/>
          <w:szCs w:val="28"/>
        </w:rPr>
        <w:t>Module code</w:t>
      </w:r>
      <w:r w:rsidRPr="0074653C">
        <w:rPr>
          <w:rFonts w:ascii="Arial" w:hAnsi="Arial" w:cs="Arial"/>
          <w:sz w:val="28"/>
          <w:szCs w:val="28"/>
        </w:rPr>
        <w:t>:</w:t>
      </w:r>
      <w:r w:rsidR="0074653C" w:rsidRPr="0074653C">
        <w:rPr>
          <w:rFonts w:ascii="Arial" w:hAnsi="Arial" w:cs="Arial"/>
          <w:b/>
          <w:bCs/>
          <w:sz w:val="28"/>
          <w:szCs w:val="28"/>
        </w:rPr>
        <w:t xml:space="preserve"> (BMHP50</w:t>
      </w:r>
      <w:r w:rsidR="00E037F6">
        <w:rPr>
          <w:rFonts w:ascii="Arial" w:hAnsi="Arial" w:cs="Arial"/>
          <w:b/>
          <w:bCs/>
          <w:sz w:val="28"/>
          <w:szCs w:val="28"/>
        </w:rPr>
        <w:t>16</w:t>
      </w:r>
      <w:r w:rsidR="0074653C" w:rsidRPr="0074653C">
        <w:rPr>
          <w:rFonts w:ascii="Arial" w:hAnsi="Arial" w:cs="Arial"/>
          <w:b/>
          <w:bCs/>
          <w:sz w:val="28"/>
          <w:szCs w:val="28"/>
        </w:rPr>
        <w:t>_LON)</w:t>
      </w:r>
    </w:p>
    <w:p w14:paraId="658BE57E" w14:textId="26018907" w:rsidR="00EB12BC" w:rsidRPr="0074653C" w:rsidRDefault="00EB12BC" w:rsidP="00C03A91">
      <w:pPr>
        <w:tabs>
          <w:tab w:val="left" w:pos="6540"/>
        </w:tabs>
        <w:spacing w:line="360" w:lineRule="auto"/>
        <w:rPr>
          <w:rFonts w:ascii="Arial" w:hAnsi="Arial" w:cs="Arial"/>
          <w:sz w:val="28"/>
          <w:szCs w:val="28"/>
        </w:rPr>
      </w:pPr>
      <w:r w:rsidRPr="0074653C">
        <w:rPr>
          <w:rFonts w:ascii="Arial" w:hAnsi="Arial" w:cs="Arial"/>
          <w:b/>
          <w:bCs/>
          <w:sz w:val="28"/>
          <w:szCs w:val="28"/>
        </w:rPr>
        <w:t>Lecturer name</w:t>
      </w:r>
      <w:r w:rsidRPr="0074653C">
        <w:rPr>
          <w:rFonts w:ascii="Arial" w:hAnsi="Arial" w:cs="Arial"/>
          <w:sz w:val="28"/>
          <w:szCs w:val="28"/>
        </w:rPr>
        <w:t>:</w:t>
      </w:r>
      <w:r w:rsidR="0074653C">
        <w:rPr>
          <w:rFonts w:ascii="Arial" w:hAnsi="Arial" w:cs="Arial"/>
          <w:sz w:val="28"/>
          <w:szCs w:val="28"/>
        </w:rPr>
        <w:t xml:space="preserve"> </w:t>
      </w:r>
      <w:r w:rsidR="00BB0ABF">
        <w:rPr>
          <w:rFonts w:ascii="Arial" w:hAnsi="Arial" w:cs="Arial"/>
          <w:b/>
          <w:bCs/>
          <w:sz w:val="28"/>
          <w:szCs w:val="28"/>
        </w:rPr>
        <w:t>Sam Parker</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48B028C9"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74653C" w:rsidRPr="0074653C">
        <w:rPr>
          <w:rFonts w:ascii="Arial" w:hAnsi="Arial" w:cs="Arial"/>
          <w:b/>
          <w:bCs/>
          <w:sz w:val="28"/>
          <w:szCs w:val="28"/>
        </w:rPr>
        <w:t>Written Assignment (</w:t>
      </w:r>
      <w:r w:rsidR="00E037F6">
        <w:rPr>
          <w:rFonts w:ascii="Arial" w:hAnsi="Arial" w:cs="Arial"/>
          <w:b/>
          <w:bCs/>
          <w:sz w:val="28"/>
          <w:szCs w:val="28"/>
        </w:rPr>
        <w:t xml:space="preserve">Reflective </w:t>
      </w:r>
      <w:r w:rsidR="0074653C" w:rsidRPr="0074653C">
        <w:rPr>
          <w:rFonts w:ascii="Arial" w:hAnsi="Arial" w:cs="Arial"/>
          <w:b/>
          <w:bCs/>
          <w:sz w:val="28"/>
          <w:szCs w:val="28"/>
        </w:rPr>
        <w:t xml:space="preserve">Report) </w:t>
      </w:r>
    </w:p>
    <w:p w14:paraId="0906949F" w14:textId="229B4A03" w:rsidR="00E16EC5" w:rsidRDefault="00E16EC5" w:rsidP="00DB5487">
      <w:pPr>
        <w:tabs>
          <w:tab w:val="left" w:pos="6540"/>
        </w:tabs>
        <w:spacing w:line="360" w:lineRule="auto"/>
        <w:rPr>
          <w:rFonts w:ascii="Arial" w:hAnsi="Arial" w:cs="Arial"/>
          <w:sz w:val="28"/>
          <w:szCs w:val="28"/>
        </w:rPr>
      </w:pPr>
    </w:p>
    <w:p w14:paraId="41DBA8EF" w14:textId="77777777" w:rsidR="00E16EC5" w:rsidRDefault="00E16EC5" w:rsidP="00DB5487">
      <w:pPr>
        <w:tabs>
          <w:tab w:val="left" w:pos="6540"/>
        </w:tabs>
        <w:spacing w:line="360" w:lineRule="auto"/>
        <w:rPr>
          <w:rFonts w:ascii="Arial" w:hAnsi="Arial" w:cs="Arial"/>
          <w:sz w:val="28"/>
          <w:szCs w:val="28"/>
        </w:rPr>
      </w:pPr>
    </w:p>
    <w:p w14:paraId="6F6097B1" w14:textId="77777777" w:rsidR="00793027" w:rsidRDefault="00793027" w:rsidP="00DB5487">
      <w:pPr>
        <w:tabs>
          <w:tab w:val="left" w:pos="6540"/>
        </w:tabs>
        <w:spacing w:line="360" w:lineRule="auto"/>
        <w:rPr>
          <w:rFonts w:ascii="Arial" w:hAnsi="Arial" w:cs="Arial"/>
          <w:sz w:val="28"/>
          <w:szCs w:val="28"/>
        </w:rPr>
      </w:pPr>
    </w:p>
    <w:p w14:paraId="58AEA892" w14:textId="77777777" w:rsidR="00793027" w:rsidRDefault="00793027" w:rsidP="00DB5487">
      <w:pPr>
        <w:tabs>
          <w:tab w:val="left" w:pos="6540"/>
        </w:tabs>
        <w:spacing w:line="360" w:lineRule="auto"/>
        <w:rPr>
          <w:rFonts w:ascii="Arial" w:hAnsi="Arial" w:cs="Arial"/>
          <w:sz w:val="28"/>
          <w:szCs w:val="28"/>
        </w:rPr>
      </w:pPr>
    </w:p>
    <w:p w14:paraId="0D635771" w14:textId="77777777" w:rsidR="00793027" w:rsidRDefault="00793027" w:rsidP="00DB5487">
      <w:pPr>
        <w:tabs>
          <w:tab w:val="left" w:pos="6540"/>
        </w:tabs>
        <w:spacing w:line="360" w:lineRule="auto"/>
        <w:rPr>
          <w:rFonts w:ascii="Arial" w:hAnsi="Arial" w:cs="Arial"/>
          <w:sz w:val="28"/>
          <w:szCs w:val="28"/>
        </w:rPr>
      </w:pPr>
    </w:p>
    <w:p w14:paraId="20D756F0" w14:textId="77777777" w:rsidR="00793027" w:rsidRDefault="00793027" w:rsidP="00DB5487">
      <w:pPr>
        <w:tabs>
          <w:tab w:val="left" w:pos="6540"/>
        </w:tabs>
        <w:spacing w:line="360" w:lineRule="auto"/>
        <w:rPr>
          <w:rFonts w:ascii="Arial" w:hAnsi="Arial" w:cs="Arial"/>
          <w:sz w:val="28"/>
          <w:szCs w:val="28"/>
        </w:rPr>
      </w:pPr>
    </w:p>
    <w:p w14:paraId="250D777F" w14:textId="77777777" w:rsidR="00793027" w:rsidRDefault="00793027" w:rsidP="00DB5487">
      <w:pPr>
        <w:tabs>
          <w:tab w:val="left" w:pos="6540"/>
        </w:tabs>
        <w:spacing w:line="360" w:lineRule="auto"/>
        <w:rPr>
          <w:rFonts w:ascii="Arial" w:hAnsi="Arial" w:cs="Arial"/>
          <w:sz w:val="28"/>
          <w:szCs w:val="28"/>
        </w:rPr>
      </w:pPr>
    </w:p>
    <w:p w14:paraId="015E511C" w14:textId="77777777" w:rsidR="00793027" w:rsidRDefault="00793027" w:rsidP="00DB5487">
      <w:pPr>
        <w:tabs>
          <w:tab w:val="left" w:pos="6540"/>
        </w:tabs>
        <w:spacing w:line="360" w:lineRule="auto"/>
        <w:rPr>
          <w:rFonts w:ascii="Arial" w:hAnsi="Arial" w:cs="Arial"/>
          <w:sz w:val="28"/>
          <w:szCs w:val="28"/>
        </w:rPr>
      </w:pPr>
    </w:p>
    <w:p w14:paraId="762CE2DD" w14:textId="77777777" w:rsidR="00C755E6" w:rsidRPr="00C755E6" w:rsidRDefault="00C755E6" w:rsidP="00C755E6">
      <w:pPr>
        <w:spacing w:after="40" w:line="360" w:lineRule="auto"/>
        <w:rPr>
          <w:rFonts w:ascii="Arial" w:hAnsi="Arial" w:cs="Arial"/>
          <w:b/>
          <w:bCs/>
          <w:color w:val="000000" w:themeColor="text1"/>
          <w:szCs w:val="24"/>
        </w:rPr>
      </w:pPr>
      <w:r w:rsidRPr="00C755E6">
        <w:rPr>
          <w:rFonts w:ascii="Arial" w:hAnsi="Arial" w:cs="Arial"/>
          <w:b/>
          <w:bCs/>
          <w:color w:val="000000" w:themeColor="text1"/>
          <w:szCs w:val="24"/>
        </w:rPr>
        <w:lastRenderedPageBreak/>
        <w:t>Reflective Report: Principles of Person</w:t>
      </w:r>
      <w:r w:rsidRPr="00C755E6">
        <w:rPr>
          <w:rFonts w:ascii="Arial" w:hAnsi="Arial" w:cs="Arial"/>
          <w:b/>
          <w:bCs/>
          <w:color w:val="000000" w:themeColor="text1"/>
          <w:szCs w:val="24"/>
        </w:rPr>
        <w:noBreakHyphen/>
        <w:t>Centred Care, Partnership Working, and Ethics in UK Health and Social Care</w:t>
      </w:r>
    </w:p>
    <w:p w14:paraId="33083B56" w14:textId="77777777" w:rsidR="00C755E6" w:rsidRPr="00C755E6" w:rsidRDefault="00C755E6" w:rsidP="00C755E6">
      <w:pPr>
        <w:spacing w:after="40" w:line="360" w:lineRule="auto"/>
        <w:rPr>
          <w:rFonts w:ascii="Arial" w:hAnsi="Arial" w:cs="Arial"/>
          <w:b/>
          <w:bCs/>
          <w:color w:val="000000" w:themeColor="text1"/>
          <w:szCs w:val="24"/>
        </w:rPr>
      </w:pPr>
      <w:r w:rsidRPr="00C755E6">
        <w:rPr>
          <w:rFonts w:ascii="Arial" w:hAnsi="Arial" w:cs="Arial"/>
          <w:b/>
          <w:bCs/>
          <w:color w:val="000000" w:themeColor="text1"/>
          <w:szCs w:val="24"/>
        </w:rPr>
        <w:t>Introduction</w:t>
      </w:r>
    </w:p>
    <w:p w14:paraId="5DD9203E"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The principles of person</w:t>
      </w:r>
      <w:r w:rsidRPr="00C755E6">
        <w:rPr>
          <w:rFonts w:ascii="Arial" w:hAnsi="Arial" w:cs="Arial"/>
          <w:color w:val="000000" w:themeColor="text1"/>
          <w:szCs w:val="24"/>
        </w:rPr>
        <w:noBreakHyphen/>
        <w:t>centred care, partnership working, and ethics form the foundation of contemporary health and social care practice in the United Kingdom. These principles ensure that care is delivered in a manner that promotes dignity, autonomy, safety, and collaboration. This reflective report examines the significance of these principles, provides a practical example of their application within a UK health and social care context, and offers a personal reflection on how they influence professional practice. Relevant legislation, policies, and theoretical frameworks are incorporated to demonstrate how these principles shape high</w:t>
      </w:r>
      <w:r w:rsidRPr="00C755E6">
        <w:rPr>
          <w:rFonts w:ascii="Arial" w:hAnsi="Arial" w:cs="Arial"/>
          <w:color w:val="000000" w:themeColor="text1"/>
          <w:szCs w:val="24"/>
        </w:rPr>
        <w:noBreakHyphen/>
        <w:t>quality care and support professional development.</w:t>
      </w:r>
    </w:p>
    <w:p w14:paraId="476F7834" w14:textId="77777777" w:rsidR="00C755E6" w:rsidRDefault="00C755E6" w:rsidP="00C755E6">
      <w:pPr>
        <w:spacing w:after="40" w:line="360" w:lineRule="auto"/>
        <w:rPr>
          <w:rFonts w:ascii="Arial" w:hAnsi="Arial" w:cs="Arial"/>
          <w:b/>
          <w:bCs/>
          <w:color w:val="000000" w:themeColor="text1"/>
          <w:szCs w:val="24"/>
        </w:rPr>
      </w:pPr>
    </w:p>
    <w:p w14:paraId="6AA234AD" w14:textId="77777777" w:rsidR="00C755E6" w:rsidRDefault="00C755E6" w:rsidP="00C755E6">
      <w:pPr>
        <w:spacing w:after="40" w:line="360" w:lineRule="auto"/>
        <w:rPr>
          <w:rFonts w:ascii="Arial" w:hAnsi="Arial" w:cs="Arial"/>
          <w:b/>
          <w:bCs/>
          <w:color w:val="000000" w:themeColor="text1"/>
          <w:szCs w:val="24"/>
        </w:rPr>
      </w:pPr>
    </w:p>
    <w:p w14:paraId="535CB0FF" w14:textId="6A26706C" w:rsidR="00E037F6" w:rsidRDefault="00E037F6" w:rsidP="00E037F6">
      <w:pPr>
        <w:spacing w:after="40" w:line="360" w:lineRule="auto"/>
        <w:rPr>
          <w:rFonts w:ascii="Arial" w:hAnsi="Arial" w:cs="Arial"/>
          <w:b/>
          <w:bCs/>
          <w:color w:val="000000" w:themeColor="text1"/>
          <w:szCs w:val="24"/>
        </w:rPr>
      </w:pPr>
      <w:r w:rsidRPr="00E037F6">
        <w:rPr>
          <w:rFonts w:ascii="Arial" w:hAnsi="Arial" w:cs="Arial"/>
          <w:b/>
          <w:bCs/>
          <w:color w:val="000000" w:themeColor="text1"/>
          <w:szCs w:val="24"/>
        </w:rPr>
        <w:t xml:space="preserve">Task 1: Reflection on the Importance of Principles of Health and Social Care </w:t>
      </w:r>
    </w:p>
    <w:p w14:paraId="10B552B4" w14:textId="77777777" w:rsidR="00E037F6" w:rsidRPr="00E037F6" w:rsidRDefault="00E037F6" w:rsidP="00E037F6">
      <w:pPr>
        <w:spacing w:after="40" w:line="360" w:lineRule="auto"/>
        <w:rPr>
          <w:rFonts w:ascii="Arial" w:hAnsi="Arial" w:cs="Arial"/>
          <w:b/>
          <w:bCs/>
          <w:color w:val="000000" w:themeColor="text1"/>
          <w:szCs w:val="24"/>
        </w:rPr>
      </w:pPr>
    </w:p>
    <w:p w14:paraId="25FF0D37" w14:textId="77777777"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Person</w:t>
      </w:r>
      <w:r w:rsidRPr="00E037F6">
        <w:rPr>
          <w:rFonts w:ascii="Arial" w:hAnsi="Arial" w:cs="Arial"/>
          <w:color w:val="000000" w:themeColor="text1"/>
          <w:szCs w:val="24"/>
        </w:rPr>
        <w:noBreakHyphen/>
        <w:t>centred care is a fundamental principle within UK health and social care practice. It requires practitioners to recognise individuals as unique, with their own preferences, values, histories, and lived experiences. The Care Act 2014 places wellbeing, choice, and control at the centre of care provision, establishing a legal requirement for practitioners to ensure that individuals are actively involved in decisions about their care (Care Act, 2014). This approach supports the development of personalised interventions that reflect what matters most to the individual. Person</w:t>
      </w:r>
      <w:r w:rsidRPr="00E037F6">
        <w:rPr>
          <w:rFonts w:ascii="Arial" w:hAnsi="Arial" w:cs="Arial"/>
          <w:color w:val="000000" w:themeColor="text1"/>
          <w:szCs w:val="24"/>
        </w:rPr>
        <w:noBreakHyphen/>
        <w:t>centred care also aligns with Maslow’s Hierarchy of Needs, which proposes that individuals must have their basic physiological and safety needs met before progressing towards higher levels of psychological wellbeing and self</w:t>
      </w:r>
      <w:r w:rsidRPr="00E037F6">
        <w:rPr>
          <w:rFonts w:ascii="Arial" w:hAnsi="Arial" w:cs="Arial"/>
          <w:color w:val="000000" w:themeColor="text1"/>
          <w:szCs w:val="24"/>
        </w:rPr>
        <w:noBreakHyphen/>
        <w:t>fulfilment (Maslow, 1943). By tailoring care to the individual, practitioners support both physical and emotional needs, thereby promoting dignity, autonomy, and overall wellbeing.</w:t>
      </w:r>
    </w:p>
    <w:p w14:paraId="44AAC402" w14:textId="77777777"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Partnership working is equally significant in contemporary health and social care practice. Services in the UK are delivered by a wide range of organisations, including NHS services, local authorities, voluntary organisations, and private providers. Effective collaboration between these agencies ensures that care is coordinated, reduces duplication, and prevents individuals from experiencing fragmented or inconsistent support. The Health and Care Act 2022 introduced Integrated Care Systems (ICSs), which require organisations to work together to improve population health, enhance service efficiency, and reduce inequalities (Health and Care Act, 2022). Partnership working enables practitioners to draw on diverse professional expertise, ensuring that individuals receive holistic support that addresses medical, social, emotional, and psychological needs. When professionals collaborate effectively, individuals benefit from seamless care pathways and improved outcomes.</w:t>
      </w:r>
    </w:p>
    <w:p w14:paraId="662E5013" w14:textId="77777777"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Ethical practice underpins all aspects of health and social care. Ethical principles such as autonomy, beneficence, non</w:t>
      </w:r>
      <w:r w:rsidRPr="00E037F6">
        <w:rPr>
          <w:rFonts w:ascii="Arial" w:hAnsi="Arial" w:cs="Arial"/>
          <w:color w:val="000000" w:themeColor="text1"/>
          <w:szCs w:val="24"/>
        </w:rPr>
        <w:noBreakHyphen/>
        <w:t>maleficence, justice, and confidentiality guide practitioners in making safe, fair, and accountable decisions. Professional codes of conduct, including the Health and Care Professions Council (HCPC) Standards of Conduct, Performance and Ethics, require practitioners to act with honesty, integrity, and respect, and to prioritise the needs and rights of service users (HCPC, 2024). Similarly, the Nursing and Midwifery Council (NMC) Code emphasises professional responsibility, safeguarding, and the importance of maintaining trust (NMC, 2018). Ethical reasoning is particularly important when practitioners encounter complex situations, such as balancing risk with independence, supporting individuals with fluctuating capacity, or managing safeguarding concerns. The Data Protection Act 2018 further reinforces ethical practice by requiring that personal information is handled lawfully, proportionately, and securely (Data Protection Act, 2018). Practitioners must ensure that confidentiality is respected while also sharing information appropriately when necessary to protect individuals from harm.</w:t>
      </w:r>
    </w:p>
    <w:p w14:paraId="19C2D075" w14:textId="77777777" w:rsidR="00E037F6" w:rsidRPr="00E037F6" w:rsidRDefault="00E037F6" w:rsidP="00E037F6">
      <w:pPr>
        <w:spacing w:after="40" w:line="360" w:lineRule="auto"/>
        <w:rPr>
          <w:rFonts w:ascii="Arial" w:hAnsi="Arial" w:cs="Arial"/>
          <w:b/>
          <w:bCs/>
          <w:color w:val="000000" w:themeColor="text1"/>
          <w:szCs w:val="24"/>
        </w:rPr>
      </w:pPr>
      <w:r w:rsidRPr="00E037F6">
        <w:rPr>
          <w:rFonts w:ascii="Arial" w:hAnsi="Arial" w:cs="Arial"/>
          <w:color w:val="000000" w:themeColor="text1"/>
          <w:szCs w:val="24"/>
        </w:rPr>
        <w:t>Collectively, person</w:t>
      </w:r>
      <w:r w:rsidRPr="00E037F6">
        <w:rPr>
          <w:rFonts w:ascii="Arial" w:hAnsi="Arial" w:cs="Arial"/>
          <w:color w:val="000000" w:themeColor="text1"/>
          <w:szCs w:val="24"/>
        </w:rPr>
        <w:noBreakHyphen/>
        <w:t>centred care, partnership working, and ethical practice form the foundation of high</w:t>
      </w:r>
      <w:r w:rsidRPr="00E037F6">
        <w:rPr>
          <w:rFonts w:ascii="Arial" w:hAnsi="Arial" w:cs="Arial"/>
          <w:color w:val="000000" w:themeColor="text1"/>
          <w:szCs w:val="24"/>
        </w:rPr>
        <w:noBreakHyphen/>
        <w:t>quality health and social care. These principles promote respect, collaboration, and accountability, ensuring that individuals are treated with dignity, that services work together effectively, and that decisions are made in a manner that is safe, fair, and aligned with professional standards. When applied consistently, these principles contribute to improved wellbeing, enhanced service coordination, and better overall outcomes for individuals accessing care.</w:t>
      </w:r>
    </w:p>
    <w:p w14:paraId="2E833EA3" w14:textId="77777777" w:rsidR="00E037F6" w:rsidRDefault="00E037F6" w:rsidP="00E037F6">
      <w:pPr>
        <w:spacing w:after="40" w:line="360" w:lineRule="auto"/>
        <w:rPr>
          <w:rFonts w:ascii="Arial" w:hAnsi="Arial" w:cs="Arial"/>
          <w:b/>
          <w:bCs/>
          <w:color w:val="000000" w:themeColor="text1"/>
          <w:szCs w:val="24"/>
        </w:rPr>
      </w:pPr>
    </w:p>
    <w:p w14:paraId="06EBCD2F" w14:textId="77777777" w:rsidR="009D12DE" w:rsidRDefault="009D12DE" w:rsidP="00E037F6">
      <w:pPr>
        <w:spacing w:after="40" w:line="360" w:lineRule="auto"/>
        <w:rPr>
          <w:rFonts w:ascii="Arial" w:hAnsi="Arial" w:cs="Arial"/>
          <w:b/>
          <w:bCs/>
          <w:color w:val="000000" w:themeColor="text1"/>
          <w:szCs w:val="24"/>
        </w:rPr>
      </w:pPr>
    </w:p>
    <w:p w14:paraId="37417FC5" w14:textId="029BCFE5" w:rsidR="00E037F6" w:rsidRDefault="00E037F6" w:rsidP="00E037F6">
      <w:pPr>
        <w:spacing w:after="40" w:line="360" w:lineRule="auto"/>
        <w:rPr>
          <w:rFonts w:ascii="Arial" w:hAnsi="Arial" w:cs="Arial"/>
          <w:b/>
          <w:bCs/>
          <w:color w:val="000000" w:themeColor="text1"/>
          <w:szCs w:val="24"/>
        </w:rPr>
      </w:pPr>
      <w:r w:rsidRPr="00E037F6">
        <w:rPr>
          <w:rFonts w:ascii="Arial" w:hAnsi="Arial" w:cs="Arial"/>
          <w:b/>
          <w:bCs/>
          <w:color w:val="000000" w:themeColor="text1"/>
          <w:szCs w:val="24"/>
        </w:rPr>
        <w:t xml:space="preserve">Task 2: Practical Examples of Concepts in Practice </w:t>
      </w:r>
    </w:p>
    <w:p w14:paraId="3DBFD003" w14:textId="77777777" w:rsidR="00E037F6" w:rsidRDefault="00E037F6" w:rsidP="00E037F6">
      <w:pPr>
        <w:spacing w:after="40" w:line="360" w:lineRule="auto"/>
        <w:rPr>
          <w:rFonts w:ascii="Arial" w:hAnsi="Arial" w:cs="Arial"/>
          <w:b/>
          <w:bCs/>
          <w:color w:val="000000" w:themeColor="text1"/>
          <w:szCs w:val="24"/>
        </w:rPr>
      </w:pPr>
    </w:p>
    <w:p w14:paraId="135ED2D2" w14:textId="66CF676E"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A practical example that demonstrates the application of person</w:t>
      </w:r>
      <w:r w:rsidRPr="00E037F6">
        <w:rPr>
          <w:rFonts w:ascii="Arial" w:hAnsi="Arial" w:cs="Arial"/>
          <w:color w:val="000000" w:themeColor="text1"/>
          <w:szCs w:val="24"/>
        </w:rPr>
        <w:noBreakHyphen/>
        <w:t>centred care, partnership working, and ethical practice can be illustrated through the care of an older adult living with multiple long</w:t>
      </w:r>
      <w:r w:rsidRPr="00E037F6">
        <w:rPr>
          <w:rFonts w:ascii="Arial" w:hAnsi="Arial" w:cs="Arial"/>
          <w:color w:val="000000" w:themeColor="text1"/>
          <w:szCs w:val="24"/>
        </w:rPr>
        <w:noBreakHyphen/>
        <w:t>term conditions, including Type 2 diabetes, osteoarthritis, and early</w:t>
      </w:r>
      <w:r w:rsidRPr="00E037F6">
        <w:rPr>
          <w:rFonts w:ascii="Arial" w:hAnsi="Arial" w:cs="Arial"/>
          <w:color w:val="000000" w:themeColor="text1"/>
          <w:szCs w:val="24"/>
        </w:rPr>
        <w:noBreakHyphen/>
        <w:t>stage dementia. This scenario reflects common presentations within UK health and social care and highlights how these principles collectively support safe, effective, and compassionate care.</w:t>
      </w:r>
    </w:p>
    <w:p w14:paraId="37CA874D" w14:textId="77777777"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The individual begins to experience increasing difficulties with daily living activities, including medication management, mobility, and meal preparation. These challenges prompt a general practitioner (GP) to initiate a referral to a multidisciplinary community team comprising a district nurse, occupational therapist, social worker, and dementia specialist. This referral demonstrates partnership working, as the GP recognises that the individual’s needs extend beyond medical treatment and require coordinated support from multiple professionals. Partnership working is essential for addressing fragmented services and ensuring that interventions are aligned, communicated, and delivered consistently across agencies, as emphasised in the NHS Long Term Plan (NHS England, 2019).</w:t>
      </w:r>
    </w:p>
    <w:p w14:paraId="6FB5539C" w14:textId="77777777"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Person</w:t>
      </w:r>
      <w:r w:rsidRPr="00E037F6">
        <w:rPr>
          <w:rFonts w:ascii="Arial" w:hAnsi="Arial" w:cs="Arial"/>
          <w:color w:val="000000" w:themeColor="text1"/>
          <w:szCs w:val="24"/>
        </w:rPr>
        <w:noBreakHyphen/>
        <w:t>centred care is evident when the multidisciplinary team conducts a holistic assessment that considers the individual’s preferences, cultural background, routines, and personal goals. The Care Act 2014 places a statutory duty on practitioners to promote wellbeing and support individuals to achieve outcomes that matter to them (Care Act, 2014). During the assessment, the individual expresses a strong desire to remain independent at home and continue attending a weekly social group. In response, the occupational therapist recommends home adaptations, such as grab rails, improved lighting, and a medication dispenser to support safe self</w:t>
      </w:r>
      <w:r w:rsidRPr="00E037F6">
        <w:rPr>
          <w:rFonts w:ascii="Arial" w:hAnsi="Arial" w:cs="Arial"/>
          <w:color w:val="000000" w:themeColor="text1"/>
          <w:szCs w:val="24"/>
        </w:rPr>
        <w:noBreakHyphen/>
        <w:t>management. The social worker arranges a care package that includes assistance with personal care, meal preparation, and community engagement. These interventions reflect the personalised care principles promoted in the NHS Long Term Plan, which emphasises supporting individuals to maintain independence and meaningful routines (NHS England, 2019).</w:t>
      </w:r>
    </w:p>
    <w:p w14:paraId="1A55822F" w14:textId="77777777" w:rsidR="00E037F6" w:rsidRPr="00E037F6" w:rsidRDefault="00E037F6" w:rsidP="00E037F6">
      <w:pPr>
        <w:spacing w:after="40" w:line="360" w:lineRule="auto"/>
        <w:rPr>
          <w:rFonts w:ascii="Arial" w:hAnsi="Arial" w:cs="Arial"/>
          <w:color w:val="000000" w:themeColor="text1"/>
          <w:szCs w:val="24"/>
        </w:rPr>
      </w:pPr>
      <w:r w:rsidRPr="00E037F6">
        <w:rPr>
          <w:rFonts w:ascii="Arial" w:hAnsi="Arial" w:cs="Arial"/>
          <w:color w:val="000000" w:themeColor="text1"/>
          <w:szCs w:val="24"/>
        </w:rPr>
        <w:t>Ethical considerations arise throughout the care planning process. Respecting autonomy is essential, particularly when the individual expresses preferences that may raise concerns about safety. Practitioners must balance beneficence—acting in the person’s best interests—with non</w:t>
      </w:r>
      <w:r w:rsidRPr="00E037F6">
        <w:rPr>
          <w:rFonts w:ascii="Arial" w:hAnsi="Arial" w:cs="Arial"/>
          <w:color w:val="000000" w:themeColor="text1"/>
          <w:szCs w:val="24"/>
        </w:rPr>
        <w:noBreakHyphen/>
        <w:t>maleficence—avoiding harm. For example, if the individual declines certain support services, practitioners must explore the reasons for this decision, ensure that the individual understands the implications, and confirm that the decision is informed. This approach aligns with professional ethical standards, including those outlined by the Health and Care Professions Council (HCPC, 2024) and the Nursing and Midwifery Council (NMC, 2018), which emphasise respect, informed consent, and professional integrity. Confidentiality is also essential, and information shared between agencies must comply with the Data Protection Act 2018 (Data Protection Act, 2018). NICE dementia guidelines further highlight the importance of involving individuals in decisions, supporting independence, and maintaining dignity (NICE, 2021).</w:t>
      </w:r>
    </w:p>
    <w:p w14:paraId="5D6FF7F3" w14:textId="77777777" w:rsidR="00E037F6" w:rsidRPr="00E037F6" w:rsidRDefault="00E037F6" w:rsidP="00E037F6">
      <w:pPr>
        <w:spacing w:after="40" w:line="360" w:lineRule="auto"/>
        <w:rPr>
          <w:rFonts w:ascii="Arial" w:hAnsi="Arial" w:cs="Arial"/>
          <w:b/>
          <w:bCs/>
          <w:color w:val="000000" w:themeColor="text1"/>
          <w:szCs w:val="24"/>
        </w:rPr>
      </w:pPr>
      <w:r w:rsidRPr="00E037F6">
        <w:rPr>
          <w:rFonts w:ascii="Arial" w:hAnsi="Arial" w:cs="Arial"/>
          <w:color w:val="000000" w:themeColor="text1"/>
          <w:szCs w:val="24"/>
        </w:rPr>
        <w:t>Applying person</w:t>
      </w:r>
      <w:r w:rsidRPr="00E037F6">
        <w:rPr>
          <w:rFonts w:ascii="Arial" w:hAnsi="Arial" w:cs="Arial"/>
          <w:color w:val="000000" w:themeColor="text1"/>
          <w:szCs w:val="24"/>
        </w:rPr>
        <w:noBreakHyphen/>
        <w:t>centred care, partnership working, and ethical practice helps address challenges such as fragmented services, communication barriers, and complex risk management. Partnership working ensures coordinated interventions and reduces duplication. Person</w:t>
      </w:r>
      <w:r w:rsidRPr="00E037F6">
        <w:rPr>
          <w:rFonts w:ascii="Arial" w:hAnsi="Arial" w:cs="Arial"/>
          <w:color w:val="000000" w:themeColor="text1"/>
          <w:szCs w:val="24"/>
        </w:rPr>
        <w:noBreakHyphen/>
        <w:t>centred care ensures that the individual feels respected, valued, and involved in decisions. Ethical practice ensures that decisions are fair, transparent, and grounded in professional standards. This example demonstrates how these principles collectively improve care by promoting independence, dignity, and safety for individuals with long</w:t>
      </w:r>
      <w:r w:rsidRPr="00E037F6">
        <w:rPr>
          <w:rFonts w:ascii="Arial" w:hAnsi="Arial" w:cs="Arial"/>
          <w:color w:val="000000" w:themeColor="text1"/>
          <w:szCs w:val="24"/>
        </w:rPr>
        <w:noBreakHyphen/>
        <w:t>term conditions.</w:t>
      </w:r>
    </w:p>
    <w:p w14:paraId="57FC1434" w14:textId="77777777" w:rsidR="00C755E6" w:rsidRDefault="00C755E6" w:rsidP="00C755E6">
      <w:pPr>
        <w:spacing w:after="40" w:line="360" w:lineRule="auto"/>
        <w:rPr>
          <w:rFonts w:ascii="Arial" w:hAnsi="Arial" w:cs="Arial"/>
          <w:b/>
          <w:bCs/>
          <w:color w:val="000000" w:themeColor="text1"/>
          <w:szCs w:val="24"/>
        </w:rPr>
      </w:pPr>
    </w:p>
    <w:p w14:paraId="08729A99" w14:textId="77777777" w:rsidR="00C755E6" w:rsidRDefault="00C755E6" w:rsidP="00C755E6">
      <w:pPr>
        <w:spacing w:after="40" w:line="360" w:lineRule="auto"/>
        <w:rPr>
          <w:rFonts w:ascii="Arial" w:hAnsi="Arial" w:cs="Arial"/>
          <w:b/>
          <w:bCs/>
          <w:color w:val="000000" w:themeColor="text1"/>
          <w:szCs w:val="24"/>
        </w:rPr>
      </w:pPr>
    </w:p>
    <w:p w14:paraId="66A46053" w14:textId="77777777" w:rsidR="00C755E6" w:rsidRDefault="00C755E6" w:rsidP="00C755E6">
      <w:pPr>
        <w:spacing w:after="40" w:line="360" w:lineRule="auto"/>
        <w:rPr>
          <w:rFonts w:ascii="Arial" w:hAnsi="Arial" w:cs="Arial"/>
          <w:b/>
          <w:bCs/>
          <w:color w:val="000000" w:themeColor="text1"/>
          <w:szCs w:val="24"/>
        </w:rPr>
      </w:pPr>
    </w:p>
    <w:p w14:paraId="013BA815" w14:textId="77777777" w:rsidR="00C755E6" w:rsidRDefault="00C755E6" w:rsidP="00C755E6">
      <w:pPr>
        <w:spacing w:after="40" w:line="360" w:lineRule="auto"/>
        <w:rPr>
          <w:rFonts w:ascii="Arial" w:hAnsi="Arial" w:cs="Arial"/>
          <w:b/>
          <w:bCs/>
          <w:color w:val="000000" w:themeColor="text1"/>
          <w:szCs w:val="24"/>
        </w:rPr>
      </w:pPr>
    </w:p>
    <w:p w14:paraId="271DE102" w14:textId="77777777" w:rsidR="00C755E6" w:rsidRDefault="00C755E6" w:rsidP="00C755E6">
      <w:pPr>
        <w:spacing w:after="40" w:line="360" w:lineRule="auto"/>
        <w:rPr>
          <w:rFonts w:ascii="Arial" w:hAnsi="Arial" w:cs="Arial"/>
          <w:b/>
          <w:bCs/>
          <w:color w:val="000000" w:themeColor="text1"/>
          <w:szCs w:val="24"/>
        </w:rPr>
      </w:pPr>
    </w:p>
    <w:p w14:paraId="02183D4A" w14:textId="77777777" w:rsidR="00C755E6" w:rsidRDefault="00C755E6" w:rsidP="00C755E6">
      <w:pPr>
        <w:spacing w:after="40" w:line="360" w:lineRule="auto"/>
        <w:rPr>
          <w:rFonts w:ascii="Arial" w:hAnsi="Arial" w:cs="Arial"/>
          <w:b/>
          <w:bCs/>
          <w:color w:val="000000" w:themeColor="text1"/>
          <w:szCs w:val="24"/>
        </w:rPr>
      </w:pPr>
    </w:p>
    <w:p w14:paraId="58410AEB" w14:textId="77777777" w:rsidR="009D12DE" w:rsidRDefault="009D12DE" w:rsidP="00C755E6">
      <w:pPr>
        <w:spacing w:after="40" w:line="360" w:lineRule="auto"/>
        <w:rPr>
          <w:rFonts w:ascii="Arial" w:hAnsi="Arial" w:cs="Arial"/>
          <w:b/>
          <w:bCs/>
          <w:color w:val="000000" w:themeColor="text1"/>
          <w:szCs w:val="24"/>
        </w:rPr>
      </w:pPr>
    </w:p>
    <w:p w14:paraId="667DAE04" w14:textId="77777777" w:rsidR="009D12DE" w:rsidRDefault="009D12DE" w:rsidP="00C755E6">
      <w:pPr>
        <w:spacing w:after="40" w:line="360" w:lineRule="auto"/>
        <w:rPr>
          <w:rFonts w:ascii="Arial" w:hAnsi="Arial" w:cs="Arial"/>
          <w:b/>
          <w:bCs/>
          <w:color w:val="000000" w:themeColor="text1"/>
          <w:szCs w:val="24"/>
        </w:rPr>
      </w:pPr>
    </w:p>
    <w:p w14:paraId="052FF164" w14:textId="77777777" w:rsidR="009D12DE" w:rsidRDefault="009D12DE" w:rsidP="00C755E6">
      <w:pPr>
        <w:spacing w:after="40" w:line="360" w:lineRule="auto"/>
        <w:rPr>
          <w:rFonts w:ascii="Arial" w:hAnsi="Arial" w:cs="Arial"/>
          <w:b/>
          <w:bCs/>
          <w:color w:val="000000" w:themeColor="text1"/>
          <w:szCs w:val="24"/>
        </w:rPr>
      </w:pPr>
    </w:p>
    <w:p w14:paraId="588BA813" w14:textId="77777777" w:rsidR="009D12DE" w:rsidRDefault="009D12DE" w:rsidP="00C755E6">
      <w:pPr>
        <w:spacing w:after="40" w:line="360" w:lineRule="auto"/>
        <w:rPr>
          <w:rFonts w:ascii="Arial" w:hAnsi="Arial" w:cs="Arial"/>
          <w:b/>
          <w:bCs/>
          <w:color w:val="000000" w:themeColor="text1"/>
          <w:szCs w:val="24"/>
        </w:rPr>
      </w:pPr>
    </w:p>
    <w:p w14:paraId="3D0EDBA9" w14:textId="77777777" w:rsidR="009D12DE" w:rsidRDefault="009D12DE" w:rsidP="00C755E6">
      <w:pPr>
        <w:spacing w:after="40" w:line="360" w:lineRule="auto"/>
        <w:rPr>
          <w:rFonts w:ascii="Arial" w:hAnsi="Arial" w:cs="Arial"/>
          <w:b/>
          <w:bCs/>
          <w:color w:val="000000" w:themeColor="text1"/>
          <w:szCs w:val="24"/>
        </w:rPr>
      </w:pPr>
    </w:p>
    <w:p w14:paraId="5294DD42" w14:textId="77777777" w:rsidR="009D12DE" w:rsidRDefault="009D12DE" w:rsidP="00C755E6">
      <w:pPr>
        <w:spacing w:after="40" w:line="360" w:lineRule="auto"/>
        <w:rPr>
          <w:rFonts w:ascii="Arial" w:hAnsi="Arial" w:cs="Arial"/>
          <w:b/>
          <w:bCs/>
          <w:color w:val="000000" w:themeColor="text1"/>
          <w:szCs w:val="24"/>
        </w:rPr>
      </w:pPr>
    </w:p>
    <w:p w14:paraId="134E5ACA" w14:textId="67C38366" w:rsidR="00C755E6" w:rsidRDefault="00C755E6" w:rsidP="00C755E6">
      <w:pPr>
        <w:spacing w:after="40" w:line="360" w:lineRule="auto"/>
        <w:rPr>
          <w:rFonts w:ascii="Arial" w:hAnsi="Arial" w:cs="Arial"/>
          <w:b/>
          <w:bCs/>
          <w:color w:val="000000" w:themeColor="text1"/>
          <w:szCs w:val="24"/>
        </w:rPr>
      </w:pPr>
      <w:r w:rsidRPr="00C755E6">
        <w:rPr>
          <w:rFonts w:ascii="Arial" w:hAnsi="Arial" w:cs="Arial"/>
          <w:b/>
          <w:bCs/>
          <w:color w:val="000000" w:themeColor="text1"/>
          <w:szCs w:val="24"/>
        </w:rPr>
        <w:t>Task 3: Self</w:t>
      </w:r>
      <w:r w:rsidRPr="00C755E6">
        <w:rPr>
          <w:rFonts w:ascii="Arial" w:hAnsi="Arial" w:cs="Arial"/>
          <w:b/>
          <w:bCs/>
          <w:color w:val="000000" w:themeColor="text1"/>
          <w:szCs w:val="24"/>
        </w:rPr>
        <w:noBreakHyphen/>
        <w:t>Reflection as a Health and Social Care Professional</w:t>
      </w:r>
    </w:p>
    <w:p w14:paraId="652AD9CC" w14:textId="77777777" w:rsidR="009D12DE" w:rsidRPr="00C755E6" w:rsidRDefault="009D12DE" w:rsidP="00C755E6">
      <w:pPr>
        <w:spacing w:after="40" w:line="360" w:lineRule="auto"/>
        <w:rPr>
          <w:rFonts w:ascii="Arial" w:hAnsi="Arial" w:cs="Arial"/>
          <w:b/>
          <w:bCs/>
          <w:color w:val="000000" w:themeColor="text1"/>
          <w:szCs w:val="24"/>
        </w:rPr>
      </w:pPr>
    </w:p>
    <w:p w14:paraId="7B1FB83D"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Reflecting on my own practice as a health and social care professional, I recognise that person</w:t>
      </w:r>
      <w:r w:rsidRPr="009D12DE">
        <w:rPr>
          <w:rFonts w:ascii="Arial" w:hAnsi="Arial" w:cs="Arial"/>
          <w:color w:val="000000" w:themeColor="text1"/>
          <w:szCs w:val="24"/>
        </w:rPr>
        <w:noBreakHyphen/>
        <w:t xml:space="preserve">centred care, partnership working, and ethical principles are central to the quality and safety of the support I provide. These principles influence how I communicate with individuals, how I collaborate with colleagues, and how I make decisions in situations that are often complex and require careful professional judgement. Engaging in reflective practice enables me to examine my actions, identify strengths, and recognise areas for development, which aligns with Schön’s (1983) concept of the reflective practitioner. Through reflection, I </w:t>
      </w:r>
      <w:proofErr w:type="gramStart"/>
      <w:r w:rsidRPr="009D12DE">
        <w:rPr>
          <w:rFonts w:ascii="Arial" w:hAnsi="Arial" w:cs="Arial"/>
          <w:color w:val="000000" w:themeColor="text1"/>
          <w:szCs w:val="24"/>
        </w:rPr>
        <w:t>am able to</w:t>
      </w:r>
      <w:proofErr w:type="gramEnd"/>
      <w:r w:rsidRPr="009D12DE">
        <w:rPr>
          <w:rFonts w:ascii="Arial" w:hAnsi="Arial" w:cs="Arial"/>
          <w:color w:val="000000" w:themeColor="text1"/>
          <w:szCs w:val="24"/>
        </w:rPr>
        <w:t xml:space="preserve"> consider how my values, assumptions, and behaviours influence the care I deliver and how I can continue to improve my practice in a structured and meaningful way.</w:t>
      </w:r>
    </w:p>
    <w:p w14:paraId="0AEBEA62"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Person</w:t>
      </w:r>
      <w:r w:rsidRPr="009D12DE">
        <w:rPr>
          <w:rFonts w:ascii="Arial" w:hAnsi="Arial" w:cs="Arial"/>
          <w:color w:val="000000" w:themeColor="text1"/>
          <w:szCs w:val="24"/>
        </w:rPr>
        <w:noBreakHyphen/>
        <w:t>centred care informs every aspect of my approach to supporting individuals. I aim to understand each person’s unique circumstances, preferences, and goals, recognising that individuals experience health, illness, and social challenges differently. This requires active listening, asking open and sensitive questions, and ensuring that individuals are meaningfully involved in decisions about their care. The Care Act 2014 places wellbeing, choice, and control at the forefront of care provision, establishing a legal requirement for practitioners to ensure that individuals are empowered and supported to make decisions about their lives (Care Act, 2014). In my practice, I strive to uphold these principles by ensuring that individuals’ voices are central to care planning and that interventions reflect what matters most to them. This includes adapting communication methods, providing information in accessible formats, and ensuring that individuals feel respected and heard.</w:t>
      </w:r>
    </w:p>
    <w:p w14:paraId="178B6C93"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Maslow’s Hierarchy of Needs provides a useful theoretical framework for understanding how physical, emotional, and psychological needs interact and influence wellbeing (Maslow, 1943). By considering these needs holistically, I can provide care that supports autonomy, dignity, and safety. For example, when supporting an individual with mobility difficulties, I consider not only their physical needs but also how mobility limitations may affect their confidence, social engagement, and emotional wellbeing. This holistic approach helps ensure that care is not solely focused on physical symptoms but also addresses broader aspects of wellbeing that contribute to quality of life. In practice, this may involve supporting individuals to maintain social connections, encouraging participation in meaningful activities, or addressing environmental barriers that affect independence.</w:t>
      </w:r>
    </w:p>
    <w:p w14:paraId="5AD0F501"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 xml:space="preserve">Partnership working is central to my role and is essential for delivering coordinated and effective care. I regularly collaborate with colleagues from different disciplines, including nurses, social workers, physiotherapists, mental health practitioners, and safeguarding teams. Effective partnership working requires clear communication, mutual respect, shared objectives, and an understanding of each professional’s role. The Health and Care Act 2022 </w:t>
      </w:r>
      <w:proofErr w:type="gramStart"/>
      <w:r w:rsidRPr="009D12DE">
        <w:rPr>
          <w:rFonts w:ascii="Arial" w:hAnsi="Arial" w:cs="Arial"/>
          <w:color w:val="000000" w:themeColor="text1"/>
          <w:szCs w:val="24"/>
        </w:rPr>
        <w:t>reinforces</w:t>
      </w:r>
      <w:proofErr w:type="gramEnd"/>
      <w:r w:rsidRPr="009D12DE">
        <w:rPr>
          <w:rFonts w:ascii="Arial" w:hAnsi="Arial" w:cs="Arial"/>
          <w:color w:val="000000" w:themeColor="text1"/>
          <w:szCs w:val="24"/>
        </w:rPr>
        <w:t xml:space="preserve"> the importance of integrated care systems, which aim to improve population health and reduce inequalities through collaborative working (Health and Care Act, 2022). I see this reflected in my daily practice, particularly when supporting individuals with complex needs that require input from multiple agencies.</w:t>
      </w:r>
    </w:p>
    <w:p w14:paraId="1D540AA5"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For example, when supporting an individual with safeguarding concerns, I work closely with safeguarding leads, general practitioners, and family members to ensure that the individual is safe, supported, and involved in decisions. This collaborative approach helps prevent misunderstandings, reduces duplication, and ensures that interventions are aligned and delivered consistently. Partnership working also enables me to draw on the expertise of other professionals, which enhances the quality of care and ensures that individuals receive holistic support that addresses medical, social, emotional, and psychological needs. When communication is effective, individuals experience smoother transitions between services and benefit from coordinated care pathways.</w:t>
      </w:r>
    </w:p>
    <w:p w14:paraId="3C292945"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Ethical principles guide my decision</w:t>
      </w:r>
      <w:r w:rsidRPr="009D12DE">
        <w:rPr>
          <w:rFonts w:ascii="Arial" w:hAnsi="Arial" w:cs="Arial"/>
          <w:color w:val="000000" w:themeColor="text1"/>
          <w:szCs w:val="24"/>
        </w:rPr>
        <w:noBreakHyphen/>
        <w:t>making, particularly in situations where choices are complex or where individuals’ preferences may conflict with perceived risks. I frequently encounter situations where I must balance risk with independence. For example, an individual may wish to continue living alone despite concerns about falls, medication errors, or cognitive decline. Ethical principles such as autonomy, beneficence, non</w:t>
      </w:r>
      <w:r w:rsidRPr="009D12DE">
        <w:rPr>
          <w:rFonts w:ascii="Arial" w:hAnsi="Arial" w:cs="Arial"/>
          <w:color w:val="000000" w:themeColor="text1"/>
          <w:szCs w:val="24"/>
        </w:rPr>
        <w:noBreakHyphen/>
        <w:t>maleficence, and justice help me navigate these situations. I ensure that individuals have the information they need to make informed decisions and explore ways to reduce risk without compromising independence. The HCPC Standards of Conduct, Performance and Ethics require practitioners to act with honesty, integrity, and respect, and I strive to uphold these standards consistently (HCPC, 2024). Similarly, the Nursing and Midwifery Council (NMC) Code emphasises professional responsibility, safeguarding, and maintaining trust (NMC, 2018). These professional standards guide my behaviour and decision</w:t>
      </w:r>
      <w:r w:rsidRPr="009D12DE">
        <w:rPr>
          <w:rFonts w:ascii="Arial" w:hAnsi="Arial" w:cs="Arial"/>
          <w:color w:val="000000" w:themeColor="text1"/>
          <w:szCs w:val="24"/>
        </w:rPr>
        <w:noBreakHyphen/>
        <w:t>making, ensuring that I act ethically and in the best interests of individuals.</w:t>
      </w:r>
    </w:p>
    <w:p w14:paraId="122100EE"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Confidentiality is also essential, and I ensure that personal information is handled lawfully and proportionately in accordance with the Data Protection Act 2018 (Data Protection Act, 2018). Ethical practice requires balancing confidentiality with the need to share information appropriately when necessary to protect individuals from harm. This can be challenging, particularly when individuals request privacy in situations where risk is present. Reflective practice helps me evaluate these situations and consider how I can uphold ethical standards while ensuring safety.</w:t>
      </w:r>
    </w:p>
    <w:p w14:paraId="172D5B2B"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Reflecting on my strengths, I believe that I communicate effectively with individuals and colleagues. I am empathetic, patient, and able to adapt my communication style to meet diverse needs, including those related to cognitive impairment, anxiety, or cultural differences. I also work well within multidisciplinary teams and value the expertise of other professionals. I am confident in recognising when I need support or guidance and am comfortable escalating concerns when necessary. This aligns with Schön’s (1983) concept of reflection</w:t>
      </w:r>
      <w:r w:rsidRPr="009D12DE">
        <w:rPr>
          <w:rFonts w:ascii="Arial" w:hAnsi="Arial" w:cs="Arial"/>
          <w:color w:val="000000" w:themeColor="text1"/>
          <w:szCs w:val="24"/>
        </w:rPr>
        <w:noBreakHyphen/>
        <w:t>in</w:t>
      </w:r>
      <w:r w:rsidRPr="009D12DE">
        <w:rPr>
          <w:rFonts w:ascii="Arial" w:hAnsi="Arial" w:cs="Arial"/>
          <w:color w:val="000000" w:themeColor="text1"/>
          <w:szCs w:val="24"/>
        </w:rPr>
        <w:noBreakHyphen/>
        <w:t>action, where practitioners adapt their approach during practice by drawing on experience and professional judgement.</w:t>
      </w:r>
    </w:p>
    <w:p w14:paraId="420F36A5"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However, I recognise several areas for improvement. One area is developing a deeper understanding of legislation and policy. Although I am familiar with key principles of the Care Act 2014 and safeguarding frameworks, I aim to strengthen my knowledge of how legislation shapes practice. This will enable me to make more informed decisions and ensure that my work aligns with legal requirements. Another area for development is improving my confidence in challenging decisions when I believe they may not be in the best interests of the individual. Partnership working sometimes involves difficult conversations, and I aim to build confidence in advocating for individuals when necessary. This reflects Schön’s (1983) concept of reflection</w:t>
      </w:r>
      <w:r w:rsidRPr="009D12DE">
        <w:rPr>
          <w:rFonts w:ascii="Arial" w:hAnsi="Arial" w:cs="Arial"/>
          <w:color w:val="000000" w:themeColor="text1"/>
          <w:szCs w:val="24"/>
        </w:rPr>
        <w:noBreakHyphen/>
        <w:t>on</w:t>
      </w:r>
      <w:r w:rsidRPr="009D12DE">
        <w:rPr>
          <w:rFonts w:ascii="Arial" w:hAnsi="Arial" w:cs="Arial"/>
          <w:color w:val="000000" w:themeColor="text1"/>
          <w:szCs w:val="24"/>
        </w:rPr>
        <w:noBreakHyphen/>
        <w:t>action, where practitioners evaluate their experiences after an event to improve future practice.</w:t>
      </w:r>
    </w:p>
    <w:p w14:paraId="5CB0305B" w14:textId="77777777" w:rsidR="009D12DE" w:rsidRPr="009D12DE" w:rsidRDefault="009D12DE" w:rsidP="009D12DE">
      <w:pPr>
        <w:spacing w:after="40" w:line="360" w:lineRule="auto"/>
        <w:rPr>
          <w:rFonts w:ascii="Arial" w:hAnsi="Arial" w:cs="Arial"/>
          <w:color w:val="000000" w:themeColor="text1"/>
          <w:szCs w:val="24"/>
        </w:rPr>
      </w:pPr>
      <w:r w:rsidRPr="009D12DE">
        <w:rPr>
          <w:rFonts w:ascii="Arial" w:hAnsi="Arial" w:cs="Arial"/>
          <w:color w:val="000000" w:themeColor="text1"/>
          <w:szCs w:val="24"/>
        </w:rPr>
        <w:t>To enhance my skills, I plan to engage in continuous professional development (CPD). This includes attending training on person</w:t>
      </w:r>
      <w:r w:rsidRPr="009D12DE">
        <w:rPr>
          <w:rFonts w:ascii="Arial" w:hAnsi="Arial" w:cs="Arial"/>
          <w:color w:val="000000" w:themeColor="text1"/>
          <w:szCs w:val="24"/>
        </w:rPr>
        <w:noBreakHyphen/>
        <w:t>centred care, safeguarding, mental capacity, and ethical decision</w:t>
      </w:r>
      <w:r w:rsidRPr="009D12DE">
        <w:rPr>
          <w:rFonts w:ascii="Arial" w:hAnsi="Arial" w:cs="Arial"/>
          <w:color w:val="000000" w:themeColor="text1"/>
          <w:szCs w:val="24"/>
        </w:rPr>
        <w:noBreakHyphen/>
        <w:t>making. I also intend to shadow colleagues from different disciplines to deepen my understanding of their roles and improve collaborative practice. Reflective practice will continue to be an important part of my development, enabling me to identify strengths, areas for improvement, and opportunities for learning. I also aim to strengthen my ability to deliver holistic care that addresses physical, emotional, and social needs, and to develop leadership skills that will enable me to contribute more effectively to multidisciplinary teams.</w:t>
      </w:r>
    </w:p>
    <w:p w14:paraId="38062D83" w14:textId="7BB5D6DE" w:rsidR="009D12DE" w:rsidRDefault="009D12DE" w:rsidP="00C755E6">
      <w:pPr>
        <w:spacing w:after="40" w:line="360" w:lineRule="auto"/>
        <w:rPr>
          <w:rFonts w:ascii="Arial" w:hAnsi="Arial" w:cs="Arial"/>
          <w:color w:val="000000" w:themeColor="text1"/>
          <w:szCs w:val="24"/>
        </w:rPr>
      </w:pPr>
      <w:r w:rsidRPr="009D12DE">
        <w:rPr>
          <w:rFonts w:ascii="Arial" w:hAnsi="Arial" w:cs="Arial"/>
          <w:color w:val="000000" w:themeColor="text1"/>
          <w:szCs w:val="24"/>
        </w:rPr>
        <w:t xml:space="preserve">Through ongoing reflection and continuous learning, I aim to strengthen my skills, deepen my understanding of legislation and policy, and continue delivering care that is respectful, ethical, and centred on the needs of </w:t>
      </w:r>
      <w:proofErr w:type="gramStart"/>
      <w:r w:rsidRPr="009D12DE">
        <w:rPr>
          <w:rFonts w:ascii="Arial" w:hAnsi="Arial" w:cs="Arial"/>
          <w:color w:val="000000" w:themeColor="text1"/>
          <w:szCs w:val="24"/>
        </w:rPr>
        <w:t>each individual</w:t>
      </w:r>
      <w:proofErr w:type="gramEnd"/>
    </w:p>
    <w:p w14:paraId="662D3DEB" w14:textId="77777777" w:rsidR="009D12DE" w:rsidRDefault="009D12DE" w:rsidP="00C755E6">
      <w:pPr>
        <w:spacing w:after="40" w:line="360" w:lineRule="auto"/>
        <w:rPr>
          <w:rFonts w:ascii="Arial" w:hAnsi="Arial" w:cs="Arial"/>
          <w:color w:val="000000" w:themeColor="text1"/>
          <w:szCs w:val="24"/>
        </w:rPr>
      </w:pPr>
    </w:p>
    <w:p w14:paraId="41BB8E7C" w14:textId="77777777" w:rsidR="009D12DE" w:rsidRDefault="009D12DE" w:rsidP="00C755E6">
      <w:pPr>
        <w:spacing w:after="40" w:line="360" w:lineRule="auto"/>
        <w:rPr>
          <w:rFonts w:ascii="Arial" w:hAnsi="Arial" w:cs="Arial"/>
          <w:color w:val="000000" w:themeColor="text1"/>
          <w:szCs w:val="24"/>
        </w:rPr>
      </w:pPr>
    </w:p>
    <w:p w14:paraId="2811729A" w14:textId="77777777" w:rsidR="009D12DE" w:rsidRDefault="009D12DE" w:rsidP="00C755E6">
      <w:pPr>
        <w:spacing w:after="40" w:line="360" w:lineRule="auto"/>
        <w:rPr>
          <w:rFonts w:ascii="Arial" w:hAnsi="Arial" w:cs="Arial"/>
          <w:color w:val="000000" w:themeColor="text1"/>
          <w:szCs w:val="24"/>
        </w:rPr>
      </w:pPr>
    </w:p>
    <w:p w14:paraId="27CB6308" w14:textId="77777777" w:rsidR="009D12DE" w:rsidRDefault="009D12DE" w:rsidP="00C755E6">
      <w:pPr>
        <w:spacing w:after="40" w:line="360" w:lineRule="auto"/>
        <w:rPr>
          <w:rFonts w:ascii="Arial" w:hAnsi="Arial" w:cs="Arial"/>
          <w:color w:val="000000" w:themeColor="text1"/>
          <w:szCs w:val="24"/>
        </w:rPr>
      </w:pPr>
    </w:p>
    <w:p w14:paraId="60565F4A" w14:textId="77777777" w:rsidR="009D12DE" w:rsidRDefault="009D12DE" w:rsidP="00C755E6">
      <w:pPr>
        <w:spacing w:after="40" w:line="360" w:lineRule="auto"/>
        <w:rPr>
          <w:rFonts w:ascii="Arial" w:hAnsi="Arial" w:cs="Arial"/>
          <w:color w:val="000000" w:themeColor="text1"/>
          <w:szCs w:val="24"/>
        </w:rPr>
      </w:pPr>
    </w:p>
    <w:p w14:paraId="4D5F447C" w14:textId="77777777" w:rsidR="009D12DE" w:rsidRDefault="009D12DE" w:rsidP="00C755E6">
      <w:pPr>
        <w:spacing w:after="40" w:line="360" w:lineRule="auto"/>
        <w:rPr>
          <w:rFonts w:ascii="Arial" w:hAnsi="Arial" w:cs="Arial"/>
          <w:color w:val="000000" w:themeColor="text1"/>
          <w:szCs w:val="24"/>
        </w:rPr>
      </w:pPr>
    </w:p>
    <w:p w14:paraId="7291DD41" w14:textId="77777777" w:rsidR="009D12DE" w:rsidRDefault="009D12DE" w:rsidP="00C755E6">
      <w:pPr>
        <w:spacing w:after="40" w:line="360" w:lineRule="auto"/>
        <w:rPr>
          <w:rFonts w:ascii="Arial" w:hAnsi="Arial" w:cs="Arial"/>
          <w:color w:val="000000" w:themeColor="text1"/>
          <w:szCs w:val="24"/>
        </w:rPr>
      </w:pPr>
    </w:p>
    <w:p w14:paraId="562CFFB6" w14:textId="77777777" w:rsidR="009D12DE" w:rsidRDefault="009D12DE" w:rsidP="00C755E6">
      <w:pPr>
        <w:spacing w:after="40" w:line="360" w:lineRule="auto"/>
        <w:rPr>
          <w:rFonts w:ascii="Arial" w:hAnsi="Arial" w:cs="Arial"/>
          <w:color w:val="000000" w:themeColor="text1"/>
          <w:szCs w:val="24"/>
        </w:rPr>
      </w:pPr>
    </w:p>
    <w:p w14:paraId="12548764" w14:textId="77777777" w:rsidR="009D12DE" w:rsidRDefault="009D12DE" w:rsidP="00C755E6">
      <w:pPr>
        <w:spacing w:after="40" w:line="360" w:lineRule="auto"/>
        <w:rPr>
          <w:rFonts w:ascii="Arial" w:hAnsi="Arial" w:cs="Arial"/>
          <w:color w:val="000000" w:themeColor="text1"/>
          <w:szCs w:val="24"/>
        </w:rPr>
      </w:pPr>
    </w:p>
    <w:p w14:paraId="075D8315" w14:textId="77777777" w:rsidR="009D12DE" w:rsidRDefault="009D12DE" w:rsidP="00C755E6">
      <w:pPr>
        <w:spacing w:after="40" w:line="360" w:lineRule="auto"/>
        <w:rPr>
          <w:rFonts w:ascii="Arial" w:hAnsi="Arial" w:cs="Arial"/>
          <w:color w:val="000000" w:themeColor="text1"/>
          <w:szCs w:val="24"/>
        </w:rPr>
      </w:pPr>
    </w:p>
    <w:p w14:paraId="0E47E832" w14:textId="2084F583" w:rsidR="00C755E6" w:rsidRPr="00C755E6" w:rsidRDefault="00C755E6" w:rsidP="00C755E6">
      <w:pPr>
        <w:spacing w:after="40" w:line="360" w:lineRule="auto"/>
        <w:rPr>
          <w:rFonts w:ascii="Arial" w:hAnsi="Arial" w:cs="Arial"/>
          <w:b/>
          <w:bCs/>
          <w:color w:val="000000" w:themeColor="text1"/>
          <w:szCs w:val="24"/>
        </w:rPr>
      </w:pPr>
      <w:r w:rsidRPr="00C755E6">
        <w:rPr>
          <w:rFonts w:ascii="Arial" w:hAnsi="Arial" w:cs="Arial"/>
          <w:b/>
          <w:bCs/>
          <w:color w:val="000000" w:themeColor="text1"/>
          <w:szCs w:val="24"/>
        </w:rPr>
        <w:t>Reference List (Harvard Style)</w:t>
      </w:r>
    </w:p>
    <w:p w14:paraId="77A383D4"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Care Act (2014) </w:t>
      </w:r>
      <w:r w:rsidRPr="00C755E6">
        <w:rPr>
          <w:rFonts w:ascii="Arial" w:hAnsi="Arial" w:cs="Arial"/>
          <w:i/>
          <w:iCs/>
          <w:color w:val="000000" w:themeColor="text1"/>
          <w:szCs w:val="24"/>
        </w:rPr>
        <w:t>c.23.</w:t>
      </w:r>
      <w:r w:rsidRPr="00C755E6">
        <w:rPr>
          <w:rFonts w:ascii="Arial" w:hAnsi="Arial" w:cs="Arial"/>
          <w:color w:val="000000" w:themeColor="text1"/>
          <w:szCs w:val="24"/>
        </w:rPr>
        <w:t xml:space="preserve"> London: The Stationery Office.</w:t>
      </w:r>
    </w:p>
    <w:p w14:paraId="570548A9"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Data Protection Act (2018) </w:t>
      </w:r>
      <w:r w:rsidRPr="00C755E6">
        <w:rPr>
          <w:rFonts w:ascii="Arial" w:hAnsi="Arial" w:cs="Arial"/>
          <w:i/>
          <w:iCs/>
          <w:color w:val="000000" w:themeColor="text1"/>
          <w:szCs w:val="24"/>
        </w:rPr>
        <w:t>c.12.</w:t>
      </w:r>
      <w:r w:rsidRPr="00C755E6">
        <w:rPr>
          <w:rFonts w:ascii="Arial" w:hAnsi="Arial" w:cs="Arial"/>
          <w:color w:val="000000" w:themeColor="text1"/>
          <w:szCs w:val="24"/>
        </w:rPr>
        <w:t xml:space="preserve"> London: The Stationery Office.</w:t>
      </w:r>
    </w:p>
    <w:p w14:paraId="00C163EC"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Health and Care Act (2022) </w:t>
      </w:r>
      <w:r w:rsidRPr="00C755E6">
        <w:rPr>
          <w:rFonts w:ascii="Arial" w:hAnsi="Arial" w:cs="Arial"/>
          <w:i/>
          <w:iCs/>
          <w:color w:val="000000" w:themeColor="text1"/>
          <w:szCs w:val="24"/>
        </w:rPr>
        <w:t>c.31.</w:t>
      </w:r>
      <w:r w:rsidRPr="00C755E6">
        <w:rPr>
          <w:rFonts w:ascii="Arial" w:hAnsi="Arial" w:cs="Arial"/>
          <w:color w:val="000000" w:themeColor="text1"/>
          <w:szCs w:val="24"/>
        </w:rPr>
        <w:t xml:space="preserve"> London: The Stationery Office.</w:t>
      </w:r>
    </w:p>
    <w:p w14:paraId="16231720"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Health and Care Professions Council (HCPC) (2024) </w:t>
      </w:r>
      <w:r w:rsidRPr="00C755E6">
        <w:rPr>
          <w:rFonts w:ascii="Arial" w:hAnsi="Arial" w:cs="Arial"/>
          <w:i/>
          <w:iCs/>
          <w:color w:val="000000" w:themeColor="text1"/>
          <w:szCs w:val="24"/>
        </w:rPr>
        <w:t>Standards of Conduct, Performance and Ethics.</w:t>
      </w:r>
      <w:r w:rsidRPr="00C755E6">
        <w:rPr>
          <w:rFonts w:ascii="Arial" w:hAnsi="Arial" w:cs="Arial"/>
          <w:color w:val="000000" w:themeColor="text1"/>
          <w:szCs w:val="24"/>
        </w:rPr>
        <w:t xml:space="preserve"> London: HCPC.</w:t>
      </w:r>
    </w:p>
    <w:p w14:paraId="5B3AD78E"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Maslow, A. (1943) ‘A Theory of Human Motivation’, </w:t>
      </w:r>
      <w:r w:rsidRPr="00C755E6">
        <w:rPr>
          <w:rFonts w:ascii="Arial" w:hAnsi="Arial" w:cs="Arial"/>
          <w:i/>
          <w:iCs/>
          <w:color w:val="000000" w:themeColor="text1"/>
          <w:szCs w:val="24"/>
        </w:rPr>
        <w:t>Psychological Review</w:t>
      </w:r>
      <w:r w:rsidRPr="00C755E6">
        <w:rPr>
          <w:rFonts w:ascii="Arial" w:hAnsi="Arial" w:cs="Arial"/>
          <w:color w:val="000000" w:themeColor="text1"/>
          <w:szCs w:val="24"/>
        </w:rPr>
        <w:t>, 50(4), pp. 370–396.</w:t>
      </w:r>
    </w:p>
    <w:p w14:paraId="7B6C3903"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NHS England (2019) </w:t>
      </w:r>
      <w:r w:rsidRPr="00C755E6">
        <w:rPr>
          <w:rFonts w:ascii="Arial" w:hAnsi="Arial" w:cs="Arial"/>
          <w:i/>
          <w:iCs/>
          <w:color w:val="000000" w:themeColor="text1"/>
          <w:szCs w:val="24"/>
        </w:rPr>
        <w:t>The NHS Long Term Plan.</w:t>
      </w:r>
      <w:r w:rsidRPr="00C755E6">
        <w:rPr>
          <w:rFonts w:ascii="Arial" w:hAnsi="Arial" w:cs="Arial"/>
          <w:color w:val="000000" w:themeColor="text1"/>
          <w:szCs w:val="24"/>
        </w:rPr>
        <w:t xml:space="preserve"> London: NHS England.</w:t>
      </w:r>
    </w:p>
    <w:p w14:paraId="01D4291F"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NICE (2021) </w:t>
      </w:r>
      <w:r w:rsidRPr="00C755E6">
        <w:rPr>
          <w:rFonts w:ascii="Arial" w:hAnsi="Arial" w:cs="Arial"/>
          <w:i/>
          <w:iCs/>
          <w:color w:val="000000" w:themeColor="text1"/>
          <w:szCs w:val="24"/>
        </w:rPr>
        <w:t>Dementia: Assessment, Management and Support.</w:t>
      </w:r>
      <w:r w:rsidRPr="00C755E6">
        <w:rPr>
          <w:rFonts w:ascii="Arial" w:hAnsi="Arial" w:cs="Arial"/>
          <w:color w:val="000000" w:themeColor="text1"/>
          <w:szCs w:val="24"/>
        </w:rPr>
        <w:t xml:space="preserve"> London: NICE.</w:t>
      </w:r>
    </w:p>
    <w:p w14:paraId="433A35A5" w14:textId="77777777" w:rsidR="00C755E6" w:rsidRPr="00C755E6" w:rsidRDefault="00C755E6" w:rsidP="00C755E6">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Nursing and Midwifery Council (NMC) (2018) </w:t>
      </w:r>
      <w:r w:rsidRPr="00C755E6">
        <w:rPr>
          <w:rFonts w:ascii="Arial" w:hAnsi="Arial" w:cs="Arial"/>
          <w:i/>
          <w:iCs/>
          <w:color w:val="000000" w:themeColor="text1"/>
          <w:szCs w:val="24"/>
        </w:rPr>
        <w:t>The Code: Professional Standards of Practice and Behaviour.</w:t>
      </w:r>
      <w:r w:rsidRPr="00C755E6">
        <w:rPr>
          <w:rFonts w:ascii="Arial" w:hAnsi="Arial" w:cs="Arial"/>
          <w:color w:val="000000" w:themeColor="text1"/>
          <w:szCs w:val="24"/>
        </w:rPr>
        <w:t xml:space="preserve"> London: NMC.</w:t>
      </w:r>
    </w:p>
    <w:p w14:paraId="38E0DB32" w14:textId="297A82D7" w:rsidR="00DE477A" w:rsidRPr="00793027" w:rsidRDefault="00C755E6" w:rsidP="00793027">
      <w:pPr>
        <w:spacing w:after="40" w:line="360" w:lineRule="auto"/>
        <w:rPr>
          <w:rFonts w:ascii="Arial" w:hAnsi="Arial" w:cs="Arial"/>
          <w:color w:val="000000" w:themeColor="text1"/>
          <w:szCs w:val="24"/>
        </w:rPr>
      </w:pPr>
      <w:r w:rsidRPr="00C755E6">
        <w:rPr>
          <w:rFonts w:ascii="Arial" w:hAnsi="Arial" w:cs="Arial"/>
          <w:color w:val="000000" w:themeColor="text1"/>
          <w:szCs w:val="24"/>
        </w:rPr>
        <w:t xml:space="preserve">Schön, D. (1983) </w:t>
      </w:r>
      <w:r w:rsidRPr="00C755E6">
        <w:rPr>
          <w:rFonts w:ascii="Arial" w:hAnsi="Arial" w:cs="Arial"/>
          <w:i/>
          <w:iCs/>
          <w:color w:val="000000" w:themeColor="text1"/>
          <w:szCs w:val="24"/>
        </w:rPr>
        <w:t>The Reflective Practitioner: How Professionals Think in Action.</w:t>
      </w:r>
      <w:r w:rsidRPr="00C755E6">
        <w:rPr>
          <w:rFonts w:ascii="Arial" w:hAnsi="Arial" w:cs="Arial"/>
          <w:color w:val="000000" w:themeColor="text1"/>
          <w:szCs w:val="24"/>
        </w:rPr>
        <w:t xml:space="preserve"> London: Temple Smith.</w:t>
      </w:r>
    </w:p>
    <w:sectPr w:rsidR="00DE477A" w:rsidRPr="00793027"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06C1" w14:textId="77777777" w:rsidR="00FC36CA" w:rsidRDefault="00FC36CA" w:rsidP="00C03A91">
      <w:pPr>
        <w:spacing w:after="0" w:line="240" w:lineRule="auto"/>
      </w:pPr>
      <w:r>
        <w:separator/>
      </w:r>
    </w:p>
  </w:endnote>
  <w:endnote w:type="continuationSeparator" w:id="0">
    <w:p w14:paraId="3636A53B" w14:textId="77777777" w:rsidR="00FC36CA" w:rsidRDefault="00FC36CA"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5AA43" w14:textId="77777777" w:rsidR="00FC36CA" w:rsidRDefault="00FC36CA" w:rsidP="00C03A91">
      <w:pPr>
        <w:spacing w:after="0" w:line="240" w:lineRule="auto"/>
      </w:pPr>
      <w:r>
        <w:separator/>
      </w:r>
    </w:p>
  </w:footnote>
  <w:footnote w:type="continuationSeparator" w:id="0">
    <w:p w14:paraId="12ADD9CC" w14:textId="77777777" w:rsidR="00FC36CA" w:rsidRDefault="00FC36CA"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70A0D"/>
    <w:rsid w:val="00076AC0"/>
    <w:rsid w:val="00084940"/>
    <w:rsid w:val="000B17F2"/>
    <w:rsid w:val="000C4EDA"/>
    <w:rsid w:val="00115DD9"/>
    <w:rsid w:val="001B7A40"/>
    <w:rsid w:val="001F6DDB"/>
    <w:rsid w:val="00216C85"/>
    <w:rsid w:val="00273EDD"/>
    <w:rsid w:val="002C3965"/>
    <w:rsid w:val="002D5EDB"/>
    <w:rsid w:val="00321C4C"/>
    <w:rsid w:val="00370282"/>
    <w:rsid w:val="003C3B5B"/>
    <w:rsid w:val="00430087"/>
    <w:rsid w:val="004577F7"/>
    <w:rsid w:val="00463786"/>
    <w:rsid w:val="004934FB"/>
    <w:rsid w:val="005247B0"/>
    <w:rsid w:val="00563AF8"/>
    <w:rsid w:val="0057616D"/>
    <w:rsid w:val="005851AD"/>
    <w:rsid w:val="005C4F3F"/>
    <w:rsid w:val="005C5F3B"/>
    <w:rsid w:val="005D7E92"/>
    <w:rsid w:val="006A3FD3"/>
    <w:rsid w:val="0074653C"/>
    <w:rsid w:val="00793027"/>
    <w:rsid w:val="007A7297"/>
    <w:rsid w:val="007E7745"/>
    <w:rsid w:val="008353D4"/>
    <w:rsid w:val="00884D23"/>
    <w:rsid w:val="008942A0"/>
    <w:rsid w:val="00940407"/>
    <w:rsid w:val="00980FD0"/>
    <w:rsid w:val="00986F78"/>
    <w:rsid w:val="00995C46"/>
    <w:rsid w:val="009D12DE"/>
    <w:rsid w:val="009D1D1E"/>
    <w:rsid w:val="00A035FD"/>
    <w:rsid w:val="00A60CB0"/>
    <w:rsid w:val="00A630DA"/>
    <w:rsid w:val="00AA4DD8"/>
    <w:rsid w:val="00BA4C65"/>
    <w:rsid w:val="00BB0ABF"/>
    <w:rsid w:val="00BE6943"/>
    <w:rsid w:val="00BF7262"/>
    <w:rsid w:val="00C03A91"/>
    <w:rsid w:val="00C755E6"/>
    <w:rsid w:val="00CA564E"/>
    <w:rsid w:val="00CD2863"/>
    <w:rsid w:val="00CD73C3"/>
    <w:rsid w:val="00CE7A90"/>
    <w:rsid w:val="00D73FB0"/>
    <w:rsid w:val="00D870AB"/>
    <w:rsid w:val="00DA2A1E"/>
    <w:rsid w:val="00DB5487"/>
    <w:rsid w:val="00DB6D4B"/>
    <w:rsid w:val="00DC6FE9"/>
    <w:rsid w:val="00DD05BD"/>
    <w:rsid w:val="00DE477A"/>
    <w:rsid w:val="00E037F6"/>
    <w:rsid w:val="00E16EC5"/>
    <w:rsid w:val="00E2038D"/>
    <w:rsid w:val="00E92200"/>
    <w:rsid w:val="00EB12BC"/>
    <w:rsid w:val="00F137E3"/>
    <w:rsid w:val="00F23281"/>
    <w:rsid w:val="00F44C8F"/>
    <w:rsid w:val="00FC36CA"/>
    <w:rsid w:val="00FD4BD0"/>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15DD9"/>
    <w:pPr>
      <w:keepNext/>
      <w:keepLines/>
      <w:spacing w:before="240" w:after="0"/>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DD9"/>
    <w:rPr>
      <w:rFonts w:ascii="Arial" w:eastAsiaTheme="majorEastAsia" w:hAnsi="Arial" w:cs="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2710</Words>
  <Characters>15449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Nelu Junior</cp:lastModifiedBy>
  <cp:revision>2</cp:revision>
  <dcterms:created xsi:type="dcterms:W3CDTF">2026-07-26T10:42:00Z</dcterms:created>
  <dcterms:modified xsi:type="dcterms:W3CDTF">2026-07-26T10:42:00Z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a2e42d77-4c44-46cd-99fe-38b2744f07bd</vt:lpwstr>
  </property>
</Properties>
</file>