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D8115" w14:textId="6F65CC01" w:rsidR="00466A06" w:rsidRDefault="00452EBC">
      <w:r>
        <w:t>Analytical report</w:t>
      </w:r>
    </w:p>
    <w:p w14:paraId="0042C25D" w14:textId="498C1C8B" w:rsidR="00452EBC" w:rsidRDefault="00452EBC">
      <w:r>
        <w:t xml:space="preserve">Effective communication, accurate record keeping and collaborative working are fundamental components of quality health and social care. They ensure that service users receive person centred care that respects their rights and promotes their wellbeing. This report explores these aspects within the context of Mrs Thompson, an 84 year old woman recently discharged from hospital following pneumonia. Mrs Thompsons case highlights challenged such as medication adherence and safeguarding concerns, emphasising the importance of clear communication with her and her family, extreme record keeping that complies with legal frameworks and effective multi agency collaboration. Understanding these elements is essential to delivering safe, effective and respectful care that upholds legislation like the equality act 2010 and the data protection act 2018. </w:t>
      </w:r>
    </w:p>
    <w:p w14:paraId="331FBB51" w14:textId="4058077B" w:rsidR="00452EBC" w:rsidRDefault="00452EBC">
      <w:r>
        <w:t xml:space="preserve">Effective communication is essential in health and social care, especially when working with vulnerable clients like Mrs Thompson, who has mild dementia. Clear, empathetic and person centred communication can significantly improve her understanding of her care, reduce feelings of confusion and foster trust with her care team (cameron,2017). It also plays a vital role in safeguarding her rights and promoting independence. When communicating with Mrs Thompson and her family, practitioners must consider her cognitive abilities and individual preferences. The core principles of the equality act 2010 underpin this approach, ensuring that communication is accessible, respectful, and non discriminatory (equalities and human rights commission, 2010). For example, using simple language, visual aids, and patience can help Mrs Thompson understand her medication schedule and daily routines.  </w:t>
      </w:r>
    </w:p>
    <w:p w14:paraId="57AFB3BE" w14:textId="0D4A31F3" w:rsidR="00452EBC" w:rsidRDefault="00452EBC">
      <w:r>
        <w:t xml:space="preserve">Berlo’s (1960) model. Source, message, channel, and receiver, which provides a practice framework for effective communication. the source (caregiver) must encode the message clearly and consider Mrs Thompsons cognitive status. The message should be straightforward, avoiding medical jargon and tailored to her needs. The channel involves selecting appropriate means such as face to face conversations, visual aids or written instructions. The receiver in this case Mrs Thompson interprets the message, and feedback is crucial to confirm understanding. For example, a carer might explain her medication routine using simple language, then ask her to repeat the instructions or demonstrate understanding. Involving her family members in communication supports shared decision making and enhances her safety, especially considering her forgetfulness and engaging family aligns with the mental capacity act 2005, which encourages involving individuals in their decisions where possible (department of health, 2005). In conclusion, employing Berlo’s model ensures that communication is clear, respectful and effective which is vital for supporting Mrs Thompsons health and safeguarding her dignity. </w:t>
      </w:r>
    </w:p>
    <w:p w14:paraId="30AD7607" w14:textId="07C31609" w:rsidR="00452EBC" w:rsidRDefault="00452EBC">
      <w:r>
        <w:lastRenderedPageBreak/>
        <w:t xml:space="preserve">Accurate record keeping is fundamental in health and social care, as it ensures continuity, accountability and legal compliance. For Mrs Thompson, detailed documentation of her medical adherence, incidents and safeguarding concerns helps inform her care plan and supports decision making by her care team ( care quality commission, 2010). Legislation such as data protection act 2018 (DPA, 2018) and the genera data protection regulation (GDPR) provide the legal framework for handling personal data responsibility. These laws stipulate that personal data must be processed lawfully, fairly and transparently and that individuals have rights over their data (information commissioners office, 2018). In Mrs Thompson’s case, her care records must be securely stored, and access should be restricted to authorised personnel only. Record keeping should be clear, factual and up to date, reflecting all aspects of her care medication schedules, incidents of missed doses, safeguarding alerts and her response to care interventions. Proper documentation supports legal compliance and allows for audits, reviews and safeguarding investigations. It also aligns with the principles of the mental capacity act 2005, which require decision making to be documented and based on the best interests of the individual (department of health, 2005). Adherence to organisational policies on confidentiality and data security ensures that Mrs. Thompsons personal information remains protected from unauthorised access or breaches. Staff training on data management and regular audits help maintain high standards of record keeping. In summary, thorough record keeping grounded legislation and organisational policies not only supports the safety and wellbeing of Mrs Thompson but also ensures legal compliance and professional accountability. </w:t>
      </w:r>
    </w:p>
    <w:p w14:paraId="0266F45D" w14:textId="0FF10478" w:rsidR="00452EBC" w:rsidRDefault="00452EBC">
      <w:r>
        <w:t xml:space="preserve">Effective multi agency collaboration is essential in delivering holistic care to Mrs Thompson. It involves communication and coordinates efforts among her GP, community nurse, domiciliary care workers and safe guarding services. Collaborative working ensures that her medical, social, and safeguarding needs are addressed comprehensively (reeves et al., 2013). Approaches to foster effective collaboration includes regular multi displinary team meetings, shared care plans, and the use of electronic health records, which facilitate real time information sharing ( valentijn et al., 2015). Clear roles and responsibilities help prevent duplications or gaps in care, while establishing trusting relationships among professionals promotes open communication. however, common challenges such as organisational differences, communication barriers and resource limitations can hinder collaboration. Strategies to overcome these issues include establishing clear protocols, ongoing training and leadership that encourages a team oriented culture (Huxley et at., 2017). Addressing these challenges ensures that Mrs Thompson receives consistent, safe and person centred care. Involving her in decision making and maintaining open dialogue among all professionals respects her autonomy and dignity. A shared commitment to her wellbeing helps overcome barriers and promotes cohesive approach to her care. </w:t>
      </w:r>
    </w:p>
    <w:p w14:paraId="4CAD8EC3" w14:textId="3B05DEEB" w:rsidR="00452EBC" w:rsidRDefault="00452EBC">
      <w:r>
        <w:lastRenderedPageBreak/>
        <w:t xml:space="preserve">In conclusion, delivering high quality care to Mrs Thompson hinges on effective communication, precise record keeping and collaborative working among professionals. Tailoring communication methods according to her needs, grounded in the communication model Berlo (1960) and legislative principles such as the equality act 2010, ensures that her rights are respected and her understanding is maximised. Accurate documentation aligned with the data protection act 2018 safeguards her personal information and supports consistent care delivery. Furthermore, fostering strong multi agency collaboration enhances safety, addresses complex needs, and provides a holistic approach to her wellbeing. Overcoming challenges such as communication barriers and organisational differences requires clear protocols, ongoing training and shared goals. When these elements function effectively together they create a robust framework that promotes Mrs Thompsons safety, dignity and quality of life and person centred care. </w:t>
      </w:r>
    </w:p>
    <w:p w14:paraId="6C110A1B" w14:textId="16B909F1" w:rsidR="00452EBC" w:rsidRDefault="00452EBC"/>
    <w:p w14:paraId="53BF314D" w14:textId="77777777" w:rsidR="00452EBC" w:rsidRDefault="00452EBC">
      <w:r>
        <w:br w:type="page"/>
      </w:r>
    </w:p>
    <w:p w14:paraId="5AC6C67A" w14:textId="4E161983" w:rsidR="00452EBC" w:rsidRDefault="00452EBC">
      <w:r>
        <w:lastRenderedPageBreak/>
        <w:t xml:space="preserve">References: </w:t>
      </w:r>
    </w:p>
    <w:p w14:paraId="10BB0976" w14:textId="70E01977" w:rsidR="00452EBC" w:rsidRDefault="00452EBC">
      <w:r>
        <w:t xml:space="preserve">Huxley, p., et al., 2017. Effective multi-agency working. Journal of interprofessional care, 31(2), pp. 165-172. </w:t>
      </w:r>
    </w:p>
    <w:p w14:paraId="42D030A4" w14:textId="5E107872" w:rsidR="00452EBC" w:rsidRDefault="00452EBC">
      <w:r>
        <w:t xml:space="preserve">Reeves, s., et al.,2013. Interprofessional collaboration: a review of the evidence.  Journal of interprofessional care, 27(1), pp.1-10 </w:t>
      </w:r>
    </w:p>
    <w:p w14:paraId="2D4B1B1F" w14:textId="77108E84" w:rsidR="00452EBC" w:rsidRDefault="00452EBC">
      <w:r>
        <w:t xml:space="preserve">Valentijn, p., et al., 2015. Shared care plans and electronic health records. Health policy, 119(2), pp. 129-137. </w:t>
      </w:r>
    </w:p>
    <w:p w14:paraId="7A80F646" w14:textId="12DE42A5" w:rsidR="00452EBC" w:rsidRDefault="00452EBC">
      <w:r>
        <w:t xml:space="preserve">Care quality commission (cqc), 2010. Fundamental standards of quality and safety. Available at: </w:t>
      </w:r>
      <w:hyperlink r:id="rId6" w:history="1">
        <w:r w:rsidRPr="003C0FC4">
          <w:rPr>
            <w:rStyle w:val="Hyperlink"/>
          </w:rPr>
          <w:t>https://www.cqc.org.uk</w:t>
        </w:r>
      </w:hyperlink>
      <w:r>
        <w:t xml:space="preserve"> ( accessed: 20 july 2026)</w:t>
      </w:r>
    </w:p>
    <w:p w14:paraId="2DCE46A3" w14:textId="32669767" w:rsidR="00452EBC" w:rsidRDefault="00452EBC">
      <w:r>
        <w:t xml:space="preserve">Department of health, 2005. Mental capacity act 2005. London: HMSO. Information commissioners office, 2018. Guide to data protection. Available at: </w:t>
      </w:r>
      <w:hyperlink r:id="rId7" w:history="1">
        <w:r w:rsidRPr="003C0FC4">
          <w:rPr>
            <w:rStyle w:val="Hyperlink"/>
          </w:rPr>
          <w:t>https://ico.org.uk</w:t>
        </w:r>
      </w:hyperlink>
      <w:r>
        <w:t xml:space="preserve">  (accessed: 20 july 2026)</w:t>
      </w:r>
    </w:p>
    <w:p w14:paraId="1E048321" w14:textId="12CF996C" w:rsidR="00452EBC" w:rsidRDefault="00452EBC">
      <w:r>
        <w:t xml:space="preserve">Cameron, m., 2017. Communication in health and social care. Routledge. </w:t>
      </w:r>
    </w:p>
    <w:p w14:paraId="6CF5A07F" w14:textId="34C7E1C5" w:rsidR="00452EBC" w:rsidRDefault="00452EBC">
      <w:r>
        <w:t xml:space="preserve">Equalities and human rights commission,2010. The equality act 2010. Available at: </w:t>
      </w:r>
      <w:hyperlink r:id="rId8" w:history="1">
        <w:r w:rsidRPr="003C0FC4">
          <w:rPr>
            <w:rStyle w:val="Hyperlink"/>
          </w:rPr>
          <w:t>https://www.equalityhumanrights.com/en/equality-act-2010</w:t>
        </w:r>
      </w:hyperlink>
      <w:r>
        <w:t xml:space="preserve">  ( accessed: 20 july 2026). </w:t>
      </w:r>
    </w:p>
    <w:p w14:paraId="4BA3DD84" w14:textId="77777777" w:rsidR="00452EBC" w:rsidRDefault="00452EBC">
      <w:r>
        <w:t>Berlo, d.k., 1960. The process of communication. holt, Rinehart &amp; Winston.</w:t>
      </w:r>
    </w:p>
    <w:p w14:paraId="232C2487" w14:textId="7120BC9F" w:rsidR="00452EBC" w:rsidRDefault="00452EBC">
      <w:r>
        <w:t xml:space="preserve"> NHS, 2018. Effective communication in health and social care. Available at: </w:t>
      </w:r>
      <w:hyperlink r:id="rId9" w:history="1">
        <w:r w:rsidRPr="003C0FC4">
          <w:rPr>
            <w:rStyle w:val="Hyperlink"/>
          </w:rPr>
          <w:t>https://www.nhs.uk</w:t>
        </w:r>
      </w:hyperlink>
      <w:r>
        <w:t xml:space="preserve">  ( accessed: 20 july 2026). </w:t>
      </w:r>
    </w:p>
    <w:p w14:paraId="5428A23A" w14:textId="77777777" w:rsidR="00452EBC" w:rsidRDefault="00452EBC"/>
    <w:sectPr w:rsidR="00452EB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6D978" w14:textId="77777777" w:rsidR="00E806FA" w:rsidRDefault="00E806FA" w:rsidP="00452EBC">
      <w:pPr>
        <w:spacing w:after="0" w:line="240" w:lineRule="auto"/>
      </w:pPr>
      <w:r>
        <w:separator/>
      </w:r>
    </w:p>
  </w:endnote>
  <w:endnote w:type="continuationSeparator" w:id="0">
    <w:p w14:paraId="074486DE" w14:textId="77777777" w:rsidR="00E806FA" w:rsidRDefault="00E806FA" w:rsidP="00452E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EB8B6" w14:textId="77777777" w:rsidR="00E806FA" w:rsidRDefault="00E806FA" w:rsidP="00452EBC">
      <w:pPr>
        <w:spacing w:after="0" w:line="240" w:lineRule="auto"/>
      </w:pPr>
      <w:r>
        <w:separator/>
      </w:r>
    </w:p>
  </w:footnote>
  <w:footnote w:type="continuationSeparator" w:id="0">
    <w:p w14:paraId="6DDEB088" w14:textId="77777777" w:rsidR="00E806FA" w:rsidRDefault="00E806FA" w:rsidP="00452E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134AF1" w14:textId="29EF9159" w:rsidR="00452EBC" w:rsidRDefault="00452EBC">
    <w:pPr>
      <w:pStyle w:val="Header"/>
    </w:pPr>
    <w:r>
      <w:t>Khadeeja bibi 2419547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BC"/>
    <w:rsid w:val="00452EBC"/>
    <w:rsid w:val="00466A06"/>
    <w:rsid w:val="004A4858"/>
    <w:rsid w:val="004E7B11"/>
    <w:rsid w:val="008274C1"/>
    <w:rsid w:val="00CE7AB3"/>
    <w:rsid w:val="00DC707B"/>
    <w:rsid w:val="00E80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856B24"/>
  <w15:chartTrackingRefBased/>
  <w15:docId w15:val="{5C6C7A2F-DA70-F442-A0A6-758B93007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E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2E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2E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2E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E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E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E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E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E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E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2E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2E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2E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E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E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E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E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EBC"/>
    <w:rPr>
      <w:rFonts w:eastAsiaTheme="majorEastAsia" w:cstheme="majorBidi"/>
      <w:color w:val="272727" w:themeColor="text1" w:themeTint="D8"/>
    </w:rPr>
  </w:style>
  <w:style w:type="paragraph" w:styleId="Title">
    <w:name w:val="Title"/>
    <w:basedOn w:val="Normal"/>
    <w:next w:val="Normal"/>
    <w:link w:val="TitleChar"/>
    <w:uiPriority w:val="10"/>
    <w:qFormat/>
    <w:rsid w:val="00452E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E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E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E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EBC"/>
    <w:pPr>
      <w:spacing w:before="160"/>
      <w:jc w:val="center"/>
    </w:pPr>
    <w:rPr>
      <w:i/>
      <w:iCs/>
      <w:color w:val="404040" w:themeColor="text1" w:themeTint="BF"/>
    </w:rPr>
  </w:style>
  <w:style w:type="character" w:customStyle="1" w:styleId="QuoteChar">
    <w:name w:val="Quote Char"/>
    <w:basedOn w:val="DefaultParagraphFont"/>
    <w:link w:val="Quote"/>
    <w:uiPriority w:val="29"/>
    <w:rsid w:val="00452EBC"/>
    <w:rPr>
      <w:i/>
      <w:iCs/>
      <w:color w:val="404040" w:themeColor="text1" w:themeTint="BF"/>
    </w:rPr>
  </w:style>
  <w:style w:type="paragraph" w:styleId="ListParagraph">
    <w:name w:val="List Paragraph"/>
    <w:basedOn w:val="Normal"/>
    <w:uiPriority w:val="34"/>
    <w:qFormat/>
    <w:rsid w:val="00452EBC"/>
    <w:pPr>
      <w:ind w:left="720"/>
      <w:contextualSpacing/>
    </w:pPr>
  </w:style>
  <w:style w:type="character" w:styleId="IntenseEmphasis">
    <w:name w:val="Intense Emphasis"/>
    <w:basedOn w:val="DefaultParagraphFont"/>
    <w:uiPriority w:val="21"/>
    <w:qFormat/>
    <w:rsid w:val="00452EBC"/>
    <w:rPr>
      <w:i/>
      <w:iCs/>
      <w:color w:val="0F4761" w:themeColor="accent1" w:themeShade="BF"/>
    </w:rPr>
  </w:style>
  <w:style w:type="paragraph" w:styleId="IntenseQuote">
    <w:name w:val="Intense Quote"/>
    <w:basedOn w:val="Normal"/>
    <w:next w:val="Normal"/>
    <w:link w:val="IntenseQuoteChar"/>
    <w:uiPriority w:val="30"/>
    <w:qFormat/>
    <w:rsid w:val="00452E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EBC"/>
    <w:rPr>
      <w:i/>
      <w:iCs/>
      <w:color w:val="0F4761" w:themeColor="accent1" w:themeShade="BF"/>
    </w:rPr>
  </w:style>
  <w:style w:type="character" w:styleId="IntenseReference">
    <w:name w:val="Intense Reference"/>
    <w:basedOn w:val="DefaultParagraphFont"/>
    <w:uiPriority w:val="32"/>
    <w:qFormat/>
    <w:rsid w:val="00452EBC"/>
    <w:rPr>
      <w:b/>
      <w:bCs/>
      <w:smallCaps/>
      <w:color w:val="0F4761" w:themeColor="accent1" w:themeShade="BF"/>
      <w:spacing w:val="5"/>
    </w:rPr>
  </w:style>
  <w:style w:type="paragraph" w:styleId="Header">
    <w:name w:val="header"/>
    <w:basedOn w:val="Normal"/>
    <w:link w:val="HeaderChar"/>
    <w:uiPriority w:val="99"/>
    <w:unhideWhenUsed/>
    <w:rsid w:val="00452E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EBC"/>
  </w:style>
  <w:style w:type="paragraph" w:styleId="Footer">
    <w:name w:val="footer"/>
    <w:basedOn w:val="Normal"/>
    <w:link w:val="FooterChar"/>
    <w:uiPriority w:val="99"/>
    <w:unhideWhenUsed/>
    <w:rsid w:val="00452E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BC"/>
  </w:style>
  <w:style w:type="character" w:styleId="Hyperlink">
    <w:name w:val="Hyperlink"/>
    <w:basedOn w:val="DefaultParagraphFont"/>
    <w:uiPriority w:val="99"/>
    <w:unhideWhenUsed/>
    <w:rsid w:val="00452EBC"/>
    <w:rPr>
      <w:color w:val="467886" w:themeColor="hyperlink"/>
      <w:u w:val="single"/>
    </w:rPr>
  </w:style>
  <w:style w:type="character" w:styleId="UnresolvedMention">
    <w:name w:val="Unresolved Mention"/>
    <w:basedOn w:val="DefaultParagraphFont"/>
    <w:uiPriority w:val="99"/>
    <w:semiHidden/>
    <w:unhideWhenUsed/>
    <w:rsid w:val="00452E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equality-act-2010" TargetMode="External"/><Relationship Id="rId3" Type="http://schemas.openxmlformats.org/officeDocument/2006/relationships/webSettings" Target="webSettings.xml"/><Relationship Id="rId7" Type="http://schemas.openxmlformats.org/officeDocument/2006/relationships/hyperlink" Target="https://ico.org.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qc.org.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1272</Words>
  <Characters>7255</Characters>
  <Application>Microsoft Office Word</Application>
  <DocSecurity>0</DocSecurity>
  <Lines>60</Lines>
  <Paragraphs>17</Paragraphs>
  <ScaleCrop>false</ScaleCrop>
  <Company/>
  <LinksUpToDate>false</LinksUpToDate>
  <CharactersWithSpaces>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Khadeeja Bibi (2419547)</cp:lastModifiedBy>
  <cp:revision>2</cp:revision>
  <dcterms:created xsi:type="dcterms:W3CDTF">2026-07-23T23:06:00Z</dcterms:created>
  <dcterms:modified xsi:type="dcterms:W3CDTF">2026-07-23T23:06:00Z</dcterms:modified>
</cp:coreProperties>
</file>