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D4AB6" w14:textId="77777777" w:rsidR="00925380" w:rsidRDefault="00925380" w:rsidP="000133EF">
      <w:pPr>
        <w:jc w:val="center"/>
        <w:rPr>
          <w:sz w:val="40"/>
          <w:szCs w:val="40"/>
          <w:u w:val="single"/>
        </w:rPr>
      </w:pPr>
      <w:r w:rsidRPr="00925380">
        <w:rPr>
          <w:sz w:val="40"/>
          <w:szCs w:val="40"/>
          <w:u w:val="single"/>
        </w:rPr>
        <w:t>Gobbet</w:t>
      </w:r>
      <w:r>
        <w:rPr>
          <w:sz w:val="40"/>
          <w:szCs w:val="40"/>
          <w:u w:val="single"/>
        </w:rPr>
        <w:t xml:space="preserve"> on </w:t>
      </w:r>
      <w:r w:rsidRPr="00925380">
        <w:rPr>
          <w:sz w:val="40"/>
          <w:szCs w:val="40"/>
          <w:u w:val="single"/>
        </w:rPr>
        <w:t>Arrian</w:t>
      </w:r>
      <w:r>
        <w:rPr>
          <w:sz w:val="40"/>
          <w:szCs w:val="40"/>
          <w:u w:val="single"/>
        </w:rPr>
        <w:t>’s</w:t>
      </w:r>
      <w:r w:rsidRPr="00925380">
        <w:rPr>
          <w:sz w:val="40"/>
          <w:szCs w:val="40"/>
          <w:u w:val="single"/>
        </w:rPr>
        <w:t xml:space="preserve"> </w:t>
      </w:r>
      <w:r w:rsidR="000133EF" w:rsidRPr="00925380">
        <w:rPr>
          <w:sz w:val="40"/>
          <w:szCs w:val="40"/>
          <w:u w:val="single"/>
        </w:rPr>
        <w:t xml:space="preserve">Anabasis </w:t>
      </w:r>
      <w:r>
        <w:rPr>
          <w:sz w:val="40"/>
          <w:szCs w:val="40"/>
          <w:u w:val="single"/>
        </w:rPr>
        <w:t>Alexandri</w:t>
      </w:r>
      <w:r w:rsidR="000133EF" w:rsidRPr="00925380">
        <w:rPr>
          <w:sz w:val="40"/>
          <w:szCs w:val="40"/>
          <w:u w:val="single"/>
        </w:rPr>
        <w:t xml:space="preserve">, </w:t>
      </w:r>
    </w:p>
    <w:p w14:paraId="29F00314" w14:textId="5A182505" w:rsidR="000133EF" w:rsidRPr="00925380" w:rsidRDefault="000133EF" w:rsidP="000133EF">
      <w:pPr>
        <w:jc w:val="center"/>
        <w:rPr>
          <w:sz w:val="40"/>
          <w:szCs w:val="40"/>
          <w:u w:val="single"/>
        </w:rPr>
      </w:pPr>
      <w:r w:rsidRPr="00925380">
        <w:rPr>
          <w:sz w:val="40"/>
          <w:szCs w:val="40"/>
          <w:u w:val="single"/>
        </w:rPr>
        <w:t>1.16.1-3</w:t>
      </w:r>
      <w:r w:rsidR="00925380">
        <w:rPr>
          <w:sz w:val="40"/>
          <w:szCs w:val="40"/>
          <w:u w:val="single"/>
        </w:rPr>
        <w:t>.</w:t>
      </w:r>
    </w:p>
    <w:p w14:paraId="77B2D8A6" w14:textId="77777777" w:rsidR="000133EF" w:rsidRPr="00AC4EA9" w:rsidRDefault="000133EF" w:rsidP="000133EF">
      <w:pPr>
        <w:pStyle w:val="NoSpacing"/>
        <w:jc w:val="right"/>
        <w:rPr>
          <w:sz w:val="12"/>
          <w:szCs w:val="12"/>
        </w:rPr>
      </w:pPr>
      <w:r w:rsidRPr="00AC4EA9">
        <w:rPr>
          <w:sz w:val="12"/>
          <w:szCs w:val="12"/>
        </w:rPr>
        <w:t>Darren Tierney</w:t>
      </w:r>
    </w:p>
    <w:p w14:paraId="232E55F6" w14:textId="77777777" w:rsidR="000133EF" w:rsidRPr="00AC4EA9" w:rsidRDefault="000133EF" w:rsidP="000133EF">
      <w:pPr>
        <w:pStyle w:val="NoSpacing"/>
        <w:jc w:val="right"/>
        <w:rPr>
          <w:sz w:val="12"/>
          <w:szCs w:val="12"/>
        </w:rPr>
      </w:pPr>
      <w:r w:rsidRPr="00AC4EA9">
        <w:rPr>
          <w:sz w:val="12"/>
          <w:szCs w:val="12"/>
        </w:rPr>
        <w:t>Level 5</w:t>
      </w:r>
    </w:p>
    <w:p w14:paraId="43A4895F" w14:textId="77777777" w:rsidR="000133EF" w:rsidRPr="00AC4EA9" w:rsidRDefault="000133EF" w:rsidP="000133EF">
      <w:pPr>
        <w:pStyle w:val="NoSpacing"/>
        <w:jc w:val="right"/>
        <w:rPr>
          <w:sz w:val="12"/>
          <w:szCs w:val="12"/>
        </w:rPr>
      </w:pPr>
      <w:r w:rsidRPr="00AC4EA9">
        <w:rPr>
          <w:sz w:val="12"/>
          <w:szCs w:val="12"/>
        </w:rPr>
        <w:t>01/03/23</w:t>
      </w:r>
    </w:p>
    <w:p w14:paraId="1E496232" w14:textId="6962A255" w:rsidR="00147F04" w:rsidRDefault="00147F04"/>
    <w:p w14:paraId="474FF082" w14:textId="1C222112" w:rsidR="000133EF" w:rsidRPr="0079181E" w:rsidRDefault="000133EF" w:rsidP="0079403D">
      <w:pPr>
        <w:ind w:firstLine="720"/>
        <w:rPr>
          <w:sz w:val="18"/>
          <w:szCs w:val="18"/>
        </w:rPr>
      </w:pPr>
      <w:r w:rsidRPr="0079181E">
        <w:rPr>
          <w:sz w:val="18"/>
          <w:szCs w:val="18"/>
        </w:rPr>
        <w:t>Lucius Flavius Arranius was a Roman citizen who lived between 85-160CE, although the exact dates are unknown.</w:t>
      </w:r>
      <w:r w:rsidRPr="0079181E">
        <w:rPr>
          <w:rStyle w:val="FootnoteReference"/>
          <w:sz w:val="18"/>
          <w:szCs w:val="18"/>
        </w:rPr>
        <w:footnoteReference w:id="1"/>
      </w:r>
      <w:r w:rsidRPr="0079181E">
        <w:rPr>
          <w:sz w:val="18"/>
          <w:szCs w:val="18"/>
        </w:rPr>
        <w:t xml:space="preserve"> Arrian was born in the roman ruled region of Bithynia, from a family at Nicomedia, Arrian was a man of learning and in his early life took part in a priesthood </w:t>
      </w:r>
      <w:r w:rsidR="00F46E4A" w:rsidRPr="0079181E">
        <w:rPr>
          <w:sz w:val="18"/>
          <w:szCs w:val="18"/>
        </w:rPr>
        <w:t>in his</w:t>
      </w:r>
      <w:r w:rsidR="0095025A" w:rsidRPr="0079181E">
        <w:rPr>
          <w:sz w:val="18"/>
          <w:szCs w:val="18"/>
        </w:rPr>
        <w:t xml:space="preserve"> native</w:t>
      </w:r>
      <w:r w:rsidR="00F46E4A" w:rsidRPr="0079181E">
        <w:rPr>
          <w:sz w:val="18"/>
          <w:szCs w:val="18"/>
        </w:rPr>
        <w:t xml:space="preserve"> city</w:t>
      </w:r>
      <w:r w:rsidRPr="0079181E">
        <w:rPr>
          <w:sz w:val="18"/>
          <w:szCs w:val="18"/>
        </w:rPr>
        <w:t>.</w:t>
      </w:r>
      <w:r w:rsidRPr="0079181E">
        <w:rPr>
          <w:rStyle w:val="FootnoteReference"/>
          <w:sz w:val="18"/>
          <w:szCs w:val="18"/>
        </w:rPr>
        <w:footnoteReference w:id="2"/>
      </w:r>
      <w:r w:rsidRPr="0079181E">
        <w:rPr>
          <w:sz w:val="18"/>
          <w:szCs w:val="18"/>
        </w:rPr>
        <w:t xml:space="preserve"> During Arrian’s life he held many different positions as a Roman elite; public servant, military commander, philosopher, and historian. </w:t>
      </w:r>
      <w:r w:rsidR="00F46E4A" w:rsidRPr="0079181E">
        <w:rPr>
          <w:sz w:val="18"/>
          <w:szCs w:val="18"/>
        </w:rPr>
        <w:t xml:space="preserve">Arrian’s life was integral to the upper stratum of </w:t>
      </w:r>
      <w:r w:rsidR="0095025A" w:rsidRPr="0079181E">
        <w:rPr>
          <w:sz w:val="18"/>
          <w:szCs w:val="18"/>
        </w:rPr>
        <w:t>R</w:t>
      </w:r>
      <w:r w:rsidR="00F46E4A" w:rsidRPr="0079181E">
        <w:rPr>
          <w:sz w:val="18"/>
          <w:szCs w:val="18"/>
        </w:rPr>
        <w:t>oman society, he</w:t>
      </w:r>
      <w:r w:rsidRPr="0079181E">
        <w:rPr>
          <w:sz w:val="18"/>
          <w:szCs w:val="18"/>
        </w:rPr>
        <w:t xml:space="preserve"> became a prefect of Cappadocia, </w:t>
      </w:r>
      <w:r w:rsidR="00F46E4A" w:rsidRPr="0079181E">
        <w:rPr>
          <w:sz w:val="18"/>
          <w:szCs w:val="18"/>
        </w:rPr>
        <w:t>and</w:t>
      </w:r>
      <w:r w:rsidRPr="0079181E">
        <w:rPr>
          <w:sz w:val="18"/>
          <w:szCs w:val="18"/>
        </w:rPr>
        <w:t xml:space="preserve"> may have become the governor of Syria, but there is no clear evidence</w:t>
      </w:r>
      <w:r w:rsidR="00F46E4A" w:rsidRPr="0079181E">
        <w:rPr>
          <w:sz w:val="18"/>
          <w:szCs w:val="18"/>
        </w:rPr>
        <w:t xml:space="preserve"> although scholars speculate</w:t>
      </w:r>
      <w:r w:rsidRPr="0079181E">
        <w:rPr>
          <w:sz w:val="18"/>
          <w:szCs w:val="18"/>
        </w:rPr>
        <w:t>.</w:t>
      </w:r>
      <w:r w:rsidRPr="0079181E">
        <w:rPr>
          <w:rStyle w:val="FootnoteReference"/>
          <w:sz w:val="18"/>
          <w:szCs w:val="18"/>
        </w:rPr>
        <w:footnoteReference w:id="3"/>
      </w:r>
      <w:r w:rsidRPr="0079181E">
        <w:rPr>
          <w:sz w:val="18"/>
          <w:szCs w:val="18"/>
        </w:rPr>
        <w:t xml:space="preserve"> </w:t>
      </w:r>
      <w:r w:rsidR="00F46E4A" w:rsidRPr="0079181E">
        <w:rPr>
          <w:sz w:val="18"/>
          <w:szCs w:val="18"/>
        </w:rPr>
        <w:t>A factor that may have led to his</w:t>
      </w:r>
      <w:r w:rsidR="0095025A" w:rsidRPr="0079181E">
        <w:rPr>
          <w:sz w:val="18"/>
          <w:szCs w:val="18"/>
        </w:rPr>
        <w:t xml:space="preserve"> career</w:t>
      </w:r>
      <w:r w:rsidR="00F46E4A" w:rsidRPr="0079181E">
        <w:rPr>
          <w:sz w:val="18"/>
          <w:szCs w:val="18"/>
        </w:rPr>
        <w:t xml:space="preserve"> success </w:t>
      </w:r>
      <w:r w:rsidR="0095025A" w:rsidRPr="0079181E">
        <w:rPr>
          <w:sz w:val="18"/>
          <w:szCs w:val="18"/>
        </w:rPr>
        <w:t>in the political hemisphere of the classical world</w:t>
      </w:r>
      <w:r w:rsidR="00F46E4A" w:rsidRPr="0079181E">
        <w:rPr>
          <w:sz w:val="18"/>
          <w:szCs w:val="18"/>
        </w:rPr>
        <w:t xml:space="preserve"> </w:t>
      </w:r>
      <w:r w:rsidR="0095025A" w:rsidRPr="0079181E">
        <w:rPr>
          <w:sz w:val="18"/>
          <w:szCs w:val="18"/>
        </w:rPr>
        <w:t>was</w:t>
      </w:r>
      <w:r w:rsidR="00F46E4A" w:rsidRPr="0079181E">
        <w:rPr>
          <w:sz w:val="18"/>
          <w:szCs w:val="18"/>
        </w:rPr>
        <w:t xml:space="preserve"> his </w:t>
      </w:r>
      <w:r w:rsidR="0095025A" w:rsidRPr="0079181E">
        <w:rPr>
          <w:sz w:val="18"/>
          <w:szCs w:val="18"/>
        </w:rPr>
        <w:t>close relationship</w:t>
      </w:r>
      <w:r w:rsidR="00F46E4A" w:rsidRPr="0079181E">
        <w:rPr>
          <w:sz w:val="18"/>
          <w:szCs w:val="18"/>
        </w:rPr>
        <w:t xml:space="preserve"> with the future Emperor of Rome, Hadrian.</w:t>
      </w:r>
      <w:r w:rsidR="00F46E4A" w:rsidRPr="0079181E">
        <w:rPr>
          <w:rStyle w:val="FootnoteReference"/>
          <w:sz w:val="18"/>
          <w:szCs w:val="18"/>
        </w:rPr>
        <w:footnoteReference w:id="4"/>
      </w:r>
      <w:r w:rsidR="00F46E4A" w:rsidRPr="0079181E">
        <w:rPr>
          <w:sz w:val="18"/>
          <w:szCs w:val="18"/>
        </w:rPr>
        <w:t xml:space="preserve"> </w:t>
      </w:r>
      <w:r w:rsidRPr="0079181E">
        <w:rPr>
          <w:sz w:val="18"/>
          <w:szCs w:val="18"/>
        </w:rPr>
        <w:t xml:space="preserve">The consensus between scholars is </w:t>
      </w:r>
      <w:r w:rsidR="00E00146" w:rsidRPr="0079181E">
        <w:rPr>
          <w:sz w:val="18"/>
          <w:szCs w:val="18"/>
        </w:rPr>
        <w:t xml:space="preserve">that </w:t>
      </w:r>
      <w:r w:rsidRPr="0079181E">
        <w:rPr>
          <w:sz w:val="18"/>
          <w:szCs w:val="18"/>
        </w:rPr>
        <w:t>after his life within the roman political hemisphere</w:t>
      </w:r>
      <w:r w:rsidR="00F46E4A" w:rsidRPr="0079181E">
        <w:rPr>
          <w:sz w:val="18"/>
          <w:szCs w:val="18"/>
        </w:rPr>
        <w:t>,</w:t>
      </w:r>
      <w:r w:rsidRPr="0079181E">
        <w:rPr>
          <w:sz w:val="18"/>
          <w:szCs w:val="18"/>
        </w:rPr>
        <w:t xml:space="preserve"> he likely settled in Athens</w:t>
      </w:r>
      <w:r w:rsidR="0095025A" w:rsidRPr="0079181E">
        <w:rPr>
          <w:sz w:val="18"/>
          <w:szCs w:val="18"/>
        </w:rPr>
        <w:t>,</w:t>
      </w:r>
      <w:r w:rsidRPr="0079181E">
        <w:rPr>
          <w:sz w:val="18"/>
          <w:szCs w:val="18"/>
        </w:rPr>
        <w:t xml:space="preserve"> where the majority of his works </w:t>
      </w:r>
      <w:r w:rsidR="00D102A5" w:rsidRPr="0079181E">
        <w:rPr>
          <w:sz w:val="18"/>
          <w:szCs w:val="18"/>
        </w:rPr>
        <w:t>may have been</w:t>
      </w:r>
      <w:r w:rsidRPr="0079181E">
        <w:rPr>
          <w:sz w:val="18"/>
          <w:szCs w:val="18"/>
        </w:rPr>
        <w:t xml:space="preserve"> produced.</w:t>
      </w:r>
      <w:r w:rsidRPr="0079181E">
        <w:rPr>
          <w:rStyle w:val="FootnoteReference"/>
          <w:sz w:val="18"/>
          <w:szCs w:val="18"/>
        </w:rPr>
        <w:footnoteReference w:id="5"/>
      </w:r>
    </w:p>
    <w:p w14:paraId="328F242F" w14:textId="091C288C" w:rsidR="0079403D" w:rsidRPr="0079181E" w:rsidRDefault="00F46E4A" w:rsidP="00BC1BFC">
      <w:pPr>
        <w:ind w:firstLine="720"/>
        <w:rPr>
          <w:sz w:val="18"/>
          <w:szCs w:val="18"/>
        </w:rPr>
      </w:pPr>
      <w:r w:rsidRPr="0079181E">
        <w:rPr>
          <w:sz w:val="18"/>
          <w:szCs w:val="18"/>
        </w:rPr>
        <w:t>In his early life</w:t>
      </w:r>
      <w:r w:rsidR="0095025A" w:rsidRPr="0079181E">
        <w:rPr>
          <w:sz w:val="18"/>
          <w:szCs w:val="18"/>
        </w:rPr>
        <w:t>,</w:t>
      </w:r>
      <w:r w:rsidRPr="0079181E">
        <w:rPr>
          <w:sz w:val="18"/>
          <w:szCs w:val="18"/>
        </w:rPr>
        <w:t xml:space="preserve"> </w:t>
      </w:r>
      <w:r w:rsidR="0079403D" w:rsidRPr="0079181E">
        <w:rPr>
          <w:sz w:val="18"/>
          <w:szCs w:val="18"/>
        </w:rPr>
        <w:t xml:space="preserve">Arrian was a student of the </w:t>
      </w:r>
      <w:r w:rsidRPr="0079181E">
        <w:rPr>
          <w:sz w:val="18"/>
          <w:szCs w:val="18"/>
        </w:rPr>
        <w:t>p</w:t>
      </w:r>
      <w:r w:rsidR="0079403D" w:rsidRPr="0079181E">
        <w:rPr>
          <w:sz w:val="18"/>
          <w:szCs w:val="18"/>
        </w:rPr>
        <w:t>hilosopher Epictetus</w:t>
      </w:r>
      <w:r w:rsidR="0095025A" w:rsidRPr="0079181E">
        <w:rPr>
          <w:sz w:val="18"/>
          <w:szCs w:val="18"/>
        </w:rPr>
        <w:t>.</w:t>
      </w:r>
      <w:r w:rsidR="0079403D" w:rsidRPr="0079181E">
        <w:rPr>
          <w:sz w:val="18"/>
          <w:szCs w:val="18"/>
        </w:rPr>
        <w:t xml:space="preserve"> Epictetus himself was a former slave and</w:t>
      </w:r>
      <w:r w:rsidR="006A3EBB" w:rsidRPr="0079181E">
        <w:rPr>
          <w:sz w:val="18"/>
          <w:szCs w:val="18"/>
        </w:rPr>
        <w:t xml:space="preserve"> </w:t>
      </w:r>
      <w:r w:rsidR="0095025A" w:rsidRPr="0079181E">
        <w:rPr>
          <w:sz w:val="18"/>
          <w:szCs w:val="18"/>
        </w:rPr>
        <w:t xml:space="preserve">he </w:t>
      </w:r>
      <w:r w:rsidRPr="0079181E">
        <w:rPr>
          <w:sz w:val="18"/>
          <w:szCs w:val="18"/>
        </w:rPr>
        <w:t xml:space="preserve">prescribed to the </w:t>
      </w:r>
      <w:r w:rsidR="0079403D" w:rsidRPr="0079181E">
        <w:rPr>
          <w:sz w:val="18"/>
          <w:szCs w:val="18"/>
        </w:rPr>
        <w:t>stoicism</w:t>
      </w:r>
      <w:r w:rsidRPr="0079181E">
        <w:rPr>
          <w:sz w:val="18"/>
          <w:szCs w:val="18"/>
        </w:rPr>
        <w:t xml:space="preserve"> philosophical ideology.</w:t>
      </w:r>
      <w:r w:rsidR="0079403D" w:rsidRPr="0079181E">
        <w:rPr>
          <w:sz w:val="18"/>
          <w:szCs w:val="18"/>
        </w:rPr>
        <w:t xml:space="preserve"> </w:t>
      </w:r>
      <w:r w:rsidRPr="0079181E">
        <w:rPr>
          <w:sz w:val="18"/>
          <w:szCs w:val="18"/>
        </w:rPr>
        <w:t>Although t</w:t>
      </w:r>
      <w:r w:rsidR="0079403D" w:rsidRPr="0079181E">
        <w:rPr>
          <w:sz w:val="18"/>
          <w:szCs w:val="18"/>
        </w:rPr>
        <w:t xml:space="preserve">his </w:t>
      </w:r>
      <w:r w:rsidR="00D102A5" w:rsidRPr="0079181E">
        <w:rPr>
          <w:sz w:val="18"/>
          <w:szCs w:val="18"/>
        </w:rPr>
        <w:t>ideology</w:t>
      </w:r>
      <w:r w:rsidR="0079403D" w:rsidRPr="0079181E">
        <w:rPr>
          <w:sz w:val="18"/>
          <w:szCs w:val="18"/>
        </w:rPr>
        <w:t xml:space="preserve"> did not </w:t>
      </w:r>
      <w:r w:rsidRPr="0079181E">
        <w:rPr>
          <w:sz w:val="18"/>
          <w:szCs w:val="18"/>
        </w:rPr>
        <w:t>pass</w:t>
      </w:r>
      <w:r w:rsidR="0079403D" w:rsidRPr="0079181E">
        <w:rPr>
          <w:sz w:val="18"/>
          <w:szCs w:val="18"/>
        </w:rPr>
        <w:t xml:space="preserve"> down to Arrian</w:t>
      </w:r>
      <w:r w:rsidR="00E00146" w:rsidRPr="0079181E">
        <w:rPr>
          <w:sz w:val="18"/>
          <w:szCs w:val="18"/>
        </w:rPr>
        <w:t xml:space="preserve"> entirely</w:t>
      </w:r>
      <w:r w:rsidRPr="0079181E">
        <w:rPr>
          <w:sz w:val="18"/>
          <w:szCs w:val="18"/>
        </w:rPr>
        <w:t>,</w:t>
      </w:r>
      <w:r w:rsidR="00D102A5" w:rsidRPr="0079181E">
        <w:rPr>
          <w:sz w:val="18"/>
          <w:szCs w:val="18"/>
        </w:rPr>
        <w:t xml:space="preserve"> we find </w:t>
      </w:r>
      <w:r w:rsidRPr="0079181E">
        <w:rPr>
          <w:sz w:val="18"/>
          <w:szCs w:val="18"/>
        </w:rPr>
        <w:t xml:space="preserve">its traits within Arrian’s </w:t>
      </w:r>
      <w:r w:rsidR="00D102A5" w:rsidRPr="0079181E">
        <w:rPr>
          <w:sz w:val="18"/>
          <w:szCs w:val="18"/>
        </w:rPr>
        <w:t>work</w:t>
      </w:r>
      <w:r w:rsidR="0079403D" w:rsidRPr="0079181E">
        <w:rPr>
          <w:sz w:val="18"/>
          <w:szCs w:val="18"/>
        </w:rPr>
        <w:t>.</w:t>
      </w:r>
      <w:r w:rsidR="0079403D" w:rsidRPr="0079181E">
        <w:rPr>
          <w:rStyle w:val="FootnoteReference"/>
          <w:sz w:val="18"/>
          <w:szCs w:val="18"/>
        </w:rPr>
        <w:footnoteReference w:id="6"/>
      </w:r>
      <w:r w:rsidR="0079403D" w:rsidRPr="0079181E">
        <w:rPr>
          <w:sz w:val="18"/>
          <w:szCs w:val="18"/>
        </w:rPr>
        <w:t xml:space="preserve"> </w:t>
      </w:r>
      <w:r w:rsidRPr="0079181E">
        <w:rPr>
          <w:sz w:val="18"/>
          <w:szCs w:val="18"/>
        </w:rPr>
        <w:t>During his tutelage</w:t>
      </w:r>
      <w:r w:rsidR="0079403D" w:rsidRPr="0079181E">
        <w:rPr>
          <w:sz w:val="18"/>
          <w:szCs w:val="18"/>
        </w:rPr>
        <w:t xml:space="preserve"> </w:t>
      </w:r>
      <w:r w:rsidR="003D1A54">
        <w:rPr>
          <w:sz w:val="18"/>
          <w:szCs w:val="18"/>
        </w:rPr>
        <w:t>Arrian’s</w:t>
      </w:r>
      <w:r w:rsidRPr="0079181E">
        <w:rPr>
          <w:sz w:val="18"/>
          <w:szCs w:val="18"/>
        </w:rPr>
        <w:t xml:space="preserve"> peers</w:t>
      </w:r>
      <w:r w:rsidR="0079403D" w:rsidRPr="0079181E">
        <w:rPr>
          <w:sz w:val="18"/>
          <w:szCs w:val="18"/>
        </w:rPr>
        <w:t xml:space="preserve"> had noted that </w:t>
      </w:r>
      <w:r w:rsidR="003D1A54">
        <w:rPr>
          <w:sz w:val="18"/>
          <w:szCs w:val="18"/>
        </w:rPr>
        <w:t>his</w:t>
      </w:r>
      <w:r w:rsidR="0079403D" w:rsidRPr="0079181E">
        <w:rPr>
          <w:sz w:val="18"/>
          <w:szCs w:val="18"/>
        </w:rPr>
        <w:t xml:space="preserve"> relationship with Epictetus </w:t>
      </w:r>
      <w:r w:rsidR="003D1A54">
        <w:rPr>
          <w:sz w:val="18"/>
          <w:szCs w:val="18"/>
        </w:rPr>
        <w:t>resembled</w:t>
      </w:r>
      <w:r w:rsidR="0079403D" w:rsidRPr="0079181E">
        <w:rPr>
          <w:sz w:val="18"/>
          <w:szCs w:val="18"/>
        </w:rPr>
        <w:t xml:space="preserve"> Xenophon’s relationship with Socrates, even Arrian referred to himself </w:t>
      </w:r>
      <w:r w:rsidR="0095025A" w:rsidRPr="0079181E">
        <w:rPr>
          <w:sz w:val="18"/>
          <w:szCs w:val="18"/>
        </w:rPr>
        <w:t>as Xenophon</w:t>
      </w:r>
      <w:r w:rsidR="0079403D" w:rsidRPr="0079181E">
        <w:rPr>
          <w:sz w:val="18"/>
          <w:szCs w:val="18"/>
        </w:rPr>
        <w:t>.</w:t>
      </w:r>
      <w:r w:rsidR="0079403D" w:rsidRPr="0079181E">
        <w:rPr>
          <w:rStyle w:val="FootnoteReference"/>
          <w:sz w:val="18"/>
          <w:szCs w:val="18"/>
        </w:rPr>
        <w:footnoteReference w:id="7"/>
      </w:r>
      <w:r w:rsidR="0079403D" w:rsidRPr="0079181E">
        <w:rPr>
          <w:sz w:val="18"/>
          <w:szCs w:val="18"/>
        </w:rPr>
        <w:t xml:space="preserve"> Arrian writes the Anabasis of Alexander with appreciation to Xenophon’s writings concerning the </w:t>
      </w:r>
      <w:r w:rsidR="003D1A54">
        <w:rPr>
          <w:sz w:val="18"/>
          <w:szCs w:val="18"/>
        </w:rPr>
        <w:t xml:space="preserve">10,000, </w:t>
      </w:r>
      <w:r w:rsidR="000B4416" w:rsidRPr="0079181E">
        <w:rPr>
          <w:sz w:val="18"/>
          <w:szCs w:val="18"/>
        </w:rPr>
        <w:t>and even the title is a</w:t>
      </w:r>
      <w:r w:rsidRPr="0079181E">
        <w:rPr>
          <w:sz w:val="18"/>
          <w:szCs w:val="18"/>
        </w:rPr>
        <w:t xml:space="preserve"> homage</w:t>
      </w:r>
      <w:r w:rsidR="000B4416" w:rsidRPr="0079181E">
        <w:rPr>
          <w:sz w:val="18"/>
          <w:szCs w:val="18"/>
        </w:rPr>
        <w:t xml:space="preserve"> of Xenophon’s Anabasis</w:t>
      </w:r>
      <w:r w:rsidR="0079403D" w:rsidRPr="0079181E">
        <w:rPr>
          <w:sz w:val="18"/>
          <w:szCs w:val="18"/>
        </w:rPr>
        <w:t>.</w:t>
      </w:r>
      <w:r w:rsidR="0079403D" w:rsidRPr="0079181E">
        <w:rPr>
          <w:rStyle w:val="FootnoteReference"/>
          <w:sz w:val="18"/>
          <w:szCs w:val="18"/>
        </w:rPr>
        <w:footnoteReference w:id="8"/>
      </w:r>
      <w:r w:rsidR="0079403D" w:rsidRPr="0079181E">
        <w:rPr>
          <w:sz w:val="18"/>
          <w:szCs w:val="18"/>
        </w:rPr>
        <w:t xml:space="preserve"> </w:t>
      </w:r>
      <w:r w:rsidR="00B45BD7" w:rsidRPr="0079181E">
        <w:rPr>
          <w:sz w:val="18"/>
          <w:szCs w:val="18"/>
        </w:rPr>
        <w:t xml:space="preserve">Arrian himself was a proud Roman, maybe not in blood, but in ideology. In Arrian’s lifetime </w:t>
      </w:r>
      <w:r w:rsidR="0095025A" w:rsidRPr="0079181E">
        <w:rPr>
          <w:sz w:val="18"/>
          <w:szCs w:val="18"/>
        </w:rPr>
        <w:t>a</w:t>
      </w:r>
      <w:r w:rsidR="00B45BD7" w:rsidRPr="0079181E">
        <w:rPr>
          <w:sz w:val="18"/>
          <w:szCs w:val="18"/>
        </w:rPr>
        <w:t xml:space="preserve">nnexed Greek city states were </w:t>
      </w:r>
      <w:r w:rsidR="00FA7802">
        <w:rPr>
          <w:sz w:val="18"/>
          <w:szCs w:val="18"/>
        </w:rPr>
        <w:t>somewhat</w:t>
      </w:r>
      <w:r w:rsidR="00B45BD7" w:rsidRPr="0079181E">
        <w:rPr>
          <w:sz w:val="18"/>
          <w:szCs w:val="18"/>
        </w:rPr>
        <w:t xml:space="preserve"> autonomous, </w:t>
      </w:r>
      <w:r w:rsidR="00FA7802" w:rsidRPr="0079181E">
        <w:rPr>
          <w:sz w:val="18"/>
          <w:szCs w:val="18"/>
        </w:rPr>
        <w:t>culturally,</w:t>
      </w:r>
      <w:r w:rsidR="00B45BD7" w:rsidRPr="0079181E">
        <w:rPr>
          <w:sz w:val="18"/>
          <w:szCs w:val="18"/>
        </w:rPr>
        <w:t xml:space="preserve"> and administratively. This may explain Arrian’s choice to write about a prolific Greek hero in Greek, rather than talking about his legal home of Rome</w:t>
      </w:r>
      <w:r w:rsidR="003D1A54">
        <w:rPr>
          <w:sz w:val="18"/>
          <w:szCs w:val="18"/>
        </w:rPr>
        <w:t xml:space="preserve"> in </w:t>
      </w:r>
      <w:r w:rsidR="00C56E56">
        <w:rPr>
          <w:sz w:val="18"/>
          <w:szCs w:val="18"/>
        </w:rPr>
        <w:t>Latin</w:t>
      </w:r>
      <w:r w:rsidR="00B45BD7" w:rsidRPr="0079181E">
        <w:rPr>
          <w:sz w:val="18"/>
          <w:szCs w:val="18"/>
        </w:rPr>
        <w:t>.</w:t>
      </w:r>
      <w:r w:rsidR="00B45BD7" w:rsidRPr="0079181E">
        <w:rPr>
          <w:rStyle w:val="FootnoteReference"/>
          <w:sz w:val="18"/>
          <w:szCs w:val="18"/>
        </w:rPr>
        <w:footnoteReference w:id="9"/>
      </w:r>
    </w:p>
    <w:p w14:paraId="59CCC5B5" w14:textId="6DF21FD2" w:rsidR="0079403D" w:rsidRPr="0079181E" w:rsidRDefault="0079403D" w:rsidP="0079403D">
      <w:pPr>
        <w:ind w:firstLine="720"/>
        <w:rPr>
          <w:sz w:val="18"/>
          <w:szCs w:val="18"/>
        </w:rPr>
      </w:pPr>
      <w:r w:rsidRPr="0079181E">
        <w:rPr>
          <w:sz w:val="18"/>
          <w:szCs w:val="18"/>
        </w:rPr>
        <w:t xml:space="preserve">The document that is under analysis is Arrian’s </w:t>
      </w:r>
      <w:r w:rsidRPr="0079181E">
        <w:rPr>
          <w:i/>
          <w:iCs/>
          <w:sz w:val="18"/>
          <w:szCs w:val="18"/>
        </w:rPr>
        <w:t xml:space="preserve">Anabasis </w:t>
      </w:r>
      <w:r w:rsidR="00E00146" w:rsidRPr="0079181E">
        <w:rPr>
          <w:i/>
          <w:iCs/>
          <w:sz w:val="18"/>
          <w:szCs w:val="18"/>
        </w:rPr>
        <w:t>Alexandri,</w:t>
      </w:r>
      <w:r w:rsidRPr="0079181E">
        <w:rPr>
          <w:sz w:val="18"/>
          <w:szCs w:val="18"/>
        </w:rPr>
        <w:t xml:space="preserve"> </w:t>
      </w:r>
      <w:r w:rsidR="00AB2CE6">
        <w:rPr>
          <w:sz w:val="18"/>
          <w:szCs w:val="18"/>
        </w:rPr>
        <w:t>the specific extract is</w:t>
      </w:r>
      <w:r w:rsidRPr="0079181E">
        <w:rPr>
          <w:sz w:val="18"/>
          <w:szCs w:val="18"/>
        </w:rPr>
        <w:t xml:space="preserve"> 1.16.1-3</w:t>
      </w:r>
      <w:r w:rsidR="00F46E4A" w:rsidRPr="0079181E">
        <w:rPr>
          <w:sz w:val="18"/>
          <w:szCs w:val="18"/>
        </w:rPr>
        <w:t>.</w:t>
      </w:r>
      <w:r w:rsidRPr="0079181E">
        <w:rPr>
          <w:rStyle w:val="FootnoteReference"/>
          <w:sz w:val="18"/>
          <w:szCs w:val="18"/>
        </w:rPr>
        <w:footnoteReference w:id="10"/>
      </w:r>
      <w:r w:rsidRPr="0079181E">
        <w:rPr>
          <w:sz w:val="18"/>
          <w:szCs w:val="18"/>
        </w:rPr>
        <w:t xml:space="preserve"> Arrian’s work is a testament to Alexanders military achievements in the war against the Achaemenid Persians and discusses the finer points of his military strategy. This document was a manuscript that has drawn upon at least two sources for certain, Arrian tells us one of his sources was Ptolemy, the second is Aristobulus.</w:t>
      </w:r>
      <w:r w:rsidRPr="0079181E">
        <w:rPr>
          <w:rStyle w:val="FootnoteReference"/>
          <w:sz w:val="18"/>
          <w:szCs w:val="18"/>
        </w:rPr>
        <w:footnoteReference w:id="11"/>
      </w:r>
      <w:r w:rsidRPr="0079181E">
        <w:rPr>
          <w:sz w:val="18"/>
          <w:szCs w:val="18"/>
        </w:rPr>
        <w:t xml:space="preserve"> The consensus is that this document likely originates from Athens, later in Arrian’s life as he settled there after the prefecture of Cappadocia, although some scholars argue otherwise.</w:t>
      </w:r>
      <w:r w:rsidR="0052210C" w:rsidRPr="0079181E">
        <w:rPr>
          <w:rStyle w:val="FootnoteReference"/>
          <w:sz w:val="18"/>
          <w:szCs w:val="18"/>
        </w:rPr>
        <w:footnoteReference w:id="12"/>
      </w:r>
      <w:r w:rsidRPr="0079181E">
        <w:rPr>
          <w:sz w:val="18"/>
          <w:szCs w:val="18"/>
        </w:rPr>
        <w:t xml:space="preserve"> Bosworth </w:t>
      </w:r>
      <w:r w:rsidR="00F46E4A" w:rsidRPr="0079181E">
        <w:rPr>
          <w:sz w:val="18"/>
          <w:szCs w:val="18"/>
        </w:rPr>
        <w:t>argues</w:t>
      </w:r>
      <w:r w:rsidRPr="0079181E">
        <w:rPr>
          <w:sz w:val="18"/>
          <w:szCs w:val="18"/>
        </w:rPr>
        <w:t xml:space="preserve"> in his analysis that </w:t>
      </w:r>
      <w:r w:rsidR="00F46E4A" w:rsidRPr="0079181E">
        <w:rPr>
          <w:sz w:val="18"/>
          <w:szCs w:val="18"/>
        </w:rPr>
        <w:t>stating</w:t>
      </w:r>
      <w:r w:rsidRPr="0079181E">
        <w:rPr>
          <w:sz w:val="18"/>
          <w:szCs w:val="18"/>
        </w:rPr>
        <w:t xml:space="preserve"> Athens as the </w:t>
      </w:r>
      <w:r w:rsidR="00F46E4A" w:rsidRPr="0079181E">
        <w:rPr>
          <w:sz w:val="18"/>
          <w:szCs w:val="18"/>
        </w:rPr>
        <w:t>definite origin</w:t>
      </w:r>
      <w:r w:rsidRPr="0079181E">
        <w:rPr>
          <w:sz w:val="18"/>
          <w:szCs w:val="18"/>
        </w:rPr>
        <w:t xml:space="preserve"> of this document is a ‘rash assumption’</w:t>
      </w:r>
      <w:r w:rsidR="000C544D">
        <w:rPr>
          <w:sz w:val="18"/>
          <w:szCs w:val="18"/>
        </w:rPr>
        <w:t>,</w:t>
      </w:r>
      <w:r w:rsidR="000B4416" w:rsidRPr="0079181E">
        <w:rPr>
          <w:rStyle w:val="FootnoteReference"/>
          <w:sz w:val="18"/>
          <w:szCs w:val="18"/>
        </w:rPr>
        <w:footnoteReference w:id="13"/>
      </w:r>
      <w:r w:rsidRPr="0079181E">
        <w:rPr>
          <w:sz w:val="18"/>
          <w:szCs w:val="18"/>
        </w:rPr>
        <w:t xml:space="preserve"> </w:t>
      </w:r>
      <w:r w:rsidR="000C544D">
        <w:rPr>
          <w:sz w:val="18"/>
          <w:szCs w:val="18"/>
        </w:rPr>
        <w:t>and</w:t>
      </w:r>
      <w:r w:rsidRPr="0079181E">
        <w:rPr>
          <w:sz w:val="18"/>
          <w:szCs w:val="18"/>
        </w:rPr>
        <w:t xml:space="preserve"> suggests that there is no reason that the </w:t>
      </w:r>
      <w:r w:rsidR="00981F20">
        <w:rPr>
          <w:sz w:val="18"/>
          <w:szCs w:val="18"/>
        </w:rPr>
        <w:t>A</w:t>
      </w:r>
      <w:r w:rsidRPr="0079181E">
        <w:rPr>
          <w:sz w:val="18"/>
          <w:szCs w:val="18"/>
        </w:rPr>
        <w:t>nabasis couldn’t have been written as one of Arrian’s early works ‘before adlection to the senate</w:t>
      </w:r>
      <w:r w:rsidR="00E41EC6" w:rsidRPr="0079181E">
        <w:rPr>
          <w:sz w:val="18"/>
          <w:szCs w:val="18"/>
        </w:rPr>
        <w:t>.</w:t>
      </w:r>
      <w:r w:rsidRPr="0079181E">
        <w:rPr>
          <w:sz w:val="18"/>
          <w:szCs w:val="18"/>
        </w:rPr>
        <w:t>’</w:t>
      </w:r>
      <w:r w:rsidRPr="0079181E">
        <w:rPr>
          <w:rStyle w:val="FootnoteReference"/>
          <w:sz w:val="18"/>
          <w:szCs w:val="18"/>
        </w:rPr>
        <w:footnoteReference w:id="14"/>
      </w:r>
      <w:r w:rsidRPr="0079181E">
        <w:rPr>
          <w:rStyle w:val="FootnoteReference"/>
          <w:sz w:val="18"/>
          <w:szCs w:val="18"/>
        </w:rPr>
        <w:footnoteReference w:id="15"/>
      </w:r>
      <w:r w:rsidRPr="0079181E">
        <w:rPr>
          <w:sz w:val="18"/>
          <w:szCs w:val="18"/>
        </w:rPr>
        <w:t xml:space="preserve"> </w:t>
      </w:r>
    </w:p>
    <w:p w14:paraId="4589A504" w14:textId="075B265E" w:rsidR="00B45BD7" w:rsidRPr="0079181E" w:rsidRDefault="00B45BD7" w:rsidP="00B45BD7">
      <w:pPr>
        <w:ind w:firstLine="720"/>
        <w:rPr>
          <w:sz w:val="18"/>
          <w:szCs w:val="18"/>
        </w:rPr>
      </w:pPr>
      <w:r w:rsidRPr="0079181E">
        <w:rPr>
          <w:sz w:val="18"/>
          <w:szCs w:val="18"/>
        </w:rPr>
        <w:t>The extract under analysis expresses a specific event</w:t>
      </w:r>
      <w:r w:rsidR="0095025A" w:rsidRPr="0079181E">
        <w:rPr>
          <w:sz w:val="18"/>
          <w:szCs w:val="18"/>
        </w:rPr>
        <w:t>,</w:t>
      </w:r>
      <w:r w:rsidRPr="0079181E">
        <w:rPr>
          <w:sz w:val="18"/>
          <w:szCs w:val="18"/>
        </w:rPr>
        <w:t xml:space="preserve"> </w:t>
      </w:r>
      <w:r w:rsidR="0095025A" w:rsidRPr="0079181E">
        <w:rPr>
          <w:sz w:val="18"/>
          <w:szCs w:val="18"/>
        </w:rPr>
        <w:t>it describes</w:t>
      </w:r>
      <w:r w:rsidRPr="0079181E">
        <w:rPr>
          <w:sz w:val="18"/>
          <w:szCs w:val="18"/>
        </w:rPr>
        <w:t xml:space="preserve"> the moment Alexander’s soldiers</w:t>
      </w:r>
      <w:r w:rsidR="008D3660" w:rsidRPr="0079181E">
        <w:rPr>
          <w:sz w:val="18"/>
          <w:szCs w:val="18"/>
        </w:rPr>
        <w:t xml:space="preserve"> </w:t>
      </w:r>
      <w:r w:rsidR="00FA7802">
        <w:rPr>
          <w:sz w:val="18"/>
          <w:szCs w:val="18"/>
        </w:rPr>
        <w:t>attain</w:t>
      </w:r>
      <w:r w:rsidR="008D3660" w:rsidRPr="0079181E">
        <w:rPr>
          <w:sz w:val="18"/>
          <w:szCs w:val="18"/>
        </w:rPr>
        <w:t xml:space="preserve"> victory after</w:t>
      </w:r>
      <w:r w:rsidRPr="0079181E">
        <w:rPr>
          <w:sz w:val="18"/>
          <w:szCs w:val="18"/>
        </w:rPr>
        <w:t xml:space="preserve"> cross</w:t>
      </w:r>
      <w:r w:rsidR="008D3660" w:rsidRPr="0079181E">
        <w:rPr>
          <w:sz w:val="18"/>
          <w:szCs w:val="18"/>
        </w:rPr>
        <w:t>ing</w:t>
      </w:r>
      <w:r w:rsidRPr="0079181E">
        <w:rPr>
          <w:sz w:val="18"/>
          <w:szCs w:val="18"/>
        </w:rPr>
        <w:t xml:space="preserve"> the river Granicus to fight the Persian forces. </w:t>
      </w:r>
      <w:r w:rsidR="0095025A" w:rsidRPr="0079181E">
        <w:rPr>
          <w:sz w:val="18"/>
          <w:szCs w:val="18"/>
        </w:rPr>
        <w:t>T</w:t>
      </w:r>
      <w:r w:rsidRPr="0079181E">
        <w:rPr>
          <w:sz w:val="18"/>
          <w:szCs w:val="18"/>
        </w:rPr>
        <w:t xml:space="preserve">he Greek and Persian cavalry exchanged blows, and the Greek </w:t>
      </w:r>
      <w:r w:rsidR="0095025A" w:rsidRPr="0079181E">
        <w:rPr>
          <w:sz w:val="18"/>
          <w:szCs w:val="18"/>
        </w:rPr>
        <w:t>army</w:t>
      </w:r>
      <w:r w:rsidRPr="0079181E">
        <w:rPr>
          <w:sz w:val="18"/>
          <w:szCs w:val="18"/>
        </w:rPr>
        <w:t xml:space="preserve"> was</w:t>
      </w:r>
      <w:r w:rsidR="0095025A" w:rsidRPr="0079181E">
        <w:rPr>
          <w:sz w:val="18"/>
          <w:szCs w:val="18"/>
        </w:rPr>
        <w:t xml:space="preserve"> ultimately</w:t>
      </w:r>
      <w:r w:rsidRPr="0079181E">
        <w:rPr>
          <w:sz w:val="18"/>
          <w:szCs w:val="18"/>
        </w:rPr>
        <w:t xml:space="preserve"> victorious</w:t>
      </w:r>
      <w:r w:rsidR="0095025A" w:rsidRPr="0079181E">
        <w:rPr>
          <w:sz w:val="18"/>
          <w:szCs w:val="18"/>
        </w:rPr>
        <w:t>.</w:t>
      </w:r>
      <w:r w:rsidRPr="0079181E">
        <w:rPr>
          <w:sz w:val="18"/>
          <w:szCs w:val="18"/>
        </w:rPr>
        <w:t xml:space="preserve"> </w:t>
      </w:r>
      <w:r w:rsidR="0095025A" w:rsidRPr="0079181E">
        <w:rPr>
          <w:sz w:val="18"/>
          <w:szCs w:val="18"/>
        </w:rPr>
        <w:t>The</w:t>
      </w:r>
      <w:r w:rsidRPr="0079181E">
        <w:rPr>
          <w:sz w:val="18"/>
          <w:szCs w:val="18"/>
        </w:rPr>
        <w:t xml:space="preserve"> skirmish</w:t>
      </w:r>
      <w:r w:rsidR="0095025A" w:rsidRPr="0079181E">
        <w:rPr>
          <w:sz w:val="18"/>
          <w:szCs w:val="18"/>
        </w:rPr>
        <w:t xml:space="preserve"> was won</w:t>
      </w:r>
      <w:r w:rsidRPr="0079181E">
        <w:rPr>
          <w:sz w:val="18"/>
          <w:szCs w:val="18"/>
        </w:rPr>
        <w:t xml:space="preserve"> due to the effectiveness of the</w:t>
      </w:r>
      <w:r w:rsidR="0095025A" w:rsidRPr="0079181E">
        <w:rPr>
          <w:sz w:val="18"/>
          <w:szCs w:val="18"/>
        </w:rPr>
        <w:t xml:space="preserve"> companions</w:t>
      </w:r>
      <w:r w:rsidRPr="0079181E">
        <w:rPr>
          <w:sz w:val="18"/>
          <w:szCs w:val="18"/>
        </w:rPr>
        <w:t xml:space="preserve"> lances</w:t>
      </w:r>
      <w:r w:rsidR="0095025A" w:rsidRPr="0079181E">
        <w:rPr>
          <w:sz w:val="18"/>
          <w:szCs w:val="18"/>
        </w:rPr>
        <w:t>, the breaking of the Persian cavalry, then the insinuated rear charge into the Persian mercenaries while the Greek phalanx engaged from the front</w:t>
      </w:r>
      <w:r w:rsidRPr="0079181E">
        <w:rPr>
          <w:sz w:val="18"/>
          <w:szCs w:val="18"/>
        </w:rPr>
        <w:t xml:space="preserve">. </w:t>
      </w:r>
      <w:r w:rsidR="0095025A" w:rsidRPr="0079181E">
        <w:rPr>
          <w:sz w:val="18"/>
          <w:szCs w:val="18"/>
        </w:rPr>
        <w:t>Arrian</w:t>
      </w:r>
      <w:r w:rsidRPr="0079181E">
        <w:rPr>
          <w:sz w:val="18"/>
          <w:szCs w:val="18"/>
        </w:rPr>
        <w:t xml:space="preserve"> tells us that Alexander was at the front and centre of the battle</w:t>
      </w:r>
      <w:r w:rsidR="0095025A" w:rsidRPr="0079181E">
        <w:rPr>
          <w:sz w:val="18"/>
          <w:szCs w:val="18"/>
        </w:rPr>
        <w:t xml:space="preserve"> leading his companion cavalry.</w:t>
      </w:r>
      <w:r w:rsidRPr="0079181E">
        <w:rPr>
          <w:sz w:val="18"/>
          <w:szCs w:val="18"/>
        </w:rPr>
        <w:t xml:space="preserve"> </w:t>
      </w:r>
      <w:r w:rsidR="0095025A" w:rsidRPr="0079181E">
        <w:rPr>
          <w:sz w:val="18"/>
          <w:szCs w:val="18"/>
        </w:rPr>
        <w:t xml:space="preserve">One </w:t>
      </w:r>
      <w:r w:rsidR="0095025A" w:rsidRPr="0079181E">
        <w:rPr>
          <w:sz w:val="18"/>
          <w:szCs w:val="18"/>
        </w:rPr>
        <w:lastRenderedPageBreak/>
        <w:t xml:space="preserve">thousand Persian horsemen were killed, the Greeks took two thousand prisoners, </w:t>
      </w:r>
      <w:r w:rsidRPr="0079181E">
        <w:rPr>
          <w:sz w:val="18"/>
          <w:szCs w:val="18"/>
        </w:rPr>
        <w:t>and many people of note from the Persian Empire died during this melee.</w:t>
      </w:r>
      <w:r w:rsidR="0095025A" w:rsidRPr="0079181E">
        <w:rPr>
          <w:sz w:val="18"/>
          <w:szCs w:val="18"/>
        </w:rPr>
        <w:t xml:space="preserve"> We are told Arsites fled to Phrygia where he committed suicide due to shame of his loss, believing it to be his personal fault.</w:t>
      </w:r>
      <w:r w:rsidRPr="0079181E">
        <w:rPr>
          <w:rStyle w:val="FootnoteReference"/>
          <w:sz w:val="18"/>
          <w:szCs w:val="18"/>
        </w:rPr>
        <w:footnoteReference w:id="16"/>
      </w:r>
      <w:r w:rsidRPr="0079181E">
        <w:rPr>
          <w:sz w:val="18"/>
          <w:szCs w:val="18"/>
        </w:rPr>
        <w:t xml:space="preserve"> </w:t>
      </w:r>
    </w:p>
    <w:p w14:paraId="1B1802B0" w14:textId="5AB5B898" w:rsidR="0095025A" w:rsidRPr="0079181E" w:rsidRDefault="0095025A" w:rsidP="0095025A">
      <w:pPr>
        <w:ind w:firstLine="720"/>
        <w:rPr>
          <w:sz w:val="18"/>
          <w:szCs w:val="18"/>
        </w:rPr>
      </w:pPr>
      <w:r w:rsidRPr="0079181E">
        <w:rPr>
          <w:sz w:val="18"/>
          <w:szCs w:val="18"/>
        </w:rPr>
        <w:t>One of the key aspects of this extract is this was the first significant conflict of Alexander’s Achaemenid Persian war. Alexander leads from the front with his companion cavalry, the shock charge is one that effectively decides the battle for the Greeks. His victory at the Granicus ‘began the myth of Alexander’s invincibility’.</w:t>
      </w:r>
      <w:r w:rsidR="0084020D" w:rsidRPr="0079181E">
        <w:rPr>
          <w:rStyle w:val="FootnoteReference"/>
          <w:sz w:val="18"/>
          <w:szCs w:val="18"/>
        </w:rPr>
        <w:footnoteReference w:id="17"/>
      </w:r>
      <w:r w:rsidRPr="0079181E">
        <w:rPr>
          <w:sz w:val="18"/>
          <w:szCs w:val="18"/>
        </w:rPr>
        <w:t xml:space="preserve"> Alexander was likely an admired leader in history because of his personal habit of being at the forefront of battle, an admired virtue of the Roman populace.</w:t>
      </w:r>
      <w:r w:rsidRPr="0079181E">
        <w:rPr>
          <w:rStyle w:val="FootnoteReference"/>
          <w:sz w:val="18"/>
          <w:szCs w:val="18"/>
        </w:rPr>
        <w:footnoteReference w:id="18"/>
      </w:r>
      <w:r w:rsidRPr="0079181E">
        <w:rPr>
          <w:sz w:val="18"/>
          <w:szCs w:val="18"/>
        </w:rPr>
        <w:t xml:space="preserve"> This depiction that Arrian conveys concerning the heroism of Alexander is one of strong substance, the Persian army only yields when Alexander himself was engaged with their forces.</w:t>
      </w:r>
      <w:r w:rsidRPr="0079181E">
        <w:rPr>
          <w:rStyle w:val="FootnoteReference"/>
          <w:sz w:val="18"/>
          <w:szCs w:val="18"/>
        </w:rPr>
        <w:footnoteReference w:id="19"/>
      </w:r>
      <w:r w:rsidRPr="0079181E">
        <w:rPr>
          <w:sz w:val="18"/>
          <w:szCs w:val="18"/>
        </w:rPr>
        <w:t xml:space="preserve"> </w:t>
      </w:r>
    </w:p>
    <w:p w14:paraId="2ED66315" w14:textId="18387166" w:rsidR="0095025A" w:rsidRPr="0079181E" w:rsidRDefault="0079403D" w:rsidP="0079403D">
      <w:pPr>
        <w:ind w:firstLine="720"/>
        <w:rPr>
          <w:sz w:val="18"/>
          <w:szCs w:val="18"/>
        </w:rPr>
      </w:pPr>
      <w:r w:rsidRPr="0079181E">
        <w:rPr>
          <w:sz w:val="18"/>
          <w:szCs w:val="18"/>
        </w:rPr>
        <w:t xml:space="preserve">This document was written </w:t>
      </w:r>
      <w:r w:rsidR="0095025A" w:rsidRPr="0079181E">
        <w:rPr>
          <w:sz w:val="18"/>
          <w:szCs w:val="18"/>
        </w:rPr>
        <w:t xml:space="preserve">several centuries after the events took place, but gathered </w:t>
      </w:r>
      <w:r w:rsidR="00F46E4A" w:rsidRPr="0079181E">
        <w:rPr>
          <w:sz w:val="18"/>
          <w:szCs w:val="18"/>
        </w:rPr>
        <w:t>from</w:t>
      </w:r>
      <w:r w:rsidR="0095025A" w:rsidRPr="0079181E">
        <w:rPr>
          <w:sz w:val="18"/>
          <w:szCs w:val="18"/>
        </w:rPr>
        <w:t xml:space="preserve"> semi-reliable</w:t>
      </w:r>
      <w:r w:rsidR="00F46E4A" w:rsidRPr="0079181E">
        <w:rPr>
          <w:sz w:val="18"/>
          <w:szCs w:val="18"/>
        </w:rPr>
        <w:t xml:space="preserve"> sources that </w:t>
      </w:r>
      <w:r w:rsidR="0095025A" w:rsidRPr="0079181E">
        <w:rPr>
          <w:sz w:val="18"/>
          <w:szCs w:val="18"/>
        </w:rPr>
        <w:t>would have had first-hand accounts</w:t>
      </w:r>
      <w:r w:rsidR="00F46E4A" w:rsidRPr="0079181E">
        <w:rPr>
          <w:sz w:val="18"/>
          <w:szCs w:val="18"/>
        </w:rPr>
        <w:t xml:space="preserve"> with Alexander</w:t>
      </w:r>
      <w:r w:rsidR="0095025A" w:rsidRPr="0079181E">
        <w:rPr>
          <w:sz w:val="18"/>
          <w:szCs w:val="18"/>
        </w:rPr>
        <w:t xml:space="preserve"> during this war.</w:t>
      </w:r>
      <w:r w:rsidRPr="0079181E">
        <w:rPr>
          <w:sz w:val="18"/>
          <w:szCs w:val="18"/>
        </w:rPr>
        <w:t xml:space="preserve"> </w:t>
      </w:r>
      <w:r w:rsidR="0095025A" w:rsidRPr="0079181E">
        <w:rPr>
          <w:sz w:val="18"/>
          <w:szCs w:val="18"/>
        </w:rPr>
        <w:t>D</w:t>
      </w:r>
      <w:r w:rsidR="00F46E4A" w:rsidRPr="0079181E">
        <w:rPr>
          <w:sz w:val="18"/>
          <w:szCs w:val="18"/>
        </w:rPr>
        <w:t>ue to the impossibility of Arrian</w:t>
      </w:r>
      <w:r w:rsidR="0095025A" w:rsidRPr="0079181E">
        <w:rPr>
          <w:sz w:val="18"/>
          <w:szCs w:val="18"/>
        </w:rPr>
        <w:t xml:space="preserve"> being a</w:t>
      </w:r>
      <w:r w:rsidR="00F46E4A" w:rsidRPr="0079181E">
        <w:rPr>
          <w:sz w:val="18"/>
          <w:szCs w:val="18"/>
        </w:rPr>
        <w:t xml:space="preserve"> first hand source makes it</w:t>
      </w:r>
      <w:r w:rsidRPr="0079181E">
        <w:rPr>
          <w:sz w:val="18"/>
          <w:szCs w:val="18"/>
        </w:rPr>
        <w:t xml:space="preserve"> a </w:t>
      </w:r>
      <w:r w:rsidR="00F46E4A" w:rsidRPr="0079181E">
        <w:rPr>
          <w:sz w:val="18"/>
          <w:szCs w:val="18"/>
        </w:rPr>
        <w:t>necessity to scrutinise the work, namely due to issues akin to a</w:t>
      </w:r>
      <w:r w:rsidRPr="0079181E">
        <w:rPr>
          <w:sz w:val="18"/>
          <w:szCs w:val="18"/>
        </w:rPr>
        <w:t xml:space="preserve"> romanticisation</w:t>
      </w:r>
      <w:r w:rsidR="00F46E4A" w:rsidRPr="0079181E">
        <w:rPr>
          <w:sz w:val="18"/>
          <w:szCs w:val="18"/>
        </w:rPr>
        <w:t xml:space="preserve"> element.</w:t>
      </w:r>
      <w:r w:rsidR="006A3EBB" w:rsidRPr="0079181E">
        <w:rPr>
          <w:sz w:val="18"/>
          <w:szCs w:val="18"/>
        </w:rPr>
        <w:t xml:space="preserve"> </w:t>
      </w:r>
      <w:r w:rsidR="0095025A" w:rsidRPr="0079181E">
        <w:rPr>
          <w:sz w:val="18"/>
          <w:szCs w:val="18"/>
        </w:rPr>
        <w:t xml:space="preserve">For </w:t>
      </w:r>
      <w:r w:rsidR="002A42FE" w:rsidRPr="0079181E">
        <w:rPr>
          <w:sz w:val="18"/>
          <w:szCs w:val="18"/>
        </w:rPr>
        <w:t>example,</w:t>
      </w:r>
      <w:r w:rsidR="00F46E4A" w:rsidRPr="0079181E">
        <w:rPr>
          <w:sz w:val="18"/>
          <w:szCs w:val="18"/>
        </w:rPr>
        <w:t xml:space="preserve"> Stadter </w:t>
      </w:r>
      <w:r w:rsidR="0095025A" w:rsidRPr="0079181E">
        <w:rPr>
          <w:sz w:val="18"/>
          <w:szCs w:val="18"/>
        </w:rPr>
        <w:t>states</w:t>
      </w:r>
      <w:r w:rsidR="00F46E4A" w:rsidRPr="0079181E">
        <w:rPr>
          <w:sz w:val="18"/>
          <w:szCs w:val="18"/>
        </w:rPr>
        <w:t xml:space="preserve"> that Arrian lacks in appreciation for some of the larger issues Alexander’s campaigns raised, especially towards non-Greeks.</w:t>
      </w:r>
      <w:r w:rsidR="00F46E4A" w:rsidRPr="0079181E">
        <w:rPr>
          <w:rStyle w:val="FootnoteReference"/>
          <w:sz w:val="18"/>
          <w:szCs w:val="18"/>
        </w:rPr>
        <w:footnoteReference w:id="20"/>
      </w:r>
      <w:r w:rsidR="00F46E4A" w:rsidRPr="0079181E">
        <w:rPr>
          <w:sz w:val="18"/>
          <w:szCs w:val="18"/>
        </w:rPr>
        <w:t xml:space="preserve"> Ultimately </w:t>
      </w:r>
      <w:r w:rsidR="006A3EBB" w:rsidRPr="0079181E">
        <w:rPr>
          <w:sz w:val="18"/>
          <w:szCs w:val="18"/>
        </w:rPr>
        <w:t>Stadter</w:t>
      </w:r>
      <w:r w:rsidR="00F46E4A" w:rsidRPr="0079181E">
        <w:rPr>
          <w:sz w:val="18"/>
          <w:szCs w:val="18"/>
        </w:rPr>
        <w:t xml:space="preserve"> also</w:t>
      </w:r>
      <w:r w:rsidR="006A3EBB" w:rsidRPr="0079181E">
        <w:rPr>
          <w:sz w:val="18"/>
          <w:szCs w:val="18"/>
        </w:rPr>
        <w:t xml:space="preserve"> writes that Arrian forgoes any romantic, spectacular and melodramatic</w:t>
      </w:r>
      <w:r w:rsidR="00F46E4A" w:rsidRPr="0079181E">
        <w:rPr>
          <w:sz w:val="18"/>
          <w:szCs w:val="18"/>
        </w:rPr>
        <w:t xml:space="preserve"> tendencies.</w:t>
      </w:r>
      <w:r w:rsidR="0095025A" w:rsidRPr="0079181E">
        <w:rPr>
          <w:rStyle w:val="FootnoteReference"/>
          <w:sz w:val="18"/>
          <w:szCs w:val="18"/>
        </w:rPr>
        <w:t xml:space="preserve"> </w:t>
      </w:r>
      <w:r w:rsidR="0095025A" w:rsidRPr="0079181E">
        <w:rPr>
          <w:rStyle w:val="FootnoteReference"/>
          <w:sz w:val="18"/>
          <w:szCs w:val="18"/>
        </w:rPr>
        <w:footnoteReference w:id="21"/>
      </w:r>
      <w:r w:rsidR="00F46E4A" w:rsidRPr="0079181E">
        <w:rPr>
          <w:sz w:val="18"/>
          <w:szCs w:val="18"/>
        </w:rPr>
        <w:t xml:space="preserve"> Arrian</w:t>
      </w:r>
      <w:r w:rsidR="006A3EBB" w:rsidRPr="0079181E">
        <w:rPr>
          <w:sz w:val="18"/>
          <w:szCs w:val="18"/>
        </w:rPr>
        <w:t xml:space="preserve"> focuses purely on the simple description of battle</w:t>
      </w:r>
      <w:r w:rsidR="00F46E4A" w:rsidRPr="0079181E">
        <w:rPr>
          <w:sz w:val="18"/>
          <w:szCs w:val="18"/>
        </w:rPr>
        <w:t>, which leads one to prescribe to its authenticity and reliability</w:t>
      </w:r>
      <w:r w:rsidRPr="0079181E">
        <w:rPr>
          <w:sz w:val="18"/>
          <w:szCs w:val="18"/>
        </w:rPr>
        <w:t xml:space="preserve">. </w:t>
      </w:r>
    </w:p>
    <w:p w14:paraId="68AB3B04" w14:textId="639428CB" w:rsidR="00B45BD7" w:rsidRPr="0079181E" w:rsidRDefault="00B45BD7" w:rsidP="0079403D">
      <w:pPr>
        <w:ind w:firstLine="720"/>
        <w:rPr>
          <w:sz w:val="18"/>
          <w:szCs w:val="18"/>
        </w:rPr>
      </w:pPr>
      <w:r w:rsidRPr="0079181E">
        <w:rPr>
          <w:sz w:val="18"/>
          <w:szCs w:val="18"/>
        </w:rPr>
        <w:t>A</w:t>
      </w:r>
      <w:r w:rsidR="0095025A" w:rsidRPr="0079181E">
        <w:rPr>
          <w:sz w:val="18"/>
          <w:szCs w:val="18"/>
        </w:rPr>
        <w:t xml:space="preserve"> single</w:t>
      </w:r>
      <w:r w:rsidRPr="0079181E">
        <w:rPr>
          <w:sz w:val="18"/>
          <w:szCs w:val="18"/>
        </w:rPr>
        <w:t xml:space="preserve"> key element that one can distinguish from this extract is the lack of glorification in battle</w:t>
      </w:r>
      <w:r w:rsidR="0095025A" w:rsidRPr="0079181E">
        <w:rPr>
          <w:sz w:val="18"/>
          <w:szCs w:val="18"/>
        </w:rPr>
        <w:t xml:space="preserve">. </w:t>
      </w:r>
      <w:r w:rsidRPr="0079181E">
        <w:rPr>
          <w:sz w:val="18"/>
          <w:szCs w:val="18"/>
        </w:rPr>
        <w:t>Arrian is telling us the outcome of the battle from a somewhat unbiased point of view, he does not embellish his sources. As D. Leon discusses in his book, Arrian tells us the events of Alexanders life from a historical substance rather than a romanticised point of view.</w:t>
      </w:r>
      <w:r w:rsidRPr="0079181E">
        <w:rPr>
          <w:rStyle w:val="FootnoteReference"/>
          <w:sz w:val="18"/>
          <w:szCs w:val="18"/>
        </w:rPr>
        <w:footnoteReference w:id="22"/>
      </w:r>
      <w:r w:rsidRPr="0079181E">
        <w:rPr>
          <w:sz w:val="18"/>
          <w:szCs w:val="18"/>
        </w:rPr>
        <w:t xml:space="preserve"> Arrian may have not wanted to </w:t>
      </w:r>
      <w:r w:rsidR="00D02BA0">
        <w:rPr>
          <w:sz w:val="18"/>
          <w:szCs w:val="18"/>
        </w:rPr>
        <w:t>decorate</w:t>
      </w:r>
      <w:r w:rsidRPr="0079181E">
        <w:rPr>
          <w:sz w:val="18"/>
          <w:szCs w:val="18"/>
        </w:rPr>
        <w:t xml:space="preserve"> the feats of Alexander further, his accomplishments were already vast</w:t>
      </w:r>
      <w:r w:rsidR="0095025A" w:rsidRPr="0079181E">
        <w:rPr>
          <w:sz w:val="18"/>
          <w:szCs w:val="18"/>
        </w:rPr>
        <w:t>.</w:t>
      </w:r>
      <w:r w:rsidRPr="0079181E">
        <w:rPr>
          <w:sz w:val="18"/>
          <w:szCs w:val="18"/>
        </w:rPr>
        <w:t xml:space="preserve"> </w:t>
      </w:r>
      <w:r w:rsidR="0095025A" w:rsidRPr="0079181E">
        <w:rPr>
          <w:sz w:val="18"/>
          <w:szCs w:val="18"/>
        </w:rPr>
        <w:t>This element is backed up by the routed Persian Arsites, he was ashamed to the point that he commits suicide after fleeing from battle to Phrygia, this gives the extract an eerie sense of realism, and not one of a mythical embellishment.</w:t>
      </w:r>
      <w:r w:rsidR="0095025A" w:rsidRPr="0079181E">
        <w:rPr>
          <w:rStyle w:val="FootnoteReference"/>
          <w:sz w:val="18"/>
          <w:szCs w:val="18"/>
        </w:rPr>
        <w:footnoteReference w:id="23"/>
      </w:r>
    </w:p>
    <w:p w14:paraId="4E7BB72F" w14:textId="6B2A6553" w:rsidR="0095025A" w:rsidRPr="0079181E" w:rsidRDefault="0095025A" w:rsidP="0079403D">
      <w:pPr>
        <w:ind w:firstLine="720"/>
        <w:rPr>
          <w:sz w:val="18"/>
          <w:szCs w:val="18"/>
        </w:rPr>
      </w:pPr>
      <w:r w:rsidRPr="0079181E">
        <w:rPr>
          <w:sz w:val="18"/>
          <w:szCs w:val="18"/>
        </w:rPr>
        <w:t xml:space="preserve">The battle at Granicus </w:t>
      </w:r>
      <w:r w:rsidR="008459C6">
        <w:rPr>
          <w:sz w:val="18"/>
          <w:szCs w:val="18"/>
        </w:rPr>
        <w:t xml:space="preserve">originally </w:t>
      </w:r>
      <w:r w:rsidR="008D3660" w:rsidRPr="0079181E">
        <w:rPr>
          <w:sz w:val="18"/>
          <w:szCs w:val="18"/>
        </w:rPr>
        <w:t xml:space="preserve">favoured </w:t>
      </w:r>
      <w:r w:rsidRPr="0079181E">
        <w:rPr>
          <w:sz w:val="18"/>
          <w:szCs w:val="18"/>
        </w:rPr>
        <w:t xml:space="preserve">the Persian forces, </w:t>
      </w:r>
      <w:r w:rsidR="008D3660" w:rsidRPr="0079181E">
        <w:rPr>
          <w:sz w:val="18"/>
          <w:szCs w:val="18"/>
        </w:rPr>
        <w:t xml:space="preserve">a </w:t>
      </w:r>
      <w:r w:rsidRPr="0079181E">
        <w:rPr>
          <w:sz w:val="18"/>
          <w:szCs w:val="18"/>
        </w:rPr>
        <w:t>defen</w:t>
      </w:r>
      <w:r w:rsidR="008D3660" w:rsidRPr="0079181E">
        <w:rPr>
          <w:sz w:val="18"/>
          <w:szCs w:val="18"/>
        </w:rPr>
        <w:t>sive position across</w:t>
      </w:r>
      <w:r w:rsidRPr="0079181E">
        <w:rPr>
          <w:sz w:val="18"/>
          <w:szCs w:val="18"/>
        </w:rPr>
        <w:t xml:space="preserve"> the river from </w:t>
      </w:r>
      <w:r w:rsidR="008D3660" w:rsidRPr="0079181E">
        <w:rPr>
          <w:sz w:val="18"/>
          <w:szCs w:val="18"/>
        </w:rPr>
        <w:t>the Greeks</w:t>
      </w:r>
      <w:r w:rsidR="008459C6">
        <w:rPr>
          <w:sz w:val="18"/>
          <w:szCs w:val="18"/>
        </w:rPr>
        <w:t xml:space="preserve">. </w:t>
      </w:r>
      <w:r w:rsidRPr="0079181E">
        <w:rPr>
          <w:sz w:val="18"/>
          <w:szCs w:val="18"/>
        </w:rPr>
        <w:t xml:space="preserve">Alexander overcame this difficulty by </w:t>
      </w:r>
      <w:r w:rsidR="008459C6" w:rsidRPr="0079181E">
        <w:rPr>
          <w:sz w:val="18"/>
          <w:szCs w:val="18"/>
        </w:rPr>
        <w:t>arrogantly</w:t>
      </w:r>
      <w:r w:rsidR="008459C6" w:rsidRPr="0079181E">
        <w:rPr>
          <w:sz w:val="18"/>
          <w:szCs w:val="18"/>
        </w:rPr>
        <w:t xml:space="preserve"> </w:t>
      </w:r>
      <w:r w:rsidRPr="0079181E">
        <w:rPr>
          <w:sz w:val="18"/>
          <w:szCs w:val="18"/>
        </w:rPr>
        <w:t xml:space="preserve">ignoring his own advisors, and simply </w:t>
      </w:r>
      <w:r w:rsidR="008D3660" w:rsidRPr="0079181E">
        <w:rPr>
          <w:sz w:val="18"/>
          <w:szCs w:val="18"/>
        </w:rPr>
        <w:t>advanced to the Persians through the Granicus</w:t>
      </w:r>
      <w:r w:rsidRPr="0079181E">
        <w:rPr>
          <w:sz w:val="18"/>
          <w:szCs w:val="18"/>
        </w:rPr>
        <w:t>.</w:t>
      </w:r>
      <w:r w:rsidRPr="0079181E">
        <w:rPr>
          <w:rStyle w:val="FootnoteReference"/>
          <w:sz w:val="18"/>
          <w:szCs w:val="18"/>
        </w:rPr>
        <w:footnoteReference w:id="24"/>
      </w:r>
      <w:r w:rsidRPr="0079181E">
        <w:rPr>
          <w:sz w:val="18"/>
          <w:szCs w:val="18"/>
        </w:rPr>
        <w:t xml:space="preserve"> The companion cavalry of Alexander instead of chasing the routing Persian cavalry turned around and attacked the Persian mercenaries, what is being described in the battle </w:t>
      </w:r>
      <w:r w:rsidR="00BC1BFC" w:rsidRPr="0079181E">
        <w:rPr>
          <w:sz w:val="18"/>
          <w:szCs w:val="18"/>
        </w:rPr>
        <w:t xml:space="preserve">suggests </w:t>
      </w:r>
      <w:r w:rsidRPr="0079181E">
        <w:rPr>
          <w:sz w:val="18"/>
          <w:szCs w:val="18"/>
        </w:rPr>
        <w:t>a standard hammer and anvil tactic, the phalanx bearing down on the enemy from the front, and the companions attacking them unexpectedly from the rear or sides. Arrian’s homage to Alexanders tactical prowess in battle</w:t>
      </w:r>
      <w:r w:rsidR="000C544D">
        <w:rPr>
          <w:sz w:val="18"/>
          <w:szCs w:val="18"/>
        </w:rPr>
        <w:t xml:space="preserve"> is</w:t>
      </w:r>
      <w:r w:rsidRPr="0079181E">
        <w:rPr>
          <w:sz w:val="18"/>
          <w:szCs w:val="18"/>
        </w:rPr>
        <w:t xml:space="preserve"> basic description of his</w:t>
      </w:r>
      <w:r w:rsidR="000C544D">
        <w:rPr>
          <w:sz w:val="18"/>
          <w:szCs w:val="18"/>
        </w:rPr>
        <w:t xml:space="preserve"> excellent</w:t>
      </w:r>
      <w:r w:rsidRPr="0079181E">
        <w:rPr>
          <w:sz w:val="18"/>
          <w:szCs w:val="18"/>
        </w:rPr>
        <w:t xml:space="preserve"> military </w:t>
      </w:r>
      <w:r w:rsidR="008D3660" w:rsidRPr="0079181E">
        <w:rPr>
          <w:sz w:val="18"/>
          <w:szCs w:val="18"/>
        </w:rPr>
        <w:t>strategy</w:t>
      </w:r>
      <w:r w:rsidRPr="0079181E">
        <w:rPr>
          <w:sz w:val="18"/>
          <w:szCs w:val="18"/>
        </w:rPr>
        <w:t>, rather than a romanticised retelling of events with</w:t>
      </w:r>
      <w:r w:rsidR="00231BBD">
        <w:rPr>
          <w:sz w:val="18"/>
          <w:szCs w:val="18"/>
        </w:rPr>
        <w:t xml:space="preserve"> unnecessary</w:t>
      </w:r>
      <w:r w:rsidRPr="0079181E">
        <w:rPr>
          <w:sz w:val="18"/>
          <w:szCs w:val="18"/>
        </w:rPr>
        <w:t xml:space="preserve"> divine aid</w:t>
      </w:r>
      <w:r w:rsidR="00C06BFD">
        <w:rPr>
          <w:sz w:val="18"/>
          <w:szCs w:val="18"/>
        </w:rPr>
        <w:t>.</w:t>
      </w:r>
      <w:r w:rsidR="00E00146" w:rsidRPr="0079181E">
        <w:rPr>
          <w:sz w:val="18"/>
          <w:szCs w:val="18"/>
        </w:rPr>
        <w:t xml:space="preserve"> </w:t>
      </w:r>
      <w:r w:rsidR="00817900" w:rsidRPr="0079181E">
        <w:rPr>
          <w:sz w:val="18"/>
          <w:szCs w:val="18"/>
        </w:rPr>
        <w:t>I believe</w:t>
      </w:r>
      <w:r w:rsidR="00C06BFD">
        <w:rPr>
          <w:sz w:val="18"/>
          <w:szCs w:val="18"/>
        </w:rPr>
        <w:t xml:space="preserve"> this</w:t>
      </w:r>
      <w:r w:rsidR="00FA0D42">
        <w:rPr>
          <w:sz w:val="18"/>
          <w:szCs w:val="18"/>
        </w:rPr>
        <w:t xml:space="preserve"> short</w:t>
      </w:r>
      <w:r w:rsidR="00C06BFD">
        <w:rPr>
          <w:sz w:val="18"/>
          <w:szCs w:val="18"/>
        </w:rPr>
        <w:t xml:space="preserve"> extract of</w:t>
      </w:r>
      <w:r w:rsidR="00817900" w:rsidRPr="0079181E">
        <w:rPr>
          <w:sz w:val="18"/>
          <w:szCs w:val="18"/>
        </w:rPr>
        <w:t xml:space="preserve"> </w:t>
      </w:r>
      <w:r w:rsidR="00E00146" w:rsidRPr="0079181E">
        <w:rPr>
          <w:sz w:val="18"/>
          <w:szCs w:val="18"/>
        </w:rPr>
        <w:t xml:space="preserve">Arrian’s </w:t>
      </w:r>
      <w:r w:rsidR="00E00146" w:rsidRPr="0079181E">
        <w:rPr>
          <w:i/>
          <w:iCs/>
          <w:sz w:val="18"/>
          <w:szCs w:val="18"/>
        </w:rPr>
        <w:t>Anabasis Alexandri</w:t>
      </w:r>
      <w:r w:rsidR="00E00146" w:rsidRPr="0079181E">
        <w:rPr>
          <w:sz w:val="18"/>
          <w:szCs w:val="18"/>
        </w:rPr>
        <w:t xml:space="preserve"> is</w:t>
      </w:r>
      <w:r w:rsidR="00FA0D42">
        <w:rPr>
          <w:sz w:val="18"/>
          <w:szCs w:val="18"/>
        </w:rPr>
        <w:t xml:space="preserve"> a</w:t>
      </w:r>
      <w:r w:rsidR="00E00146" w:rsidRPr="0079181E">
        <w:rPr>
          <w:sz w:val="18"/>
          <w:szCs w:val="18"/>
        </w:rPr>
        <w:t xml:space="preserve"> reliable </w:t>
      </w:r>
      <w:r w:rsidR="00C06BFD">
        <w:rPr>
          <w:sz w:val="18"/>
          <w:szCs w:val="18"/>
        </w:rPr>
        <w:t xml:space="preserve">primary </w:t>
      </w:r>
      <w:r w:rsidR="00A70427">
        <w:rPr>
          <w:sz w:val="18"/>
          <w:szCs w:val="18"/>
        </w:rPr>
        <w:t xml:space="preserve">historical </w:t>
      </w:r>
      <w:r w:rsidR="00E00146" w:rsidRPr="0079181E">
        <w:rPr>
          <w:sz w:val="18"/>
          <w:szCs w:val="18"/>
        </w:rPr>
        <w:t>source</w:t>
      </w:r>
      <w:r w:rsidR="00FA0D42">
        <w:rPr>
          <w:sz w:val="18"/>
          <w:szCs w:val="18"/>
        </w:rPr>
        <w:t>, attributed to Arrian’s seemingly unbiased and logical nature</w:t>
      </w:r>
      <w:r w:rsidR="00185565">
        <w:rPr>
          <w:sz w:val="18"/>
          <w:szCs w:val="18"/>
        </w:rPr>
        <w:t xml:space="preserve"> that is conveyed through the material he writes</w:t>
      </w:r>
      <w:r w:rsidR="004B5820">
        <w:rPr>
          <w:sz w:val="18"/>
          <w:szCs w:val="18"/>
        </w:rPr>
        <w:t xml:space="preserve"> and his shrewd analysis of his sources</w:t>
      </w:r>
      <w:r w:rsidR="00E00146" w:rsidRPr="0079181E">
        <w:rPr>
          <w:sz w:val="18"/>
          <w:szCs w:val="18"/>
        </w:rPr>
        <w:t xml:space="preserve">. </w:t>
      </w:r>
      <w:r w:rsidRPr="0079181E">
        <w:rPr>
          <w:sz w:val="18"/>
          <w:szCs w:val="18"/>
        </w:rPr>
        <w:t xml:space="preserve">  </w:t>
      </w:r>
    </w:p>
    <w:p w14:paraId="0510C96A" w14:textId="340548E8" w:rsidR="0079403D" w:rsidRPr="0079181E" w:rsidRDefault="0079403D" w:rsidP="0079403D">
      <w:pPr>
        <w:rPr>
          <w:sz w:val="18"/>
          <w:szCs w:val="18"/>
        </w:rPr>
      </w:pPr>
      <w:r w:rsidRPr="0079181E">
        <w:rPr>
          <w:sz w:val="18"/>
          <w:szCs w:val="18"/>
        </w:rPr>
        <w:tab/>
      </w:r>
      <w:r w:rsidR="00074C84" w:rsidRPr="0079181E">
        <w:rPr>
          <w:sz w:val="18"/>
          <w:szCs w:val="18"/>
        </w:rPr>
        <w:t xml:space="preserve"> </w:t>
      </w:r>
    </w:p>
    <w:p w14:paraId="700BA998" w14:textId="77777777" w:rsidR="0079403D" w:rsidRDefault="0079403D" w:rsidP="0079403D"/>
    <w:p w14:paraId="0A7624FF" w14:textId="77777777" w:rsidR="0079403D" w:rsidRDefault="0079403D" w:rsidP="0079403D"/>
    <w:p w14:paraId="71760DD8" w14:textId="77777777" w:rsidR="0079403D" w:rsidRDefault="0079403D" w:rsidP="0079403D"/>
    <w:p w14:paraId="5661AC78" w14:textId="45EDEA0F" w:rsidR="0079403D" w:rsidRDefault="0079403D" w:rsidP="00FD0B2F"/>
    <w:p w14:paraId="53391405" w14:textId="77777777" w:rsidR="00D02BA0" w:rsidRDefault="00D02BA0" w:rsidP="00FD0B2F"/>
    <w:p w14:paraId="2B227F15" w14:textId="77777777" w:rsidR="0079181E" w:rsidRDefault="0079181E" w:rsidP="00FD0B2F"/>
    <w:p w14:paraId="193955EE" w14:textId="77777777" w:rsidR="00FD0B2F" w:rsidRDefault="00FD0B2F" w:rsidP="00FD0B2F">
      <w:pPr>
        <w:rPr>
          <w:sz w:val="36"/>
          <w:szCs w:val="36"/>
          <w:u w:val="single"/>
        </w:rPr>
      </w:pPr>
    </w:p>
    <w:p w14:paraId="7C2250C1" w14:textId="77777777" w:rsidR="0079403D" w:rsidRPr="00AB345A" w:rsidRDefault="0079403D" w:rsidP="0079403D">
      <w:pPr>
        <w:jc w:val="center"/>
        <w:rPr>
          <w:sz w:val="36"/>
          <w:szCs w:val="36"/>
          <w:u w:val="single"/>
        </w:rPr>
      </w:pPr>
      <w:r w:rsidRPr="00AB345A">
        <w:rPr>
          <w:sz w:val="36"/>
          <w:szCs w:val="36"/>
          <w:u w:val="single"/>
        </w:rPr>
        <w:lastRenderedPageBreak/>
        <w:t>Bibliography</w:t>
      </w:r>
    </w:p>
    <w:p w14:paraId="4B810229" w14:textId="77777777" w:rsidR="0079403D" w:rsidRPr="00AB345A" w:rsidRDefault="0079403D" w:rsidP="0079403D">
      <w:pPr>
        <w:rPr>
          <w:sz w:val="28"/>
          <w:szCs w:val="28"/>
          <w:u w:val="single"/>
        </w:rPr>
      </w:pPr>
      <w:r w:rsidRPr="00AB345A">
        <w:rPr>
          <w:sz w:val="28"/>
          <w:szCs w:val="28"/>
          <w:u w:val="single"/>
        </w:rPr>
        <w:t>Primary Sources,</w:t>
      </w:r>
    </w:p>
    <w:p w14:paraId="2F3CB716" w14:textId="77777777" w:rsidR="0079403D" w:rsidRPr="00BC1BFC" w:rsidRDefault="0079403D" w:rsidP="0079403D">
      <w:pPr>
        <w:rPr>
          <w:sz w:val="20"/>
          <w:szCs w:val="20"/>
        </w:rPr>
      </w:pPr>
    </w:p>
    <w:p w14:paraId="474898D0" w14:textId="77777777" w:rsidR="0079403D" w:rsidRPr="00BC1BFC" w:rsidRDefault="0079403D" w:rsidP="0079403D">
      <w:pPr>
        <w:rPr>
          <w:sz w:val="20"/>
          <w:szCs w:val="20"/>
        </w:rPr>
      </w:pPr>
      <w:r w:rsidRPr="00BC1BFC">
        <w:rPr>
          <w:sz w:val="20"/>
          <w:szCs w:val="20"/>
        </w:rPr>
        <w:t xml:space="preserve">Arrian, </w:t>
      </w:r>
      <w:r w:rsidRPr="00BC1BFC">
        <w:rPr>
          <w:i/>
          <w:iCs/>
          <w:sz w:val="20"/>
          <w:szCs w:val="20"/>
        </w:rPr>
        <w:t>Anabasis Alexandri</w:t>
      </w:r>
      <w:r w:rsidRPr="00BC1BFC">
        <w:rPr>
          <w:sz w:val="20"/>
          <w:szCs w:val="20"/>
        </w:rPr>
        <w:t>, ed. P. Brunt, Trans. P. Brunt, Anabasis Alexandri, Books 1-4., Revised [ed.] (Cambridge: Harvard University Press, 1976)</w:t>
      </w:r>
    </w:p>
    <w:p w14:paraId="471B4AE3" w14:textId="00AD2AD4" w:rsidR="0079403D" w:rsidRPr="00BC1BFC" w:rsidRDefault="0079403D" w:rsidP="0079403D">
      <w:pPr>
        <w:rPr>
          <w:sz w:val="20"/>
          <w:szCs w:val="20"/>
        </w:rPr>
      </w:pPr>
      <w:r w:rsidRPr="00BC1BFC">
        <w:rPr>
          <w:sz w:val="20"/>
          <w:szCs w:val="20"/>
        </w:rPr>
        <w:t xml:space="preserve">Arrian, </w:t>
      </w:r>
      <w:r w:rsidRPr="00BC1BFC">
        <w:rPr>
          <w:i/>
          <w:iCs/>
          <w:sz w:val="20"/>
          <w:szCs w:val="20"/>
        </w:rPr>
        <w:t>Anabasis of Alexander</w:t>
      </w:r>
      <w:r w:rsidRPr="00BC1BFC">
        <w:rPr>
          <w:sz w:val="20"/>
          <w:szCs w:val="20"/>
        </w:rPr>
        <w:t xml:space="preserve">, ed. E. Chinnock, Trans. E. Chinnock, Unpublished eBook, Available at </w:t>
      </w:r>
      <w:hyperlink r:id="rId6" w:history="1">
        <w:r w:rsidRPr="00BC1BFC">
          <w:rPr>
            <w:rStyle w:val="Hyperlink"/>
            <w:sz w:val="20"/>
            <w:szCs w:val="20"/>
          </w:rPr>
          <w:t>https://www.gutenberg.org/files/46976/46976-h/46976-h.htm</w:t>
        </w:r>
      </w:hyperlink>
      <w:r w:rsidRPr="00BC1BFC">
        <w:rPr>
          <w:sz w:val="20"/>
          <w:szCs w:val="20"/>
        </w:rPr>
        <w:t xml:space="preserve"> (Accessed: 01.03.2023)</w:t>
      </w:r>
    </w:p>
    <w:p w14:paraId="7D14D2CF" w14:textId="77777777" w:rsidR="0079403D" w:rsidRDefault="0079403D" w:rsidP="0079403D">
      <w:pPr>
        <w:rPr>
          <w:sz w:val="28"/>
          <w:szCs w:val="28"/>
          <w:u w:val="single"/>
        </w:rPr>
      </w:pPr>
    </w:p>
    <w:p w14:paraId="22E84211" w14:textId="77777777" w:rsidR="0079403D" w:rsidRPr="00AB345A" w:rsidRDefault="0079403D" w:rsidP="0079403D">
      <w:pPr>
        <w:rPr>
          <w:sz w:val="28"/>
          <w:szCs w:val="28"/>
          <w:u w:val="single"/>
        </w:rPr>
      </w:pPr>
      <w:r w:rsidRPr="00AB345A">
        <w:rPr>
          <w:sz w:val="28"/>
          <w:szCs w:val="28"/>
          <w:u w:val="single"/>
        </w:rPr>
        <w:t>Secondary Sources,</w:t>
      </w:r>
    </w:p>
    <w:p w14:paraId="433B4B2F" w14:textId="77777777" w:rsidR="0079403D" w:rsidRDefault="0079403D" w:rsidP="0079403D"/>
    <w:p w14:paraId="591DF5B0" w14:textId="77777777" w:rsidR="00BC1BFC" w:rsidRPr="00BC1BFC" w:rsidRDefault="00BC1BFC" w:rsidP="00BC1BFC">
      <w:pPr>
        <w:rPr>
          <w:sz w:val="20"/>
          <w:szCs w:val="20"/>
        </w:rPr>
      </w:pPr>
      <w:r w:rsidRPr="00BC1BFC">
        <w:rPr>
          <w:sz w:val="20"/>
          <w:szCs w:val="20"/>
        </w:rPr>
        <w:t xml:space="preserve">Bosworth, A., Arrian’s Literary Development, </w:t>
      </w:r>
      <w:r w:rsidRPr="00BC1BFC">
        <w:rPr>
          <w:i/>
          <w:iCs/>
          <w:sz w:val="20"/>
          <w:szCs w:val="20"/>
        </w:rPr>
        <w:t>The Classical Quarterly</w:t>
      </w:r>
      <w:r w:rsidRPr="00BC1BFC">
        <w:rPr>
          <w:sz w:val="20"/>
          <w:szCs w:val="20"/>
        </w:rPr>
        <w:t xml:space="preserve">, New Series, 22, 1, (1972), 163-185 </w:t>
      </w:r>
    </w:p>
    <w:p w14:paraId="78106975" w14:textId="77777777" w:rsidR="00BC1BFC" w:rsidRPr="00BC1BFC" w:rsidRDefault="00BC1BFC" w:rsidP="00BC1BFC">
      <w:pPr>
        <w:rPr>
          <w:sz w:val="20"/>
          <w:szCs w:val="20"/>
        </w:rPr>
      </w:pPr>
      <w:r w:rsidRPr="00BC1BFC">
        <w:rPr>
          <w:sz w:val="20"/>
          <w:szCs w:val="20"/>
        </w:rPr>
        <w:t xml:space="preserve">Harrer, G., Was Arrian Governor of Syria?, </w:t>
      </w:r>
      <w:r w:rsidRPr="00BC1BFC">
        <w:rPr>
          <w:i/>
          <w:iCs/>
          <w:sz w:val="20"/>
          <w:szCs w:val="20"/>
        </w:rPr>
        <w:t>Classical Philology,</w:t>
      </w:r>
      <w:r w:rsidRPr="00BC1BFC">
        <w:rPr>
          <w:sz w:val="20"/>
          <w:szCs w:val="20"/>
        </w:rPr>
        <w:t xml:space="preserve"> 11, 3, (1916) 338-339</w:t>
      </w:r>
    </w:p>
    <w:p w14:paraId="364AB3EF" w14:textId="77777777" w:rsidR="00BC1BFC" w:rsidRPr="00BC1BFC" w:rsidRDefault="00BC1BFC" w:rsidP="00BC1BFC">
      <w:pPr>
        <w:rPr>
          <w:sz w:val="20"/>
          <w:szCs w:val="20"/>
        </w:rPr>
      </w:pPr>
      <w:r w:rsidRPr="00BC1BFC">
        <w:rPr>
          <w:sz w:val="20"/>
          <w:szCs w:val="20"/>
        </w:rPr>
        <w:t xml:space="preserve">Leon, D., </w:t>
      </w:r>
      <w:r w:rsidRPr="00BC1BFC">
        <w:rPr>
          <w:i/>
          <w:iCs/>
          <w:sz w:val="20"/>
          <w:szCs w:val="20"/>
        </w:rPr>
        <w:t xml:space="preserve">Arrian the Historian, Writing the Greek Past in the Roman Empire, </w:t>
      </w:r>
      <w:r w:rsidRPr="00BC1BFC">
        <w:rPr>
          <w:sz w:val="20"/>
          <w:szCs w:val="20"/>
        </w:rPr>
        <w:t>(Austin: University of Texas Press, 2021)</w:t>
      </w:r>
    </w:p>
    <w:p w14:paraId="17456D89" w14:textId="3E13D0C6" w:rsidR="0079403D" w:rsidRPr="00BC1BFC" w:rsidRDefault="00BC1BFC" w:rsidP="0079403D">
      <w:pPr>
        <w:rPr>
          <w:sz w:val="20"/>
          <w:szCs w:val="20"/>
        </w:rPr>
      </w:pPr>
      <w:r w:rsidRPr="00BC1BFC">
        <w:rPr>
          <w:sz w:val="20"/>
          <w:szCs w:val="20"/>
        </w:rPr>
        <w:t xml:space="preserve">Stadter, P., </w:t>
      </w:r>
      <w:r w:rsidRPr="00BC1BFC">
        <w:rPr>
          <w:i/>
          <w:iCs/>
          <w:sz w:val="20"/>
          <w:szCs w:val="20"/>
        </w:rPr>
        <w:t>Arrian of Nicomedia,</w:t>
      </w:r>
      <w:r w:rsidRPr="00BC1BFC">
        <w:rPr>
          <w:sz w:val="20"/>
          <w:szCs w:val="20"/>
        </w:rPr>
        <w:t xml:space="preserve"> (Chapel Hill, The University of North Carolina Press, 1980)</w:t>
      </w:r>
    </w:p>
    <w:p w14:paraId="5D87E075" w14:textId="7C59E11E" w:rsidR="0079403D" w:rsidRPr="00BC1BFC" w:rsidRDefault="0079403D" w:rsidP="0079403D">
      <w:pPr>
        <w:rPr>
          <w:sz w:val="20"/>
          <w:szCs w:val="20"/>
        </w:rPr>
      </w:pPr>
      <w:r w:rsidRPr="00BC1BFC">
        <w:rPr>
          <w:sz w:val="20"/>
          <w:szCs w:val="20"/>
        </w:rPr>
        <w:t>Stadter</w:t>
      </w:r>
      <w:r w:rsidR="00BC1BFC" w:rsidRPr="00BC1BFC">
        <w:rPr>
          <w:sz w:val="20"/>
          <w:szCs w:val="20"/>
        </w:rPr>
        <w:t xml:space="preserve">, </w:t>
      </w:r>
      <w:r w:rsidR="00BC1BFC" w:rsidRPr="00BC1BFC">
        <w:rPr>
          <w:sz w:val="20"/>
          <w:szCs w:val="20"/>
        </w:rPr>
        <w:t>P.</w:t>
      </w:r>
      <w:r w:rsidRPr="00BC1BFC">
        <w:rPr>
          <w:sz w:val="20"/>
          <w:szCs w:val="20"/>
        </w:rPr>
        <w:t xml:space="preserve">, Review, </w:t>
      </w:r>
      <w:r w:rsidRPr="00BC1BFC">
        <w:rPr>
          <w:i/>
          <w:iCs/>
          <w:sz w:val="20"/>
          <w:szCs w:val="20"/>
        </w:rPr>
        <w:t xml:space="preserve">The Modern Language Journal, </w:t>
      </w:r>
      <w:r w:rsidRPr="00BC1BFC">
        <w:rPr>
          <w:sz w:val="20"/>
          <w:szCs w:val="20"/>
        </w:rPr>
        <w:t>57, 5/6, (1973), 279-280</w:t>
      </w:r>
    </w:p>
    <w:p w14:paraId="2A00EDBD" w14:textId="77777777" w:rsidR="00BC1BFC" w:rsidRPr="00BC1BFC" w:rsidRDefault="00BC1BFC" w:rsidP="00BC1BFC">
      <w:pPr>
        <w:rPr>
          <w:sz w:val="20"/>
          <w:szCs w:val="20"/>
        </w:rPr>
      </w:pPr>
      <w:r w:rsidRPr="00BC1BFC">
        <w:rPr>
          <w:sz w:val="20"/>
          <w:szCs w:val="20"/>
        </w:rPr>
        <w:t xml:space="preserve">Steele, R., The Method of Arrian in the Anabasis, </w:t>
      </w:r>
      <w:r w:rsidRPr="00BC1BFC">
        <w:rPr>
          <w:i/>
          <w:iCs/>
          <w:sz w:val="20"/>
          <w:szCs w:val="20"/>
        </w:rPr>
        <w:t>Classical Philology,</w:t>
      </w:r>
      <w:r w:rsidRPr="00BC1BFC">
        <w:rPr>
          <w:sz w:val="20"/>
          <w:szCs w:val="20"/>
        </w:rPr>
        <w:t xml:space="preserve"> 14, 2, (1919), 147-157</w:t>
      </w:r>
    </w:p>
    <w:p w14:paraId="5FF7FD04" w14:textId="77777777" w:rsidR="00BC1BFC" w:rsidRPr="00BC1BFC" w:rsidRDefault="00BC1BFC" w:rsidP="00BC1BFC">
      <w:pPr>
        <w:rPr>
          <w:sz w:val="20"/>
          <w:szCs w:val="20"/>
        </w:rPr>
      </w:pPr>
      <w:r w:rsidRPr="00BC1BFC">
        <w:rPr>
          <w:sz w:val="20"/>
          <w:szCs w:val="20"/>
        </w:rPr>
        <w:t xml:space="preserve">Syme, R., The Career of Arrian, </w:t>
      </w:r>
      <w:r w:rsidRPr="00BC1BFC">
        <w:rPr>
          <w:i/>
          <w:iCs/>
          <w:sz w:val="20"/>
          <w:szCs w:val="20"/>
        </w:rPr>
        <w:t>Harvard Studies in Classical Philology</w:t>
      </w:r>
      <w:r w:rsidRPr="00BC1BFC">
        <w:rPr>
          <w:sz w:val="20"/>
          <w:szCs w:val="20"/>
        </w:rPr>
        <w:t>, 86, (1982), 181-211</w:t>
      </w:r>
    </w:p>
    <w:p w14:paraId="72BC334F" w14:textId="77777777" w:rsidR="00BC1BFC" w:rsidRDefault="00BC1BFC"/>
    <w:sectPr w:rsidR="00BC1BFC" w:rsidSect="00C33C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F926F" w14:textId="77777777" w:rsidR="006F7320" w:rsidRDefault="006F7320" w:rsidP="000133EF">
      <w:pPr>
        <w:spacing w:after="0" w:line="240" w:lineRule="auto"/>
      </w:pPr>
      <w:r>
        <w:separator/>
      </w:r>
    </w:p>
  </w:endnote>
  <w:endnote w:type="continuationSeparator" w:id="0">
    <w:p w14:paraId="3EA74F87" w14:textId="77777777" w:rsidR="006F7320" w:rsidRDefault="006F7320" w:rsidP="000133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EDF82" w14:textId="77777777" w:rsidR="006F7320" w:rsidRDefault="006F7320" w:rsidP="000133EF">
      <w:pPr>
        <w:spacing w:after="0" w:line="240" w:lineRule="auto"/>
      </w:pPr>
      <w:r>
        <w:separator/>
      </w:r>
    </w:p>
  </w:footnote>
  <w:footnote w:type="continuationSeparator" w:id="0">
    <w:p w14:paraId="2864B979" w14:textId="77777777" w:rsidR="006F7320" w:rsidRDefault="006F7320" w:rsidP="000133EF">
      <w:pPr>
        <w:spacing w:after="0" w:line="240" w:lineRule="auto"/>
      </w:pPr>
      <w:r>
        <w:continuationSeparator/>
      </w:r>
    </w:p>
  </w:footnote>
  <w:footnote w:id="1">
    <w:p w14:paraId="60CA7B19" w14:textId="77777777" w:rsidR="000133EF" w:rsidRPr="00BC1BFC" w:rsidRDefault="000133EF" w:rsidP="000133EF">
      <w:pPr>
        <w:pStyle w:val="FootnoteText"/>
        <w:rPr>
          <w:sz w:val="16"/>
          <w:szCs w:val="16"/>
        </w:rPr>
      </w:pPr>
      <w:r w:rsidRPr="00BC1BFC">
        <w:rPr>
          <w:rStyle w:val="FootnoteReference"/>
          <w:sz w:val="16"/>
          <w:szCs w:val="16"/>
        </w:rPr>
        <w:footnoteRef/>
      </w:r>
      <w:r w:rsidRPr="00BC1BFC">
        <w:rPr>
          <w:sz w:val="16"/>
          <w:szCs w:val="16"/>
        </w:rPr>
        <w:t xml:space="preserve"> R. Syme, The Career of Arrian, </w:t>
      </w:r>
      <w:r w:rsidRPr="00BC1BFC">
        <w:rPr>
          <w:i/>
          <w:iCs/>
          <w:sz w:val="16"/>
          <w:szCs w:val="16"/>
        </w:rPr>
        <w:t>Harvard Studies in Classical Philology</w:t>
      </w:r>
      <w:r w:rsidRPr="00BC1BFC">
        <w:rPr>
          <w:sz w:val="16"/>
          <w:szCs w:val="16"/>
        </w:rPr>
        <w:t>, 86, (1982), 181-211, p. 210</w:t>
      </w:r>
    </w:p>
  </w:footnote>
  <w:footnote w:id="2">
    <w:p w14:paraId="52E1600C" w14:textId="77777777" w:rsidR="000133EF" w:rsidRPr="00BC1BFC" w:rsidRDefault="000133EF" w:rsidP="000133EF">
      <w:pPr>
        <w:pStyle w:val="FootnoteText"/>
        <w:rPr>
          <w:sz w:val="16"/>
          <w:szCs w:val="16"/>
        </w:rPr>
      </w:pPr>
      <w:r w:rsidRPr="00BC1BFC">
        <w:rPr>
          <w:rStyle w:val="FootnoteReference"/>
          <w:sz w:val="16"/>
          <w:szCs w:val="16"/>
        </w:rPr>
        <w:footnoteRef/>
      </w:r>
      <w:r w:rsidRPr="00BC1BFC">
        <w:rPr>
          <w:sz w:val="16"/>
          <w:szCs w:val="16"/>
        </w:rPr>
        <w:t xml:space="preserve"> Arrian, </w:t>
      </w:r>
      <w:r w:rsidRPr="00BC1BFC">
        <w:rPr>
          <w:i/>
          <w:iCs/>
          <w:sz w:val="16"/>
          <w:szCs w:val="16"/>
        </w:rPr>
        <w:t>Anabasis Alexandri</w:t>
      </w:r>
      <w:r w:rsidRPr="00BC1BFC">
        <w:rPr>
          <w:sz w:val="16"/>
          <w:szCs w:val="16"/>
        </w:rPr>
        <w:t>, ed. P. Brunt, Trans. P. Brunt, Anabasis Alexandri, Books 1-4., Revised [ed.] (Cambridge: Harvard University Press, 1976) p. ix; Syme,</w:t>
      </w:r>
      <w:r w:rsidRPr="00BC1BFC">
        <w:rPr>
          <w:i/>
          <w:iCs/>
          <w:sz w:val="16"/>
          <w:szCs w:val="16"/>
        </w:rPr>
        <w:t xml:space="preserve"> Harvard Studies in Classical Philology</w:t>
      </w:r>
      <w:r w:rsidRPr="00BC1BFC">
        <w:rPr>
          <w:sz w:val="16"/>
          <w:szCs w:val="16"/>
        </w:rPr>
        <w:t>, p. 184</w:t>
      </w:r>
    </w:p>
  </w:footnote>
  <w:footnote w:id="3">
    <w:p w14:paraId="2B2E90C4" w14:textId="77777777" w:rsidR="000133EF" w:rsidRPr="00BC1BFC" w:rsidRDefault="000133EF" w:rsidP="000133EF">
      <w:pPr>
        <w:pStyle w:val="FootnoteText"/>
        <w:rPr>
          <w:sz w:val="16"/>
          <w:szCs w:val="16"/>
        </w:rPr>
      </w:pPr>
      <w:r w:rsidRPr="00BC1BFC">
        <w:rPr>
          <w:rStyle w:val="FootnoteReference"/>
          <w:sz w:val="16"/>
          <w:szCs w:val="16"/>
        </w:rPr>
        <w:footnoteRef/>
      </w:r>
      <w:r w:rsidRPr="00BC1BFC">
        <w:rPr>
          <w:sz w:val="16"/>
          <w:szCs w:val="16"/>
        </w:rPr>
        <w:t xml:space="preserve"> G. Harrer, Was Arrian Governor of Syria?, </w:t>
      </w:r>
      <w:r w:rsidRPr="00BC1BFC">
        <w:rPr>
          <w:i/>
          <w:iCs/>
          <w:sz w:val="16"/>
          <w:szCs w:val="16"/>
        </w:rPr>
        <w:t>Classical Philology,</w:t>
      </w:r>
      <w:r w:rsidRPr="00BC1BFC">
        <w:rPr>
          <w:sz w:val="16"/>
          <w:szCs w:val="16"/>
        </w:rPr>
        <w:t xml:space="preserve"> 11, 3, (1916) 338-339, pp. 338-339; Syme,</w:t>
      </w:r>
      <w:r w:rsidRPr="00BC1BFC">
        <w:rPr>
          <w:i/>
          <w:iCs/>
          <w:sz w:val="16"/>
          <w:szCs w:val="16"/>
        </w:rPr>
        <w:t xml:space="preserve"> Harvard Studies in Classical Philology</w:t>
      </w:r>
      <w:r w:rsidRPr="00BC1BFC">
        <w:rPr>
          <w:sz w:val="16"/>
          <w:szCs w:val="16"/>
        </w:rPr>
        <w:t>, pp. 203-204</w:t>
      </w:r>
    </w:p>
  </w:footnote>
  <w:footnote w:id="4">
    <w:p w14:paraId="66FB01F1" w14:textId="77777777" w:rsidR="00F46E4A" w:rsidRPr="00BC1BFC" w:rsidRDefault="00F46E4A" w:rsidP="00F46E4A">
      <w:pPr>
        <w:pStyle w:val="FootnoteText"/>
        <w:rPr>
          <w:sz w:val="16"/>
          <w:szCs w:val="16"/>
        </w:rPr>
      </w:pPr>
      <w:r w:rsidRPr="00BC1BFC">
        <w:rPr>
          <w:rStyle w:val="FootnoteReference"/>
          <w:sz w:val="16"/>
          <w:szCs w:val="16"/>
        </w:rPr>
        <w:footnoteRef/>
      </w:r>
      <w:r w:rsidRPr="00BC1BFC">
        <w:rPr>
          <w:sz w:val="16"/>
          <w:szCs w:val="16"/>
        </w:rPr>
        <w:t xml:space="preserve"> Syme, </w:t>
      </w:r>
      <w:r w:rsidRPr="00BC1BFC">
        <w:rPr>
          <w:i/>
          <w:iCs/>
          <w:sz w:val="16"/>
          <w:szCs w:val="16"/>
        </w:rPr>
        <w:t>Harvard Studies in Classical Philology</w:t>
      </w:r>
      <w:r w:rsidRPr="00BC1BFC">
        <w:rPr>
          <w:sz w:val="16"/>
          <w:szCs w:val="16"/>
        </w:rPr>
        <w:t>, p. 190</w:t>
      </w:r>
    </w:p>
  </w:footnote>
  <w:footnote w:id="5">
    <w:p w14:paraId="347471F7" w14:textId="1A7A783D" w:rsidR="000133EF" w:rsidRPr="00BC1BFC" w:rsidRDefault="000133EF" w:rsidP="000133EF">
      <w:pPr>
        <w:pStyle w:val="FootnoteText"/>
        <w:rPr>
          <w:sz w:val="16"/>
          <w:szCs w:val="16"/>
        </w:rPr>
      </w:pPr>
      <w:r w:rsidRPr="00BC1BFC">
        <w:rPr>
          <w:rStyle w:val="FootnoteReference"/>
          <w:sz w:val="16"/>
          <w:szCs w:val="16"/>
        </w:rPr>
        <w:footnoteRef/>
      </w:r>
      <w:r w:rsidRPr="00BC1BFC">
        <w:rPr>
          <w:sz w:val="16"/>
          <w:szCs w:val="16"/>
        </w:rPr>
        <w:t xml:space="preserve"> </w:t>
      </w:r>
      <w:r w:rsidR="00D102A5" w:rsidRPr="00BC1BFC">
        <w:rPr>
          <w:sz w:val="16"/>
          <w:szCs w:val="16"/>
        </w:rPr>
        <w:t xml:space="preserve">D. Leon, </w:t>
      </w:r>
      <w:r w:rsidR="00D102A5" w:rsidRPr="00BC1BFC">
        <w:rPr>
          <w:i/>
          <w:iCs/>
          <w:sz w:val="16"/>
          <w:szCs w:val="16"/>
        </w:rPr>
        <w:t xml:space="preserve">Arrian the Historian, Writing the Greek Past in the Roman Empire, </w:t>
      </w:r>
      <w:r w:rsidR="00D102A5" w:rsidRPr="00BC1BFC">
        <w:rPr>
          <w:sz w:val="16"/>
          <w:szCs w:val="16"/>
        </w:rPr>
        <w:t>(Austin: University of Texas Press, 2021), 2-3</w:t>
      </w:r>
    </w:p>
  </w:footnote>
  <w:footnote w:id="6">
    <w:p w14:paraId="386BEAE7" w14:textId="3FBA8CE6" w:rsidR="0079403D" w:rsidRPr="00BC1BFC" w:rsidRDefault="0079403D" w:rsidP="00D102A5">
      <w:pPr>
        <w:pStyle w:val="NoSpacing"/>
        <w:rPr>
          <w:sz w:val="16"/>
          <w:szCs w:val="16"/>
        </w:rPr>
      </w:pPr>
      <w:r w:rsidRPr="00BC1BFC">
        <w:rPr>
          <w:rStyle w:val="FootnoteReference"/>
          <w:sz w:val="16"/>
          <w:szCs w:val="16"/>
        </w:rPr>
        <w:footnoteRef/>
      </w:r>
      <w:r w:rsidRPr="00BC1BFC">
        <w:rPr>
          <w:sz w:val="16"/>
          <w:szCs w:val="16"/>
        </w:rPr>
        <w:t xml:space="preserve"> Syme, Harvard Studies in Classical Philology, p. 186</w:t>
      </w:r>
      <w:r w:rsidR="00D102A5" w:rsidRPr="00BC1BFC">
        <w:rPr>
          <w:sz w:val="16"/>
          <w:szCs w:val="16"/>
        </w:rPr>
        <w:t xml:space="preserve">; Leon, </w:t>
      </w:r>
      <w:r w:rsidR="00D102A5" w:rsidRPr="00BC1BFC">
        <w:rPr>
          <w:i/>
          <w:iCs/>
          <w:sz w:val="16"/>
          <w:szCs w:val="16"/>
        </w:rPr>
        <w:t>Arrian the Historian, Writing the Greek Past in the Roman Empire</w:t>
      </w:r>
      <w:r w:rsidR="00D102A5" w:rsidRPr="00BC1BFC">
        <w:rPr>
          <w:sz w:val="16"/>
          <w:szCs w:val="16"/>
        </w:rPr>
        <w:t>, pp. 87-88</w:t>
      </w:r>
    </w:p>
  </w:footnote>
  <w:footnote w:id="7">
    <w:p w14:paraId="1F1F72DE" w14:textId="39437A59" w:rsidR="0079403D" w:rsidRPr="00BC1BFC" w:rsidRDefault="0079403D" w:rsidP="0079403D">
      <w:pPr>
        <w:pStyle w:val="FootnoteText"/>
        <w:rPr>
          <w:sz w:val="16"/>
          <w:szCs w:val="16"/>
        </w:rPr>
      </w:pPr>
      <w:r w:rsidRPr="00BC1BFC">
        <w:rPr>
          <w:rStyle w:val="FootnoteReference"/>
          <w:sz w:val="16"/>
          <w:szCs w:val="16"/>
        </w:rPr>
        <w:footnoteRef/>
      </w:r>
      <w:r w:rsidRPr="00BC1BFC">
        <w:rPr>
          <w:sz w:val="16"/>
          <w:szCs w:val="16"/>
        </w:rPr>
        <w:t xml:space="preserve"> Arrian, </w:t>
      </w:r>
      <w:r w:rsidRPr="00BC1BFC">
        <w:rPr>
          <w:i/>
          <w:iCs/>
          <w:sz w:val="16"/>
          <w:szCs w:val="16"/>
        </w:rPr>
        <w:t>Anabasis of Alexander</w:t>
      </w:r>
      <w:r w:rsidRPr="00BC1BFC">
        <w:rPr>
          <w:sz w:val="16"/>
          <w:szCs w:val="16"/>
        </w:rPr>
        <w:t xml:space="preserve">, ed. E. Chinnock, Trans. E. Chinnock, Unpublished eBook, Available at </w:t>
      </w:r>
      <w:hyperlink r:id="rId1" w:history="1">
        <w:r w:rsidRPr="00BC1BFC">
          <w:rPr>
            <w:rStyle w:val="Hyperlink"/>
            <w:sz w:val="16"/>
            <w:szCs w:val="16"/>
          </w:rPr>
          <w:t>https://www.gutenberg.org/files/46976/46976-h/46976-h.htm</w:t>
        </w:r>
      </w:hyperlink>
      <w:r w:rsidRPr="00BC1BFC">
        <w:rPr>
          <w:sz w:val="16"/>
          <w:szCs w:val="16"/>
        </w:rPr>
        <w:t xml:space="preserve"> (Accessed: 01.03.2023), p. 1;</w:t>
      </w:r>
      <w:r w:rsidR="00BC1BFC">
        <w:rPr>
          <w:sz w:val="16"/>
          <w:szCs w:val="16"/>
        </w:rPr>
        <w:t xml:space="preserve"> </w:t>
      </w:r>
      <w:r w:rsidRPr="00BC1BFC">
        <w:rPr>
          <w:sz w:val="16"/>
          <w:szCs w:val="16"/>
        </w:rPr>
        <w:t xml:space="preserve">Syme, </w:t>
      </w:r>
      <w:r w:rsidRPr="00BC1BFC">
        <w:rPr>
          <w:i/>
          <w:iCs/>
          <w:sz w:val="16"/>
          <w:szCs w:val="16"/>
        </w:rPr>
        <w:t>Harvard Studies in Classical Philology</w:t>
      </w:r>
      <w:r w:rsidRPr="00BC1BFC">
        <w:rPr>
          <w:sz w:val="16"/>
          <w:szCs w:val="16"/>
        </w:rPr>
        <w:t xml:space="preserve">, p. 206; Leon, </w:t>
      </w:r>
      <w:r w:rsidRPr="00BC1BFC">
        <w:rPr>
          <w:i/>
          <w:iCs/>
          <w:sz w:val="16"/>
          <w:szCs w:val="16"/>
        </w:rPr>
        <w:t>Arrian the Historian, Writing the Greek Past in the Roman Empire</w:t>
      </w:r>
      <w:r w:rsidR="00BC1BFC">
        <w:rPr>
          <w:i/>
          <w:iCs/>
          <w:sz w:val="16"/>
          <w:szCs w:val="16"/>
        </w:rPr>
        <w:t xml:space="preserve">, </w:t>
      </w:r>
      <w:r w:rsidRPr="00BC1BFC">
        <w:rPr>
          <w:sz w:val="16"/>
          <w:szCs w:val="16"/>
        </w:rPr>
        <w:t>pp. 33-34</w:t>
      </w:r>
      <w:r w:rsidR="009805C4" w:rsidRPr="00BC1BFC">
        <w:rPr>
          <w:sz w:val="16"/>
          <w:szCs w:val="16"/>
        </w:rPr>
        <w:t>, 39</w:t>
      </w:r>
    </w:p>
  </w:footnote>
  <w:footnote w:id="8">
    <w:p w14:paraId="1486650D" w14:textId="598BAC39" w:rsidR="0079403D" w:rsidRPr="00BC1BFC" w:rsidRDefault="0079403D" w:rsidP="0079403D">
      <w:pPr>
        <w:pStyle w:val="FootnoteText"/>
        <w:rPr>
          <w:sz w:val="16"/>
          <w:szCs w:val="16"/>
        </w:rPr>
      </w:pPr>
      <w:r w:rsidRPr="00BC1BFC">
        <w:rPr>
          <w:rStyle w:val="FootnoteReference"/>
          <w:sz w:val="16"/>
          <w:szCs w:val="16"/>
        </w:rPr>
        <w:footnoteRef/>
      </w:r>
      <w:r w:rsidRPr="00BC1BFC">
        <w:rPr>
          <w:sz w:val="16"/>
          <w:szCs w:val="16"/>
        </w:rPr>
        <w:t xml:space="preserve"> </w:t>
      </w:r>
      <w:r w:rsidR="000B4416" w:rsidRPr="00BC1BFC">
        <w:rPr>
          <w:sz w:val="16"/>
          <w:szCs w:val="16"/>
        </w:rPr>
        <w:t xml:space="preserve"> Arrian, </w:t>
      </w:r>
      <w:r w:rsidR="000B4416" w:rsidRPr="00BC1BFC">
        <w:rPr>
          <w:i/>
          <w:iCs/>
          <w:sz w:val="16"/>
          <w:szCs w:val="16"/>
        </w:rPr>
        <w:t>Anabasis Alexandri</w:t>
      </w:r>
      <w:r w:rsidR="000B4416" w:rsidRPr="00BC1BFC">
        <w:rPr>
          <w:sz w:val="16"/>
          <w:szCs w:val="16"/>
        </w:rPr>
        <w:t xml:space="preserve"> , pp. xiii-xiv</w:t>
      </w:r>
    </w:p>
  </w:footnote>
  <w:footnote w:id="9">
    <w:p w14:paraId="63C68E41" w14:textId="4E32D2CA" w:rsidR="00B45BD7" w:rsidRPr="00BC1BFC" w:rsidRDefault="00B45BD7" w:rsidP="00B45BD7">
      <w:pPr>
        <w:pStyle w:val="FootnoteText"/>
        <w:rPr>
          <w:sz w:val="16"/>
          <w:szCs w:val="16"/>
        </w:rPr>
      </w:pPr>
      <w:r w:rsidRPr="00BC1BFC">
        <w:rPr>
          <w:rStyle w:val="FootnoteReference"/>
          <w:sz w:val="16"/>
          <w:szCs w:val="16"/>
        </w:rPr>
        <w:footnoteRef/>
      </w:r>
      <w:r w:rsidRPr="00BC1BFC">
        <w:rPr>
          <w:sz w:val="16"/>
          <w:szCs w:val="16"/>
        </w:rPr>
        <w:t xml:space="preserve"> P. Stadter, </w:t>
      </w:r>
      <w:r w:rsidRPr="00BC1BFC">
        <w:rPr>
          <w:i/>
          <w:iCs/>
          <w:sz w:val="16"/>
          <w:szCs w:val="16"/>
        </w:rPr>
        <w:t>Arrian of Nicomedia</w:t>
      </w:r>
      <w:r w:rsidRPr="00BC1BFC">
        <w:rPr>
          <w:sz w:val="16"/>
          <w:szCs w:val="16"/>
        </w:rPr>
        <w:t xml:space="preserve">, </w:t>
      </w:r>
      <w:r w:rsidR="00653AAF" w:rsidRPr="00BC1BFC">
        <w:rPr>
          <w:sz w:val="16"/>
          <w:szCs w:val="16"/>
        </w:rPr>
        <w:t>(Chapel Hill: The University of North Carolina Press, 1980)</w:t>
      </w:r>
      <w:r w:rsidR="00653AAF">
        <w:rPr>
          <w:sz w:val="16"/>
          <w:szCs w:val="16"/>
        </w:rPr>
        <w:t>,</w:t>
      </w:r>
      <w:r w:rsidR="00653AAF" w:rsidRPr="00BC1BFC">
        <w:rPr>
          <w:i/>
          <w:iCs/>
          <w:sz w:val="16"/>
          <w:szCs w:val="16"/>
        </w:rPr>
        <w:t xml:space="preserve"> </w:t>
      </w:r>
      <w:r w:rsidRPr="00BC1BFC">
        <w:rPr>
          <w:sz w:val="16"/>
          <w:szCs w:val="16"/>
        </w:rPr>
        <w:t>pp. 13-14</w:t>
      </w:r>
    </w:p>
  </w:footnote>
  <w:footnote w:id="10">
    <w:p w14:paraId="5A032184" w14:textId="77777777" w:rsidR="0079403D" w:rsidRPr="00BC1BFC" w:rsidRDefault="0079403D" w:rsidP="0079403D">
      <w:pPr>
        <w:pStyle w:val="FootnoteText"/>
        <w:rPr>
          <w:sz w:val="16"/>
          <w:szCs w:val="16"/>
        </w:rPr>
      </w:pPr>
      <w:r w:rsidRPr="00BC1BFC">
        <w:rPr>
          <w:rStyle w:val="FootnoteReference"/>
          <w:sz w:val="16"/>
          <w:szCs w:val="16"/>
        </w:rPr>
        <w:footnoteRef/>
      </w:r>
      <w:r w:rsidRPr="00BC1BFC">
        <w:rPr>
          <w:sz w:val="16"/>
          <w:szCs w:val="16"/>
        </w:rPr>
        <w:t xml:space="preserve"> Arrian, </w:t>
      </w:r>
      <w:r w:rsidRPr="00BC1BFC">
        <w:rPr>
          <w:i/>
          <w:iCs/>
          <w:sz w:val="16"/>
          <w:szCs w:val="16"/>
        </w:rPr>
        <w:t>Anabasis Alexandri,</w:t>
      </w:r>
      <w:r w:rsidRPr="00BC1BFC">
        <w:rPr>
          <w:sz w:val="16"/>
          <w:szCs w:val="16"/>
        </w:rPr>
        <w:t xml:space="preserve"> pp. 65-67</w:t>
      </w:r>
    </w:p>
  </w:footnote>
  <w:footnote w:id="11">
    <w:p w14:paraId="4529A9E2" w14:textId="77777777" w:rsidR="0079403D" w:rsidRPr="00BC1BFC" w:rsidRDefault="0079403D" w:rsidP="0079403D">
      <w:pPr>
        <w:pStyle w:val="FootnoteText"/>
        <w:rPr>
          <w:sz w:val="16"/>
          <w:szCs w:val="16"/>
        </w:rPr>
      </w:pPr>
      <w:r w:rsidRPr="00BC1BFC">
        <w:rPr>
          <w:rStyle w:val="FootnoteReference"/>
          <w:sz w:val="16"/>
          <w:szCs w:val="16"/>
        </w:rPr>
        <w:footnoteRef/>
      </w:r>
      <w:r w:rsidRPr="00BC1BFC">
        <w:rPr>
          <w:sz w:val="16"/>
          <w:szCs w:val="16"/>
        </w:rPr>
        <w:t xml:space="preserve"> Arrian, </w:t>
      </w:r>
      <w:r w:rsidRPr="00BC1BFC">
        <w:rPr>
          <w:i/>
          <w:iCs/>
          <w:sz w:val="16"/>
          <w:szCs w:val="16"/>
        </w:rPr>
        <w:t xml:space="preserve">Anabasis Alexandri, </w:t>
      </w:r>
      <w:r w:rsidRPr="00BC1BFC">
        <w:rPr>
          <w:sz w:val="16"/>
          <w:szCs w:val="16"/>
        </w:rPr>
        <w:t xml:space="preserve">p. 3; R. Steele, The Method of Arrian in the Anabasis, </w:t>
      </w:r>
      <w:r w:rsidRPr="00BC1BFC">
        <w:rPr>
          <w:i/>
          <w:iCs/>
          <w:sz w:val="16"/>
          <w:szCs w:val="16"/>
        </w:rPr>
        <w:t>Classical Philology,</w:t>
      </w:r>
      <w:r w:rsidRPr="00BC1BFC">
        <w:rPr>
          <w:sz w:val="16"/>
          <w:szCs w:val="16"/>
        </w:rPr>
        <w:t xml:space="preserve"> 14, 2, (1919), 147-157, p. 147</w:t>
      </w:r>
    </w:p>
  </w:footnote>
  <w:footnote w:id="12">
    <w:p w14:paraId="4E406127" w14:textId="4B2A9623" w:rsidR="0052210C" w:rsidRPr="00BC1BFC" w:rsidRDefault="0052210C" w:rsidP="0052210C">
      <w:pPr>
        <w:pStyle w:val="NoSpacing"/>
        <w:rPr>
          <w:sz w:val="16"/>
          <w:szCs w:val="16"/>
        </w:rPr>
      </w:pPr>
      <w:r w:rsidRPr="00BC1BFC">
        <w:rPr>
          <w:rStyle w:val="FootnoteReference"/>
          <w:sz w:val="16"/>
          <w:szCs w:val="16"/>
        </w:rPr>
        <w:footnoteRef/>
      </w:r>
      <w:r w:rsidRPr="00BC1BFC">
        <w:rPr>
          <w:sz w:val="16"/>
          <w:szCs w:val="16"/>
        </w:rPr>
        <w:t xml:space="preserve"> Leon, Arrian the Historian, Writing the Greek Past in the Roman Empire</w:t>
      </w:r>
      <w:r w:rsidR="00BC1BFC">
        <w:rPr>
          <w:sz w:val="16"/>
          <w:szCs w:val="16"/>
        </w:rPr>
        <w:t xml:space="preserve">, pp. </w:t>
      </w:r>
      <w:r w:rsidRPr="00BC1BFC">
        <w:rPr>
          <w:sz w:val="16"/>
          <w:szCs w:val="16"/>
        </w:rPr>
        <w:t>115-121</w:t>
      </w:r>
    </w:p>
  </w:footnote>
  <w:footnote w:id="13">
    <w:p w14:paraId="0F49330B" w14:textId="49C6B881" w:rsidR="000B4416" w:rsidRPr="00BC1BFC" w:rsidRDefault="000B4416" w:rsidP="000B4416">
      <w:pPr>
        <w:pStyle w:val="FootnoteText"/>
        <w:rPr>
          <w:sz w:val="16"/>
          <w:szCs w:val="16"/>
        </w:rPr>
      </w:pPr>
      <w:r w:rsidRPr="00BC1BFC">
        <w:rPr>
          <w:rStyle w:val="FootnoteReference"/>
          <w:sz w:val="16"/>
          <w:szCs w:val="16"/>
        </w:rPr>
        <w:footnoteRef/>
      </w:r>
      <w:r w:rsidRPr="00BC1BFC">
        <w:rPr>
          <w:sz w:val="16"/>
          <w:szCs w:val="16"/>
        </w:rPr>
        <w:t xml:space="preserve"> A. Bosworth, Arrian’s Literary Development, </w:t>
      </w:r>
      <w:r w:rsidRPr="00BC1BFC">
        <w:rPr>
          <w:i/>
          <w:iCs/>
          <w:sz w:val="16"/>
          <w:szCs w:val="16"/>
        </w:rPr>
        <w:t xml:space="preserve">The Classical Quarterly, </w:t>
      </w:r>
      <w:r w:rsidRPr="00BC1BFC">
        <w:rPr>
          <w:sz w:val="16"/>
          <w:szCs w:val="16"/>
        </w:rPr>
        <w:t>New Series, 22, 1, (1972), 163-185, p. 172</w:t>
      </w:r>
    </w:p>
  </w:footnote>
  <w:footnote w:id="14">
    <w:p w14:paraId="017B4B94" w14:textId="186300E9" w:rsidR="0079403D" w:rsidRPr="00BC1BFC" w:rsidRDefault="0079403D" w:rsidP="0079403D">
      <w:pPr>
        <w:pStyle w:val="FootnoteText"/>
        <w:rPr>
          <w:sz w:val="16"/>
          <w:szCs w:val="16"/>
        </w:rPr>
      </w:pPr>
      <w:r w:rsidRPr="00BC1BFC">
        <w:rPr>
          <w:rStyle w:val="FootnoteReference"/>
          <w:sz w:val="16"/>
          <w:szCs w:val="16"/>
        </w:rPr>
        <w:footnoteRef/>
      </w:r>
      <w:r w:rsidRPr="00BC1BFC">
        <w:rPr>
          <w:sz w:val="16"/>
          <w:szCs w:val="16"/>
        </w:rPr>
        <w:t xml:space="preserve"> Bosworth, </w:t>
      </w:r>
      <w:r w:rsidRPr="00BC1BFC">
        <w:rPr>
          <w:i/>
          <w:iCs/>
          <w:sz w:val="16"/>
          <w:szCs w:val="16"/>
        </w:rPr>
        <w:t>The Classical Quarterly</w:t>
      </w:r>
      <w:r w:rsidRPr="00BC1BFC">
        <w:rPr>
          <w:sz w:val="16"/>
          <w:szCs w:val="16"/>
        </w:rPr>
        <w:t>, p. 181</w:t>
      </w:r>
    </w:p>
  </w:footnote>
  <w:footnote w:id="15">
    <w:p w14:paraId="720F2209" w14:textId="21F4C136" w:rsidR="0079403D" w:rsidRPr="00BC1BFC" w:rsidRDefault="0079403D" w:rsidP="0079403D">
      <w:pPr>
        <w:pStyle w:val="FootnoteText"/>
        <w:rPr>
          <w:sz w:val="16"/>
          <w:szCs w:val="16"/>
        </w:rPr>
      </w:pPr>
      <w:r w:rsidRPr="00BC1BFC">
        <w:rPr>
          <w:rStyle w:val="FootnoteReference"/>
          <w:sz w:val="16"/>
          <w:szCs w:val="16"/>
        </w:rPr>
        <w:footnoteRef/>
      </w:r>
      <w:r w:rsidRPr="00BC1BFC">
        <w:rPr>
          <w:sz w:val="16"/>
          <w:szCs w:val="16"/>
        </w:rPr>
        <w:t xml:space="preserve"> Bosworth, </w:t>
      </w:r>
      <w:r w:rsidRPr="00BC1BFC">
        <w:rPr>
          <w:i/>
          <w:iCs/>
          <w:sz w:val="16"/>
          <w:szCs w:val="16"/>
        </w:rPr>
        <w:t xml:space="preserve">The Classical Quarterly, </w:t>
      </w:r>
      <w:r w:rsidRPr="00BC1BFC">
        <w:rPr>
          <w:sz w:val="16"/>
          <w:szCs w:val="16"/>
        </w:rPr>
        <w:t>pp. 172-182</w:t>
      </w:r>
    </w:p>
  </w:footnote>
  <w:footnote w:id="16">
    <w:p w14:paraId="4C8C6F15" w14:textId="77777777" w:rsidR="00B45BD7" w:rsidRPr="00BC1BFC" w:rsidRDefault="00B45BD7" w:rsidP="00B45BD7">
      <w:pPr>
        <w:pStyle w:val="FootnoteText"/>
        <w:rPr>
          <w:sz w:val="16"/>
          <w:szCs w:val="16"/>
        </w:rPr>
      </w:pPr>
      <w:r w:rsidRPr="00BC1BFC">
        <w:rPr>
          <w:rStyle w:val="FootnoteReference"/>
          <w:sz w:val="16"/>
          <w:szCs w:val="16"/>
        </w:rPr>
        <w:footnoteRef/>
      </w:r>
      <w:r w:rsidRPr="00BC1BFC">
        <w:rPr>
          <w:sz w:val="16"/>
          <w:szCs w:val="16"/>
        </w:rPr>
        <w:t xml:space="preserve"> Arrian, </w:t>
      </w:r>
      <w:r w:rsidRPr="00BC1BFC">
        <w:rPr>
          <w:i/>
          <w:iCs/>
          <w:sz w:val="16"/>
          <w:szCs w:val="16"/>
        </w:rPr>
        <w:t>Anabasis Alexandri,</w:t>
      </w:r>
      <w:r w:rsidRPr="00BC1BFC">
        <w:rPr>
          <w:sz w:val="16"/>
          <w:szCs w:val="16"/>
        </w:rPr>
        <w:t xml:space="preserve"> pp. 65-67</w:t>
      </w:r>
    </w:p>
  </w:footnote>
  <w:footnote w:id="17">
    <w:p w14:paraId="08CDD364" w14:textId="11E8B500" w:rsidR="0084020D" w:rsidRPr="00BC1BFC" w:rsidRDefault="0084020D" w:rsidP="0084020D">
      <w:pPr>
        <w:pStyle w:val="FootnoteText"/>
        <w:rPr>
          <w:sz w:val="16"/>
          <w:szCs w:val="16"/>
        </w:rPr>
      </w:pPr>
      <w:r w:rsidRPr="00BC1BFC">
        <w:rPr>
          <w:rStyle w:val="FootnoteReference"/>
          <w:sz w:val="16"/>
          <w:szCs w:val="16"/>
        </w:rPr>
        <w:footnoteRef/>
      </w:r>
      <w:r w:rsidRPr="00BC1BFC">
        <w:rPr>
          <w:sz w:val="16"/>
          <w:szCs w:val="16"/>
        </w:rPr>
        <w:t xml:space="preserve"> Stadter, </w:t>
      </w:r>
      <w:r w:rsidRPr="00BC1BFC">
        <w:rPr>
          <w:i/>
          <w:iCs/>
          <w:sz w:val="16"/>
          <w:szCs w:val="16"/>
        </w:rPr>
        <w:t>Arrian of Nicomedia</w:t>
      </w:r>
      <w:r w:rsidR="00653AAF">
        <w:rPr>
          <w:i/>
          <w:iCs/>
          <w:sz w:val="16"/>
          <w:szCs w:val="16"/>
        </w:rPr>
        <w:t xml:space="preserve">, </w:t>
      </w:r>
      <w:r w:rsidRPr="00BC1BFC">
        <w:rPr>
          <w:sz w:val="16"/>
          <w:szCs w:val="16"/>
        </w:rPr>
        <w:t>p. 87</w:t>
      </w:r>
    </w:p>
  </w:footnote>
  <w:footnote w:id="18">
    <w:p w14:paraId="444B97F8" w14:textId="01DF7B54" w:rsidR="0095025A" w:rsidRPr="00BC1BFC" w:rsidRDefault="0095025A" w:rsidP="0095025A">
      <w:pPr>
        <w:pStyle w:val="NoSpacing"/>
        <w:rPr>
          <w:sz w:val="16"/>
          <w:szCs w:val="16"/>
        </w:rPr>
      </w:pPr>
      <w:r w:rsidRPr="00BC1BFC">
        <w:rPr>
          <w:rStyle w:val="FootnoteReference"/>
          <w:sz w:val="16"/>
          <w:szCs w:val="16"/>
        </w:rPr>
        <w:footnoteRef/>
      </w:r>
      <w:r w:rsidRPr="00BC1BFC">
        <w:rPr>
          <w:sz w:val="16"/>
          <w:szCs w:val="16"/>
        </w:rPr>
        <w:t xml:space="preserve"> Leon, </w:t>
      </w:r>
      <w:r w:rsidRPr="00BC1BFC">
        <w:rPr>
          <w:i/>
          <w:iCs/>
          <w:sz w:val="16"/>
          <w:szCs w:val="16"/>
        </w:rPr>
        <w:t>Arrian the Historian, Writing the Greek Past in the Roman Empire</w:t>
      </w:r>
      <w:r w:rsidRPr="00BC1BFC">
        <w:rPr>
          <w:sz w:val="16"/>
          <w:szCs w:val="16"/>
        </w:rPr>
        <w:t>, pp. 85-86</w:t>
      </w:r>
    </w:p>
  </w:footnote>
  <w:footnote w:id="19">
    <w:p w14:paraId="2311ED2C" w14:textId="48B53860" w:rsidR="0095025A" w:rsidRPr="00BC1BFC" w:rsidRDefault="0095025A" w:rsidP="0095025A">
      <w:pPr>
        <w:pStyle w:val="FootnoteText"/>
        <w:rPr>
          <w:sz w:val="16"/>
          <w:szCs w:val="16"/>
        </w:rPr>
      </w:pPr>
      <w:r w:rsidRPr="00BC1BFC">
        <w:rPr>
          <w:rStyle w:val="FootnoteReference"/>
          <w:sz w:val="16"/>
          <w:szCs w:val="16"/>
        </w:rPr>
        <w:footnoteRef/>
      </w:r>
      <w:r w:rsidRPr="00BC1BFC">
        <w:rPr>
          <w:sz w:val="16"/>
          <w:szCs w:val="16"/>
        </w:rPr>
        <w:t xml:space="preserve"> Stadter, </w:t>
      </w:r>
      <w:r w:rsidRPr="00BC1BFC">
        <w:rPr>
          <w:i/>
          <w:iCs/>
          <w:sz w:val="16"/>
          <w:szCs w:val="16"/>
        </w:rPr>
        <w:t xml:space="preserve">Arrian of Nicomedia, </w:t>
      </w:r>
      <w:r w:rsidRPr="00BC1BFC">
        <w:rPr>
          <w:sz w:val="16"/>
          <w:szCs w:val="16"/>
        </w:rPr>
        <w:t>p. 103</w:t>
      </w:r>
    </w:p>
  </w:footnote>
  <w:footnote w:id="20">
    <w:p w14:paraId="788B8EB4" w14:textId="77777777" w:rsidR="00F46E4A" w:rsidRPr="00BC1BFC" w:rsidRDefault="00F46E4A" w:rsidP="00F46E4A">
      <w:pPr>
        <w:pStyle w:val="FootnoteText"/>
        <w:rPr>
          <w:sz w:val="16"/>
          <w:szCs w:val="16"/>
        </w:rPr>
      </w:pPr>
      <w:r w:rsidRPr="00BC1BFC">
        <w:rPr>
          <w:rStyle w:val="FootnoteReference"/>
          <w:sz w:val="16"/>
          <w:szCs w:val="16"/>
        </w:rPr>
        <w:footnoteRef/>
      </w:r>
      <w:r w:rsidRPr="00BC1BFC">
        <w:rPr>
          <w:sz w:val="16"/>
          <w:szCs w:val="16"/>
        </w:rPr>
        <w:t xml:space="preserve"> P. Stadter, Review, </w:t>
      </w:r>
      <w:r w:rsidRPr="00BC1BFC">
        <w:rPr>
          <w:i/>
          <w:iCs/>
          <w:sz w:val="16"/>
          <w:szCs w:val="16"/>
        </w:rPr>
        <w:t xml:space="preserve">The Modern Language Journal, </w:t>
      </w:r>
      <w:r w:rsidRPr="00BC1BFC">
        <w:rPr>
          <w:sz w:val="16"/>
          <w:szCs w:val="16"/>
        </w:rPr>
        <w:t>57, 5/6, (1973), 279-280, p. 280</w:t>
      </w:r>
    </w:p>
  </w:footnote>
  <w:footnote w:id="21">
    <w:p w14:paraId="772B299F" w14:textId="3E4A9FBB" w:rsidR="0095025A" w:rsidRPr="00BC1BFC" w:rsidRDefault="0095025A" w:rsidP="0095025A">
      <w:pPr>
        <w:pStyle w:val="FootnoteText"/>
        <w:rPr>
          <w:sz w:val="16"/>
          <w:szCs w:val="16"/>
        </w:rPr>
      </w:pPr>
      <w:r w:rsidRPr="00BC1BFC">
        <w:rPr>
          <w:rStyle w:val="FootnoteReference"/>
          <w:sz w:val="16"/>
          <w:szCs w:val="16"/>
        </w:rPr>
        <w:footnoteRef/>
      </w:r>
      <w:r w:rsidRPr="00BC1BFC">
        <w:rPr>
          <w:sz w:val="16"/>
          <w:szCs w:val="16"/>
        </w:rPr>
        <w:t xml:space="preserve"> Stadter, </w:t>
      </w:r>
      <w:r w:rsidRPr="00BC1BFC">
        <w:rPr>
          <w:i/>
          <w:iCs/>
          <w:sz w:val="16"/>
          <w:szCs w:val="16"/>
        </w:rPr>
        <w:t>Arrian of Nicomedia,</w:t>
      </w:r>
      <w:r w:rsidRPr="00BC1BFC">
        <w:rPr>
          <w:sz w:val="16"/>
          <w:szCs w:val="16"/>
        </w:rPr>
        <w:t xml:space="preserve"> p.108</w:t>
      </w:r>
    </w:p>
  </w:footnote>
  <w:footnote w:id="22">
    <w:p w14:paraId="6E57E12C" w14:textId="13062969" w:rsidR="00B45BD7" w:rsidRPr="00BC1BFC" w:rsidRDefault="00B45BD7" w:rsidP="00B45BD7">
      <w:pPr>
        <w:pStyle w:val="FootnoteText"/>
        <w:rPr>
          <w:sz w:val="16"/>
          <w:szCs w:val="16"/>
        </w:rPr>
      </w:pPr>
      <w:r w:rsidRPr="00BC1BFC">
        <w:rPr>
          <w:rStyle w:val="FootnoteReference"/>
          <w:sz w:val="16"/>
          <w:szCs w:val="16"/>
        </w:rPr>
        <w:footnoteRef/>
      </w:r>
      <w:r w:rsidRPr="00BC1BFC">
        <w:rPr>
          <w:sz w:val="16"/>
          <w:szCs w:val="16"/>
        </w:rPr>
        <w:t xml:space="preserve"> Leon, </w:t>
      </w:r>
      <w:r w:rsidRPr="00BC1BFC">
        <w:rPr>
          <w:i/>
          <w:iCs/>
          <w:sz w:val="16"/>
          <w:szCs w:val="16"/>
        </w:rPr>
        <w:t>Arrian the Historian, Writing the Greek Past in the Roman Empire</w:t>
      </w:r>
    </w:p>
  </w:footnote>
  <w:footnote w:id="23">
    <w:p w14:paraId="4F93CAFA" w14:textId="16BF68D1" w:rsidR="0095025A" w:rsidRPr="00BC1BFC" w:rsidRDefault="0095025A" w:rsidP="0095025A">
      <w:pPr>
        <w:pStyle w:val="FootnoteText"/>
        <w:rPr>
          <w:sz w:val="16"/>
          <w:szCs w:val="16"/>
        </w:rPr>
      </w:pPr>
      <w:r w:rsidRPr="00BC1BFC">
        <w:rPr>
          <w:rStyle w:val="FootnoteReference"/>
          <w:sz w:val="16"/>
          <w:szCs w:val="16"/>
        </w:rPr>
        <w:footnoteRef/>
      </w:r>
      <w:r w:rsidRPr="00BC1BFC">
        <w:rPr>
          <w:sz w:val="16"/>
          <w:szCs w:val="16"/>
        </w:rPr>
        <w:t xml:space="preserve"> Arrian, </w:t>
      </w:r>
      <w:r w:rsidRPr="00BC1BFC">
        <w:rPr>
          <w:i/>
          <w:iCs/>
          <w:sz w:val="16"/>
          <w:szCs w:val="16"/>
        </w:rPr>
        <w:t>Anabasis Alexandri,</w:t>
      </w:r>
      <w:r w:rsidRPr="00BC1BFC">
        <w:rPr>
          <w:sz w:val="16"/>
          <w:szCs w:val="16"/>
        </w:rPr>
        <w:t xml:space="preserve"> pp. 65-67</w:t>
      </w:r>
    </w:p>
  </w:footnote>
  <w:footnote w:id="24">
    <w:p w14:paraId="2CB9168D" w14:textId="7156A8C3" w:rsidR="0095025A" w:rsidRDefault="0095025A">
      <w:pPr>
        <w:pStyle w:val="FootnoteText"/>
      </w:pPr>
      <w:r w:rsidRPr="00BC1BFC">
        <w:rPr>
          <w:rStyle w:val="FootnoteReference"/>
          <w:sz w:val="16"/>
          <w:szCs w:val="16"/>
        </w:rPr>
        <w:footnoteRef/>
      </w:r>
      <w:r w:rsidRPr="00BC1BFC">
        <w:rPr>
          <w:sz w:val="16"/>
          <w:szCs w:val="16"/>
        </w:rPr>
        <w:t xml:space="preserve"> </w:t>
      </w:r>
      <w:r w:rsidR="008D3660" w:rsidRPr="00BC1BFC">
        <w:rPr>
          <w:sz w:val="16"/>
          <w:szCs w:val="16"/>
        </w:rPr>
        <w:t>Arrian</w:t>
      </w:r>
      <w:r w:rsidR="008D3660" w:rsidRPr="00BC1BFC">
        <w:rPr>
          <w:i/>
          <w:iCs/>
          <w:sz w:val="16"/>
          <w:szCs w:val="16"/>
        </w:rPr>
        <w:t>, Anabasis Alexandri</w:t>
      </w:r>
      <w:r w:rsidR="008D3660" w:rsidRPr="00BC1BFC">
        <w:rPr>
          <w:sz w:val="16"/>
          <w:szCs w:val="16"/>
        </w:rPr>
        <w:t>, pp. 57-63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3EF"/>
    <w:rsid w:val="000133EF"/>
    <w:rsid w:val="00074C84"/>
    <w:rsid w:val="000A34A4"/>
    <w:rsid w:val="000B4416"/>
    <w:rsid w:val="000C544D"/>
    <w:rsid w:val="00147F04"/>
    <w:rsid w:val="00185565"/>
    <w:rsid w:val="00210045"/>
    <w:rsid w:val="00231BBD"/>
    <w:rsid w:val="002A42FE"/>
    <w:rsid w:val="003D1A54"/>
    <w:rsid w:val="0042168F"/>
    <w:rsid w:val="004B5820"/>
    <w:rsid w:val="0052210C"/>
    <w:rsid w:val="005A0AA6"/>
    <w:rsid w:val="00653AAF"/>
    <w:rsid w:val="006A17E6"/>
    <w:rsid w:val="006A3EBB"/>
    <w:rsid w:val="006B5FA6"/>
    <w:rsid w:val="006F7320"/>
    <w:rsid w:val="0079181E"/>
    <w:rsid w:val="0079403D"/>
    <w:rsid w:val="007A69DA"/>
    <w:rsid w:val="007C11CB"/>
    <w:rsid w:val="00817900"/>
    <w:rsid w:val="0084020D"/>
    <w:rsid w:val="008459C6"/>
    <w:rsid w:val="008D3660"/>
    <w:rsid w:val="00925380"/>
    <w:rsid w:val="0095025A"/>
    <w:rsid w:val="009530DD"/>
    <w:rsid w:val="009805C4"/>
    <w:rsid w:val="00981F20"/>
    <w:rsid w:val="00A34F91"/>
    <w:rsid w:val="00A70427"/>
    <w:rsid w:val="00AB2CE6"/>
    <w:rsid w:val="00B45BD7"/>
    <w:rsid w:val="00BC1BFC"/>
    <w:rsid w:val="00C06BFD"/>
    <w:rsid w:val="00C33C58"/>
    <w:rsid w:val="00C56E56"/>
    <w:rsid w:val="00C85170"/>
    <w:rsid w:val="00CD52DF"/>
    <w:rsid w:val="00D02BA0"/>
    <w:rsid w:val="00D102A5"/>
    <w:rsid w:val="00E00146"/>
    <w:rsid w:val="00E25E57"/>
    <w:rsid w:val="00E41EC6"/>
    <w:rsid w:val="00E71DE2"/>
    <w:rsid w:val="00ED0C43"/>
    <w:rsid w:val="00F07D62"/>
    <w:rsid w:val="00F46E4A"/>
    <w:rsid w:val="00F66DD6"/>
    <w:rsid w:val="00FA0D42"/>
    <w:rsid w:val="00FA7802"/>
    <w:rsid w:val="00FD0B2F"/>
    <w:rsid w:val="00FF43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2B9C8D"/>
  <w15:chartTrackingRefBased/>
  <w15:docId w15:val="{9CB66D48-783D-449E-8B7D-3DA1DC5FE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3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133EF"/>
    <w:pPr>
      <w:spacing w:after="0" w:line="240" w:lineRule="auto"/>
    </w:pPr>
  </w:style>
  <w:style w:type="paragraph" w:styleId="FootnoteText">
    <w:name w:val="footnote text"/>
    <w:basedOn w:val="Normal"/>
    <w:link w:val="FootnoteTextChar"/>
    <w:uiPriority w:val="99"/>
    <w:semiHidden/>
    <w:unhideWhenUsed/>
    <w:rsid w:val="000133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33EF"/>
    <w:rPr>
      <w:sz w:val="20"/>
      <w:szCs w:val="20"/>
    </w:rPr>
  </w:style>
  <w:style w:type="character" w:styleId="FootnoteReference">
    <w:name w:val="footnote reference"/>
    <w:basedOn w:val="DefaultParagraphFont"/>
    <w:uiPriority w:val="99"/>
    <w:semiHidden/>
    <w:unhideWhenUsed/>
    <w:rsid w:val="000133EF"/>
    <w:rPr>
      <w:vertAlign w:val="superscript"/>
    </w:rPr>
  </w:style>
  <w:style w:type="character" w:styleId="Hyperlink">
    <w:name w:val="Hyperlink"/>
    <w:basedOn w:val="DefaultParagraphFont"/>
    <w:uiPriority w:val="99"/>
    <w:unhideWhenUsed/>
    <w:rsid w:val="0079403D"/>
    <w:rPr>
      <w:color w:val="0563C1" w:themeColor="hyperlink"/>
      <w:u w:val="single"/>
    </w:rPr>
  </w:style>
  <w:style w:type="character" w:styleId="FollowedHyperlink">
    <w:name w:val="FollowedHyperlink"/>
    <w:basedOn w:val="DefaultParagraphFont"/>
    <w:uiPriority w:val="99"/>
    <w:semiHidden/>
    <w:unhideWhenUsed/>
    <w:rsid w:val="000B44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utenberg.org/files/46976/46976-h/46976-h.htm"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gutenberg.org/files/46976/46976-h/46976-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TotalTime>
  <Pages>3</Pages>
  <Words>1202</Words>
  <Characters>6852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Tierney (2114576)</dc:creator>
  <cp:keywords/>
  <dc:description/>
  <cp:lastModifiedBy>Darren Tierney (2114576)</cp:lastModifiedBy>
  <cp:revision>51</cp:revision>
  <dcterms:created xsi:type="dcterms:W3CDTF">2023-03-02T11:05:00Z</dcterms:created>
  <dcterms:modified xsi:type="dcterms:W3CDTF">2023-03-02T17:13:00Z</dcterms:modified>
</cp:coreProperties>
</file>