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3E94" w:rsidRDefault="000B3E94" w:rsidP="000B3E94">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0B3E94" w:rsidRDefault="000B3E94" w:rsidP="000B3E94">
      <w:pPr>
        <w:rPr>
          <w:color w:val="595959" w:themeColor="text1" w:themeTint="A6"/>
          <w:sz w:val="36"/>
          <w:szCs w:val="36"/>
        </w:rPr>
      </w:pPr>
    </w:p>
    <w:p w:rsidR="002159F5" w:rsidRPr="002159F5" w:rsidRDefault="000B3E94" w:rsidP="002159F5">
      <w:pPr>
        <w:rPr>
          <w:rFonts w:eastAsia="Times New Roman"/>
          <w:iCs/>
          <w:color w:val="595959" w:themeColor="text1" w:themeTint="A6"/>
          <w:sz w:val="36"/>
          <w:szCs w:val="36"/>
          <w:lang w:eastAsia="en-GB"/>
        </w:rPr>
      </w:pPr>
      <w:r>
        <w:rPr>
          <w:b/>
          <w:color w:val="595959" w:themeColor="text1" w:themeTint="A6"/>
          <w:sz w:val="36"/>
          <w:szCs w:val="36"/>
        </w:rPr>
        <w:t>Module Name:</w:t>
      </w:r>
      <w:r>
        <w:rPr>
          <w:color w:val="595959" w:themeColor="text1" w:themeTint="A6"/>
          <w:sz w:val="36"/>
          <w:szCs w:val="36"/>
        </w:rPr>
        <w:t xml:space="preserve"> </w:t>
      </w:r>
      <w:r w:rsidR="002159F5" w:rsidRPr="002159F5">
        <w:rPr>
          <w:rFonts w:eastAsia="Times New Roman"/>
          <w:iCs/>
          <w:color w:val="595959" w:themeColor="text1" w:themeTint="A6"/>
          <w:sz w:val="36"/>
          <w:szCs w:val="36"/>
          <w:lang w:eastAsia="en-GB"/>
        </w:rPr>
        <w:t>Understanding the link between Individual and Organisational Performance</w:t>
      </w:r>
    </w:p>
    <w:p w:rsidR="000B3E94" w:rsidRDefault="000B3E94" w:rsidP="000B3E94">
      <w:pPr>
        <w:rPr>
          <w:color w:val="595959" w:themeColor="text1" w:themeTint="A6"/>
          <w:sz w:val="36"/>
          <w:szCs w:val="36"/>
        </w:rPr>
      </w:pPr>
    </w:p>
    <w:p w:rsidR="002159F5" w:rsidRPr="002159F5" w:rsidRDefault="000B3E94" w:rsidP="002159F5">
      <w:pPr>
        <w:rPr>
          <w:rFonts w:eastAsia="Times New Roman"/>
          <w:color w:val="595959" w:themeColor="text1" w:themeTint="A6"/>
          <w:sz w:val="36"/>
          <w:szCs w:val="36"/>
          <w:lang w:eastAsia="en-GB"/>
        </w:rPr>
      </w:pPr>
      <w:r>
        <w:rPr>
          <w:b/>
          <w:color w:val="595959" w:themeColor="text1" w:themeTint="A6"/>
          <w:sz w:val="36"/>
          <w:szCs w:val="36"/>
        </w:rPr>
        <w:t>Activity: On the Job Training</w:t>
      </w:r>
      <w:r w:rsidR="002159F5">
        <w:rPr>
          <w:b/>
          <w:color w:val="595959" w:themeColor="text1" w:themeTint="A6"/>
          <w:sz w:val="36"/>
          <w:szCs w:val="36"/>
        </w:rPr>
        <w:t xml:space="preserve">; </w:t>
      </w:r>
      <w:r w:rsidR="002159F5" w:rsidRPr="002159F5">
        <w:rPr>
          <w:rFonts w:eastAsia="Times New Roman"/>
          <w:iCs/>
          <w:color w:val="595959" w:themeColor="text1" w:themeTint="A6"/>
          <w:sz w:val="36"/>
          <w:szCs w:val="36"/>
          <w:lang w:eastAsia="en-GB"/>
        </w:rPr>
        <w:t>Evaluation of Premier’s approach to Performance Management</w:t>
      </w:r>
    </w:p>
    <w:p w:rsidR="000B3E94" w:rsidRDefault="000B3E94" w:rsidP="000B3E94">
      <w:pPr>
        <w:rPr>
          <w:b/>
          <w:color w:val="595959" w:themeColor="text1" w:themeTint="A6"/>
          <w:sz w:val="36"/>
          <w:szCs w:val="36"/>
        </w:rPr>
      </w:pPr>
    </w:p>
    <w:p w:rsidR="000B3E94" w:rsidRDefault="000B3E94" w:rsidP="000B3E94">
      <w:pPr>
        <w:rPr>
          <w:color w:val="595959" w:themeColor="text1" w:themeTint="A6"/>
          <w:sz w:val="36"/>
          <w:szCs w:val="36"/>
        </w:rPr>
      </w:pPr>
    </w:p>
    <w:p w:rsidR="002159F5" w:rsidRDefault="000B3E94" w:rsidP="000B3E94">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w:t>
      </w:r>
      <w:r w:rsidR="000C0DAF">
        <w:rPr>
          <w:color w:val="595959" w:themeColor="text1" w:themeTint="A6"/>
          <w:sz w:val="36"/>
          <w:szCs w:val="36"/>
        </w:rPr>
        <w:t>675</w:t>
      </w:r>
    </w:p>
    <w:p w:rsidR="000B3E94" w:rsidRDefault="000B3E94" w:rsidP="000B3E94">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0B3E94" w:rsidRDefault="000B3E94" w:rsidP="000B3E94">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0B3E94" w:rsidRDefault="000B3E94" w:rsidP="000B3E94">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bookmarkStart w:id="0" w:name="_GoBack"/>
      <w:bookmarkEnd w:id="0"/>
    </w:p>
    <w:p w:rsidR="000B3E94" w:rsidRDefault="000B3E94" w:rsidP="000B3E94">
      <w:pPr>
        <w:rPr>
          <w:color w:val="595959" w:themeColor="text1" w:themeTint="A6"/>
          <w:sz w:val="40"/>
          <w:szCs w:val="40"/>
        </w:rPr>
      </w:pPr>
    </w:p>
    <w:p w:rsidR="000B3E94" w:rsidRDefault="000B3E94" w:rsidP="000B3E94">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0B3E94" w:rsidRDefault="002159F5" w:rsidP="000B3E94">
      <w:pPr>
        <w:rPr>
          <w:color w:val="595959" w:themeColor="text1" w:themeTint="A6"/>
          <w:sz w:val="36"/>
          <w:szCs w:val="36"/>
        </w:rPr>
      </w:pPr>
      <w:r>
        <w:rPr>
          <w:noProof/>
          <w:color w:val="000000" w:themeColor="text1"/>
          <w:sz w:val="36"/>
          <w:szCs w:val="36"/>
          <w:lang w:val="en-US"/>
        </w:rPr>
        <w:drawing>
          <wp:anchor distT="0" distB="0" distL="114300" distR="114300" simplePos="0" relativeHeight="251658240" behindDoc="1" locked="0" layoutInCell="1" allowOverlap="1">
            <wp:simplePos x="0" y="0"/>
            <wp:positionH relativeFrom="column">
              <wp:posOffset>967740</wp:posOffset>
            </wp:positionH>
            <wp:positionV relativeFrom="paragraph">
              <wp:posOffset>187325</wp:posOffset>
            </wp:positionV>
            <wp:extent cx="1539240" cy="693420"/>
            <wp:effectExtent l="0" t="0" r="3810" b="0"/>
            <wp:wrapTight wrapText="bothSides">
              <wp:wrapPolygon edited="0">
                <wp:start x="0" y="0"/>
                <wp:lineTo x="0" y="20769"/>
                <wp:lineTo x="21386" y="20769"/>
                <wp:lineTo x="213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159F5" w:rsidRDefault="000B3E94" w:rsidP="000B3E94">
      <w:pPr>
        <w:rPr>
          <w:color w:val="595959" w:themeColor="text1" w:themeTint="A6"/>
          <w:sz w:val="36"/>
          <w:szCs w:val="36"/>
        </w:rPr>
      </w:pPr>
      <w:r>
        <w:rPr>
          <w:color w:val="595959" w:themeColor="text1" w:themeTint="A6"/>
          <w:sz w:val="36"/>
          <w:szCs w:val="36"/>
        </w:rPr>
        <w:t>Signed:</w:t>
      </w:r>
      <w:r w:rsidR="002159F5">
        <w:rPr>
          <w:color w:val="595959" w:themeColor="text1" w:themeTint="A6"/>
          <w:sz w:val="36"/>
          <w:szCs w:val="36"/>
        </w:rPr>
        <w:t xml:space="preserve">    </w:t>
      </w:r>
      <w:r>
        <w:rPr>
          <w:color w:val="595959" w:themeColor="text1" w:themeTint="A6"/>
          <w:sz w:val="36"/>
          <w:szCs w:val="36"/>
        </w:rPr>
        <w:t xml:space="preserve"> </w:t>
      </w:r>
    </w:p>
    <w:p w:rsidR="002159F5" w:rsidRDefault="002159F5" w:rsidP="000B3E94">
      <w:pPr>
        <w:rPr>
          <w:color w:val="595959" w:themeColor="text1" w:themeTint="A6"/>
          <w:sz w:val="36"/>
          <w:szCs w:val="36"/>
        </w:rPr>
      </w:pPr>
    </w:p>
    <w:p w:rsidR="000B3E94" w:rsidRDefault="000B3E94" w:rsidP="000B3E94">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r>
      <w:r w:rsidR="002159F5">
        <w:rPr>
          <w:color w:val="595959" w:themeColor="text1" w:themeTint="A6"/>
          <w:sz w:val="36"/>
          <w:szCs w:val="36"/>
        </w:rPr>
        <w:t>31st</w:t>
      </w:r>
      <w:r>
        <w:rPr>
          <w:color w:val="595959" w:themeColor="text1" w:themeTint="A6"/>
          <w:sz w:val="36"/>
          <w:szCs w:val="36"/>
        </w:rPr>
        <w:t xml:space="preserve"> July 2019</w:t>
      </w:r>
    </w:p>
    <w:p w:rsidR="006A599B" w:rsidRDefault="006A599B"/>
    <w:p w:rsidR="000B3E94" w:rsidRDefault="000B3E94"/>
    <w:p w:rsidR="000B3E94" w:rsidRPr="002159F5" w:rsidRDefault="000B3E94">
      <w:pPr>
        <w:rPr>
          <w:sz w:val="28"/>
          <w:szCs w:val="28"/>
        </w:rPr>
      </w:pPr>
      <w:r w:rsidRPr="002159F5">
        <w:rPr>
          <w:sz w:val="28"/>
          <w:szCs w:val="28"/>
        </w:rPr>
        <w:lastRenderedPageBreak/>
        <w:t xml:space="preserve">On-the-job Training </w:t>
      </w:r>
    </w:p>
    <w:p w:rsidR="002159F5" w:rsidRDefault="002159F5" w:rsidP="002159F5">
      <w:pPr>
        <w:rPr>
          <w:rFonts w:eastAsia="Times New Roman"/>
          <w:iCs/>
          <w:sz w:val="28"/>
          <w:szCs w:val="28"/>
          <w:lang w:eastAsia="en-GB"/>
        </w:rPr>
      </w:pPr>
      <w:r w:rsidRPr="002159F5">
        <w:rPr>
          <w:rFonts w:eastAsia="Times New Roman"/>
          <w:iCs/>
          <w:sz w:val="28"/>
          <w:szCs w:val="28"/>
          <w:lang w:eastAsia="en-GB"/>
        </w:rPr>
        <w:t>Evaluation of Premier’s approach to Performance Management</w:t>
      </w:r>
    </w:p>
    <w:p w:rsidR="002159F5" w:rsidRDefault="005E1CF2" w:rsidP="002159F5">
      <w:pPr>
        <w:jc w:val="both"/>
        <w:rPr>
          <w:rFonts w:eastAsia="Times New Roman"/>
          <w:lang w:eastAsia="en-GB"/>
        </w:rPr>
      </w:pPr>
      <w:r>
        <w:rPr>
          <w:rFonts w:eastAsia="Times New Roman"/>
          <w:lang w:eastAsia="en-GB"/>
        </w:rPr>
        <w:t xml:space="preserve">The </w:t>
      </w:r>
      <w:r w:rsidR="002159F5">
        <w:rPr>
          <w:rFonts w:eastAsia="Times New Roman"/>
          <w:lang w:eastAsia="en-GB"/>
        </w:rPr>
        <w:t xml:space="preserve">Premier current approach to Performance Management has been in place for seven years and follows </w:t>
      </w:r>
      <w:r w:rsidR="00923142">
        <w:rPr>
          <w:rFonts w:eastAsia="Times New Roman"/>
          <w:lang w:eastAsia="en-GB"/>
        </w:rPr>
        <w:t>an agreed process flow;</w:t>
      </w:r>
    </w:p>
    <w:p w:rsidR="00923142" w:rsidRDefault="00923142" w:rsidP="002159F5">
      <w:pPr>
        <w:jc w:val="both"/>
        <w:rPr>
          <w:rFonts w:eastAsia="Times New Roman"/>
          <w:lang w:eastAsia="en-GB"/>
        </w:rPr>
      </w:pPr>
      <w:r>
        <w:rPr>
          <w:noProof/>
        </w:rPr>
        <w:drawing>
          <wp:inline distT="0" distB="0" distL="0" distR="0" wp14:anchorId="794802AB" wp14:editId="5BB47E69">
            <wp:extent cx="5731510" cy="22917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91715"/>
                    </a:xfrm>
                    <a:prstGeom prst="rect">
                      <a:avLst/>
                    </a:prstGeom>
                  </pic:spPr>
                </pic:pic>
              </a:graphicData>
            </a:graphic>
          </wp:inline>
        </w:drawing>
      </w:r>
    </w:p>
    <w:p w:rsidR="002159F5" w:rsidRDefault="00923142" w:rsidP="002159F5">
      <w:pPr>
        <w:jc w:val="both"/>
        <w:rPr>
          <w:rFonts w:eastAsia="Times New Roman"/>
          <w:noProof/>
          <w:lang w:eastAsia="en-GB"/>
        </w:rPr>
      </w:pPr>
      <w:r>
        <w:rPr>
          <w:rFonts w:eastAsia="Times New Roman"/>
          <w:lang w:eastAsia="en-GB"/>
        </w:rPr>
        <w:t>The</w:t>
      </w:r>
      <w:r w:rsidR="00900765">
        <w:rPr>
          <w:rFonts w:eastAsia="Times New Roman"/>
          <w:lang w:eastAsia="en-GB"/>
        </w:rPr>
        <w:t xml:space="preserve"> process and tools were designed by Human Resources around </w:t>
      </w:r>
      <w:r>
        <w:rPr>
          <w:rFonts w:eastAsia="Times New Roman"/>
          <w:lang w:eastAsia="en-GB"/>
        </w:rPr>
        <w:t xml:space="preserve"> the more traditional approach of an annual appraisal with a mid-year review</w:t>
      </w:r>
      <w:r w:rsidR="00900765">
        <w:rPr>
          <w:rFonts w:eastAsia="Times New Roman"/>
          <w:lang w:eastAsia="en-GB"/>
        </w:rPr>
        <w:t xml:space="preserve"> and follow two principles, those described by, </w:t>
      </w:r>
      <w:r w:rsidR="00900765">
        <w:rPr>
          <w:rFonts w:eastAsia="Times New Roman"/>
          <w:noProof/>
          <w:lang w:eastAsia="en-GB"/>
        </w:rPr>
        <w:t>Taylor, (2016), as behavioural assessments and out-put based assessment</w:t>
      </w:r>
      <w:r w:rsidR="00632F91">
        <w:rPr>
          <w:rFonts w:eastAsia="Times New Roman"/>
          <w:noProof/>
          <w:lang w:eastAsia="en-GB"/>
        </w:rPr>
        <w:t>s</w:t>
      </w:r>
      <w:r w:rsidR="00900765">
        <w:rPr>
          <w:rFonts w:eastAsia="Times New Roman"/>
          <w:noProof/>
          <w:lang w:eastAsia="en-GB"/>
        </w:rPr>
        <w:t>;</w:t>
      </w:r>
    </w:p>
    <w:p w:rsidR="005E1CF2" w:rsidRPr="00632F91" w:rsidRDefault="00900765" w:rsidP="005E1CF2">
      <w:pPr>
        <w:jc w:val="both"/>
        <w:rPr>
          <w:rFonts w:eastAsia="Times New Roman"/>
          <w:b/>
          <w:noProof/>
          <w:lang w:eastAsia="en-GB"/>
        </w:rPr>
      </w:pPr>
      <w:r>
        <w:rPr>
          <w:rFonts w:eastAsia="Times New Roman"/>
          <w:noProof/>
          <w:lang w:eastAsia="en-GB"/>
        </w:rPr>
        <w:t>Managers</w:t>
      </w:r>
      <w:r w:rsidR="00632F91">
        <w:rPr>
          <w:rFonts w:eastAsia="Times New Roman"/>
          <w:noProof/>
          <w:lang w:eastAsia="en-GB"/>
        </w:rPr>
        <w:t xml:space="preserve"> </w:t>
      </w:r>
      <w:r w:rsidR="005E1CF2">
        <w:rPr>
          <w:rFonts w:eastAsia="Times New Roman"/>
          <w:noProof/>
          <w:lang w:eastAsia="en-GB"/>
        </w:rPr>
        <w:t xml:space="preserve">conduct a </w:t>
      </w:r>
      <w:r w:rsidR="005E1CF2" w:rsidRPr="00632F91">
        <w:rPr>
          <w:rFonts w:eastAsia="Times New Roman"/>
          <w:b/>
          <w:noProof/>
          <w:lang w:eastAsia="en-GB"/>
        </w:rPr>
        <w:t>Behavioural Assessment</w:t>
      </w:r>
      <w:r w:rsidR="005E1CF2">
        <w:rPr>
          <w:rFonts w:eastAsia="Times New Roman"/>
          <w:noProof/>
          <w:lang w:eastAsia="en-GB"/>
        </w:rPr>
        <w:t xml:space="preserve">  by </w:t>
      </w:r>
      <w:r w:rsidR="00632F91">
        <w:rPr>
          <w:rFonts w:eastAsia="Times New Roman"/>
          <w:noProof/>
          <w:lang w:eastAsia="en-GB"/>
        </w:rPr>
        <w:t>review</w:t>
      </w:r>
      <w:r w:rsidR="005E1CF2">
        <w:rPr>
          <w:rFonts w:eastAsia="Times New Roman"/>
          <w:noProof/>
          <w:lang w:eastAsia="en-GB"/>
        </w:rPr>
        <w:t>ing</w:t>
      </w:r>
      <w:r w:rsidR="00632F91">
        <w:rPr>
          <w:rFonts w:eastAsia="Times New Roman"/>
          <w:noProof/>
          <w:lang w:eastAsia="en-GB"/>
        </w:rPr>
        <w:t xml:space="preserve"> performance on how the employee has conducted themselves during the assessment period against the company values, for example, have the company values been upheld and how has the employee demonstrated the company values,</w:t>
      </w:r>
      <w:r w:rsidR="005E1CF2">
        <w:rPr>
          <w:rFonts w:eastAsia="Times New Roman"/>
          <w:noProof/>
          <w:lang w:eastAsia="en-GB"/>
        </w:rPr>
        <w:t xml:space="preserve"> </w:t>
      </w:r>
    </w:p>
    <w:p w:rsidR="00900765" w:rsidRDefault="00632F91" w:rsidP="002159F5">
      <w:pPr>
        <w:jc w:val="both"/>
        <w:rPr>
          <w:rFonts w:eastAsia="Times New Roman"/>
          <w:noProof/>
          <w:lang w:eastAsia="en-GB"/>
        </w:rPr>
      </w:pPr>
      <w:r>
        <w:rPr>
          <w:rFonts w:eastAsia="Times New Roman"/>
          <w:noProof/>
          <w:lang w:eastAsia="en-GB"/>
        </w:rPr>
        <w:t xml:space="preserve"> Managers are supported in how to make th</w:t>
      </w:r>
      <w:r w:rsidR="005E1CF2">
        <w:rPr>
          <w:rFonts w:eastAsia="Times New Roman"/>
          <w:noProof/>
          <w:lang w:eastAsia="en-GB"/>
        </w:rPr>
        <w:t xml:space="preserve">at </w:t>
      </w:r>
      <w:r>
        <w:rPr>
          <w:rFonts w:eastAsia="Times New Roman"/>
          <w:noProof/>
          <w:lang w:eastAsia="en-GB"/>
        </w:rPr>
        <w:t>judgement with a Values Matrix;</w:t>
      </w:r>
    </w:p>
    <w:p w:rsidR="00632F91" w:rsidRDefault="00632F91" w:rsidP="00632F91">
      <w:pPr>
        <w:jc w:val="center"/>
        <w:rPr>
          <w:rFonts w:eastAsia="Times New Roman"/>
          <w:noProof/>
          <w:lang w:eastAsia="en-GB"/>
        </w:rPr>
      </w:pPr>
      <w:r>
        <w:rPr>
          <w:noProof/>
        </w:rPr>
        <w:drawing>
          <wp:inline distT="0" distB="0" distL="0" distR="0" wp14:anchorId="6E743637" wp14:editId="4F75DAF9">
            <wp:extent cx="5623560" cy="31013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1032" cy="3133035"/>
                    </a:xfrm>
                    <a:prstGeom prst="rect">
                      <a:avLst/>
                    </a:prstGeom>
                  </pic:spPr>
                </pic:pic>
              </a:graphicData>
            </a:graphic>
          </wp:inline>
        </w:drawing>
      </w:r>
    </w:p>
    <w:p w:rsidR="003A50B6" w:rsidRDefault="003A50B6" w:rsidP="002159F5">
      <w:pPr>
        <w:jc w:val="both"/>
        <w:rPr>
          <w:rFonts w:eastAsia="Times New Roman"/>
          <w:lang w:eastAsia="en-GB"/>
        </w:rPr>
      </w:pPr>
    </w:p>
    <w:p w:rsidR="005E1CF2" w:rsidRPr="005E1CF2" w:rsidRDefault="005E1CF2" w:rsidP="005E1CF2">
      <w:pPr>
        <w:jc w:val="both"/>
        <w:rPr>
          <w:rFonts w:eastAsia="Times New Roman"/>
          <w:b/>
          <w:lang w:eastAsia="en-GB"/>
        </w:rPr>
      </w:pPr>
      <w:r>
        <w:rPr>
          <w:rFonts w:eastAsia="Times New Roman"/>
          <w:lang w:eastAsia="en-GB"/>
        </w:rPr>
        <w:lastRenderedPageBreak/>
        <w:t xml:space="preserve">The </w:t>
      </w:r>
      <w:r w:rsidRPr="005E1CF2">
        <w:rPr>
          <w:rFonts w:eastAsia="Times New Roman"/>
          <w:b/>
          <w:lang w:eastAsia="en-GB"/>
        </w:rPr>
        <w:t>Output-based Assessment</w:t>
      </w:r>
      <w:r>
        <w:rPr>
          <w:rFonts w:eastAsia="Times New Roman"/>
          <w:lang w:eastAsia="en-GB"/>
        </w:rPr>
        <w:t xml:space="preserve"> part of the appraisal is achieved by setting targets and objectives in accordance with Smart Objectives, </w:t>
      </w:r>
      <w:sdt>
        <w:sdtPr>
          <w:rPr>
            <w:rFonts w:eastAsia="Times New Roman"/>
            <w:lang w:eastAsia="en-GB"/>
          </w:rPr>
          <w:id w:val="1062608376"/>
          <w:citation/>
        </w:sdtPr>
        <w:sdtContent>
          <w:r>
            <w:rPr>
              <w:rFonts w:eastAsia="Times New Roman"/>
              <w:lang w:eastAsia="en-GB"/>
            </w:rPr>
            <w:fldChar w:fldCharType="begin"/>
          </w:r>
          <w:r>
            <w:rPr>
              <w:rFonts w:eastAsia="Times New Roman"/>
              <w:lang w:eastAsia="en-GB"/>
            </w:rPr>
            <w:instrText xml:space="preserve"> CITATION Geo81 \l 2057 </w:instrText>
          </w:r>
          <w:r>
            <w:rPr>
              <w:rFonts w:eastAsia="Times New Roman"/>
              <w:lang w:eastAsia="en-GB"/>
            </w:rPr>
            <w:fldChar w:fldCharType="separate"/>
          </w:r>
          <w:r>
            <w:rPr>
              <w:rFonts w:eastAsia="Times New Roman"/>
              <w:noProof/>
              <w:lang w:eastAsia="en-GB"/>
            </w:rPr>
            <w:t>(Doran, 1981)</w:t>
          </w:r>
          <w:r>
            <w:rPr>
              <w:rFonts w:eastAsia="Times New Roman"/>
              <w:lang w:eastAsia="en-GB"/>
            </w:rPr>
            <w:fldChar w:fldCharType="end"/>
          </w:r>
        </w:sdtContent>
      </w:sdt>
      <w:r>
        <w:rPr>
          <w:rFonts w:eastAsia="Times New Roman"/>
          <w:lang w:eastAsia="en-GB"/>
        </w:rPr>
        <w:t>.  T</w:t>
      </w:r>
      <w:r>
        <w:rPr>
          <w:rFonts w:eastAsia="Times New Roman"/>
          <w:noProof/>
          <w:lang w:eastAsia="en-GB"/>
        </w:rPr>
        <w:t>he company believe this is an appropriate tool to utilise in the appraisal process and is supported by</w:t>
      </w:r>
      <w:r>
        <w:rPr>
          <w:rFonts w:eastAsia="Times New Roman"/>
          <w:b/>
          <w:lang w:eastAsia="en-GB"/>
        </w:rPr>
        <w:t xml:space="preserve">, </w:t>
      </w:r>
      <w:r>
        <w:rPr>
          <w:rFonts w:eastAsia="Times New Roman"/>
          <w:noProof/>
          <w:lang w:eastAsia="en-GB"/>
        </w:rPr>
        <w:t>Taylor, (2016), as a useful approach which provides clarity for both the employee and manager.  The Premier appraisal form in attached in Appendix one.</w:t>
      </w:r>
    </w:p>
    <w:p w:rsidR="002159F5" w:rsidRDefault="003A50B6" w:rsidP="005E1CF2">
      <w:pPr>
        <w:jc w:val="both"/>
        <w:rPr>
          <w:rFonts w:eastAsia="Times New Roman"/>
          <w:lang w:eastAsia="en-GB"/>
        </w:rPr>
      </w:pPr>
      <w:r>
        <w:rPr>
          <w:rFonts w:eastAsia="Times New Roman"/>
          <w:lang w:eastAsia="en-GB"/>
        </w:rPr>
        <w:t xml:space="preserve">Managers are expected to complete </w:t>
      </w:r>
      <w:r w:rsidR="005E1CF2">
        <w:rPr>
          <w:rFonts w:eastAsia="Times New Roman"/>
          <w:lang w:eastAsia="en-GB"/>
        </w:rPr>
        <w:t>the</w:t>
      </w:r>
      <w:r>
        <w:rPr>
          <w:rFonts w:eastAsia="Times New Roman"/>
          <w:lang w:eastAsia="en-GB"/>
        </w:rPr>
        <w:t xml:space="preserve"> standard form and score the employee against the Premier Values and also against the objectives and targets that were set at the last review, which may have been on completion of a probationary period, the mid-year review, or at the last annual review. </w:t>
      </w:r>
      <w:r w:rsidR="005E1CF2">
        <w:rPr>
          <w:rFonts w:eastAsia="Times New Roman"/>
          <w:lang w:eastAsia="en-GB"/>
        </w:rPr>
        <w:t xml:space="preserve"> Managers and employees are together encouraged to complete a personal development plan.</w:t>
      </w:r>
    </w:p>
    <w:p w:rsidR="002159F5" w:rsidRPr="002159F5" w:rsidRDefault="003A50B6" w:rsidP="005E1CF2">
      <w:pPr>
        <w:jc w:val="both"/>
        <w:rPr>
          <w:rFonts w:eastAsia="Times New Roman"/>
          <w:lang w:eastAsia="en-GB"/>
        </w:rPr>
      </w:pPr>
      <w:r>
        <w:rPr>
          <w:rFonts w:eastAsia="Times New Roman"/>
          <w:lang w:eastAsia="en-GB"/>
        </w:rPr>
        <w:t xml:space="preserve">Competency frameworks, described by </w:t>
      </w:r>
      <w:sdt>
        <w:sdtPr>
          <w:rPr>
            <w:rFonts w:eastAsia="Times New Roman"/>
            <w:lang w:eastAsia="en-GB"/>
          </w:rPr>
          <w:id w:val="614950452"/>
          <w:citation/>
        </w:sdtPr>
        <w:sdtContent>
          <w:r>
            <w:rPr>
              <w:rFonts w:eastAsia="Times New Roman"/>
              <w:lang w:eastAsia="en-GB"/>
            </w:rPr>
            <w:fldChar w:fldCharType="begin"/>
          </w:r>
          <w:r>
            <w:rPr>
              <w:rFonts w:eastAsia="Times New Roman"/>
              <w:lang w:eastAsia="en-GB"/>
            </w:rPr>
            <w:instrText xml:space="preserve"> CITATION Ste16 \l 2057 </w:instrText>
          </w:r>
          <w:r>
            <w:rPr>
              <w:rFonts w:eastAsia="Times New Roman"/>
              <w:lang w:eastAsia="en-GB"/>
            </w:rPr>
            <w:fldChar w:fldCharType="separate"/>
          </w:r>
          <w:r>
            <w:rPr>
              <w:rFonts w:eastAsia="Times New Roman"/>
              <w:noProof/>
              <w:lang w:eastAsia="en-GB"/>
            </w:rPr>
            <w:t>(Taylor, 2016)</w:t>
          </w:r>
          <w:r>
            <w:rPr>
              <w:rFonts w:eastAsia="Times New Roman"/>
              <w:lang w:eastAsia="en-GB"/>
            </w:rPr>
            <w:fldChar w:fldCharType="end"/>
          </w:r>
        </w:sdtContent>
      </w:sdt>
      <w:r>
        <w:rPr>
          <w:rFonts w:eastAsia="Times New Roman"/>
          <w:lang w:eastAsia="en-GB"/>
        </w:rPr>
        <w:t xml:space="preserve"> as a more sophisticated approach have been introduced for some skills-based rol</w:t>
      </w:r>
      <w:r w:rsidR="005E1CF2">
        <w:rPr>
          <w:rFonts w:eastAsia="Times New Roman"/>
          <w:lang w:eastAsia="en-GB"/>
        </w:rPr>
        <w:t>e</w:t>
      </w:r>
      <w:r>
        <w:rPr>
          <w:rFonts w:eastAsia="Times New Roman"/>
          <w:lang w:eastAsia="en-GB"/>
        </w:rPr>
        <w:t xml:space="preserve">s such as tradesman, allowing the business to identify skills gaps and learning and development requirements, however, as </w:t>
      </w:r>
      <w:sdt>
        <w:sdtPr>
          <w:rPr>
            <w:rFonts w:eastAsia="Times New Roman"/>
            <w:lang w:eastAsia="en-GB"/>
          </w:rPr>
          <w:id w:val="551968381"/>
          <w:citation/>
        </w:sdtPr>
        <w:sdtContent>
          <w:r>
            <w:rPr>
              <w:rFonts w:eastAsia="Times New Roman"/>
              <w:lang w:eastAsia="en-GB"/>
            </w:rPr>
            <w:fldChar w:fldCharType="begin"/>
          </w:r>
          <w:r>
            <w:rPr>
              <w:rFonts w:eastAsia="Times New Roman"/>
              <w:lang w:eastAsia="en-GB"/>
            </w:rPr>
            <w:instrText xml:space="preserve"> CITATION Ste16 \l 2057 </w:instrText>
          </w:r>
          <w:r>
            <w:rPr>
              <w:rFonts w:eastAsia="Times New Roman"/>
              <w:lang w:eastAsia="en-GB"/>
            </w:rPr>
            <w:fldChar w:fldCharType="separate"/>
          </w:r>
          <w:r>
            <w:rPr>
              <w:rFonts w:eastAsia="Times New Roman"/>
              <w:noProof/>
              <w:lang w:eastAsia="en-GB"/>
            </w:rPr>
            <w:t>(Taylor, 2016)</w:t>
          </w:r>
          <w:r>
            <w:rPr>
              <w:rFonts w:eastAsia="Times New Roman"/>
              <w:lang w:eastAsia="en-GB"/>
            </w:rPr>
            <w:fldChar w:fldCharType="end"/>
          </w:r>
        </w:sdtContent>
      </w:sdt>
      <w:r>
        <w:rPr>
          <w:rFonts w:eastAsia="Times New Roman"/>
          <w:lang w:eastAsia="en-GB"/>
        </w:rPr>
        <w:t>, also identify this is a time-consuming process and with employees meeting th</w:t>
      </w:r>
      <w:r w:rsidR="005E1CF2">
        <w:rPr>
          <w:rFonts w:eastAsia="Times New Roman"/>
          <w:lang w:eastAsia="en-GB"/>
        </w:rPr>
        <w:t>ese</w:t>
      </w:r>
      <w:r>
        <w:rPr>
          <w:rFonts w:eastAsia="Times New Roman"/>
          <w:lang w:eastAsia="en-GB"/>
        </w:rPr>
        <w:t xml:space="preserve"> criteria being nationally</w:t>
      </w:r>
      <w:r w:rsidR="005E1CF2">
        <w:rPr>
          <w:rFonts w:eastAsia="Times New Roman"/>
          <w:lang w:eastAsia="en-GB"/>
        </w:rPr>
        <w:t xml:space="preserve"> and remotely</w:t>
      </w:r>
      <w:r>
        <w:rPr>
          <w:rFonts w:eastAsia="Times New Roman"/>
          <w:lang w:eastAsia="en-GB"/>
        </w:rPr>
        <w:t xml:space="preserve"> based, it can be difficult to meet with them all on a one to one basis</w:t>
      </w:r>
      <w:r w:rsidR="005E1CF2">
        <w:rPr>
          <w:rFonts w:eastAsia="Times New Roman"/>
          <w:lang w:eastAsia="en-GB"/>
        </w:rPr>
        <w:t xml:space="preserve">, a point on which </w:t>
      </w:r>
      <w:r w:rsidR="005E1CF2">
        <w:rPr>
          <w:rFonts w:eastAsia="Times New Roman"/>
          <w:noProof/>
          <w:lang w:eastAsia="en-GB"/>
        </w:rPr>
        <w:t xml:space="preserve">Reilly, (2016) also highlights as an added challenge for managers. </w:t>
      </w:r>
    </w:p>
    <w:p w:rsidR="002159F5" w:rsidRDefault="005E1CF2" w:rsidP="005E1CF2">
      <w:pPr>
        <w:jc w:val="both"/>
        <w:rPr>
          <w:noProof/>
        </w:rPr>
      </w:pPr>
      <w:r>
        <w:t xml:space="preserve">In Premier, the </w:t>
      </w:r>
      <w:r w:rsidRPr="005E1CF2">
        <w:t>Performance Process has mixed reviews</w:t>
      </w:r>
      <w:r>
        <w:t xml:space="preserve">,  in accordance with the expectancy theory, </w:t>
      </w:r>
      <w:sdt>
        <w:sdtPr>
          <w:id w:val="265900939"/>
          <w:citation/>
        </w:sdtPr>
        <w:sdtContent>
          <w:r>
            <w:fldChar w:fldCharType="begin"/>
          </w:r>
          <w:r>
            <w:instrText xml:space="preserve"> CITATION Vic95 \l 2057 </w:instrText>
          </w:r>
          <w:r>
            <w:fldChar w:fldCharType="separate"/>
          </w:r>
          <w:r w:rsidRPr="005E1CF2">
            <w:rPr>
              <w:noProof/>
            </w:rPr>
            <w:t>(Vroom, 1995)</w:t>
          </w:r>
          <w:r>
            <w:fldChar w:fldCharType="end"/>
          </w:r>
        </w:sdtContent>
      </w:sdt>
      <w:r>
        <w:t>, some employees are</w:t>
      </w:r>
      <w:r w:rsidRPr="005E1CF2">
        <w:t xml:space="preserve"> </w:t>
      </w:r>
      <w:r>
        <w:t xml:space="preserve">motivated to take part in the process because it is perceived as part of the process to achieve reward, such as promotion, the annual pay review or achievement of bonuses. However, others review it as a negative experience and an opportunity for Managers to give a “telling off” which originates in poor communication and Manager competency of handling the process, </w:t>
      </w:r>
      <w:r w:rsidRPr="005E1CF2">
        <w:rPr>
          <w:noProof/>
        </w:rPr>
        <w:t xml:space="preserve">Reilly, </w:t>
      </w:r>
      <w:r>
        <w:rPr>
          <w:noProof/>
        </w:rPr>
        <w:t>(</w:t>
      </w:r>
      <w:r w:rsidRPr="005E1CF2">
        <w:rPr>
          <w:noProof/>
        </w:rPr>
        <w:t>2016)</w:t>
      </w:r>
      <w:r>
        <w:rPr>
          <w:noProof/>
        </w:rPr>
        <w:t>, lists upskilling Managers and clarity of the process as two of the key performance management tips for success.</w:t>
      </w:r>
    </w:p>
    <w:p w:rsidR="005E1CF2" w:rsidRDefault="005E1CF2" w:rsidP="005E1CF2">
      <w:pPr>
        <w:jc w:val="both"/>
        <w:rPr>
          <w:noProof/>
        </w:rPr>
      </w:pPr>
      <w:r>
        <w:rPr>
          <w:noProof/>
        </w:rPr>
        <w:t xml:space="preserve">Premier recently took part in the Chwarae Teg Agile Nation Programme </w:t>
      </w:r>
      <w:r w:rsidRPr="005E1CF2">
        <w:rPr>
          <w:noProof/>
        </w:rPr>
        <w:t xml:space="preserve">Chwarae Teg, </w:t>
      </w:r>
      <w:r>
        <w:rPr>
          <w:noProof/>
        </w:rPr>
        <w:t>(</w:t>
      </w:r>
      <w:r w:rsidRPr="005E1CF2">
        <w:rPr>
          <w:noProof/>
        </w:rPr>
        <w:t>2018)</w:t>
      </w:r>
      <w:r>
        <w:rPr>
          <w:noProof/>
        </w:rPr>
        <w:t xml:space="preserve"> which provided Line Managers with training; Performance Management: Appraisals and Feedback.</w:t>
      </w:r>
    </w:p>
    <w:p w:rsidR="005E1CF2" w:rsidRPr="005E1CF2" w:rsidRDefault="005E1CF2" w:rsidP="005E1CF2">
      <w:pPr>
        <w:spacing w:after="0"/>
        <w:jc w:val="both"/>
        <w:rPr>
          <w:b/>
          <w:noProof/>
        </w:rPr>
      </w:pPr>
      <w:r w:rsidRPr="005E1CF2">
        <w:rPr>
          <w:b/>
          <w:noProof/>
        </w:rPr>
        <w:t>Room for Improvement?</w:t>
      </w:r>
    </w:p>
    <w:p w:rsidR="005E1CF2" w:rsidRDefault="005E1CF2" w:rsidP="005E1CF2">
      <w:pPr>
        <w:jc w:val="both"/>
      </w:pPr>
      <w:r>
        <w:t xml:space="preserve">On reflection, the appraisal forms seem cumbersome, Managers appear to struggle with completing them at the time of the appraisal and seem to be behind with their completion, therefore it would be sensible to set up a workshop with Managers to understand how the documentation could be improved.   </w:t>
      </w:r>
    </w:p>
    <w:p w:rsidR="005E1CF2" w:rsidRDefault="005E1CF2" w:rsidP="005E1CF2">
      <w:pPr>
        <w:jc w:val="both"/>
      </w:pPr>
      <w:r>
        <w:t xml:space="preserve">To improve communication and increase the positive opinions Premier would benefit from investing further in Manager training, which according to </w:t>
      </w:r>
      <w:r w:rsidRPr="005E1CF2">
        <w:rPr>
          <w:noProof/>
        </w:rPr>
        <w:t xml:space="preserve">CIPD, </w:t>
      </w:r>
      <w:r>
        <w:rPr>
          <w:noProof/>
        </w:rPr>
        <w:t>(</w:t>
      </w:r>
      <w:r w:rsidRPr="005E1CF2">
        <w:rPr>
          <w:noProof/>
        </w:rPr>
        <w:t>2018)</w:t>
      </w:r>
      <w:r>
        <w:t>, provides Managers with the required skills to improve the process, develop their own management skills and also develop the organisational culture through the Line Managers.</w:t>
      </w:r>
    </w:p>
    <w:p w:rsidR="005E1CF2" w:rsidRDefault="005E1CF2" w:rsidP="005E1CF2">
      <w:pPr>
        <w:spacing w:after="120" w:line="240" w:lineRule="auto"/>
        <w:jc w:val="both"/>
      </w:pPr>
      <w:r>
        <w:t xml:space="preserve">75% of Premier workforce are based remotely, given the logistical  issues in appraising all employees within the appraisal period (September – November) Premier would benefit from introducing continuous appraisals, this would allow Managers to  carry out reviews all year round, the company may also benefit from setting Managers a KPI as part of their own performance measures, to complete an agreed number of appraisals per month, by doing so, the company would also benefit from some other benefits of continuous appraisal, </w:t>
      </w:r>
      <w:sdt>
        <w:sdtPr>
          <w:id w:val="-168556585"/>
          <w:citation/>
        </w:sdtPr>
        <w:sdtContent>
          <w:r>
            <w:fldChar w:fldCharType="begin"/>
          </w:r>
          <w:r>
            <w:instrText xml:space="preserve"> CITATION HRN17 \l 2057 </w:instrText>
          </w:r>
          <w:r>
            <w:fldChar w:fldCharType="separate"/>
          </w:r>
          <w:r w:rsidRPr="005E1CF2">
            <w:rPr>
              <w:noProof/>
            </w:rPr>
            <w:t>(HR News, 2017)</w:t>
          </w:r>
          <w:r>
            <w:fldChar w:fldCharType="end"/>
          </w:r>
        </w:sdtContent>
      </w:sdt>
      <w:r>
        <w:t>:</w:t>
      </w:r>
    </w:p>
    <w:p w:rsidR="005E1CF2" w:rsidRDefault="005E1CF2" w:rsidP="005E1CF2">
      <w:pPr>
        <w:pStyle w:val="NormalWeb"/>
        <w:numPr>
          <w:ilvl w:val="0"/>
          <w:numId w:val="8"/>
        </w:numPr>
        <w:shd w:val="clear" w:color="auto" w:fill="FFFFFF"/>
        <w:spacing w:before="0" w:beforeAutospacing="0" w:after="0" w:afterAutospacing="0"/>
        <w:ind w:left="714" w:hanging="357"/>
        <w:textAlignment w:val="baseline"/>
        <w:rPr>
          <w:rFonts w:asciiTheme="minorHAnsi" w:hAnsiTheme="minorHAnsi" w:cs="Helvetica"/>
          <w:color w:val="333333"/>
          <w:sz w:val="22"/>
          <w:szCs w:val="22"/>
        </w:rPr>
      </w:pPr>
      <w:r w:rsidRPr="005E1CF2">
        <w:rPr>
          <w:rStyle w:val="Strong"/>
          <w:rFonts w:asciiTheme="minorHAnsi" w:hAnsiTheme="minorHAnsi" w:cs="Helvetica"/>
          <w:color w:val="1C1C1C"/>
          <w:sz w:val="22"/>
          <w:szCs w:val="22"/>
          <w:bdr w:val="none" w:sz="0" w:space="0" w:color="auto" w:frame="1"/>
        </w:rPr>
        <w:t>Employees always know where they stan</w:t>
      </w:r>
      <w:r>
        <w:rPr>
          <w:rStyle w:val="Strong"/>
          <w:rFonts w:asciiTheme="minorHAnsi" w:hAnsiTheme="minorHAnsi" w:cs="Helvetica"/>
          <w:color w:val="1C1C1C"/>
          <w:sz w:val="22"/>
          <w:szCs w:val="22"/>
          <w:bdr w:val="none" w:sz="0" w:space="0" w:color="auto" w:frame="1"/>
        </w:rPr>
        <w:t>d</w:t>
      </w:r>
      <w:r w:rsidRPr="005E1CF2">
        <w:rPr>
          <w:rFonts w:asciiTheme="minorHAnsi" w:hAnsiTheme="minorHAnsi" w:cs="Helvetica"/>
          <w:color w:val="333333"/>
          <w:sz w:val="22"/>
          <w:szCs w:val="22"/>
        </w:rPr>
        <w:t> </w:t>
      </w:r>
    </w:p>
    <w:p w:rsidR="005E1CF2" w:rsidRDefault="005E1CF2" w:rsidP="005E1CF2">
      <w:pPr>
        <w:pStyle w:val="NormalWeb"/>
        <w:numPr>
          <w:ilvl w:val="0"/>
          <w:numId w:val="8"/>
        </w:numPr>
        <w:shd w:val="clear" w:color="auto" w:fill="FFFFFF"/>
        <w:spacing w:before="0" w:beforeAutospacing="0" w:after="0" w:afterAutospacing="0"/>
        <w:textAlignment w:val="baseline"/>
        <w:rPr>
          <w:rFonts w:asciiTheme="minorHAnsi" w:hAnsiTheme="minorHAnsi" w:cs="Helvetica"/>
          <w:color w:val="333333"/>
          <w:sz w:val="22"/>
          <w:szCs w:val="22"/>
        </w:rPr>
      </w:pPr>
      <w:r w:rsidRPr="005E1CF2">
        <w:rPr>
          <w:rStyle w:val="Strong"/>
          <w:rFonts w:asciiTheme="minorHAnsi" w:hAnsiTheme="minorHAnsi" w:cs="Helvetica"/>
          <w:color w:val="1C1C1C"/>
          <w:sz w:val="22"/>
          <w:szCs w:val="22"/>
          <w:bdr w:val="none" w:sz="0" w:space="0" w:color="auto" w:frame="1"/>
        </w:rPr>
        <w:t>Timely and Actionable Feedback</w:t>
      </w:r>
      <w:r w:rsidRPr="005E1CF2">
        <w:rPr>
          <w:rFonts w:asciiTheme="minorHAnsi" w:hAnsiTheme="minorHAnsi" w:cs="Helvetica"/>
          <w:color w:val="333333"/>
          <w:sz w:val="22"/>
          <w:szCs w:val="22"/>
        </w:rPr>
        <w:t> </w:t>
      </w:r>
    </w:p>
    <w:p w:rsidR="005E1CF2" w:rsidRDefault="005E1CF2" w:rsidP="005E1CF2">
      <w:pPr>
        <w:pStyle w:val="NormalWeb"/>
        <w:numPr>
          <w:ilvl w:val="0"/>
          <w:numId w:val="8"/>
        </w:numPr>
        <w:shd w:val="clear" w:color="auto" w:fill="FFFFFF"/>
        <w:spacing w:before="0" w:beforeAutospacing="0" w:after="0" w:afterAutospacing="0"/>
        <w:textAlignment w:val="baseline"/>
        <w:rPr>
          <w:rFonts w:asciiTheme="minorHAnsi" w:hAnsiTheme="minorHAnsi" w:cs="Helvetica"/>
          <w:color w:val="333333"/>
          <w:sz w:val="22"/>
          <w:szCs w:val="22"/>
        </w:rPr>
      </w:pPr>
      <w:r w:rsidRPr="005E1CF2">
        <w:rPr>
          <w:rStyle w:val="Strong"/>
          <w:rFonts w:asciiTheme="minorHAnsi" w:hAnsiTheme="minorHAnsi" w:cs="Helvetica"/>
          <w:color w:val="1C1C1C"/>
          <w:sz w:val="22"/>
          <w:szCs w:val="22"/>
          <w:bdr w:val="none" w:sz="0" w:space="0" w:color="auto" w:frame="1"/>
        </w:rPr>
        <w:t>Constant Opportunities for Development</w:t>
      </w:r>
    </w:p>
    <w:p w:rsidR="005E1CF2" w:rsidRDefault="005E1CF2" w:rsidP="005E1CF2">
      <w:pPr>
        <w:pStyle w:val="NormalWeb"/>
        <w:numPr>
          <w:ilvl w:val="0"/>
          <w:numId w:val="8"/>
        </w:numPr>
        <w:shd w:val="clear" w:color="auto" w:fill="FFFFFF"/>
        <w:spacing w:before="0" w:beforeAutospacing="0" w:after="0" w:afterAutospacing="0"/>
        <w:textAlignment w:val="baseline"/>
        <w:rPr>
          <w:rFonts w:asciiTheme="minorHAnsi" w:hAnsiTheme="minorHAnsi" w:cs="Helvetica"/>
          <w:color w:val="333333"/>
          <w:sz w:val="22"/>
          <w:szCs w:val="22"/>
        </w:rPr>
      </w:pPr>
      <w:r w:rsidRPr="005E1CF2">
        <w:rPr>
          <w:rStyle w:val="Strong"/>
          <w:rFonts w:asciiTheme="minorHAnsi" w:hAnsiTheme="minorHAnsi" w:cs="Helvetica"/>
          <w:color w:val="1C1C1C"/>
          <w:sz w:val="22"/>
          <w:szCs w:val="22"/>
          <w:bdr w:val="none" w:sz="0" w:space="0" w:color="auto" w:frame="1"/>
        </w:rPr>
        <w:t xml:space="preserve">Managers </w:t>
      </w:r>
      <w:r>
        <w:rPr>
          <w:rStyle w:val="Strong"/>
          <w:rFonts w:asciiTheme="minorHAnsi" w:hAnsiTheme="minorHAnsi" w:cs="Helvetica"/>
          <w:color w:val="1C1C1C"/>
          <w:sz w:val="22"/>
          <w:szCs w:val="22"/>
          <w:bdr w:val="none" w:sz="0" w:space="0" w:color="auto" w:frame="1"/>
        </w:rPr>
        <w:t>have a better p</w:t>
      </w:r>
      <w:r w:rsidRPr="005E1CF2">
        <w:rPr>
          <w:rStyle w:val="Strong"/>
          <w:rFonts w:asciiTheme="minorHAnsi" w:hAnsiTheme="minorHAnsi" w:cs="Helvetica"/>
          <w:color w:val="1C1C1C"/>
          <w:sz w:val="22"/>
          <w:szCs w:val="22"/>
          <w:bdr w:val="none" w:sz="0" w:space="0" w:color="auto" w:frame="1"/>
        </w:rPr>
        <w:t>icture of Employee Performance</w:t>
      </w:r>
    </w:p>
    <w:p w:rsidR="005E1CF2" w:rsidRPr="005E1CF2" w:rsidRDefault="005E1CF2" w:rsidP="005E1CF2">
      <w:pPr>
        <w:pStyle w:val="NormalWeb"/>
        <w:numPr>
          <w:ilvl w:val="0"/>
          <w:numId w:val="8"/>
        </w:numPr>
        <w:shd w:val="clear" w:color="auto" w:fill="FFFFFF"/>
        <w:spacing w:before="0" w:beforeAutospacing="0" w:after="0" w:afterAutospacing="0"/>
        <w:textAlignment w:val="baseline"/>
        <w:rPr>
          <w:rFonts w:asciiTheme="minorHAnsi" w:hAnsiTheme="minorHAnsi" w:cs="Helvetica"/>
          <w:color w:val="333333"/>
          <w:sz w:val="22"/>
          <w:szCs w:val="22"/>
        </w:rPr>
      </w:pPr>
      <w:r w:rsidRPr="005E1CF2">
        <w:rPr>
          <w:rStyle w:val="Strong"/>
          <w:rFonts w:asciiTheme="minorHAnsi" w:hAnsiTheme="minorHAnsi" w:cs="Helvetica"/>
          <w:color w:val="1C1C1C"/>
          <w:sz w:val="22"/>
          <w:szCs w:val="22"/>
          <w:bdr w:val="none" w:sz="0" w:space="0" w:color="auto" w:frame="1"/>
        </w:rPr>
        <w:t>Improved Ability to Close Skill Gaps</w:t>
      </w:r>
    </w:p>
    <w:p w:rsidR="005E1CF2" w:rsidRDefault="005E1CF2"/>
    <w:p w:rsidR="005E1CF2" w:rsidRPr="005E1CF2" w:rsidRDefault="005E1CF2">
      <w:pPr>
        <w:rPr>
          <w:b/>
          <w:sz w:val="24"/>
          <w:szCs w:val="24"/>
        </w:rPr>
      </w:pPr>
      <w:r w:rsidRPr="005E1CF2">
        <w:rPr>
          <w:b/>
          <w:sz w:val="24"/>
          <w:szCs w:val="24"/>
        </w:rPr>
        <w:lastRenderedPageBreak/>
        <w:t>Appendix One</w:t>
      </w:r>
    </w:p>
    <w:p w:rsidR="005E1CF2" w:rsidRDefault="005E1CF2" w:rsidP="005E1CF2">
      <w:pPr>
        <w:jc w:val="center"/>
        <w:rPr>
          <w:sz w:val="24"/>
          <w:szCs w:val="24"/>
        </w:rPr>
      </w:pPr>
      <w:r>
        <w:rPr>
          <w:noProof/>
        </w:rPr>
        <w:drawing>
          <wp:inline distT="0" distB="0" distL="0" distR="0" wp14:anchorId="1E2A5280" wp14:editId="739180E3">
            <wp:extent cx="4953000" cy="75533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53000" cy="7553325"/>
                    </a:xfrm>
                    <a:prstGeom prst="rect">
                      <a:avLst/>
                    </a:prstGeom>
                  </pic:spPr>
                </pic:pic>
              </a:graphicData>
            </a:graphic>
          </wp:inline>
        </w:drawing>
      </w:r>
    </w:p>
    <w:p w:rsidR="005E1CF2" w:rsidRDefault="005E1CF2" w:rsidP="005E1CF2">
      <w:pPr>
        <w:jc w:val="center"/>
        <w:rPr>
          <w:sz w:val="24"/>
          <w:szCs w:val="24"/>
        </w:rPr>
      </w:pPr>
      <w:r>
        <w:rPr>
          <w:noProof/>
        </w:rPr>
        <w:lastRenderedPageBreak/>
        <w:drawing>
          <wp:inline distT="0" distB="0" distL="0" distR="0" wp14:anchorId="319E5F72" wp14:editId="58481059">
            <wp:extent cx="4848225" cy="75628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48225" cy="7562850"/>
                    </a:xfrm>
                    <a:prstGeom prst="rect">
                      <a:avLst/>
                    </a:prstGeom>
                  </pic:spPr>
                </pic:pic>
              </a:graphicData>
            </a:graphic>
          </wp:inline>
        </w:drawing>
      </w:r>
    </w:p>
    <w:p w:rsidR="005E1CF2" w:rsidRDefault="005E1CF2" w:rsidP="005E1CF2">
      <w:pPr>
        <w:jc w:val="center"/>
        <w:rPr>
          <w:sz w:val="24"/>
          <w:szCs w:val="24"/>
        </w:rPr>
      </w:pPr>
      <w:r>
        <w:rPr>
          <w:noProof/>
        </w:rPr>
        <w:lastRenderedPageBreak/>
        <w:drawing>
          <wp:anchor distT="0" distB="0" distL="114300" distR="114300" simplePos="0" relativeHeight="251659264" behindDoc="1" locked="0" layoutInCell="1" allowOverlap="1" wp14:anchorId="17DB330C">
            <wp:simplePos x="0" y="0"/>
            <wp:positionH relativeFrom="column">
              <wp:posOffset>601980</wp:posOffset>
            </wp:positionH>
            <wp:positionV relativeFrom="paragraph">
              <wp:posOffset>0</wp:posOffset>
            </wp:positionV>
            <wp:extent cx="4579620" cy="2615596"/>
            <wp:effectExtent l="0" t="0" r="0" b="0"/>
            <wp:wrapTight wrapText="bothSides">
              <wp:wrapPolygon edited="0">
                <wp:start x="0" y="0"/>
                <wp:lineTo x="0" y="21395"/>
                <wp:lineTo x="21474" y="21395"/>
                <wp:lineTo x="2147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79620" cy="2615596"/>
                    </a:xfrm>
                    <a:prstGeom prst="rect">
                      <a:avLst/>
                    </a:prstGeom>
                  </pic:spPr>
                </pic:pic>
              </a:graphicData>
            </a:graphic>
            <wp14:sizeRelH relativeFrom="page">
              <wp14:pctWidth>0</wp14:pctWidth>
            </wp14:sizeRelH>
            <wp14:sizeRelV relativeFrom="page">
              <wp14:pctHeight>0</wp14:pctHeight>
            </wp14:sizeRelV>
          </wp:anchor>
        </w:drawing>
      </w:r>
    </w:p>
    <w:p w:rsidR="005E1CF2" w:rsidRDefault="005E1CF2" w:rsidP="005E1CF2">
      <w:pPr>
        <w:jc w:val="center"/>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r>
        <w:rPr>
          <w:noProof/>
        </w:rPr>
        <w:drawing>
          <wp:anchor distT="0" distB="0" distL="114300" distR="114300" simplePos="0" relativeHeight="251660288" behindDoc="1" locked="0" layoutInCell="1" allowOverlap="1" wp14:anchorId="63C370D6">
            <wp:simplePos x="0" y="0"/>
            <wp:positionH relativeFrom="margin">
              <wp:align>center</wp:align>
            </wp:positionH>
            <wp:positionV relativeFrom="paragraph">
              <wp:posOffset>3810</wp:posOffset>
            </wp:positionV>
            <wp:extent cx="4572000" cy="3035935"/>
            <wp:effectExtent l="0" t="0" r="0" b="0"/>
            <wp:wrapTight wrapText="bothSides">
              <wp:wrapPolygon edited="0">
                <wp:start x="0" y="0"/>
                <wp:lineTo x="0" y="21415"/>
                <wp:lineTo x="21510" y="21415"/>
                <wp:lineTo x="2151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035935"/>
                    </a:xfrm>
                    <a:prstGeom prst="rect">
                      <a:avLst/>
                    </a:prstGeom>
                  </pic:spPr>
                </pic:pic>
              </a:graphicData>
            </a:graphic>
            <wp14:sizeRelH relativeFrom="page">
              <wp14:pctWidth>0</wp14:pctWidth>
            </wp14:sizeRelH>
            <wp14:sizeRelV relativeFrom="page">
              <wp14:pctHeight>0</wp14:pctHeight>
            </wp14:sizeRelV>
          </wp:anchor>
        </w:drawing>
      </w: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r>
        <w:rPr>
          <w:noProof/>
        </w:rPr>
        <w:drawing>
          <wp:anchor distT="0" distB="0" distL="114300" distR="114300" simplePos="0" relativeHeight="251661312" behindDoc="1" locked="0" layoutInCell="1" allowOverlap="1" wp14:anchorId="0AF2B797">
            <wp:simplePos x="0" y="0"/>
            <wp:positionH relativeFrom="margin">
              <wp:align>center</wp:align>
            </wp:positionH>
            <wp:positionV relativeFrom="paragraph">
              <wp:posOffset>56515</wp:posOffset>
            </wp:positionV>
            <wp:extent cx="4411980" cy="2436495"/>
            <wp:effectExtent l="0" t="0" r="7620" b="1905"/>
            <wp:wrapTight wrapText="bothSides">
              <wp:wrapPolygon edited="0">
                <wp:start x="0" y="0"/>
                <wp:lineTo x="0" y="21448"/>
                <wp:lineTo x="21544" y="21448"/>
                <wp:lineTo x="2154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11980" cy="2436495"/>
                    </a:xfrm>
                    <a:prstGeom prst="rect">
                      <a:avLst/>
                    </a:prstGeom>
                  </pic:spPr>
                </pic:pic>
              </a:graphicData>
            </a:graphic>
            <wp14:sizeRelH relativeFrom="page">
              <wp14:pctWidth>0</wp14:pctWidth>
            </wp14:sizeRelH>
            <wp14:sizeRelV relativeFrom="page">
              <wp14:pctHeight>0</wp14:pctHeight>
            </wp14:sizeRelV>
          </wp:anchor>
        </w:drawing>
      </w: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Pr="002B55AF" w:rsidRDefault="002B55AF" w:rsidP="002B55AF">
      <w:pPr>
        <w:pStyle w:val="Bibliography"/>
        <w:rPr>
          <w:b/>
          <w:sz w:val="24"/>
          <w:szCs w:val="24"/>
        </w:rPr>
      </w:pPr>
      <w:r w:rsidRPr="002B55AF">
        <w:rPr>
          <w:b/>
          <w:sz w:val="24"/>
          <w:szCs w:val="24"/>
        </w:rPr>
        <w:lastRenderedPageBreak/>
        <w:t>Bibliography</w:t>
      </w:r>
    </w:p>
    <w:p w:rsidR="002B55AF" w:rsidRDefault="002B55AF" w:rsidP="002B55AF">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Chwarae Teg, 2018. </w:t>
      </w:r>
      <w:r>
        <w:rPr>
          <w:i/>
          <w:iCs/>
          <w:noProof/>
        </w:rPr>
        <w:t xml:space="preserve">https://chwaraeteg.com. </w:t>
      </w:r>
      <w:r>
        <w:rPr>
          <w:noProof/>
        </w:rPr>
        <w:t xml:space="preserve">[Online] </w:t>
      </w:r>
      <w:r>
        <w:rPr>
          <w:noProof/>
        </w:rPr>
        <w:br/>
        <w:t xml:space="preserve">Available at: </w:t>
      </w:r>
      <w:r>
        <w:rPr>
          <w:noProof/>
          <w:u w:val="single"/>
        </w:rPr>
        <w:t>https://chwaraeteg.com/projects/agile-nation-2-business-programme/?gclid=Cj0KCQjwvo_qBRDQARIsAE-bsH_80gAj0ibEfDlLXW13ytmoDrV0T6aU3k4KCfo5DOtacKY94Ehmd7kaAsVIEALw_wcB</w:t>
      </w:r>
      <w:r>
        <w:rPr>
          <w:noProof/>
        </w:rPr>
        <w:br/>
        <w:t>[Accessed 31 July 2019].</w:t>
      </w:r>
    </w:p>
    <w:p w:rsidR="002B55AF" w:rsidRDefault="002B55AF" w:rsidP="002B55AF">
      <w:pPr>
        <w:pStyle w:val="Bibliography"/>
        <w:rPr>
          <w:noProof/>
        </w:rPr>
      </w:pPr>
      <w:r>
        <w:rPr>
          <w:noProof/>
        </w:rPr>
        <w:t xml:space="preserve">CIPD, 2018. </w:t>
      </w:r>
      <w:r>
        <w:rPr>
          <w:i/>
          <w:iCs/>
          <w:noProof/>
        </w:rPr>
        <w:t xml:space="preserve">https://www.cipd.co.uk. </w:t>
      </w:r>
      <w:r>
        <w:rPr>
          <w:noProof/>
        </w:rPr>
        <w:t xml:space="preserve">[Online] </w:t>
      </w:r>
      <w:r>
        <w:rPr>
          <w:noProof/>
        </w:rPr>
        <w:br/>
        <w:t xml:space="preserve">Available at: </w:t>
      </w:r>
      <w:r>
        <w:rPr>
          <w:noProof/>
          <w:u w:val="single"/>
        </w:rPr>
        <w:t>https://www.cipd.co.uk/knowledge/fundamentals/people/hr/line-managers-factsheet</w:t>
      </w:r>
    </w:p>
    <w:p w:rsidR="002B55AF" w:rsidRDefault="002B55AF" w:rsidP="002B55AF">
      <w:pPr>
        <w:pStyle w:val="Bibliography"/>
        <w:rPr>
          <w:noProof/>
        </w:rPr>
      </w:pPr>
      <w:r>
        <w:rPr>
          <w:noProof/>
        </w:rPr>
        <w:t xml:space="preserve">Doran, G. T., 1981. There’s a S.M.A.R.T. way to write management’s goals and objectives. </w:t>
      </w:r>
      <w:r>
        <w:rPr>
          <w:i/>
          <w:iCs/>
          <w:noProof/>
        </w:rPr>
        <w:t xml:space="preserve">Management Review, </w:t>
      </w:r>
      <w:r>
        <w:rPr>
          <w:noProof/>
        </w:rPr>
        <w:t>70(11), pp. 35-36.</w:t>
      </w:r>
    </w:p>
    <w:p w:rsidR="002B55AF" w:rsidRDefault="002B55AF" w:rsidP="002B55AF">
      <w:pPr>
        <w:pStyle w:val="Bibliography"/>
        <w:rPr>
          <w:noProof/>
        </w:rPr>
      </w:pPr>
      <w:r>
        <w:rPr>
          <w:noProof/>
        </w:rPr>
        <w:t xml:space="preserve">HR News, 2017. </w:t>
      </w:r>
      <w:r>
        <w:rPr>
          <w:i/>
          <w:iCs/>
          <w:noProof/>
        </w:rPr>
        <w:t xml:space="preserve">http://hrnews.co.uk. </w:t>
      </w:r>
      <w:r>
        <w:rPr>
          <w:noProof/>
        </w:rPr>
        <w:t xml:space="preserve">[Online] </w:t>
      </w:r>
      <w:r>
        <w:rPr>
          <w:noProof/>
        </w:rPr>
        <w:br/>
        <w:t xml:space="preserve">Available at: </w:t>
      </w:r>
      <w:r>
        <w:rPr>
          <w:noProof/>
          <w:u w:val="single"/>
        </w:rPr>
        <w:t>http://hrnews.co.uk/top-10-benefits-continuous-performance-management/</w:t>
      </w:r>
      <w:r>
        <w:rPr>
          <w:noProof/>
        </w:rPr>
        <w:br/>
        <w:t>[Accessed 31 July 2019].</w:t>
      </w:r>
    </w:p>
    <w:p w:rsidR="002B55AF" w:rsidRDefault="002B55AF" w:rsidP="002B55AF">
      <w:pPr>
        <w:pStyle w:val="Bibliography"/>
        <w:rPr>
          <w:noProof/>
        </w:rPr>
      </w:pPr>
      <w:r>
        <w:rPr>
          <w:noProof/>
        </w:rPr>
        <w:t xml:space="preserve">Reilly, P., 2016. Performance Management; Making it Work. </w:t>
      </w:r>
      <w:r>
        <w:rPr>
          <w:i/>
          <w:iCs/>
          <w:noProof/>
        </w:rPr>
        <w:t>HR Essentials</w:t>
      </w:r>
      <w:r>
        <w:rPr>
          <w:noProof/>
        </w:rPr>
        <w:t xml:space="preserve">, 6 May. </w:t>
      </w:r>
    </w:p>
    <w:p w:rsidR="002B55AF" w:rsidRDefault="002B55AF" w:rsidP="002B55AF">
      <w:pPr>
        <w:pStyle w:val="Bibliography"/>
        <w:rPr>
          <w:noProof/>
        </w:rPr>
      </w:pPr>
      <w:r>
        <w:rPr>
          <w:noProof/>
        </w:rPr>
        <w:t xml:space="preserve">Taylor, S., 2016. Improving Organisational Performance. In: </w:t>
      </w:r>
      <w:r>
        <w:rPr>
          <w:i/>
          <w:iCs/>
          <w:noProof/>
        </w:rPr>
        <w:t xml:space="preserve">Human Resource Management: People and Organisations. </w:t>
      </w:r>
      <w:r>
        <w:rPr>
          <w:noProof/>
        </w:rPr>
        <w:t>London: CIPD, pp. 197-216.</w:t>
      </w:r>
    </w:p>
    <w:p w:rsidR="002B55AF" w:rsidRDefault="002B55AF" w:rsidP="002B55AF">
      <w:pPr>
        <w:pStyle w:val="Bibliography"/>
        <w:rPr>
          <w:noProof/>
        </w:rPr>
      </w:pPr>
      <w:r>
        <w:rPr>
          <w:noProof/>
        </w:rPr>
        <w:t xml:space="preserve">Vroom, V., 1995. </w:t>
      </w:r>
      <w:r>
        <w:rPr>
          <w:i/>
          <w:iCs/>
          <w:noProof/>
        </w:rPr>
        <w:t xml:space="preserve">Work and Motivation. </w:t>
      </w:r>
      <w:r>
        <w:rPr>
          <w:noProof/>
        </w:rPr>
        <w:t>First ed. San Francisco: Jossey-Bass Inc.</w:t>
      </w:r>
    </w:p>
    <w:p w:rsidR="002B55AF" w:rsidRDefault="002B55AF" w:rsidP="002B55AF">
      <w:pPr>
        <w:spacing w:line="259" w:lineRule="auto"/>
        <w:rPr>
          <w:sz w:val="24"/>
          <w:szCs w:val="24"/>
        </w:rPr>
      </w:pPr>
      <w:r>
        <w:rPr>
          <w:sz w:val="24"/>
          <w:szCs w:val="24"/>
        </w:rPr>
        <w:fldChar w:fldCharType="end"/>
      </w: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2B55AF" w:rsidRDefault="002B55AF" w:rsidP="002B55AF">
      <w:pPr>
        <w:spacing w:line="259" w:lineRule="auto"/>
        <w:rPr>
          <w:sz w:val="24"/>
          <w:szCs w:val="24"/>
        </w:rPr>
      </w:pPr>
    </w:p>
    <w:p w:rsidR="005E1CF2" w:rsidRPr="002159F5" w:rsidRDefault="005E1CF2" w:rsidP="002B55AF">
      <w:pPr>
        <w:spacing w:line="259" w:lineRule="auto"/>
        <w:rPr>
          <w:sz w:val="24"/>
          <w:szCs w:val="24"/>
        </w:rPr>
      </w:pPr>
    </w:p>
    <w:sectPr w:rsidR="005E1CF2" w:rsidRPr="002159F5" w:rsidSect="00C473E8">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73E8" w:rsidRDefault="00C473E8" w:rsidP="00C473E8">
      <w:pPr>
        <w:spacing w:after="0" w:line="240" w:lineRule="auto"/>
      </w:pPr>
      <w:r>
        <w:separator/>
      </w:r>
    </w:p>
  </w:endnote>
  <w:endnote w:type="continuationSeparator" w:id="0">
    <w:p w:rsidR="00C473E8" w:rsidRDefault="00C473E8" w:rsidP="00C47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955525"/>
      <w:docPartObj>
        <w:docPartGallery w:val="Page Numbers (Bottom of Page)"/>
        <w:docPartUnique/>
      </w:docPartObj>
    </w:sdtPr>
    <w:sdtEndPr/>
    <w:sdtContent>
      <w:sdt>
        <w:sdtPr>
          <w:id w:val="-1769616900"/>
          <w:docPartObj>
            <w:docPartGallery w:val="Page Numbers (Top of Page)"/>
            <w:docPartUnique/>
          </w:docPartObj>
        </w:sdtPr>
        <w:sdtEndPr/>
        <w:sdtContent>
          <w:p w:rsidR="00C473E8" w:rsidRDefault="00C473E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C473E8" w:rsidRDefault="00C473E8">
    <w:pPr>
      <w:pStyle w:val="Footer"/>
    </w:pPr>
  </w:p>
  <w:p w:rsidR="00EB54D6" w:rsidRDefault="00EB54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73E8" w:rsidRDefault="00C473E8" w:rsidP="00C473E8">
      <w:pPr>
        <w:spacing w:after="0" w:line="240" w:lineRule="auto"/>
      </w:pPr>
      <w:r>
        <w:separator/>
      </w:r>
    </w:p>
  </w:footnote>
  <w:footnote w:type="continuationSeparator" w:id="0">
    <w:p w:rsidR="00C473E8" w:rsidRDefault="00C473E8" w:rsidP="00C473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A6867"/>
    <w:multiLevelType w:val="hybridMultilevel"/>
    <w:tmpl w:val="1682DE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754BE"/>
    <w:multiLevelType w:val="hybridMultilevel"/>
    <w:tmpl w:val="7626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F4B33"/>
    <w:multiLevelType w:val="hybridMultilevel"/>
    <w:tmpl w:val="3510FB4E"/>
    <w:lvl w:ilvl="0" w:tplc="08090017">
      <w:start w:val="1"/>
      <w:numFmt w:val="lowerLetter"/>
      <w:lvlText w:val="%1)"/>
      <w:lvlJc w:val="left"/>
      <w:pPr>
        <w:ind w:left="720" w:hanging="360"/>
      </w:pPr>
    </w:lvl>
    <w:lvl w:ilvl="1" w:tplc="08090013">
      <w:start w:val="1"/>
      <w:numFmt w:val="upp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F81597"/>
    <w:multiLevelType w:val="hybridMultilevel"/>
    <w:tmpl w:val="EE0A91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B0694A"/>
    <w:multiLevelType w:val="hybridMultilevel"/>
    <w:tmpl w:val="0F905E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476D7B"/>
    <w:multiLevelType w:val="hybridMultilevel"/>
    <w:tmpl w:val="7A0C9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394B9A"/>
    <w:multiLevelType w:val="hybridMultilevel"/>
    <w:tmpl w:val="75A47FF0"/>
    <w:lvl w:ilvl="0" w:tplc="7FC899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EEA1A57"/>
    <w:multiLevelType w:val="hybridMultilevel"/>
    <w:tmpl w:val="5A76F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3"/>
  </w:num>
  <w:num w:numId="5">
    <w:abstractNumId w:val="2"/>
  </w:num>
  <w:num w:numId="6">
    <w:abstractNumId w:val="6"/>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0NjExMDY1MTUwMDRQ0lEKTi0uzszPAykwqwUAsmXN5iwAAAA="/>
  </w:docVars>
  <w:rsids>
    <w:rsidRoot w:val="000B3E94"/>
    <w:rsid w:val="0004297A"/>
    <w:rsid w:val="000B3E94"/>
    <w:rsid w:val="000C0DAF"/>
    <w:rsid w:val="0017487D"/>
    <w:rsid w:val="002159F5"/>
    <w:rsid w:val="00251CBC"/>
    <w:rsid w:val="00271866"/>
    <w:rsid w:val="002B55AF"/>
    <w:rsid w:val="002B6CA4"/>
    <w:rsid w:val="00327D58"/>
    <w:rsid w:val="003A50B6"/>
    <w:rsid w:val="003F6F08"/>
    <w:rsid w:val="004B46A5"/>
    <w:rsid w:val="004E0830"/>
    <w:rsid w:val="005E1CF2"/>
    <w:rsid w:val="00632F91"/>
    <w:rsid w:val="00676BC1"/>
    <w:rsid w:val="006A599B"/>
    <w:rsid w:val="006C21F1"/>
    <w:rsid w:val="007332EA"/>
    <w:rsid w:val="007B7873"/>
    <w:rsid w:val="00900765"/>
    <w:rsid w:val="00923142"/>
    <w:rsid w:val="009D329C"/>
    <w:rsid w:val="00A711CE"/>
    <w:rsid w:val="00C466A5"/>
    <w:rsid w:val="00C473E8"/>
    <w:rsid w:val="00CB6671"/>
    <w:rsid w:val="00EB54D6"/>
    <w:rsid w:val="00FA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49E2E"/>
  <w15:chartTrackingRefBased/>
  <w15:docId w15:val="{3160A791-6620-4CC5-B7AF-E6319E959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3E94"/>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E94"/>
    <w:pPr>
      <w:ind w:left="720"/>
      <w:contextualSpacing/>
    </w:pPr>
  </w:style>
  <w:style w:type="paragraph" w:styleId="Header">
    <w:name w:val="header"/>
    <w:basedOn w:val="Normal"/>
    <w:link w:val="HeaderChar"/>
    <w:uiPriority w:val="99"/>
    <w:unhideWhenUsed/>
    <w:rsid w:val="00C47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3E8"/>
  </w:style>
  <w:style w:type="paragraph" w:styleId="Footer">
    <w:name w:val="footer"/>
    <w:basedOn w:val="Normal"/>
    <w:link w:val="FooterChar"/>
    <w:uiPriority w:val="99"/>
    <w:unhideWhenUsed/>
    <w:rsid w:val="00C47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3E8"/>
  </w:style>
  <w:style w:type="paragraph" w:styleId="Bibliography">
    <w:name w:val="Bibliography"/>
    <w:basedOn w:val="Normal"/>
    <w:next w:val="Normal"/>
    <w:uiPriority w:val="37"/>
    <w:unhideWhenUsed/>
    <w:rsid w:val="00FA7863"/>
  </w:style>
  <w:style w:type="paragraph" w:styleId="NormalWeb">
    <w:name w:val="Normal (Web)"/>
    <w:basedOn w:val="Normal"/>
    <w:uiPriority w:val="99"/>
    <w:semiHidden/>
    <w:unhideWhenUsed/>
    <w:rsid w:val="005E1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1C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12920">
      <w:bodyDiv w:val="1"/>
      <w:marLeft w:val="0"/>
      <w:marRight w:val="0"/>
      <w:marTop w:val="0"/>
      <w:marBottom w:val="0"/>
      <w:divBdr>
        <w:top w:val="none" w:sz="0" w:space="0" w:color="auto"/>
        <w:left w:val="none" w:sz="0" w:space="0" w:color="auto"/>
        <w:bottom w:val="none" w:sz="0" w:space="0" w:color="auto"/>
        <w:right w:val="none" w:sz="0" w:space="0" w:color="auto"/>
      </w:divBdr>
    </w:div>
    <w:div w:id="156194495">
      <w:bodyDiv w:val="1"/>
      <w:marLeft w:val="0"/>
      <w:marRight w:val="0"/>
      <w:marTop w:val="0"/>
      <w:marBottom w:val="0"/>
      <w:divBdr>
        <w:top w:val="none" w:sz="0" w:space="0" w:color="auto"/>
        <w:left w:val="none" w:sz="0" w:space="0" w:color="auto"/>
        <w:bottom w:val="none" w:sz="0" w:space="0" w:color="auto"/>
        <w:right w:val="none" w:sz="0" w:space="0" w:color="auto"/>
      </w:divBdr>
    </w:div>
    <w:div w:id="194346230">
      <w:bodyDiv w:val="1"/>
      <w:marLeft w:val="0"/>
      <w:marRight w:val="0"/>
      <w:marTop w:val="0"/>
      <w:marBottom w:val="0"/>
      <w:divBdr>
        <w:top w:val="none" w:sz="0" w:space="0" w:color="auto"/>
        <w:left w:val="none" w:sz="0" w:space="0" w:color="auto"/>
        <w:bottom w:val="none" w:sz="0" w:space="0" w:color="auto"/>
        <w:right w:val="none" w:sz="0" w:space="0" w:color="auto"/>
      </w:divBdr>
    </w:div>
    <w:div w:id="255287336">
      <w:bodyDiv w:val="1"/>
      <w:marLeft w:val="0"/>
      <w:marRight w:val="0"/>
      <w:marTop w:val="0"/>
      <w:marBottom w:val="0"/>
      <w:divBdr>
        <w:top w:val="none" w:sz="0" w:space="0" w:color="auto"/>
        <w:left w:val="none" w:sz="0" w:space="0" w:color="auto"/>
        <w:bottom w:val="none" w:sz="0" w:space="0" w:color="auto"/>
        <w:right w:val="none" w:sz="0" w:space="0" w:color="auto"/>
      </w:divBdr>
    </w:div>
    <w:div w:id="287131264">
      <w:bodyDiv w:val="1"/>
      <w:marLeft w:val="0"/>
      <w:marRight w:val="0"/>
      <w:marTop w:val="0"/>
      <w:marBottom w:val="0"/>
      <w:divBdr>
        <w:top w:val="none" w:sz="0" w:space="0" w:color="auto"/>
        <w:left w:val="none" w:sz="0" w:space="0" w:color="auto"/>
        <w:bottom w:val="none" w:sz="0" w:space="0" w:color="auto"/>
        <w:right w:val="none" w:sz="0" w:space="0" w:color="auto"/>
      </w:divBdr>
    </w:div>
    <w:div w:id="330985523">
      <w:bodyDiv w:val="1"/>
      <w:marLeft w:val="0"/>
      <w:marRight w:val="0"/>
      <w:marTop w:val="0"/>
      <w:marBottom w:val="0"/>
      <w:divBdr>
        <w:top w:val="none" w:sz="0" w:space="0" w:color="auto"/>
        <w:left w:val="none" w:sz="0" w:space="0" w:color="auto"/>
        <w:bottom w:val="none" w:sz="0" w:space="0" w:color="auto"/>
        <w:right w:val="none" w:sz="0" w:space="0" w:color="auto"/>
      </w:divBdr>
    </w:div>
    <w:div w:id="502208241">
      <w:bodyDiv w:val="1"/>
      <w:marLeft w:val="0"/>
      <w:marRight w:val="0"/>
      <w:marTop w:val="0"/>
      <w:marBottom w:val="0"/>
      <w:divBdr>
        <w:top w:val="none" w:sz="0" w:space="0" w:color="auto"/>
        <w:left w:val="none" w:sz="0" w:space="0" w:color="auto"/>
        <w:bottom w:val="none" w:sz="0" w:space="0" w:color="auto"/>
        <w:right w:val="none" w:sz="0" w:space="0" w:color="auto"/>
      </w:divBdr>
    </w:div>
    <w:div w:id="520818750">
      <w:bodyDiv w:val="1"/>
      <w:marLeft w:val="0"/>
      <w:marRight w:val="0"/>
      <w:marTop w:val="0"/>
      <w:marBottom w:val="0"/>
      <w:divBdr>
        <w:top w:val="none" w:sz="0" w:space="0" w:color="auto"/>
        <w:left w:val="none" w:sz="0" w:space="0" w:color="auto"/>
        <w:bottom w:val="none" w:sz="0" w:space="0" w:color="auto"/>
        <w:right w:val="none" w:sz="0" w:space="0" w:color="auto"/>
      </w:divBdr>
    </w:div>
    <w:div w:id="527646935">
      <w:bodyDiv w:val="1"/>
      <w:marLeft w:val="0"/>
      <w:marRight w:val="0"/>
      <w:marTop w:val="0"/>
      <w:marBottom w:val="0"/>
      <w:divBdr>
        <w:top w:val="none" w:sz="0" w:space="0" w:color="auto"/>
        <w:left w:val="none" w:sz="0" w:space="0" w:color="auto"/>
        <w:bottom w:val="none" w:sz="0" w:space="0" w:color="auto"/>
        <w:right w:val="none" w:sz="0" w:space="0" w:color="auto"/>
      </w:divBdr>
    </w:div>
    <w:div w:id="567610777">
      <w:bodyDiv w:val="1"/>
      <w:marLeft w:val="0"/>
      <w:marRight w:val="0"/>
      <w:marTop w:val="0"/>
      <w:marBottom w:val="0"/>
      <w:divBdr>
        <w:top w:val="none" w:sz="0" w:space="0" w:color="auto"/>
        <w:left w:val="none" w:sz="0" w:space="0" w:color="auto"/>
        <w:bottom w:val="none" w:sz="0" w:space="0" w:color="auto"/>
        <w:right w:val="none" w:sz="0" w:space="0" w:color="auto"/>
      </w:divBdr>
    </w:div>
    <w:div w:id="619341336">
      <w:bodyDiv w:val="1"/>
      <w:marLeft w:val="0"/>
      <w:marRight w:val="0"/>
      <w:marTop w:val="0"/>
      <w:marBottom w:val="0"/>
      <w:divBdr>
        <w:top w:val="none" w:sz="0" w:space="0" w:color="auto"/>
        <w:left w:val="none" w:sz="0" w:space="0" w:color="auto"/>
        <w:bottom w:val="none" w:sz="0" w:space="0" w:color="auto"/>
        <w:right w:val="none" w:sz="0" w:space="0" w:color="auto"/>
      </w:divBdr>
    </w:div>
    <w:div w:id="792017494">
      <w:bodyDiv w:val="1"/>
      <w:marLeft w:val="0"/>
      <w:marRight w:val="0"/>
      <w:marTop w:val="0"/>
      <w:marBottom w:val="0"/>
      <w:divBdr>
        <w:top w:val="none" w:sz="0" w:space="0" w:color="auto"/>
        <w:left w:val="none" w:sz="0" w:space="0" w:color="auto"/>
        <w:bottom w:val="none" w:sz="0" w:space="0" w:color="auto"/>
        <w:right w:val="none" w:sz="0" w:space="0" w:color="auto"/>
      </w:divBdr>
    </w:div>
    <w:div w:id="829521065">
      <w:bodyDiv w:val="1"/>
      <w:marLeft w:val="0"/>
      <w:marRight w:val="0"/>
      <w:marTop w:val="0"/>
      <w:marBottom w:val="0"/>
      <w:divBdr>
        <w:top w:val="none" w:sz="0" w:space="0" w:color="auto"/>
        <w:left w:val="none" w:sz="0" w:space="0" w:color="auto"/>
        <w:bottom w:val="none" w:sz="0" w:space="0" w:color="auto"/>
        <w:right w:val="none" w:sz="0" w:space="0" w:color="auto"/>
      </w:divBdr>
    </w:div>
    <w:div w:id="848375839">
      <w:bodyDiv w:val="1"/>
      <w:marLeft w:val="0"/>
      <w:marRight w:val="0"/>
      <w:marTop w:val="0"/>
      <w:marBottom w:val="0"/>
      <w:divBdr>
        <w:top w:val="none" w:sz="0" w:space="0" w:color="auto"/>
        <w:left w:val="none" w:sz="0" w:space="0" w:color="auto"/>
        <w:bottom w:val="none" w:sz="0" w:space="0" w:color="auto"/>
        <w:right w:val="none" w:sz="0" w:space="0" w:color="auto"/>
      </w:divBdr>
    </w:div>
    <w:div w:id="852838006">
      <w:bodyDiv w:val="1"/>
      <w:marLeft w:val="0"/>
      <w:marRight w:val="0"/>
      <w:marTop w:val="0"/>
      <w:marBottom w:val="0"/>
      <w:divBdr>
        <w:top w:val="none" w:sz="0" w:space="0" w:color="auto"/>
        <w:left w:val="none" w:sz="0" w:space="0" w:color="auto"/>
        <w:bottom w:val="none" w:sz="0" w:space="0" w:color="auto"/>
        <w:right w:val="none" w:sz="0" w:space="0" w:color="auto"/>
      </w:divBdr>
    </w:div>
    <w:div w:id="947351537">
      <w:bodyDiv w:val="1"/>
      <w:marLeft w:val="0"/>
      <w:marRight w:val="0"/>
      <w:marTop w:val="0"/>
      <w:marBottom w:val="0"/>
      <w:divBdr>
        <w:top w:val="none" w:sz="0" w:space="0" w:color="auto"/>
        <w:left w:val="none" w:sz="0" w:space="0" w:color="auto"/>
        <w:bottom w:val="none" w:sz="0" w:space="0" w:color="auto"/>
        <w:right w:val="none" w:sz="0" w:space="0" w:color="auto"/>
      </w:divBdr>
    </w:div>
    <w:div w:id="958803528">
      <w:bodyDiv w:val="1"/>
      <w:marLeft w:val="0"/>
      <w:marRight w:val="0"/>
      <w:marTop w:val="0"/>
      <w:marBottom w:val="0"/>
      <w:divBdr>
        <w:top w:val="none" w:sz="0" w:space="0" w:color="auto"/>
        <w:left w:val="none" w:sz="0" w:space="0" w:color="auto"/>
        <w:bottom w:val="none" w:sz="0" w:space="0" w:color="auto"/>
        <w:right w:val="none" w:sz="0" w:space="0" w:color="auto"/>
      </w:divBdr>
    </w:div>
    <w:div w:id="971666475">
      <w:bodyDiv w:val="1"/>
      <w:marLeft w:val="0"/>
      <w:marRight w:val="0"/>
      <w:marTop w:val="0"/>
      <w:marBottom w:val="0"/>
      <w:divBdr>
        <w:top w:val="none" w:sz="0" w:space="0" w:color="auto"/>
        <w:left w:val="none" w:sz="0" w:space="0" w:color="auto"/>
        <w:bottom w:val="none" w:sz="0" w:space="0" w:color="auto"/>
        <w:right w:val="none" w:sz="0" w:space="0" w:color="auto"/>
      </w:divBdr>
    </w:div>
    <w:div w:id="999385759">
      <w:bodyDiv w:val="1"/>
      <w:marLeft w:val="0"/>
      <w:marRight w:val="0"/>
      <w:marTop w:val="0"/>
      <w:marBottom w:val="0"/>
      <w:divBdr>
        <w:top w:val="none" w:sz="0" w:space="0" w:color="auto"/>
        <w:left w:val="none" w:sz="0" w:space="0" w:color="auto"/>
        <w:bottom w:val="none" w:sz="0" w:space="0" w:color="auto"/>
        <w:right w:val="none" w:sz="0" w:space="0" w:color="auto"/>
      </w:divBdr>
    </w:div>
    <w:div w:id="1056776681">
      <w:bodyDiv w:val="1"/>
      <w:marLeft w:val="0"/>
      <w:marRight w:val="0"/>
      <w:marTop w:val="0"/>
      <w:marBottom w:val="0"/>
      <w:divBdr>
        <w:top w:val="none" w:sz="0" w:space="0" w:color="auto"/>
        <w:left w:val="none" w:sz="0" w:space="0" w:color="auto"/>
        <w:bottom w:val="none" w:sz="0" w:space="0" w:color="auto"/>
        <w:right w:val="none" w:sz="0" w:space="0" w:color="auto"/>
      </w:divBdr>
    </w:div>
    <w:div w:id="1068576840">
      <w:bodyDiv w:val="1"/>
      <w:marLeft w:val="0"/>
      <w:marRight w:val="0"/>
      <w:marTop w:val="0"/>
      <w:marBottom w:val="0"/>
      <w:divBdr>
        <w:top w:val="none" w:sz="0" w:space="0" w:color="auto"/>
        <w:left w:val="none" w:sz="0" w:space="0" w:color="auto"/>
        <w:bottom w:val="none" w:sz="0" w:space="0" w:color="auto"/>
        <w:right w:val="none" w:sz="0" w:space="0" w:color="auto"/>
      </w:divBdr>
    </w:div>
    <w:div w:id="1121267222">
      <w:bodyDiv w:val="1"/>
      <w:marLeft w:val="0"/>
      <w:marRight w:val="0"/>
      <w:marTop w:val="0"/>
      <w:marBottom w:val="0"/>
      <w:divBdr>
        <w:top w:val="none" w:sz="0" w:space="0" w:color="auto"/>
        <w:left w:val="none" w:sz="0" w:space="0" w:color="auto"/>
        <w:bottom w:val="none" w:sz="0" w:space="0" w:color="auto"/>
        <w:right w:val="none" w:sz="0" w:space="0" w:color="auto"/>
      </w:divBdr>
    </w:div>
    <w:div w:id="1170409888">
      <w:bodyDiv w:val="1"/>
      <w:marLeft w:val="0"/>
      <w:marRight w:val="0"/>
      <w:marTop w:val="0"/>
      <w:marBottom w:val="0"/>
      <w:divBdr>
        <w:top w:val="none" w:sz="0" w:space="0" w:color="auto"/>
        <w:left w:val="none" w:sz="0" w:space="0" w:color="auto"/>
        <w:bottom w:val="none" w:sz="0" w:space="0" w:color="auto"/>
        <w:right w:val="none" w:sz="0" w:space="0" w:color="auto"/>
      </w:divBdr>
    </w:div>
    <w:div w:id="1318412546">
      <w:bodyDiv w:val="1"/>
      <w:marLeft w:val="0"/>
      <w:marRight w:val="0"/>
      <w:marTop w:val="0"/>
      <w:marBottom w:val="0"/>
      <w:divBdr>
        <w:top w:val="none" w:sz="0" w:space="0" w:color="auto"/>
        <w:left w:val="none" w:sz="0" w:space="0" w:color="auto"/>
        <w:bottom w:val="none" w:sz="0" w:space="0" w:color="auto"/>
        <w:right w:val="none" w:sz="0" w:space="0" w:color="auto"/>
      </w:divBdr>
    </w:div>
    <w:div w:id="1407804057">
      <w:bodyDiv w:val="1"/>
      <w:marLeft w:val="0"/>
      <w:marRight w:val="0"/>
      <w:marTop w:val="0"/>
      <w:marBottom w:val="0"/>
      <w:divBdr>
        <w:top w:val="none" w:sz="0" w:space="0" w:color="auto"/>
        <w:left w:val="none" w:sz="0" w:space="0" w:color="auto"/>
        <w:bottom w:val="none" w:sz="0" w:space="0" w:color="auto"/>
        <w:right w:val="none" w:sz="0" w:space="0" w:color="auto"/>
      </w:divBdr>
    </w:div>
    <w:div w:id="1445147876">
      <w:bodyDiv w:val="1"/>
      <w:marLeft w:val="0"/>
      <w:marRight w:val="0"/>
      <w:marTop w:val="0"/>
      <w:marBottom w:val="0"/>
      <w:divBdr>
        <w:top w:val="none" w:sz="0" w:space="0" w:color="auto"/>
        <w:left w:val="none" w:sz="0" w:space="0" w:color="auto"/>
        <w:bottom w:val="none" w:sz="0" w:space="0" w:color="auto"/>
        <w:right w:val="none" w:sz="0" w:space="0" w:color="auto"/>
      </w:divBdr>
    </w:div>
    <w:div w:id="1782646107">
      <w:bodyDiv w:val="1"/>
      <w:marLeft w:val="0"/>
      <w:marRight w:val="0"/>
      <w:marTop w:val="0"/>
      <w:marBottom w:val="0"/>
      <w:divBdr>
        <w:top w:val="none" w:sz="0" w:space="0" w:color="auto"/>
        <w:left w:val="none" w:sz="0" w:space="0" w:color="auto"/>
        <w:bottom w:val="none" w:sz="0" w:space="0" w:color="auto"/>
        <w:right w:val="none" w:sz="0" w:space="0" w:color="auto"/>
      </w:divBdr>
    </w:div>
    <w:div w:id="1876237910">
      <w:bodyDiv w:val="1"/>
      <w:marLeft w:val="0"/>
      <w:marRight w:val="0"/>
      <w:marTop w:val="0"/>
      <w:marBottom w:val="0"/>
      <w:divBdr>
        <w:top w:val="none" w:sz="0" w:space="0" w:color="auto"/>
        <w:left w:val="none" w:sz="0" w:space="0" w:color="auto"/>
        <w:bottom w:val="none" w:sz="0" w:space="0" w:color="auto"/>
        <w:right w:val="none" w:sz="0" w:space="0" w:color="auto"/>
      </w:divBdr>
    </w:div>
    <w:div w:id="1901482034">
      <w:bodyDiv w:val="1"/>
      <w:marLeft w:val="0"/>
      <w:marRight w:val="0"/>
      <w:marTop w:val="0"/>
      <w:marBottom w:val="0"/>
      <w:divBdr>
        <w:top w:val="none" w:sz="0" w:space="0" w:color="auto"/>
        <w:left w:val="none" w:sz="0" w:space="0" w:color="auto"/>
        <w:bottom w:val="none" w:sz="0" w:space="0" w:color="auto"/>
        <w:right w:val="none" w:sz="0" w:space="0" w:color="auto"/>
      </w:divBdr>
    </w:div>
    <w:div w:id="1921020083">
      <w:bodyDiv w:val="1"/>
      <w:marLeft w:val="0"/>
      <w:marRight w:val="0"/>
      <w:marTop w:val="0"/>
      <w:marBottom w:val="0"/>
      <w:divBdr>
        <w:top w:val="none" w:sz="0" w:space="0" w:color="auto"/>
        <w:left w:val="none" w:sz="0" w:space="0" w:color="auto"/>
        <w:bottom w:val="none" w:sz="0" w:space="0" w:color="auto"/>
        <w:right w:val="none" w:sz="0" w:space="0" w:color="auto"/>
      </w:divBdr>
    </w:div>
    <w:div w:id="1935165856">
      <w:bodyDiv w:val="1"/>
      <w:marLeft w:val="0"/>
      <w:marRight w:val="0"/>
      <w:marTop w:val="0"/>
      <w:marBottom w:val="0"/>
      <w:divBdr>
        <w:top w:val="none" w:sz="0" w:space="0" w:color="auto"/>
        <w:left w:val="none" w:sz="0" w:space="0" w:color="auto"/>
        <w:bottom w:val="none" w:sz="0" w:space="0" w:color="auto"/>
        <w:right w:val="none" w:sz="0" w:space="0" w:color="auto"/>
      </w:divBdr>
    </w:div>
    <w:div w:id="2055084405">
      <w:bodyDiv w:val="1"/>
      <w:marLeft w:val="0"/>
      <w:marRight w:val="0"/>
      <w:marTop w:val="0"/>
      <w:marBottom w:val="0"/>
      <w:divBdr>
        <w:top w:val="none" w:sz="0" w:space="0" w:color="auto"/>
        <w:left w:val="none" w:sz="0" w:space="0" w:color="auto"/>
        <w:bottom w:val="none" w:sz="0" w:space="0" w:color="auto"/>
        <w:right w:val="none" w:sz="0" w:space="0" w:color="auto"/>
      </w:divBdr>
    </w:div>
    <w:div w:id="2118713459">
      <w:bodyDiv w:val="1"/>
      <w:marLeft w:val="0"/>
      <w:marRight w:val="0"/>
      <w:marTop w:val="0"/>
      <w:marBottom w:val="0"/>
      <w:divBdr>
        <w:top w:val="none" w:sz="0" w:space="0" w:color="auto"/>
        <w:left w:val="none" w:sz="0" w:space="0" w:color="auto"/>
        <w:bottom w:val="none" w:sz="0" w:space="0" w:color="auto"/>
        <w:right w:val="none" w:sz="0" w:space="0" w:color="auto"/>
      </w:divBdr>
    </w:div>
    <w:div w:id="212461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Ste16</b:Tag>
    <b:SourceType>BookSection</b:SourceType>
    <b:Guid>{7A7E3213-2DE0-49EF-B810-8D8311ABC531}</b:Guid>
    <b:Title>Improving Organisational Performance</b:Title>
    <b:Year>2016</b:Year>
    <b:Author>
      <b:Author>
        <b:NameList>
          <b:Person>
            <b:Last>Taylor</b:Last>
            <b:First>Stephen</b:First>
          </b:Person>
        </b:NameList>
      </b:Author>
    </b:Author>
    <b:BookTitle>Human Resource Management: People and Organisations</b:BookTitle>
    <b:Pages>197-216</b:Pages>
    <b:City>London</b:City>
    <b:Publisher>CIPD</b:Publisher>
    <b:RefOrder>2</b:RefOrder>
  </b:Source>
  <b:Source>
    <b:Tag>Geo81</b:Tag>
    <b:SourceType>JournalArticle</b:SourceType>
    <b:Guid>{5EA78F1E-3A2E-4379-8D94-27167AA14BD6}</b:Guid>
    <b:Title>There’s a S.M.A.R.T. way to write management’s goals and objectives</b:Title>
    <b:Year>1981</b:Year>
    <b:Author>
      <b:Author>
        <b:NameList>
          <b:Person>
            <b:Last>Doran</b:Last>
            <b:First>George</b:First>
            <b:Middle>T.</b:Middle>
          </b:Person>
        </b:NameList>
      </b:Author>
    </b:Author>
    <b:URL>https://www.achieveit.com/resources/blog/the-history-and-evolution-of-smart-goals</b:URL>
    <b:JournalName>Management Review </b:JournalName>
    <b:Pages>35-36</b:Pages>
    <b:Volume>70</b:Volume>
    <b:Issue>11</b:Issue>
    <b:RefOrder>1</b:RefOrder>
  </b:Source>
  <b:Source>
    <b:Tag>Rei16</b:Tag>
    <b:SourceType>ArticleInAPeriodical</b:SourceType>
    <b:Guid>{2AF99422-51A6-43C7-B8B0-E69148E422FB}</b:Guid>
    <b:Author>
      <b:Author>
        <b:NameList>
          <b:Person>
            <b:Last>Reilly</b:Last>
            <b:First>Peter</b:First>
          </b:Person>
        </b:NameList>
      </b:Author>
    </b:Author>
    <b:Title>Performance Management; Making it Work</b:Title>
    <b:Year>2016</b:Year>
    <b:Publisher>Institute for Employment Studies</b:Publisher>
    <b:JournalName>HR Essentials</b:JournalName>
    <b:PeriodicalTitle>HR Essentials</b:PeriodicalTitle>
    <b:Month>May</b:Month>
    <b:Day>6</b:Day>
    <b:RefOrder>5</b:RefOrder>
  </b:Source>
  <b:Source>
    <b:Tag>Vic95</b:Tag>
    <b:SourceType>Book</b:SourceType>
    <b:Guid>{5C37A400-C1DF-4D8B-AE09-15C92F258206}</b:Guid>
    <b:Title>Work and Motivation</b:Title>
    <b:Year>1995</b:Year>
    <b:Publisher>Jossey-Bass Inc</b:Publisher>
    <b:City>San Francisco</b:City>
    <b:Author>
      <b:Author>
        <b:NameList>
          <b:Person>
            <b:Last>Vroom</b:Last>
            <b:First>Victor</b:First>
          </b:Person>
        </b:NameList>
      </b:Author>
    </b:Author>
    <b:Edition>First</b:Edition>
    <b:RefOrder>3</b:RefOrder>
  </b:Source>
  <b:Source>
    <b:Tag>CIP1814</b:Tag>
    <b:SourceType>DocumentFromInternetSite</b:SourceType>
    <b:Guid>{A53C6BE3-EFD5-48AA-9E18-9AEB6010688E}</b:Guid>
    <b:Title>https://www.cipd.co.uk</b:Title>
    <b:Year>2018</b:Year>
    <b:Author>
      <b:Author>
        <b:Corporate>CIPD</b:Corporate>
      </b:Author>
    </b:Author>
    <b:URL>https://www.cipd.co.uk/knowledge/fundamentals/people/hr/line-managers-factsheet</b:URL>
    <b:RefOrder>6</b:RefOrder>
  </b:Source>
  <b:Source>
    <b:Tag>Chw18</b:Tag>
    <b:SourceType>InternetSite</b:SourceType>
    <b:Guid>{572B9F26-BCCE-4C44-953F-EE17177B105C}</b:Guid>
    <b:Title>https://chwaraeteg.com</b:Title>
    <b:Year>2018</b:Year>
    <b:YearAccessed>2019</b:YearAccessed>
    <b:MonthAccessed>July</b:MonthAccessed>
    <b:DayAccessed>31</b:DayAccessed>
    <b:URL>https://chwaraeteg.com/projects/agile-nation-2-business-programme/?gclid=Cj0KCQjwvo_qBRDQARIsAE-bsH_80gAj0ibEfDlLXW13ytmoDrV0T6aU3k4KCfo5DOtacKY94Ehmd7kaAsVIEALw_wcB</b:URL>
    <b:Author>
      <b:Author>
        <b:Corporate>Chwarae Teg</b:Corporate>
      </b:Author>
    </b:Author>
    <b:RefOrder>7</b:RefOrder>
  </b:Source>
  <b:Source>
    <b:Tag>HRN17</b:Tag>
    <b:SourceType>InternetSite</b:SourceType>
    <b:Guid>{8CE8FDD3-EDD3-4BE1-BA15-0D96F030D302}</b:Guid>
    <b:Author>
      <b:Author>
        <b:Corporate>HR News</b:Corporate>
      </b:Author>
    </b:Author>
    <b:Title>http://hrnews.co.uk</b:Title>
    <b:Year>2017</b:Year>
    <b:YearAccessed>2019</b:YearAccessed>
    <b:MonthAccessed>July</b:MonthAccessed>
    <b:DayAccessed>31</b:DayAccessed>
    <b:URL>http://hrnews.co.uk/top-10-benefits-continuous-performance-management/</b:URL>
    <b:RefOrder>4</b:RefOrder>
  </b:Source>
</b:Sources>
</file>

<file path=customXml/itemProps1.xml><?xml version="1.0" encoding="utf-8"?>
<ds:datastoreItem xmlns:ds="http://schemas.openxmlformats.org/officeDocument/2006/customXml" ds:itemID="{9AAEF7F2-6004-4A8C-ABF8-87D6B2CE1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920</Words>
  <Characters>5245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8</cp:revision>
  <dcterms:created xsi:type="dcterms:W3CDTF">2019-08-01T14:39:00Z</dcterms:created>
  <dcterms:modified xsi:type="dcterms:W3CDTF">2019-08-02T13:49:00Z</dcterms:modified>
</cp:coreProperties>
</file>