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C6909" w14:textId="77777777" w:rsidR="003465DD" w:rsidRDefault="003465DD">
      <w:pPr>
        <w:rPr>
          <w:rFonts w:ascii="Felix Titling" w:hAnsi="Felix Titling"/>
          <w:sz w:val="24"/>
          <w:szCs w:val="24"/>
        </w:rPr>
      </w:pPr>
    </w:p>
    <w:p w14:paraId="18E91B4A" w14:textId="77777777" w:rsidR="003465DD" w:rsidRDefault="003465DD" w:rsidP="003465DD">
      <w:r>
        <w:t>Emily Rena-Dozier Gothic Criticisms: Wuthering Heights and Nineteenth-Century Literary History</w:t>
      </w:r>
    </w:p>
    <w:p w14:paraId="04A1D8E8" w14:textId="5DEBF896" w:rsidR="0061378B" w:rsidRDefault="000155C2">
      <w:pPr>
        <w:rPr>
          <w:rFonts w:ascii="Felix Titling" w:hAnsi="Felix Titling"/>
          <w:sz w:val="24"/>
          <w:szCs w:val="24"/>
        </w:rPr>
      </w:pPr>
      <w:bookmarkStart w:id="0" w:name="_GoBack"/>
      <w:bookmarkEnd w:id="0"/>
      <w:r w:rsidRPr="000155C2">
        <w:rPr>
          <w:rFonts w:ascii="Felix Titling" w:hAnsi="Felix Titling"/>
          <w:sz w:val="24"/>
          <w:szCs w:val="24"/>
        </w:rPr>
        <w:t xml:space="preserve">wuthering heights </w:t>
      </w:r>
    </w:p>
    <w:p w14:paraId="5F722603" w14:textId="33FB072A" w:rsidR="000155C2" w:rsidRPr="000155C2" w:rsidRDefault="000155C2">
      <w:pPr>
        <w:rPr>
          <w:rFonts w:ascii="Felix Titling" w:hAnsi="Felix Titling"/>
          <w:sz w:val="24"/>
          <w:szCs w:val="24"/>
        </w:rPr>
      </w:pPr>
      <w:r>
        <w:rPr>
          <w:rFonts w:ascii="Felix Titling" w:hAnsi="Felix Titling"/>
          <w:sz w:val="24"/>
          <w:szCs w:val="24"/>
        </w:rPr>
        <w:t>758</w:t>
      </w:r>
    </w:p>
    <w:p w14:paraId="7ED30CED" w14:textId="77777777" w:rsidR="000155C2" w:rsidRDefault="000155C2">
      <w:pPr>
        <w:rPr>
          <w:sz w:val="24"/>
          <w:szCs w:val="24"/>
        </w:rPr>
      </w:pPr>
      <w:r w:rsidRPr="000155C2">
        <w:rPr>
          <w:sz w:val="24"/>
          <w:szCs w:val="24"/>
        </w:rPr>
        <w:t xml:space="preserve">My explanation of </w:t>
      </w:r>
      <w:r w:rsidRPr="000155C2">
        <w:rPr>
          <w:i/>
          <w:iCs/>
          <w:sz w:val="24"/>
          <w:szCs w:val="24"/>
        </w:rPr>
        <w:t>Wuthering Heights’</w:t>
      </w:r>
      <w:r w:rsidRPr="000155C2">
        <w:rPr>
          <w:sz w:val="24"/>
          <w:szCs w:val="24"/>
        </w:rPr>
        <w:t xml:space="preserve"> absence from nineteenth century literary history depends on a distinction between gothic and domestic narratives, in which the gothic is marked by a proliferation of narrative frames and voices, and represents the forces of violence, wildness and savagery, as opposed to the domestic, which is marked by an assumption of omniscient, totalizing narratorial awareness and associated with civilization, cultivation, and the feminine. This is a rather schematic opposition, which does injustice to the heterogeneity of both gothic and domestic novels.2 but this opposition is central to the teleological history of the novel developed in the nineteenth century. an opposition between gothic and domestic forms was central</w:t>
      </w:r>
      <w:r>
        <w:rPr>
          <w:sz w:val="24"/>
          <w:szCs w:val="24"/>
        </w:rPr>
        <w:t xml:space="preserve"> // 759// </w:t>
      </w:r>
      <w:r w:rsidRPr="000155C2">
        <w:rPr>
          <w:sz w:val="24"/>
          <w:szCs w:val="24"/>
        </w:rPr>
        <w:t xml:space="preserve">to the nineteenth-century narrative of the novel’s rise, and Wuthering Heights ruthlessly undercuts this opposition. </w:t>
      </w:r>
    </w:p>
    <w:p w14:paraId="72D5CE4B" w14:textId="4D9CFC3E" w:rsidR="000155C2" w:rsidRDefault="000155C2">
      <w:pPr>
        <w:rPr>
          <w:sz w:val="24"/>
          <w:szCs w:val="24"/>
        </w:rPr>
      </w:pPr>
      <w:r>
        <w:rPr>
          <w:sz w:val="24"/>
          <w:szCs w:val="24"/>
        </w:rPr>
        <w:t>I</w:t>
      </w:r>
      <w:r w:rsidRPr="000155C2">
        <w:rPr>
          <w:sz w:val="24"/>
          <w:szCs w:val="24"/>
        </w:rPr>
        <w:t xml:space="preserve">f nineteenth-century historians of the novel agreed on anything, it was that the gothic novel was a disreputable and embarrassing moment in the story of the British novel’s rise. J. </w:t>
      </w:r>
      <w:r>
        <w:rPr>
          <w:sz w:val="24"/>
          <w:szCs w:val="24"/>
        </w:rPr>
        <w:t>C</w:t>
      </w:r>
      <w:r w:rsidRPr="000155C2">
        <w:rPr>
          <w:sz w:val="24"/>
          <w:szCs w:val="24"/>
        </w:rPr>
        <w:t xml:space="preserve">ordy </w:t>
      </w:r>
      <w:proofErr w:type="spellStart"/>
      <w:r w:rsidRPr="000155C2">
        <w:rPr>
          <w:sz w:val="24"/>
          <w:szCs w:val="24"/>
        </w:rPr>
        <w:t>Jeaffreson</w:t>
      </w:r>
      <w:proofErr w:type="spellEnd"/>
      <w:r w:rsidRPr="000155C2">
        <w:rPr>
          <w:sz w:val="24"/>
          <w:szCs w:val="24"/>
        </w:rPr>
        <w:t xml:space="preserve">, in his novels and novelists, asserts that the novel in the late eighteenth and early nineteenth century “was perhaps in a more unhealthy state than it had ever been since it had ceased to offend with obscenity.”3 George </w:t>
      </w:r>
      <w:r>
        <w:rPr>
          <w:sz w:val="24"/>
          <w:szCs w:val="24"/>
        </w:rPr>
        <w:t>S</w:t>
      </w:r>
      <w:r w:rsidRPr="000155C2">
        <w:rPr>
          <w:sz w:val="24"/>
          <w:szCs w:val="24"/>
        </w:rPr>
        <w:t xml:space="preserve">aintsbury in his the English novel acknowledges that the novel deserved its low prestige at the end of the eighteenth century: “the novel . . . still ranked low. . . . it was too apt to grovel and maunder in sentiment, or to shriek and gibber in extravagances.”4 and cross, in the </w:t>
      </w:r>
      <w:r w:rsidRPr="007F3BA1">
        <w:rPr>
          <w:i/>
          <w:iCs/>
          <w:sz w:val="24"/>
          <w:szCs w:val="24"/>
        </w:rPr>
        <w:t xml:space="preserve">Development of the English </w:t>
      </w:r>
      <w:proofErr w:type="spellStart"/>
      <w:r w:rsidR="007F3BA1">
        <w:rPr>
          <w:i/>
          <w:iCs/>
          <w:sz w:val="24"/>
          <w:szCs w:val="24"/>
        </w:rPr>
        <w:t>N</w:t>
      </w:r>
      <w:r w:rsidRPr="007F3BA1">
        <w:rPr>
          <w:i/>
          <w:iCs/>
          <w:sz w:val="24"/>
          <w:szCs w:val="24"/>
        </w:rPr>
        <w:t>novel</w:t>
      </w:r>
      <w:proofErr w:type="spellEnd"/>
      <w:r w:rsidRPr="000155C2">
        <w:rPr>
          <w:sz w:val="24"/>
          <w:szCs w:val="24"/>
        </w:rPr>
        <w:t xml:space="preserve">, chimes in as well, declaring that the novel “became in the closing years of the eighteenth century the literature of crime, insanity, and the nightmare.”5 </w:t>
      </w:r>
      <w:proofErr w:type="spellStart"/>
      <w:r w:rsidRPr="000155C2">
        <w:rPr>
          <w:sz w:val="24"/>
          <w:szCs w:val="24"/>
        </w:rPr>
        <w:t>Jeaffreson</w:t>
      </w:r>
      <w:proofErr w:type="spellEnd"/>
      <w:r w:rsidRPr="000155C2">
        <w:rPr>
          <w:sz w:val="24"/>
          <w:szCs w:val="24"/>
        </w:rPr>
        <w:t xml:space="preserve"> mentions the “paltry absurdities that had for too long done service as ‘incidents,’ and ‘mysteries,’” while </w:t>
      </w:r>
      <w:r w:rsidR="007F3BA1">
        <w:rPr>
          <w:sz w:val="24"/>
          <w:szCs w:val="24"/>
        </w:rPr>
        <w:t>S</w:t>
      </w:r>
      <w:r w:rsidRPr="000155C2">
        <w:rPr>
          <w:sz w:val="24"/>
          <w:szCs w:val="24"/>
        </w:rPr>
        <w:t xml:space="preserve">aintsbury’s description of the novel’s tendency to shriek, gibber and maunder and cross’ attention to the nightmarish quality of late eighteenth-century novels make it clear that these writers hold the </w:t>
      </w:r>
      <w:r>
        <w:rPr>
          <w:sz w:val="24"/>
          <w:szCs w:val="24"/>
        </w:rPr>
        <w:t>G</w:t>
      </w:r>
      <w:r w:rsidRPr="000155C2">
        <w:rPr>
          <w:sz w:val="24"/>
          <w:szCs w:val="24"/>
        </w:rPr>
        <w:t>othic responsible for the parlous state of the novel at this period (</w:t>
      </w:r>
      <w:proofErr w:type="spellStart"/>
      <w:r w:rsidRPr="000155C2">
        <w:rPr>
          <w:sz w:val="24"/>
          <w:szCs w:val="24"/>
        </w:rPr>
        <w:t>nn</w:t>
      </w:r>
      <w:proofErr w:type="spellEnd"/>
      <w:r w:rsidRPr="000155C2">
        <w:rPr>
          <w:sz w:val="24"/>
          <w:szCs w:val="24"/>
        </w:rPr>
        <w:t>, 11).</w:t>
      </w:r>
    </w:p>
    <w:p w14:paraId="6234487C" w14:textId="77777777" w:rsidR="000155C2" w:rsidRDefault="000155C2" w:rsidP="000155C2">
      <w:pPr>
        <w:rPr>
          <w:sz w:val="24"/>
          <w:szCs w:val="24"/>
        </w:rPr>
      </w:pPr>
      <w:r w:rsidRPr="000155C2">
        <w:rPr>
          <w:sz w:val="24"/>
          <w:szCs w:val="24"/>
        </w:rPr>
        <w:t xml:space="preserve">These writers also agree that domestic fiction saved the novel from this swamp of obscurity (if not obscenity). </w:t>
      </w:r>
      <w:r w:rsidRPr="000155C2">
        <w:rPr>
          <w:sz w:val="24"/>
          <w:szCs w:val="24"/>
          <w:u w:val="single"/>
        </w:rPr>
        <w:t>As far as nineteenth century literary historians are concerned, domestic fiction waded into the fray and cleaned up the novel’s act, breathing new life and health into the musty recesses of gothic fever-dreams.</w:t>
      </w:r>
      <w:r w:rsidRPr="000155C2">
        <w:rPr>
          <w:sz w:val="24"/>
          <w:szCs w:val="24"/>
        </w:rPr>
        <w:t xml:space="preserve"> </w:t>
      </w:r>
      <w:r w:rsidRPr="000155C2">
        <w:rPr>
          <w:sz w:val="24"/>
          <w:szCs w:val="24"/>
          <w:u w:val="single"/>
        </w:rPr>
        <w:t xml:space="preserve">Cross describes the eighteenth-century novel as an hysteric in need of a slap across the face and a splash of cold water, and </w:t>
      </w:r>
      <w:proofErr w:type="spellStart"/>
      <w:r w:rsidRPr="000155C2">
        <w:rPr>
          <w:sz w:val="24"/>
          <w:szCs w:val="24"/>
          <w:u w:val="single"/>
        </w:rPr>
        <w:t>austen’s</w:t>
      </w:r>
      <w:proofErr w:type="spellEnd"/>
      <w:r w:rsidRPr="000155C2">
        <w:rPr>
          <w:sz w:val="24"/>
          <w:szCs w:val="24"/>
          <w:u w:val="single"/>
        </w:rPr>
        <w:t xml:space="preserve"> novels provide that healthful shock: “Romanticism had drunk immoderately of new emotions, and needed sharp castigation from good sense</w:t>
      </w:r>
      <w:r w:rsidRPr="000155C2">
        <w:rPr>
          <w:sz w:val="24"/>
          <w:szCs w:val="24"/>
        </w:rPr>
        <w:t xml:space="preserve">. Jane </w:t>
      </w:r>
      <w:proofErr w:type="spellStart"/>
      <w:r>
        <w:rPr>
          <w:sz w:val="24"/>
          <w:szCs w:val="24"/>
        </w:rPr>
        <w:t>U</w:t>
      </w:r>
      <w:r w:rsidRPr="000155C2">
        <w:rPr>
          <w:sz w:val="24"/>
          <w:szCs w:val="24"/>
        </w:rPr>
        <w:t>usten</w:t>
      </w:r>
      <w:proofErr w:type="spellEnd"/>
      <w:r w:rsidRPr="000155C2">
        <w:rPr>
          <w:sz w:val="24"/>
          <w:szCs w:val="24"/>
        </w:rPr>
        <w:t xml:space="preserve"> was the daughter of a humble clergyman.”6 </w:t>
      </w:r>
      <w:proofErr w:type="spellStart"/>
      <w:r w:rsidRPr="000155C2">
        <w:rPr>
          <w:sz w:val="24"/>
          <w:szCs w:val="24"/>
        </w:rPr>
        <w:t>Jeaffreson</w:t>
      </w:r>
      <w:proofErr w:type="spellEnd"/>
      <w:r w:rsidRPr="000155C2">
        <w:rPr>
          <w:sz w:val="24"/>
          <w:szCs w:val="24"/>
        </w:rPr>
        <w:t xml:space="preserve"> describes </w:t>
      </w:r>
      <w:r>
        <w:rPr>
          <w:sz w:val="24"/>
          <w:szCs w:val="24"/>
        </w:rPr>
        <w:t>M</w:t>
      </w:r>
      <w:r w:rsidRPr="000155C2">
        <w:rPr>
          <w:sz w:val="24"/>
          <w:szCs w:val="24"/>
        </w:rPr>
        <w:t xml:space="preserve">aria </w:t>
      </w:r>
      <w:r>
        <w:rPr>
          <w:sz w:val="24"/>
          <w:szCs w:val="24"/>
        </w:rPr>
        <w:t>E</w:t>
      </w:r>
      <w:r w:rsidRPr="000155C2">
        <w:rPr>
          <w:sz w:val="24"/>
          <w:szCs w:val="24"/>
        </w:rPr>
        <w:t>dgeworth’s contribution in less vigorous terms, but concludes that in “</w:t>
      </w:r>
      <w:proofErr w:type="spellStart"/>
      <w:r w:rsidRPr="000155C2">
        <w:rPr>
          <w:sz w:val="24"/>
          <w:szCs w:val="24"/>
        </w:rPr>
        <w:t>declin</w:t>
      </w:r>
      <w:proofErr w:type="spellEnd"/>
      <w:r w:rsidRPr="000155C2">
        <w:rPr>
          <w:sz w:val="24"/>
          <w:szCs w:val="24"/>
        </w:rPr>
        <w:t>[</w:t>
      </w:r>
      <w:proofErr w:type="spellStart"/>
      <w:r w:rsidRPr="000155C2">
        <w:rPr>
          <w:sz w:val="24"/>
          <w:szCs w:val="24"/>
        </w:rPr>
        <w:t>ing</w:t>
      </w:r>
      <w:proofErr w:type="spellEnd"/>
      <w:r w:rsidRPr="000155C2">
        <w:rPr>
          <w:sz w:val="24"/>
          <w:szCs w:val="24"/>
        </w:rPr>
        <w:t xml:space="preserve">] to re-use for the thousandth time” the “paltry absurdities” of </w:t>
      </w:r>
      <w:r>
        <w:rPr>
          <w:sz w:val="24"/>
          <w:szCs w:val="24"/>
        </w:rPr>
        <w:t>G</w:t>
      </w:r>
      <w:r w:rsidRPr="000155C2">
        <w:rPr>
          <w:sz w:val="24"/>
          <w:szCs w:val="24"/>
        </w:rPr>
        <w:t xml:space="preserve">othic fiction, </w:t>
      </w:r>
      <w:r>
        <w:rPr>
          <w:sz w:val="24"/>
          <w:szCs w:val="24"/>
        </w:rPr>
        <w:t>E</w:t>
      </w:r>
      <w:r w:rsidRPr="000155C2">
        <w:rPr>
          <w:sz w:val="24"/>
          <w:szCs w:val="24"/>
        </w:rPr>
        <w:t>dgeworth rescued the novel from its “unhealthy” state (</w:t>
      </w:r>
      <w:proofErr w:type="spellStart"/>
      <w:r w:rsidRPr="000155C2">
        <w:rPr>
          <w:sz w:val="24"/>
          <w:szCs w:val="24"/>
        </w:rPr>
        <w:t>nn</w:t>
      </w:r>
      <w:proofErr w:type="spellEnd"/>
      <w:r w:rsidRPr="000155C2">
        <w:rPr>
          <w:sz w:val="24"/>
          <w:szCs w:val="24"/>
        </w:rPr>
        <w:t xml:space="preserve">, 12). </w:t>
      </w:r>
      <w:r w:rsidRPr="000155C2">
        <w:rPr>
          <w:sz w:val="24"/>
          <w:szCs w:val="24"/>
          <w:u w:val="single"/>
        </w:rPr>
        <w:t>So great was the consensus that the domestic had triumphed over the Gothic, and thus reclaimed the novel as a serious literary genre, that critics could blandly assert that “The novel of personal life, of individual, separate, domestic life, is the basal form.”</w:t>
      </w:r>
      <w:r w:rsidRPr="000155C2">
        <w:rPr>
          <w:sz w:val="24"/>
          <w:szCs w:val="24"/>
        </w:rPr>
        <w:t>7 The British novel in the nineteenth century, it was generally agreed, was the domestic novel, and in order for the domestic novel to have triumphed,</w:t>
      </w:r>
      <w:r>
        <w:rPr>
          <w:sz w:val="24"/>
          <w:szCs w:val="24"/>
        </w:rPr>
        <w:t xml:space="preserve"> //760// </w:t>
      </w:r>
      <w:r w:rsidRPr="000155C2">
        <w:rPr>
          <w:sz w:val="24"/>
          <w:szCs w:val="24"/>
        </w:rPr>
        <w:t xml:space="preserve">the gothic had to be defeated, excised from the body of the novel in order for healthy tissue to regrow. </w:t>
      </w:r>
    </w:p>
    <w:p w14:paraId="26B546A3" w14:textId="17228630" w:rsidR="000155C2" w:rsidRDefault="000155C2" w:rsidP="000155C2">
      <w:pPr>
        <w:rPr>
          <w:sz w:val="24"/>
          <w:szCs w:val="24"/>
        </w:rPr>
      </w:pPr>
      <w:r w:rsidRPr="007F3BA1">
        <w:rPr>
          <w:sz w:val="24"/>
          <w:szCs w:val="24"/>
        </w:rPr>
        <w:t>Wuthering Heights, however, carefully breaks down this opposition between gothic and domestic modes by illustrating the ways in which the domestic is predicated on acts of violence.</w:t>
      </w:r>
      <w:r w:rsidRPr="000155C2">
        <w:rPr>
          <w:sz w:val="24"/>
          <w:szCs w:val="24"/>
        </w:rPr>
        <w:t xml:space="preserve"> </w:t>
      </w:r>
      <w:r w:rsidRPr="000155C2">
        <w:rPr>
          <w:i/>
          <w:iCs/>
          <w:sz w:val="24"/>
          <w:szCs w:val="24"/>
        </w:rPr>
        <w:t xml:space="preserve">Wuthering Heights </w:t>
      </w:r>
      <w:r w:rsidRPr="000155C2">
        <w:rPr>
          <w:sz w:val="24"/>
          <w:szCs w:val="24"/>
        </w:rPr>
        <w:t xml:space="preserve">is acutely critical of literary history, in that it embodies the instability of nineteenth-century literary </w:t>
      </w:r>
      <w:r w:rsidRPr="000155C2">
        <w:rPr>
          <w:sz w:val="24"/>
          <w:szCs w:val="24"/>
        </w:rPr>
        <w:lastRenderedPageBreak/>
        <w:t xml:space="preserve">history’s division between gothic and domestic novels. and in embodying this instability, </w:t>
      </w:r>
      <w:r w:rsidRPr="000155C2">
        <w:rPr>
          <w:i/>
          <w:iCs/>
          <w:sz w:val="24"/>
          <w:szCs w:val="24"/>
        </w:rPr>
        <w:t>Wuthering Height</w:t>
      </w:r>
      <w:r w:rsidRPr="000155C2">
        <w:rPr>
          <w:sz w:val="24"/>
          <w:szCs w:val="24"/>
        </w:rPr>
        <w:t xml:space="preserve">s poses a significant threat to the triumphalist teleology of the nineteenth-century history of the novel, with the consequence that </w:t>
      </w:r>
      <w:r w:rsidRPr="000155C2">
        <w:rPr>
          <w:i/>
          <w:iCs/>
          <w:sz w:val="24"/>
          <w:szCs w:val="24"/>
        </w:rPr>
        <w:t>Wuthering Heights</w:t>
      </w:r>
      <w:r w:rsidRPr="000155C2">
        <w:rPr>
          <w:sz w:val="24"/>
          <w:szCs w:val="24"/>
        </w:rPr>
        <w:t xml:space="preserve"> is rarely discussed in nineteenth-century literary history. or rather, </w:t>
      </w:r>
      <w:r w:rsidRPr="000155C2">
        <w:rPr>
          <w:i/>
          <w:iCs/>
          <w:sz w:val="24"/>
          <w:szCs w:val="24"/>
        </w:rPr>
        <w:t>Wuthering Heights</w:t>
      </w:r>
      <w:r w:rsidRPr="000155C2">
        <w:rPr>
          <w:sz w:val="24"/>
          <w:szCs w:val="24"/>
        </w:rPr>
        <w:t xml:space="preserve"> is rarely discussed explicitly. in an attempt to avoid the iconoclastic energies of </w:t>
      </w:r>
      <w:r w:rsidRPr="000155C2">
        <w:rPr>
          <w:i/>
          <w:iCs/>
          <w:sz w:val="24"/>
          <w:szCs w:val="24"/>
        </w:rPr>
        <w:t>Wuthering Heights</w:t>
      </w:r>
      <w:r w:rsidRPr="000155C2">
        <w:rPr>
          <w:sz w:val="24"/>
          <w:szCs w:val="24"/>
        </w:rPr>
        <w:t xml:space="preserve">, nineteenth-century literary history replicates gothic narrative strategies; </w:t>
      </w:r>
      <w:r w:rsidRPr="007F3BA1">
        <w:rPr>
          <w:i/>
          <w:iCs/>
          <w:sz w:val="24"/>
          <w:szCs w:val="24"/>
          <w:u w:val="single"/>
        </w:rPr>
        <w:t>Wuthering Heights</w:t>
      </w:r>
      <w:r w:rsidRPr="007F3BA1">
        <w:rPr>
          <w:sz w:val="24"/>
          <w:szCs w:val="24"/>
          <w:u w:val="single"/>
        </w:rPr>
        <w:t xml:space="preserve"> becomes the dark secret at the heart of the history of the novel</w:t>
      </w:r>
      <w:r w:rsidRPr="000155C2">
        <w:rPr>
          <w:sz w:val="24"/>
          <w:szCs w:val="24"/>
        </w:rPr>
        <w:t>.</w:t>
      </w:r>
    </w:p>
    <w:p w14:paraId="227BE9D8" w14:textId="77777777" w:rsidR="00B367F3" w:rsidRDefault="00B367F3" w:rsidP="00B367F3">
      <w:pPr>
        <w:rPr>
          <w:sz w:val="24"/>
          <w:szCs w:val="24"/>
        </w:rPr>
      </w:pPr>
      <w:r>
        <w:rPr>
          <w:sz w:val="24"/>
          <w:szCs w:val="24"/>
        </w:rPr>
        <w:t>…</w:t>
      </w:r>
    </w:p>
    <w:p w14:paraId="1871926A" w14:textId="1B9D792C" w:rsidR="00B367F3" w:rsidRDefault="00B367F3" w:rsidP="00B367F3">
      <w:pPr>
        <w:rPr>
          <w:sz w:val="24"/>
          <w:szCs w:val="24"/>
        </w:rPr>
      </w:pPr>
      <w:r>
        <w:rPr>
          <w:sz w:val="24"/>
          <w:szCs w:val="24"/>
        </w:rPr>
        <w:t>F</w:t>
      </w:r>
      <w:r w:rsidRPr="00B367F3">
        <w:rPr>
          <w:sz w:val="24"/>
          <w:szCs w:val="24"/>
        </w:rPr>
        <w:t xml:space="preserve">irst, discussions of both Charlotte </w:t>
      </w:r>
      <w:r>
        <w:rPr>
          <w:sz w:val="24"/>
          <w:szCs w:val="24"/>
        </w:rPr>
        <w:t>a</w:t>
      </w:r>
      <w:r w:rsidRPr="00B367F3">
        <w:rPr>
          <w:sz w:val="24"/>
          <w:szCs w:val="24"/>
        </w:rPr>
        <w:t xml:space="preserve">nd Emily Brontë tend toward the biographical; second, these biographically inflected discussions insist on reiterating the gothic/domestic binary </w:t>
      </w:r>
      <w:r>
        <w:rPr>
          <w:sz w:val="24"/>
          <w:szCs w:val="24"/>
        </w:rPr>
        <w:t>I //</w:t>
      </w:r>
      <w:r w:rsidRPr="00B367F3">
        <w:rPr>
          <w:sz w:val="24"/>
          <w:szCs w:val="24"/>
        </w:rPr>
        <w:t>761</w:t>
      </w:r>
      <w:r>
        <w:rPr>
          <w:sz w:val="24"/>
          <w:szCs w:val="24"/>
        </w:rPr>
        <w:t xml:space="preserve">// </w:t>
      </w:r>
      <w:r w:rsidRPr="00B367F3">
        <w:rPr>
          <w:sz w:val="24"/>
          <w:szCs w:val="24"/>
        </w:rPr>
        <w:t xml:space="preserve">see as central to both nineteenth-century literary history and to </w:t>
      </w:r>
      <w:r w:rsidRPr="00B367F3">
        <w:rPr>
          <w:i/>
          <w:iCs/>
          <w:sz w:val="24"/>
          <w:szCs w:val="24"/>
        </w:rPr>
        <w:t>Wuthering Heights</w:t>
      </w:r>
      <w:r w:rsidRPr="00B367F3">
        <w:rPr>
          <w:sz w:val="24"/>
          <w:szCs w:val="24"/>
        </w:rPr>
        <w:t xml:space="preserve">. </w:t>
      </w:r>
      <w:proofErr w:type="spellStart"/>
      <w:r w:rsidRPr="00B367F3">
        <w:rPr>
          <w:sz w:val="24"/>
          <w:szCs w:val="24"/>
        </w:rPr>
        <w:t>Jeaffreson</w:t>
      </w:r>
      <w:proofErr w:type="spellEnd"/>
      <w:r w:rsidRPr="00B367F3">
        <w:rPr>
          <w:sz w:val="24"/>
          <w:szCs w:val="24"/>
        </w:rPr>
        <w:t xml:space="preserve">, for instance, implies that both </w:t>
      </w:r>
      <w:r>
        <w:rPr>
          <w:sz w:val="24"/>
          <w:szCs w:val="24"/>
        </w:rPr>
        <w:t>C</w:t>
      </w:r>
      <w:r w:rsidRPr="00B367F3">
        <w:rPr>
          <w:sz w:val="24"/>
          <w:szCs w:val="24"/>
        </w:rPr>
        <w:t xml:space="preserve">harlotte and Emily Brontë exceed the boundaries of circumscribed domestic writing, while Gaskell works hard to show that, on the contrary, Charlotte Brontë is both a properly domestic woman and a properly domestic novelist. Charlotte Brontë, however, writing about her own work and her sister’s, tries to shift attention away from the gothic violence of </w:t>
      </w:r>
      <w:r w:rsidRPr="00B367F3">
        <w:rPr>
          <w:i/>
          <w:iCs/>
          <w:sz w:val="24"/>
          <w:szCs w:val="24"/>
        </w:rPr>
        <w:t>Wuthering Heights</w:t>
      </w:r>
      <w:r w:rsidRPr="00B367F3">
        <w:rPr>
          <w:sz w:val="24"/>
          <w:szCs w:val="24"/>
        </w:rPr>
        <w:t xml:space="preserve"> to Emily Brontë’s domestic confinement, </w:t>
      </w:r>
      <w:r w:rsidRPr="00B367F3">
        <w:rPr>
          <w:sz w:val="24"/>
          <w:szCs w:val="24"/>
          <w:u w:val="single"/>
        </w:rPr>
        <w:t xml:space="preserve">while at the same time insisting on her own work’s opposition to the domestic tradition embodied by Austen. The result of all these contemporary readings is an interlocking series of contradictory narratives that mirrors the structure of </w:t>
      </w:r>
      <w:r w:rsidRPr="00B367F3">
        <w:rPr>
          <w:i/>
          <w:iCs/>
          <w:sz w:val="24"/>
          <w:szCs w:val="24"/>
          <w:u w:val="single"/>
        </w:rPr>
        <w:t>Wuthering Heights</w:t>
      </w:r>
      <w:r w:rsidRPr="00B367F3">
        <w:rPr>
          <w:sz w:val="24"/>
          <w:szCs w:val="24"/>
          <w:u w:val="single"/>
        </w:rPr>
        <w:t xml:space="preserve"> itself</w:t>
      </w:r>
      <w:r w:rsidRPr="00B367F3">
        <w:rPr>
          <w:sz w:val="24"/>
          <w:szCs w:val="24"/>
        </w:rPr>
        <w:t>.</w:t>
      </w:r>
    </w:p>
    <w:p w14:paraId="0DA4D59F" w14:textId="7D4B4261" w:rsidR="00CC5F48" w:rsidRDefault="00CC5F48" w:rsidP="00B367F3">
      <w:pPr>
        <w:rPr>
          <w:sz w:val="24"/>
          <w:szCs w:val="24"/>
        </w:rPr>
      </w:pPr>
      <w:r>
        <w:rPr>
          <w:sz w:val="24"/>
          <w:szCs w:val="24"/>
        </w:rPr>
        <w:t>…770//…</w:t>
      </w:r>
    </w:p>
    <w:p w14:paraId="274221FF" w14:textId="77777777" w:rsidR="00C2633F" w:rsidRDefault="00CC5F48" w:rsidP="00C2633F">
      <w:pPr>
        <w:rPr>
          <w:sz w:val="24"/>
          <w:szCs w:val="24"/>
        </w:rPr>
      </w:pPr>
      <w:r w:rsidRPr="00CC5F48">
        <w:rPr>
          <w:sz w:val="24"/>
          <w:szCs w:val="24"/>
        </w:rPr>
        <w:t xml:space="preserve">Lockwood taunts the dogs, “imagining they would scarce understand tacit insults”; the bitch, however, is “so irritated” that she lunges at him, and order is only restored by the housekeeper, zillah, who “rushed into the midst of us flourishing a frying-pan; and used that weapon, and her tongue, to such purpose, that the storm subsided magically” (WH, 6). This incident presages a later moment in the novel (or an earlier moment in the plot), when Edgar Linton, “peeping” at the young Heathcliff, ventures another tacit “insult,” provoking Heathcliff to throw a “tureen full of hot apple-sauce” at </w:t>
      </w:r>
      <w:proofErr w:type="spellStart"/>
      <w:r w:rsidRPr="00CC5F48">
        <w:rPr>
          <w:sz w:val="24"/>
          <w:szCs w:val="24"/>
        </w:rPr>
        <w:t>edgar</w:t>
      </w:r>
      <w:proofErr w:type="spellEnd"/>
      <w:r w:rsidRPr="00CC5F48">
        <w:rPr>
          <w:sz w:val="24"/>
          <w:szCs w:val="24"/>
        </w:rPr>
        <w:t xml:space="preserve"> (WH, 45). These incidents, minor though they may appear, play out a series of thematic concerns that are developed through the whole course of </w:t>
      </w:r>
      <w:r w:rsidRPr="00CC5F48">
        <w:rPr>
          <w:i/>
          <w:iCs/>
          <w:sz w:val="24"/>
          <w:szCs w:val="24"/>
        </w:rPr>
        <w:t>Wuthering Heights.</w:t>
      </w:r>
      <w:r w:rsidRPr="00CC5F48">
        <w:rPr>
          <w:sz w:val="24"/>
          <w:szCs w:val="24"/>
        </w:rPr>
        <w:t xml:space="preserve"> The civilized, domesticated intruder (Lockwood/ Linton) provokes the violence of the brutalized inhabitants of </w:t>
      </w:r>
      <w:r w:rsidRPr="00CC5F48">
        <w:rPr>
          <w:i/>
          <w:iCs/>
          <w:sz w:val="24"/>
          <w:szCs w:val="24"/>
        </w:rPr>
        <w:t>Wuthering Heights</w:t>
      </w:r>
      <w:r w:rsidRPr="00CC5F48">
        <w:rPr>
          <w:sz w:val="24"/>
          <w:szCs w:val="24"/>
        </w:rPr>
        <w:t xml:space="preserve"> with insults they wrongly assume their inferiors will not comprehend; Heathcliff and the dog respond with immediate violence, and the situation is resolved by the intervention of feminine authority, wielding “frying-pan” and “tongue,” two apt symbols for the domestic. Thus we have illustrated the manifest plot arc of </w:t>
      </w:r>
      <w:r w:rsidRPr="00CC5F48">
        <w:rPr>
          <w:i/>
          <w:iCs/>
          <w:sz w:val="24"/>
          <w:szCs w:val="24"/>
        </w:rPr>
        <w:t>Wuthering Heights</w:t>
      </w:r>
      <w:r w:rsidRPr="00CC5F48">
        <w:rPr>
          <w:sz w:val="24"/>
          <w:szCs w:val="24"/>
        </w:rPr>
        <w:t xml:space="preserve">. Heathcliff, the wild interloper, is insulted and angered by the domesticated </w:t>
      </w:r>
      <w:r>
        <w:rPr>
          <w:sz w:val="24"/>
          <w:szCs w:val="24"/>
        </w:rPr>
        <w:t>E</w:t>
      </w:r>
      <w:r w:rsidRPr="00CC5F48">
        <w:rPr>
          <w:sz w:val="24"/>
          <w:szCs w:val="24"/>
        </w:rPr>
        <w:t xml:space="preserve">arnshaw and </w:t>
      </w:r>
      <w:r>
        <w:rPr>
          <w:sz w:val="24"/>
          <w:szCs w:val="24"/>
        </w:rPr>
        <w:t>Li</w:t>
      </w:r>
      <w:r w:rsidRPr="00CC5F48">
        <w:rPr>
          <w:sz w:val="24"/>
          <w:szCs w:val="24"/>
        </w:rPr>
        <w:t xml:space="preserve">nton families, and provoked into violent revenge, which at the end of the novel is defeated by the forces of domestication as embodied in the final union between Edgar Linton’s daughter and the newly literate Hareton </w:t>
      </w:r>
      <w:r>
        <w:rPr>
          <w:sz w:val="24"/>
          <w:szCs w:val="24"/>
        </w:rPr>
        <w:t>E</w:t>
      </w:r>
      <w:r w:rsidRPr="00CC5F48">
        <w:rPr>
          <w:sz w:val="24"/>
          <w:szCs w:val="24"/>
        </w:rPr>
        <w:t xml:space="preserve">arnshaw. The domestic defeats the gothic, the civilized triumphs over the wild, as in Gaskell’s anecdote. but just below the surface, we see the confusion of genres traceable throughout Wuthering Heights: </w:t>
      </w:r>
      <w:r>
        <w:rPr>
          <w:sz w:val="24"/>
          <w:szCs w:val="24"/>
        </w:rPr>
        <w:t>E</w:t>
      </w:r>
      <w:r w:rsidRPr="00CC5F48">
        <w:rPr>
          <w:sz w:val="24"/>
          <w:szCs w:val="24"/>
        </w:rPr>
        <w:t xml:space="preserve">dgar insults Heathcliff by comparing his appearance to a “colt’s,” by making Heathcliff out to be an animal—to which Heathcliff responds by hurling hot apple-sauce (WH, 45). </w:t>
      </w:r>
      <w:r>
        <w:rPr>
          <w:sz w:val="24"/>
          <w:szCs w:val="24"/>
        </w:rPr>
        <w:t>E</w:t>
      </w:r>
      <w:r w:rsidRPr="00CC5F48">
        <w:rPr>
          <w:sz w:val="24"/>
          <w:szCs w:val="24"/>
        </w:rPr>
        <w:t xml:space="preserve">dgar places Heathcliff in the realm of the animalistic, the savage, and the gothic, and Heathcliff retaliates with a weapon seized from the realm of the domestic—apple-sauce—and altered to suit his purpose, just as he will later wield the civilized weapon of legal intrigue against his enemies. </w:t>
      </w:r>
    </w:p>
    <w:p w14:paraId="250CD99D" w14:textId="7CD4F6C2" w:rsidR="00CC5F48" w:rsidRDefault="00CC5F48" w:rsidP="00B367F3">
      <w:pPr>
        <w:rPr>
          <w:sz w:val="24"/>
          <w:szCs w:val="24"/>
        </w:rPr>
      </w:pPr>
      <w:r>
        <w:rPr>
          <w:sz w:val="24"/>
          <w:szCs w:val="24"/>
        </w:rPr>
        <w:t>…..</w:t>
      </w:r>
      <w:r w:rsidR="00C2633F">
        <w:rPr>
          <w:sz w:val="24"/>
          <w:szCs w:val="24"/>
        </w:rPr>
        <w:t>771…</w:t>
      </w:r>
      <w:r>
        <w:rPr>
          <w:sz w:val="24"/>
          <w:szCs w:val="24"/>
        </w:rPr>
        <w:t xml:space="preserve"> </w:t>
      </w:r>
      <w:r w:rsidRPr="00CC5F48">
        <w:rPr>
          <w:sz w:val="24"/>
          <w:szCs w:val="24"/>
        </w:rPr>
        <w:t xml:space="preserve">However, this ignores the other significant canine moments in Wuthering Heights, moments where the domesticity of Thrushcross Grange is represented and defended by dogs. Just as Catherine Linton’s first introduction to the Heights occurs because of a dog attack, so too is her mother Cathy Earnshaw introduced to the civilized world of the Grange by a ferocious dog: “They have let the </w:t>
      </w:r>
      <w:r w:rsidRPr="00CC5F48">
        <w:rPr>
          <w:sz w:val="24"/>
          <w:szCs w:val="24"/>
        </w:rPr>
        <w:lastRenderedPageBreak/>
        <w:t>bull-dog loose, and he holds me!” (WH, 38). Thrushcross Grange is protected by dogs just as Wuthering Heights is, and if anything the Grange’s dog is more brutal than those at the Heights—</w:t>
      </w:r>
      <w:r>
        <w:rPr>
          <w:sz w:val="24"/>
          <w:szCs w:val="24"/>
        </w:rPr>
        <w:t>L</w:t>
      </w:r>
      <w:r w:rsidRPr="00CC5F48">
        <w:rPr>
          <w:sz w:val="24"/>
          <w:szCs w:val="24"/>
        </w:rPr>
        <w:t xml:space="preserve">ockwood is never actually harmed by the Heights’ dogs, but the Grange bull-dog inflicts a severe wound on </w:t>
      </w:r>
      <w:r>
        <w:rPr>
          <w:sz w:val="24"/>
          <w:szCs w:val="24"/>
        </w:rPr>
        <w:t>C</w:t>
      </w:r>
      <w:r w:rsidRPr="00CC5F48">
        <w:rPr>
          <w:sz w:val="24"/>
          <w:szCs w:val="24"/>
        </w:rPr>
        <w:t xml:space="preserve">athy: “look how </w:t>
      </w:r>
      <w:proofErr w:type="spellStart"/>
      <w:r>
        <w:rPr>
          <w:sz w:val="24"/>
          <w:szCs w:val="24"/>
        </w:rPr>
        <w:t>Sk</w:t>
      </w:r>
      <w:r w:rsidRPr="00CC5F48">
        <w:rPr>
          <w:sz w:val="24"/>
          <w:szCs w:val="24"/>
        </w:rPr>
        <w:t>ulker</w:t>
      </w:r>
      <w:proofErr w:type="spellEnd"/>
      <w:r w:rsidRPr="00CC5F48">
        <w:rPr>
          <w:sz w:val="24"/>
          <w:szCs w:val="24"/>
        </w:rPr>
        <w:t xml:space="preserve"> has bitten her—how her foot bleeds!” (WH, 39). Where we would expect to find a contrast drawn between gothic and domestic, between Heights and Grange, we find instead that the two are more similar than they are different—that the domestic space is as affiliated with violence as the gothic.</w:t>
      </w:r>
    </w:p>
    <w:p w14:paraId="110B5D47" w14:textId="1A6C5917" w:rsidR="00C2633F" w:rsidRDefault="00C2633F" w:rsidP="00B367F3">
      <w:pPr>
        <w:rPr>
          <w:sz w:val="24"/>
          <w:szCs w:val="24"/>
        </w:rPr>
      </w:pPr>
      <w:r>
        <w:rPr>
          <w:sz w:val="24"/>
          <w:szCs w:val="24"/>
        </w:rPr>
        <w:t xml:space="preserve">…// 772// </w:t>
      </w:r>
    </w:p>
    <w:p w14:paraId="57DC84F3" w14:textId="5F8AE168" w:rsidR="00CC5F48" w:rsidRDefault="00CC5F48" w:rsidP="00B367F3">
      <w:pPr>
        <w:rPr>
          <w:sz w:val="24"/>
          <w:szCs w:val="24"/>
        </w:rPr>
      </w:pPr>
      <w:r w:rsidRPr="00CC5F48">
        <w:rPr>
          <w:sz w:val="24"/>
          <w:szCs w:val="24"/>
        </w:rPr>
        <w:t xml:space="preserve">Just as in Lockwood’s dream, when he slices the ghost-child’s wrist across the broken glass of the window, the </w:t>
      </w:r>
      <w:proofErr w:type="spellStart"/>
      <w:r w:rsidRPr="00CC5F48">
        <w:rPr>
          <w:sz w:val="24"/>
          <w:szCs w:val="24"/>
        </w:rPr>
        <w:t>defense</w:t>
      </w:r>
      <w:proofErr w:type="spellEnd"/>
      <w:r w:rsidRPr="00CC5F48">
        <w:rPr>
          <w:sz w:val="24"/>
          <w:szCs w:val="24"/>
        </w:rPr>
        <w:t xml:space="preserve"> of the domestic space is shown to require a degree of violence that explodes the domestic’s pretensions to moral superiority</w:t>
      </w:r>
    </w:p>
    <w:p w14:paraId="42B7EFE6" w14:textId="257B200D" w:rsidR="000155C2" w:rsidRDefault="000155C2">
      <w:pPr>
        <w:rPr>
          <w:sz w:val="24"/>
          <w:szCs w:val="24"/>
        </w:rPr>
      </w:pPr>
    </w:p>
    <w:p w14:paraId="7F894FDC" w14:textId="77777777" w:rsidR="000155C2" w:rsidRPr="000155C2" w:rsidRDefault="000155C2">
      <w:pPr>
        <w:rPr>
          <w:sz w:val="24"/>
          <w:szCs w:val="24"/>
        </w:rPr>
      </w:pPr>
    </w:p>
    <w:sectPr w:rsidR="000155C2" w:rsidRPr="000155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erpetua">
    <w:panose1 w:val="02020502060401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Felix Titling">
    <w:panose1 w:val="04060505060202020A04"/>
    <w:charset w:val="00"/>
    <w:family w:val="decorative"/>
    <w:pitch w:val="variable"/>
    <w:sig w:usb0="00000003" w:usb1="00000000" w:usb2="00000000" w:usb3="00000000" w:csb0="00000001" w:csb1="00000000"/>
  </w:font>
  <w:font w:name="Perpetua Titling MT">
    <w:panose1 w:val="020205020605050208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C2"/>
    <w:rsid w:val="000155C2"/>
    <w:rsid w:val="003465DD"/>
    <w:rsid w:val="0061378B"/>
    <w:rsid w:val="00677449"/>
    <w:rsid w:val="0075000D"/>
    <w:rsid w:val="007F3BA1"/>
    <w:rsid w:val="00B367F3"/>
    <w:rsid w:val="00C2633F"/>
    <w:rsid w:val="00CC5F48"/>
    <w:rsid w:val="00DB4EC6"/>
    <w:rsid w:val="00F2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5D324"/>
  <w15:chartTrackingRefBased/>
  <w15:docId w15:val="{87C05483-245A-4D13-925D-4B40DF65F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599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1363</Words>
  <Characters>7771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4</cp:revision>
  <dcterms:created xsi:type="dcterms:W3CDTF">2020-02-08T01:21:00Z</dcterms:created>
  <dcterms:modified xsi:type="dcterms:W3CDTF">2020-02-08T01:25:00Z</dcterms:modified>
</cp:coreProperties>
</file>