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184057183"/>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02366EC5" w14:textId="321B4F1A" w:rsidR="00A5636E" w:rsidRDefault="00A5636E">
          <w:pPr>
            <w:pStyle w:val="NoSpacing"/>
            <w:spacing w:before="1540" w:after="240"/>
            <w:jc w:val="center"/>
            <w:rPr>
              <w:color w:val="156082" w:themeColor="accent1"/>
            </w:rPr>
          </w:pPr>
          <w:r>
            <w:rPr>
              <w:noProof/>
              <w:color w:val="156082" w:themeColor="accent1"/>
            </w:rPr>
            <w:drawing>
              <wp:inline distT="0" distB="0" distL="0" distR="0" wp14:anchorId="007951D3" wp14:editId="4944CA5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rPr>
            <w:alias w:val="Title"/>
            <w:tag w:val=""/>
            <w:id w:val="1735040861"/>
            <w:placeholder>
              <w:docPart w:val="22C2E062E48F434E878142832862FEF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44272C" w14:textId="15C33333" w:rsidR="00A5636E" w:rsidRDefault="00A5636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A5636E">
                <w:rPr>
                  <w:rFonts w:ascii="Arial Black" w:eastAsiaTheme="majorEastAsia" w:hAnsi="Arial Black" w:cstheme="majorBidi"/>
                  <w:caps/>
                  <w:color w:val="156082" w:themeColor="accent1"/>
                  <w:sz w:val="72"/>
                  <w:szCs w:val="72"/>
                </w:rPr>
                <w:t xml:space="preserve">NEW START-UP BUSINESS PLAN </w:t>
              </w:r>
            </w:p>
          </w:sdtContent>
        </w:sdt>
        <w:sdt>
          <w:sdtPr>
            <w:rPr>
              <w:rFonts w:ascii="Arial Black" w:hAnsi="Arial Black"/>
              <w:color w:val="156082" w:themeColor="accent1"/>
              <w:sz w:val="56"/>
              <w:szCs w:val="56"/>
            </w:rPr>
            <w:alias w:val="Subtitle"/>
            <w:tag w:val=""/>
            <w:id w:val="328029620"/>
            <w:placeholder>
              <w:docPart w:val="2D0F2D5DA7094F1EA43BBCECC1B80C0F"/>
            </w:placeholder>
            <w:dataBinding w:prefixMappings="xmlns:ns0='http://purl.org/dc/elements/1.1/' xmlns:ns1='http://schemas.openxmlformats.org/package/2006/metadata/core-properties' " w:xpath="/ns1:coreProperties[1]/ns0:subject[1]" w:storeItemID="{6C3C8BC8-F283-45AE-878A-BAB7291924A1}"/>
            <w:text/>
          </w:sdtPr>
          <w:sdtContent>
            <w:p w14:paraId="3A9FB840" w14:textId="471FA937" w:rsidR="00A5636E" w:rsidRPr="005F1F2D" w:rsidRDefault="00A5636E">
              <w:pPr>
                <w:pStyle w:val="NoSpacing"/>
                <w:jc w:val="center"/>
                <w:rPr>
                  <w:rFonts w:ascii="Arial Black" w:hAnsi="Arial Black"/>
                  <w:color w:val="156082" w:themeColor="accent1"/>
                  <w:sz w:val="56"/>
                  <w:szCs w:val="56"/>
                </w:rPr>
              </w:pPr>
              <w:r w:rsidRPr="005F1F2D">
                <w:rPr>
                  <w:rFonts w:ascii="Arial Black" w:hAnsi="Arial Black"/>
                  <w:color w:val="156082" w:themeColor="accent1"/>
                  <w:sz w:val="56"/>
                  <w:szCs w:val="56"/>
                </w:rPr>
                <w:t xml:space="preserve">SUSTAINABLE ENTERPRISE </w:t>
              </w:r>
            </w:p>
          </w:sdtContent>
        </w:sdt>
        <w:p w14:paraId="1C6C43FF" w14:textId="77777777" w:rsidR="00A5636E" w:rsidRDefault="00A5636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F145343" wp14:editId="79CB11D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21C908F1" w14:textId="5F00ED17" w:rsidR="00A5636E" w:rsidRPr="005F1F2D" w:rsidRDefault="005F1F2D">
                                    <w:pPr>
                                      <w:pStyle w:val="NoSpacing"/>
                                      <w:spacing w:after="40"/>
                                      <w:jc w:val="center"/>
                                      <w:rPr>
                                        <w:rFonts w:ascii="Arial Black" w:hAnsi="Arial Black"/>
                                        <w:caps/>
                                        <w:color w:val="156082" w:themeColor="accent1"/>
                                        <w:sz w:val="36"/>
                                        <w:szCs w:val="36"/>
                                      </w:rPr>
                                    </w:pPr>
                                    <w:r w:rsidRPr="005F1F2D">
                                      <w:rPr>
                                        <w:rFonts w:ascii="Arial Black" w:hAnsi="Arial Black"/>
                                        <w:caps/>
                                        <w:color w:val="156082" w:themeColor="accent1"/>
                                        <w:sz w:val="36"/>
                                        <w:szCs w:val="36"/>
                                      </w:rPr>
                                      <w:t>March 14, 2025</w:t>
                                    </w:r>
                                  </w:p>
                                </w:sdtContent>
                              </w:sdt>
                              <w:p w14:paraId="3868CA09" w14:textId="47A4CC6B" w:rsidR="00A5636E" w:rsidRPr="005F1F2D" w:rsidRDefault="005F1F2D">
                                <w:pPr>
                                  <w:pStyle w:val="NoSpacing"/>
                                  <w:jc w:val="center"/>
                                  <w:rPr>
                                    <w:rFonts w:ascii="Arial Black" w:hAnsi="Arial Black"/>
                                    <w:color w:val="156082" w:themeColor="accent1"/>
                                    <w:sz w:val="36"/>
                                    <w:szCs w:val="36"/>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5F1F2D">
                                      <w:rPr>
                                        <w:rFonts w:ascii="Arial Black" w:hAnsi="Arial Black"/>
                                        <w:caps/>
                                        <w:color w:val="156082" w:themeColor="accent1"/>
                                        <w:sz w:val="36"/>
                                        <w:szCs w:val="36"/>
                                      </w:rPr>
                                      <w:t>Sustainable Enterprise/ Social Enterprise Management</w:t>
                                    </w:r>
                                  </w:sdtContent>
                                </w:sdt>
                              </w:p>
                              <w:p w14:paraId="271B95DC" w14:textId="2ABF548F" w:rsidR="00A5636E" w:rsidRPr="005F1F2D" w:rsidRDefault="005F1F2D">
                                <w:pPr>
                                  <w:pStyle w:val="NoSpacing"/>
                                  <w:jc w:val="center"/>
                                  <w:rPr>
                                    <w:rFonts w:ascii="Arial Black" w:hAnsi="Arial Black"/>
                                    <w:color w:val="156082" w:themeColor="accent1"/>
                                    <w:sz w:val="36"/>
                                    <w:szCs w:val="36"/>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5F1F2D">
                                      <w:rPr>
                                        <w:rFonts w:ascii="Arial Black" w:hAnsi="Arial Black"/>
                                        <w:color w:val="156082" w:themeColor="accent1"/>
                                        <w:sz w:val="36"/>
                                        <w:szCs w:val="36"/>
                                      </w:rPr>
                                      <w:t>BMSE4010D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14534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21C908F1" w14:textId="5F00ED17" w:rsidR="00A5636E" w:rsidRPr="005F1F2D" w:rsidRDefault="005F1F2D">
                              <w:pPr>
                                <w:pStyle w:val="NoSpacing"/>
                                <w:spacing w:after="40"/>
                                <w:jc w:val="center"/>
                                <w:rPr>
                                  <w:rFonts w:ascii="Arial Black" w:hAnsi="Arial Black"/>
                                  <w:caps/>
                                  <w:color w:val="156082" w:themeColor="accent1"/>
                                  <w:sz w:val="36"/>
                                  <w:szCs w:val="36"/>
                                </w:rPr>
                              </w:pPr>
                              <w:r w:rsidRPr="005F1F2D">
                                <w:rPr>
                                  <w:rFonts w:ascii="Arial Black" w:hAnsi="Arial Black"/>
                                  <w:caps/>
                                  <w:color w:val="156082" w:themeColor="accent1"/>
                                  <w:sz w:val="36"/>
                                  <w:szCs w:val="36"/>
                                </w:rPr>
                                <w:t>March 14, 2025</w:t>
                              </w:r>
                            </w:p>
                          </w:sdtContent>
                        </w:sdt>
                        <w:p w14:paraId="3868CA09" w14:textId="47A4CC6B" w:rsidR="00A5636E" w:rsidRPr="005F1F2D" w:rsidRDefault="005F1F2D">
                          <w:pPr>
                            <w:pStyle w:val="NoSpacing"/>
                            <w:jc w:val="center"/>
                            <w:rPr>
                              <w:rFonts w:ascii="Arial Black" w:hAnsi="Arial Black"/>
                              <w:color w:val="156082" w:themeColor="accent1"/>
                              <w:sz w:val="36"/>
                              <w:szCs w:val="36"/>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5F1F2D">
                                <w:rPr>
                                  <w:rFonts w:ascii="Arial Black" w:hAnsi="Arial Black"/>
                                  <w:caps/>
                                  <w:color w:val="156082" w:themeColor="accent1"/>
                                  <w:sz w:val="36"/>
                                  <w:szCs w:val="36"/>
                                </w:rPr>
                                <w:t>Sustainable Enterprise/ Social Enterprise Management</w:t>
                              </w:r>
                            </w:sdtContent>
                          </w:sdt>
                        </w:p>
                        <w:p w14:paraId="271B95DC" w14:textId="2ABF548F" w:rsidR="00A5636E" w:rsidRPr="005F1F2D" w:rsidRDefault="005F1F2D">
                          <w:pPr>
                            <w:pStyle w:val="NoSpacing"/>
                            <w:jc w:val="center"/>
                            <w:rPr>
                              <w:rFonts w:ascii="Arial Black" w:hAnsi="Arial Black"/>
                              <w:color w:val="156082" w:themeColor="accent1"/>
                              <w:sz w:val="36"/>
                              <w:szCs w:val="36"/>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5F1F2D">
                                <w:rPr>
                                  <w:rFonts w:ascii="Arial Black" w:hAnsi="Arial Black"/>
                                  <w:color w:val="156082" w:themeColor="accent1"/>
                                  <w:sz w:val="36"/>
                                  <w:szCs w:val="36"/>
                                </w:rPr>
                                <w:t>BMSE4010D</w:t>
                              </w:r>
                            </w:sdtContent>
                          </w:sdt>
                        </w:p>
                      </w:txbxContent>
                    </v:textbox>
                    <w10:wrap anchorx="margin" anchory="page"/>
                  </v:shape>
                </w:pict>
              </mc:Fallback>
            </mc:AlternateContent>
          </w:r>
          <w:r>
            <w:rPr>
              <w:noProof/>
              <w:color w:val="156082" w:themeColor="accent1"/>
            </w:rPr>
            <w:drawing>
              <wp:inline distT="0" distB="0" distL="0" distR="0" wp14:anchorId="7E7889DF" wp14:editId="714E1A5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C6981F" w14:textId="4B84F6FE" w:rsidR="00A5636E" w:rsidRDefault="00A5636E">
          <w:pPr>
            <w:rPr>
              <w:rFonts w:ascii="Arial Black" w:hAnsi="Arial Black" w:cs="Arial"/>
            </w:rPr>
          </w:pPr>
          <w:r>
            <w:rPr>
              <w:rFonts w:ascii="Arial Black" w:hAnsi="Arial Black" w:cs="Arial"/>
            </w:rPr>
            <w:br w:type="page"/>
          </w:r>
        </w:p>
      </w:sdtContent>
    </w:sdt>
    <w:p w14:paraId="3AB19ADD" w14:textId="540F79F5"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lastRenderedPageBreak/>
        <w:t>Introduction</w:t>
      </w:r>
    </w:p>
    <w:p w14:paraId="0285A0D9" w14:textId="5B047807" w:rsidR="00AE4B4C" w:rsidRDefault="00AE4B4C" w:rsidP="00AE4B4C">
      <w:pPr>
        <w:spacing w:line="480" w:lineRule="auto"/>
        <w:rPr>
          <w:rFonts w:ascii="Arial" w:hAnsi="Arial" w:cs="Arial"/>
        </w:rPr>
      </w:pPr>
      <w:r w:rsidRPr="00AE4B4C">
        <w:rPr>
          <w:rFonts w:ascii="Arial" w:hAnsi="Arial" w:cs="Arial"/>
        </w:rPr>
        <w:t xml:space="preserve">This business plan outlines the growth and development strategy of a start-up enterprise that is committed to the production and distribution of biodegradable food packaging solutions. The enterprise aims to address the growing environmental concerns associated with traditional single-use packaging by developing a financially viable and socially responsible business model. The venture is predicated on the principle that sustainability must be integrated into the design of products, the administration of resources, and the positioning of the market </w:t>
      </w:r>
      <w:r w:rsidRPr="00AE4B4C">
        <w:rPr>
          <w:rFonts w:ascii="Arial" w:hAnsi="Arial" w:cs="Arial"/>
        </w:rPr>
        <w:t>to</w:t>
      </w:r>
      <w:r w:rsidRPr="00AE4B4C">
        <w:rPr>
          <w:rFonts w:ascii="Arial" w:hAnsi="Arial" w:cs="Arial"/>
        </w:rPr>
        <w:t xml:space="preserve"> guarantee long-term sustainability. The following plan provides a comprehensive PESTLE and SWOT analysis, describes the necessary resources, addresses the marketing strategy, highlights the extent of the enterprise's sustainability, and details the enterprise's aims and objectives. A financial cash flow summary and a succinct contingency plan are included at the end. The objective is to demonstrate the simultaneous delivery of financial returns and environmental benefits through sustainable entrepreneurship, utilising the knowledge gained from academic research on the establishment and expansion of sustainable enterprises (Cohen </w:t>
      </w:r>
      <w:r w:rsidR="00A5636E">
        <w:rPr>
          <w:rFonts w:ascii="Arial" w:hAnsi="Arial" w:cs="Arial"/>
        </w:rPr>
        <w:t>&amp;</w:t>
      </w:r>
      <w:r w:rsidRPr="00AE4B4C">
        <w:rPr>
          <w:rFonts w:ascii="Arial" w:hAnsi="Arial" w:cs="Arial"/>
        </w:rPr>
        <w:t xml:space="preserve"> Winn, 2007; Davidsson, 1989).</w:t>
      </w:r>
    </w:p>
    <w:p w14:paraId="3228A8A7" w14:textId="77777777" w:rsidR="00AE4B4C" w:rsidRDefault="00AE4B4C" w:rsidP="00AE4B4C">
      <w:pPr>
        <w:spacing w:line="480" w:lineRule="auto"/>
        <w:rPr>
          <w:rFonts w:ascii="Arial" w:hAnsi="Arial" w:cs="Arial"/>
        </w:rPr>
      </w:pPr>
    </w:p>
    <w:p w14:paraId="52001876" w14:textId="77777777" w:rsidR="00AE4B4C" w:rsidRDefault="00AE4B4C" w:rsidP="00AE4B4C">
      <w:pPr>
        <w:spacing w:line="480" w:lineRule="auto"/>
        <w:rPr>
          <w:rFonts w:ascii="Arial" w:hAnsi="Arial" w:cs="Arial"/>
        </w:rPr>
      </w:pPr>
    </w:p>
    <w:p w14:paraId="5C452E61" w14:textId="77777777" w:rsidR="00AE4B4C" w:rsidRDefault="00AE4B4C" w:rsidP="00AE4B4C">
      <w:pPr>
        <w:spacing w:line="480" w:lineRule="auto"/>
        <w:rPr>
          <w:rFonts w:ascii="Arial" w:hAnsi="Arial" w:cs="Arial"/>
        </w:rPr>
      </w:pPr>
    </w:p>
    <w:p w14:paraId="5B46CE15" w14:textId="77777777" w:rsidR="00AE4B4C" w:rsidRDefault="00AE4B4C" w:rsidP="00AE4B4C">
      <w:pPr>
        <w:spacing w:line="480" w:lineRule="auto"/>
        <w:rPr>
          <w:rFonts w:ascii="Arial" w:hAnsi="Arial" w:cs="Arial"/>
        </w:rPr>
      </w:pPr>
    </w:p>
    <w:p w14:paraId="76CE9C37" w14:textId="77777777" w:rsidR="00AE4B4C" w:rsidRDefault="00AE4B4C" w:rsidP="00AE4B4C">
      <w:pPr>
        <w:spacing w:line="480" w:lineRule="auto"/>
        <w:rPr>
          <w:rFonts w:ascii="Arial" w:hAnsi="Arial" w:cs="Arial"/>
        </w:rPr>
      </w:pPr>
    </w:p>
    <w:p w14:paraId="4B08656A" w14:textId="77777777" w:rsidR="00AE4B4C" w:rsidRDefault="00AE4B4C" w:rsidP="00AE4B4C">
      <w:pPr>
        <w:spacing w:line="480" w:lineRule="auto"/>
        <w:rPr>
          <w:rFonts w:ascii="Arial" w:hAnsi="Arial" w:cs="Arial"/>
        </w:rPr>
      </w:pPr>
    </w:p>
    <w:p w14:paraId="303BB9C3" w14:textId="77777777" w:rsidR="00AE4B4C" w:rsidRDefault="00AE4B4C" w:rsidP="00AE4B4C">
      <w:pPr>
        <w:spacing w:line="480" w:lineRule="auto"/>
        <w:rPr>
          <w:rFonts w:ascii="Arial" w:hAnsi="Arial" w:cs="Arial"/>
        </w:rPr>
      </w:pPr>
    </w:p>
    <w:p w14:paraId="7D3F3EDE" w14:textId="34F34BC2"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lastRenderedPageBreak/>
        <w:t>Enterprise Objectives and Goals</w:t>
      </w:r>
    </w:p>
    <w:p w14:paraId="7E5BC53A" w14:textId="77777777" w:rsidR="00AE4B4C" w:rsidRPr="00AE4B4C" w:rsidRDefault="00AE4B4C" w:rsidP="00AE4B4C">
      <w:pPr>
        <w:spacing w:line="480" w:lineRule="auto"/>
        <w:rPr>
          <w:rFonts w:ascii="Arial" w:hAnsi="Arial" w:cs="Arial"/>
        </w:rPr>
      </w:pPr>
    </w:p>
    <w:p w14:paraId="33362B56" w14:textId="77777777" w:rsidR="00AE4B4C" w:rsidRDefault="00AE4B4C" w:rsidP="00AE4B4C">
      <w:pPr>
        <w:spacing w:line="480" w:lineRule="auto"/>
        <w:rPr>
          <w:rFonts w:ascii="Arial" w:hAnsi="Arial" w:cs="Arial"/>
        </w:rPr>
      </w:pPr>
      <w:r w:rsidRPr="00AE4B4C">
        <w:rPr>
          <w:rFonts w:ascii="Arial" w:hAnsi="Arial" w:cs="Arial"/>
        </w:rPr>
        <w:t>The primary objective of this enterprise is to revolutionise the single-use packaging industry by substituting environmentally harmful plastic and non-compostable materials with biodegradable alternatives that are primarily derived from natural fibres and other readily decomposable raw materials. In accordance with the principle that sustainable products should enhance environmental outcomes while maintaining performance, the enterprise aims to establish itself as a prominent player in this emerging market by ensuring product longevity and consistent quality (Cooper, 2010).</w:t>
      </w:r>
    </w:p>
    <w:p w14:paraId="059F63B6" w14:textId="4572D14C" w:rsidR="00AE4B4C" w:rsidRDefault="00AE4B4C" w:rsidP="00AE4B4C">
      <w:pPr>
        <w:spacing w:line="480" w:lineRule="auto"/>
        <w:rPr>
          <w:rFonts w:ascii="Arial" w:hAnsi="Arial" w:cs="Arial"/>
        </w:rPr>
      </w:pPr>
      <w:r w:rsidRPr="00AE4B4C">
        <w:rPr>
          <w:rFonts w:ascii="Arial" w:hAnsi="Arial" w:cs="Arial"/>
        </w:rPr>
        <w:t xml:space="preserve">The start-up is dedicated to four primary objectives </w:t>
      </w:r>
      <w:r w:rsidRPr="00AE4B4C">
        <w:rPr>
          <w:rFonts w:ascii="Arial" w:hAnsi="Arial" w:cs="Arial"/>
        </w:rPr>
        <w:t>to</w:t>
      </w:r>
      <w:r w:rsidRPr="00AE4B4C">
        <w:rPr>
          <w:rFonts w:ascii="Arial" w:hAnsi="Arial" w:cs="Arial"/>
        </w:rPr>
        <w:t xml:space="preserve"> realise this comprehensive vision. The initial step is to conduct research and develop innovative biodegradable packaging materials that require minimal processing while maintaining the requisite durability for food containment. The second is to operate within a financially resilient framework that is consistent with modern methods of acquiring and maintaining outside entrepreneurial capital (Cosh, Cumming, </w:t>
      </w:r>
      <w:r w:rsidR="00A5636E">
        <w:rPr>
          <w:rFonts w:ascii="Arial" w:hAnsi="Arial" w:cs="Arial"/>
        </w:rPr>
        <w:t>&amp;</w:t>
      </w:r>
      <w:r w:rsidRPr="00AE4B4C">
        <w:rPr>
          <w:rFonts w:ascii="Arial" w:hAnsi="Arial" w:cs="Arial"/>
        </w:rPr>
        <w:t xml:space="preserve"> Hughes, 2009; Cowton </w:t>
      </w:r>
      <w:r w:rsidR="00A5636E">
        <w:rPr>
          <w:rFonts w:ascii="Arial" w:hAnsi="Arial" w:cs="Arial"/>
        </w:rPr>
        <w:t>&amp;</w:t>
      </w:r>
      <w:r w:rsidRPr="00AE4B4C">
        <w:rPr>
          <w:rFonts w:ascii="Arial" w:hAnsi="Arial" w:cs="Arial"/>
        </w:rPr>
        <w:t xml:space="preserve"> Thompson, 2001). The third objective is to foster the extensive market acceptance of biodegradable packaging solutions by collaborating with key industry stakeholders, such as suppliers and distributors. The </w:t>
      </w:r>
      <w:r w:rsidRPr="00AE4B4C">
        <w:rPr>
          <w:rFonts w:ascii="Arial" w:hAnsi="Arial" w:cs="Arial"/>
        </w:rPr>
        <w:t>goal</w:t>
      </w:r>
      <w:r w:rsidRPr="00AE4B4C">
        <w:rPr>
          <w:rFonts w:ascii="Arial" w:hAnsi="Arial" w:cs="Arial"/>
        </w:rPr>
        <w:t xml:space="preserve"> is to maintain a consistent level of engagement with environmental, community, and governmental actors </w:t>
      </w:r>
      <w:r w:rsidRPr="00AE4B4C">
        <w:rPr>
          <w:rFonts w:ascii="Arial" w:hAnsi="Arial" w:cs="Arial"/>
        </w:rPr>
        <w:t>to</w:t>
      </w:r>
      <w:r w:rsidRPr="00AE4B4C">
        <w:rPr>
          <w:rFonts w:ascii="Arial" w:hAnsi="Arial" w:cs="Arial"/>
        </w:rPr>
        <w:t xml:space="preserve"> increase public awareness of sustainable production processes (Anbarasan, 2018)</w:t>
      </w:r>
      <w:r>
        <w:rPr>
          <w:rFonts w:ascii="Arial" w:hAnsi="Arial" w:cs="Arial"/>
        </w:rPr>
        <w:t>.</w:t>
      </w:r>
    </w:p>
    <w:p w14:paraId="5A706DAD" w14:textId="77777777" w:rsidR="00AE4B4C" w:rsidRDefault="00AE4B4C" w:rsidP="00AE4B4C">
      <w:pPr>
        <w:spacing w:line="480" w:lineRule="auto"/>
        <w:rPr>
          <w:rFonts w:ascii="Arial" w:hAnsi="Arial" w:cs="Arial"/>
        </w:rPr>
      </w:pPr>
    </w:p>
    <w:p w14:paraId="0F291712" w14:textId="77777777" w:rsidR="00AE4B4C" w:rsidRDefault="00AE4B4C" w:rsidP="00AE4B4C">
      <w:pPr>
        <w:spacing w:line="480" w:lineRule="auto"/>
        <w:rPr>
          <w:rFonts w:ascii="Arial" w:hAnsi="Arial" w:cs="Arial"/>
        </w:rPr>
      </w:pPr>
    </w:p>
    <w:p w14:paraId="48D18F1F" w14:textId="375D4ACC"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lastRenderedPageBreak/>
        <w:t>Explanation</w:t>
      </w:r>
      <w:r w:rsidRPr="00AE4B4C">
        <w:rPr>
          <w:rFonts w:ascii="Arial Black" w:hAnsi="Arial Black" w:cs="Arial"/>
        </w:rPr>
        <w:t xml:space="preserve"> of Sustainability</w:t>
      </w:r>
    </w:p>
    <w:p w14:paraId="2A6C6344" w14:textId="77777777" w:rsidR="00AE4B4C" w:rsidRPr="00AE4B4C" w:rsidRDefault="00AE4B4C" w:rsidP="00AE4B4C">
      <w:pPr>
        <w:spacing w:line="480" w:lineRule="auto"/>
        <w:rPr>
          <w:rFonts w:ascii="Arial" w:hAnsi="Arial" w:cs="Arial"/>
        </w:rPr>
      </w:pPr>
    </w:p>
    <w:p w14:paraId="6F488683" w14:textId="00D0DFD2" w:rsidR="00AE4B4C" w:rsidRDefault="00AE4B4C" w:rsidP="00AE4B4C">
      <w:pPr>
        <w:spacing w:line="480" w:lineRule="auto"/>
        <w:rPr>
          <w:rFonts w:ascii="Arial" w:hAnsi="Arial" w:cs="Arial"/>
        </w:rPr>
      </w:pPr>
      <w:r w:rsidRPr="00AE4B4C">
        <w:rPr>
          <w:rFonts w:ascii="Arial" w:hAnsi="Arial" w:cs="Arial"/>
        </w:rPr>
        <w:t xml:space="preserve">The proposed enterprise acknowledges that sustainable entrepreneurship necessitates the evaluation of economic, social, and environmental performance indicators (Cohen, Smith, </w:t>
      </w:r>
      <w:r w:rsidR="00A5636E">
        <w:rPr>
          <w:rFonts w:ascii="Arial" w:hAnsi="Arial" w:cs="Arial"/>
        </w:rPr>
        <w:t>&amp;</w:t>
      </w:r>
      <w:r w:rsidRPr="00AE4B4C">
        <w:rPr>
          <w:rFonts w:ascii="Arial" w:hAnsi="Arial" w:cs="Arial"/>
        </w:rPr>
        <w:t xml:space="preserve"> Mitchell, 2008). In practical terms, sustainability for this venture will be achieved by sourcing raw materials that decompose naturally without causing damage to ecosystems, by implementing production methods that minimise carbon emissions, and by integrating community welfare into the operational model. The organization's objective is to enhance production efficiency and implement energy sources that minimise carbon footprints throughout the manufacturing process. The materials selected will be derived from plant-based fibres that decompose naturally within a relatively brief time frame, thereby reducing the long-term accumulation of waste in landfills. This dedication to the environmental longevity of products is in accordance with recent research that posits that the durability and environmental impact of a product throughout its lifecycle are essential for achieving genuinely sustainable results (Cooper, 2010).</w:t>
      </w:r>
    </w:p>
    <w:p w14:paraId="034DF86D" w14:textId="77777777" w:rsidR="00AE4B4C" w:rsidRDefault="00AE4B4C" w:rsidP="00AE4B4C">
      <w:pPr>
        <w:spacing w:line="480" w:lineRule="auto"/>
        <w:rPr>
          <w:rFonts w:ascii="Arial" w:hAnsi="Arial" w:cs="Arial"/>
        </w:rPr>
      </w:pPr>
      <w:r w:rsidRPr="00AE4B4C">
        <w:rPr>
          <w:rFonts w:ascii="Arial" w:hAnsi="Arial" w:cs="Arial"/>
        </w:rPr>
        <w:t>The organisation will integrate sustainability principles into each phase of the product development process, from the selection of materials to their dispersal. In doing so, it promotes the notion that environmental factors should be incorporated into enterprise resource planning systems (</w:t>
      </w:r>
      <w:proofErr w:type="spellStart"/>
      <w:r w:rsidRPr="00AE4B4C">
        <w:rPr>
          <w:rFonts w:ascii="Arial" w:hAnsi="Arial" w:cs="Arial"/>
        </w:rPr>
        <w:t>Chofreh</w:t>
      </w:r>
      <w:proofErr w:type="spellEnd"/>
      <w:r w:rsidRPr="00AE4B4C">
        <w:rPr>
          <w:rFonts w:ascii="Arial" w:hAnsi="Arial" w:cs="Arial"/>
        </w:rPr>
        <w:t xml:space="preserve">, 2018). Supplier selection decisions will prioritise partnerships that can provide fibres that are responsibly harvested and adhere to ethical labour practices. This method is in alignment with scholars who emphasise that sustainable enterprise excellence is contingent upon organisational models that systematically integrate sustainability into their fundamental processes </w:t>
      </w:r>
      <w:r w:rsidRPr="00AE4B4C">
        <w:rPr>
          <w:rFonts w:ascii="Arial" w:hAnsi="Arial" w:cs="Arial"/>
        </w:rPr>
        <w:lastRenderedPageBreak/>
        <w:t>(Edgeman and Eskildsen, 2014). In addition, stakeholder engagement will be a critical component of sustainable value creation, as evidenced by the promotion of the relationship with local communities through transparent supply chain reporting, job creation, and active participation in waste reduction initiatives (Anbarasan, 2018.).</w:t>
      </w:r>
    </w:p>
    <w:p w14:paraId="72B4F96C" w14:textId="77777777" w:rsidR="00AE4B4C" w:rsidRDefault="00AE4B4C" w:rsidP="00AE4B4C">
      <w:pPr>
        <w:spacing w:line="480" w:lineRule="auto"/>
        <w:rPr>
          <w:rFonts w:ascii="Arial" w:hAnsi="Arial" w:cs="Arial"/>
        </w:rPr>
      </w:pPr>
    </w:p>
    <w:p w14:paraId="7020EF99" w14:textId="7A7EBD8F"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t>Physical, Human, and Financial Resources</w:t>
      </w:r>
    </w:p>
    <w:p w14:paraId="3A94AE34" w14:textId="77777777" w:rsidR="00AE4B4C" w:rsidRPr="00AE4B4C" w:rsidRDefault="00AE4B4C" w:rsidP="00AE4B4C">
      <w:pPr>
        <w:spacing w:line="480" w:lineRule="auto"/>
        <w:rPr>
          <w:rFonts w:ascii="Arial" w:hAnsi="Arial" w:cs="Arial"/>
        </w:rPr>
      </w:pPr>
    </w:p>
    <w:p w14:paraId="14BCC74C" w14:textId="77777777" w:rsidR="00AE4B4C" w:rsidRDefault="00AE4B4C" w:rsidP="00AE4B4C">
      <w:pPr>
        <w:spacing w:line="480" w:lineRule="auto"/>
        <w:rPr>
          <w:rFonts w:ascii="Arial" w:hAnsi="Arial" w:cs="Arial"/>
        </w:rPr>
      </w:pPr>
      <w:r w:rsidRPr="00AE4B4C">
        <w:rPr>
          <w:rFonts w:ascii="Arial" w:hAnsi="Arial" w:cs="Arial"/>
        </w:rPr>
        <w:t xml:space="preserve">The enterprise necessitates production facilities that are provided with fibre processing machinery, manufacturing equipment, and packaging lines that are specifically designed to produce biodegradable containers. </w:t>
      </w:r>
      <w:r w:rsidRPr="00AE4B4C">
        <w:rPr>
          <w:rFonts w:ascii="Arial" w:hAnsi="Arial" w:cs="Arial"/>
        </w:rPr>
        <w:t>To</w:t>
      </w:r>
      <w:r w:rsidRPr="00AE4B4C">
        <w:rPr>
          <w:rFonts w:ascii="Arial" w:hAnsi="Arial" w:cs="Arial"/>
        </w:rPr>
        <w:t xml:space="preserve"> mitigate transportation expenses and associated carbon emissions, as well as guarantee a consistent supply of natural fibres, the proximity of raw material suppliers will be prioritised. The medium-sized manufacturing facility will be equipped with eco-efficient lighting, ventilation, and water management systems as part of the physical infrastructure. These measures will facilitate the alignment of factory operations with sustainable strategies, which have been prioritised in research on the implementation of sustainable enterprise resource planning (</w:t>
      </w:r>
      <w:proofErr w:type="spellStart"/>
      <w:r w:rsidRPr="00AE4B4C">
        <w:rPr>
          <w:rFonts w:ascii="Arial" w:hAnsi="Arial" w:cs="Arial"/>
        </w:rPr>
        <w:t>Chofreh</w:t>
      </w:r>
      <w:proofErr w:type="spellEnd"/>
      <w:r w:rsidRPr="00AE4B4C">
        <w:rPr>
          <w:rFonts w:ascii="Arial" w:hAnsi="Arial" w:cs="Arial"/>
        </w:rPr>
        <w:t>, 2018).</w:t>
      </w:r>
    </w:p>
    <w:p w14:paraId="27445518" w14:textId="77777777" w:rsidR="00AE4B4C" w:rsidRDefault="00AE4B4C" w:rsidP="00AE4B4C">
      <w:pPr>
        <w:spacing w:line="480" w:lineRule="auto"/>
        <w:rPr>
          <w:rFonts w:ascii="Arial" w:hAnsi="Arial" w:cs="Arial"/>
        </w:rPr>
      </w:pPr>
      <w:r w:rsidRPr="00AE4B4C">
        <w:rPr>
          <w:rFonts w:ascii="Arial" w:hAnsi="Arial" w:cs="Arial"/>
        </w:rPr>
        <w:t xml:space="preserve">Product innovation, marketing, and manufacturing excellence will be significantly influenced by human resources. The team will be composed of research and development personnel with expertise in environmental engineering and material science, production staff who are adept at operating specialised equipment, and marketing professionals who are capable of developing messages that emphasise the product's sustainable qualities. Administrative and managerial personnel will be </w:t>
      </w:r>
      <w:r w:rsidRPr="00AE4B4C">
        <w:rPr>
          <w:rFonts w:ascii="Arial" w:hAnsi="Arial" w:cs="Arial"/>
        </w:rPr>
        <w:lastRenderedPageBreak/>
        <w:t>employed to supervise daily operations, manage supply chain tasks, and foster client relationships. The enterprise will prioritise employee professional development from the inception, as it has been identified as a critical factor in fostering the willingness to grow in small firms (Davidsson, 1989).</w:t>
      </w:r>
    </w:p>
    <w:p w14:paraId="2860E571" w14:textId="100E39ED" w:rsidR="00AE4B4C" w:rsidRPr="00AE4B4C" w:rsidRDefault="00AE4B4C" w:rsidP="00AE4B4C">
      <w:pPr>
        <w:spacing w:line="480" w:lineRule="auto"/>
        <w:rPr>
          <w:rFonts w:ascii="Arial" w:hAnsi="Arial" w:cs="Arial"/>
        </w:rPr>
      </w:pPr>
      <w:r w:rsidRPr="00AE4B4C">
        <w:rPr>
          <w:rFonts w:ascii="Arial" w:hAnsi="Arial" w:cs="Arial"/>
        </w:rPr>
        <w:t xml:space="preserve">Initially, the business will pursue financing through a combination of equity investment, loans, and specialised funds that are specifically designed for sustainable ventures. This method is based on research that demonstrates that social banks and other alternative financial institutions frequently offer resources to entrepreneurs who are environmentally and socially conscious (Cowton </w:t>
      </w:r>
      <w:r w:rsidR="00A5636E">
        <w:rPr>
          <w:rFonts w:ascii="Arial" w:hAnsi="Arial" w:cs="Arial"/>
        </w:rPr>
        <w:t>&amp;</w:t>
      </w:r>
      <w:r w:rsidRPr="00AE4B4C">
        <w:rPr>
          <w:rFonts w:ascii="Arial" w:hAnsi="Arial" w:cs="Arial"/>
        </w:rPr>
        <w:t xml:space="preserve"> Thompson, 2001). Additional funding strategies will utilise external entrepreneurial capital, which is consistent with the evidence that externally acquired capital can facilitate accelerated expansion when opportunities for sustainability-driven innovations are available (Cosh, Cumming, </w:t>
      </w:r>
      <w:r w:rsidR="00A5636E">
        <w:rPr>
          <w:rFonts w:ascii="Arial" w:hAnsi="Arial" w:cs="Arial"/>
        </w:rPr>
        <w:t>&amp;</w:t>
      </w:r>
      <w:r w:rsidRPr="00AE4B4C">
        <w:rPr>
          <w:rFonts w:ascii="Arial" w:hAnsi="Arial" w:cs="Arial"/>
        </w:rPr>
        <w:t xml:space="preserve"> Hughes, 2009). An expert financial controller will monitor administrative costs, personnel salaries, research and development budgets, and marketing expenditures to guarantee prudent financial management.</w:t>
      </w:r>
    </w:p>
    <w:p w14:paraId="284EE8E2" w14:textId="77777777" w:rsidR="00AE4B4C" w:rsidRPr="00AE4B4C" w:rsidRDefault="00AE4B4C" w:rsidP="00AE4B4C">
      <w:pPr>
        <w:spacing w:line="480" w:lineRule="auto"/>
        <w:rPr>
          <w:rFonts w:ascii="Arial" w:hAnsi="Arial" w:cs="Arial"/>
        </w:rPr>
      </w:pPr>
    </w:p>
    <w:p w14:paraId="7648EEDB" w14:textId="3D66A4D2"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t>Marketing Strategy</w:t>
      </w:r>
    </w:p>
    <w:p w14:paraId="67002FB5" w14:textId="77777777" w:rsidR="00AE4B4C" w:rsidRPr="00AE4B4C" w:rsidRDefault="00AE4B4C" w:rsidP="00AE4B4C">
      <w:pPr>
        <w:spacing w:line="480" w:lineRule="auto"/>
        <w:rPr>
          <w:rFonts w:ascii="Arial" w:hAnsi="Arial" w:cs="Arial"/>
        </w:rPr>
      </w:pPr>
    </w:p>
    <w:p w14:paraId="4E4FA95F" w14:textId="77777777" w:rsidR="00AE4B4C" w:rsidRDefault="00AE4B4C" w:rsidP="00AE4B4C">
      <w:pPr>
        <w:spacing w:line="480" w:lineRule="auto"/>
        <w:rPr>
          <w:rFonts w:ascii="Arial" w:hAnsi="Arial" w:cs="Arial"/>
        </w:rPr>
      </w:pPr>
      <w:r w:rsidRPr="00AE4B4C">
        <w:rPr>
          <w:rFonts w:ascii="Arial" w:hAnsi="Arial" w:cs="Arial"/>
        </w:rPr>
        <w:t xml:space="preserve">The product's marketing strategy will focus on distinguishing it as a high-quality, practical solution to the increasing environmental challenges posed by plastics. It will emphasise the enterprise's packaging's ability to provide food containment performance without the detrimental environmental impact of plastics, therefore appealing to businesses and end-consumers who prioritise sustainability. The </w:t>
      </w:r>
      <w:r w:rsidRPr="00AE4B4C">
        <w:rPr>
          <w:rFonts w:ascii="Arial" w:hAnsi="Arial" w:cs="Arial"/>
        </w:rPr>
        <w:lastRenderedPageBreak/>
        <w:t>enterprise will establish brand recognition by participating in a variety of marketing channels, such as trade exhibitions, digital platforms, sustainability forums, and strategic partnerships with eco-conscious retailers.</w:t>
      </w:r>
    </w:p>
    <w:p w14:paraId="14D43D1B" w14:textId="37DB4169" w:rsidR="00AE4B4C" w:rsidRPr="00AE4B4C" w:rsidRDefault="00AE4B4C" w:rsidP="00AE4B4C">
      <w:pPr>
        <w:spacing w:line="480" w:lineRule="auto"/>
        <w:rPr>
          <w:rFonts w:ascii="Arial" w:hAnsi="Arial" w:cs="Arial"/>
        </w:rPr>
      </w:pPr>
      <w:r w:rsidRPr="00AE4B4C">
        <w:rPr>
          <w:rFonts w:ascii="Arial" w:hAnsi="Arial" w:cs="Arial"/>
        </w:rPr>
        <w:t xml:space="preserve">Marketing campaigns will incorporate educational content that explicates the environmental advantages of biodegradable packaging, utilising arguments that emphasise market imperfections and opportunities for sustainable entrepreneurship, as the demand for sustainable packaging frequently is contingent upon consumer attitudes (Cohen </w:t>
      </w:r>
      <w:r w:rsidR="00A5636E">
        <w:rPr>
          <w:rFonts w:ascii="Arial" w:hAnsi="Arial" w:cs="Arial"/>
        </w:rPr>
        <w:t>&amp;</w:t>
      </w:r>
      <w:r w:rsidRPr="00AE4B4C">
        <w:rPr>
          <w:rFonts w:ascii="Arial" w:hAnsi="Arial" w:cs="Arial"/>
        </w:rPr>
        <w:t xml:space="preserve"> Winn, 2007). The market research suggests that a growing consumer base is willing to pay premium prices for packaging solutions that demonstrate a robust commitment to environmental responsibility, </w:t>
      </w:r>
      <w:r w:rsidRPr="00AE4B4C">
        <w:rPr>
          <w:rFonts w:ascii="Arial" w:hAnsi="Arial" w:cs="Arial"/>
        </w:rPr>
        <w:t>because of</w:t>
      </w:r>
      <w:r w:rsidRPr="00AE4B4C">
        <w:rPr>
          <w:rFonts w:ascii="Arial" w:hAnsi="Arial" w:cs="Arial"/>
        </w:rPr>
        <w:t xml:space="preserve"> altering regulatory environments and increasing public concern (Cooper, 2010). This presents an opportunity to establish the enterprise as a pioneering leader in biodegradable packaging, thereby increasing its market share in the retail and commercial food service sectors.</w:t>
      </w:r>
    </w:p>
    <w:p w14:paraId="2D38ECEE" w14:textId="77777777" w:rsidR="00AE4B4C" w:rsidRPr="00AE4B4C" w:rsidRDefault="00AE4B4C" w:rsidP="00AE4B4C">
      <w:pPr>
        <w:spacing w:line="480" w:lineRule="auto"/>
        <w:rPr>
          <w:rFonts w:ascii="Arial" w:hAnsi="Arial" w:cs="Arial"/>
        </w:rPr>
      </w:pPr>
    </w:p>
    <w:p w14:paraId="7BE6422B" w14:textId="0B359ADD"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t>PESTLE Analysis</w:t>
      </w:r>
    </w:p>
    <w:p w14:paraId="4B857869" w14:textId="77777777" w:rsidR="00AE4B4C" w:rsidRPr="00AE4B4C" w:rsidRDefault="00AE4B4C" w:rsidP="00AE4B4C">
      <w:pPr>
        <w:spacing w:line="480" w:lineRule="auto"/>
        <w:rPr>
          <w:rFonts w:ascii="Arial" w:hAnsi="Arial" w:cs="Arial"/>
        </w:rPr>
      </w:pPr>
    </w:p>
    <w:p w14:paraId="5A6939AC" w14:textId="3479E1E4" w:rsidR="00AE4B4C" w:rsidRPr="00AE4B4C" w:rsidRDefault="00AE4B4C" w:rsidP="00AE4B4C">
      <w:pPr>
        <w:spacing w:line="480" w:lineRule="auto"/>
        <w:rPr>
          <w:rFonts w:ascii="Arial" w:hAnsi="Arial" w:cs="Arial"/>
        </w:rPr>
      </w:pPr>
      <w:r w:rsidRPr="00AE4B4C">
        <w:rPr>
          <w:rFonts w:ascii="Arial" w:hAnsi="Arial" w:cs="Arial"/>
        </w:rPr>
        <w:t xml:space="preserve">The enterprise acknowledges that its strategic direction can be substantially influenced by macro-environmental factors. The political climate that is increasingly regulating plastics may encourage consumers and businesses to adopt biodegradable packaging solutions, and political support from local governments may also help to promote their adoption. The market base can be expanded by the growing demand for green products, while fluctuations in raw material costs and currency exchange rates can impact profit margins. Consequently, economic </w:t>
      </w:r>
      <w:r w:rsidRPr="00AE4B4C">
        <w:rPr>
          <w:rFonts w:ascii="Arial" w:hAnsi="Arial" w:cs="Arial"/>
        </w:rPr>
        <w:lastRenderedPageBreak/>
        <w:t>conditions can present both risks and opportunities. The increasing awareness of global environmental challenges is reflected in the increased propensity of modern consumers to support sustainable products, as indicated by sociocultural trends (Cohen, Smith,</w:t>
      </w:r>
      <w:r>
        <w:rPr>
          <w:rFonts w:ascii="Arial" w:hAnsi="Arial" w:cs="Arial"/>
        </w:rPr>
        <w:t xml:space="preserve"> &amp;</w:t>
      </w:r>
      <w:r w:rsidRPr="00AE4B4C">
        <w:rPr>
          <w:rFonts w:ascii="Arial" w:hAnsi="Arial" w:cs="Arial"/>
        </w:rPr>
        <w:t xml:space="preserve"> Mitchell, 2008). Continuous innovation in biodegradation science is ensured by technological advancements, which also support research into more efficient machinery and enhanced production methods. The enterprise benefits from the regulatory environment that is established by legislative frameworks on waste reduction and single-use plastics prohibition policies. The necessity of addressing climate change and resource scarcity is further emphasised by environmental imperatives, which include the reduction of carbon emissions and the sourcing of resources responsibly. This is consistent with the demand for sustainability-driven business models (</w:t>
      </w:r>
      <w:proofErr w:type="spellStart"/>
      <w:r w:rsidRPr="00AE4B4C">
        <w:rPr>
          <w:rFonts w:ascii="Arial" w:hAnsi="Arial" w:cs="Arial"/>
        </w:rPr>
        <w:t>Febrizal</w:t>
      </w:r>
      <w:proofErr w:type="spellEnd"/>
      <w:r w:rsidRPr="00AE4B4C">
        <w:rPr>
          <w:rFonts w:ascii="Arial" w:hAnsi="Arial" w:cs="Arial"/>
        </w:rPr>
        <w:t xml:space="preserve"> </w:t>
      </w:r>
      <w:proofErr w:type="spellStart"/>
      <w:r w:rsidRPr="00AE4B4C">
        <w:rPr>
          <w:rFonts w:ascii="Arial" w:hAnsi="Arial" w:cs="Arial"/>
        </w:rPr>
        <w:t>Rahmana</w:t>
      </w:r>
      <w:proofErr w:type="spellEnd"/>
      <w:r w:rsidRPr="00AE4B4C">
        <w:rPr>
          <w:rFonts w:ascii="Arial" w:hAnsi="Arial" w:cs="Arial"/>
        </w:rPr>
        <w:t xml:space="preserve"> </w:t>
      </w:r>
      <w:r>
        <w:rPr>
          <w:rFonts w:ascii="Arial" w:hAnsi="Arial" w:cs="Arial"/>
        </w:rPr>
        <w:t>&amp;</w:t>
      </w:r>
      <w:r w:rsidRPr="00AE4B4C">
        <w:rPr>
          <w:rFonts w:ascii="Arial" w:hAnsi="Arial" w:cs="Arial"/>
        </w:rPr>
        <w:t xml:space="preserve"> Adhi </w:t>
      </w:r>
      <w:proofErr w:type="spellStart"/>
      <w:r w:rsidRPr="00AE4B4C">
        <w:rPr>
          <w:rFonts w:ascii="Arial" w:hAnsi="Arial" w:cs="Arial"/>
        </w:rPr>
        <w:t>Bawono</w:t>
      </w:r>
      <w:proofErr w:type="spellEnd"/>
      <w:r w:rsidRPr="00AE4B4C">
        <w:rPr>
          <w:rFonts w:ascii="Arial" w:hAnsi="Arial" w:cs="Arial"/>
        </w:rPr>
        <w:t>, 2020).</w:t>
      </w:r>
    </w:p>
    <w:p w14:paraId="11D65A0C" w14:textId="77777777" w:rsidR="00AE4B4C" w:rsidRPr="00AE4B4C" w:rsidRDefault="00AE4B4C" w:rsidP="00AE4B4C">
      <w:pPr>
        <w:spacing w:line="480" w:lineRule="auto"/>
        <w:rPr>
          <w:rFonts w:ascii="Arial" w:hAnsi="Arial" w:cs="Arial"/>
        </w:rPr>
      </w:pPr>
    </w:p>
    <w:p w14:paraId="67493AAD" w14:textId="609EA731"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t>SWOT Analysis</w:t>
      </w:r>
    </w:p>
    <w:p w14:paraId="7F5CE126" w14:textId="77777777" w:rsidR="00AE4B4C" w:rsidRPr="00AE4B4C" w:rsidRDefault="00AE4B4C" w:rsidP="00AE4B4C">
      <w:pPr>
        <w:spacing w:line="480" w:lineRule="auto"/>
        <w:rPr>
          <w:rFonts w:ascii="Arial" w:hAnsi="Arial" w:cs="Arial"/>
        </w:rPr>
      </w:pPr>
    </w:p>
    <w:p w14:paraId="50BFD30C" w14:textId="77777777" w:rsidR="00AE4B4C" w:rsidRDefault="00AE4B4C" w:rsidP="00AE4B4C">
      <w:pPr>
        <w:spacing w:line="480" w:lineRule="auto"/>
        <w:rPr>
          <w:rFonts w:ascii="Arial" w:hAnsi="Arial" w:cs="Arial"/>
        </w:rPr>
      </w:pPr>
      <w:r w:rsidRPr="00AE4B4C">
        <w:rPr>
          <w:rFonts w:ascii="Arial" w:hAnsi="Arial" w:cs="Arial"/>
        </w:rPr>
        <w:t xml:space="preserve">The enterprise's primary strength is its unwavering commitment to biodegradable packaging solutions that are in alignment with the values of contemporary consumers. This emphasis on product innovation and environmental stewardship positions the business in a competitive position in a sector that is still in the process of evolving, allowing it to claim a portion of an expanding market. Although the technical team's extensive research background and alignment with emerging regulatory trends are additional internal advantages, the relatively high initial production costs are a significant weakness. Short-term profitability may be impacted </w:t>
      </w:r>
      <w:r w:rsidRPr="00AE4B4C">
        <w:rPr>
          <w:rFonts w:ascii="Arial" w:hAnsi="Arial" w:cs="Arial"/>
        </w:rPr>
        <w:lastRenderedPageBreak/>
        <w:t>by these initial investments in specialised machinery, basic materials, and research activities.</w:t>
      </w:r>
    </w:p>
    <w:p w14:paraId="5A53ADAE" w14:textId="77777777" w:rsidR="00AE4B4C" w:rsidRDefault="00AE4B4C" w:rsidP="00AE4B4C">
      <w:pPr>
        <w:spacing w:line="480" w:lineRule="auto"/>
        <w:rPr>
          <w:rFonts w:ascii="Arial" w:hAnsi="Arial" w:cs="Arial"/>
        </w:rPr>
      </w:pPr>
      <w:r w:rsidRPr="00AE4B4C">
        <w:rPr>
          <w:rFonts w:ascii="Arial" w:hAnsi="Arial" w:cs="Arial"/>
        </w:rPr>
        <w:t xml:space="preserve">The demand for biodegradable packaging may be increased </w:t>
      </w:r>
      <w:r w:rsidRPr="00AE4B4C">
        <w:rPr>
          <w:rFonts w:ascii="Arial" w:hAnsi="Arial" w:cs="Arial"/>
        </w:rPr>
        <w:t>because of</w:t>
      </w:r>
      <w:r w:rsidRPr="00AE4B4C">
        <w:rPr>
          <w:rFonts w:ascii="Arial" w:hAnsi="Arial" w:cs="Arial"/>
        </w:rPr>
        <w:t xml:space="preserve"> the evolving consumer preferences and legislation that restricts plastic usage. Consequently, there are substantial opportunities. The enterprise's market penetration can be enhanced by the expansion of its distribution networks through the establishment of sustainability-driven alliances and collaborative initiatives. However, there are potential threats from future competitors who may introduce alternative packaging technologies or capitalise on government subsidies in various regions. Robust planning is further emphasised by fluctuations in material prices and the potential for an economic downturn. However, the enterprise's commitment to sustainability not only distinguishes it in the marketplace but also reduces the risk of reputational damage. This is consistent with research that emphasises the potential for market imperfections to serve as opportunities for enterprises that take a proactive approach to environmental concerns (Cohen and Winn, 2007).</w:t>
      </w:r>
    </w:p>
    <w:p w14:paraId="06A41D30" w14:textId="77777777" w:rsidR="00AE4B4C" w:rsidRDefault="00AE4B4C" w:rsidP="00AE4B4C">
      <w:pPr>
        <w:spacing w:line="480" w:lineRule="auto"/>
        <w:rPr>
          <w:rFonts w:ascii="Arial" w:hAnsi="Arial" w:cs="Arial"/>
        </w:rPr>
      </w:pPr>
    </w:p>
    <w:p w14:paraId="6581A892" w14:textId="1AFA4E74" w:rsidR="00AE4B4C" w:rsidRPr="00AE4B4C" w:rsidRDefault="00AE4B4C" w:rsidP="00AE4B4C">
      <w:pPr>
        <w:pStyle w:val="ListParagraph"/>
        <w:numPr>
          <w:ilvl w:val="0"/>
          <w:numId w:val="1"/>
        </w:numPr>
        <w:spacing w:line="480" w:lineRule="auto"/>
        <w:rPr>
          <w:rFonts w:ascii="Arial Black" w:hAnsi="Arial Black" w:cs="Arial"/>
        </w:rPr>
      </w:pPr>
      <w:r w:rsidRPr="00AE4B4C">
        <w:rPr>
          <w:rFonts w:ascii="Arial Black" w:hAnsi="Arial Black" w:cs="Arial"/>
        </w:rPr>
        <w:t>Brief Financial Cashflow of Expected Income and Costs</w:t>
      </w:r>
    </w:p>
    <w:p w14:paraId="3A2CDA42" w14:textId="77777777" w:rsidR="00AE4B4C" w:rsidRPr="00AE4B4C" w:rsidRDefault="00AE4B4C" w:rsidP="00AE4B4C">
      <w:pPr>
        <w:spacing w:line="480" w:lineRule="auto"/>
        <w:rPr>
          <w:rFonts w:ascii="Arial" w:hAnsi="Arial" w:cs="Arial"/>
        </w:rPr>
      </w:pPr>
    </w:p>
    <w:p w14:paraId="65BDDB0F" w14:textId="77777777" w:rsidR="00AE4B4C" w:rsidRPr="00AE4B4C" w:rsidRDefault="00AE4B4C" w:rsidP="00AE4B4C">
      <w:pPr>
        <w:spacing w:line="480" w:lineRule="auto"/>
        <w:rPr>
          <w:rFonts w:ascii="Arial" w:hAnsi="Arial" w:cs="Arial"/>
        </w:rPr>
      </w:pPr>
      <w:r w:rsidRPr="00AE4B4C">
        <w:rPr>
          <w:rFonts w:ascii="Arial" w:hAnsi="Arial" w:cs="Arial"/>
        </w:rPr>
        <w:t>The subsequent summary provides a conservative estimate of the venture's anticipated monthly income and expenses for the first three years of operation. Year 1 emphasises market introduction, while Years 2 and 3 demonstrate scaling initiatives as brand recognition and distribution channels expand. For illustrative purposes, these figures are expressed in currency units and are predicated on stable material costs and moderate sales volumes.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60"/>
        <w:gridCol w:w="1843"/>
        <w:gridCol w:w="1817"/>
      </w:tblGrid>
      <w:tr w:rsidR="00A45846" w:rsidRPr="00AE4B4C" w14:paraId="39A14D7B" w14:textId="77777777" w:rsidTr="00A45846">
        <w:trPr>
          <w:tblHeader/>
          <w:tblCellSpacing w:w="15" w:type="dxa"/>
        </w:trPr>
        <w:tc>
          <w:tcPr>
            <w:tcW w:w="1793" w:type="dxa"/>
            <w:shd w:val="clear" w:color="auto" w:fill="D86DCB" w:themeFill="accent5" w:themeFillTint="99"/>
            <w:vAlign w:val="center"/>
            <w:hideMark/>
          </w:tcPr>
          <w:p w14:paraId="3754FEB9" w14:textId="77777777" w:rsidR="00AE4B4C" w:rsidRPr="00AE4B4C" w:rsidRDefault="00AE4B4C" w:rsidP="00AE4B4C">
            <w:pPr>
              <w:spacing w:after="0" w:line="240" w:lineRule="auto"/>
              <w:jc w:val="center"/>
              <w:rPr>
                <w:rFonts w:ascii="Arial" w:eastAsia="Times New Roman" w:hAnsi="Arial" w:cs="Arial"/>
                <w:b/>
                <w:bCs/>
                <w:kern w:val="0"/>
                <w:lang w:eastAsia="en-GB"/>
                <w14:ligatures w14:val="none"/>
              </w:rPr>
            </w:pPr>
            <w:r w:rsidRPr="00AE4B4C">
              <w:rPr>
                <w:rFonts w:ascii="Arial" w:eastAsia="Times New Roman" w:hAnsi="Arial" w:cs="Arial"/>
                <w:b/>
                <w:bCs/>
                <w:kern w:val="0"/>
                <w:lang w:eastAsia="en-GB"/>
                <w14:ligatures w14:val="none"/>
              </w:rPr>
              <w:lastRenderedPageBreak/>
              <w:t>Category</w:t>
            </w:r>
          </w:p>
        </w:tc>
        <w:tc>
          <w:tcPr>
            <w:tcW w:w="1130" w:type="dxa"/>
            <w:shd w:val="clear" w:color="auto" w:fill="D86DCB" w:themeFill="accent5" w:themeFillTint="99"/>
            <w:vAlign w:val="center"/>
            <w:hideMark/>
          </w:tcPr>
          <w:p w14:paraId="52BCD4D9" w14:textId="77777777" w:rsidR="00AE4B4C" w:rsidRPr="00AE4B4C" w:rsidRDefault="00AE4B4C" w:rsidP="00AE4B4C">
            <w:pPr>
              <w:spacing w:after="0" w:line="240" w:lineRule="auto"/>
              <w:jc w:val="center"/>
              <w:rPr>
                <w:rFonts w:ascii="Arial" w:eastAsia="Times New Roman" w:hAnsi="Arial" w:cs="Arial"/>
                <w:b/>
                <w:bCs/>
                <w:kern w:val="0"/>
                <w:lang w:eastAsia="en-GB"/>
                <w14:ligatures w14:val="none"/>
              </w:rPr>
            </w:pPr>
            <w:r w:rsidRPr="00AE4B4C">
              <w:rPr>
                <w:rFonts w:ascii="Arial" w:eastAsia="Times New Roman" w:hAnsi="Arial" w:cs="Arial"/>
                <w:b/>
                <w:bCs/>
                <w:kern w:val="0"/>
                <w:lang w:eastAsia="en-GB"/>
                <w14:ligatures w14:val="none"/>
              </w:rPr>
              <w:t>Year 1 (Monthly)</w:t>
            </w:r>
          </w:p>
        </w:tc>
        <w:tc>
          <w:tcPr>
            <w:tcW w:w="1813" w:type="dxa"/>
            <w:shd w:val="clear" w:color="auto" w:fill="D86DCB" w:themeFill="accent5" w:themeFillTint="99"/>
            <w:vAlign w:val="center"/>
            <w:hideMark/>
          </w:tcPr>
          <w:p w14:paraId="313E7A46" w14:textId="77777777" w:rsidR="00AE4B4C" w:rsidRPr="00AE4B4C" w:rsidRDefault="00AE4B4C" w:rsidP="00AE4B4C">
            <w:pPr>
              <w:spacing w:after="0" w:line="240" w:lineRule="auto"/>
              <w:jc w:val="center"/>
              <w:rPr>
                <w:rFonts w:ascii="Arial" w:eastAsia="Times New Roman" w:hAnsi="Arial" w:cs="Arial"/>
                <w:b/>
                <w:bCs/>
                <w:kern w:val="0"/>
                <w:lang w:eastAsia="en-GB"/>
                <w14:ligatures w14:val="none"/>
              </w:rPr>
            </w:pPr>
            <w:r w:rsidRPr="00AE4B4C">
              <w:rPr>
                <w:rFonts w:ascii="Arial" w:eastAsia="Times New Roman" w:hAnsi="Arial" w:cs="Arial"/>
                <w:b/>
                <w:bCs/>
                <w:kern w:val="0"/>
                <w:lang w:eastAsia="en-GB"/>
                <w14:ligatures w14:val="none"/>
              </w:rPr>
              <w:t>Year 2 (Monthly)</w:t>
            </w:r>
          </w:p>
        </w:tc>
        <w:tc>
          <w:tcPr>
            <w:tcW w:w="1772" w:type="dxa"/>
            <w:shd w:val="clear" w:color="auto" w:fill="D86DCB" w:themeFill="accent5" w:themeFillTint="99"/>
            <w:vAlign w:val="center"/>
            <w:hideMark/>
          </w:tcPr>
          <w:p w14:paraId="44E5A96B" w14:textId="77777777" w:rsidR="00AE4B4C" w:rsidRPr="00AE4B4C" w:rsidRDefault="00AE4B4C" w:rsidP="00AE4B4C">
            <w:pPr>
              <w:spacing w:after="0" w:line="240" w:lineRule="auto"/>
              <w:jc w:val="center"/>
              <w:rPr>
                <w:rFonts w:ascii="Arial" w:eastAsia="Times New Roman" w:hAnsi="Arial" w:cs="Arial"/>
                <w:b/>
                <w:bCs/>
                <w:kern w:val="0"/>
                <w:lang w:eastAsia="en-GB"/>
                <w14:ligatures w14:val="none"/>
              </w:rPr>
            </w:pPr>
            <w:r w:rsidRPr="00AE4B4C">
              <w:rPr>
                <w:rFonts w:ascii="Arial" w:eastAsia="Times New Roman" w:hAnsi="Arial" w:cs="Arial"/>
                <w:b/>
                <w:bCs/>
                <w:kern w:val="0"/>
                <w:lang w:eastAsia="en-GB"/>
                <w14:ligatures w14:val="none"/>
              </w:rPr>
              <w:t>Year 3 (Monthly)</w:t>
            </w:r>
          </w:p>
        </w:tc>
      </w:tr>
    </w:tbl>
    <w:p w14:paraId="7C2638D4"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2C3B5565" w14:textId="77777777" w:rsidTr="00A45846">
        <w:trPr>
          <w:tblCellSpacing w:w="15" w:type="dxa"/>
        </w:trPr>
        <w:tc>
          <w:tcPr>
            <w:tcW w:w="1793" w:type="dxa"/>
            <w:vAlign w:val="center"/>
            <w:hideMark/>
          </w:tcPr>
          <w:p w14:paraId="615F125A"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Total Sales Revenue</w:t>
            </w:r>
          </w:p>
        </w:tc>
        <w:tc>
          <w:tcPr>
            <w:tcW w:w="1104" w:type="dxa"/>
            <w:vAlign w:val="center"/>
            <w:hideMark/>
          </w:tcPr>
          <w:p w14:paraId="174FF1EC"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70,000</w:t>
            </w:r>
          </w:p>
        </w:tc>
        <w:tc>
          <w:tcPr>
            <w:tcW w:w="1813" w:type="dxa"/>
            <w:vAlign w:val="center"/>
            <w:hideMark/>
          </w:tcPr>
          <w:p w14:paraId="71009B6F"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120,000</w:t>
            </w:r>
          </w:p>
        </w:tc>
        <w:tc>
          <w:tcPr>
            <w:tcW w:w="1798" w:type="dxa"/>
            <w:vAlign w:val="center"/>
            <w:hideMark/>
          </w:tcPr>
          <w:p w14:paraId="3F57F413"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180,000</w:t>
            </w:r>
          </w:p>
        </w:tc>
      </w:tr>
    </w:tbl>
    <w:p w14:paraId="7B47CB05"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08A5AE3A" w14:textId="77777777" w:rsidTr="00A45846">
        <w:trPr>
          <w:tblCellSpacing w:w="15" w:type="dxa"/>
        </w:trPr>
        <w:tc>
          <w:tcPr>
            <w:tcW w:w="1793" w:type="dxa"/>
            <w:vAlign w:val="center"/>
            <w:hideMark/>
          </w:tcPr>
          <w:p w14:paraId="0C447C06"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Raw Material Costs</w:t>
            </w:r>
          </w:p>
        </w:tc>
        <w:tc>
          <w:tcPr>
            <w:tcW w:w="1104" w:type="dxa"/>
            <w:vAlign w:val="center"/>
            <w:hideMark/>
          </w:tcPr>
          <w:p w14:paraId="3A56B9BD"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20,000</w:t>
            </w:r>
          </w:p>
        </w:tc>
        <w:tc>
          <w:tcPr>
            <w:tcW w:w="1813" w:type="dxa"/>
            <w:vAlign w:val="center"/>
            <w:hideMark/>
          </w:tcPr>
          <w:p w14:paraId="2C204D0C"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32,000</w:t>
            </w:r>
          </w:p>
        </w:tc>
        <w:tc>
          <w:tcPr>
            <w:tcW w:w="1798" w:type="dxa"/>
            <w:vAlign w:val="center"/>
            <w:hideMark/>
          </w:tcPr>
          <w:p w14:paraId="6E38807A"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48,000</w:t>
            </w:r>
          </w:p>
        </w:tc>
      </w:tr>
    </w:tbl>
    <w:p w14:paraId="57199BBE"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6B1B071D" w14:textId="77777777" w:rsidTr="00A45846">
        <w:trPr>
          <w:tblCellSpacing w:w="15" w:type="dxa"/>
        </w:trPr>
        <w:tc>
          <w:tcPr>
            <w:tcW w:w="1793" w:type="dxa"/>
            <w:vAlign w:val="center"/>
            <w:hideMark/>
          </w:tcPr>
          <w:p w14:paraId="0C78BC77"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Labor and Salaries</w:t>
            </w:r>
          </w:p>
        </w:tc>
        <w:tc>
          <w:tcPr>
            <w:tcW w:w="1104" w:type="dxa"/>
            <w:vAlign w:val="center"/>
            <w:hideMark/>
          </w:tcPr>
          <w:p w14:paraId="0EE2DF0D"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15,000</w:t>
            </w:r>
          </w:p>
        </w:tc>
        <w:tc>
          <w:tcPr>
            <w:tcW w:w="1813" w:type="dxa"/>
            <w:vAlign w:val="center"/>
            <w:hideMark/>
          </w:tcPr>
          <w:p w14:paraId="3093A394"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22,000</w:t>
            </w:r>
          </w:p>
        </w:tc>
        <w:tc>
          <w:tcPr>
            <w:tcW w:w="1798" w:type="dxa"/>
            <w:vAlign w:val="center"/>
            <w:hideMark/>
          </w:tcPr>
          <w:p w14:paraId="2AF744E6"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30,000</w:t>
            </w:r>
          </w:p>
        </w:tc>
      </w:tr>
    </w:tbl>
    <w:p w14:paraId="06ECE264"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74CFBA07" w14:textId="77777777" w:rsidTr="00A45846">
        <w:trPr>
          <w:tblCellSpacing w:w="15" w:type="dxa"/>
        </w:trPr>
        <w:tc>
          <w:tcPr>
            <w:tcW w:w="1793" w:type="dxa"/>
            <w:vAlign w:val="center"/>
            <w:hideMark/>
          </w:tcPr>
          <w:p w14:paraId="48B5DDBC"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Manufacturing Overheads</w:t>
            </w:r>
          </w:p>
        </w:tc>
        <w:tc>
          <w:tcPr>
            <w:tcW w:w="1104" w:type="dxa"/>
            <w:vAlign w:val="center"/>
            <w:hideMark/>
          </w:tcPr>
          <w:p w14:paraId="0408531C"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10,000</w:t>
            </w:r>
          </w:p>
        </w:tc>
        <w:tc>
          <w:tcPr>
            <w:tcW w:w="1813" w:type="dxa"/>
            <w:vAlign w:val="center"/>
            <w:hideMark/>
          </w:tcPr>
          <w:p w14:paraId="4E691C88"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15,000</w:t>
            </w:r>
          </w:p>
        </w:tc>
        <w:tc>
          <w:tcPr>
            <w:tcW w:w="1798" w:type="dxa"/>
            <w:vAlign w:val="center"/>
            <w:hideMark/>
          </w:tcPr>
          <w:p w14:paraId="31787290"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20,000</w:t>
            </w:r>
          </w:p>
        </w:tc>
      </w:tr>
    </w:tbl>
    <w:p w14:paraId="602095D4"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0D6C15F7" w14:textId="77777777" w:rsidTr="00A45846">
        <w:trPr>
          <w:tblCellSpacing w:w="15" w:type="dxa"/>
        </w:trPr>
        <w:tc>
          <w:tcPr>
            <w:tcW w:w="1793" w:type="dxa"/>
            <w:vAlign w:val="center"/>
            <w:hideMark/>
          </w:tcPr>
          <w:p w14:paraId="5D20C672"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Research &amp; Development</w:t>
            </w:r>
          </w:p>
        </w:tc>
        <w:tc>
          <w:tcPr>
            <w:tcW w:w="1104" w:type="dxa"/>
            <w:vAlign w:val="center"/>
            <w:hideMark/>
          </w:tcPr>
          <w:p w14:paraId="4D69FAD9"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5,000</w:t>
            </w:r>
          </w:p>
        </w:tc>
        <w:tc>
          <w:tcPr>
            <w:tcW w:w="1813" w:type="dxa"/>
            <w:vAlign w:val="center"/>
            <w:hideMark/>
          </w:tcPr>
          <w:p w14:paraId="75C94533"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7,000</w:t>
            </w:r>
          </w:p>
        </w:tc>
        <w:tc>
          <w:tcPr>
            <w:tcW w:w="1798" w:type="dxa"/>
            <w:vAlign w:val="center"/>
            <w:hideMark/>
          </w:tcPr>
          <w:p w14:paraId="4570A4B9"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9,000</w:t>
            </w:r>
          </w:p>
        </w:tc>
      </w:tr>
    </w:tbl>
    <w:p w14:paraId="06936685"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15DD7534" w14:textId="77777777" w:rsidTr="00A45846">
        <w:trPr>
          <w:tblCellSpacing w:w="15" w:type="dxa"/>
        </w:trPr>
        <w:tc>
          <w:tcPr>
            <w:tcW w:w="1793" w:type="dxa"/>
            <w:vAlign w:val="center"/>
            <w:hideMark/>
          </w:tcPr>
          <w:p w14:paraId="5FD0C239"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Marketing &amp; Distribution</w:t>
            </w:r>
          </w:p>
        </w:tc>
        <w:tc>
          <w:tcPr>
            <w:tcW w:w="1104" w:type="dxa"/>
            <w:vAlign w:val="center"/>
            <w:hideMark/>
          </w:tcPr>
          <w:p w14:paraId="66B7F09A"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7,000</w:t>
            </w:r>
          </w:p>
        </w:tc>
        <w:tc>
          <w:tcPr>
            <w:tcW w:w="1813" w:type="dxa"/>
            <w:vAlign w:val="center"/>
            <w:hideMark/>
          </w:tcPr>
          <w:p w14:paraId="3996335D"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10,000</w:t>
            </w:r>
          </w:p>
        </w:tc>
        <w:tc>
          <w:tcPr>
            <w:tcW w:w="1798" w:type="dxa"/>
            <w:vAlign w:val="center"/>
            <w:hideMark/>
          </w:tcPr>
          <w:p w14:paraId="523D5472"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15,000</w:t>
            </w:r>
          </w:p>
        </w:tc>
      </w:tr>
    </w:tbl>
    <w:p w14:paraId="6BE612EC"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38"/>
        <w:gridCol w:w="1134"/>
        <w:gridCol w:w="1843"/>
        <w:gridCol w:w="1843"/>
      </w:tblGrid>
      <w:tr w:rsidR="00A45846" w:rsidRPr="00AE4B4C" w14:paraId="5A8B57B4" w14:textId="77777777" w:rsidTr="00A45846">
        <w:trPr>
          <w:tblCellSpacing w:w="15" w:type="dxa"/>
        </w:trPr>
        <w:tc>
          <w:tcPr>
            <w:tcW w:w="1793" w:type="dxa"/>
            <w:vAlign w:val="center"/>
            <w:hideMark/>
          </w:tcPr>
          <w:p w14:paraId="7470C910"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General &amp; Admin Expenses</w:t>
            </w:r>
          </w:p>
        </w:tc>
        <w:tc>
          <w:tcPr>
            <w:tcW w:w="1104" w:type="dxa"/>
            <w:vAlign w:val="center"/>
            <w:hideMark/>
          </w:tcPr>
          <w:p w14:paraId="25DE6938"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8,000</w:t>
            </w:r>
          </w:p>
        </w:tc>
        <w:tc>
          <w:tcPr>
            <w:tcW w:w="1813" w:type="dxa"/>
            <w:vAlign w:val="center"/>
            <w:hideMark/>
          </w:tcPr>
          <w:p w14:paraId="60774D4D"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10,000</w:t>
            </w:r>
          </w:p>
        </w:tc>
        <w:tc>
          <w:tcPr>
            <w:tcW w:w="1798" w:type="dxa"/>
            <w:vAlign w:val="center"/>
            <w:hideMark/>
          </w:tcPr>
          <w:p w14:paraId="5BDD7982"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12,000</w:t>
            </w:r>
          </w:p>
        </w:tc>
      </w:tr>
    </w:tbl>
    <w:p w14:paraId="2EB06850" w14:textId="77777777" w:rsidR="00AE4B4C" w:rsidRPr="00AE4B4C" w:rsidRDefault="00AE4B4C" w:rsidP="00AE4B4C">
      <w:pPr>
        <w:spacing w:after="0" w:line="240" w:lineRule="auto"/>
        <w:rPr>
          <w:rFonts w:ascii="Arial" w:eastAsia="Times New Roman" w:hAnsi="Arial" w:cs="Arial"/>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5"/>
        <w:gridCol w:w="1095"/>
        <w:gridCol w:w="1893"/>
        <w:gridCol w:w="1849"/>
      </w:tblGrid>
      <w:tr w:rsidR="00A45846" w:rsidRPr="00A45846" w14:paraId="3730B005" w14:textId="77777777" w:rsidTr="00A45846">
        <w:trPr>
          <w:trHeight w:val="577"/>
          <w:tblCellSpacing w:w="15" w:type="dxa"/>
        </w:trPr>
        <w:tc>
          <w:tcPr>
            <w:tcW w:w="1800" w:type="dxa"/>
            <w:vAlign w:val="center"/>
            <w:hideMark/>
          </w:tcPr>
          <w:p w14:paraId="409E8953"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Net Monthly Cashflow</w:t>
            </w:r>
          </w:p>
        </w:tc>
        <w:tc>
          <w:tcPr>
            <w:tcW w:w="1065" w:type="dxa"/>
            <w:vAlign w:val="center"/>
            <w:hideMark/>
          </w:tcPr>
          <w:p w14:paraId="1D06FAD7"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5,000</w:t>
            </w:r>
          </w:p>
        </w:tc>
        <w:tc>
          <w:tcPr>
            <w:tcW w:w="1863" w:type="dxa"/>
            <w:vAlign w:val="center"/>
            <w:hideMark/>
          </w:tcPr>
          <w:p w14:paraId="2FD1BABC"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24,000</w:t>
            </w:r>
          </w:p>
        </w:tc>
        <w:tc>
          <w:tcPr>
            <w:tcW w:w="1804" w:type="dxa"/>
            <w:vAlign w:val="center"/>
            <w:hideMark/>
          </w:tcPr>
          <w:p w14:paraId="1BF593B8" w14:textId="77777777" w:rsidR="00AE4B4C" w:rsidRPr="00AE4B4C" w:rsidRDefault="00AE4B4C" w:rsidP="00AE4B4C">
            <w:pPr>
              <w:spacing w:after="0" w:line="240" w:lineRule="auto"/>
              <w:rPr>
                <w:rFonts w:ascii="Arial" w:eastAsia="Times New Roman" w:hAnsi="Arial" w:cs="Arial"/>
                <w:kern w:val="0"/>
                <w:lang w:eastAsia="en-GB"/>
                <w14:ligatures w14:val="none"/>
              </w:rPr>
            </w:pPr>
            <w:r w:rsidRPr="00AE4B4C">
              <w:rPr>
                <w:rFonts w:ascii="Arial" w:eastAsia="Times New Roman" w:hAnsi="Arial" w:cs="Arial"/>
                <w:kern w:val="0"/>
                <w:lang w:eastAsia="en-GB"/>
                <w14:ligatures w14:val="none"/>
              </w:rPr>
              <w:t>46,000</w:t>
            </w:r>
          </w:p>
        </w:tc>
      </w:tr>
    </w:tbl>
    <w:p w14:paraId="5AD17564" w14:textId="77777777" w:rsidR="00A45846" w:rsidRPr="00A45846" w:rsidRDefault="00A45846" w:rsidP="00AE4B4C">
      <w:pPr>
        <w:spacing w:line="480" w:lineRule="auto"/>
        <w:rPr>
          <w:rFonts w:ascii="Arial" w:hAnsi="Arial" w:cs="Arial"/>
        </w:rPr>
      </w:pPr>
    </w:p>
    <w:p w14:paraId="53E16653" w14:textId="749A02A5" w:rsidR="00AE4B4C" w:rsidRPr="00AE4B4C" w:rsidRDefault="00AE4B4C" w:rsidP="00AE4B4C">
      <w:pPr>
        <w:spacing w:line="480" w:lineRule="auto"/>
        <w:rPr>
          <w:rFonts w:ascii="Arial" w:hAnsi="Arial" w:cs="Arial"/>
        </w:rPr>
      </w:pPr>
      <w:r w:rsidRPr="00AE4B4C">
        <w:rPr>
          <w:rFonts w:ascii="Arial" w:hAnsi="Arial" w:cs="Arial"/>
        </w:rPr>
        <w:t xml:space="preserve">The enterprise anticipates that the profit margin will progressively increase </w:t>
      </w:r>
      <w:r w:rsidR="00A45846" w:rsidRPr="00AE4B4C">
        <w:rPr>
          <w:rFonts w:ascii="Arial" w:hAnsi="Arial" w:cs="Arial"/>
        </w:rPr>
        <w:t>because of</w:t>
      </w:r>
      <w:r w:rsidRPr="00AE4B4C">
        <w:rPr>
          <w:rFonts w:ascii="Arial" w:hAnsi="Arial" w:cs="Arial"/>
        </w:rPr>
        <w:t xml:space="preserve"> ongoing cost optimisation and economies of scale. It is anticipated that revenue growth will surpass cost escalation by the beginning of the second year, a reflection of strategic market penetration and consumer adoption, </w:t>
      </w:r>
      <w:r w:rsidR="00A45846" w:rsidRPr="00AE4B4C">
        <w:rPr>
          <w:rFonts w:ascii="Arial" w:hAnsi="Arial" w:cs="Arial"/>
        </w:rPr>
        <w:t>even though</w:t>
      </w:r>
      <w:r w:rsidRPr="00AE4B4C">
        <w:rPr>
          <w:rFonts w:ascii="Arial" w:hAnsi="Arial" w:cs="Arial"/>
        </w:rPr>
        <w:t xml:space="preserve"> the initial months may prioritise research and development and marketing. Assuming that interest payments on loans or investor dividends are managed within the general and administrative costs, the table indicates positive cashflow, in accordance with the most effective strategies for structuring entrepreneurial capital (Cosh, Cumming, and Hughes, 2009).</w:t>
      </w:r>
    </w:p>
    <w:p w14:paraId="091F6D20" w14:textId="77777777" w:rsidR="00AE4B4C" w:rsidRPr="00AE4B4C" w:rsidRDefault="00AE4B4C" w:rsidP="00AE4B4C">
      <w:pPr>
        <w:spacing w:line="480" w:lineRule="auto"/>
        <w:rPr>
          <w:rFonts w:ascii="Arial" w:hAnsi="Arial" w:cs="Arial"/>
        </w:rPr>
      </w:pPr>
    </w:p>
    <w:p w14:paraId="02A80109" w14:textId="77777777" w:rsidR="00A45846" w:rsidRDefault="00A45846" w:rsidP="00AE4B4C">
      <w:pPr>
        <w:spacing w:line="480" w:lineRule="auto"/>
        <w:rPr>
          <w:rFonts w:ascii="Arial" w:hAnsi="Arial" w:cs="Arial"/>
        </w:rPr>
      </w:pPr>
    </w:p>
    <w:p w14:paraId="31AB9064" w14:textId="532AD8E2" w:rsidR="00A45846" w:rsidRDefault="00AE4B4C" w:rsidP="00A45846">
      <w:pPr>
        <w:pStyle w:val="ListParagraph"/>
        <w:numPr>
          <w:ilvl w:val="0"/>
          <w:numId w:val="1"/>
        </w:numPr>
        <w:spacing w:line="480" w:lineRule="auto"/>
        <w:rPr>
          <w:rFonts w:ascii="Arial Black" w:hAnsi="Arial Black" w:cs="Arial"/>
        </w:rPr>
      </w:pPr>
      <w:r w:rsidRPr="00A45846">
        <w:rPr>
          <w:rFonts w:ascii="Arial Black" w:hAnsi="Arial Black" w:cs="Arial"/>
        </w:rPr>
        <w:lastRenderedPageBreak/>
        <w:t>Contingency Plan</w:t>
      </w:r>
    </w:p>
    <w:p w14:paraId="1ED2F3EC" w14:textId="77777777" w:rsidR="00A5636E" w:rsidRDefault="00A5636E" w:rsidP="00AE4B4C">
      <w:pPr>
        <w:spacing w:line="480" w:lineRule="auto"/>
        <w:rPr>
          <w:rFonts w:ascii="Arial Black" w:hAnsi="Arial Black" w:cs="Arial"/>
        </w:rPr>
      </w:pPr>
    </w:p>
    <w:p w14:paraId="77E0A505" w14:textId="77777777" w:rsidR="00A5636E" w:rsidRDefault="00AE4B4C" w:rsidP="00AE4B4C">
      <w:pPr>
        <w:spacing w:line="480" w:lineRule="auto"/>
        <w:rPr>
          <w:rFonts w:ascii="Arial Black" w:hAnsi="Arial Black" w:cs="Arial"/>
        </w:rPr>
      </w:pPr>
      <w:r w:rsidRPr="00AE4B4C">
        <w:rPr>
          <w:rFonts w:ascii="Arial" w:hAnsi="Arial" w:cs="Arial"/>
        </w:rPr>
        <w:t xml:space="preserve">The contingency plan is designed to mitigate unexpected operational and financial disruptions. To mitigate the risk of single-supplier dependency, the enterprise intends to diversify its sources of fibre by establishing relationships with multiple suppliers </w:t>
      </w:r>
      <w:r w:rsidR="00A5636E" w:rsidRPr="00AE4B4C">
        <w:rPr>
          <w:rFonts w:ascii="Arial" w:hAnsi="Arial" w:cs="Arial"/>
        </w:rPr>
        <w:t>if</w:t>
      </w:r>
      <w:r w:rsidRPr="00AE4B4C">
        <w:rPr>
          <w:rFonts w:ascii="Arial" w:hAnsi="Arial" w:cs="Arial"/>
        </w:rPr>
        <w:t xml:space="preserve"> raw material prices increase </w:t>
      </w:r>
      <w:proofErr w:type="gramStart"/>
      <w:r w:rsidRPr="00AE4B4C">
        <w:rPr>
          <w:rFonts w:ascii="Arial" w:hAnsi="Arial" w:cs="Arial"/>
        </w:rPr>
        <w:t>as a result of</w:t>
      </w:r>
      <w:proofErr w:type="gramEnd"/>
      <w:r w:rsidRPr="00AE4B4C">
        <w:rPr>
          <w:rFonts w:ascii="Arial" w:hAnsi="Arial" w:cs="Arial"/>
        </w:rPr>
        <w:t xml:space="preserve"> supply chain disruptions or climatic factors. In the event of machinery failures or shortages of critical components, strategic partnerships will be established with regional maintenance and equipment providers to expedite repairs and minimise downtime. The plan also includes a reserve fund to maintain critical operations for three to six months, which ensures that production and employee salaries are not impacted by short-term revenue fluctuations.</w:t>
      </w:r>
    </w:p>
    <w:p w14:paraId="6148A6C5" w14:textId="60D8CA95" w:rsidR="00AE4B4C" w:rsidRPr="00A5636E" w:rsidRDefault="00AE4B4C" w:rsidP="00AE4B4C">
      <w:pPr>
        <w:spacing w:line="480" w:lineRule="auto"/>
        <w:rPr>
          <w:rFonts w:ascii="Arial Black" w:hAnsi="Arial Black" w:cs="Arial"/>
        </w:rPr>
      </w:pPr>
      <w:r w:rsidRPr="00AE4B4C">
        <w:rPr>
          <w:rFonts w:ascii="Arial" w:hAnsi="Arial" w:cs="Arial"/>
        </w:rPr>
        <w:t>The enterprise will restructure its product portfolio or modify its pricing strategies to stabilise revenue in the event of a significant downturn in consumer demand or adverse market conditions. The management team will leverage the insights of social economy financing to attract additional funds by pivoting to alternative financiers who are dedicated to social and environmental ventures (Cowton and Thompson, 2001). The enterprise will maintain its fundamental commitment to biodegradable design and production processes while implementing more drastic measures, such as a shift to new market segments such as medical or agricultural packaging, if necessary.</w:t>
      </w:r>
    </w:p>
    <w:p w14:paraId="3B32AB9C" w14:textId="77777777" w:rsidR="00AE4B4C" w:rsidRPr="00AE4B4C" w:rsidRDefault="00AE4B4C" w:rsidP="00AE4B4C">
      <w:pPr>
        <w:spacing w:line="480" w:lineRule="auto"/>
        <w:rPr>
          <w:rFonts w:ascii="Arial" w:hAnsi="Arial" w:cs="Arial"/>
        </w:rPr>
      </w:pPr>
    </w:p>
    <w:p w14:paraId="3F99C5E6" w14:textId="77777777" w:rsidR="00A5636E" w:rsidRDefault="00A5636E" w:rsidP="00AE4B4C">
      <w:pPr>
        <w:spacing w:line="480" w:lineRule="auto"/>
        <w:rPr>
          <w:rFonts w:ascii="Arial" w:hAnsi="Arial" w:cs="Arial"/>
        </w:rPr>
      </w:pPr>
    </w:p>
    <w:p w14:paraId="21EE438F" w14:textId="3B6BE379" w:rsidR="00AE4B4C" w:rsidRPr="00A5636E" w:rsidRDefault="00A5636E" w:rsidP="00A5636E">
      <w:pPr>
        <w:pStyle w:val="ListParagraph"/>
        <w:numPr>
          <w:ilvl w:val="0"/>
          <w:numId w:val="1"/>
        </w:numPr>
        <w:spacing w:line="480" w:lineRule="auto"/>
        <w:rPr>
          <w:rFonts w:ascii="Arial Black" w:hAnsi="Arial Black" w:cs="Arial"/>
        </w:rPr>
      </w:pPr>
      <w:r w:rsidRPr="00A5636E">
        <w:rPr>
          <w:rFonts w:ascii="Arial Black" w:hAnsi="Arial Black" w:cs="Arial"/>
        </w:rPr>
        <w:lastRenderedPageBreak/>
        <w:t>C</w:t>
      </w:r>
      <w:r w:rsidR="00AE4B4C" w:rsidRPr="00A5636E">
        <w:rPr>
          <w:rFonts w:ascii="Arial Black" w:hAnsi="Arial Black" w:cs="Arial"/>
        </w:rPr>
        <w:t>onclusion</w:t>
      </w:r>
    </w:p>
    <w:p w14:paraId="4CA28E27" w14:textId="77777777" w:rsidR="00AE4B4C" w:rsidRPr="00AE4B4C" w:rsidRDefault="00AE4B4C" w:rsidP="00AE4B4C">
      <w:pPr>
        <w:spacing w:line="480" w:lineRule="auto"/>
        <w:rPr>
          <w:rFonts w:ascii="Arial" w:hAnsi="Arial" w:cs="Arial"/>
        </w:rPr>
      </w:pPr>
    </w:p>
    <w:p w14:paraId="67ACED5E" w14:textId="0FDED2A9" w:rsidR="00AE4B4C" w:rsidRDefault="00AE4B4C" w:rsidP="00AE4B4C">
      <w:pPr>
        <w:spacing w:line="480" w:lineRule="auto"/>
        <w:rPr>
          <w:rFonts w:ascii="Arial" w:hAnsi="Arial" w:cs="Arial"/>
        </w:rPr>
      </w:pPr>
      <w:r w:rsidRPr="00AE4B4C">
        <w:rPr>
          <w:rFonts w:ascii="Arial" w:hAnsi="Arial" w:cs="Arial"/>
        </w:rPr>
        <w:t>This business plan outlines a strategy that combines financial feasibility, environmental stewardship, and social responsibility into an integrated framework for a sustainable enterprise that is committed to the development of biodegradable food packaging solutions. The venture is guided by academic insights that underscore the significance of stakeholder engagement, responsible resource management, innovative approaches to procuring external entrepreneurial capital, and product longevity (Cooper, 2010; Anbarasan, 2018; Cosh, Cumming, and Hughes, 2009). The plan acknowledges that market opportunities will be influenced by political, economic, sociocultural, technological, legal, and environmental factors, necessitating adaptable responses and a clear value proposition. It also underscores the necessity of ongoing product innovation to mitigate potential threats and capitalise on a changing consumer and regulatory environment that prioritises sustainable alternatives. In summary, the enterprise aims to demonstrate the potential of sustainable entrepreneurship to address market gaps and societal imperatives by integrating profitability and environmental stewardship into an enduring business model</w:t>
      </w:r>
      <w:r w:rsidR="00A5636E">
        <w:rPr>
          <w:rFonts w:ascii="Arial" w:hAnsi="Arial" w:cs="Arial"/>
        </w:rPr>
        <w:t xml:space="preserve"> </w:t>
      </w:r>
      <w:r w:rsidRPr="00AE4B4C">
        <w:rPr>
          <w:rFonts w:ascii="Arial" w:hAnsi="Arial" w:cs="Arial"/>
        </w:rPr>
        <w:t>(Cohen and Winn, 2007; Thompson, 2010).</w:t>
      </w:r>
    </w:p>
    <w:p w14:paraId="451E074F" w14:textId="77777777" w:rsidR="00A5636E" w:rsidRDefault="00A5636E" w:rsidP="00AE4B4C">
      <w:pPr>
        <w:spacing w:line="480" w:lineRule="auto"/>
        <w:rPr>
          <w:rFonts w:ascii="Arial" w:hAnsi="Arial" w:cs="Arial"/>
        </w:rPr>
      </w:pPr>
    </w:p>
    <w:p w14:paraId="45A7726D" w14:textId="77777777" w:rsidR="00A5636E" w:rsidRDefault="00A5636E" w:rsidP="00AE4B4C">
      <w:pPr>
        <w:spacing w:line="480" w:lineRule="auto"/>
        <w:rPr>
          <w:rFonts w:ascii="Arial" w:hAnsi="Arial" w:cs="Arial"/>
        </w:rPr>
      </w:pPr>
    </w:p>
    <w:p w14:paraId="274E6F9F" w14:textId="77777777" w:rsidR="00A5636E" w:rsidRDefault="00A5636E" w:rsidP="00AE4B4C">
      <w:pPr>
        <w:spacing w:line="480" w:lineRule="auto"/>
        <w:rPr>
          <w:rFonts w:ascii="Arial" w:hAnsi="Arial" w:cs="Arial"/>
        </w:rPr>
      </w:pPr>
    </w:p>
    <w:p w14:paraId="3F25FEC8" w14:textId="77777777" w:rsidR="00A5636E" w:rsidRDefault="00A5636E" w:rsidP="00AE4B4C">
      <w:pPr>
        <w:spacing w:line="480" w:lineRule="auto"/>
        <w:rPr>
          <w:rFonts w:ascii="Arial" w:hAnsi="Arial" w:cs="Arial"/>
        </w:rPr>
      </w:pPr>
    </w:p>
    <w:p w14:paraId="7887EE0E" w14:textId="77777777" w:rsidR="00A5636E" w:rsidRDefault="00A5636E" w:rsidP="00AE4B4C">
      <w:pPr>
        <w:spacing w:line="480" w:lineRule="auto"/>
        <w:rPr>
          <w:rFonts w:ascii="Arial" w:hAnsi="Arial" w:cs="Arial"/>
        </w:rPr>
      </w:pPr>
    </w:p>
    <w:p w14:paraId="3BFF041C" w14:textId="7EE65F65" w:rsidR="00A5636E" w:rsidRPr="00A5636E" w:rsidRDefault="00A5636E" w:rsidP="00AE4B4C">
      <w:pPr>
        <w:spacing w:line="480" w:lineRule="auto"/>
        <w:rPr>
          <w:rFonts w:ascii="Arial Black" w:hAnsi="Arial Black" w:cs="Arial"/>
        </w:rPr>
      </w:pPr>
      <w:r w:rsidRPr="00A5636E">
        <w:rPr>
          <w:rFonts w:ascii="Arial Black" w:hAnsi="Arial Black" w:cs="Arial"/>
        </w:rPr>
        <w:lastRenderedPageBreak/>
        <w:t xml:space="preserve">References </w:t>
      </w:r>
    </w:p>
    <w:p w14:paraId="526E28BA" w14:textId="77777777" w:rsidR="00A5636E" w:rsidRDefault="00A5636E" w:rsidP="00A5636E">
      <w:pPr>
        <w:spacing w:line="480" w:lineRule="auto"/>
        <w:rPr>
          <w:rFonts w:ascii="Arial" w:hAnsi="Arial" w:cs="Arial"/>
        </w:rPr>
      </w:pPr>
      <w:r w:rsidRPr="00A5636E">
        <w:rPr>
          <w:rFonts w:ascii="Arial" w:hAnsi="Arial" w:cs="Arial"/>
        </w:rPr>
        <w:t xml:space="preserve">Anbarasan, P. (2018). Stakeholder Engagement in Sustainable Enterprise: Evolving a Conceptual Framework, and a Case Study of ITC. </w:t>
      </w:r>
      <w:r w:rsidRPr="00A5636E">
        <w:rPr>
          <w:rFonts w:ascii="Arial" w:hAnsi="Arial" w:cs="Arial"/>
          <w:i/>
          <w:iCs/>
        </w:rPr>
        <w:t>Business Strategy and the Environment, 27</w:t>
      </w:r>
      <w:r w:rsidRPr="00A5636E">
        <w:rPr>
          <w:rFonts w:ascii="Arial" w:hAnsi="Arial" w:cs="Arial"/>
        </w:rPr>
        <w:t>(3), 282–300.</w:t>
      </w:r>
    </w:p>
    <w:p w14:paraId="306C8E53" w14:textId="38AFFC48" w:rsidR="00A5636E" w:rsidRPr="00A5636E" w:rsidRDefault="00A5636E" w:rsidP="00A5636E">
      <w:pPr>
        <w:spacing w:line="480" w:lineRule="auto"/>
        <w:rPr>
          <w:rFonts w:ascii="Arial" w:hAnsi="Arial" w:cs="Arial"/>
        </w:rPr>
      </w:pPr>
      <w:proofErr w:type="spellStart"/>
      <w:r w:rsidRPr="00A5636E">
        <w:rPr>
          <w:rFonts w:ascii="Arial" w:hAnsi="Arial" w:cs="Arial"/>
        </w:rPr>
        <w:t>Chofreh</w:t>
      </w:r>
      <w:proofErr w:type="spellEnd"/>
      <w:r w:rsidRPr="00A5636E">
        <w:rPr>
          <w:rFonts w:ascii="Arial" w:hAnsi="Arial" w:cs="Arial"/>
        </w:rPr>
        <w:t xml:space="preserve">, A. G. (2018). Sustainable enterprise resource planning systems implementation: A framework development. </w:t>
      </w:r>
      <w:r w:rsidRPr="00A5636E">
        <w:rPr>
          <w:rFonts w:ascii="Arial" w:hAnsi="Arial" w:cs="Arial"/>
          <w:i/>
          <w:iCs/>
        </w:rPr>
        <w:t>Journal of Cleaner Production, 198</w:t>
      </w:r>
      <w:r w:rsidRPr="00A5636E">
        <w:rPr>
          <w:rFonts w:ascii="Arial" w:hAnsi="Arial" w:cs="Arial"/>
        </w:rPr>
        <w:t>, 1345–1355.</w:t>
      </w:r>
    </w:p>
    <w:p w14:paraId="4BFCF67A" w14:textId="77777777" w:rsidR="00A5636E" w:rsidRPr="00A5636E" w:rsidRDefault="00A5636E" w:rsidP="00A5636E">
      <w:pPr>
        <w:spacing w:line="480" w:lineRule="auto"/>
        <w:rPr>
          <w:rFonts w:ascii="Arial" w:hAnsi="Arial" w:cs="Arial"/>
        </w:rPr>
      </w:pPr>
      <w:r w:rsidRPr="00A5636E">
        <w:rPr>
          <w:rFonts w:ascii="Arial" w:hAnsi="Arial" w:cs="Arial"/>
        </w:rPr>
        <w:t xml:space="preserve">Cohen, B., Smith, B., &amp; Mitchell, R. (2008). Toward a sustainable conceptualization of dependent variables in entrepreneurship research. </w:t>
      </w:r>
      <w:r w:rsidRPr="00A5636E">
        <w:rPr>
          <w:rFonts w:ascii="Arial" w:hAnsi="Arial" w:cs="Arial"/>
          <w:i/>
          <w:iCs/>
        </w:rPr>
        <w:t>Business Strategy and the Environment, 17</w:t>
      </w:r>
      <w:r w:rsidRPr="00A5636E">
        <w:rPr>
          <w:rFonts w:ascii="Arial" w:hAnsi="Arial" w:cs="Arial"/>
        </w:rPr>
        <w:t>(2), 107–119.</w:t>
      </w:r>
    </w:p>
    <w:p w14:paraId="0A6A0DE8" w14:textId="77777777" w:rsidR="00A5636E" w:rsidRPr="00A5636E" w:rsidRDefault="00A5636E" w:rsidP="00A5636E">
      <w:pPr>
        <w:spacing w:line="480" w:lineRule="auto"/>
        <w:rPr>
          <w:rFonts w:ascii="Arial" w:hAnsi="Arial" w:cs="Arial"/>
        </w:rPr>
      </w:pPr>
      <w:r w:rsidRPr="00A5636E">
        <w:rPr>
          <w:rFonts w:ascii="Arial" w:hAnsi="Arial" w:cs="Arial"/>
        </w:rPr>
        <w:t xml:space="preserve">Cohen, B., &amp; Winn, M. I. (2007). Market imperfections, opportunity and sustainable entrepreneurship. </w:t>
      </w:r>
      <w:r w:rsidRPr="00A5636E">
        <w:rPr>
          <w:rFonts w:ascii="Arial" w:hAnsi="Arial" w:cs="Arial"/>
          <w:i/>
          <w:iCs/>
        </w:rPr>
        <w:t>Journal of Business Venturing, 22</w:t>
      </w:r>
      <w:r w:rsidRPr="00A5636E">
        <w:rPr>
          <w:rFonts w:ascii="Arial" w:hAnsi="Arial" w:cs="Arial"/>
        </w:rPr>
        <w:t>(1), 29–49.</w:t>
      </w:r>
    </w:p>
    <w:p w14:paraId="31BBC1FD" w14:textId="77777777" w:rsidR="00A5636E" w:rsidRPr="00A5636E" w:rsidRDefault="00A5636E" w:rsidP="00A5636E">
      <w:pPr>
        <w:spacing w:line="480" w:lineRule="auto"/>
        <w:rPr>
          <w:rFonts w:ascii="Arial" w:hAnsi="Arial" w:cs="Arial"/>
        </w:rPr>
      </w:pPr>
      <w:r w:rsidRPr="00A5636E">
        <w:rPr>
          <w:rFonts w:ascii="Arial" w:hAnsi="Arial" w:cs="Arial"/>
        </w:rPr>
        <w:t xml:space="preserve">Cooper, T. (2010). </w:t>
      </w:r>
      <w:r w:rsidRPr="00A5636E">
        <w:rPr>
          <w:rFonts w:ascii="Arial" w:hAnsi="Arial" w:cs="Arial"/>
          <w:i/>
          <w:iCs/>
        </w:rPr>
        <w:t>The significance of product longevity.</w:t>
      </w:r>
      <w:r w:rsidRPr="00A5636E">
        <w:rPr>
          <w:rFonts w:ascii="Arial" w:hAnsi="Arial" w:cs="Arial"/>
        </w:rPr>
        <w:t xml:space="preserve"> In T. Cooper (Ed.), Longer lasting products (pp. 3–36). Farnham, UK: Gower.</w:t>
      </w:r>
    </w:p>
    <w:p w14:paraId="2B7A39B2" w14:textId="77777777" w:rsidR="00A5636E" w:rsidRPr="00A5636E" w:rsidRDefault="00A5636E" w:rsidP="00A5636E">
      <w:pPr>
        <w:spacing w:line="480" w:lineRule="auto"/>
        <w:rPr>
          <w:rFonts w:ascii="Arial" w:hAnsi="Arial" w:cs="Arial"/>
        </w:rPr>
      </w:pPr>
      <w:r w:rsidRPr="00A5636E">
        <w:rPr>
          <w:rFonts w:ascii="Arial" w:hAnsi="Arial" w:cs="Arial"/>
        </w:rPr>
        <w:t xml:space="preserve">Cosh, A., Cumming, D., &amp; Hughes, A. (2009). Outside Entrepreneurial Capital. </w:t>
      </w:r>
      <w:r w:rsidRPr="00A5636E">
        <w:rPr>
          <w:rFonts w:ascii="Arial" w:hAnsi="Arial" w:cs="Arial"/>
          <w:i/>
          <w:iCs/>
        </w:rPr>
        <w:t>The Economic Journal, 119</w:t>
      </w:r>
      <w:r w:rsidRPr="00A5636E">
        <w:rPr>
          <w:rFonts w:ascii="Arial" w:hAnsi="Arial" w:cs="Arial"/>
        </w:rPr>
        <w:t>(540), 1494–1533.</w:t>
      </w:r>
    </w:p>
    <w:p w14:paraId="3949999E" w14:textId="77777777" w:rsidR="00A5636E" w:rsidRPr="00A5636E" w:rsidRDefault="00A5636E" w:rsidP="00A5636E">
      <w:pPr>
        <w:spacing w:line="480" w:lineRule="auto"/>
        <w:rPr>
          <w:rFonts w:ascii="Arial" w:hAnsi="Arial" w:cs="Arial"/>
        </w:rPr>
      </w:pPr>
      <w:r w:rsidRPr="00A5636E">
        <w:rPr>
          <w:rFonts w:ascii="Arial" w:hAnsi="Arial" w:cs="Arial"/>
        </w:rPr>
        <w:t xml:space="preserve">Cowton, C. J., &amp; Thompson, P. (2001). Financing the social economy: A case study of Triodos Bank. </w:t>
      </w:r>
      <w:r w:rsidRPr="00A5636E">
        <w:rPr>
          <w:rFonts w:ascii="Arial" w:hAnsi="Arial" w:cs="Arial"/>
          <w:i/>
          <w:iCs/>
        </w:rPr>
        <w:t>International Journal of Nonprofit and Voluntary Sector Marketing, 6</w:t>
      </w:r>
      <w:r w:rsidRPr="00A5636E">
        <w:rPr>
          <w:rFonts w:ascii="Arial" w:hAnsi="Arial" w:cs="Arial"/>
        </w:rPr>
        <w:t>(2), 145–155.</w:t>
      </w:r>
    </w:p>
    <w:p w14:paraId="5AE6C48C" w14:textId="695A5FB1" w:rsidR="00A5636E" w:rsidRPr="00A5636E" w:rsidRDefault="00A5636E" w:rsidP="00A5636E">
      <w:pPr>
        <w:spacing w:line="480" w:lineRule="auto"/>
        <w:rPr>
          <w:rFonts w:ascii="Arial" w:hAnsi="Arial" w:cs="Arial"/>
        </w:rPr>
      </w:pPr>
      <w:r w:rsidRPr="00A5636E">
        <w:rPr>
          <w:rFonts w:ascii="Arial" w:hAnsi="Arial" w:cs="Arial"/>
        </w:rPr>
        <w:t>Davidsson, P. (1989). Entrepreneurship</w:t>
      </w:r>
      <w:r>
        <w:rPr>
          <w:rFonts w:ascii="Arial" w:hAnsi="Arial" w:cs="Arial"/>
        </w:rPr>
        <w:t>-</w:t>
      </w:r>
      <w:r w:rsidRPr="00A5636E">
        <w:rPr>
          <w:rFonts w:ascii="Arial" w:hAnsi="Arial" w:cs="Arial"/>
        </w:rPr>
        <w:t xml:space="preserve">and after? A study of growth willingness in small firms. </w:t>
      </w:r>
      <w:r w:rsidRPr="00A5636E">
        <w:rPr>
          <w:rFonts w:ascii="Arial" w:hAnsi="Arial" w:cs="Arial"/>
          <w:i/>
          <w:iCs/>
        </w:rPr>
        <w:t>Journal of Business Venturing, 4</w:t>
      </w:r>
      <w:r w:rsidRPr="00A5636E">
        <w:rPr>
          <w:rFonts w:ascii="Arial" w:hAnsi="Arial" w:cs="Arial"/>
        </w:rPr>
        <w:t>(3), 211–226.</w:t>
      </w:r>
    </w:p>
    <w:p w14:paraId="620F1210" w14:textId="77777777" w:rsidR="00A5636E" w:rsidRPr="00A5636E" w:rsidRDefault="00A5636E" w:rsidP="00A5636E">
      <w:pPr>
        <w:spacing w:line="480" w:lineRule="auto"/>
        <w:rPr>
          <w:rFonts w:ascii="Arial" w:hAnsi="Arial" w:cs="Arial"/>
        </w:rPr>
      </w:pPr>
    </w:p>
    <w:p w14:paraId="08304E28" w14:textId="77777777" w:rsidR="00A5636E" w:rsidRDefault="00A5636E" w:rsidP="00A5636E">
      <w:pPr>
        <w:spacing w:line="480" w:lineRule="auto"/>
        <w:rPr>
          <w:rFonts w:ascii="Arial" w:hAnsi="Arial" w:cs="Arial"/>
        </w:rPr>
      </w:pPr>
      <w:r w:rsidRPr="00A5636E">
        <w:rPr>
          <w:rFonts w:ascii="Arial" w:hAnsi="Arial" w:cs="Arial"/>
        </w:rPr>
        <w:lastRenderedPageBreak/>
        <w:t xml:space="preserve">Edgeman, R., &amp; Eskildsen, J. (2014). Modelling and Assessing Sustainable Enterprise Excellence. </w:t>
      </w:r>
      <w:r w:rsidRPr="00A5636E">
        <w:rPr>
          <w:rFonts w:ascii="Arial" w:hAnsi="Arial" w:cs="Arial"/>
          <w:i/>
          <w:iCs/>
        </w:rPr>
        <w:t>Business Strategy and the Environment, 23</w:t>
      </w:r>
      <w:r w:rsidRPr="00A5636E">
        <w:rPr>
          <w:rFonts w:ascii="Arial" w:hAnsi="Arial" w:cs="Arial"/>
        </w:rPr>
        <w:t>(3), 173–187.</w:t>
      </w:r>
    </w:p>
    <w:p w14:paraId="2B106898" w14:textId="26077C17" w:rsidR="00A5636E" w:rsidRPr="00A5636E" w:rsidRDefault="00A5636E" w:rsidP="00A5636E">
      <w:pPr>
        <w:spacing w:line="480" w:lineRule="auto"/>
        <w:rPr>
          <w:rFonts w:ascii="Arial" w:hAnsi="Arial" w:cs="Arial"/>
        </w:rPr>
      </w:pPr>
      <w:proofErr w:type="spellStart"/>
      <w:r w:rsidRPr="00A5636E">
        <w:rPr>
          <w:rFonts w:ascii="Arial" w:hAnsi="Arial" w:cs="Arial"/>
        </w:rPr>
        <w:t>Febrizal</w:t>
      </w:r>
      <w:proofErr w:type="spellEnd"/>
      <w:r w:rsidRPr="00A5636E">
        <w:rPr>
          <w:rFonts w:ascii="Arial" w:hAnsi="Arial" w:cs="Arial"/>
        </w:rPr>
        <w:t xml:space="preserve"> </w:t>
      </w:r>
      <w:proofErr w:type="spellStart"/>
      <w:r w:rsidRPr="00A5636E">
        <w:rPr>
          <w:rFonts w:ascii="Arial" w:hAnsi="Arial" w:cs="Arial"/>
        </w:rPr>
        <w:t>Rahmana</w:t>
      </w:r>
      <w:proofErr w:type="spellEnd"/>
      <w:r w:rsidRPr="00A5636E">
        <w:rPr>
          <w:rFonts w:ascii="Arial" w:hAnsi="Arial" w:cs="Arial"/>
        </w:rPr>
        <w:t xml:space="preserve">, &amp; Adhi </w:t>
      </w:r>
      <w:proofErr w:type="spellStart"/>
      <w:r w:rsidRPr="00A5636E">
        <w:rPr>
          <w:rFonts w:ascii="Arial" w:hAnsi="Arial" w:cs="Arial"/>
        </w:rPr>
        <w:t>Bawono</w:t>
      </w:r>
      <w:proofErr w:type="spellEnd"/>
      <w:r w:rsidRPr="00A5636E">
        <w:rPr>
          <w:rFonts w:ascii="Arial" w:hAnsi="Arial" w:cs="Arial"/>
        </w:rPr>
        <w:t xml:space="preserve">. (2020). Sustainable development toward sustainable enterprise. </w:t>
      </w:r>
      <w:r w:rsidRPr="00A5636E">
        <w:rPr>
          <w:rFonts w:ascii="Arial" w:hAnsi="Arial" w:cs="Arial"/>
          <w:i/>
          <w:iCs/>
        </w:rPr>
        <w:t>Management Science Letters, 11</w:t>
      </w:r>
      <w:r w:rsidRPr="00A5636E">
        <w:rPr>
          <w:rFonts w:ascii="Arial" w:hAnsi="Arial" w:cs="Arial"/>
        </w:rPr>
        <w:t>(2), 657–668.</w:t>
      </w:r>
    </w:p>
    <w:p w14:paraId="42CFF5CE" w14:textId="77777777" w:rsidR="00A5636E" w:rsidRDefault="00A5636E" w:rsidP="00A5636E">
      <w:pPr>
        <w:spacing w:line="480" w:lineRule="auto"/>
        <w:rPr>
          <w:rFonts w:ascii="Arial" w:hAnsi="Arial" w:cs="Arial"/>
        </w:rPr>
      </w:pPr>
      <w:r w:rsidRPr="00A5636E">
        <w:rPr>
          <w:rFonts w:ascii="Arial" w:hAnsi="Arial" w:cs="Arial"/>
        </w:rPr>
        <w:t xml:space="preserve">Thompson, F. M. M. (2010). </w:t>
      </w:r>
      <w:r w:rsidRPr="00A5636E">
        <w:rPr>
          <w:rFonts w:ascii="Arial" w:hAnsi="Arial" w:cs="Arial"/>
          <w:i/>
          <w:iCs/>
        </w:rPr>
        <w:t>Social enterprise: developing sustainable enterprises</w:t>
      </w:r>
      <w:r w:rsidRPr="00A5636E">
        <w:rPr>
          <w:rFonts w:ascii="Arial" w:hAnsi="Arial" w:cs="Arial"/>
        </w:rPr>
        <w:t>. New York: Palgrave Macmillan.</w:t>
      </w:r>
    </w:p>
    <w:p w14:paraId="035948C9" w14:textId="1A13F903" w:rsidR="00A5636E" w:rsidRDefault="00A5636E" w:rsidP="00A5636E">
      <w:pPr>
        <w:spacing w:line="480" w:lineRule="auto"/>
        <w:rPr>
          <w:rFonts w:ascii="Arial" w:hAnsi="Arial" w:cs="Arial"/>
        </w:rPr>
      </w:pPr>
      <w:hyperlink r:id="rId10" w:history="1">
        <w:r w:rsidRPr="00BC664B">
          <w:rPr>
            <w:rStyle w:val="Hyperlink"/>
            <w:rFonts w:ascii="Arial" w:hAnsi="Arial" w:cs="Arial"/>
          </w:rPr>
          <w:t>https://watershed.com/demo?utm_source=google&amp;utm_medium=cpc&amp;utm_term=corporate%20environmental%20sustainability&amp;utm_content=corporate-sustainability_ph&amp;campid=&amp;gclid=Cj0KCQjwhMq-BhCFARIsAGvo0KcweB3wI-qWxic7PouwWPrAm4gLSmHjSVRntrLRCEl0CLVaYhoemh0aAoISEALw_wcB&amp;sfdc_campaign_id=701Um00000QBTpNIAX&amp;utm_campaign=17936399412&amp;utm_content=148765715667&amp;gad_source=1</w:t>
        </w:r>
      </w:hyperlink>
    </w:p>
    <w:p w14:paraId="30AC1C12" w14:textId="7347D13B" w:rsidR="00A5636E" w:rsidRDefault="00A5636E" w:rsidP="00A5636E">
      <w:pPr>
        <w:spacing w:line="480" w:lineRule="auto"/>
        <w:rPr>
          <w:rFonts w:ascii="Arial" w:hAnsi="Arial" w:cs="Arial"/>
        </w:rPr>
      </w:pPr>
      <w:hyperlink r:id="rId11" w:history="1">
        <w:r w:rsidRPr="00BC664B">
          <w:rPr>
            <w:rStyle w:val="Hyperlink"/>
            <w:rFonts w:ascii="Arial" w:hAnsi="Arial" w:cs="Arial"/>
          </w:rPr>
          <w:t>https://www.green-providers.co.uk/</w:t>
        </w:r>
      </w:hyperlink>
      <w:r>
        <w:rPr>
          <w:rFonts w:ascii="Arial" w:hAnsi="Arial" w:cs="Arial"/>
        </w:rPr>
        <w:t xml:space="preserve"> </w:t>
      </w:r>
    </w:p>
    <w:p w14:paraId="090449B2" w14:textId="4FB07233" w:rsidR="00A5636E" w:rsidRDefault="00A5636E" w:rsidP="00A5636E">
      <w:pPr>
        <w:spacing w:line="480" w:lineRule="auto"/>
        <w:rPr>
          <w:rFonts w:ascii="Arial" w:hAnsi="Arial" w:cs="Arial"/>
        </w:rPr>
      </w:pPr>
      <w:hyperlink r:id="rId12" w:history="1">
        <w:r w:rsidRPr="00BC664B">
          <w:rPr>
            <w:rStyle w:val="Hyperlink"/>
            <w:rFonts w:ascii="Arial" w:hAnsi="Arial" w:cs="Arial"/>
          </w:rPr>
          <w:t>https://www.gov.uk/government/groups/council-for-sustainable-business</w:t>
        </w:r>
      </w:hyperlink>
    </w:p>
    <w:p w14:paraId="32E52A0F" w14:textId="77777777" w:rsidR="00A5636E" w:rsidRPr="00A5636E" w:rsidRDefault="00A5636E" w:rsidP="00A5636E">
      <w:pPr>
        <w:spacing w:line="480" w:lineRule="auto"/>
        <w:rPr>
          <w:rFonts w:ascii="Arial" w:hAnsi="Arial" w:cs="Arial"/>
        </w:rPr>
      </w:pPr>
    </w:p>
    <w:p w14:paraId="3F15C570" w14:textId="77777777" w:rsidR="00A5636E" w:rsidRPr="00A5636E" w:rsidRDefault="00A5636E" w:rsidP="00A5636E">
      <w:pPr>
        <w:spacing w:line="480" w:lineRule="auto"/>
        <w:rPr>
          <w:rFonts w:ascii="Arial" w:hAnsi="Arial" w:cs="Arial"/>
        </w:rPr>
      </w:pPr>
    </w:p>
    <w:p w14:paraId="41443F37" w14:textId="77777777" w:rsidR="00A5636E" w:rsidRPr="00A5636E" w:rsidRDefault="00A5636E" w:rsidP="00A5636E">
      <w:pPr>
        <w:spacing w:line="480" w:lineRule="auto"/>
        <w:rPr>
          <w:rFonts w:ascii="Arial" w:hAnsi="Arial" w:cs="Arial"/>
        </w:rPr>
      </w:pPr>
    </w:p>
    <w:p w14:paraId="7239FF8A" w14:textId="77777777" w:rsidR="00A5636E" w:rsidRPr="00A5636E" w:rsidRDefault="00A5636E" w:rsidP="00A5636E">
      <w:pPr>
        <w:spacing w:line="480" w:lineRule="auto"/>
        <w:rPr>
          <w:rFonts w:ascii="Arial" w:hAnsi="Arial" w:cs="Arial"/>
        </w:rPr>
      </w:pPr>
    </w:p>
    <w:p w14:paraId="360D33D0" w14:textId="77777777" w:rsidR="00A5636E" w:rsidRPr="00A5636E" w:rsidRDefault="00A5636E" w:rsidP="00A5636E">
      <w:pPr>
        <w:spacing w:line="480" w:lineRule="auto"/>
        <w:rPr>
          <w:rFonts w:ascii="Arial" w:hAnsi="Arial" w:cs="Arial"/>
        </w:rPr>
      </w:pPr>
    </w:p>
    <w:p w14:paraId="338994F2" w14:textId="77777777" w:rsidR="00A5636E" w:rsidRPr="00A5636E" w:rsidRDefault="00A5636E" w:rsidP="00A5636E">
      <w:pPr>
        <w:spacing w:line="480" w:lineRule="auto"/>
        <w:rPr>
          <w:rFonts w:ascii="Arial" w:hAnsi="Arial" w:cs="Arial"/>
        </w:rPr>
      </w:pPr>
    </w:p>
    <w:p w14:paraId="3A20AC62" w14:textId="77777777" w:rsidR="00A5636E" w:rsidRDefault="00A5636E" w:rsidP="00AE4B4C">
      <w:pPr>
        <w:spacing w:line="480" w:lineRule="auto"/>
        <w:rPr>
          <w:rFonts w:ascii="Arial" w:hAnsi="Arial" w:cs="Arial"/>
        </w:rPr>
      </w:pPr>
    </w:p>
    <w:p w14:paraId="1412D910" w14:textId="77777777" w:rsidR="00A5636E" w:rsidRPr="00AE4B4C" w:rsidRDefault="00A5636E" w:rsidP="00AE4B4C">
      <w:pPr>
        <w:spacing w:line="480" w:lineRule="auto"/>
        <w:rPr>
          <w:rFonts w:ascii="Arial" w:hAnsi="Arial" w:cs="Arial"/>
        </w:rPr>
      </w:pPr>
    </w:p>
    <w:sectPr w:rsidR="00A5636E" w:rsidRPr="00AE4B4C" w:rsidSect="00A5636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432DC" w14:textId="77777777" w:rsidR="00CC48CF" w:rsidRDefault="00CC48CF" w:rsidP="00AE4B4C">
      <w:pPr>
        <w:spacing w:after="0" w:line="240" w:lineRule="auto"/>
      </w:pPr>
      <w:r>
        <w:separator/>
      </w:r>
    </w:p>
  </w:endnote>
  <w:endnote w:type="continuationSeparator" w:id="0">
    <w:p w14:paraId="3351536F" w14:textId="77777777" w:rsidR="00CC48CF" w:rsidRDefault="00CC48CF" w:rsidP="00AE4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2398300"/>
      <w:docPartObj>
        <w:docPartGallery w:val="Page Numbers (Bottom of Page)"/>
        <w:docPartUnique/>
      </w:docPartObj>
    </w:sdtPr>
    <w:sdtEndPr>
      <w:rPr>
        <w:noProof/>
      </w:rPr>
    </w:sdtEndPr>
    <w:sdtContent>
      <w:p w14:paraId="6328AD06" w14:textId="7ADBAF5E" w:rsidR="00AE4B4C" w:rsidRDefault="00AE4B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C0047F" w14:textId="77777777" w:rsidR="00AE4B4C" w:rsidRDefault="00AE4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C01FF" w14:textId="77777777" w:rsidR="00CC48CF" w:rsidRDefault="00CC48CF" w:rsidP="00AE4B4C">
      <w:pPr>
        <w:spacing w:after="0" w:line="240" w:lineRule="auto"/>
      </w:pPr>
      <w:r>
        <w:separator/>
      </w:r>
    </w:p>
  </w:footnote>
  <w:footnote w:type="continuationSeparator" w:id="0">
    <w:p w14:paraId="7A1B8189" w14:textId="77777777" w:rsidR="00CC48CF" w:rsidRDefault="00CC48CF" w:rsidP="00AE4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74243"/>
    <w:multiLevelType w:val="hybridMultilevel"/>
    <w:tmpl w:val="5D945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0848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4C"/>
    <w:rsid w:val="0042312D"/>
    <w:rsid w:val="005F1F2D"/>
    <w:rsid w:val="00A45846"/>
    <w:rsid w:val="00A5636E"/>
    <w:rsid w:val="00AE4B4C"/>
    <w:rsid w:val="00CC4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4760"/>
  <w15:chartTrackingRefBased/>
  <w15:docId w15:val="{712769F3-EBA7-4727-B59E-E8DEEC382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B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B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B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B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B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B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B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B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B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B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B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B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B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B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B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B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B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B4C"/>
    <w:rPr>
      <w:rFonts w:eastAsiaTheme="majorEastAsia" w:cstheme="majorBidi"/>
      <w:color w:val="272727" w:themeColor="text1" w:themeTint="D8"/>
    </w:rPr>
  </w:style>
  <w:style w:type="paragraph" w:styleId="Title">
    <w:name w:val="Title"/>
    <w:basedOn w:val="Normal"/>
    <w:next w:val="Normal"/>
    <w:link w:val="TitleChar"/>
    <w:uiPriority w:val="10"/>
    <w:qFormat/>
    <w:rsid w:val="00AE4B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B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B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B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B4C"/>
    <w:pPr>
      <w:spacing w:before="160"/>
      <w:jc w:val="center"/>
    </w:pPr>
    <w:rPr>
      <w:i/>
      <w:iCs/>
      <w:color w:val="404040" w:themeColor="text1" w:themeTint="BF"/>
    </w:rPr>
  </w:style>
  <w:style w:type="character" w:customStyle="1" w:styleId="QuoteChar">
    <w:name w:val="Quote Char"/>
    <w:basedOn w:val="DefaultParagraphFont"/>
    <w:link w:val="Quote"/>
    <w:uiPriority w:val="29"/>
    <w:rsid w:val="00AE4B4C"/>
    <w:rPr>
      <w:i/>
      <w:iCs/>
      <w:color w:val="404040" w:themeColor="text1" w:themeTint="BF"/>
    </w:rPr>
  </w:style>
  <w:style w:type="paragraph" w:styleId="ListParagraph">
    <w:name w:val="List Paragraph"/>
    <w:basedOn w:val="Normal"/>
    <w:uiPriority w:val="34"/>
    <w:qFormat/>
    <w:rsid w:val="00AE4B4C"/>
    <w:pPr>
      <w:ind w:left="720"/>
      <w:contextualSpacing/>
    </w:pPr>
  </w:style>
  <w:style w:type="character" w:styleId="IntenseEmphasis">
    <w:name w:val="Intense Emphasis"/>
    <w:basedOn w:val="DefaultParagraphFont"/>
    <w:uiPriority w:val="21"/>
    <w:qFormat/>
    <w:rsid w:val="00AE4B4C"/>
    <w:rPr>
      <w:i/>
      <w:iCs/>
      <w:color w:val="0F4761" w:themeColor="accent1" w:themeShade="BF"/>
    </w:rPr>
  </w:style>
  <w:style w:type="paragraph" w:styleId="IntenseQuote">
    <w:name w:val="Intense Quote"/>
    <w:basedOn w:val="Normal"/>
    <w:next w:val="Normal"/>
    <w:link w:val="IntenseQuoteChar"/>
    <w:uiPriority w:val="30"/>
    <w:qFormat/>
    <w:rsid w:val="00AE4B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B4C"/>
    <w:rPr>
      <w:i/>
      <w:iCs/>
      <w:color w:val="0F4761" w:themeColor="accent1" w:themeShade="BF"/>
    </w:rPr>
  </w:style>
  <w:style w:type="character" w:styleId="IntenseReference">
    <w:name w:val="Intense Reference"/>
    <w:basedOn w:val="DefaultParagraphFont"/>
    <w:uiPriority w:val="32"/>
    <w:qFormat/>
    <w:rsid w:val="00AE4B4C"/>
    <w:rPr>
      <w:b/>
      <w:bCs/>
      <w:smallCaps/>
      <w:color w:val="0F4761" w:themeColor="accent1" w:themeShade="BF"/>
      <w:spacing w:val="5"/>
    </w:rPr>
  </w:style>
  <w:style w:type="paragraph" w:styleId="Header">
    <w:name w:val="header"/>
    <w:basedOn w:val="Normal"/>
    <w:link w:val="HeaderChar"/>
    <w:uiPriority w:val="99"/>
    <w:unhideWhenUsed/>
    <w:rsid w:val="00AE4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B4C"/>
  </w:style>
  <w:style w:type="paragraph" w:styleId="Footer">
    <w:name w:val="footer"/>
    <w:basedOn w:val="Normal"/>
    <w:link w:val="FooterChar"/>
    <w:uiPriority w:val="99"/>
    <w:unhideWhenUsed/>
    <w:rsid w:val="00AE4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B4C"/>
  </w:style>
  <w:style w:type="character" w:styleId="Hyperlink">
    <w:name w:val="Hyperlink"/>
    <w:basedOn w:val="DefaultParagraphFont"/>
    <w:uiPriority w:val="99"/>
    <w:unhideWhenUsed/>
    <w:rsid w:val="00A5636E"/>
    <w:rPr>
      <w:color w:val="467886" w:themeColor="hyperlink"/>
      <w:u w:val="single"/>
    </w:rPr>
  </w:style>
  <w:style w:type="character" w:styleId="UnresolvedMention">
    <w:name w:val="Unresolved Mention"/>
    <w:basedOn w:val="DefaultParagraphFont"/>
    <w:uiPriority w:val="99"/>
    <w:semiHidden/>
    <w:unhideWhenUsed/>
    <w:rsid w:val="00A5636E"/>
    <w:rPr>
      <w:color w:val="605E5C"/>
      <w:shd w:val="clear" w:color="auto" w:fill="E1DFDD"/>
    </w:rPr>
  </w:style>
  <w:style w:type="paragraph" w:styleId="NoSpacing">
    <w:name w:val="No Spacing"/>
    <w:link w:val="NoSpacingChar"/>
    <w:uiPriority w:val="1"/>
    <w:qFormat/>
    <w:rsid w:val="00A5636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5636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41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groups/council-for-sustainable-busine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providers.co.uk/"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atershed.com/demo?utm_source=google&amp;utm_medium=cpc&amp;utm_term=corporate%20environmental%20sustainability&amp;utm_content=corporate-sustainability_ph&amp;campid=&amp;gclid=Cj0KCQjwhMq-BhCFARIsAGvo0KcweB3wI-qWxic7PouwWPrAm4gLSmHjSVRntrLRCEl0CLVaYhoemh0aAoISEALw_wcB&amp;sfdc_campaign_id=701Um00000QBTpNIAX&amp;utm_campaign=17936399412&amp;utm_content=148765715667&amp;gad_source=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C2E062E48F434E878142832862FEFF"/>
        <w:category>
          <w:name w:val="General"/>
          <w:gallery w:val="placeholder"/>
        </w:category>
        <w:types>
          <w:type w:val="bbPlcHdr"/>
        </w:types>
        <w:behaviors>
          <w:behavior w:val="content"/>
        </w:behaviors>
        <w:guid w:val="{C82E2A15-78FA-4EAB-A4C7-50A314F64DC0}"/>
      </w:docPartPr>
      <w:docPartBody>
        <w:p w:rsidR="00000000" w:rsidRDefault="00541132" w:rsidP="00541132">
          <w:pPr>
            <w:pStyle w:val="22C2E062E48F434E878142832862FEFF"/>
          </w:pPr>
          <w:r>
            <w:rPr>
              <w:rFonts w:asciiTheme="majorHAnsi" w:eastAsiaTheme="majorEastAsia" w:hAnsiTheme="majorHAnsi" w:cstheme="majorBidi"/>
              <w:caps/>
              <w:color w:val="156082" w:themeColor="accent1"/>
              <w:sz w:val="80"/>
              <w:szCs w:val="80"/>
            </w:rPr>
            <w:t>[Document title]</w:t>
          </w:r>
        </w:p>
      </w:docPartBody>
    </w:docPart>
    <w:docPart>
      <w:docPartPr>
        <w:name w:val="2D0F2D5DA7094F1EA43BBCECC1B80C0F"/>
        <w:category>
          <w:name w:val="General"/>
          <w:gallery w:val="placeholder"/>
        </w:category>
        <w:types>
          <w:type w:val="bbPlcHdr"/>
        </w:types>
        <w:behaviors>
          <w:behavior w:val="content"/>
        </w:behaviors>
        <w:guid w:val="{7657B692-5C14-4416-9E3A-9AA7E1CA5EED}"/>
      </w:docPartPr>
      <w:docPartBody>
        <w:p w:rsidR="00000000" w:rsidRDefault="00541132" w:rsidP="00541132">
          <w:pPr>
            <w:pStyle w:val="2D0F2D5DA7094F1EA43BBCECC1B80C0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132"/>
    <w:rsid w:val="0042312D"/>
    <w:rsid w:val="00541132"/>
    <w:rsid w:val="00E24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C2E062E48F434E878142832862FEFF">
    <w:name w:val="22C2E062E48F434E878142832862FEFF"/>
    <w:rsid w:val="00541132"/>
  </w:style>
  <w:style w:type="paragraph" w:customStyle="1" w:styleId="2D0F2D5DA7094F1EA43BBCECC1B80C0F">
    <w:name w:val="2D0F2D5DA7094F1EA43BBCECC1B80C0F"/>
    <w:rsid w:val="005411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BMSE4010D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2867</Words>
  <Characters>16345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Sustainable Enterprise/ Social Enterprise Management</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START-UP BUSINESS PLAN</dc:title>
  <dc:subject>SUSTAINABLE ENTERPRISE</dc:subject>
  <dc:creator>Mirabela Voican (1907947)</dc:creator>
  <cp:keywords/>
  <dc:description/>
  <cp:lastModifiedBy>Mirabela Voican (1907947)</cp:lastModifiedBy>
  <cp:revision>1</cp:revision>
  <dcterms:created xsi:type="dcterms:W3CDTF">2025-03-14T02:44:00Z</dcterms:created>
  <dcterms:modified xsi:type="dcterms:W3CDTF">2025-03-14T03:37:00Z</dcterms:modified>
</cp:coreProperties>
</file>