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6E8A5" w14:textId="6597E504" w:rsidR="00011066" w:rsidRPr="0093386F" w:rsidRDefault="00011066" w:rsidP="00011066">
      <w:pPr>
        <w:rPr>
          <w:rFonts w:cstheme="minorHAnsi"/>
        </w:rPr>
      </w:pPr>
      <w:r w:rsidRPr="0093386F">
        <w:rPr>
          <w:rFonts w:cstheme="minorHAnsi"/>
        </w:rPr>
        <w:t>Student Name: Gabriela Sobieraj</w:t>
      </w:r>
    </w:p>
    <w:p w14:paraId="3707ECCA" w14:textId="7FDB3D54" w:rsidR="00011066" w:rsidRPr="0093386F" w:rsidRDefault="00011066" w:rsidP="00011066">
      <w:pPr>
        <w:rPr>
          <w:rFonts w:cstheme="minorHAnsi"/>
        </w:rPr>
      </w:pPr>
      <w:r w:rsidRPr="0093386F">
        <w:rPr>
          <w:rFonts w:cstheme="minorHAnsi"/>
        </w:rPr>
        <w:t>P Number: 2100458</w:t>
      </w:r>
    </w:p>
    <w:p w14:paraId="4613DBF9" w14:textId="059931AA" w:rsidR="00011066" w:rsidRPr="0093386F" w:rsidRDefault="00011066" w:rsidP="00011066">
      <w:pPr>
        <w:rPr>
          <w:rFonts w:cstheme="minorHAnsi"/>
        </w:rPr>
      </w:pPr>
      <w:r w:rsidRPr="0093386F">
        <w:rPr>
          <w:rFonts w:cstheme="minorHAnsi"/>
        </w:rPr>
        <w:t>Programme of Study: BA Graphic Design</w:t>
      </w:r>
    </w:p>
    <w:p w14:paraId="31A52E19" w14:textId="7C07F542" w:rsidR="00D20DF5" w:rsidRDefault="00011066" w:rsidP="00011066">
      <w:pPr>
        <w:rPr>
          <w:rFonts w:cstheme="minorHAnsi"/>
        </w:rPr>
      </w:pPr>
      <w:r w:rsidRPr="0093386F">
        <w:rPr>
          <w:rFonts w:cstheme="minorHAnsi"/>
        </w:rPr>
        <w:t>Module: ADAD4018 Ways of Thinking</w:t>
      </w:r>
    </w:p>
    <w:p w14:paraId="5858D0F2" w14:textId="1E70DA68" w:rsidR="00DC1788" w:rsidRPr="0093386F" w:rsidRDefault="00DC1788" w:rsidP="00011066">
      <w:pPr>
        <w:rPr>
          <w:rFonts w:cstheme="minorHAnsi"/>
        </w:rPr>
      </w:pPr>
      <w:r>
        <w:rPr>
          <w:rFonts w:cstheme="minorHAnsi"/>
        </w:rPr>
        <w:t>Tutor’s name: Martin Bush</w:t>
      </w:r>
    </w:p>
    <w:p w14:paraId="108E7A97" w14:textId="4501A0F0" w:rsidR="00FA2FC7" w:rsidRPr="0093386F" w:rsidRDefault="00FA2FC7" w:rsidP="00011066">
      <w:pPr>
        <w:rPr>
          <w:rFonts w:cstheme="minorHAnsi"/>
        </w:rPr>
      </w:pPr>
    </w:p>
    <w:p w14:paraId="677C361A" w14:textId="60FB55C0" w:rsidR="007F7511" w:rsidRPr="0093386F" w:rsidRDefault="007F7511" w:rsidP="007F7511">
      <w:pPr>
        <w:rPr>
          <w:rFonts w:cstheme="minorHAnsi"/>
        </w:rPr>
      </w:pPr>
      <w:r w:rsidRPr="0093386F">
        <w:rPr>
          <w:rFonts w:cstheme="minorHAnsi"/>
        </w:rPr>
        <w:t>Tasks:</w:t>
      </w:r>
    </w:p>
    <w:p w14:paraId="23346FDE" w14:textId="546FD461" w:rsidR="007F7511" w:rsidRPr="0093386F" w:rsidRDefault="007F7511" w:rsidP="007F7511">
      <w:pPr>
        <w:rPr>
          <w:rFonts w:cstheme="minorHAnsi"/>
        </w:rPr>
      </w:pPr>
      <w:r w:rsidRPr="0093386F">
        <w:rPr>
          <w:rFonts w:cstheme="minorHAnsi"/>
        </w:rPr>
        <w:t>Task One: Semiotic Analysis = 50</w:t>
      </w:r>
      <w:r w:rsidR="002266CA" w:rsidRPr="0093386F">
        <w:rPr>
          <w:rFonts w:cstheme="minorHAnsi"/>
        </w:rPr>
        <w:t>3</w:t>
      </w:r>
      <w:r w:rsidRPr="0093386F">
        <w:rPr>
          <w:rFonts w:cstheme="minorHAnsi"/>
        </w:rPr>
        <w:t xml:space="preserve"> words</w:t>
      </w:r>
    </w:p>
    <w:p w14:paraId="2DB46B1F" w14:textId="2FC990EA" w:rsidR="007F7511" w:rsidRPr="0093386F" w:rsidRDefault="007F7511" w:rsidP="007F7511">
      <w:pPr>
        <w:rPr>
          <w:rFonts w:cstheme="minorHAnsi"/>
        </w:rPr>
      </w:pPr>
      <w:r w:rsidRPr="0093386F">
        <w:rPr>
          <w:rFonts w:cstheme="minorHAnsi"/>
        </w:rPr>
        <w:t>Task Two: Manifesto =</w:t>
      </w:r>
      <w:r w:rsidR="005B07AE" w:rsidRPr="0093386F">
        <w:rPr>
          <w:rFonts w:cstheme="minorHAnsi"/>
        </w:rPr>
        <w:t xml:space="preserve"> 487</w:t>
      </w:r>
      <w:r w:rsidRPr="0093386F">
        <w:rPr>
          <w:rFonts w:cstheme="minorHAnsi"/>
        </w:rPr>
        <w:t xml:space="preserve"> words</w:t>
      </w:r>
    </w:p>
    <w:p w14:paraId="4EA48DF5" w14:textId="3770A35D" w:rsidR="007F7511" w:rsidRPr="0093386F" w:rsidRDefault="007F7511" w:rsidP="007F7511">
      <w:pPr>
        <w:rPr>
          <w:rFonts w:cstheme="minorHAnsi"/>
        </w:rPr>
      </w:pPr>
      <w:r w:rsidRPr="0093386F">
        <w:rPr>
          <w:rFonts w:cstheme="minorHAnsi"/>
        </w:rPr>
        <w:t xml:space="preserve">Task Three: Practice-based writing </w:t>
      </w:r>
      <w:proofErr w:type="gramStart"/>
      <w:r w:rsidRPr="0093386F">
        <w:rPr>
          <w:rFonts w:cstheme="minorHAnsi"/>
        </w:rPr>
        <w:t>=  words</w:t>
      </w:r>
      <w:proofErr w:type="gramEnd"/>
    </w:p>
    <w:p w14:paraId="43E04BE7" w14:textId="10FBE920" w:rsidR="007F7511" w:rsidRPr="0093386F" w:rsidRDefault="007F7511" w:rsidP="00011066">
      <w:pPr>
        <w:rPr>
          <w:rFonts w:cstheme="minorHAnsi"/>
          <w:b/>
          <w:bCs/>
          <w:u w:val="single"/>
        </w:rPr>
      </w:pPr>
    </w:p>
    <w:p w14:paraId="2B2B22D4" w14:textId="30E3ED51" w:rsidR="002266CA" w:rsidRPr="0093386F" w:rsidRDefault="002266CA" w:rsidP="00011066">
      <w:pPr>
        <w:rPr>
          <w:rFonts w:cstheme="minorHAnsi"/>
          <w:b/>
          <w:bCs/>
          <w:u w:val="single"/>
        </w:rPr>
      </w:pPr>
    </w:p>
    <w:p w14:paraId="33140F26" w14:textId="2395ECAA" w:rsidR="002266CA" w:rsidRPr="0093386F" w:rsidRDefault="002266CA" w:rsidP="00011066">
      <w:pPr>
        <w:rPr>
          <w:rFonts w:cstheme="minorHAnsi"/>
          <w:b/>
          <w:bCs/>
          <w:u w:val="single"/>
        </w:rPr>
      </w:pPr>
    </w:p>
    <w:p w14:paraId="49A4F0A7" w14:textId="57B107AA" w:rsidR="002266CA" w:rsidRPr="0093386F" w:rsidRDefault="002266CA" w:rsidP="00011066">
      <w:pPr>
        <w:rPr>
          <w:rFonts w:cstheme="minorHAnsi"/>
          <w:b/>
          <w:bCs/>
          <w:u w:val="single"/>
        </w:rPr>
      </w:pPr>
    </w:p>
    <w:p w14:paraId="3D7FEC29" w14:textId="6F93ADD8" w:rsidR="002266CA" w:rsidRPr="0093386F" w:rsidRDefault="002266CA" w:rsidP="00011066">
      <w:pPr>
        <w:rPr>
          <w:rFonts w:cstheme="minorHAnsi"/>
          <w:b/>
          <w:bCs/>
          <w:u w:val="single"/>
        </w:rPr>
      </w:pPr>
    </w:p>
    <w:p w14:paraId="0F812637" w14:textId="68A3D170" w:rsidR="002266CA" w:rsidRPr="0093386F" w:rsidRDefault="002266CA" w:rsidP="00011066">
      <w:pPr>
        <w:rPr>
          <w:rFonts w:cstheme="minorHAnsi"/>
          <w:b/>
          <w:bCs/>
          <w:u w:val="single"/>
        </w:rPr>
      </w:pPr>
    </w:p>
    <w:p w14:paraId="6FA69E23" w14:textId="660D867F" w:rsidR="002266CA" w:rsidRPr="0093386F" w:rsidRDefault="002266CA" w:rsidP="00011066">
      <w:pPr>
        <w:rPr>
          <w:rFonts w:cstheme="minorHAnsi"/>
          <w:b/>
          <w:bCs/>
          <w:u w:val="single"/>
        </w:rPr>
      </w:pPr>
    </w:p>
    <w:p w14:paraId="2FED91A0" w14:textId="47F878A6" w:rsidR="002266CA" w:rsidRPr="0093386F" w:rsidRDefault="002266CA" w:rsidP="00011066">
      <w:pPr>
        <w:rPr>
          <w:rFonts w:cstheme="minorHAnsi"/>
          <w:b/>
          <w:bCs/>
          <w:u w:val="single"/>
        </w:rPr>
      </w:pPr>
    </w:p>
    <w:p w14:paraId="223943C2" w14:textId="09E93FF3" w:rsidR="002266CA" w:rsidRPr="0093386F" w:rsidRDefault="002266CA" w:rsidP="00011066">
      <w:pPr>
        <w:rPr>
          <w:rFonts w:cstheme="minorHAnsi"/>
          <w:b/>
          <w:bCs/>
          <w:u w:val="single"/>
        </w:rPr>
      </w:pPr>
    </w:p>
    <w:p w14:paraId="5446F1EB" w14:textId="40BB9764" w:rsidR="002266CA" w:rsidRPr="0093386F" w:rsidRDefault="002266CA" w:rsidP="00011066">
      <w:pPr>
        <w:rPr>
          <w:rFonts w:cstheme="minorHAnsi"/>
          <w:b/>
          <w:bCs/>
          <w:u w:val="single"/>
        </w:rPr>
      </w:pPr>
    </w:p>
    <w:p w14:paraId="77ABBB0E" w14:textId="1233FF3A" w:rsidR="002266CA" w:rsidRPr="0093386F" w:rsidRDefault="002266CA" w:rsidP="00011066">
      <w:pPr>
        <w:rPr>
          <w:rFonts w:cstheme="minorHAnsi"/>
          <w:b/>
          <w:bCs/>
          <w:u w:val="single"/>
        </w:rPr>
      </w:pPr>
    </w:p>
    <w:p w14:paraId="6FD3005A" w14:textId="0CC163F3" w:rsidR="002266CA" w:rsidRPr="0093386F" w:rsidRDefault="002266CA" w:rsidP="00011066">
      <w:pPr>
        <w:rPr>
          <w:rFonts w:cstheme="minorHAnsi"/>
          <w:b/>
          <w:bCs/>
          <w:u w:val="single"/>
        </w:rPr>
      </w:pPr>
    </w:p>
    <w:p w14:paraId="72242070" w14:textId="6EFD6D9C" w:rsidR="002266CA" w:rsidRPr="0093386F" w:rsidRDefault="002266CA" w:rsidP="00011066">
      <w:pPr>
        <w:rPr>
          <w:rFonts w:cstheme="minorHAnsi"/>
          <w:b/>
          <w:bCs/>
          <w:u w:val="single"/>
        </w:rPr>
      </w:pPr>
    </w:p>
    <w:p w14:paraId="0B62DC81" w14:textId="6AB20AD1" w:rsidR="002266CA" w:rsidRPr="0093386F" w:rsidRDefault="002266CA" w:rsidP="00011066">
      <w:pPr>
        <w:rPr>
          <w:rFonts w:cstheme="minorHAnsi"/>
          <w:b/>
          <w:bCs/>
          <w:u w:val="single"/>
        </w:rPr>
      </w:pPr>
    </w:p>
    <w:p w14:paraId="4B55D87B" w14:textId="375EB762" w:rsidR="002266CA" w:rsidRPr="0093386F" w:rsidRDefault="002266CA" w:rsidP="00011066">
      <w:pPr>
        <w:rPr>
          <w:rFonts w:cstheme="minorHAnsi"/>
          <w:b/>
          <w:bCs/>
          <w:u w:val="single"/>
        </w:rPr>
      </w:pPr>
    </w:p>
    <w:p w14:paraId="47ADF621" w14:textId="77C82D6C" w:rsidR="002266CA" w:rsidRPr="0093386F" w:rsidRDefault="002266CA" w:rsidP="00011066">
      <w:pPr>
        <w:rPr>
          <w:rFonts w:cstheme="minorHAnsi"/>
          <w:b/>
          <w:bCs/>
          <w:u w:val="single"/>
        </w:rPr>
      </w:pPr>
    </w:p>
    <w:p w14:paraId="5583757B" w14:textId="2F3EC33B" w:rsidR="002266CA" w:rsidRPr="0093386F" w:rsidRDefault="002266CA" w:rsidP="00011066">
      <w:pPr>
        <w:rPr>
          <w:rFonts w:cstheme="minorHAnsi"/>
          <w:b/>
          <w:bCs/>
          <w:u w:val="single"/>
        </w:rPr>
      </w:pPr>
    </w:p>
    <w:p w14:paraId="15D47638" w14:textId="12C7F646" w:rsidR="002266CA" w:rsidRPr="0093386F" w:rsidRDefault="002266CA" w:rsidP="00011066">
      <w:pPr>
        <w:rPr>
          <w:rFonts w:cstheme="minorHAnsi"/>
          <w:b/>
          <w:bCs/>
          <w:u w:val="single"/>
        </w:rPr>
      </w:pPr>
    </w:p>
    <w:p w14:paraId="1C3F8A30" w14:textId="4CA5141A" w:rsidR="002266CA" w:rsidRPr="0093386F" w:rsidRDefault="002266CA" w:rsidP="00011066">
      <w:pPr>
        <w:rPr>
          <w:rFonts w:cstheme="minorHAnsi"/>
          <w:b/>
          <w:bCs/>
          <w:u w:val="single"/>
        </w:rPr>
      </w:pPr>
    </w:p>
    <w:p w14:paraId="7400F9EA" w14:textId="6480895B" w:rsidR="002266CA" w:rsidRPr="0093386F" w:rsidRDefault="002266CA" w:rsidP="00011066">
      <w:pPr>
        <w:rPr>
          <w:rFonts w:cstheme="minorHAnsi"/>
          <w:b/>
          <w:bCs/>
          <w:u w:val="single"/>
        </w:rPr>
      </w:pPr>
    </w:p>
    <w:p w14:paraId="322251EF" w14:textId="69AE0A8C" w:rsidR="002266CA" w:rsidRPr="0093386F" w:rsidRDefault="002266CA" w:rsidP="00011066">
      <w:pPr>
        <w:rPr>
          <w:rFonts w:cstheme="minorHAnsi"/>
          <w:b/>
          <w:bCs/>
          <w:u w:val="single"/>
        </w:rPr>
      </w:pPr>
    </w:p>
    <w:p w14:paraId="54D79D10" w14:textId="6EB1407B" w:rsidR="002266CA" w:rsidRPr="0093386F" w:rsidRDefault="002266CA" w:rsidP="00011066">
      <w:pPr>
        <w:rPr>
          <w:rFonts w:cstheme="minorHAnsi"/>
          <w:b/>
          <w:bCs/>
          <w:u w:val="single"/>
        </w:rPr>
      </w:pPr>
    </w:p>
    <w:p w14:paraId="716C01F2" w14:textId="77777777" w:rsidR="002266CA" w:rsidRPr="0093386F" w:rsidRDefault="002266CA" w:rsidP="002266CA">
      <w:pPr>
        <w:rPr>
          <w:rFonts w:cstheme="minorHAnsi"/>
          <w:b/>
          <w:bCs/>
        </w:rPr>
      </w:pPr>
      <w:commentRangeStart w:id="0"/>
      <w:r w:rsidRPr="0093386F">
        <w:rPr>
          <w:rFonts w:cstheme="minorHAnsi"/>
          <w:b/>
          <w:bCs/>
        </w:rPr>
        <w:t>Semiotic</w:t>
      </w:r>
      <w:commentRangeEnd w:id="0"/>
      <w:r w:rsidRPr="0093386F">
        <w:rPr>
          <w:rStyle w:val="CommentReference"/>
          <w:rFonts w:cstheme="minorHAnsi"/>
        </w:rPr>
        <w:commentReference w:id="0"/>
      </w:r>
      <w:r w:rsidRPr="0093386F">
        <w:rPr>
          <w:rFonts w:cstheme="minorHAnsi"/>
          <w:b/>
          <w:bCs/>
        </w:rPr>
        <w:t xml:space="preserve"> Analysis </w:t>
      </w:r>
    </w:p>
    <w:p w14:paraId="5793925B" w14:textId="77777777" w:rsidR="002266CA" w:rsidRPr="0093386F" w:rsidRDefault="002266CA" w:rsidP="002266CA">
      <w:pPr>
        <w:rPr>
          <w:rFonts w:cstheme="minorHAnsi"/>
        </w:rPr>
      </w:pPr>
    </w:p>
    <w:p w14:paraId="53628732" w14:textId="77777777" w:rsidR="002266CA" w:rsidRPr="0093386F" w:rsidRDefault="002266CA" w:rsidP="002266CA">
      <w:pPr>
        <w:spacing w:line="480" w:lineRule="auto"/>
        <w:rPr>
          <w:rFonts w:cstheme="minorHAnsi"/>
        </w:rPr>
      </w:pPr>
      <w:r w:rsidRPr="0093386F">
        <w:rPr>
          <w:rFonts w:cstheme="minorHAnsi"/>
          <w:noProof/>
        </w:rPr>
        <w:drawing>
          <wp:anchor distT="0" distB="0" distL="114300" distR="114300" simplePos="0" relativeHeight="251658240" behindDoc="0" locked="0" layoutInCell="1" allowOverlap="1" wp14:anchorId="6E9C9F2D" wp14:editId="099363A8">
            <wp:simplePos x="0" y="0"/>
            <wp:positionH relativeFrom="column">
              <wp:posOffset>1060450</wp:posOffset>
            </wp:positionH>
            <wp:positionV relativeFrom="paragraph">
              <wp:posOffset>2743200</wp:posOffset>
            </wp:positionV>
            <wp:extent cx="3460750" cy="2223770"/>
            <wp:effectExtent l="0" t="0" r="635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60750" cy="2223770"/>
                    </a:xfrm>
                    <a:prstGeom prst="rect">
                      <a:avLst/>
                    </a:prstGeom>
                    <a:noFill/>
                  </pic:spPr>
                </pic:pic>
              </a:graphicData>
            </a:graphic>
            <wp14:sizeRelH relativeFrom="page">
              <wp14:pctWidth>0</wp14:pctWidth>
            </wp14:sizeRelH>
            <wp14:sizeRelV relativeFrom="page">
              <wp14:pctHeight>0</wp14:pctHeight>
            </wp14:sizeRelV>
          </wp:anchor>
        </w:drawing>
      </w:r>
      <w:r w:rsidRPr="0093386F">
        <w:rPr>
          <w:rFonts w:cstheme="minorHAnsi"/>
        </w:rPr>
        <w:t>Semiotics encompasses how humans as a society interpret the world around them through images and text. In his essay The World of Wrestling, Barthes states that to the public at large “What matters is not what it thinks but what it sees.” (Barthes, 1972, p.13), relating to the idea that images fuel our perceptions far beyond the way we actively acknowledge. This is further reinforced through advertisements, which strive to subconsciously appeal to their audience to push their agenda. “The way we see things is affected by what we know or what we believe” (Berger, 2008, p.5) and such, by manipulating what we believe, companies are able to directly alter our perspectives. They do so through clever use of the aspects of semiotics.</w:t>
      </w:r>
      <w:r w:rsidRPr="0093386F">
        <w:rPr>
          <w:rFonts w:cstheme="minorHAnsi"/>
          <w:noProof/>
        </w:rPr>
        <w:t xml:space="preserve"> </w:t>
      </w:r>
    </w:p>
    <w:p w14:paraId="05E976B7" w14:textId="77777777" w:rsidR="002266CA" w:rsidRPr="0093386F" w:rsidRDefault="002266CA" w:rsidP="002266CA">
      <w:pPr>
        <w:spacing w:line="480" w:lineRule="auto"/>
        <w:rPr>
          <w:rFonts w:cstheme="minorHAnsi"/>
        </w:rPr>
      </w:pPr>
      <w:r w:rsidRPr="0093386F">
        <w:rPr>
          <w:rFonts w:cstheme="minorHAnsi"/>
          <w:noProof/>
        </w:rPr>
        <mc:AlternateContent>
          <mc:Choice Requires="wps">
            <w:drawing>
              <wp:anchor distT="0" distB="0" distL="114300" distR="114300" simplePos="0" relativeHeight="251656192" behindDoc="0" locked="0" layoutInCell="1" allowOverlap="1" wp14:anchorId="7662E37E" wp14:editId="4ABE5335">
                <wp:simplePos x="0" y="0"/>
                <wp:positionH relativeFrom="column">
                  <wp:posOffset>647700</wp:posOffset>
                </wp:positionH>
                <wp:positionV relativeFrom="paragraph">
                  <wp:posOffset>2154555</wp:posOffset>
                </wp:positionV>
                <wp:extent cx="5010150" cy="37465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5010150" cy="374650"/>
                        </a:xfrm>
                        <a:prstGeom prst="rect">
                          <a:avLst/>
                        </a:prstGeom>
                        <a:noFill/>
                        <a:ln w="6350">
                          <a:noFill/>
                        </a:ln>
                      </wps:spPr>
                      <wps:txbx>
                        <w:txbxContent>
                          <w:p w14:paraId="531CA495" w14:textId="77777777" w:rsidR="002266CA" w:rsidRPr="006112CF" w:rsidRDefault="002266CA" w:rsidP="002266CA">
                            <w:pPr>
                              <w:rPr>
                                <w:i/>
                                <w:iCs/>
                              </w:rPr>
                            </w:pPr>
                            <w:r w:rsidRPr="006112CF">
                              <w:rPr>
                                <w:i/>
                                <w:iCs/>
                              </w:rPr>
                              <w:t>Fig.1</w:t>
                            </w:r>
                            <w:r w:rsidRPr="006112CF">
                              <w:t>:</w:t>
                            </w:r>
                            <w:r>
                              <w:t xml:space="preserve"> </w:t>
                            </w:r>
                            <w:r w:rsidRPr="004461D8">
                              <w:rPr>
                                <w:i/>
                                <w:iCs/>
                              </w:rPr>
                              <w:t>Life is easier on iPhone</w:t>
                            </w:r>
                            <w:r>
                              <w:rPr>
                                <w:i/>
                                <w:iCs/>
                              </w:rPr>
                              <w:t>,</w:t>
                            </w:r>
                            <w:r>
                              <w:t xml:space="preserve"> Apple advertising campaign,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62E37E" id="_x0000_t202" coordsize="21600,21600" o:spt="202" path="m,l,21600r21600,l21600,xe">
                <v:stroke joinstyle="miter"/>
                <v:path gradientshapeok="t" o:connecttype="rect"/>
              </v:shapetype>
              <v:shape id="Text Box 2" o:spid="_x0000_s1026" type="#_x0000_t202" style="position:absolute;margin-left:51pt;margin-top:169.65pt;width:394.5pt;height:29.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" filled="f" stroked="f" strokeweight=".5pt">
                <v:textbox>
                  <w:txbxContent>
                    <w:p w14:paraId="531CA495" w14:textId="77777777" w:rsidR="002266CA" w:rsidRPr="006112CF" w:rsidRDefault="002266CA" w:rsidP="002266CA">
                      <w:pPr>
                        <w:rPr>
                          <w:i/>
                          <w:iCs/>
                        </w:rPr>
                      </w:pPr>
                      <w:r w:rsidRPr="006112CF">
                        <w:rPr>
                          <w:i/>
                          <w:iCs/>
                        </w:rPr>
                        <w:t>Fig.1</w:t>
                      </w:r>
                      <w:r w:rsidRPr="006112CF">
                        <w:t>:</w:t>
                      </w:r>
                      <w:r>
                        <w:t xml:space="preserve"> </w:t>
                      </w:r>
                      <w:r w:rsidRPr="004461D8">
                        <w:rPr>
                          <w:i/>
                          <w:iCs/>
                        </w:rPr>
                        <w:t>Life is easier on iPhone</w:t>
                      </w:r>
                      <w:r>
                        <w:rPr>
                          <w:i/>
                          <w:iCs/>
                        </w:rPr>
                        <w:t>,</w:t>
                      </w:r>
                      <w:r>
                        <w:t xml:space="preserve"> Apple advertising campaign, 2017</w:t>
                      </w:r>
                    </w:p>
                  </w:txbxContent>
                </v:textbox>
              </v:shape>
            </w:pict>
          </mc:Fallback>
        </mc:AlternateContent>
      </w:r>
    </w:p>
    <w:p w14:paraId="687BED05" w14:textId="77777777" w:rsidR="002266CA" w:rsidRPr="0093386F" w:rsidRDefault="002266CA" w:rsidP="002266CA">
      <w:pPr>
        <w:spacing w:line="480" w:lineRule="auto"/>
        <w:rPr>
          <w:rFonts w:cstheme="minorHAnsi"/>
        </w:rPr>
      </w:pPr>
      <w:r w:rsidRPr="0093386F">
        <w:rPr>
          <w:rFonts w:cstheme="minorHAnsi"/>
        </w:rPr>
        <w:t xml:space="preserve">The relationship between a ‘signifier’ and a signified’ originated from Ferdinand de Saussure in his efforts to better understand the subtle nature of linguistics. In the advertisement for the iPhone, the signifier could be, for example, the blue background. At face value it is a gradient blue background, but with the insight of Saussure’s teachings one might infer otherwise. The blue signifies a calming feeling, as blue has held associations with loyalty, calmness and serenity. This in combination with the anchorage text displayed above the phone, creates a cohesive sign that ‘life is easier on iPhone’. Albeit subtle and mostly unrecognisable to the consumer, it strongly reinforces the message Apple is trying put across. </w:t>
      </w:r>
    </w:p>
    <w:p w14:paraId="7540CEE7" w14:textId="77777777" w:rsidR="002266CA" w:rsidRPr="0093386F" w:rsidRDefault="002266CA" w:rsidP="002266CA">
      <w:pPr>
        <w:spacing w:line="480" w:lineRule="auto"/>
        <w:rPr>
          <w:rFonts w:cstheme="minorHAnsi"/>
        </w:rPr>
      </w:pPr>
      <w:r w:rsidRPr="0093386F">
        <w:rPr>
          <w:rFonts w:cstheme="minorHAnsi"/>
        </w:rPr>
        <w:lastRenderedPageBreak/>
        <w:t>Another signifier is the anchorage text itself, simply laid out in the middle of the image, paralleling the phone. The Hierarchy of text automatically draws the eye to the statement, which is memorable and easy to read. The use of the word ‘life’ also implies that those who use an iPhone simply lead better lifestyles by default, because they own an Apple product over any other brand.</w:t>
      </w:r>
    </w:p>
    <w:p w14:paraId="524E57F2" w14:textId="77777777" w:rsidR="002266CA" w:rsidRPr="0093386F" w:rsidRDefault="002266CA" w:rsidP="002266CA">
      <w:pPr>
        <w:spacing w:line="480" w:lineRule="auto"/>
        <w:rPr>
          <w:rFonts w:cstheme="minorHAnsi"/>
        </w:rPr>
      </w:pPr>
      <w:r w:rsidRPr="0093386F">
        <w:rPr>
          <w:rFonts w:cstheme="minorHAnsi"/>
        </w:rPr>
        <w:t xml:space="preserve">The image of the phone itself is perhaps the most significant part of the whole advertisement as it is the embodiment of the aforementioned ‘easier’. The lit-up screen lends itself to the subheading ‘And that starts as soon as you turn it on’, suggesting that achieving a serene lifestyle is as simple as turning on the device. Furthermore, it appears almost as if the displayed text is a projection from the screen, which is mostly tilted away from the viewer. This signifies Apple using premeditated concepts, such as the dominance of Apple products in the populous, to further the idea of comfort and knowing, as the consumer does not need to be concerned about a massive change in GUI but can gain a better phone with the same, trusted aspects of what they love. </w:t>
      </w:r>
    </w:p>
    <w:p w14:paraId="2290CBA3" w14:textId="77777777" w:rsidR="002266CA" w:rsidRPr="0093386F" w:rsidRDefault="002266CA" w:rsidP="002266CA">
      <w:pPr>
        <w:spacing w:line="480" w:lineRule="auto"/>
        <w:rPr>
          <w:rFonts w:cstheme="minorHAnsi"/>
        </w:rPr>
      </w:pPr>
      <w:r w:rsidRPr="0093386F">
        <w:rPr>
          <w:rFonts w:cstheme="minorHAnsi"/>
        </w:rPr>
        <w:t xml:space="preserve">In conclusion, this simple advertisement, upon further dissection, displays implicit references to ease of use and life, subliminally suggesting that the Apple user experience is far superior in comparison. That message is achieved through the use of semiotics in the chosen layout and colours of the advertisement, designed to passively encourage the viewers to switch to the ‘better’ option if they’re not a customer yet. </w:t>
      </w:r>
    </w:p>
    <w:p w14:paraId="27E0F532" w14:textId="77777777" w:rsidR="002266CA" w:rsidRPr="0093386F" w:rsidRDefault="002266CA" w:rsidP="002266CA">
      <w:pPr>
        <w:rPr>
          <w:rFonts w:cstheme="minorHAnsi"/>
        </w:rPr>
      </w:pPr>
    </w:p>
    <w:p w14:paraId="7C2B55DA" w14:textId="77777777" w:rsidR="002266CA" w:rsidRPr="0093386F" w:rsidRDefault="002266CA" w:rsidP="002266CA">
      <w:pPr>
        <w:rPr>
          <w:rFonts w:cstheme="minorHAnsi"/>
        </w:rPr>
      </w:pPr>
    </w:p>
    <w:p w14:paraId="25899278" w14:textId="77777777" w:rsidR="002266CA" w:rsidRPr="0093386F" w:rsidRDefault="002266CA" w:rsidP="002266CA">
      <w:pPr>
        <w:pStyle w:val="ListParagraph"/>
        <w:ind w:left="1260"/>
        <w:rPr>
          <w:rFonts w:cstheme="minorHAnsi"/>
        </w:rPr>
      </w:pPr>
    </w:p>
    <w:p w14:paraId="29C4CC41" w14:textId="77777777" w:rsidR="002266CA" w:rsidRPr="0093386F" w:rsidRDefault="002266CA" w:rsidP="002266CA">
      <w:pPr>
        <w:pStyle w:val="ListParagraph"/>
        <w:ind w:left="1260"/>
        <w:rPr>
          <w:rFonts w:cstheme="minorHAnsi"/>
        </w:rPr>
      </w:pPr>
    </w:p>
    <w:p w14:paraId="7DDC981A" w14:textId="77777777" w:rsidR="002266CA" w:rsidRPr="0093386F" w:rsidRDefault="002266CA" w:rsidP="002266CA">
      <w:pPr>
        <w:pStyle w:val="ListParagraph"/>
        <w:ind w:left="1260"/>
        <w:rPr>
          <w:rFonts w:cstheme="minorHAnsi"/>
        </w:rPr>
      </w:pPr>
    </w:p>
    <w:p w14:paraId="12C40A05" w14:textId="77777777" w:rsidR="002266CA" w:rsidRPr="0093386F" w:rsidRDefault="002266CA" w:rsidP="002266CA">
      <w:pPr>
        <w:pStyle w:val="ListParagraph"/>
        <w:ind w:left="1260"/>
        <w:rPr>
          <w:rFonts w:cstheme="minorHAnsi"/>
        </w:rPr>
      </w:pPr>
    </w:p>
    <w:p w14:paraId="05C11CF0" w14:textId="77777777" w:rsidR="002266CA" w:rsidRPr="0093386F" w:rsidRDefault="002266CA" w:rsidP="002266CA">
      <w:pPr>
        <w:pStyle w:val="ListParagraph"/>
        <w:ind w:left="1260"/>
        <w:rPr>
          <w:rFonts w:cstheme="minorHAnsi"/>
        </w:rPr>
      </w:pPr>
    </w:p>
    <w:p w14:paraId="5C7FE2BA" w14:textId="77777777" w:rsidR="002266CA" w:rsidRPr="0093386F" w:rsidRDefault="002266CA" w:rsidP="002266CA">
      <w:pPr>
        <w:pStyle w:val="ListParagraph"/>
        <w:ind w:left="1260"/>
        <w:rPr>
          <w:rFonts w:cstheme="minorHAnsi"/>
        </w:rPr>
      </w:pPr>
    </w:p>
    <w:p w14:paraId="3129D49C" w14:textId="77777777" w:rsidR="002266CA" w:rsidRPr="0093386F" w:rsidRDefault="002266CA" w:rsidP="002266CA">
      <w:pPr>
        <w:pStyle w:val="ListParagraph"/>
        <w:ind w:left="1260"/>
        <w:rPr>
          <w:rFonts w:cstheme="minorHAnsi"/>
        </w:rPr>
      </w:pPr>
    </w:p>
    <w:p w14:paraId="2CCE32C0" w14:textId="77777777" w:rsidR="002266CA" w:rsidRPr="0093386F" w:rsidRDefault="002266CA" w:rsidP="002266CA">
      <w:pPr>
        <w:pStyle w:val="ListParagraph"/>
        <w:ind w:left="1260"/>
        <w:rPr>
          <w:rFonts w:cstheme="minorHAnsi"/>
        </w:rPr>
      </w:pPr>
    </w:p>
    <w:p w14:paraId="7D7DAD90" w14:textId="77777777" w:rsidR="002266CA" w:rsidRPr="0093386F" w:rsidRDefault="002266CA" w:rsidP="002266CA">
      <w:pPr>
        <w:pStyle w:val="ListParagraph"/>
        <w:ind w:left="1260"/>
        <w:rPr>
          <w:rFonts w:cstheme="minorHAnsi"/>
        </w:rPr>
      </w:pPr>
    </w:p>
    <w:p w14:paraId="597867E5" w14:textId="77777777" w:rsidR="002266CA" w:rsidRPr="0093386F" w:rsidRDefault="002266CA" w:rsidP="002266CA">
      <w:pPr>
        <w:rPr>
          <w:rFonts w:cstheme="minorHAnsi"/>
        </w:rPr>
      </w:pPr>
    </w:p>
    <w:p w14:paraId="7B369C52" w14:textId="77777777" w:rsidR="002266CA" w:rsidRPr="0093386F" w:rsidRDefault="002266CA" w:rsidP="002266CA">
      <w:pPr>
        <w:rPr>
          <w:rFonts w:cstheme="minorHAnsi"/>
          <w:b/>
          <w:bCs/>
        </w:rPr>
      </w:pPr>
      <w:r w:rsidRPr="0093386F">
        <w:rPr>
          <w:rFonts w:cstheme="minorHAnsi"/>
          <w:b/>
          <w:bCs/>
        </w:rPr>
        <w:lastRenderedPageBreak/>
        <w:t>Bibliography</w:t>
      </w:r>
    </w:p>
    <w:p w14:paraId="7917F7B6" w14:textId="77777777" w:rsidR="002266CA" w:rsidRPr="0093386F" w:rsidRDefault="002266CA" w:rsidP="002266CA">
      <w:pPr>
        <w:rPr>
          <w:rFonts w:cstheme="minorHAnsi"/>
          <w:b/>
          <w:bCs/>
        </w:rPr>
      </w:pPr>
      <w:r w:rsidRPr="0093386F">
        <w:rPr>
          <w:rFonts w:cstheme="minorHAnsi"/>
        </w:rPr>
        <w:t xml:space="preserve">Barthes, R (1957) Mythologies (Selected and Translated by Anette Lavers) New York: The </w:t>
      </w:r>
      <w:proofErr w:type="spellStart"/>
      <w:r w:rsidRPr="0093386F">
        <w:rPr>
          <w:rFonts w:cstheme="minorHAnsi"/>
        </w:rPr>
        <w:t>Noonsday</w:t>
      </w:r>
      <w:proofErr w:type="spellEnd"/>
      <w:r w:rsidRPr="0093386F">
        <w:rPr>
          <w:rFonts w:cstheme="minorHAnsi"/>
        </w:rPr>
        <w:t xml:space="preserve"> Press, </w:t>
      </w:r>
    </w:p>
    <w:p w14:paraId="2787001F" w14:textId="77777777" w:rsidR="002266CA" w:rsidRPr="0093386F" w:rsidRDefault="002266CA" w:rsidP="002266CA">
      <w:pPr>
        <w:rPr>
          <w:rFonts w:cstheme="minorHAnsi"/>
        </w:rPr>
      </w:pPr>
      <w:r w:rsidRPr="0093386F">
        <w:rPr>
          <w:rFonts w:cstheme="minorHAnsi"/>
        </w:rPr>
        <w:t>Berger, J (2008) Ways of Seeing. London, Penguin.</w:t>
      </w:r>
    </w:p>
    <w:p w14:paraId="011C7A9C" w14:textId="77777777" w:rsidR="002266CA" w:rsidRPr="0093386F" w:rsidRDefault="002266CA" w:rsidP="002266CA">
      <w:pPr>
        <w:spacing w:after="0"/>
        <w:rPr>
          <w:rFonts w:cstheme="minorHAnsi"/>
        </w:rPr>
      </w:pPr>
      <w:r w:rsidRPr="0093386F">
        <w:rPr>
          <w:rFonts w:cstheme="minorHAnsi"/>
        </w:rPr>
        <w:t xml:space="preserve">Chandler, D (1994) Semiotics for Beginners   </w:t>
      </w:r>
      <w:bookmarkStart w:id="1" w:name="_Hlk92131146"/>
    </w:p>
    <w:bookmarkEnd w:id="1"/>
    <w:p w14:paraId="3C9861E1" w14:textId="77777777" w:rsidR="002266CA" w:rsidRPr="0093386F" w:rsidRDefault="002266CA" w:rsidP="002266CA">
      <w:pPr>
        <w:spacing w:after="0" w:line="240" w:lineRule="auto"/>
        <w:rPr>
          <w:rFonts w:cstheme="minorHAnsi"/>
        </w:rPr>
      </w:pPr>
    </w:p>
    <w:p w14:paraId="3CEFB8DA" w14:textId="77777777" w:rsidR="002266CA" w:rsidRPr="0093386F" w:rsidRDefault="002266CA" w:rsidP="002266CA">
      <w:pPr>
        <w:spacing w:after="0" w:line="240" w:lineRule="auto"/>
        <w:rPr>
          <w:rFonts w:cstheme="minorHAnsi"/>
        </w:rPr>
      </w:pPr>
      <w:proofErr w:type="spellStart"/>
      <w:r w:rsidRPr="0093386F">
        <w:rPr>
          <w:rFonts w:cstheme="minorHAnsi"/>
        </w:rPr>
        <w:t>Hasa</w:t>
      </w:r>
      <w:proofErr w:type="spellEnd"/>
      <w:r w:rsidRPr="0093386F">
        <w:rPr>
          <w:rFonts w:cstheme="minorHAnsi"/>
        </w:rPr>
        <w:t xml:space="preserve"> (2017) Difference Between Signifier and </w:t>
      </w:r>
      <w:proofErr w:type="gramStart"/>
      <w:r w:rsidRPr="0093386F">
        <w:rPr>
          <w:rFonts w:cstheme="minorHAnsi"/>
        </w:rPr>
        <w:t>Signified  Available</w:t>
      </w:r>
      <w:proofErr w:type="gramEnd"/>
      <w:r w:rsidRPr="0093386F">
        <w:rPr>
          <w:rFonts w:cstheme="minorHAnsi"/>
        </w:rPr>
        <w:t xml:space="preserve"> at </w:t>
      </w:r>
    </w:p>
    <w:p w14:paraId="53934668" w14:textId="77777777" w:rsidR="002266CA" w:rsidRPr="0093386F" w:rsidRDefault="002266CA" w:rsidP="002266CA">
      <w:pPr>
        <w:spacing w:after="0" w:line="240" w:lineRule="auto"/>
        <w:ind w:left="720"/>
        <w:rPr>
          <w:rFonts w:cstheme="minorHAnsi"/>
          <w:b/>
          <w:bCs/>
        </w:rPr>
      </w:pPr>
      <w:hyperlink r:id="rId10" w:anchor="gh" w:history="1">
        <w:r w:rsidRPr="0093386F">
          <w:rPr>
            <w:rStyle w:val="Hyperlink"/>
            <w:rFonts w:cstheme="minorHAnsi"/>
          </w:rPr>
          <w:t>https://www.differenc</w:t>
        </w:r>
        <w:r w:rsidRPr="0093386F">
          <w:rPr>
            <w:rStyle w:val="Hyperlink"/>
            <w:rFonts w:cstheme="minorHAnsi"/>
          </w:rPr>
          <w:t>e</w:t>
        </w:r>
        <w:r w:rsidRPr="0093386F">
          <w:rPr>
            <w:rStyle w:val="Hyperlink"/>
            <w:rFonts w:cstheme="minorHAnsi"/>
          </w:rPr>
          <w:t>between.com/difference-between-signifier-and-vs-signified/#gh</w:t>
        </w:r>
      </w:hyperlink>
      <w:r w:rsidRPr="0093386F">
        <w:rPr>
          <w:rFonts w:cstheme="minorHAnsi"/>
        </w:rPr>
        <w:t xml:space="preserve">  (Accessed: 1/11/ 2021)</w:t>
      </w:r>
    </w:p>
    <w:p w14:paraId="5400DAFF" w14:textId="77777777" w:rsidR="002266CA" w:rsidRPr="0093386F" w:rsidRDefault="002266CA" w:rsidP="002266CA">
      <w:pPr>
        <w:spacing w:after="0" w:line="240" w:lineRule="auto"/>
        <w:ind w:left="720"/>
        <w:rPr>
          <w:rFonts w:cstheme="minorHAnsi"/>
        </w:rPr>
      </w:pPr>
    </w:p>
    <w:p w14:paraId="3FDE52F6" w14:textId="77777777" w:rsidR="002266CA" w:rsidRPr="0093386F" w:rsidRDefault="002266CA" w:rsidP="002266CA">
      <w:pPr>
        <w:spacing w:after="0" w:line="240" w:lineRule="auto"/>
        <w:ind w:right="-680"/>
        <w:rPr>
          <w:rFonts w:cstheme="minorHAnsi"/>
        </w:rPr>
      </w:pPr>
    </w:p>
    <w:p w14:paraId="4F21778A" w14:textId="77777777" w:rsidR="002266CA" w:rsidRPr="0093386F" w:rsidRDefault="002266CA" w:rsidP="002266CA">
      <w:pPr>
        <w:spacing w:after="0" w:line="240" w:lineRule="auto"/>
        <w:ind w:right="-680"/>
        <w:rPr>
          <w:rFonts w:cstheme="minorHAnsi"/>
          <w:i/>
          <w:iCs/>
        </w:rPr>
      </w:pPr>
      <w:proofErr w:type="spellStart"/>
      <w:r w:rsidRPr="0093386F">
        <w:rPr>
          <w:rFonts w:cstheme="minorHAnsi"/>
        </w:rPr>
        <w:t>Kardes</w:t>
      </w:r>
      <w:proofErr w:type="spellEnd"/>
      <w:r w:rsidRPr="0093386F">
        <w:rPr>
          <w:rFonts w:cstheme="minorHAnsi"/>
        </w:rPr>
        <w:t>, F. R. (2005). The Psychology of Advertising. In T. C. Brock &amp; M. C. Green (Eds.), </w:t>
      </w:r>
      <w:r w:rsidRPr="0093386F">
        <w:rPr>
          <w:rFonts w:cstheme="minorHAnsi"/>
          <w:i/>
          <w:iCs/>
        </w:rPr>
        <w:t xml:space="preserve">Persuasion: </w:t>
      </w:r>
    </w:p>
    <w:p w14:paraId="51F3D09C" w14:textId="77777777" w:rsidR="002266CA" w:rsidRPr="0093386F" w:rsidRDefault="002266CA" w:rsidP="002266CA">
      <w:pPr>
        <w:spacing w:after="0" w:line="240" w:lineRule="auto"/>
        <w:ind w:right="-680"/>
        <w:rPr>
          <w:rFonts w:cstheme="minorHAnsi"/>
        </w:rPr>
      </w:pPr>
      <w:r w:rsidRPr="0093386F">
        <w:rPr>
          <w:rFonts w:cstheme="minorHAnsi"/>
          <w:i/>
          <w:iCs/>
        </w:rPr>
        <w:t xml:space="preserve">               Psychological insights and perspectives</w:t>
      </w:r>
      <w:r w:rsidRPr="0093386F">
        <w:rPr>
          <w:rFonts w:cstheme="minorHAnsi"/>
        </w:rPr>
        <w:t xml:space="preserve"> (pp. 281–303). Sage Publications, Inc.     </w:t>
      </w:r>
    </w:p>
    <w:p w14:paraId="1196C498" w14:textId="77777777" w:rsidR="002266CA" w:rsidRPr="0093386F" w:rsidRDefault="002266CA" w:rsidP="002266CA">
      <w:pPr>
        <w:spacing w:after="0"/>
        <w:ind w:left="720"/>
        <w:rPr>
          <w:rFonts w:cstheme="minorHAnsi"/>
          <w:b/>
          <w:bCs/>
        </w:rPr>
      </w:pPr>
      <w:r w:rsidRPr="0093386F">
        <w:rPr>
          <w:rFonts w:cstheme="minorHAnsi"/>
        </w:rPr>
        <w:t>(</w:t>
      </w:r>
      <w:hyperlink r:id="rId11" w:history="1">
        <w:r w:rsidRPr="0093386F">
          <w:rPr>
            <w:rStyle w:val="Hyperlink"/>
            <w:rFonts w:cstheme="minorHAnsi"/>
          </w:rPr>
          <w:t>https://psycnet.apa.org/record/2005-02095-012</w:t>
        </w:r>
      </w:hyperlink>
      <w:r w:rsidRPr="0093386F">
        <w:rPr>
          <w:rFonts w:cstheme="minorHAnsi"/>
        </w:rPr>
        <w:t>) (Accessed: 18/11/ 2021)</w:t>
      </w:r>
    </w:p>
    <w:p w14:paraId="6000BF7A" w14:textId="77777777" w:rsidR="002266CA" w:rsidRPr="0093386F" w:rsidRDefault="002266CA" w:rsidP="002266CA">
      <w:pPr>
        <w:spacing w:after="0" w:line="240" w:lineRule="auto"/>
        <w:ind w:left="720" w:right="-680"/>
        <w:rPr>
          <w:rFonts w:cstheme="minorHAnsi"/>
        </w:rPr>
      </w:pPr>
    </w:p>
    <w:p w14:paraId="17BE975F" w14:textId="77777777" w:rsidR="002266CA" w:rsidRPr="0093386F" w:rsidRDefault="002266CA" w:rsidP="002266CA">
      <w:pPr>
        <w:spacing w:after="0"/>
        <w:rPr>
          <w:rFonts w:cstheme="minorHAnsi"/>
        </w:rPr>
      </w:pPr>
      <w:r w:rsidRPr="0093386F">
        <w:rPr>
          <w:rFonts w:cstheme="minorHAnsi"/>
        </w:rPr>
        <w:t xml:space="preserve">Sutton, T.M., </w:t>
      </w:r>
      <w:proofErr w:type="spellStart"/>
      <w:r w:rsidRPr="0093386F">
        <w:rPr>
          <w:rFonts w:cstheme="minorHAnsi"/>
        </w:rPr>
        <w:t>Altarriba</w:t>
      </w:r>
      <w:proofErr w:type="spellEnd"/>
      <w:r w:rsidRPr="0093386F">
        <w:rPr>
          <w:rFonts w:cstheme="minorHAnsi"/>
        </w:rPr>
        <w:t xml:space="preserve">, J. </w:t>
      </w:r>
      <w:proofErr w:type="spellStart"/>
      <w:r w:rsidRPr="0093386F">
        <w:rPr>
          <w:rFonts w:cstheme="minorHAnsi"/>
        </w:rPr>
        <w:t>Color</w:t>
      </w:r>
      <w:proofErr w:type="spellEnd"/>
      <w:r w:rsidRPr="0093386F">
        <w:rPr>
          <w:rFonts w:cstheme="minorHAnsi"/>
        </w:rPr>
        <w:t xml:space="preserve"> associations to emotion and emotion-laden words: A collection of </w:t>
      </w:r>
    </w:p>
    <w:p w14:paraId="05C1C825" w14:textId="77777777" w:rsidR="002266CA" w:rsidRPr="0093386F" w:rsidRDefault="002266CA" w:rsidP="002266CA">
      <w:pPr>
        <w:spacing w:after="0"/>
        <w:ind w:left="720"/>
        <w:rPr>
          <w:rFonts w:cstheme="minorHAnsi"/>
          <w:b/>
          <w:bCs/>
        </w:rPr>
      </w:pPr>
      <w:r w:rsidRPr="0093386F">
        <w:rPr>
          <w:rFonts w:cstheme="minorHAnsi"/>
        </w:rPr>
        <w:t xml:space="preserve">norms for stimulus construction and selection. </w:t>
      </w:r>
      <w:proofErr w:type="spellStart"/>
      <w:r w:rsidRPr="0093386F">
        <w:rPr>
          <w:rFonts w:cstheme="minorHAnsi"/>
        </w:rPr>
        <w:t>Behav</w:t>
      </w:r>
      <w:proofErr w:type="spellEnd"/>
      <w:r w:rsidRPr="0093386F">
        <w:rPr>
          <w:rFonts w:cstheme="minorHAnsi"/>
        </w:rPr>
        <w:t xml:space="preserve"> Res 48, 686–728 (2016). </w:t>
      </w:r>
      <w:hyperlink r:id="rId12" w:history="1">
        <w:r w:rsidRPr="0093386F">
          <w:rPr>
            <w:rStyle w:val="Hyperlink"/>
            <w:rFonts w:cstheme="minorHAnsi"/>
          </w:rPr>
          <w:t>https://doi.org/10.3758/s13428-015-0598-8</w:t>
        </w:r>
      </w:hyperlink>
      <w:r w:rsidRPr="0093386F">
        <w:rPr>
          <w:rFonts w:cstheme="minorHAnsi"/>
        </w:rPr>
        <w:t xml:space="preserve"> (Accessed: 1/11/ 2021)</w:t>
      </w:r>
    </w:p>
    <w:p w14:paraId="7627E27E" w14:textId="77777777" w:rsidR="002266CA" w:rsidRPr="0093386F" w:rsidRDefault="002266CA" w:rsidP="002266CA">
      <w:pPr>
        <w:spacing w:after="0"/>
        <w:ind w:left="720"/>
        <w:rPr>
          <w:rFonts w:cstheme="minorHAnsi"/>
        </w:rPr>
      </w:pPr>
    </w:p>
    <w:p w14:paraId="7328FEAC" w14:textId="77777777" w:rsidR="002266CA" w:rsidRPr="0093386F" w:rsidRDefault="002266CA" w:rsidP="002266CA">
      <w:pPr>
        <w:rPr>
          <w:rFonts w:cstheme="minorHAnsi"/>
        </w:rPr>
      </w:pPr>
    </w:p>
    <w:p w14:paraId="06BEF2EA" w14:textId="77777777" w:rsidR="002266CA" w:rsidRPr="0093386F" w:rsidRDefault="002266CA" w:rsidP="002266CA">
      <w:pPr>
        <w:rPr>
          <w:rFonts w:cstheme="minorHAnsi"/>
          <w:b/>
          <w:bCs/>
        </w:rPr>
      </w:pPr>
    </w:p>
    <w:p w14:paraId="6679BA2C" w14:textId="77777777" w:rsidR="002266CA" w:rsidRPr="0093386F" w:rsidRDefault="002266CA" w:rsidP="002266CA">
      <w:pPr>
        <w:rPr>
          <w:rFonts w:cstheme="minorHAnsi"/>
          <w:b/>
          <w:bCs/>
        </w:rPr>
      </w:pPr>
      <w:r w:rsidRPr="0093386F">
        <w:rPr>
          <w:rFonts w:cstheme="minorHAnsi"/>
          <w:b/>
          <w:bCs/>
        </w:rPr>
        <w:t xml:space="preserve">List of Figures </w:t>
      </w:r>
    </w:p>
    <w:p w14:paraId="66E8088B" w14:textId="77777777" w:rsidR="002266CA" w:rsidRPr="0093386F" w:rsidRDefault="002266CA" w:rsidP="002266CA">
      <w:pPr>
        <w:spacing w:after="0"/>
        <w:ind w:left="720"/>
        <w:rPr>
          <w:rFonts w:cstheme="minorHAnsi"/>
          <w:b/>
          <w:bCs/>
        </w:rPr>
      </w:pPr>
      <w:bookmarkStart w:id="2" w:name="_Hlk88153986"/>
      <w:r w:rsidRPr="0093386F">
        <w:rPr>
          <w:rFonts w:cstheme="minorHAnsi"/>
        </w:rPr>
        <w:t xml:space="preserve">Figure 1: </w:t>
      </w:r>
      <w:r w:rsidRPr="0093386F">
        <w:rPr>
          <w:rFonts w:cstheme="minorHAnsi"/>
          <w:i/>
          <w:iCs/>
        </w:rPr>
        <w:t>Life is easier on iPhone,</w:t>
      </w:r>
      <w:r w:rsidRPr="0093386F">
        <w:rPr>
          <w:rFonts w:cstheme="minorHAnsi"/>
        </w:rPr>
        <w:t xml:space="preserve"> Apple advertising campaign, 2017</w:t>
      </w:r>
      <w:bookmarkEnd w:id="2"/>
      <w:r w:rsidRPr="0093386F">
        <w:rPr>
          <w:rFonts w:cstheme="minorHAnsi"/>
        </w:rPr>
        <w:t xml:space="preserve">, Accessed: </w:t>
      </w:r>
      <w:hyperlink r:id="rId13" w:history="1">
        <w:r w:rsidRPr="0093386F">
          <w:rPr>
            <w:rStyle w:val="Hyperlink"/>
            <w:rFonts w:cstheme="minorHAnsi"/>
          </w:rPr>
          <w:t>https://www.theapplepost.com/2018/04/23/apple-shares-two-new-lifes-easier-on-iphone-ads/</w:t>
        </w:r>
      </w:hyperlink>
      <w:r w:rsidRPr="0093386F">
        <w:rPr>
          <w:rFonts w:cstheme="minorHAnsi"/>
        </w:rPr>
        <w:t xml:space="preserve"> (Accessed: 1/11/ 2021)</w:t>
      </w:r>
    </w:p>
    <w:p w14:paraId="4E8FD8A1" w14:textId="77777777" w:rsidR="002266CA" w:rsidRPr="0093386F" w:rsidRDefault="002266CA" w:rsidP="00011066">
      <w:pPr>
        <w:rPr>
          <w:rFonts w:cstheme="minorHAnsi"/>
          <w:b/>
          <w:bCs/>
          <w:u w:val="single"/>
        </w:rPr>
      </w:pPr>
    </w:p>
    <w:p w14:paraId="38D35EF0" w14:textId="77777777" w:rsidR="007F7511" w:rsidRPr="0093386F" w:rsidRDefault="007F7511" w:rsidP="00011066">
      <w:pPr>
        <w:rPr>
          <w:rFonts w:cstheme="minorHAnsi"/>
          <w:b/>
          <w:bCs/>
          <w:u w:val="single"/>
        </w:rPr>
      </w:pPr>
    </w:p>
    <w:p w14:paraId="0689A076" w14:textId="77777777" w:rsidR="007F7511" w:rsidRPr="0093386F" w:rsidRDefault="007F7511" w:rsidP="00011066">
      <w:pPr>
        <w:rPr>
          <w:rFonts w:cstheme="minorHAnsi"/>
          <w:b/>
          <w:bCs/>
          <w:u w:val="single"/>
        </w:rPr>
      </w:pPr>
    </w:p>
    <w:p w14:paraId="14E3FB63" w14:textId="77777777" w:rsidR="007F7511" w:rsidRPr="0093386F" w:rsidRDefault="007F7511" w:rsidP="00011066">
      <w:pPr>
        <w:rPr>
          <w:rFonts w:cstheme="minorHAnsi"/>
          <w:b/>
          <w:bCs/>
          <w:u w:val="single"/>
        </w:rPr>
      </w:pPr>
    </w:p>
    <w:p w14:paraId="057627BA" w14:textId="77777777" w:rsidR="007F7511" w:rsidRPr="0093386F" w:rsidRDefault="007F7511" w:rsidP="00011066">
      <w:pPr>
        <w:rPr>
          <w:rFonts w:cstheme="minorHAnsi"/>
          <w:b/>
          <w:bCs/>
          <w:u w:val="single"/>
        </w:rPr>
      </w:pPr>
    </w:p>
    <w:p w14:paraId="1EC2C64A" w14:textId="77777777" w:rsidR="007F7511" w:rsidRPr="0093386F" w:rsidRDefault="007F7511" w:rsidP="00011066">
      <w:pPr>
        <w:rPr>
          <w:rFonts w:cstheme="minorHAnsi"/>
          <w:b/>
          <w:bCs/>
          <w:u w:val="single"/>
        </w:rPr>
      </w:pPr>
    </w:p>
    <w:p w14:paraId="29746079" w14:textId="77777777" w:rsidR="007F7511" w:rsidRPr="0093386F" w:rsidRDefault="007F7511" w:rsidP="00011066">
      <w:pPr>
        <w:rPr>
          <w:rFonts w:cstheme="minorHAnsi"/>
          <w:b/>
          <w:bCs/>
          <w:u w:val="single"/>
        </w:rPr>
      </w:pPr>
    </w:p>
    <w:p w14:paraId="232AD299" w14:textId="77777777" w:rsidR="007F7511" w:rsidRPr="0093386F" w:rsidRDefault="007F7511" w:rsidP="00011066">
      <w:pPr>
        <w:rPr>
          <w:rFonts w:cstheme="minorHAnsi"/>
          <w:b/>
          <w:bCs/>
          <w:u w:val="single"/>
        </w:rPr>
      </w:pPr>
    </w:p>
    <w:p w14:paraId="2AF0D4B5" w14:textId="77777777" w:rsidR="007F7511" w:rsidRPr="0093386F" w:rsidRDefault="007F7511" w:rsidP="00011066">
      <w:pPr>
        <w:rPr>
          <w:rFonts w:cstheme="minorHAnsi"/>
          <w:b/>
          <w:bCs/>
          <w:u w:val="single"/>
        </w:rPr>
      </w:pPr>
    </w:p>
    <w:p w14:paraId="12B5F5E2" w14:textId="77777777" w:rsidR="007F7511" w:rsidRPr="0093386F" w:rsidRDefault="007F7511" w:rsidP="00011066">
      <w:pPr>
        <w:rPr>
          <w:rFonts w:cstheme="minorHAnsi"/>
          <w:b/>
          <w:bCs/>
          <w:u w:val="single"/>
        </w:rPr>
      </w:pPr>
    </w:p>
    <w:p w14:paraId="374EFE0F" w14:textId="77777777" w:rsidR="007F7511" w:rsidRPr="0093386F" w:rsidRDefault="007F7511" w:rsidP="00011066">
      <w:pPr>
        <w:rPr>
          <w:rFonts w:cstheme="minorHAnsi"/>
          <w:b/>
          <w:bCs/>
          <w:u w:val="single"/>
        </w:rPr>
      </w:pPr>
    </w:p>
    <w:p w14:paraId="6B294A55" w14:textId="77777777" w:rsidR="007F7511" w:rsidRPr="0093386F" w:rsidRDefault="007F7511" w:rsidP="00011066">
      <w:pPr>
        <w:rPr>
          <w:rFonts w:cstheme="minorHAnsi"/>
          <w:b/>
          <w:bCs/>
          <w:u w:val="single"/>
        </w:rPr>
      </w:pPr>
    </w:p>
    <w:p w14:paraId="6A87E5DC" w14:textId="49984768" w:rsidR="00FA2FC7" w:rsidRPr="0093386F" w:rsidRDefault="00FA2FC7" w:rsidP="00011066">
      <w:pPr>
        <w:rPr>
          <w:rFonts w:cstheme="minorHAnsi"/>
          <w:b/>
          <w:bCs/>
          <w:u w:val="single"/>
        </w:rPr>
      </w:pPr>
    </w:p>
    <w:p w14:paraId="1C647842" w14:textId="77777777" w:rsidR="003E3ACD" w:rsidRPr="003E3ACD" w:rsidRDefault="003E3ACD" w:rsidP="003E3ACD">
      <w:pPr>
        <w:ind w:left="720" w:hanging="360"/>
        <w:rPr>
          <w:rFonts w:cstheme="minorHAnsi"/>
          <w:b/>
          <w:bCs/>
        </w:rPr>
      </w:pPr>
      <w:commentRangeStart w:id="3"/>
      <w:r w:rsidRPr="003E3ACD">
        <w:rPr>
          <w:rFonts w:cstheme="minorHAnsi"/>
          <w:b/>
          <w:bCs/>
        </w:rPr>
        <w:lastRenderedPageBreak/>
        <w:t>Manifesto</w:t>
      </w:r>
      <w:commentRangeEnd w:id="3"/>
      <w:r w:rsidRPr="003E3ACD">
        <w:rPr>
          <w:rFonts w:cstheme="minorHAnsi"/>
          <w:sz w:val="16"/>
          <w:szCs w:val="16"/>
        </w:rPr>
        <w:commentReference w:id="3"/>
      </w:r>
    </w:p>
    <w:p w14:paraId="55663D77" w14:textId="77777777" w:rsidR="003E3ACD" w:rsidRPr="003E3ACD" w:rsidRDefault="003E3ACD" w:rsidP="003E3ACD">
      <w:pPr>
        <w:numPr>
          <w:ilvl w:val="0"/>
          <w:numId w:val="2"/>
        </w:numPr>
        <w:spacing w:line="480" w:lineRule="auto"/>
        <w:contextualSpacing/>
        <w:rPr>
          <w:rFonts w:cstheme="minorHAnsi"/>
        </w:rPr>
      </w:pPr>
      <w:r w:rsidRPr="003E3ACD">
        <w:rPr>
          <w:rFonts w:cstheme="minorHAnsi"/>
        </w:rPr>
        <w:t>Taking breaks is important</w:t>
      </w:r>
    </w:p>
    <w:p w14:paraId="4E50CEA1" w14:textId="77777777" w:rsidR="003E3ACD" w:rsidRPr="003E3ACD" w:rsidRDefault="003E3ACD" w:rsidP="003E3ACD">
      <w:pPr>
        <w:numPr>
          <w:ilvl w:val="0"/>
          <w:numId w:val="2"/>
        </w:numPr>
        <w:spacing w:line="480" w:lineRule="auto"/>
        <w:contextualSpacing/>
        <w:rPr>
          <w:rFonts w:cstheme="minorHAnsi"/>
        </w:rPr>
      </w:pPr>
      <w:r w:rsidRPr="003E3ACD">
        <w:rPr>
          <w:rFonts w:cstheme="minorHAnsi"/>
        </w:rPr>
        <w:t xml:space="preserve">Making mistakes should not be ostracised </w:t>
      </w:r>
    </w:p>
    <w:p w14:paraId="0D13CC82" w14:textId="77777777" w:rsidR="003E3ACD" w:rsidRPr="003E3ACD" w:rsidRDefault="003E3ACD" w:rsidP="003E3ACD">
      <w:pPr>
        <w:numPr>
          <w:ilvl w:val="0"/>
          <w:numId w:val="2"/>
        </w:numPr>
        <w:spacing w:line="480" w:lineRule="auto"/>
        <w:contextualSpacing/>
        <w:rPr>
          <w:rFonts w:cstheme="minorHAnsi"/>
        </w:rPr>
      </w:pPr>
      <w:bookmarkStart w:id="4" w:name="_Hlk89717061"/>
      <w:r w:rsidRPr="003E3ACD">
        <w:rPr>
          <w:rFonts w:cstheme="minorHAnsi"/>
        </w:rPr>
        <w:t xml:space="preserve">Overly sophisticated language is completely unnecessary in an academic setting </w:t>
      </w:r>
    </w:p>
    <w:bookmarkEnd w:id="4"/>
    <w:p w14:paraId="4B995EC8" w14:textId="77777777" w:rsidR="003E3ACD" w:rsidRPr="003E3ACD" w:rsidRDefault="003E3ACD" w:rsidP="003E3ACD">
      <w:pPr>
        <w:numPr>
          <w:ilvl w:val="0"/>
          <w:numId w:val="2"/>
        </w:numPr>
        <w:spacing w:line="480" w:lineRule="auto"/>
        <w:contextualSpacing/>
        <w:rPr>
          <w:rFonts w:cstheme="minorHAnsi"/>
        </w:rPr>
      </w:pPr>
      <w:r w:rsidRPr="003E3ACD">
        <w:rPr>
          <w:rFonts w:cstheme="minorHAnsi"/>
        </w:rPr>
        <w:t>Achieving perfection from the get-go is nigh impossible and shouldn’t be the standard people hold themselves to as it will only lead to burnout and disappointment</w:t>
      </w:r>
    </w:p>
    <w:p w14:paraId="55D60A67" w14:textId="77777777" w:rsidR="003E3ACD" w:rsidRPr="003E3ACD" w:rsidRDefault="003E3ACD" w:rsidP="003E3ACD">
      <w:pPr>
        <w:numPr>
          <w:ilvl w:val="0"/>
          <w:numId w:val="2"/>
        </w:numPr>
        <w:spacing w:line="480" w:lineRule="auto"/>
        <w:contextualSpacing/>
        <w:rPr>
          <w:rFonts w:cstheme="minorHAnsi"/>
        </w:rPr>
      </w:pPr>
      <w:r w:rsidRPr="003E3ACD">
        <w:rPr>
          <w:rFonts w:cstheme="minorHAnsi"/>
        </w:rPr>
        <w:t>You never stop learning or developing your skills</w:t>
      </w:r>
    </w:p>
    <w:p w14:paraId="0F59F2E7" w14:textId="77777777" w:rsidR="003E3ACD" w:rsidRPr="003E3ACD" w:rsidRDefault="003E3ACD" w:rsidP="003E3ACD">
      <w:pPr>
        <w:numPr>
          <w:ilvl w:val="0"/>
          <w:numId w:val="2"/>
        </w:numPr>
        <w:spacing w:line="480" w:lineRule="auto"/>
        <w:contextualSpacing/>
        <w:rPr>
          <w:rFonts w:cstheme="minorHAnsi"/>
        </w:rPr>
      </w:pPr>
      <w:r w:rsidRPr="003E3ACD">
        <w:rPr>
          <w:rFonts w:cstheme="minorHAnsi"/>
        </w:rPr>
        <w:t xml:space="preserve">Comparing your work to </w:t>
      </w:r>
      <w:proofErr w:type="spellStart"/>
      <w:r w:rsidRPr="003E3ACD">
        <w:rPr>
          <w:rFonts w:cstheme="minorHAnsi"/>
        </w:rPr>
        <w:t>some one</w:t>
      </w:r>
      <w:proofErr w:type="spellEnd"/>
      <w:r w:rsidRPr="003E3ACD">
        <w:rPr>
          <w:rFonts w:cstheme="minorHAnsi"/>
        </w:rPr>
        <w:t xml:space="preserve"> else’s is not a constrictive means of evaluating the quality of said work and is mostly detrimental to the creative efforts</w:t>
      </w:r>
    </w:p>
    <w:p w14:paraId="08C84776" w14:textId="77777777" w:rsidR="003E3ACD" w:rsidRPr="003E3ACD" w:rsidRDefault="003E3ACD" w:rsidP="003E3ACD">
      <w:pPr>
        <w:numPr>
          <w:ilvl w:val="0"/>
          <w:numId w:val="2"/>
        </w:numPr>
        <w:spacing w:line="480" w:lineRule="auto"/>
        <w:contextualSpacing/>
        <w:rPr>
          <w:rFonts w:cstheme="minorHAnsi"/>
        </w:rPr>
      </w:pPr>
      <w:r w:rsidRPr="003E3ACD">
        <w:rPr>
          <w:rFonts w:cstheme="minorHAnsi"/>
        </w:rPr>
        <w:t>Staying in your comfort zone will not allow any opportunities for growth</w:t>
      </w:r>
    </w:p>
    <w:p w14:paraId="066A2E8C" w14:textId="77777777" w:rsidR="003E3ACD" w:rsidRPr="003E3ACD" w:rsidRDefault="003E3ACD" w:rsidP="003E3ACD">
      <w:pPr>
        <w:numPr>
          <w:ilvl w:val="0"/>
          <w:numId w:val="2"/>
        </w:numPr>
        <w:spacing w:line="480" w:lineRule="auto"/>
        <w:contextualSpacing/>
        <w:rPr>
          <w:rFonts w:cstheme="minorHAnsi"/>
        </w:rPr>
      </w:pPr>
      <w:r w:rsidRPr="003E3ACD">
        <w:rPr>
          <w:rFonts w:cstheme="minorHAnsi"/>
        </w:rPr>
        <w:t>Constructive Criticism and being able to reflect on your work is instrumental in a creative field</w:t>
      </w:r>
    </w:p>
    <w:p w14:paraId="32885893" w14:textId="77777777" w:rsidR="003E3ACD" w:rsidRPr="003E3ACD" w:rsidRDefault="003E3ACD" w:rsidP="003E3ACD">
      <w:pPr>
        <w:spacing w:line="480" w:lineRule="auto"/>
        <w:rPr>
          <w:rFonts w:cstheme="minorHAnsi"/>
          <w:color w:val="FF0000"/>
        </w:rPr>
      </w:pPr>
    </w:p>
    <w:p w14:paraId="33BABD38" w14:textId="77777777" w:rsidR="003E3ACD" w:rsidRPr="003E3ACD" w:rsidRDefault="003E3ACD" w:rsidP="003E3ACD">
      <w:pPr>
        <w:spacing w:line="480" w:lineRule="auto"/>
        <w:rPr>
          <w:rFonts w:cstheme="minorHAnsi"/>
        </w:rPr>
      </w:pPr>
    </w:p>
    <w:p w14:paraId="1DF9E191" w14:textId="77777777" w:rsidR="003E3ACD" w:rsidRPr="003E3ACD" w:rsidRDefault="003E3ACD" w:rsidP="003E3ACD">
      <w:pPr>
        <w:spacing w:line="480" w:lineRule="auto"/>
        <w:rPr>
          <w:rFonts w:cstheme="minorHAnsi"/>
        </w:rPr>
      </w:pPr>
    </w:p>
    <w:p w14:paraId="494F513F" w14:textId="77777777" w:rsidR="003E3ACD" w:rsidRPr="003E3ACD" w:rsidRDefault="003E3ACD" w:rsidP="003E3ACD">
      <w:pPr>
        <w:spacing w:line="480" w:lineRule="auto"/>
        <w:rPr>
          <w:rFonts w:cstheme="minorHAnsi"/>
          <w:b/>
          <w:bCs/>
        </w:rPr>
      </w:pPr>
      <w:r w:rsidRPr="003E3ACD">
        <w:rPr>
          <w:rFonts w:cstheme="minorHAnsi"/>
          <w:b/>
          <w:bCs/>
        </w:rPr>
        <w:t>2. Making mistakes should not be ostracized</w:t>
      </w:r>
    </w:p>
    <w:p w14:paraId="02ECB816" w14:textId="77777777" w:rsidR="003E3ACD" w:rsidRPr="003E3ACD" w:rsidRDefault="003E3ACD" w:rsidP="003E3ACD">
      <w:pPr>
        <w:spacing w:line="480" w:lineRule="auto"/>
        <w:rPr>
          <w:rFonts w:cstheme="minorHAnsi"/>
        </w:rPr>
      </w:pPr>
      <w:r w:rsidRPr="003E3ACD">
        <w:rPr>
          <w:rFonts w:cstheme="minorHAnsi"/>
        </w:rPr>
        <w:t xml:space="preserve">From a young age we are taught that making mistakes is inherently wrong and a habit we should do our best to eliminate. Mistakes are shamed and lead many individuals to fear the all-encompassing void that exists outside of their comfort zone. In the Annual Review of Psychology (2017), Janet Metcalfe writes that ‘error tolerance encourages students’ active, exploratory, generative engagement’, pointing out the wrongs in the age-old assumption that making a mistake is one of the worst things one can do in an academic setting. Though it is aimed primarily at younger students the message is equally as accurate when referring to any other aspect of learning.  As a society we’re overly cautious when it comes to our approach to mistakes. It hinders progress and discourages exploration of alternative ideas. Instead, Mistakes should be seen as stepping stones for </w:t>
      </w:r>
      <w:r w:rsidRPr="003E3ACD">
        <w:rPr>
          <w:rFonts w:cstheme="minorHAnsi"/>
        </w:rPr>
        <w:lastRenderedPageBreak/>
        <w:t>accomplishment and a positive force for improvement. (Swartz, R. 1976). Only in acknowledging that will we be able to progress.</w:t>
      </w:r>
    </w:p>
    <w:p w14:paraId="4E5ED3A5" w14:textId="77777777" w:rsidR="003E3ACD" w:rsidRPr="003E3ACD" w:rsidRDefault="003E3ACD" w:rsidP="003E3ACD">
      <w:pPr>
        <w:spacing w:line="480" w:lineRule="auto"/>
        <w:rPr>
          <w:rFonts w:cstheme="minorHAnsi"/>
        </w:rPr>
      </w:pPr>
    </w:p>
    <w:p w14:paraId="26EA4EDE" w14:textId="77777777" w:rsidR="003E3ACD" w:rsidRPr="003E3ACD" w:rsidRDefault="003E3ACD" w:rsidP="003E3ACD">
      <w:pPr>
        <w:spacing w:line="480" w:lineRule="auto"/>
        <w:rPr>
          <w:rFonts w:cstheme="minorHAnsi"/>
          <w:b/>
          <w:bCs/>
        </w:rPr>
      </w:pPr>
      <w:r w:rsidRPr="003E3ACD">
        <w:rPr>
          <w:rFonts w:cstheme="minorHAnsi"/>
          <w:b/>
          <w:bCs/>
        </w:rPr>
        <w:t xml:space="preserve">3.Overly sophisticated language is completely unnecessary in an academic setting </w:t>
      </w:r>
    </w:p>
    <w:p w14:paraId="05E050AD" w14:textId="77777777" w:rsidR="003E3ACD" w:rsidRPr="003E3ACD" w:rsidRDefault="003E3ACD" w:rsidP="003E3ACD">
      <w:pPr>
        <w:spacing w:line="480" w:lineRule="auto"/>
        <w:rPr>
          <w:rFonts w:cstheme="minorHAnsi"/>
        </w:rPr>
      </w:pPr>
      <w:r w:rsidRPr="003E3ACD">
        <w:rPr>
          <w:rFonts w:cstheme="minorHAnsi"/>
        </w:rPr>
        <w:t xml:space="preserve">In his book ‘Style: an anti-textbook’, Lanham introduces the idea of how prose is diluted and distorted by academic papers in an effort to flatter those who happen to be able to understand it. He speaks of Mystification for professional purposes and how it overly elaborates on things that could be explained in a much simpler manner and with many fewer words. Academic language poses a serious obstacle for language minority students and students from families of low socioeconomic status. The unnecessary embellishments and complex grammatical constructions make the content more difficult to understand than it rightfully should be by disrupting reading comprehension. (Snow, C 2010, p.450) There are few things more discouraging towards research and learning than not being able to understand the language the content it is written in. And more frustratingly, theoretically being able to understand the language at the level of a native speaker and still being evaded by the seemingly ‘concise’ ideas written out in scientific journals and texts held in high regard by the general public. </w:t>
      </w:r>
    </w:p>
    <w:p w14:paraId="0983AEE7" w14:textId="77777777" w:rsidR="003E3ACD" w:rsidRPr="003E3ACD" w:rsidRDefault="003E3ACD" w:rsidP="003E3ACD">
      <w:pPr>
        <w:spacing w:line="480" w:lineRule="auto"/>
        <w:rPr>
          <w:rFonts w:cstheme="minorHAnsi"/>
        </w:rPr>
      </w:pPr>
    </w:p>
    <w:p w14:paraId="1BD99449" w14:textId="77777777" w:rsidR="003E3ACD" w:rsidRPr="003E3ACD" w:rsidRDefault="003E3ACD" w:rsidP="003E3ACD">
      <w:pPr>
        <w:spacing w:line="480" w:lineRule="auto"/>
        <w:rPr>
          <w:rFonts w:cstheme="minorHAnsi"/>
          <w:b/>
          <w:bCs/>
        </w:rPr>
      </w:pPr>
    </w:p>
    <w:p w14:paraId="051A6920" w14:textId="77777777" w:rsidR="003E3ACD" w:rsidRPr="003E3ACD" w:rsidRDefault="003E3ACD" w:rsidP="003E3ACD">
      <w:pPr>
        <w:spacing w:line="480" w:lineRule="auto"/>
        <w:rPr>
          <w:rFonts w:cstheme="minorHAnsi"/>
          <w:b/>
          <w:bCs/>
        </w:rPr>
      </w:pPr>
      <w:r w:rsidRPr="003E3ACD">
        <w:rPr>
          <w:rFonts w:cstheme="minorHAnsi"/>
          <w:b/>
          <w:bCs/>
        </w:rPr>
        <w:t xml:space="preserve">7.Staying in your comfort zone will not allow any opportunities for growth </w:t>
      </w:r>
    </w:p>
    <w:p w14:paraId="613F915E" w14:textId="77777777" w:rsidR="003E3ACD" w:rsidRPr="003E3ACD" w:rsidRDefault="003E3ACD" w:rsidP="003E3ACD">
      <w:pPr>
        <w:spacing w:line="480" w:lineRule="auto"/>
        <w:rPr>
          <w:rFonts w:cstheme="minorHAnsi"/>
        </w:rPr>
      </w:pPr>
      <w:r w:rsidRPr="003E3ACD">
        <w:rPr>
          <w:rFonts w:cstheme="minorHAnsi"/>
        </w:rPr>
        <w:t xml:space="preserve">Creative thinking and problem solving are both an integral part of the process of design. Often, both are hindered by individuals refusing to step out of their metaphorical comfort zone. Exploration is an extremely important part developing ideas and without a variety of influences and styles, can fall short of its true purpose. It entirely too easy to find something we’re comfortable in and never challenge ourselves to learn new things because the tried-and-true methods simply feel more </w:t>
      </w:r>
      <w:r w:rsidRPr="003E3ACD">
        <w:rPr>
          <w:rFonts w:cstheme="minorHAnsi"/>
        </w:rPr>
        <w:lastRenderedPageBreak/>
        <w:t xml:space="preserve">comfortable. Without innovation, a design can become stale and detached, and perhaps worst of all uninteresting. Relying on one skillset and never straying into the unknown is unsustainable as eventually it is bound to become monotonous and repetitive. Even thinking ‘outside of the box’ becomes impossible when one refuses to relinquish the perspective that is most comfortable to them. There are only so many angles you can explore while rooted in one stationary place. </w:t>
      </w:r>
    </w:p>
    <w:p w14:paraId="5EB8AB72" w14:textId="77777777" w:rsidR="003E3ACD" w:rsidRPr="003E3ACD" w:rsidRDefault="003E3ACD" w:rsidP="003E3ACD">
      <w:pPr>
        <w:spacing w:line="480" w:lineRule="auto"/>
        <w:rPr>
          <w:rFonts w:cstheme="minorHAnsi"/>
        </w:rPr>
      </w:pPr>
    </w:p>
    <w:p w14:paraId="6D962E9F" w14:textId="77777777" w:rsidR="003E3ACD" w:rsidRPr="003E3ACD" w:rsidRDefault="003E3ACD" w:rsidP="003E3ACD">
      <w:pPr>
        <w:spacing w:line="480" w:lineRule="auto"/>
        <w:rPr>
          <w:rFonts w:cstheme="minorHAnsi"/>
        </w:rPr>
      </w:pPr>
    </w:p>
    <w:p w14:paraId="35876D6B" w14:textId="77777777" w:rsidR="003E3ACD" w:rsidRPr="003E3ACD" w:rsidRDefault="003E3ACD" w:rsidP="003E3ACD">
      <w:pPr>
        <w:spacing w:line="480" w:lineRule="auto"/>
        <w:rPr>
          <w:rFonts w:cstheme="minorHAnsi"/>
          <w:b/>
          <w:bCs/>
        </w:rPr>
      </w:pPr>
    </w:p>
    <w:p w14:paraId="277D6BD4" w14:textId="77777777" w:rsidR="003E3ACD" w:rsidRPr="003E3ACD" w:rsidRDefault="003E3ACD" w:rsidP="003E3ACD">
      <w:pPr>
        <w:spacing w:line="480" w:lineRule="auto"/>
        <w:rPr>
          <w:rFonts w:cstheme="minorHAnsi"/>
        </w:rPr>
      </w:pPr>
    </w:p>
    <w:p w14:paraId="119E6236" w14:textId="77777777" w:rsidR="003E3ACD" w:rsidRPr="003E3ACD" w:rsidRDefault="003E3ACD" w:rsidP="003E3ACD">
      <w:pPr>
        <w:spacing w:line="480" w:lineRule="auto"/>
        <w:rPr>
          <w:rFonts w:cstheme="minorHAnsi"/>
          <w:b/>
          <w:bCs/>
        </w:rPr>
      </w:pPr>
    </w:p>
    <w:p w14:paraId="042A5BF5" w14:textId="77777777" w:rsidR="003E3ACD" w:rsidRPr="003E3ACD" w:rsidRDefault="003E3ACD" w:rsidP="003E3ACD">
      <w:pPr>
        <w:spacing w:line="480" w:lineRule="auto"/>
        <w:rPr>
          <w:rFonts w:cstheme="minorHAnsi"/>
          <w:b/>
          <w:bCs/>
        </w:rPr>
      </w:pPr>
    </w:p>
    <w:p w14:paraId="6716DE05" w14:textId="77777777" w:rsidR="0093386F" w:rsidRPr="0093386F" w:rsidRDefault="0093386F" w:rsidP="003E3ACD">
      <w:pPr>
        <w:spacing w:line="480" w:lineRule="auto"/>
        <w:rPr>
          <w:rFonts w:cstheme="minorHAnsi"/>
          <w:b/>
          <w:bCs/>
        </w:rPr>
      </w:pPr>
    </w:p>
    <w:p w14:paraId="6B5302EC" w14:textId="77777777" w:rsidR="0093386F" w:rsidRPr="0093386F" w:rsidRDefault="0093386F" w:rsidP="003E3ACD">
      <w:pPr>
        <w:spacing w:line="480" w:lineRule="auto"/>
        <w:rPr>
          <w:rFonts w:cstheme="minorHAnsi"/>
          <w:b/>
          <w:bCs/>
        </w:rPr>
      </w:pPr>
    </w:p>
    <w:p w14:paraId="30E44A37" w14:textId="77777777" w:rsidR="0093386F" w:rsidRPr="0093386F" w:rsidRDefault="0093386F" w:rsidP="003E3ACD">
      <w:pPr>
        <w:spacing w:line="480" w:lineRule="auto"/>
        <w:rPr>
          <w:rFonts w:cstheme="minorHAnsi"/>
          <w:b/>
          <w:bCs/>
        </w:rPr>
      </w:pPr>
    </w:p>
    <w:p w14:paraId="36EEE129" w14:textId="77777777" w:rsidR="0093386F" w:rsidRPr="0093386F" w:rsidRDefault="0093386F" w:rsidP="003E3ACD">
      <w:pPr>
        <w:spacing w:line="480" w:lineRule="auto"/>
        <w:rPr>
          <w:rFonts w:cstheme="minorHAnsi"/>
          <w:b/>
          <w:bCs/>
        </w:rPr>
      </w:pPr>
    </w:p>
    <w:p w14:paraId="14A56207" w14:textId="77777777" w:rsidR="0093386F" w:rsidRPr="0093386F" w:rsidRDefault="0093386F" w:rsidP="003E3ACD">
      <w:pPr>
        <w:spacing w:line="480" w:lineRule="auto"/>
        <w:rPr>
          <w:rFonts w:cstheme="minorHAnsi"/>
          <w:b/>
          <w:bCs/>
        </w:rPr>
      </w:pPr>
    </w:p>
    <w:p w14:paraId="66056BE4" w14:textId="77777777" w:rsidR="0093386F" w:rsidRPr="0093386F" w:rsidRDefault="0093386F" w:rsidP="003E3ACD">
      <w:pPr>
        <w:spacing w:line="480" w:lineRule="auto"/>
        <w:rPr>
          <w:rFonts w:cstheme="minorHAnsi"/>
          <w:b/>
          <w:bCs/>
        </w:rPr>
      </w:pPr>
    </w:p>
    <w:p w14:paraId="6AA78884" w14:textId="77777777" w:rsidR="0093386F" w:rsidRPr="0093386F" w:rsidRDefault="0093386F" w:rsidP="003E3ACD">
      <w:pPr>
        <w:spacing w:line="480" w:lineRule="auto"/>
        <w:rPr>
          <w:rFonts w:cstheme="minorHAnsi"/>
          <w:b/>
          <w:bCs/>
        </w:rPr>
      </w:pPr>
    </w:p>
    <w:p w14:paraId="3652DA96" w14:textId="77777777" w:rsidR="0093386F" w:rsidRPr="0093386F" w:rsidRDefault="0093386F" w:rsidP="003E3ACD">
      <w:pPr>
        <w:spacing w:line="480" w:lineRule="auto"/>
        <w:rPr>
          <w:rFonts w:cstheme="minorHAnsi"/>
          <w:b/>
          <w:bCs/>
        </w:rPr>
      </w:pPr>
    </w:p>
    <w:p w14:paraId="2CD68305" w14:textId="77777777" w:rsidR="0093386F" w:rsidRPr="0093386F" w:rsidRDefault="0093386F" w:rsidP="003E3ACD">
      <w:pPr>
        <w:spacing w:line="480" w:lineRule="auto"/>
        <w:rPr>
          <w:rFonts w:cstheme="minorHAnsi"/>
          <w:b/>
          <w:bCs/>
        </w:rPr>
      </w:pPr>
    </w:p>
    <w:p w14:paraId="4041991F" w14:textId="77777777" w:rsidR="0093386F" w:rsidRPr="0093386F" w:rsidRDefault="0093386F" w:rsidP="003E3ACD">
      <w:pPr>
        <w:spacing w:line="480" w:lineRule="auto"/>
        <w:rPr>
          <w:rFonts w:cstheme="minorHAnsi"/>
          <w:b/>
          <w:bCs/>
        </w:rPr>
      </w:pPr>
    </w:p>
    <w:p w14:paraId="3F1A2E0F" w14:textId="3C6D1814" w:rsidR="003E3ACD" w:rsidRPr="003E3ACD" w:rsidRDefault="003E3ACD" w:rsidP="003E3ACD">
      <w:pPr>
        <w:spacing w:line="480" w:lineRule="auto"/>
        <w:rPr>
          <w:rFonts w:cstheme="minorHAnsi"/>
          <w:b/>
          <w:bCs/>
        </w:rPr>
      </w:pPr>
      <w:r w:rsidRPr="003E3ACD">
        <w:rPr>
          <w:rFonts w:cstheme="minorHAnsi"/>
          <w:b/>
          <w:bCs/>
        </w:rPr>
        <w:lastRenderedPageBreak/>
        <w:t>Bibliography</w:t>
      </w:r>
    </w:p>
    <w:p w14:paraId="6A65BC54" w14:textId="77777777" w:rsidR="003E3ACD" w:rsidRPr="003E3ACD" w:rsidRDefault="003E3ACD" w:rsidP="003E3ACD">
      <w:pPr>
        <w:spacing w:line="240" w:lineRule="auto"/>
        <w:rPr>
          <w:rFonts w:cstheme="minorHAnsi"/>
        </w:rPr>
      </w:pPr>
      <w:r w:rsidRPr="003E3ACD">
        <w:rPr>
          <w:rFonts w:cstheme="minorHAnsi"/>
        </w:rPr>
        <w:t>Clayton, V., 2015. </w:t>
      </w:r>
      <w:r w:rsidRPr="003E3ACD">
        <w:rPr>
          <w:rFonts w:cstheme="minorHAnsi"/>
          <w:i/>
          <w:iCs/>
        </w:rPr>
        <w:t>Why Is Academic Writing So Needlessly Complex?</w:t>
      </w:r>
      <w:r w:rsidRPr="003E3ACD">
        <w:rPr>
          <w:rFonts w:cstheme="minorHAnsi"/>
        </w:rPr>
        <w:t xml:space="preserve">. [online] The Atlantic. Available at: </w:t>
      </w:r>
      <w:hyperlink r:id="rId14" w:history="1">
        <w:r w:rsidRPr="003E3ACD">
          <w:rPr>
            <w:rFonts w:cstheme="minorHAnsi"/>
            <w:color w:val="0563C1" w:themeColor="hyperlink"/>
            <w:u w:val="single"/>
          </w:rPr>
          <w:t>https://www.theatlantic.com/education/a</w:t>
        </w:r>
        <w:r w:rsidRPr="003E3ACD">
          <w:rPr>
            <w:rFonts w:cstheme="minorHAnsi"/>
            <w:color w:val="0563C1" w:themeColor="hyperlink"/>
            <w:u w:val="single"/>
          </w:rPr>
          <w:t>r</w:t>
        </w:r>
        <w:r w:rsidRPr="003E3ACD">
          <w:rPr>
            <w:rFonts w:cstheme="minorHAnsi"/>
            <w:color w:val="0563C1" w:themeColor="hyperlink"/>
            <w:u w:val="single"/>
          </w:rPr>
          <w:t>chive/2015/10/complex-academic-writing/412255/</w:t>
        </w:r>
      </w:hyperlink>
      <w:r w:rsidRPr="003E3ACD">
        <w:rPr>
          <w:rFonts w:cstheme="minorHAnsi"/>
        </w:rPr>
        <w:t xml:space="preserve"> </w:t>
      </w:r>
      <w:bookmarkStart w:id="5" w:name="_Hlk92133051"/>
      <w:r w:rsidRPr="003E3ACD">
        <w:rPr>
          <w:rFonts w:cstheme="minorHAnsi"/>
        </w:rPr>
        <w:t>(Accessed 11/11/2021)</w:t>
      </w:r>
      <w:bookmarkEnd w:id="5"/>
    </w:p>
    <w:p w14:paraId="5BF6DC46" w14:textId="77777777" w:rsidR="003E3ACD" w:rsidRPr="003E3ACD" w:rsidRDefault="003E3ACD" w:rsidP="003E3ACD">
      <w:pPr>
        <w:spacing w:line="240" w:lineRule="auto"/>
        <w:rPr>
          <w:rFonts w:cstheme="minorHAnsi"/>
        </w:rPr>
      </w:pPr>
      <w:r w:rsidRPr="003E3ACD">
        <w:rPr>
          <w:rFonts w:cstheme="minorHAnsi"/>
        </w:rPr>
        <w:t xml:space="preserve">FISHER, T. (2016). In Designing Our Way to a Better World (pp. 35–45). University of Minnesota Press. </w:t>
      </w:r>
    </w:p>
    <w:p w14:paraId="286D49A4" w14:textId="77777777" w:rsidR="003E3ACD" w:rsidRPr="003E3ACD" w:rsidRDefault="003E3ACD" w:rsidP="003E3ACD">
      <w:pPr>
        <w:spacing w:line="240" w:lineRule="auto"/>
        <w:rPr>
          <w:rFonts w:cstheme="minorHAnsi"/>
        </w:rPr>
      </w:pPr>
      <w:proofErr w:type="spellStart"/>
      <w:r w:rsidRPr="003E3ACD">
        <w:rPr>
          <w:rFonts w:cstheme="minorHAnsi"/>
        </w:rPr>
        <w:t>Heppt</w:t>
      </w:r>
      <w:proofErr w:type="spellEnd"/>
      <w:r w:rsidRPr="003E3ACD">
        <w:rPr>
          <w:rFonts w:cstheme="minorHAnsi"/>
        </w:rPr>
        <w:t xml:space="preserve">, B., Haag, N., </w:t>
      </w:r>
      <w:proofErr w:type="spellStart"/>
      <w:r w:rsidRPr="003E3ACD">
        <w:rPr>
          <w:rFonts w:cstheme="minorHAnsi"/>
        </w:rPr>
        <w:t>Böhme</w:t>
      </w:r>
      <w:proofErr w:type="spellEnd"/>
      <w:r w:rsidRPr="003E3ACD">
        <w:rPr>
          <w:rFonts w:cstheme="minorHAnsi"/>
        </w:rPr>
        <w:t xml:space="preserve">, K., &amp; </w:t>
      </w:r>
      <w:proofErr w:type="spellStart"/>
      <w:r w:rsidRPr="003E3ACD">
        <w:rPr>
          <w:rFonts w:cstheme="minorHAnsi"/>
        </w:rPr>
        <w:t>Stanat</w:t>
      </w:r>
      <w:proofErr w:type="spellEnd"/>
      <w:r w:rsidRPr="003E3ACD">
        <w:rPr>
          <w:rFonts w:cstheme="minorHAnsi"/>
        </w:rPr>
        <w:t xml:space="preserve">, P. (2015). The Role of Academic-Language Features for Reading Comprehension of Language-Minority Students and Students </w:t>
      </w:r>
      <w:proofErr w:type="gramStart"/>
      <w:r w:rsidRPr="003E3ACD">
        <w:rPr>
          <w:rFonts w:cstheme="minorHAnsi"/>
        </w:rPr>
        <w:t>From</w:t>
      </w:r>
      <w:proofErr w:type="gramEnd"/>
      <w:r w:rsidRPr="003E3ACD">
        <w:rPr>
          <w:rFonts w:cstheme="minorHAnsi"/>
        </w:rPr>
        <w:t xml:space="preserve"> Low-SES Families. </w:t>
      </w:r>
      <w:r w:rsidRPr="003E3ACD">
        <w:rPr>
          <w:rFonts w:cstheme="minorHAnsi"/>
          <w:i/>
          <w:iCs/>
        </w:rPr>
        <w:t>Reading Research Quarterly</w:t>
      </w:r>
      <w:r w:rsidRPr="003E3ACD">
        <w:rPr>
          <w:rFonts w:cstheme="minorHAnsi"/>
        </w:rPr>
        <w:t xml:space="preserve">, </w:t>
      </w:r>
      <w:r w:rsidRPr="003E3ACD">
        <w:rPr>
          <w:rFonts w:cstheme="minorHAnsi"/>
          <w:i/>
          <w:iCs/>
        </w:rPr>
        <w:t>50</w:t>
      </w:r>
      <w:r w:rsidRPr="003E3ACD">
        <w:rPr>
          <w:rFonts w:cstheme="minorHAnsi"/>
        </w:rPr>
        <w:t xml:space="preserve">(1), 61–82. Available at: </w:t>
      </w:r>
      <w:hyperlink r:id="rId15" w:history="1">
        <w:r w:rsidRPr="003E3ACD">
          <w:rPr>
            <w:rFonts w:cstheme="minorHAnsi"/>
            <w:color w:val="0563C1" w:themeColor="hyperlink"/>
            <w:u w:val="single"/>
          </w:rPr>
          <w:t>http://www.js</w:t>
        </w:r>
        <w:r w:rsidRPr="003E3ACD">
          <w:rPr>
            <w:rFonts w:cstheme="minorHAnsi"/>
            <w:color w:val="0563C1" w:themeColor="hyperlink"/>
            <w:u w:val="single"/>
          </w:rPr>
          <w:t>t</w:t>
        </w:r>
        <w:r w:rsidRPr="003E3ACD">
          <w:rPr>
            <w:rFonts w:cstheme="minorHAnsi"/>
            <w:color w:val="0563C1" w:themeColor="hyperlink"/>
            <w:u w:val="single"/>
          </w:rPr>
          <w:t>or.or</w:t>
        </w:r>
        <w:r w:rsidRPr="003E3ACD">
          <w:rPr>
            <w:rFonts w:cstheme="minorHAnsi"/>
            <w:color w:val="0563C1" w:themeColor="hyperlink"/>
            <w:u w:val="single"/>
          </w:rPr>
          <w:t>g</w:t>
        </w:r>
        <w:r w:rsidRPr="003E3ACD">
          <w:rPr>
            <w:rFonts w:cstheme="minorHAnsi"/>
            <w:color w:val="0563C1" w:themeColor="hyperlink"/>
            <w:u w:val="single"/>
          </w:rPr>
          <w:t>/stable/43497206</w:t>
        </w:r>
      </w:hyperlink>
      <w:r w:rsidRPr="003E3ACD">
        <w:rPr>
          <w:rFonts w:cstheme="minorHAnsi"/>
        </w:rPr>
        <w:t xml:space="preserve"> (Accessed 11/11/2021)</w:t>
      </w:r>
    </w:p>
    <w:p w14:paraId="03AED4C0" w14:textId="77777777" w:rsidR="003E3ACD" w:rsidRPr="003E3ACD" w:rsidRDefault="003E3ACD" w:rsidP="003E3ACD">
      <w:pPr>
        <w:spacing w:line="240" w:lineRule="auto"/>
        <w:rPr>
          <w:rFonts w:cstheme="minorHAnsi"/>
        </w:rPr>
      </w:pPr>
      <w:r w:rsidRPr="003E3ACD">
        <w:rPr>
          <w:rFonts w:cstheme="minorHAnsi"/>
        </w:rPr>
        <w:t xml:space="preserve">Lanham, R, (1974) Style: An Anti-Textbook, </w:t>
      </w:r>
      <w:r w:rsidRPr="003E3ACD">
        <w:rPr>
          <w:rFonts w:cstheme="minorHAnsi"/>
          <w:color w:val="392529"/>
          <w:sz w:val="20"/>
          <w:szCs w:val="20"/>
          <w:shd w:val="clear" w:color="auto" w:fill="FFFFFF"/>
        </w:rPr>
        <w:t>New Haven: Yale University Press</w:t>
      </w:r>
    </w:p>
    <w:p w14:paraId="652477C1" w14:textId="77777777" w:rsidR="003E3ACD" w:rsidRPr="003E3ACD" w:rsidRDefault="003E3ACD" w:rsidP="003E3ACD">
      <w:pPr>
        <w:spacing w:line="240" w:lineRule="auto"/>
        <w:rPr>
          <w:rFonts w:cstheme="minorHAnsi"/>
        </w:rPr>
      </w:pPr>
      <w:r w:rsidRPr="003E3ACD">
        <w:rPr>
          <w:rFonts w:cstheme="minorHAnsi"/>
        </w:rPr>
        <w:t>Metcalfe, J., 2017. Learning from Errors. </w:t>
      </w:r>
      <w:r w:rsidRPr="003E3ACD">
        <w:rPr>
          <w:rFonts w:cstheme="minorHAnsi"/>
          <w:i/>
          <w:iCs/>
        </w:rPr>
        <w:t>Annual Review of Psychology</w:t>
      </w:r>
      <w:r w:rsidRPr="003E3ACD">
        <w:rPr>
          <w:rFonts w:cstheme="minorHAnsi"/>
        </w:rPr>
        <w:t xml:space="preserve">, 68(1), pp.465-489. Available at: </w:t>
      </w:r>
      <w:hyperlink r:id="rId16" w:history="1">
        <w:r w:rsidRPr="003E3ACD">
          <w:rPr>
            <w:rFonts w:cstheme="minorHAnsi"/>
            <w:color w:val="0563C1" w:themeColor="hyperlink"/>
            <w:u w:val="single"/>
          </w:rPr>
          <w:t>https://www.annualreviews.org/doi/10.1146/annurev-psych-010416-044022</w:t>
        </w:r>
      </w:hyperlink>
      <w:r w:rsidRPr="003E3ACD">
        <w:rPr>
          <w:rFonts w:cstheme="minorHAnsi"/>
        </w:rPr>
        <w:t xml:space="preserve"> (Accessed 11/11/2021)</w:t>
      </w:r>
    </w:p>
    <w:p w14:paraId="4313152F" w14:textId="77777777" w:rsidR="003E3ACD" w:rsidRPr="003E3ACD" w:rsidRDefault="003E3ACD" w:rsidP="003E3ACD">
      <w:pPr>
        <w:spacing w:line="240" w:lineRule="auto"/>
        <w:rPr>
          <w:rFonts w:cstheme="minorHAnsi"/>
        </w:rPr>
      </w:pPr>
      <w:r w:rsidRPr="003E3ACD">
        <w:rPr>
          <w:rFonts w:cstheme="minorHAnsi"/>
        </w:rPr>
        <w:t xml:space="preserve">Peters, S. J., &amp; Shephard, E. (2018). Learning through mistakes: An important part of the learning and research process. In V. C. H. Tong, A. </w:t>
      </w:r>
      <w:proofErr w:type="spellStart"/>
      <w:r w:rsidRPr="003E3ACD">
        <w:rPr>
          <w:rFonts w:cstheme="minorHAnsi"/>
        </w:rPr>
        <w:t>Standen</w:t>
      </w:r>
      <w:proofErr w:type="spellEnd"/>
      <w:r w:rsidRPr="003E3ACD">
        <w:rPr>
          <w:rFonts w:cstheme="minorHAnsi"/>
        </w:rPr>
        <w:t xml:space="preserve">, &amp; M. </w:t>
      </w:r>
      <w:proofErr w:type="spellStart"/>
      <w:r w:rsidRPr="003E3ACD">
        <w:rPr>
          <w:rFonts w:cstheme="minorHAnsi"/>
        </w:rPr>
        <w:t>Sotiriou</w:t>
      </w:r>
      <w:proofErr w:type="spellEnd"/>
      <w:r w:rsidRPr="003E3ACD">
        <w:rPr>
          <w:rFonts w:cstheme="minorHAnsi"/>
        </w:rPr>
        <w:t xml:space="preserve"> (Eds.), Shaping Higher Education with Students: Ways to Connect Research and Teaching (pp. 115–123). UCL Press. </w:t>
      </w:r>
    </w:p>
    <w:p w14:paraId="4E207F65" w14:textId="77777777" w:rsidR="003E3ACD" w:rsidRPr="003E3ACD" w:rsidRDefault="003E3ACD" w:rsidP="003E3ACD">
      <w:pPr>
        <w:spacing w:line="240" w:lineRule="auto"/>
        <w:rPr>
          <w:rFonts w:cstheme="minorHAnsi"/>
        </w:rPr>
      </w:pPr>
      <w:r w:rsidRPr="003E3ACD">
        <w:rPr>
          <w:rFonts w:cstheme="minorHAnsi"/>
        </w:rPr>
        <w:t xml:space="preserve">Snow, C. ‘Academic Language and the Challenge of Reading for Learning About Science’ Science, vol. 328, no. 5977, American Association for the Advancement of Science, 2010, pp. 450–52, Available at: </w:t>
      </w:r>
      <w:hyperlink r:id="rId17" w:history="1">
        <w:r w:rsidRPr="003E3ACD">
          <w:rPr>
            <w:rFonts w:cstheme="minorHAnsi"/>
            <w:color w:val="0563C1" w:themeColor="hyperlink"/>
            <w:u w:val="single"/>
          </w:rPr>
          <w:t>http://www.jstor.org/stable/406</w:t>
        </w:r>
        <w:r w:rsidRPr="003E3ACD">
          <w:rPr>
            <w:rFonts w:cstheme="minorHAnsi"/>
            <w:color w:val="0563C1" w:themeColor="hyperlink"/>
            <w:u w:val="single"/>
          </w:rPr>
          <w:t>5</w:t>
        </w:r>
        <w:r w:rsidRPr="003E3ACD">
          <w:rPr>
            <w:rFonts w:cstheme="minorHAnsi"/>
            <w:color w:val="0563C1" w:themeColor="hyperlink"/>
            <w:u w:val="single"/>
          </w:rPr>
          <w:t>5773</w:t>
        </w:r>
      </w:hyperlink>
      <w:r w:rsidRPr="003E3ACD">
        <w:rPr>
          <w:rFonts w:cstheme="minorHAnsi"/>
        </w:rPr>
        <w:t xml:space="preserve"> </w:t>
      </w:r>
      <w:bookmarkStart w:id="6" w:name="_Hlk92133908"/>
      <w:r w:rsidRPr="003E3ACD">
        <w:rPr>
          <w:rFonts w:cstheme="minorHAnsi"/>
        </w:rPr>
        <w:t>(Accessed 11/11/2021)</w:t>
      </w:r>
      <w:bookmarkEnd w:id="6"/>
    </w:p>
    <w:p w14:paraId="4FC41EEE" w14:textId="77777777" w:rsidR="003E3ACD" w:rsidRPr="003E3ACD" w:rsidRDefault="003E3ACD" w:rsidP="003E3ACD">
      <w:pPr>
        <w:spacing w:line="240" w:lineRule="auto"/>
        <w:rPr>
          <w:rFonts w:cstheme="minorHAnsi"/>
        </w:rPr>
      </w:pPr>
      <w:r w:rsidRPr="003E3ACD">
        <w:rPr>
          <w:rFonts w:cstheme="minorHAnsi"/>
        </w:rPr>
        <w:t xml:space="preserve">Swartz, Ronald. “Mistakes as an Important Part of the Learning Process.” </w:t>
      </w:r>
      <w:r w:rsidRPr="003E3ACD">
        <w:rPr>
          <w:rFonts w:cstheme="minorHAnsi"/>
          <w:i/>
          <w:iCs/>
        </w:rPr>
        <w:t>The High School Journal</w:t>
      </w:r>
      <w:r w:rsidRPr="003E3ACD">
        <w:rPr>
          <w:rFonts w:cstheme="minorHAnsi"/>
        </w:rPr>
        <w:t xml:space="preserve"> 59, no. 6 (1976): 246–57. Available at:  </w:t>
      </w:r>
      <w:hyperlink r:id="rId18" w:history="1">
        <w:r w:rsidRPr="003E3ACD">
          <w:rPr>
            <w:rFonts w:cstheme="minorHAnsi"/>
            <w:color w:val="0563C1" w:themeColor="hyperlink"/>
            <w:u w:val="single"/>
          </w:rPr>
          <w:t>http://www.jstor.org/stab</w:t>
        </w:r>
        <w:r w:rsidRPr="003E3ACD">
          <w:rPr>
            <w:rFonts w:cstheme="minorHAnsi"/>
            <w:color w:val="0563C1" w:themeColor="hyperlink"/>
            <w:u w:val="single"/>
          </w:rPr>
          <w:t>l</w:t>
        </w:r>
        <w:r w:rsidRPr="003E3ACD">
          <w:rPr>
            <w:rFonts w:cstheme="minorHAnsi"/>
            <w:color w:val="0563C1" w:themeColor="hyperlink"/>
            <w:u w:val="single"/>
          </w:rPr>
          <w:t>e/40365921</w:t>
        </w:r>
      </w:hyperlink>
      <w:r w:rsidRPr="003E3ACD">
        <w:rPr>
          <w:rFonts w:cstheme="minorHAnsi"/>
        </w:rPr>
        <w:t xml:space="preserve"> (Accessed 18/11/2021)</w:t>
      </w:r>
    </w:p>
    <w:p w14:paraId="31E3771D" w14:textId="77777777" w:rsidR="003E3ACD" w:rsidRPr="003E3ACD" w:rsidRDefault="003E3ACD" w:rsidP="003E3ACD">
      <w:pPr>
        <w:spacing w:line="240" w:lineRule="auto"/>
        <w:rPr>
          <w:rFonts w:cstheme="minorHAnsi"/>
        </w:rPr>
      </w:pPr>
      <w:r w:rsidRPr="003E3ACD">
        <w:rPr>
          <w:rFonts w:cstheme="minorHAnsi"/>
        </w:rPr>
        <w:t xml:space="preserve">WEBSTER, D. (1964). How To HELP Children MAKE Mistakes. Science and Children, 1(8), 13–14. </w:t>
      </w:r>
      <w:bookmarkStart w:id="7" w:name="_Hlk92133921"/>
      <w:r w:rsidRPr="003E3ACD">
        <w:rPr>
          <w:rFonts w:cstheme="minorHAnsi"/>
        </w:rPr>
        <w:t xml:space="preserve">Available at: </w:t>
      </w:r>
      <w:bookmarkEnd w:id="7"/>
      <w:r w:rsidRPr="003E3ACD">
        <w:rPr>
          <w:rFonts w:cstheme="minorHAnsi"/>
        </w:rPr>
        <w:fldChar w:fldCharType="begin"/>
      </w:r>
      <w:r w:rsidRPr="003E3ACD">
        <w:rPr>
          <w:rFonts w:cstheme="minorHAnsi"/>
        </w:rPr>
        <w:instrText xml:space="preserve"> HYPERLINK "http://www.jstor.org/stable/43070595" </w:instrText>
      </w:r>
      <w:r w:rsidRPr="003E3ACD">
        <w:rPr>
          <w:rFonts w:cstheme="minorHAnsi"/>
        </w:rPr>
        <w:fldChar w:fldCharType="separate"/>
      </w:r>
      <w:r w:rsidRPr="003E3ACD">
        <w:rPr>
          <w:rFonts w:cstheme="minorHAnsi"/>
          <w:color w:val="0563C1" w:themeColor="hyperlink"/>
          <w:u w:val="single"/>
        </w:rPr>
        <w:t>http://www.jst</w:t>
      </w:r>
      <w:r w:rsidRPr="003E3ACD">
        <w:rPr>
          <w:rFonts w:cstheme="minorHAnsi"/>
          <w:color w:val="0563C1" w:themeColor="hyperlink"/>
          <w:u w:val="single"/>
        </w:rPr>
        <w:t>o</w:t>
      </w:r>
      <w:r w:rsidRPr="003E3ACD">
        <w:rPr>
          <w:rFonts w:cstheme="minorHAnsi"/>
          <w:color w:val="0563C1" w:themeColor="hyperlink"/>
          <w:u w:val="single"/>
        </w:rPr>
        <w:t>r.org/stab</w:t>
      </w:r>
      <w:r w:rsidRPr="003E3ACD">
        <w:rPr>
          <w:rFonts w:cstheme="minorHAnsi"/>
          <w:color w:val="0563C1" w:themeColor="hyperlink"/>
          <w:u w:val="single"/>
        </w:rPr>
        <w:t>l</w:t>
      </w:r>
      <w:r w:rsidRPr="003E3ACD">
        <w:rPr>
          <w:rFonts w:cstheme="minorHAnsi"/>
          <w:color w:val="0563C1" w:themeColor="hyperlink"/>
          <w:u w:val="single"/>
        </w:rPr>
        <w:t>e/43070595</w:t>
      </w:r>
      <w:r w:rsidRPr="003E3ACD">
        <w:rPr>
          <w:rFonts w:cstheme="minorHAnsi"/>
        </w:rPr>
        <w:fldChar w:fldCharType="end"/>
      </w:r>
      <w:r w:rsidRPr="003E3ACD">
        <w:rPr>
          <w:rFonts w:cstheme="minorHAnsi"/>
        </w:rPr>
        <w:t xml:space="preserve"> (Accessed 11/11/2021)</w:t>
      </w:r>
    </w:p>
    <w:p w14:paraId="7E5D6787" w14:textId="77777777" w:rsidR="003E3ACD" w:rsidRPr="003E3ACD" w:rsidRDefault="003E3ACD" w:rsidP="003E3ACD">
      <w:pPr>
        <w:spacing w:line="240" w:lineRule="auto"/>
        <w:rPr>
          <w:rFonts w:cstheme="minorHAnsi"/>
        </w:rPr>
      </w:pPr>
      <w:proofErr w:type="spellStart"/>
      <w:r w:rsidRPr="003E3ACD">
        <w:rPr>
          <w:rFonts w:cstheme="minorHAnsi"/>
        </w:rPr>
        <w:t>Weinzimmer</w:t>
      </w:r>
      <w:proofErr w:type="spellEnd"/>
      <w:r w:rsidRPr="003E3ACD">
        <w:rPr>
          <w:rFonts w:cstheme="minorHAnsi"/>
        </w:rPr>
        <w:t xml:space="preserve">, L. G. and </w:t>
      </w:r>
      <w:proofErr w:type="spellStart"/>
      <w:r w:rsidRPr="003E3ACD">
        <w:rPr>
          <w:rFonts w:cstheme="minorHAnsi"/>
        </w:rPr>
        <w:t>Esken</w:t>
      </w:r>
      <w:proofErr w:type="spellEnd"/>
      <w:r w:rsidRPr="003E3ACD">
        <w:rPr>
          <w:rFonts w:cstheme="minorHAnsi"/>
        </w:rPr>
        <w:t xml:space="preserve">, C. A. (2017) ‘Learning </w:t>
      </w:r>
      <w:proofErr w:type="gramStart"/>
      <w:r w:rsidRPr="003E3ACD">
        <w:rPr>
          <w:rFonts w:cstheme="minorHAnsi"/>
        </w:rPr>
        <w:t>From</w:t>
      </w:r>
      <w:proofErr w:type="gramEnd"/>
      <w:r w:rsidRPr="003E3ACD">
        <w:rPr>
          <w:rFonts w:cstheme="minorHAnsi"/>
        </w:rPr>
        <w:t xml:space="preserve"> Mistakes: How Mistake Tolerance Positively Affects Organizational Learning and Performance’, </w:t>
      </w:r>
      <w:r w:rsidRPr="003E3ACD">
        <w:rPr>
          <w:rFonts w:cstheme="minorHAnsi"/>
          <w:i/>
          <w:iCs/>
        </w:rPr>
        <w:t xml:space="preserve">The Journal of Applied </w:t>
      </w:r>
      <w:proofErr w:type="spellStart"/>
      <w:r w:rsidRPr="003E3ACD">
        <w:rPr>
          <w:rFonts w:cstheme="minorHAnsi"/>
          <w:i/>
          <w:iCs/>
        </w:rPr>
        <w:t>Behavioral</w:t>
      </w:r>
      <w:proofErr w:type="spellEnd"/>
      <w:r w:rsidRPr="003E3ACD">
        <w:rPr>
          <w:rFonts w:cstheme="minorHAnsi"/>
          <w:i/>
          <w:iCs/>
        </w:rPr>
        <w:t xml:space="preserve"> Science</w:t>
      </w:r>
      <w:r w:rsidRPr="003E3ACD">
        <w:rPr>
          <w:rFonts w:cstheme="minorHAnsi"/>
        </w:rPr>
        <w:t xml:space="preserve">, 53(3), pp. 322–348. Available at: </w:t>
      </w:r>
      <w:hyperlink r:id="rId19" w:history="1">
        <w:r w:rsidRPr="003E3ACD">
          <w:rPr>
            <w:rFonts w:cstheme="minorHAnsi"/>
            <w:color w:val="0563C1" w:themeColor="hyperlink"/>
            <w:u w:val="single"/>
          </w:rPr>
          <w:t>https://journal</w:t>
        </w:r>
        <w:r w:rsidRPr="003E3ACD">
          <w:rPr>
            <w:rFonts w:cstheme="minorHAnsi"/>
            <w:color w:val="0563C1" w:themeColor="hyperlink"/>
            <w:u w:val="single"/>
          </w:rPr>
          <w:t>s</w:t>
        </w:r>
        <w:r w:rsidRPr="003E3ACD">
          <w:rPr>
            <w:rFonts w:cstheme="minorHAnsi"/>
            <w:color w:val="0563C1" w:themeColor="hyperlink"/>
            <w:u w:val="single"/>
          </w:rPr>
          <w:t>.sagepub.com/doi/abs/10.1177/0021886316688658</w:t>
        </w:r>
      </w:hyperlink>
      <w:r w:rsidRPr="003E3ACD">
        <w:rPr>
          <w:rFonts w:cstheme="minorHAnsi"/>
        </w:rPr>
        <w:t xml:space="preserve"> (Accessed 11/18/2021)</w:t>
      </w:r>
    </w:p>
    <w:p w14:paraId="605997A2" w14:textId="77777777" w:rsidR="003E3ACD" w:rsidRPr="003E3ACD" w:rsidRDefault="003E3ACD" w:rsidP="003E3ACD">
      <w:pPr>
        <w:spacing w:line="240" w:lineRule="auto"/>
        <w:rPr>
          <w:rFonts w:cstheme="minorHAnsi"/>
        </w:rPr>
      </w:pPr>
    </w:p>
    <w:p w14:paraId="681B09C6" w14:textId="77777777" w:rsidR="003E3ACD" w:rsidRPr="003E3ACD" w:rsidRDefault="003E3ACD" w:rsidP="003E3ACD">
      <w:pPr>
        <w:spacing w:line="240" w:lineRule="auto"/>
        <w:rPr>
          <w:rFonts w:cstheme="minorHAnsi"/>
        </w:rPr>
      </w:pPr>
    </w:p>
    <w:p w14:paraId="71F83BF7" w14:textId="0289BE20" w:rsidR="003E3ACD" w:rsidRPr="0093386F" w:rsidRDefault="003E3ACD" w:rsidP="00011066">
      <w:pPr>
        <w:rPr>
          <w:rFonts w:cstheme="minorHAnsi"/>
        </w:rPr>
      </w:pPr>
    </w:p>
    <w:p w14:paraId="794F8FE3" w14:textId="7C4FF57E" w:rsidR="0093386F" w:rsidRPr="0093386F" w:rsidRDefault="0093386F" w:rsidP="00011066">
      <w:pPr>
        <w:rPr>
          <w:rFonts w:cstheme="minorHAnsi"/>
        </w:rPr>
      </w:pPr>
    </w:p>
    <w:p w14:paraId="2289E7A0" w14:textId="1F879A8D" w:rsidR="0093386F" w:rsidRPr="0093386F" w:rsidRDefault="0093386F" w:rsidP="00011066">
      <w:pPr>
        <w:rPr>
          <w:rFonts w:cstheme="minorHAnsi"/>
        </w:rPr>
      </w:pPr>
    </w:p>
    <w:p w14:paraId="3040DA42" w14:textId="4301D0F2" w:rsidR="0093386F" w:rsidRPr="0093386F" w:rsidRDefault="0093386F" w:rsidP="00011066">
      <w:pPr>
        <w:rPr>
          <w:rFonts w:cstheme="minorHAnsi"/>
        </w:rPr>
      </w:pPr>
    </w:p>
    <w:p w14:paraId="37B9ABE1" w14:textId="6903BA04" w:rsidR="0093386F" w:rsidRPr="0093386F" w:rsidRDefault="0093386F" w:rsidP="00011066">
      <w:pPr>
        <w:rPr>
          <w:rFonts w:cstheme="minorHAnsi"/>
        </w:rPr>
      </w:pPr>
    </w:p>
    <w:p w14:paraId="4F041F24" w14:textId="6C2B934C" w:rsidR="0093386F" w:rsidRPr="0093386F" w:rsidRDefault="0093386F" w:rsidP="00011066">
      <w:pPr>
        <w:rPr>
          <w:rFonts w:cstheme="minorHAnsi"/>
        </w:rPr>
      </w:pPr>
    </w:p>
    <w:p w14:paraId="5EBEC80A" w14:textId="580D042B" w:rsidR="0093386F" w:rsidRPr="0093386F" w:rsidRDefault="0093386F" w:rsidP="00011066">
      <w:pPr>
        <w:rPr>
          <w:rFonts w:cstheme="minorHAnsi"/>
        </w:rPr>
      </w:pPr>
    </w:p>
    <w:p w14:paraId="0665CBFA" w14:textId="0A4EEDF2" w:rsidR="0093386F" w:rsidRPr="0093386F" w:rsidRDefault="0093386F" w:rsidP="00011066">
      <w:pPr>
        <w:rPr>
          <w:rFonts w:cstheme="minorHAnsi"/>
        </w:rPr>
      </w:pPr>
    </w:p>
    <w:p w14:paraId="2961CAB7" w14:textId="77777777" w:rsidR="0093386F" w:rsidRPr="0093386F" w:rsidRDefault="0093386F" w:rsidP="0093386F">
      <w:pPr>
        <w:rPr>
          <w:rFonts w:cstheme="minorHAnsi"/>
          <w:b/>
          <w:bCs/>
          <w:u w:val="single"/>
        </w:rPr>
      </w:pPr>
      <w:r w:rsidRPr="0093386F">
        <w:rPr>
          <w:rFonts w:cstheme="minorHAnsi"/>
          <w:b/>
          <w:bCs/>
          <w:u w:val="single"/>
        </w:rPr>
        <w:lastRenderedPageBreak/>
        <w:t>Practice-based Writing</w:t>
      </w:r>
    </w:p>
    <w:p w14:paraId="27AAA4A6" w14:textId="77777777" w:rsidR="0093386F" w:rsidRPr="0093386F" w:rsidRDefault="0093386F" w:rsidP="0093386F">
      <w:pPr>
        <w:rPr>
          <w:rFonts w:cstheme="minorHAnsi"/>
        </w:rPr>
      </w:pPr>
      <w:r w:rsidRPr="0093386F">
        <w:rPr>
          <w:rFonts w:cstheme="minorHAnsi"/>
          <w:b/>
          <w:bCs/>
          <w:noProof/>
          <w:u w:val="single"/>
        </w:rPr>
        <w:drawing>
          <wp:anchor distT="0" distB="0" distL="114300" distR="114300" simplePos="0" relativeHeight="251660288" behindDoc="0" locked="0" layoutInCell="1" allowOverlap="1" wp14:anchorId="7BD32E8D" wp14:editId="482E3BE7">
            <wp:simplePos x="0" y="0"/>
            <wp:positionH relativeFrom="margin">
              <wp:posOffset>2842260</wp:posOffset>
            </wp:positionH>
            <wp:positionV relativeFrom="paragraph">
              <wp:posOffset>213360</wp:posOffset>
            </wp:positionV>
            <wp:extent cx="3458210" cy="2459990"/>
            <wp:effectExtent l="381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4836" t="6042" r="5191" b="8624"/>
                    <a:stretch/>
                  </pic:blipFill>
                  <pic:spPr bwMode="auto">
                    <a:xfrm rot="5400000">
                      <a:off x="0" y="0"/>
                      <a:ext cx="3458210" cy="24599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3386F">
        <w:rPr>
          <w:rFonts w:cstheme="minorHAnsi"/>
        </w:rPr>
        <w:t>500 words (roughly 125 words per part)</w:t>
      </w:r>
    </w:p>
    <w:p w14:paraId="587B49CC" w14:textId="77777777" w:rsidR="0093386F" w:rsidRPr="0093386F" w:rsidRDefault="0093386F" w:rsidP="0093386F">
      <w:pPr>
        <w:spacing w:line="276" w:lineRule="auto"/>
        <w:rPr>
          <w:rFonts w:cstheme="minorHAnsi"/>
        </w:rPr>
      </w:pPr>
      <w:r w:rsidRPr="0093386F">
        <w:rPr>
          <w:rFonts w:cstheme="minorHAnsi"/>
        </w:rPr>
        <w:t>-introduction (what it is)</w:t>
      </w:r>
    </w:p>
    <w:p w14:paraId="0CCAFA9E" w14:textId="77777777" w:rsidR="0093386F" w:rsidRPr="0093386F" w:rsidRDefault="0093386F" w:rsidP="0093386F">
      <w:pPr>
        <w:spacing w:line="276" w:lineRule="auto"/>
        <w:rPr>
          <w:rFonts w:cstheme="minorHAnsi"/>
        </w:rPr>
      </w:pPr>
      <w:r w:rsidRPr="0093386F">
        <w:rPr>
          <w:rFonts w:cstheme="minorHAnsi"/>
        </w:rPr>
        <w:t>-description (why is it the way that it is? Why does it exist?)</w:t>
      </w:r>
      <w:r w:rsidRPr="0093386F">
        <w:rPr>
          <w:rFonts w:cstheme="minorHAnsi"/>
        </w:rPr>
        <w:br/>
        <w:t>-interpretation (how can it be explained? What does it represent? The intentions. The steps)</w:t>
      </w:r>
      <w:r w:rsidRPr="0093386F">
        <w:rPr>
          <w:rFonts w:cstheme="minorHAnsi"/>
        </w:rPr>
        <w:br/>
        <w:t>-conclusion (what I learnt? What would I do differently? What it means to me today?)</w:t>
      </w:r>
    </w:p>
    <w:p w14:paraId="61FD3B44" w14:textId="77777777" w:rsidR="0093386F" w:rsidRPr="0093386F" w:rsidRDefault="0093386F" w:rsidP="0093386F">
      <w:pPr>
        <w:spacing w:line="276" w:lineRule="auto"/>
        <w:rPr>
          <w:rFonts w:cstheme="minorHAnsi"/>
        </w:rPr>
      </w:pPr>
    </w:p>
    <w:p w14:paraId="4AD77E90" w14:textId="77777777" w:rsidR="0093386F" w:rsidRPr="0093386F" w:rsidRDefault="0093386F" w:rsidP="0093386F">
      <w:pPr>
        <w:spacing w:line="276" w:lineRule="auto"/>
        <w:rPr>
          <w:rFonts w:cstheme="minorHAnsi"/>
        </w:rPr>
      </w:pPr>
    </w:p>
    <w:p w14:paraId="481F3281" w14:textId="77777777" w:rsidR="0093386F" w:rsidRPr="0093386F" w:rsidRDefault="0093386F" w:rsidP="0093386F">
      <w:pPr>
        <w:spacing w:line="480" w:lineRule="auto"/>
        <w:rPr>
          <w:rFonts w:cstheme="minorHAnsi"/>
        </w:rPr>
      </w:pPr>
      <w:r w:rsidRPr="0093386F">
        <w:rPr>
          <w:rFonts w:cstheme="minorHAnsi"/>
        </w:rPr>
        <w:t>The piece I chose to reflect upon is rather straightforward in what it attempts to represent. It is nothing more than what can be seen on the paper-two hands cradling a wooden artist’s mannequin. The background is devoid of any further detail so the eye cannot be distracted from the focal point of the piece. The aim was the simplification of the complex system of emotions, in a way that makes it easier to understand at first glance. ‘The internal experience of emotions is highly personal’ (</w:t>
      </w:r>
      <w:proofErr w:type="spellStart"/>
      <w:r w:rsidRPr="0093386F">
        <w:rPr>
          <w:rFonts w:cstheme="minorHAnsi"/>
        </w:rPr>
        <w:t>Plutchik</w:t>
      </w:r>
      <w:proofErr w:type="spellEnd"/>
      <w:r w:rsidRPr="0093386F">
        <w:rPr>
          <w:rFonts w:cstheme="minorHAnsi"/>
        </w:rPr>
        <w:t xml:space="preserve">, 2001 p.344) and so it is only natural that people view things differently, through the prism of their own emotions. My goal in creating this piece was bringing the inner monologue into the outside world by providing a symbolic representation that is both simple and clear regardless of the audience, yet still open to personal interpretation. I painted it as part of my A-level art coursework, as one of four final pieces responding to the theme of ‘exploring the use of colour and form in the portrayal of emotion’.  The contrast of the bright acrylic paint of the hands and the charcoal greyscale of the figure were meant to highlight the elaborate the differences in how we perceive emotions represented by both colour and shape. ‘Colour is clearly central to everyday life’ (Sheringham, 2017 p.199) and I sought to exploit that idea in particular in my piece. We first associate the colours and then take in the form as a whole. Even if the viewer spares the painting a single glance, I wanted the message to be easily understandable. </w:t>
      </w:r>
    </w:p>
    <w:p w14:paraId="6FE150AF" w14:textId="77777777" w:rsidR="0093386F" w:rsidRPr="0093386F" w:rsidRDefault="0093386F" w:rsidP="0093386F">
      <w:pPr>
        <w:spacing w:line="480" w:lineRule="auto"/>
        <w:rPr>
          <w:rFonts w:cstheme="minorHAnsi"/>
        </w:rPr>
      </w:pPr>
      <w:r w:rsidRPr="0093386F">
        <w:rPr>
          <w:rFonts w:cstheme="minorHAnsi"/>
        </w:rPr>
        <w:lastRenderedPageBreak/>
        <w:t>Both aspects of the piece gave me an opportunity to reflect on how I perceive my own emotions and the emotions of those around me contrasted with how other may see them. For example, while I might be inclined to associate the blue hand with sadness and the red with love and warmth, to another person they might signify serenity and anger. Neither interpretation is wrong. We as humans are endlessly complex and such we ‘experience several emotions… at the same time’ (</w:t>
      </w:r>
      <w:proofErr w:type="spellStart"/>
      <w:r w:rsidRPr="0093386F">
        <w:rPr>
          <w:rFonts w:cstheme="minorHAnsi"/>
        </w:rPr>
        <w:t>Plutchik</w:t>
      </w:r>
      <w:proofErr w:type="spellEnd"/>
      <w:r w:rsidRPr="0093386F">
        <w:rPr>
          <w:rFonts w:cstheme="minorHAnsi"/>
        </w:rPr>
        <w:t>, 2001 p.344) and not just a single one. That is where I struggled conceptually at the beginning of the process and even throughout. It was challenging to simplify the concept of the human psyche into a piece that could speak to everyone on an equal level, yet I feel I’ve managed to achieve it at least partially. It taught me to better understand how to deal with emotions in everyday life.</w:t>
      </w:r>
    </w:p>
    <w:p w14:paraId="31E130E7" w14:textId="77777777" w:rsidR="0093386F" w:rsidRPr="0093386F" w:rsidRDefault="0093386F" w:rsidP="0093386F">
      <w:pPr>
        <w:spacing w:line="480" w:lineRule="auto"/>
        <w:rPr>
          <w:rFonts w:cstheme="minorHAnsi"/>
        </w:rPr>
      </w:pPr>
    </w:p>
    <w:p w14:paraId="271DD3FA" w14:textId="77777777" w:rsidR="0093386F" w:rsidRPr="0093386F" w:rsidRDefault="0093386F" w:rsidP="0093386F">
      <w:pPr>
        <w:spacing w:line="480" w:lineRule="auto"/>
        <w:rPr>
          <w:rFonts w:cstheme="minorHAnsi"/>
        </w:rPr>
      </w:pPr>
      <w:r w:rsidRPr="0093386F">
        <w:rPr>
          <w:rFonts w:cstheme="minorHAnsi"/>
        </w:rPr>
        <w:t xml:space="preserve">If I were to have another go at fulfilling the brief, I’d certainly explore a wider range of techniques as I feel the physical execution of the piece itself could have been better if I wasn’t under the constraint of time due to the deadline. I’d change minor cosmetic aspects of the piece, such as the harsher outlines visible behind the hands where I was still learning to realistically capture the form of the hands. However, I wouldn’t change anything else because I feel it otherwise accurately portrays the message I was aiming for. </w:t>
      </w:r>
    </w:p>
    <w:p w14:paraId="3E59F14A" w14:textId="77777777" w:rsidR="0093386F" w:rsidRPr="0093386F" w:rsidRDefault="0093386F" w:rsidP="0093386F">
      <w:pPr>
        <w:spacing w:line="480" w:lineRule="auto"/>
        <w:rPr>
          <w:rFonts w:cstheme="minorHAnsi"/>
        </w:rPr>
      </w:pPr>
    </w:p>
    <w:p w14:paraId="1B8A8B10" w14:textId="77777777" w:rsidR="0093386F" w:rsidRPr="0093386F" w:rsidRDefault="0093386F" w:rsidP="0093386F">
      <w:pPr>
        <w:spacing w:line="480" w:lineRule="auto"/>
        <w:rPr>
          <w:rFonts w:cstheme="minorHAnsi"/>
        </w:rPr>
      </w:pPr>
    </w:p>
    <w:p w14:paraId="2D059CDC" w14:textId="77777777" w:rsidR="0093386F" w:rsidRPr="0093386F" w:rsidRDefault="0093386F" w:rsidP="0093386F">
      <w:pPr>
        <w:spacing w:line="480" w:lineRule="auto"/>
        <w:rPr>
          <w:rFonts w:cstheme="minorHAnsi"/>
        </w:rPr>
      </w:pPr>
    </w:p>
    <w:p w14:paraId="4B5F78AA" w14:textId="77777777" w:rsidR="0093386F" w:rsidRPr="0093386F" w:rsidRDefault="0093386F" w:rsidP="0093386F">
      <w:pPr>
        <w:spacing w:line="276" w:lineRule="auto"/>
        <w:rPr>
          <w:rFonts w:cstheme="minorHAnsi"/>
        </w:rPr>
      </w:pPr>
    </w:p>
    <w:p w14:paraId="28A4FC4F" w14:textId="77777777" w:rsidR="0093386F" w:rsidRPr="0093386F" w:rsidRDefault="0093386F" w:rsidP="0093386F">
      <w:pPr>
        <w:spacing w:line="276" w:lineRule="auto"/>
        <w:rPr>
          <w:rFonts w:cstheme="minorHAnsi"/>
        </w:rPr>
      </w:pPr>
    </w:p>
    <w:p w14:paraId="5C70216A" w14:textId="77777777" w:rsidR="0093386F" w:rsidRPr="0093386F" w:rsidRDefault="0093386F" w:rsidP="0093386F">
      <w:pPr>
        <w:spacing w:line="276" w:lineRule="auto"/>
        <w:rPr>
          <w:rFonts w:cstheme="minorHAnsi"/>
        </w:rPr>
      </w:pPr>
    </w:p>
    <w:p w14:paraId="54BEBA9F" w14:textId="77777777" w:rsidR="0093386F" w:rsidRPr="0093386F" w:rsidRDefault="0093386F" w:rsidP="0093386F">
      <w:pPr>
        <w:rPr>
          <w:rFonts w:cstheme="minorHAnsi"/>
        </w:rPr>
      </w:pPr>
      <w:r w:rsidRPr="0093386F">
        <w:rPr>
          <w:rFonts w:cstheme="minorHAnsi"/>
        </w:rPr>
        <w:br w:type="page"/>
      </w:r>
    </w:p>
    <w:p w14:paraId="340A3ACE" w14:textId="77777777" w:rsidR="0093386F" w:rsidRPr="0093386F" w:rsidRDefault="0093386F" w:rsidP="0093386F">
      <w:pPr>
        <w:spacing w:line="276" w:lineRule="auto"/>
        <w:rPr>
          <w:rFonts w:cstheme="minorHAnsi"/>
          <w:b/>
          <w:bCs/>
        </w:rPr>
      </w:pPr>
      <w:r w:rsidRPr="0093386F">
        <w:rPr>
          <w:rFonts w:cstheme="minorHAnsi"/>
          <w:b/>
          <w:bCs/>
        </w:rPr>
        <w:lastRenderedPageBreak/>
        <w:t>Bibliography</w:t>
      </w:r>
    </w:p>
    <w:p w14:paraId="077ED0E6" w14:textId="77777777" w:rsidR="0093386F" w:rsidRPr="0093386F" w:rsidRDefault="0093386F" w:rsidP="0093386F">
      <w:pPr>
        <w:spacing w:line="276" w:lineRule="auto"/>
        <w:rPr>
          <w:rFonts w:cstheme="minorHAnsi"/>
        </w:rPr>
      </w:pPr>
      <w:r w:rsidRPr="0093386F">
        <w:rPr>
          <w:rFonts w:cstheme="minorHAnsi"/>
        </w:rPr>
        <w:t xml:space="preserve">Aaker, J., </w:t>
      </w:r>
      <w:proofErr w:type="spellStart"/>
      <w:r w:rsidRPr="0093386F">
        <w:rPr>
          <w:rFonts w:cstheme="minorHAnsi"/>
        </w:rPr>
        <w:t>Drolet</w:t>
      </w:r>
      <w:proofErr w:type="spellEnd"/>
      <w:r w:rsidRPr="0093386F">
        <w:rPr>
          <w:rFonts w:cstheme="minorHAnsi"/>
        </w:rPr>
        <w:t xml:space="preserve">, A., Griffin, D., &amp; John Deighton served as editor and Mary Frances Luce served as associate editor for this article. (2008). ‘Recalling Mixed Emotions’. </w:t>
      </w:r>
      <w:r w:rsidRPr="0093386F">
        <w:rPr>
          <w:rFonts w:cstheme="minorHAnsi"/>
          <w:i/>
          <w:iCs/>
        </w:rPr>
        <w:t>Journal of Consumer Research</w:t>
      </w:r>
      <w:r w:rsidRPr="0093386F">
        <w:rPr>
          <w:rFonts w:cstheme="minorHAnsi"/>
        </w:rPr>
        <w:t xml:space="preserve">, </w:t>
      </w:r>
      <w:r w:rsidRPr="0093386F">
        <w:rPr>
          <w:rFonts w:cstheme="minorHAnsi"/>
          <w:i/>
          <w:iCs/>
        </w:rPr>
        <w:t>35</w:t>
      </w:r>
      <w:r w:rsidRPr="0093386F">
        <w:rPr>
          <w:rFonts w:cstheme="minorHAnsi"/>
        </w:rPr>
        <w:t xml:space="preserve">(2), 268–278. Available at: </w:t>
      </w:r>
      <w:hyperlink r:id="rId21" w:history="1">
        <w:r w:rsidRPr="0093386F">
          <w:rPr>
            <w:rFonts w:cstheme="minorHAnsi"/>
            <w:color w:val="0563C1" w:themeColor="hyperlink"/>
            <w:u w:val="single"/>
          </w:rPr>
          <w:t>https://doi.org/10.1</w:t>
        </w:r>
        <w:r w:rsidRPr="0093386F">
          <w:rPr>
            <w:rFonts w:cstheme="minorHAnsi"/>
            <w:color w:val="0563C1" w:themeColor="hyperlink"/>
            <w:u w:val="single"/>
          </w:rPr>
          <w:t>0</w:t>
        </w:r>
        <w:r w:rsidRPr="0093386F">
          <w:rPr>
            <w:rFonts w:cstheme="minorHAnsi"/>
            <w:color w:val="0563C1" w:themeColor="hyperlink"/>
            <w:u w:val="single"/>
          </w:rPr>
          <w:t>86/588570</w:t>
        </w:r>
      </w:hyperlink>
      <w:r w:rsidRPr="0093386F">
        <w:rPr>
          <w:rFonts w:cstheme="minorHAnsi"/>
        </w:rPr>
        <w:t xml:space="preserve"> (Accessed: 1/12/2021)</w:t>
      </w:r>
    </w:p>
    <w:p w14:paraId="2720B5CA" w14:textId="77777777" w:rsidR="0093386F" w:rsidRPr="0093386F" w:rsidRDefault="0093386F" w:rsidP="0093386F">
      <w:pPr>
        <w:spacing w:line="276" w:lineRule="auto"/>
        <w:rPr>
          <w:rFonts w:cstheme="minorHAnsi"/>
        </w:rPr>
      </w:pPr>
      <w:r w:rsidRPr="0093386F">
        <w:rPr>
          <w:rFonts w:cstheme="minorHAnsi"/>
        </w:rPr>
        <w:t xml:space="preserve">Ahmed, S. (2014). In </w:t>
      </w:r>
      <w:r w:rsidRPr="0093386F">
        <w:rPr>
          <w:rFonts w:cstheme="minorHAnsi"/>
          <w:i/>
          <w:iCs/>
        </w:rPr>
        <w:t>The Cultural Politics of Emotion</w:t>
      </w:r>
      <w:r w:rsidRPr="0093386F">
        <w:rPr>
          <w:rFonts w:cstheme="minorHAnsi"/>
        </w:rPr>
        <w:t xml:space="preserve"> (NED-New edition, 2, pp. 191–203). Edinburgh University Press.  </w:t>
      </w:r>
    </w:p>
    <w:p w14:paraId="2CEABCA2" w14:textId="77777777" w:rsidR="0093386F" w:rsidRPr="0093386F" w:rsidRDefault="0093386F" w:rsidP="0093386F">
      <w:pPr>
        <w:spacing w:line="276" w:lineRule="auto"/>
        <w:rPr>
          <w:rFonts w:cstheme="minorHAnsi"/>
        </w:rPr>
      </w:pPr>
      <w:proofErr w:type="spellStart"/>
      <w:r w:rsidRPr="0093386F">
        <w:rPr>
          <w:rFonts w:cstheme="minorHAnsi"/>
        </w:rPr>
        <w:t>Derrington</w:t>
      </w:r>
      <w:proofErr w:type="spellEnd"/>
      <w:r w:rsidRPr="0093386F">
        <w:rPr>
          <w:rFonts w:cstheme="minorHAnsi"/>
        </w:rPr>
        <w:t xml:space="preserve">, A. M., Parker, A., Barraclough, N. E., Easton, A., Goodson, G. R., Parker, K. S., Tinsley, C. J., &amp; Webb, B. S. (2002). The Uses of Colour Vision: Behavioural and Physiological Distinctiveness of Colour Stimuli. </w:t>
      </w:r>
      <w:r w:rsidRPr="0093386F">
        <w:rPr>
          <w:rFonts w:cstheme="minorHAnsi"/>
          <w:i/>
          <w:iCs/>
        </w:rPr>
        <w:t>Philosophical Transactions: Biological Sciences</w:t>
      </w:r>
      <w:r w:rsidRPr="0093386F">
        <w:rPr>
          <w:rFonts w:cstheme="minorHAnsi"/>
        </w:rPr>
        <w:t xml:space="preserve">, </w:t>
      </w:r>
      <w:r w:rsidRPr="0093386F">
        <w:rPr>
          <w:rFonts w:cstheme="minorHAnsi"/>
          <w:i/>
          <w:iCs/>
        </w:rPr>
        <w:t>357</w:t>
      </w:r>
      <w:r w:rsidRPr="0093386F">
        <w:rPr>
          <w:rFonts w:cstheme="minorHAnsi"/>
        </w:rPr>
        <w:t xml:space="preserve">(1424), 975–985. </w:t>
      </w:r>
      <w:bookmarkStart w:id="8" w:name="_Hlk92128015"/>
      <w:r w:rsidRPr="0093386F">
        <w:rPr>
          <w:rFonts w:cstheme="minorHAnsi"/>
        </w:rPr>
        <w:t xml:space="preserve">Available at </w:t>
      </w:r>
      <w:bookmarkEnd w:id="8"/>
      <w:r w:rsidRPr="0093386F">
        <w:rPr>
          <w:rFonts w:cstheme="minorHAnsi"/>
        </w:rPr>
        <w:fldChar w:fldCharType="begin"/>
      </w:r>
      <w:r w:rsidRPr="0093386F">
        <w:rPr>
          <w:rFonts w:cstheme="minorHAnsi"/>
        </w:rPr>
        <w:instrText xml:space="preserve"> HYPERLINK "http://www.jstor.org/stable/3066742" </w:instrText>
      </w:r>
      <w:r w:rsidRPr="0093386F">
        <w:rPr>
          <w:rFonts w:cstheme="minorHAnsi"/>
        </w:rPr>
        <w:fldChar w:fldCharType="separate"/>
      </w:r>
      <w:r w:rsidRPr="0093386F">
        <w:rPr>
          <w:rFonts w:cstheme="minorHAnsi"/>
          <w:color w:val="0563C1" w:themeColor="hyperlink"/>
          <w:u w:val="single"/>
        </w:rPr>
        <w:t>http://www.jstor.org/stable/3066742</w:t>
      </w:r>
      <w:r w:rsidRPr="0093386F">
        <w:rPr>
          <w:rFonts w:cstheme="minorHAnsi"/>
          <w:color w:val="0563C1" w:themeColor="hyperlink"/>
          <w:u w:val="single"/>
        </w:rPr>
        <w:fldChar w:fldCharType="end"/>
      </w:r>
      <w:r w:rsidRPr="0093386F">
        <w:rPr>
          <w:rFonts w:cstheme="minorHAnsi"/>
        </w:rPr>
        <w:t xml:space="preserve"> (Accessed: 1/12/2021)</w:t>
      </w:r>
    </w:p>
    <w:p w14:paraId="445359CF" w14:textId="77777777" w:rsidR="0093386F" w:rsidRPr="0093386F" w:rsidRDefault="0093386F" w:rsidP="0093386F">
      <w:pPr>
        <w:spacing w:line="276" w:lineRule="auto"/>
        <w:rPr>
          <w:rFonts w:cstheme="minorHAnsi"/>
        </w:rPr>
      </w:pPr>
      <w:proofErr w:type="spellStart"/>
      <w:r w:rsidRPr="0093386F">
        <w:rPr>
          <w:rFonts w:cstheme="minorHAnsi"/>
        </w:rPr>
        <w:t>Eynde</w:t>
      </w:r>
      <w:proofErr w:type="spellEnd"/>
      <w:r w:rsidRPr="0093386F">
        <w:rPr>
          <w:rFonts w:cstheme="minorHAnsi"/>
        </w:rPr>
        <w:t xml:space="preserve">, P. O. ’t, &amp; Turner, J. E. (2006). Focusing on the Complexity of Emotion Issues in Academic Learning: A Dynamical Component Systems Approach. </w:t>
      </w:r>
      <w:r w:rsidRPr="0093386F">
        <w:rPr>
          <w:rFonts w:cstheme="minorHAnsi"/>
          <w:i/>
          <w:iCs/>
        </w:rPr>
        <w:t>Educational Psychology Review</w:t>
      </w:r>
      <w:r w:rsidRPr="0093386F">
        <w:rPr>
          <w:rFonts w:cstheme="minorHAnsi"/>
        </w:rPr>
        <w:t xml:space="preserve">, </w:t>
      </w:r>
      <w:r w:rsidRPr="0093386F">
        <w:rPr>
          <w:rFonts w:cstheme="minorHAnsi"/>
          <w:i/>
          <w:iCs/>
        </w:rPr>
        <w:t>18</w:t>
      </w:r>
      <w:r w:rsidRPr="0093386F">
        <w:rPr>
          <w:rFonts w:cstheme="minorHAnsi"/>
        </w:rPr>
        <w:t xml:space="preserve">(4), 361–376. Available at: </w:t>
      </w:r>
      <w:hyperlink r:id="rId22" w:history="1">
        <w:r w:rsidRPr="0093386F">
          <w:rPr>
            <w:rFonts w:cstheme="minorHAnsi"/>
            <w:color w:val="0563C1" w:themeColor="hyperlink"/>
            <w:u w:val="single"/>
          </w:rPr>
          <w:t>http://www.jstor.org/s</w:t>
        </w:r>
        <w:r w:rsidRPr="0093386F">
          <w:rPr>
            <w:rFonts w:cstheme="minorHAnsi"/>
            <w:color w:val="0563C1" w:themeColor="hyperlink"/>
            <w:u w:val="single"/>
          </w:rPr>
          <w:t>t</w:t>
        </w:r>
        <w:r w:rsidRPr="0093386F">
          <w:rPr>
            <w:rFonts w:cstheme="minorHAnsi"/>
            <w:color w:val="0563C1" w:themeColor="hyperlink"/>
            <w:u w:val="single"/>
          </w:rPr>
          <w:t>able/23364155</w:t>
        </w:r>
      </w:hyperlink>
      <w:r w:rsidRPr="0093386F">
        <w:rPr>
          <w:rFonts w:cstheme="minorHAnsi"/>
        </w:rPr>
        <w:t xml:space="preserve"> (Accessed: 1/12/2021)</w:t>
      </w:r>
    </w:p>
    <w:p w14:paraId="4CA93490" w14:textId="77777777" w:rsidR="0093386F" w:rsidRPr="0093386F" w:rsidRDefault="0093386F" w:rsidP="0093386F">
      <w:pPr>
        <w:spacing w:line="276" w:lineRule="auto"/>
        <w:rPr>
          <w:rFonts w:cstheme="minorHAnsi"/>
        </w:rPr>
      </w:pPr>
      <w:proofErr w:type="spellStart"/>
      <w:r w:rsidRPr="0093386F">
        <w:rPr>
          <w:rFonts w:cstheme="minorHAnsi"/>
        </w:rPr>
        <w:t>Friedl</w:t>
      </w:r>
      <w:proofErr w:type="spellEnd"/>
      <w:r w:rsidRPr="0093386F">
        <w:rPr>
          <w:rFonts w:cstheme="minorHAnsi"/>
        </w:rPr>
        <w:t xml:space="preserve">, B. (2010). Emotions and Nineteenth-Century American Art. In J. C. E. </w:t>
      </w:r>
      <w:proofErr w:type="spellStart"/>
      <w:r w:rsidRPr="0093386F">
        <w:rPr>
          <w:rFonts w:cstheme="minorHAnsi"/>
        </w:rPr>
        <w:t>Gienow</w:t>
      </w:r>
      <w:proofErr w:type="spellEnd"/>
      <w:r w:rsidRPr="0093386F">
        <w:rPr>
          <w:rFonts w:cstheme="minorHAnsi"/>
        </w:rPr>
        <w:t xml:space="preserve">-Hecht (Ed.), </w:t>
      </w:r>
      <w:r w:rsidRPr="0093386F">
        <w:rPr>
          <w:rFonts w:cstheme="minorHAnsi"/>
          <w:i/>
          <w:iCs/>
        </w:rPr>
        <w:t>Emotions in American History: An International Assessment</w:t>
      </w:r>
      <w:r w:rsidRPr="0093386F">
        <w:rPr>
          <w:rFonts w:cstheme="minorHAnsi"/>
        </w:rPr>
        <w:t xml:space="preserve"> (NED-New edition, 1, pp. 158–178). </w:t>
      </w:r>
      <w:proofErr w:type="spellStart"/>
      <w:r w:rsidRPr="0093386F">
        <w:rPr>
          <w:rFonts w:cstheme="minorHAnsi"/>
        </w:rPr>
        <w:t>Berghahn</w:t>
      </w:r>
      <w:proofErr w:type="spellEnd"/>
      <w:r w:rsidRPr="0093386F">
        <w:rPr>
          <w:rFonts w:cstheme="minorHAnsi"/>
        </w:rPr>
        <w:t xml:space="preserve"> Books. </w:t>
      </w:r>
    </w:p>
    <w:p w14:paraId="12525467" w14:textId="77777777" w:rsidR="0093386F" w:rsidRPr="0093386F" w:rsidRDefault="0093386F" w:rsidP="0093386F">
      <w:pPr>
        <w:spacing w:line="276" w:lineRule="auto"/>
        <w:rPr>
          <w:rFonts w:cstheme="minorHAnsi"/>
        </w:rPr>
      </w:pPr>
      <w:proofErr w:type="spellStart"/>
      <w:r w:rsidRPr="0093386F">
        <w:rPr>
          <w:rFonts w:cstheme="minorHAnsi"/>
        </w:rPr>
        <w:t>Kareklas</w:t>
      </w:r>
      <w:proofErr w:type="spellEnd"/>
      <w:r w:rsidRPr="0093386F">
        <w:rPr>
          <w:rFonts w:cstheme="minorHAnsi"/>
        </w:rPr>
        <w:t xml:space="preserve">, I., Brunel, F. F., &amp; Coulter, R. A. (2014). Judgment is not </w:t>
      </w:r>
      <w:proofErr w:type="spellStart"/>
      <w:r w:rsidRPr="0093386F">
        <w:rPr>
          <w:rFonts w:cstheme="minorHAnsi"/>
        </w:rPr>
        <w:t>color</w:t>
      </w:r>
      <w:proofErr w:type="spellEnd"/>
      <w:r w:rsidRPr="0093386F">
        <w:rPr>
          <w:rFonts w:cstheme="minorHAnsi"/>
        </w:rPr>
        <w:t xml:space="preserve"> blind: The impact of automatic </w:t>
      </w:r>
      <w:proofErr w:type="spellStart"/>
      <w:r w:rsidRPr="0093386F">
        <w:rPr>
          <w:rFonts w:cstheme="minorHAnsi"/>
        </w:rPr>
        <w:t>color</w:t>
      </w:r>
      <w:proofErr w:type="spellEnd"/>
      <w:r w:rsidRPr="0093386F">
        <w:rPr>
          <w:rFonts w:cstheme="minorHAnsi"/>
        </w:rPr>
        <w:t xml:space="preserve"> preference on product and advertising preferences. </w:t>
      </w:r>
      <w:r w:rsidRPr="0093386F">
        <w:rPr>
          <w:rFonts w:cstheme="minorHAnsi"/>
          <w:i/>
          <w:iCs/>
        </w:rPr>
        <w:t>Journal of Consumer Psychology</w:t>
      </w:r>
      <w:r w:rsidRPr="0093386F">
        <w:rPr>
          <w:rFonts w:cstheme="minorHAnsi"/>
        </w:rPr>
        <w:t xml:space="preserve">, </w:t>
      </w:r>
      <w:r w:rsidRPr="0093386F">
        <w:rPr>
          <w:rFonts w:cstheme="minorHAnsi"/>
          <w:i/>
          <w:iCs/>
        </w:rPr>
        <w:t>24</w:t>
      </w:r>
      <w:r w:rsidRPr="0093386F">
        <w:rPr>
          <w:rFonts w:cstheme="minorHAnsi"/>
        </w:rPr>
        <w:t xml:space="preserve">(1), 87–95. Available at: </w:t>
      </w:r>
      <w:hyperlink r:id="rId23" w:history="1">
        <w:r w:rsidRPr="0093386F">
          <w:rPr>
            <w:rFonts w:cstheme="minorHAnsi"/>
            <w:color w:val="0563C1" w:themeColor="hyperlink"/>
            <w:u w:val="single"/>
          </w:rPr>
          <w:t>https://www.jstor.org/stable/26617985</w:t>
        </w:r>
      </w:hyperlink>
      <w:r w:rsidRPr="0093386F">
        <w:rPr>
          <w:rFonts w:cstheme="minorHAnsi"/>
        </w:rPr>
        <w:t xml:space="preserve">  (Accessed: 1/12/2021)</w:t>
      </w:r>
    </w:p>
    <w:p w14:paraId="7B7CAFF5" w14:textId="77777777" w:rsidR="0093386F" w:rsidRPr="0093386F" w:rsidRDefault="0093386F" w:rsidP="0093386F">
      <w:pPr>
        <w:spacing w:line="276" w:lineRule="auto"/>
        <w:rPr>
          <w:rFonts w:cstheme="minorHAnsi"/>
        </w:rPr>
      </w:pPr>
      <w:proofErr w:type="spellStart"/>
      <w:r w:rsidRPr="0093386F">
        <w:rPr>
          <w:rFonts w:cstheme="minorHAnsi"/>
        </w:rPr>
        <w:t>Nünning</w:t>
      </w:r>
      <w:proofErr w:type="spellEnd"/>
      <w:r w:rsidRPr="0093386F">
        <w:rPr>
          <w:rFonts w:cstheme="minorHAnsi"/>
        </w:rPr>
        <w:t xml:space="preserve">, V. (2017). The Affective Value of Fiction: Presenting and Evoking Emotions. In I. </w:t>
      </w:r>
      <w:proofErr w:type="spellStart"/>
      <w:r w:rsidRPr="0093386F">
        <w:rPr>
          <w:rFonts w:cstheme="minorHAnsi"/>
        </w:rPr>
        <w:t>Jandl</w:t>
      </w:r>
      <w:proofErr w:type="spellEnd"/>
      <w:r w:rsidRPr="0093386F">
        <w:rPr>
          <w:rFonts w:cstheme="minorHAnsi"/>
        </w:rPr>
        <w:t xml:space="preserve">, S. </w:t>
      </w:r>
      <w:proofErr w:type="spellStart"/>
      <w:r w:rsidRPr="0093386F">
        <w:rPr>
          <w:rFonts w:cstheme="minorHAnsi"/>
        </w:rPr>
        <w:t>Knaller</w:t>
      </w:r>
      <w:proofErr w:type="spellEnd"/>
      <w:r w:rsidRPr="0093386F">
        <w:rPr>
          <w:rFonts w:cstheme="minorHAnsi"/>
        </w:rPr>
        <w:t xml:space="preserve">, S. </w:t>
      </w:r>
      <w:proofErr w:type="spellStart"/>
      <w:r w:rsidRPr="0093386F">
        <w:rPr>
          <w:rFonts w:cstheme="minorHAnsi"/>
        </w:rPr>
        <w:t>Schönfellner</w:t>
      </w:r>
      <w:proofErr w:type="spellEnd"/>
      <w:r w:rsidRPr="0093386F">
        <w:rPr>
          <w:rFonts w:cstheme="minorHAnsi"/>
        </w:rPr>
        <w:t xml:space="preserve">, &amp; G. </w:t>
      </w:r>
      <w:proofErr w:type="spellStart"/>
      <w:r w:rsidRPr="0093386F">
        <w:rPr>
          <w:rFonts w:cstheme="minorHAnsi"/>
        </w:rPr>
        <w:t>Tockner</w:t>
      </w:r>
      <w:proofErr w:type="spellEnd"/>
      <w:r w:rsidRPr="0093386F">
        <w:rPr>
          <w:rFonts w:cstheme="minorHAnsi"/>
        </w:rPr>
        <w:t xml:space="preserve"> (Eds (pp. 29–54). Transcript Verlag. </w:t>
      </w:r>
    </w:p>
    <w:p w14:paraId="79774136" w14:textId="77777777" w:rsidR="0093386F" w:rsidRPr="0093386F" w:rsidRDefault="0093386F" w:rsidP="0093386F">
      <w:pPr>
        <w:spacing w:line="276" w:lineRule="auto"/>
        <w:rPr>
          <w:rFonts w:cstheme="minorHAnsi"/>
        </w:rPr>
      </w:pPr>
      <w:proofErr w:type="spellStart"/>
      <w:r w:rsidRPr="0093386F">
        <w:rPr>
          <w:rFonts w:cstheme="minorHAnsi"/>
        </w:rPr>
        <w:t>Plutchik</w:t>
      </w:r>
      <w:proofErr w:type="spellEnd"/>
      <w:r w:rsidRPr="0093386F">
        <w:rPr>
          <w:rFonts w:cstheme="minorHAnsi"/>
        </w:rPr>
        <w:t xml:space="preserve">, R. (2001). The Nature of Emotions: Human emotions have deep evolutionary roots, a fact that may explain their complexity and provide tools for clinical practice. </w:t>
      </w:r>
      <w:r w:rsidRPr="0093386F">
        <w:rPr>
          <w:rFonts w:cstheme="minorHAnsi"/>
          <w:i/>
          <w:iCs/>
        </w:rPr>
        <w:t>American Scientist</w:t>
      </w:r>
      <w:r w:rsidRPr="0093386F">
        <w:rPr>
          <w:rFonts w:cstheme="minorHAnsi"/>
        </w:rPr>
        <w:t xml:space="preserve">, </w:t>
      </w:r>
      <w:r w:rsidRPr="0093386F">
        <w:rPr>
          <w:rFonts w:cstheme="minorHAnsi"/>
          <w:i/>
          <w:iCs/>
        </w:rPr>
        <w:t>89</w:t>
      </w:r>
      <w:r w:rsidRPr="0093386F">
        <w:rPr>
          <w:rFonts w:cstheme="minorHAnsi"/>
        </w:rPr>
        <w:t xml:space="preserve">(4), 344–350. Available at: </w:t>
      </w:r>
      <w:hyperlink r:id="rId24" w:history="1">
        <w:r w:rsidRPr="0093386F">
          <w:rPr>
            <w:rFonts w:cstheme="minorHAnsi"/>
            <w:color w:val="0563C1" w:themeColor="hyperlink"/>
            <w:u w:val="single"/>
          </w:rPr>
          <w:t>http://www.jstor.org/stable/27857503</w:t>
        </w:r>
      </w:hyperlink>
      <w:r w:rsidRPr="0093386F">
        <w:rPr>
          <w:rFonts w:cstheme="minorHAnsi"/>
        </w:rPr>
        <w:t xml:space="preserve"> (Accessed: 1/12/2021)</w:t>
      </w:r>
    </w:p>
    <w:p w14:paraId="6F0DB484" w14:textId="77777777" w:rsidR="0093386F" w:rsidRPr="0093386F" w:rsidRDefault="0093386F" w:rsidP="0093386F">
      <w:pPr>
        <w:spacing w:line="276" w:lineRule="auto"/>
        <w:rPr>
          <w:rFonts w:cstheme="minorHAnsi"/>
        </w:rPr>
      </w:pPr>
      <w:r w:rsidRPr="0093386F">
        <w:rPr>
          <w:rFonts w:cstheme="minorHAnsi"/>
        </w:rPr>
        <w:t>Sheringham, M. (2017). Language, Colour, and the Enigma of Everydayness. (NED-New edition, Vol. 2, pp. 198–218). Modern Humanities Research Association.</w:t>
      </w:r>
    </w:p>
    <w:p w14:paraId="561A96A8" w14:textId="77777777" w:rsidR="0093386F" w:rsidRPr="0093386F" w:rsidRDefault="0093386F" w:rsidP="00011066">
      <w:pPr>
        <w:rPr>
          <w:rFonts w:cstheme="minorHAnsi"/>
        </w:rPr>
      </w:pPr>
    </w:p>
    <w:sectPr w:rsidR="0093386F" w:rsidRPr="0093386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abriela Sobieraj" w:date="2021-11-18T18:57:00Z" w:initials="GS">
    <w:p w14:paraId="028AEA9B" w14:textId="77777777" w:rsidR="002266CA" w:rsidRPr="006112CF" w:rsidRDefault="002266CA" w:rsidP="002266CA">
      <w:pPr>
        <w:pStyle w:val="CommentText"/>
      </w:pPr>
      <w:r>
        <w:rPr>
          <w:rStyle w:val="CommentReference"/>
        </w:rPr>
        <w:annotationRef/>
      </w:r>
      <w:r w:rsidRPr="006112CF">
        <w:t>500 words-     introduction (what is semiotics) [around 125 words]</w:t>
      </w:r>
    </w:p>
    <w:p w14:paraId="2656E153" w14:textId="77777777" w:rsidR="002266CA" w:rsidRPr="006112CF" w:rsidRDefault="002266CA" w:rsidP="002266CA">
      <w:pPr>
        <w:pStyle w:val="CommentText"/>
        <w:numPr>
          <w:ilvl w:val="0"/>
          <w:numId w:val="1"/>
        </w:numPr>
      </w:pPr>
      <w:r w:rsidRPr="006112CF">
        <w:t>Aspect one of semiotics [around 100 words]</w:t>
      </w:r>
    </w:p>
    <w:p w14:paraId="6E0EFCA7" w14:textId="77777777" w:rsidR="002266CA" w:rsidRPr="006112CF" w:rsidRDefault="002266CA" w:rsidP="002266CA">
      <w:pPr>
        <w:pStyle w:val="CommentText"/>
        <w:numPr>
          <w:ilvl w:val="0"/>
          <w:numId w:val="1"/>
        </w:numPr>
      </w:pPr>
      <w:r w:rsidRPr="006112CF">
        <w:t>Aspect two of semiotics [around 100 words]</w:t>
      </w:r>
    </w:p>
    <w:p w14:paraId="4FFF78CB" w14:textId="77777777" w:rsidR="002266CA" w:rsidRPr="006112CF" w:rsidRDefault="002266CA" w:rsidP="002266CA">
      <w:pPr>
        <w:pStyle w:val="CommentText"/>
        <w:numPr>
          <w:ilvl w:val="0"/>
          <w:numId w:val="1"/>
        </w:numPr>
      </w:pPr>
      <w:r w:rsidRPr="006112CF">
        <w:t>Aspect three of semiotics [around 100 words]</w:t>
      </w:r>
    </w:p>
    <w:p w14:paraId="16C9F3C4" w14:textId="77777777" w:rsidR="002266CA" w:rsidRPr="006112CF" w:rsidRDefault="002266CA" w:rsidP="002266CA">
      <w:pPr>
        <w:pStyle w:val="CommentText"/>
        <w:numPr>
          <w:ilvl w:val="0"/>
          <w:numId w:val="1"/>
        </w:numPr>
      </w:pPr>
      <w:r w:rsidRPr="006112CF">
        <w:t>Conclusion (how my understanding has changed) [around 75 words]</w:t>
      </w:r>
    </w:p>
    <w:p w14:paraId="5C996EE2" w14:textId="77777777" w:rsidR="002266CA" w:rsidRDefault="002266CA" w:rsidP="002266CA">
      <w:pPr>
        <w:pStyle w:val="CommentText"/>
      </w:pPr>
    </w:p>
  </w:comment>
  <w:comment w:id="3" w:author="Gabriela Sobieraj" w:date="2021-11-18T19:37:00Z" w:initials="GS">
    <w:p w14:paraId="7052EEA8" w14:textId="77777777" w:rsidR="003E3ACD" w:rsidRDefault="003E3ACD" w:rsidP="003E3ACD">
      <w:pPr>
        <w:pStyle w:val="CommentText"/>
      </w:pPr>
      <w:r>
        <w:rPr>
          <w:rStyle w:val="CommentReference"/>
        </w:rPr>
        <w:annotationRef/>
      </w:r>
      <w:r>
        <w:t>500 words</w:t>
      </w:r>
    </w:p>
    <w:p w14:paraId="389A9B4B" w14:textId="77777777" w:rsidR="003E3ACD" w:rsidRDefault="003E3ACD" w:rsidP="003E3ACD">
      <w:pPr>
        <w:pStyle w:val="CommentText"/>
      </w:pPr>
      <w:r>
        <w:t>-About 166 words about each point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C996EE2" w15:done="0"/>
  <w15:commentEx w15:paraId="389A9B4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412097" w16cex:dateUtc="2021-11-18T18:57:00Z"/>
  <w16cex:commentExtensible w16cex:durableId="254129F5" w16cex:dateUtc="2021-11-18T19: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C996EE2" w16cid:durableId="25412097"/>
  <w16cid:commentId w16cid:paraId="389A9B4B" w16cid:durableId="254129F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25F72"/>
    <w:multiLevelType w:val="hybridMultilevel"/>
    <w:tmpl w:val="F81CF0F8"/>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0750ED"/>
    <w:multiLevelType w:val="hybridMultilevel"/>
    <w:tmpl w:val="D9204E8A"/>
    <w:lvl w:ilvl="0" w:tplc="F6E44A6E">
      <w:start w:val="500"/>
      <w:numFmt w:val="bullet"/>
      <w:lvlText w:val="-"/>
      <w:lvlJc w:val="left"/>
      <w:pPr>
        <w:ind w:left="1270" w:hanging="360"/>
      </w:pPr>
      <w:rPr>
        <w:rFonts w:ascii="Calibri" w:eastAsiaTheme="minorHAnsi" w:hAnsi="Calibri" w:cs="Calibri" w:hint="default"/>
      </w:rPr>
    </w:lvl>
    <w:lvl w:ilvl="1" w:tplc="08090003" w:tentative="1">
      <w:start w:val="1"/>
      <w:numFmt w:val="bullet"/>
      <w:lvlText w:val="o"/>
      <w:lvlJc w:val="left"/>
      <w:pPr>
        <w:ind w:left="1990" w:hanging="360"/>
      </w:pPr>
      <w:rPr>
        <w:rFonts w:ascii="Courier New" w:hAnsi="Courier New" w:cs="Courier New" w:hint="default"/>
      </w:rPr>
    </w:lvl>
    <w:lvl w:ilvl="2" w:tplc="08090005" w:tentative="1">
      <w:start w:val="1"/>
      <w:numFmt w:val="bullet"/>
      <w:lvlText w:val=""/>
      <w:lvlJc w:val="left"/>
      <w:pPr>
        <w:ind w:left="2710" w:hanging="360"/>
      </w:pPr>
      <w:rPr>
        <w:rFonts w:ascii="Wingdings" w:hAnsi="Wingdings" w:hint="default"/>
      </w:rPr>
    </w:lvl>
    <w:lvl w:ilvl="3" w:tplc="08090001" w:tentative="1">
      <w:start w:val="1"/>
      <w:numFmt w:val="bullet"/>
      <w:lvlText w:val=""/>
      <w:lvlJc w:val="left"/>
      <w:pPr>
        <w:ind w:left="3430" w:hanging="360"/>
      </w:pPr>
      <w:rPr>
        <w:rFonts w:ascii="Symbol" w:hAnsi="Symbol" w:hint="default"/>
      </w:rPr>
    </w:lvl>
    <w:lvl w:ilvl="4" w:tplc="08090003" w:tentative="1">
      <w:start w:val="1"/>
      <w:numFmt w:val="bullet"/>
      <w:lvlText w:val="o"/>
      <w:lvlJc w:val="left"/>
      <w:pPr>
        <w:ind w:left="4150" w:hanging="360"/>
      </w:pPr>
      <w:rPr>
        <w:rFonts w:ascii="Courier New" w:hAnsi="Courier New" w:cs="Courier New" w:hint="default"/>
      </w:rPr>
    </w:lvl>
    <w:lvl w:ilvl="5" w:tplc="08090005" w:tentative="1">
      <w:start w:val="1"/>
      <w:numFmt w:val="bullet"/>
      <w:lvlText w:val=""/>
      <w:lvlJc w:val="left"/>
      <w:pPr>
        <w:ind w:left="4870" w:hanging="360"/>
      </w:pPr>
      <w:rPr>
        <w:rFonts w:ascii="Wingdings" w:hAnsi="Wingdings" w:hint="default"/>
      </w:rPr>
    </w:lvl>
    <w:lvl w:ilvl="6" w:tplc="08090001" w:tentative="1">
      <w:start w:val="1"/>
      <w:numFmt w:val="bullet"/>
      <w:lvlText w:val=""/>
      <w:lvlJc w:val="left"/>
      <w:pPr>
        <w:ind w:left="5590" w:hanging="360"/>
      </w:pPr>
      <w:rPr>
        <w:rFonts w:ascii="Symbol" w:hAnsi="Symbol" w:hint="default"/>
      </w:rPr>
    </w:lvl>
    <w:lvl w:ilvl="7" w:tplc="08090003" w:tentative="1">
      <w:start w:val="1"/>
      <w:numFmt w:val="bullet"/>
      <w:lvlText w:val="o"/>
      <w:lvlJc w:val="left"/>
      <w:pPr>
        <w:ind w:left="6310" w:hanging="360"/>
      </w:pPr>
      <w:rPr>
        <w:rFonts w:ascii="Courier New" w:hAnsi="Courier New" w:cs="Courier New" w:hint="default"/>
      </w:rPr>
    </w:lvl>
    <w:lvl w:ilvl="8" w:tplc="08090005" w:tentative="1">
      <w:start w:val="1"/>
      <w:numFmt w:val="bullet"/>
      <w:lvlText w:val=""/>
      <w:lvlJc w:val="left"/>
      <w:pPr>
        <w:ind w:left="703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briela Sobieraj">
    <w15:presenceInfo w15:providerId="Windows Live" w15:userId="7148e38619b940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066"/>
    <w:rsid w:val="00006D23"/>
    <w:rsid w:val="00011066"/>
    <w:rsid w:val="002266CA"/>
    <w:rsid w:val="003E3ACD"/>
    <w:rsid w:val="00534951"/>
    <w:rsid w:val="005B07AE"/>
    <w:rsid w:val="007F7511"/>
    <w:rsid w:val="0093386F"/>
    <w:rsid w:val="00D20DF5"/>
    <w:rsid w:val="00DC1788"/>
    <w:rsid w:val="00F37420"/>
    <w:rsid w:val="00FA2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D9D34"/>
  <w15:chartTrackingRefBased/>
  <w15:docId w15:val="{878D64A2-D3E6-427F-9889-1E2AC5314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6CA"/>
    <w:pPr>
      <w:ind w:left="720"/>
      <w:contextualSpacing/>
    </w:pPr>
  </w:style>
  <w:style w:type="character" w:styleId="Hyperlink">
    <w:name w:val="Hyperlink"/>
    <w:basedOn w:val="DefaultParagraphFont"/>
    <w:uiPriority w:val="99"/>
    <w:unhideWhenUsed/>
    <w:rsid w:val="002266CA"/>
    <w:rPr>
      <w:color w:val="0563C1" w:themeColor="hyperlink"/>
      <w:u w:val="single"/>
    </w:rPr>
  </w:style>
  <w:style w:type="character" w:styleId="CommentReference">
    <w:name w:val="annotation reference"/>
    <w:basedOn w:val="DefaultParagraphFont"/>
    <w:uiPriority w:val="99"/>
    <w:semiHidden/>
    <w:unhideWhenUsed/>
    <w:rsid w:val="002266CA"/>
    <w:rPr>
      <w:sz w:val="16"/>
      <w:szCs w:val="16"/>
    </w:rPr>
  </w:style>
  <w:style w:type="paragraph" w:styleId="CommentText">
    <w:name w:val="annotation text"/>
    <w:basedOn w:val="Normal"/>
    <w:link w:val="CommentTextChar"/>
    <w:uiPriority w:val="99"/>
    <w:semiHidden/>
    <w:unhideWhenUsed/>
    <w:rsid w:val="002266CA"/>
    <w:pPr>
      <w:spacing w:line="240" w:lineRule="auto"/>
    </w:pPr>
    <w:rPr>
      <w:sz w:val="20"/>
      <w:szCs w:val="20"/>
    </w:rPr>
  </w:style>
  <w:style w:type="character" w:customStyle="1" w:styleId="CommentTextChar">
    <w:name w:val="Comment Text Char"/>
    <w:basedOn w:val="DefaultParagraphFont"/>
    <w:link w:val="CommentText"/>
    <w:uiPriority w:val="99"/>
    <w:semiHidden/>
    <w:rsid w:val="002266CA"/>
    <w:rPr>
      <w:sz w:val="20"/>
      <w:szCs w:val="20"/>
    </w:rPr>
  </w:style>
  <w:style w:type="character" w:styleId="FollowedHyperlink">
    <w:name w:val="FollowedHyperlink"/>
    <w:basedOn w:val="DefaultParagraphFont"/>
    <w:uiPriority w:val="99"/>
    <w:semiHidden/>
    <w:unhideWhenUsed/>
    <w:rsid w:val="002266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www.theapplepost.com/2018/04/23/apple-shares-two-new-lifes-easier-on-iphone-ads/" TargetMode="External"/><Relationship Id="rId18" Type="http://schemas.openxmlformats.org/officeDocument/2006/relationships/hyperlink" Target="http://www.jstor.org/stable/40365921" TargetMode="External"/><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hyperlink" Target="https://doi.org/10.1086/588570" TargetMode="External"/><Relationship Id="rId7" Type="http://schemas.microsoft.com/office/2016/09/relationships/commentsIds" Target="commentsIds.xml"/><Relationship Id="rId12" Type="http://schemas.openxmlformats.org/officeDocument/2006/relationships/hyperlink" Target="https://doi.org/10.3758/s13428-015-0598-8" TargetMode="External"/><Relationship Id="rId17" Type="http://schemas.openxmlformats.org/officeDocument/2006/relationships/hyperlink" Target="http://www.jstor.org/stable/4065577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nnualreviews.org/doi/10.1146/annurev-psych-010416-044022" TargetMode="External"/><Relationship Id="rId20" Type="http://schemas.openxmlformats.org/officeDocument/2006/relationships/image" Target="media/image2.jpeg"/><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psycnet.apa.org/record/2005-02095-012" TargetMode="External"/><Relationship Id="rId24" Type="http://schemas.openxmlformats.org/officeDocument/2006/relationships/hyperlink" Target="http://www.jstor.org/stable/27857503" TargetMode="External"/><Relationship Id="rId5" Type="http://schemas.openxmlformats.org/officeDocument/2006/relationships/comments" Target="comments.xml"/><Relationship Id="rId15" Type="http://schemas.openxmlformats.org/officeDocument/2006/relationships/hyperlink" Target="http://www.jstor.org/stable/43497206" TargetMode="External"/><Relationship Id="rId23" Type="http://schemas.openxmlformats.org/officeDocument/2006/relationships/hyperlink" Target="https://www.jstor.org/stable/26617985" TargetMode="External"/><Relationship Id="rId10" Type="http://schemas.openxmlformats.org/officeDocument/2006/relationships/hyperlink" Target="https://www.differencebetween.com/difference-between-signifier-and-vs-signified/" TargetMode="External"/><Relationship Id="rId19" Type="http://schemas.openxmlformats.org/officeDocument/2006/relationships/hyperlink" Target="https://journals.sagepub.com/doi/abs/10.1177/0021886316688658"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theatlantic.com/education/archive/2015/10/complex-academic-writing/412255/" TargetMode="External"/><Relationship Id="rId22" Type="http://schemas.openxmlformats.org/officeDocument/2006/relationships/hyperlink" Target="http://www.jstor.org/stable/2336415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2557</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Sobieraj</dc:creator>
  <cp:keywords/>
  <dc:description/>
  <cp:lastModifiedBy>Gabriela Sobieraj</cp:lastModifiedBy>
  <cp:revision>2</cp:revision>
  <dcterms:created xsi:type="dcterms:W3CDTF">2022-01-03T20:40:00Z</dcterms:created>
  <dcterms:modified xsi:type="dcterms:W3CDTF">2022-01-03T20:40:00Z</dcterms:modified>
</cp:coreProperties>
</file>