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2A6659" w14:textId="77777777" w:rsidR="00C66036" w:rsidRDefault="009A442B">
      <w:r>
        <w:rPr>
          <w:noProof/>
        </w:rPr>
        <w:drawing>
          <wp:inline distT="0" distB="0" distL="0" distR="0" wp14:anchorId="37091765" wp14:editId="07777777">
            <wp:extent cx="2571750" cy="889297"/>
            <wp:effectExtent l="0" t="0" r="0" b="0"/>
            <wp:docPr id="105475896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571750" cy="889297"/>
                    </a:xfrm>
                    <a:prstGeom prst="rect">
                      <a:avLst/>
                    </a:prstGeom>
                    <a:ln/>
                  </pic:spPr>
                </pic:pic>
              </a:graphicData>
            </a:graphic>
          </wp:inline>
        </w:drawing>
      </w:r>
    </w:p>
    <w:p w14:paraId="0A37501D" w14:textId="77777777" w:rsidR="00C66036" w:rsidRDefault="00C66036"/>
    <w:p w14:paraId="5DAB6C7B" w14:textId="77777777" w:rsidR="00C66036" w:rsidRDefault="00C66036"/>
    <w:p w14:paraId="2BA4F7DA" w14:textId="77777777" w:rsidR="00C66036" w:rsidRDefault="009A442B">
      <w:pPr>
        <w:rPr>
          <w:rFonts w:ascii="Arial" w:eastAsia="Arial" w:hAnsi="Arial" w:cs="Arial"/>
          <w:b/>
          <w:sz w:val="28"/>
          <w:szCs w:val="28"/>
        </w:rPr>
      </w:pPr>
      <w:r>
        <w:rPr>
          <w:rFonts w:ascii="Arial" w:eastAsia="Arial" w:hAnsi="Arial" w:cs="Arial"/>
          <w:b/>
          <w:sz w:val="28"/>
          <w:szCs w:val="28"/>
        </w:rPr>
        <w:t>BSc Professional Investigation 2025/2026</w:t>
      </w:r>
    </w:p>
    <w:p w14:paraId="4997D016" w14:textId="77777777" w:rsidR="00C66036" w:rsidRDefault="009A442B">
      <w:pPr>
        <w:ind w:right="237"/>
        <w:rPr>
          <w:rFonts w:ascii="Arial" w:eastAsia="Arial" w:hAnsi="Arial" w:cs="Arial"/>
          <w:color w:val="000000"/>
          <w:sz w:val="28"/>
          <w:szCs w:val="28"/>
        </w:rPr>
      </w:pPr>
      <w:r>
        <w:rPr>
          <w:rFonts w:ascii="Arial" w:eastAsia="Arial" w:hAnsi="Arial" w:cs="Arial"/>
          <w:color w:val="000000"/>
          <w:sz w:val="28"/>
          <w:szCs w:val="28"/>
        </w:rPr>
        <w:t>Level 6 - 40 Credits</w:t>
      </w:r>
    </w:p>
    <w:p w14:paraId="02EB378F" w14:textId="77777777" w:rsidR="00C66036" w:rsidRDefault="00C66036">
      <w:pPr>
        <w:ind w:right="237"/>
        <w:rPr>
          <w:rFonts w:ascii="Arial" w:eastAsia="Arial" w:hAnsi="Arial" w:cs="Arial"/>
          <w:b/>
          <w:color w:val="000000"/>
          <w:sz w:val="28"/>
          <w:szCs w:val="28"/>
        </w:rPr>
      </w:pPr>
    </w:p>
    <w:p w14:paraId="6A05A809" w14:textId="77777777" w:rsidR="00C66036" w:rsidRDefault="00C66036">
      <w:pPr>
        <w:ind w:right="237"/>
        <w:rPr>
          <w:rFonts w:ascii="Arial" w:eastAsia="Arial" w:hAnsi="Arial" w:cs="Arial"/>
          <w:b/>
          <w:color w:val="000000"/>
          <w:sz w:val="28"/>
          <w:szCs w:val="28"/>
        </w:rPr>
      </w:pPr>
    </w:p>
    <w:p w14:paraId="04C6A98E" w14:textId="77777777" w:rsidR="00C66036" w:rsidRDefault="009A442B">
      <w:pPr>
        <w:ind w:right="237"/>
        <w:rPr>
          <w:rFonts w:ascii="Arial" w:eastAsia="Arial" w:hAnsi="Arial" w:cs="Arial"/>
          <w:color w:val="000000"/>
          <w:sz w:val="28"/>
          <w:szCs w:val="28"/>
        </w:rPr>
      </w:pPr>
      <w:r>
        <w:rPr>
          <w:rFonts w:ascii="Arial" w:eastAsia="Arial" w:hAnsi="Arial" w:cs="Arial"/>
          <w:color w:val="000000"/>
          <w:sz w:val="28"/>
          <w:szCs w:val="28"/>
        </w:rPr>
        <w:t>Workbook title: Competency Based Workbook 1</w:t>
      </w:r>
    </w:p>
    <w:p w14:paraId="6F55008C" w14:textId="77777777" w:rsidR="00C66036" w:rsidRDefault="009A442B">
      <w:pPr>
        <w:ind w:right="237"/>
        <w:rPr>
          <w:rFonts w:ascii="Arial" w:eastAsia="Arial" w:hAnsi="Arial" w:cs="Arial"/>
          <w:b/>
          <w:color w:val="000000"/>
          <w:sz w:val="28"/>
          <w:szCs w:val="28"/>
        </w:rPr>
      </w:pPr>
      <w:r>
        <w:rPr>
          <w:rFonts w:ascii="Arial" w:eastAsia="Arial" w:hAnsi="Arial" w:cs="Arial"/>
          <w:b/>
          <w:sz w:val="28"/>
          <w:szCs w:val="28"/>
        </w:rPr>
        <w:t>Module BMPI6001D – Investigation in the Workplace</w:t>
      </w:r>
    </w:p>
    <w:p w14:paraId="5A39BBE3" w14:textId="77777777" w:rsidR="00C66036" w:rsidRDefault="00C66036">
      <w:pPr>
        <w:ind w:right="237"/>
        <w:rPr>
          <w:rFonts w:ascii="Arial" w:eastAsia="Arial" w:hAnsi="Arial" w:cs="Arial"/>
          <w:b/>
          <w:sz w:val="28"/>
          <w:szCs w:val="28"/>
        </w:rPr>
      </w:pPr>
    </w:p>
    <w:p w14:paraId="41C8F396" w14:textId="77777777" w:rsidR="00C66036" w:rsidRDefault="00C66036">
      <w:pPr>
        <w:ind w:right="237"/>
        <w:rPr>
          <w:rFonts w:ascii="Arial" w:eastAsia="Arial" w:hAnsi="Arial" w:cs="Arial"/>
          <w:b/>
          <w:sz w:val="28"/>
          <w:szCs w:val="28"/>
        </w:rPr>
      </w:pPr>
    </w:p>
    <w:p w14:paraId="72A3D3EC" w14:textId="77777777" w:rsidR="00C66036" w:rsidRDefault="00C66036">
      <w:pPr>
        <w:ind w:right="237"/>
        <w:rPr>
          <w:rFonts w:ascii="Arial" w:eastAsia="Arial" w:hAnsi="Arial" w:cs="Arial"/>
          <w:b/>
          <w:sz w:val="28"/>
          <w:szCs w:val="28"/>
        </w:rPr>
      </w:pPr>
    </w:p>
    <w:p w14:paraId="520AA64D" w14:textId="014871BD" w:rsidR="00C66036" w:rsidRDefault="009A442B">
      <w:pPr>
        <w:pBdr>
          <w:top w:val="single" w:sz="4" w:space="4" w:color="000000"/>
          <w:left w:val="single" w:sz="4" w:space="4" w:color="000000"/>
          <w:bottom w:val="single" w:sz="4" w:space="4" w:color="000000"/>
          <w:right w:val="single" w:sz="4" w:space="4" w:color="000000"/>
        </w:pBdr>
        <w:rPr>
          <w:rFonts w:ascii="Arial" w:eastAsia="Arial" w:hAnsi="Arial" w:cs="Arial"/>
          <w:sz w:val="36"/>
          <w:szCs w:val="36"/>
        </w:rPr>
      </w:pPr>
      <w:r>
        <w:rPr>
          <w:rFonts w:ascii="Arial" w:eastAsia="Arial" w:hAnsi="Arial" w:cs="Arial"/>
          <w:b/>
          <w:sz w:val="28"/>
          <w:szCs w:val="28"/>
        </w:rPr>
        <w:t>Submission Deadline 23:59hrs on 1</w:t>
      </w:r>
      <w:r w:rsidR="00B41623">
        <w:rPr>
          <w:rFonts w:ascii="Arial" w:eastAsia="Arial" w:hAnsi="Arial" w:cs="Arial"/>
          <w:b/>
          <w:sz w:val="28"/>
          <w:szCs w:val="28"/>
        </w:rPr>
        <w:t>6</w:t>
      </w:r>
      <w:r>
        <w:rPr>
          <w:rFonts w:ascii="Arial" w:eastAsia="Arial" w:hAnsi="Arial" w:cs="Arial"/>
          <w:b/>
          <w:sz w:val="28"/>
          <w:szCs w:val="28"/>
        </w:rPr>
        <w:t xml:space="preserve"> January 2026</w:t>
      </w:r>
    </w:p>
    <w:p w14:paraId="0D0B940D" w14:textId="77777777" w:rsidR="00C66036" w:rsidRDefault="00C66036">
      <w:pPr>
        <w:rPr>
          <w:rFonts w:ascii="Arial" w:eastAsia="Arial" w:hAnsi="Arial" w:cs="Arial"/>
          <w:sz w:val="36"/>
          <w:szCs w:val="36"/>
        </w:rPr>
      </w:pPr>
    </w:p>
    <w:p w14:paraId="709D84DB" w14:textId="3FE941FB" w:rsidR="00C66036" w:rsidRDefault="009A442B">
      <w:pPr>
        <w:rPr>
          <w:rFonts w:ascii="Arial" w:eastAsia="Arial" w:hAnsi="Arial" w:cs="Arial"/>
          <w:sz w:val="36"/>
          <w:szCs w:val="36"/>
        </w:rPr>
      </w:pPr>
      <w:r>
        <w:rPr>
          <w:rFonts w:ascii="Arial" w:eastAsia="Arial" w:hAnsi="Arial" w:cs="Arial"/>
          <w:sz w:val="28"/>
          <w:szCs w:val="28"/>
        </w:rPr>
        <w:t>Student name</w:t>
      </w:r>
      <w:r w:rsidR="0001757D">
        <w:rPr>
          <w:rFonts w:ascii="Arial" w:eastAsia="Arial" w:hAnsi="Arial" w:cs="Arial"/>
          <w:sz w:val="28"/>
          <w:szCs w:val="28"/>
        </w:rPr>
        <w:t xml:space="preserve">- Mark BURGE </w:t>
      </w:r>
      <w:r>
        <w:rPr>
          <w:rFonts w:ascii="Arial" w:eastAsia="Arial" w:hAnsi="Arial" w:cs="Arial"/>
          <w:sz w:val="28"/>
          <w:szCs w:val="28"/>
        </w:rPr>
        <w:t>___________________________________</w:t>
      </w:r>
    </w:p>
    <w:p w14:paraId="0E27B00A" w14:textId="77777777" w:rsidR="00C66036" w:rsidRDefault="00C66036">
      <w:pPr>
        <w:rPr>
          <w:rFonts w:ascii="Arial" w:eastAsia="Arial" w:hAnsi="Arial" w:cs="Arial"/>
          <w:sz w:val="28"/>
          <w:szCs w:val="28"/>
        </w:rPr>
      </w:pPr>
    </w:p>
    <w:p w14:paraId="1E6B134D" w14:textId="169FCF45" w:rsidR="00C66036" w:rsidRDefault="009A442B">
      <w:pPr>
        <w:rPr>
          <w:rFonts w:ascii="Arial" w:eastAsia="Arial" w:hAnsi="Arial" w:cs="Arial"/>
          <w:sz w:val="28"/>
          <w:szCs w:val="28"/>
        </w:rPr>
      </w:pPr>
      <w:r>
        <w:rPr>
          <w:rFonts w:ascii="Arial" w:eastAsia="Arial" w:hAnsi="Arial" w:cs="Arial"/>
          <w:sz w:val="28"/>
          <w:szCs w:val="28"/>
        </w:rPr>
        <w:t>Student number</w:t>
      </w:r>
      <w:r w:rsidR="0001757D">
        <w:rPr>
          <w:rFonts w:ascii="Arial" w:eastAsia="Arial" w:hAnsi="Arial" w:cs="Arial"/>
          <w:sz w:val="28"/>
          <w:szCs w:val="28"/>
        </w:rPr>
        <w:t xml:space="preserve">- 2522676 </w:t>
      </w:r>
      <w:r>
        <w:rPr>
          <w:rFonts w:ascii="Arial" w:eastAsia="Arial" w:hAnsi="Arial" w:cs="Arial"/>
          <w:sz w:val="28"/>
          <w:szCs w:val="28"/>
        </w:rPr>
        <w:t>____________________________________________</w:t>
      </w:r>
    </w:p>
    <w:p w14:paraId="60061E4C" w14:textId="77777777" w:rsidR="00C66036" w:rsidRDefault="00C66036">
      <w:pPr>
        <w:rPr>
          <w:rFonts w:ascii="Arial" w:eastAsia="Arial" w:hAnsi="Arial" w:cs="Arial"/>
          <w:sz w:val="36"/>
          <w:szCs w:val="36"/>
        </w:rPr>
      </w:pPr>
    </w:p>
    <w:p w14:paraId="44EAFD9C" w14:textId="77777777" w:rsidR="00C66036" w:rsidRDefault="00C66036">
      <w:pPr>
        <w:rPr>
          <w:rFonts w:ascii="Arial" w:eastAsia="Arial" w:hAnsi="Arial" w:cs="Arial"/>
          <w:sz w:val="36"/>
          <w:szCs w:val="36"/>
        </w:rPr>
      </w:pPr>
    </w:p>
    <w:p w14:paraId="4B94D5A5" w14:textId="77777777" w:rsidR="00C66036" w:rsidRDefault="00C66036">
      <w:pPr>
        <w:rPr>
          <w:rFonts w:ascii="Arial" w:eastAsia="Arial" w:hAnsi="Arial" w:cs="Arial"/>
          <w:sz w:val="28"/>
          <w:szCs w:val="28"/>
        </w:rPr>
      </w:pPr>
    </w:p>
    <w:p w14:paraId="20CDDCC0" w14:textId="77777777" w:rsidR="00C66036" w:rsidRDefault="009A442B">
      <w:pPr>
        <w:ind w:right="237"/>
        <w:rPr>
          <w:rFonts w:ascii="Arial" w:eastAsia="Arial" w:hAnsi="Arial" w:cs="Arial"/>
          <w:b/>
          <w:i/>
          <w:color w:val="000000"/>
          <w:sz w:val="24"/>
          <w:szCs w:val="24"/>
        </w:rPr>
      </w:pPr>
      <w:r>
        <w:rPr>
          <w:rFonts w:ascii="Arial" w:eastAsia="Arial" w:hAnsi="Arial" w:cs="Arial"/>
          <w:b/>
          <w:i/>
          <w:color w:val="000000"/>
          <w:sz w:val="24"/>
          <w:szCs w:val="24"/>
        </w:rPr>
        <w:t>Institute of Management &amp; Health.</w:t>
      </w:r>
    </w:p>
    <w:p w14:paraId="5E931079" w14:textId="04C46203" w:rsidR="00C66036" w:rsidRDefault="04E0A0F9" w:rsidP="44073852">
      <w:pPr>
        <w:ind w:right="237"/>
        <w:rPr>
          <w:rFonts w:ascii="Arial" w:eastAsia="Arial" w:hAnsi="Arial" w:cs="Arial"/>
          <w:b/>
          <w:bCs/>
          <w:i/>
          <w:iCs/>
          <w:color w:val="000000"/>
          <w:sz w:val="24"/>
          <w:szCs w:val="24"/>
        </w:rPr>
      </w:pPr>
      <w:r w:rsidRPr="44073852">
        <w:rPr>
          <w:rFonts w:ascii="Arial" w:eastAsia="Arial" w:hAnsi="Arial" w:cs="Arial"/>
          <w:b/>
          <w:bCs/>
          <w:i/>
          <w:iCs/>
          <w:color w:val="000000" w:themeColor="text1"/>
          <w:sz w:val="24"/>
          <w:szCs w:val="24"/>
        </w:rPr>
        <w:t>Swansea Law School</w:t>
      </w:r>
    </w:p>
    <w:p w14:paraId="5A90A9C9" w14:textId="2ED551D6" w:rsidR="00C66036" w:rsidRDefault="009A442B" w:rsidP="44073852">
      <w:pPr>
        <w:ind w:right="237"/>
        <w:rPr>
          <w:rFonts w:ascii="Arial" w:eastAsia="Arial" w:hAnsi="Arial" w:cs="Arial"/>
          <w:b/>
          <w:bCs/>
          <w:i/>
          <w:iCs/>
          <w:color w:val="000000"/>
          <w:sz w:val="24"/>
          <w:szCs w:val="24"/>
        </w:rPr>
      </w:pPr>
      <w:r w:rsidRPr="44073852">
        <w:rPr>
          <w:rFonts w:ascii="Arial" w:eastAsia="Arial" w:hAnsi="Arial" w:cs="Arial"/>
          <w:b/>
          <w:bCs/>
          <w:i/>
          <w:iCs/>
          <w:color w:val="000000" w:themeColor="text1"/>
          <w:sz w:val="24"/>
          <w:szCs w:val="24"/>
        </w:rPr>
        <w:t>202</w:t>
      </w:r>
      <w:r w:rsidR="29403CD8" w:rsidRPr="44073852">
        <w:rPr>
          <w:rFonts w:ascii="Arial" w:eastAsia="Arial" w:hAnsi="Arial" w:cs="Arial"/>
          <w:b/>
          <w:bCs/>
          <w:i/>
          <w:iCs/>
          <w:color w:val="000000" w:themeColor="text1"/>
          <w:sz w:val="24"/>
          <w:szCs w:val="24"/>
        </w:rPr>
        <w:t>5</w:t>
      </w:r>
      <w:r w:rsidRPr="44073852">
        <w:rPr>
          <w:rFonts w:ascii="Arial" w:eastAsia="Arial" w:hAnsi="Arial" w:cs="Arial"/>
          <w:b/>
          <w:bCs/>
          <w:i/>
          <w:iCs/>
          <w:color w:val="000000" w:themeColor="text1"/>
          <w:sz w:val="24"/>
          <w:szCs w:val="24"/>
        </w:rPr>
        <w:t>/202</w:t>
      </w:r>
      <w:r w:rsidR="70926454" w:rsidRPr="44073852">
        <w:rPr>
          <w:rFonts w:ascii="Arial" w:eastAsia="Arial" w:hAnsi="Arial" w:cs="Arial"/>
          <w:b/>
          <w:bCs/>
          <w:i/>
          <w:iCs/>
          <w:color w:val="000000" w:themeColor="text1"/>
          <w:sz w:val="24"/>
          <w:szCs w:val="24"/>
        </w:rPr>
        <w:t>6</w:t>
      </w:r>
    </w:p>
    <w:p w14:paraId="3DEEC669" w14:textId="77777777" w:rsidR="00C66036" w:rsidRDefault="00C66036">
      <w:pPr>
        <w:ind w:right="237"/>
        <w:rPr>
          <w:rFonts w:ascii="Arial" w:eastAsia="Arial" w:hAnsi="Arial" w:cs="Arial"/>
          <w:b/>
          <w:i/>
          <w:color w:val="000000"/>
          <w:sz w:val="24"/>
          <w:szCs w:val="24"/>
        </w:rPr>
      </w:pPr>
    </w:p>
    <w:p w14:paraId="6C9A64F5" w14:textId="77777777" w:rsidR="00C66036" w:rsidRDefault="009A442B">
      <w:pPr>
        <w:ind w:right="237"/>
        <w:jc w:val="center"/>
        <w:rPr>
          <w:rFonts w:ascii="Arial" w:eastAsia="Arial" w:hAnsi="Arial" w:cs="Arial"/>
          <w:color w:val="000000"/>
          <w:sz w:val="28"/>
          <w:szCs w:val="28"/>
        </w:rPr>
      </w:pPr>
      <w:r>
        <w:rPr>
          <w:rFonts w:ascii="Arial" w:eastAsia="Arial" w:hAnsi="Arial" w:cs="Arial"/>
          <w:b/>
          <w:color w:val="000000"/>
          <w:sz w:val="28"/>
          <w:szCs w:val="28"/>
        </w:rPr>
        <w:t>Workbook Guidance</w:t>
      </w:r>
    </w:p>
    <w:p w14:paraId="0472F042" w14:textId="77777777" w:rsidR="00C66036" w:rsidRDefault="009A442B">
      <w:pPr>
        <w:ind w:right="237"/>
        <w:jc w:val="both"/>
        <w:rPr>
          <w:rFonts w:ascii="Arial" w:eastAsia="Arial" w:hAnsi="Arial" w:cs="Arial"/>
          <w:color w:val="000000"/>
          <w:sz w:val="24"/>
          <w:szCs w:val="24"/>
        </w:rPr>
      </w:pPr>
      <w:r>
        <w:rPr>
          <w:rFonts w:ascii="Arial" w:eastAsia="Arial" w:hAnsi="Arial" w:cs="Arial"/>
          <w:color w:val="000000"/>
          <w:sz w:val="24"/>
          <w:szCs w:val="24"/>
        </w:rPr>
        <w:t>Please read these notes carefully. They provide essential information in relation to your assessment. The documents you will use in developing your workbook are on the following pages.</w:t>
      </w:r>
    </w:p>
    <w:p w14:paraId="5D3333B8" w14:textId="77777777" w:rsidR="00C66036" w:rsidRDefault="009A442B">
      <w:pPr>
        <w:ind w:right="237"/>
        <w:jc w:val="both"/>
        <w:rPr>
          <w:rFonts w:ascii="Arial" w:eastAsia="Arial" w:hAnsi="Arial" w:cs="Arial"/>
          <w:color w:val="000000"/>
          <w:sz w:val="24"/>
          <w:szCs w:val="24"/>
        </w:rPr>
      </w:pPr>
      <w:r>
        <w:rPr>
          <w:rFonts w:ascii="Arial" w:eastAsia="Arial" w:hAnsi="Arial" w:cs="Arial"/>
          <w:b/>
          <w:color w:val="000000"/>
          <w:sz w:val="24"/>
          <w:szCs w:val="24"/>
        </w:rPr>
        <w:t>What is the workbook for?</w:t>
      </w:r>
    </w:p>
    <w:p w14:paraId="19797E68" w14:textId="77777777" w:rsidR="00C66036" w:rsidRDefault="009A442B">
      <w:pPr>
        <w:ind w:right="237"/>
        <w:jc w:val="both"/>
        <w:rPr>
          <w:rFonts w:ascii="Arial" w:eastAsia="Arial" w:hAnsi="Arial" w:cs="Arial"/>
          <w:color w:val="000000"/>
          <w:sz w:val="24"/>
          <w:szCs w:val="24"/>
        </w:rPr>
      </w:pPr>
      <w:r>
        <w:rPr>
          <w:rFonts w:ascii="Arial" w:eastAsia="Arial" w:hAnsi="Arial" w:cs="Arial"/>
          <w:color w:val="000000"/>
          <w:sz w:val="24"/>
          <w:szCs w:val="24"/>
        </w:rPr>
        <w:t xml:space="preserve">The purpose of this workbook is to enable learners to demonstrate and provide evidence of how they meet the learning outcomes for the </w:t>
      </w:r>
      <w:r>
        <w:rPr>
          <w:rFonts w:ascii="Arial" w:eastAsia="Arial" w:hAnsi="Arial" w:cs="Arial"/>
          <w:b/>
          <w:i/>
          <w:color w:val="000000"/>
          <w:sz w:val="24"/>
          <w:szCs w:val="24"/>
        </w:rPr>
        <w:t>BSc Professional Investigation.</w:t>
      </w:r>
      <w:r>
        <w:rPr>
          <w:rFonts w:ascii="Arial" w:eastAsia="Arial" w:hAnsi="Arial" w:cs="Arial"/>
          <w:color w:val="000000"/>
          <w:sz w:val="24"/>
          <w:szCs w:val="24"/>
        </w:rPr>
        <w:t xml:space="preserve"> </w:t>
      </w:r>
      <w:r>
        <w:rPr>
          <w:rFonts w:ascii="Arial" w:eastAsia="Arial" w:hAnsi="Arial" w:cs="Arial"/>
          <w:i/>
          <w:color w:val="000000"/>
          <w:sz w:val="24"/>
          <w:szCs w:val="24"/>
          <w:u w:val="single"/>
        </w:rPr>
        <w:t>You are being asked to outline your experiential learning based upon your theoretical understanding in a range of operational situations.</w:t>
      </w:r>
      <w:r>
        <w:rPr>
          <w:rFonts w:ascii="Arial" w:eastAsia="Arial" w:hAnsi="Arial" w:cs="Arial"/>
          <w:color w:val="000000"/>
          <w:sz w:val="24"/>
          <w:szCs w:val="24"/>
        </w:rPr>
        <w:t xml:space="preserve"> </w:t>
      </w:r>
    </w:p>
    <w:p w14:paraId="294BAB19" w14:textId="77777777" w:rsidR="00C66036" w:rsidRDefault="009A442B">
      <w:pPr>
        <w:ind w:right="237"/>
        <w:jc w:val="both"/>
        <w:rPr>
          <w:rFonts w:ascii="Arial" w:eastAsia="Arial" w:hAnsi="Arial" w:cs="Arial"/>
          <w:color w:val="000000"/>
          <w:sz w:val="24"/>
          <w:szCs w:val="24"/>
        </w:rPr>
      </w:pPr>
      <w:r>
        <w:rPr>
          <w:rFonts w:ascii="Arial" w:eastAsia="Arial" w:hAnsi="Arial" w:cs="Arial"/>
          <w:b/>
          <w:color w:val="000000"/>
          <w:sz w:val="24"/>
          <w:szCs w:val="24"/>
        </w:rPr>
        <w:t>How should the workbook be presented?</w:t>
      </w:r>
    </w:p>
    <w:p w14:paraId="0C225BB0" w14:textId="77777777" w:rsidR="00C66036" w:rsidRDefault="009A442B">
      <w:pPr>
        <w:jc w:val="both"/>
        <w:rPr>
          <w:rFonts w:ascii="Arial" w:eastAsia="Arial" w:hAnsi="Arial" w:cs="Arial"/>
          <w:color w:val="000000"/>
          <w:sz w:val="24"/>
          <w:szCs w:val="24"/>
        </w:rPr>
      </w:pPr>
      <w:r>
        <w:rPr>
          <w:rFonts w:ascii="Arial" w:eastAsia="Arial" w:hAnsi="Arial" w:cs="Arial"/>
          <w:color w:val="000000"/>
          <w:sz w:val="24"/>
          <w:szCs w:val="24"/>
        </w:rPr>
        <w:t>Blank electronic copies of this workbook can be found on Moodle. You may submit your assignment on this document or on a word document clearly highlighting the task being addressed.</w:t>
      </w:r>
      <w:r>
        <w:rPr>
          <w:rFonts w:ascii="Arial" w:eastAsia="Arial" w:hAnsi="Arial" w:cs="Arial"/>
          <w:sz w:val="24"/>
          <w:szCs w:val="24"/>
        </w:rPr>
        <w:t xml:space="preserve"> </w:t>
      </w:r>
      <w:r>
        <w:rPr>
          <w:rFonts w:ascii="Arial" w:eastAsia="Arial" w:hAnsi="Arial" w:cs="Arial"/>
          <w:color w:val="000000"/>
          <w:sz w:val="24"/>
          <w:szCs w:val="24"/>
        </w:rPr>
        <w:t xml:space="preserve">You must submit your assessment document electronically once completed, therefore it is important that you save your work regularly and upload the final typed version through Turnitin on Moodle. </w:t>
      </w:r>
    </w:p>
    <w:p w14:paraId="76153E80" w14:textId="77777777" w:rsidR="00C66036" w:rsidRDefault="009A442B">
      <w:pPr>
        <w:jc w:val="both"/>
        <w:rPr>
          <w:rFonts w:ascii="Arial" w:eastAsia="Arial" w:hAnsi="Arial" w:cs="Arial"/>
          <w:sz w:val="24"/>
          <w:szCs w:val="24"/>
        </w:rPr>
      </w:pPr>
      <w:r>
        <w:rPr>
          <w:rFonts w:ascii="Arial" w:eastAsia="Arial" w:hAnsi="Arial" w:cs="Arial"/>
          <w:b/>
          <w:color w:val="000000"/>
          <w:sz w:val="24"/>
          <w:szCs w:val="24"/>
        </w:rPr>
        <w:t>The word count policy</w:t>
      </w:r>
      <w:r>
        <w:rPr>
          <w:rFonts w:ascii="Arial" w:eastAsia="Arial" w:hAnsi="Arial" w:cs="Arial"/>
          <w:color w:val="000000"/>
          <w:sz w:val="24"/>
          <w:szCs w:val="24"/>
        </w:rPr>
        <w:t xml:space="preserve"> can be found in chapter 7 of the Academic Quality Handbook under section 7.7 (this applies to presenting work above and under the specified word count).  A wordcount is however provided in each section of the workbook. In total the word count for this assignment is 10,000 (ten thousand) +/-10% (maximum of 1100 words).</w:t>
      </w:r>
    </w:p>
    <w:p w14:paraId="5B1F6E0C" w14:textId="77777777" w:rsidR="00C66036" w:rsidRDefault="009A442B">
      <w:pPr>
        <w:jc w:val="both"/>
        <w:rPr>
          <w:rFonts w:ascii="Arial" w:eastAsia="Arial" w:hAnsi="Arial" w:cs="Arial"/>
          <w:color w:val="000000"/>
          <w:sz w:val="20"/>
          <w:szCs w:val="20"/>
        </w:rPr>
      </w:pPr>
      <w:r>
        <w:rPr>
          <w:rFonts w:ascii="Arial" w:eastAsia="Arial" w:hAnsi="Arial" w:cs="Arial"/>
          <w:color w:val="000000"/>
          <w:sz w:val="20"/>
          <w:szCs w:val="20"/>
        </w:rPr>
        <w:t>(</w:t>
      </w:r>
      <w:hyperlink r:id="rId9">
        <w:r>
          <w:rPr>
            <w:rFonts w:ascii="Arial" w:eastAsia="Arial" w:hAnsi="Arial" w:cs="Arial"/>
            <w:color w:val="0563C1"/>
            <w:sz w:val="20"/>
            <w:szCs w:val="20"/>
            <w:u w:val="single"/>
          </w:rPr>
          <w:t>https://www.uwtsd.ac.uk/media/uwtsd-website/content-assets/documents/academic-office/aqh-chapters/chapters---en/Chapter_07_Assessment_Taught_Programmes_Pages_72-79-UPDATED-05-11-2019.pdf</w:t>
        </w:r>
      </w:hyperlink>
      <w:r>
        <w:rPr>
          <w:rFonts w:ascii="Arial" w:eastAsia="Arial" w:hAnsi="Arial" w:cs="Arial"/>
          <w:color w:val="0000FF"/>
          <w:sz w:val="20"/>
          <w:szCs w:val="20"/>
          <w:u w:val="single"/>
        </w:rPr>
        <w:t xml:space="preserve">) </w:t>
      </w:r>
    </w:p>
    <w:p w14:paraId="4AC78F8D" w14:textId="77777777" w:rsidR="00C66036" w:rsidRDefault="009A442B">
      <w:pPr>
        <w:jc w:val="both"/>
        <w:rPr>
          <w:rFonts w:ascii="Arial" w:eastAsia="Arial" w:hAnsi="Arial" w:cs="Arial"/>
          <w:color w:val="000000"/>
          <w:sz w:val="24"/>
          <w:szCs w:val="24"/>
        </w:rPr>
      </w:pPr>
      <w:r>
        <w:rPr>
          <w:rFonts w:ascii="Arial" w:eastAsia="Arial" w:hAnsi="Arial" w:cs="Arial"/>
          <w:b/>
          <w:color w:val="000000"/>
          <w:sz w:val="24"/>
          <w:szCs w:val="24"/>
        </w:rPr>
        <w:t>Reflective practice</w:t>
      </w:r>
      <w:r>
        <w:rPr>
          <w:rFonts w:ascii="Arial" w:eastAsia="Arial" w:hAnsi="Arial" w:cs="Arial"/>
          <w:color w:val="000000"/>
          <w:sz w:val="24"/>
          <w:szCs w:val="24"/>
        </w:rPr>
        <w:t xml:space="preserve"> is a core aspect for your workbooks and although there is a variety of useful resources on Moodle, there is one </w:t>
      </w:r>
      <w:proofErr w:type="gramStart"/>
      <w:r>
        <w:rPr>
          <w:rFonts w:ascii="Arial" w:eastAsia="Arial" w:hAnsi="Arial" w:cs="Arial"/>
          <w:color w:val="000000"/>
          <w:sz w:val="24"/>
          <w:szCs w:val="24"/>
        </w:rPr>
        <w:t>particular book</w:t>
      </w:r>
      <w:proofErr w:type="gramEnd"/>
      <w:r>
        <w:rPr>
          <w:rFonts w:ascii="Arial" w:eastAsia="Arial" w:hAnsi="Arial" w:cs="Arial"/>
          <w:color w:val="000000"/>
          <w:sz w:val="24"/>
          <w:szCs w:val="24"/>
        </w:rPr>
        <w:t xml:space="preserve">, that is specifically based on reflective practice in policing, here is a link to one chapter from Selina Copley’s Reflective Practice for Policing Students: </w:t>
      </w:r>
    </w:p>
    <w:p w14:paraId="1069C858" w14:textId="77777777" w:rsidR="00C66036" w:rsidRDefault="009A442B">
      <w:pPr>
        <w:jc w:val="both"/>
        <w:rPr>
          <w:rFonts w:ascii="Arial" w:eastAsia="Arial" w:hAnsi="Arial" w:cs="Arial"/>
          <w:color w:val="000000"/>
          <w:sz w:val="20"/>
          <w:szCs w:val="20"/>
        </w:rPr>
      </w:pPr>
      <w:hyperlink r:id="rId10">
        <w:r>
          <w:rPr>
            <w:rFonts w:ascii="Arial" w:eastAsia="Arial" w:hAnsi="Arial" w:cs="Arial"/>
            <w:color w:val="0563C1"/>
            <w:sz w:val="20"/>
            <w:szCs w:val="20"/>
            <w:u w:val="single"/>
          </w:rPr>
          <w:t>https://moodle.uwtsd.ac.uk/pluginfile.php/298870/mod_resource/content/1/Reflective%20Practice%20for%20Policing%20Students%20-%20Selina%20Copley%20Chapter5.pdf.</w:t>
        </w:r>
      </w:hyperlink>
    </w:p>
    <w:p w14:paraId="189BD2B6" w14:textId="77777777" w:rsidR="00C66036" w:rsidRDefault="009A442B">
      <w:pPr>
        <w:jc w:val="both"/>
        <w:rPr>
          <w:rFonts w:ascii="Arial" w:eastAsia="Arial" w:hAnsi="Arial" w:cs="Arial"/>
          <w:sz w:val="20"/>
          <w:szCs w:val="20"/>
        </w:rPr>
      </w:pPr>
      <w:r>
        <w:rPr>
          <w:rFonts w:ascii="Arial" w:eastAsia="Arial" w:hAnsi="Arial" w:cs="Arial"/>
          <w:color w:val="000000"/>
          <w:sz w:val="24"/>
          <w:szCs w:val="24"/>
        </w:rPr>
        <w:t>This publication is available via the UWTSD online library</w:t>
      </w:r>
    </w:p>
    <w:p w14:paraId="4645E9C6" w14:textId="77777777" w:rsidR="00C66036" w:rsidRDefault="009A442B">
      <w:pPr>
        <w:jc w:val="both"/>
        <w:rPr>
          <w:rFonts w:ascii="Arial" w:eastAsia="Arial" w:hAnsi="Arial" w:cs="Arial"/>
          <w:color w:val="000000"/>
          <w:sz w:val="24"/>
          <w:szCs w:val="24"/>
        </w:rPr>
      </w:pPr>
      <w:r>
        <w:rPr>
          <w:rFonts w:ascii="Arial" w:eastAsia="Arial" w:hAnsi="Arial" w:cs="Arial"/>
          <w:b/>
          <w:color w:val="000000"/>
          <w:sz w:val="24"/>
          <w:szCs w:val="24"/>
        </w:rPr>
        <w:t>How is the workbook assessed?</w:t>
      </w:r>
    </w:p>
    <w:p w14:paraId="79C5C016" w14:textId="77777777" w:rsidR="00C66036" w:rsidRDefault="009A442B">
      <w:pPr>
        <w:jc w:val="both"/>
        <w:rPr>
          <w:rFonts w:ascii="Arial" w:eastAsia="Arial" w:hAnsi="Arial" w:cs="Arial"/>
          <w:color w:val="000000"/>
          <w:sz w:val="24"/>
          <w:szCs w:val="24"/>
        </w:rPr>
      </w:pPr>
      <w:r>
        <w:rPr>
          <w:rFonts w:ascii="Arial" w:eastAsia="Arial" w:hAnsi="Arial" w:cs="Arial"/>
          <w:color w:val="000000"/>
          <w:sz w:val="24"/>
          <w:szCs w:val="24"/>
        </w:rPr>
        <w:t>Advice and support about the completion of this workbook is available to you and will be provided during your lessons. However, please contact your tutor with any questions or queries you may have if you are unsure.</w:t>
      </w:r>
    </w:p>
    <w:p w14:paraId="05596A63" w14:textId="77777777" w:rsidR="00C66036" w:rsidRDefault="009A442B">
      <w:pPr>
        <w:jc w:val="both"/>
        <w:rPr>
          <w:rFonts w:ascii="Arial" w:eastAsia="Arial" w:hAnsi="Arial" w:cs="Arial"/>
          <w:color w:val="000000"/>
          <w:sz w:val="24"/>
          <w:szCs w:val="24"/>
        </w:rPr>
      </w:pPr>
      <w:r>
        <w:rPr>
          <w:rFonts w:ascii="Arial" w:eastAsia="Arial" w:hAnsi="Arial" w:cs="Arial"/>
          <w:color w:val="000000"/>
          <w:sz w:val="24"/>
          <w:szCs w:val="24"/>
        </w:rPr>
        <w:t>Key dates for the workbook submissions can be located within Module in the ‘Welcome ‘tile.</w:t>
      </w:r>
    </w:p>
    <w:p w14:paraId="746346DF" w14:textId="77777777" w:rsidR="00C66036" w:rsidRDefault="009A442B">
      <w:pPr>
        <w:jc w:val="both"/>
        <w:rPr>
          <w:rFonts w:ascii="Arial" w:eastAsia="Arial" w:hAnsi="Arial" w:cs="Arial"/>
          <w:color w:val="000000"/>
          <w:sz w:val="24"/>
          <w:szCs w:val="24"/>
        </w:rPr>
      </w:pPr>
      <w:r>
        <w:rPr>
          <w:rFonts w:ascii="Arial" w:eastAsia="Arial" w:hAnsi="Arial" w:cs="Arial"/>
          <w:color w:val="000000"/>
          <w:sz w:val="24"/>
          <w:szCs w:val="24"/>
        </w:rPr>
        <w:lastRenderedPageBreak/>
        <w:t>Once submitted your workbook will be assessed and marked independently. You will be provided with individual feedback once the work has been marked.</w:t>
      </w:r>
    </w:p>
    <w:p w14:paraId="3656B9AB" w14:textId="77777777" w:rsidR="00C66036" w:rsidRDefault="00C66036">
      <w:pPr>
        <w:ind w:right="237"/>
        <w:jc w:val="both"/>
        <w:rPr>
          <w:rFonts w:ascii="Arial" w:eastAsia="Arial" w:hAnsi="Arial" w:cs="Arial"/>
          <w:color w:val="000000"/>
          <w:sz w:val="24"/>
          <w:szCs w:val="24"/>
        </w:rPr>
      </w:pPr>
    </w:p>
    <w:p w14:paraId="0928E0A4" w14:textId="77777777" w:rsidR="00C66036" w:rsidRDefault="009A442B">
      <w:pPr>
        <w:ind w:right="237"/>
        <w:jc w:val="both"/>
        <w:rPr>
          <w:rFonts w:ascii="Arial" w:eastAsia="Arial" w:hAnsi="Arial" w:cs="Arial"/>
          <w:color w:val="000000"/>
          <w:sz w:val="24"/>
          <w:szCs w:val="24"/>
        </w:rPr>
      </w:pPr>
      <w:r>
        <w:rPr>
          <w:rFonts w:ascii="Arial" w:eastAsia="Arial" w:hAnsi="Arial" w:cs="Arial"/>
          <w:b/>
          <w:color w:val="000000"/>
          <w:sz w:val="24"/>
          <w:szCs w:val="24"/>
        </w:rPr>
        <w:t>Confidentiality</w:t>
      </w:r>
    </w:p>
    <w:p w14:paraId="72CFED5A" w14:textId="77777777" w:rsidR="00C66036" w:rsidRDefault="009A442B">
      <w:pPr>
        <w:ind w:right="237"/>
        <w:jc w:val="both"/>
        <w:rPr>
          <w:rFonts w:ascii="Arial" w:eastAsia="Arial" w:hAnsi="Arial" w:cs="Arial"/>
          <w:color w:val="000000"/>
          <w:sz w:val="24"/>
          <w:szCs w:val="24"/>
        </w:rPr>
      </w:pPr>
      <w:r>
        <w:rPr>
          <w:rFonts w:ascii="Arial" w:eastAsia="Arial" w:hAnsi="Arial" w:cs="Arial"/>
          <w:color w:val="000000"/>
          <w:sz w:val="24"/>
          <w:szCs w:val="24"/>
        </w:rPr>
        <w:t>It is important that no individual can be identified either directly or indirectly from the information in the workbook. You must therefore:</w:t>
      </w:r>
    </w:p>
    <w:p w14:paraId="388F3378" w14:textId="77777777" w:rsidR="00C66036" w:rsidRDefault="009A442B">
      <w:pPr>
        <w:numPr>
          <w:ilvl w:val="0"/>
          <w:numId w:val="1"/>
        </w:numPr>
        <w:pBdr>
          <w:top w:val="nil"/>
          <w:left w:val="nil"/>
          <w:bottom w:val="nil"/>
          <w:right w:val="nil"/>
          <w:between w:val="nil"/>
        </w:pBdr>
        <w:spacing w:after="0"/>
        <w:ind w:right="237"/>
        <w:jc w:val="both"/>
        <w:rPr>
          <w:rFonts w:ascii="Arial" w:eastAsia="Arial" w:hAnsi="Arial" w:cs="Arial"/>
          <w:color w:val="000000"/>
          <w:sz w:val="24"/>
          <w:szCs w:val="24"/>
        </w:rPr>
      </w:pPr>
      <w:r>
        <w:rPr>
          <w:rFonts w:ascii="Arial" w:eastAsia="Arial" w:hAnsi="Arial" w:cs="Arial"/>
          <w:color w:val="000000"/>
          <w:sz w:val="24"/>
          <w:szCs w:val="24"/>
        </w:rPr>
        <w:t>Adhere to guidance in the Candidate Handbook about confidentiality.</w:t>
      </w:r>
    </w:p>
    <w:p w14:paraId="46CC7C01" w14:textId="77777777" w:rsidR="00C66036" w:rsidRDefault="009A442B">
      <w:pPr>
        <w:numPr>
          <w:ilvl w:val="0"/>
          <w:numId w:val="1"/>
        </w:numPr>
        <w:pBdr>
          <w:top w:val="nil"/>
          <w:left w:val="nil"/>
          <w:bottom w:val="nil"/>
          <w:right w:val="nil"/>
          <w:between w:val="nil"/>
        </w:pBdr>
        <w:spacing w:after="0"/>
        <w:ind w:right="237"/>
        <w:jc w:val="both"/>
        <w:rPr>
          <w:rFonts w:ascii="Arial" w:eastAsia="Arial" w:hAnsi="Arial" w:cs="Arial"/>
          <w:color w:val="000000"/>
          <w:sz w:val="24"/>
          <w:szCs w:val="24"/>
        </w:rPr>
      </w:pPr>
      <w:r>
        <w:rPr>
          <w:rFonts w:ascii="Arial" w:eastAsia="Arial" w:hAnsi="Arial" w:cs="Arial"/>
          <w:color w:val="000000"/>
          <w:sz w:val="24"/>
          <w:szCs w:val="24"/>
        </w:rPr>
        <w:t>Not identify individuals including witnesses, victims, or offenders by name.</w:t>
      </w:r>
    </w:p>
    <w:p w14:paraId="303D9E4D" w14:textId="77777777" w:rsidR="00C66036" w:rsidRDefault="009A442B">
      <w:pPr>
        <w:numPr>
          <w:ilvl w:val="0"/>
          <w:numId w:val="3"/>
        </w:numPr>
        <w:pBdr>
          <w:top w:val="nil"/>
          <w:left w:val="nil"/>
          <w:bottom w:val="nil"/>
          <w:right w:val="nil"/>
          <w:between w:val="nil"/>
        </w:pBdr>
        <w:spacing w:after="0"/>
        <w:ind w:right="237"/>
        <w:jc w:val="both"/>
        <w:rPr>
          <w:rFonts w:ascii="Arial" w:eastAsia="Arial" w:hAnsi="Arial" w:cs="Arial"/>
          <w:color w:val="000000"/>
          <w:sz w:val="24"/>
          <w:szCs w:val="24"/>
        </w:rPr>
      </w:pPr>
      <w:r>
        <w:rPr>
          <w:rFonts w:ascii="Arial" w:eastAsia="Arial" w:hAnsi="Arial" w:cs="Arial"/>
          <w:color w:val="000000"/>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59F77847" w14:textId="77777777" w:rsidR="00C66036" w:rsidRDefault="009A442B">
      <w:pPr>
        <w:numPr>
          <w:ilvl w:val="0"/>
          <w:numId w:val="3"/>
        </w:numPr>
        <w:pBdr>
          <w:top w:val="nil"/>
          <w:left w:val="nil"/>
          <w:bottom w:val="nil"/>
          <w:right w:val="nil"/>
          <w:between w:val="nil"/>
        </w:pBdr>
        <w:spacing w:after="0"/>
        <w:ind w:right="237"/>
        <w:jc w:val="both"/>
        <w:rPr>
          <w:rFonts w:ascii="Arial" w:eastAsia="Arial" w:hAnsi="Arial" w:cs="Arial"/>
          <w:color w:val="000000"/>
          <w:sz w:val="24"/>
          <w:szCs w:val="24"/>
        </w:rPr>
      </w:pPr>
      <w:r>
        <w:rPr>
          <w:rFonts w:ascii="Arial" w:eastAsia="Arial" w:hAnsi="Arial" w:cs="Arial"/>
          <w:color w:val="000000"/>
          <w:sz w:val="24"/>
          <w:szCs w:val="24"/>
        </w:rPr>
        <w:t xml:space="preserve">Take personal responsibility for adhering to confidentiality rules. </w:t>
      </w:r>
    </w:p>
    <w:p w14:paraId="5DA7A391" w14:textId="77777777" w:rsidR="00C66036" w:rsidRDefault="009A442B">
      <w:pPr>
        <w:numPr>
          <w:ilvl w:val="0"/>
          <w:numId w:val="3"/>
        </w:numPr>
        <w:pBdr>
          <w:top w:val="nil"/>
          <w:left w:val="nil"/>
          <w:bottom w:val="nil"/>
          <w:right w:val="nil"/>
          <w:between w:val="nil"/>
        </w:pBdr>
        <w:ind w:right="237"/>
        <w:jc w:val="both"/>
        <w:rPr>
          <w:rFonts w:ascii="Arial" w:eastAsia="Arial" w:hAnsi="Arial" w:cs="Arial"/>
          <w:color w:val="000000"/>
          <w:sz w:val="24"/>
          <w:szCs w:val="24"/>
        </w:rPr>
      </w:pPr>
      <w:r>
        <w:rPr>
          <w:rFonts w:ascii="Arial" w:eastAsia="Arial" w:hAnsi="Arial" w:cs="Arial"/>
          <w:color w:val="000000"/>
          <w:sz w:val="24"/>
          <w:szCs w:val="24"/>
        </w:rPr>
        <w:t>Not include any dates of any incidents or anything that specifically identifies an actual incident.</w:t>
      </w:r>
    </w:p>
    <w:p w14:paraId="45FB0818" w14:textId="77777777" w:rsidR="00C66036" w:rsidRDefault="00C66036">
      <w:pPr>
        <w:ind w:right="237"/>
        <w:jc w:val="both"/>
        <w:rPr>
          <w:rFonts w:ascii="Arial" w:eastAsia="Arial" w:hAnsi="Arial" w:cs="Arial"/>
          <w:color w:val="000000"/>
          <w:sz w:val="24"/>
          <w:szCs w:val="24"/>
        </w:rPr>
      </w:pPr>
    </w:p>
    <w:p w14:paraId="501FEEFA" w14:textId="77777777" w:rsidR="00C66036" w:rsidRDefault="009A442B">
      <w:pPr>
        <w:ind w:right="237"/>
        <w:jc w:val="both"/>
        <w:rPr>
          <w:rFonts w:ascii="Arial" w:eastAsia="Arial" w:hAnsi="Arial" w:cs="Arial"/>
          <w:color w:val="000000"/>
          <w:sz w:val="24"/>
          <w:szCs w:val="24"/>
        </w:rPr>
      </w:pPr>
      <w:r>
        <w:rPr>
          <w:rFonts w:ascii="Arial" w:eastAsia="Arial" w:hAnsi="Arial" w:cs="Arial"/>
          <w:b/>
          <w:color w:val="000000"/>
          <w:sz w:val="24"/>
          <w:szCs w:val="24"/>
        </w:rPr>
        <w:t>NOTE:</w:t>
      </w:r>
    </w:p>
    <w:p w14:paraId="013C164D" w14:textId="77777777" w:rsidR="00C66036" w:rsidRDefault="009A442B">
      <w:pPr>
        <w:ind w:right="237"/>
        <w:jc w:val="both"/>
        <w:rPr>
          <w:rFonts w:ascii="Arial" w:eastAsia="Arial" w:hAnsi="Arial" w:cs="Arial"/>
          <w:color w:val="000000"/>
          <w:sz w:val="24"/>
          <w:szCs w:val="24"/>
        </w:rPr>
      </w:pPr>
      <w:r>
        <w:rPr>
          <w:rFonts w:ascii="Arial" w:eastAsia="Arial" w:hAnsi="Arial" w:cs="Arial"/>
          <w:color w:val="000000"/>
          <w:sz w:val="24"/>
          <w:szCs w:val="24"/>
        </w:rPr>
        <w:t>Your workbook will be submitted electronically via Turnitin on Moodle. Guidance on this is in the student handbook and within Moodle.</w:t>
      </w:r>
    </w:p>
    <w:p w14:paraId="5CDD408C" w14:textId="77777777" w:rsidR="00C66036" w:rsidRDefault="009A442B">
      <w:pPr>
        <w:ind w:right="237"/>
        <w:jc w:val="both"/>
        <w:rPr>
          <w:rFonts w:ascii="Arial" w:eastAsia="Arial" w:hAnsi="Arial" w:cs="Arial"/>
          <w:color w:val="000000"/>
          <w:sz w:val="24"/>
          <w:szCs w:val="24"/>
        </w:rPr>
      </w:pPr>
      <w:r>
        <w:rPr>
          <w:rFonts w:ascii="Arial" w:eastAsia="Arial" w:hAnsi="Arial" w:cs="Arial"/>
          <w:b/>
          <w:i/>
          <w:color w:val="000000"/>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p>
    <w:p w14:paraId="049F31CB" w14:textId="77777777" w:rsidR="00C66036" w:rsidRDefault="00C66036">
      <w:pPr>
        <w:ind w:left="360" w:right="237"/>
        <w:jc w:val="both"/>
        <w:rPr>
          <w:rFonts w:ascii="Arial" w:eastAsia="Arial" w:hAnsi="Arial" w:cs="Arial"/>
          <w:color w:val="000000"/>
          <w:sz w:val="24"/>
          <w:szCs w:val="24"/>
        </w:rPr>
      </w:pPr>
    </w:p>
    <w:p w14:paraId="6BD78482" w14:textId="77777777" w:rsidR="00C66036" w:rsidRDefault="009A442B">
      <w:pPr>
        <w:ind w:right="237"/>
        <w:jc w:val="both"/>
        <w:rPr>
          <w:rFonts w:ascii="Arial" w:eastAsia="Arial" w:hAnsi="Arial" w:cs="Arial"/>
          <w:color w:val="000000"/>
          <w:sz w:val="24"/>
          <w:szCs w:val="24"/>
        </w:rPr>
      </w:pPr>
      <w:r>
        <w:rPr>
          <w:rFonts w:ascii="Arial" w:eastAsia="Arial" w:hAnsi="Arial" w:cs="Arial"/>
          <w:b/>
          <w:color w:val="000000"/>
          <w:sz w:val="24"/>
          <w:szCs w:val="24"/>
        </w:rPr>
        <w:t>Marking Criteria</w:t>
      </w:r>
    </w:p>
    <w:p w14:paraId="6CDB8CBB" w14:textId="77777777" w:rsidR="00C66036" w:rsidRDefault="009A442B">
      <w:pPr>
        <w:ind w:right="237"/>
        <w:jc w:val="both"/>
        <w:rPr>
          <w:rFonts w:ascii="Arial" w:eastAsia="Arial" w:hAnsi="Arial" w:cs="Arial"/>
          <w:color w:val="000000"/>
          <w:sz w:val="24"/>
          <w:szCs w:val="24"/>
        </w:rPr>
      </w:pPr>
      <w:r>
        <w:rPr>
          <w:rFonts w:ascii="Arial" w:eastAsia="Arial" w:hAnsi="Arial" w:cs="Arial"/>
          <w:color w:val="000000"/>
          <w:sz w:val="24"/>
          <w:szCs w:val="24"/>
        </w:rPr>
        <w:t>This workbook will be marked against the generic Level 6 Marking criteria – a copy of which can be found on Moodle.</w:t>
      </w:r>
    </w:p>
    <w:p w14:paraId="53128261" w14:textId="77777777" w:rsidR="00C66036" w:rsidRDefault="00C66036">
      <w:pPr>
        <w:ind w:right="237"/>
        <w:jc w:val="both"/>
        <w:rPr>
          <w:rFonts w:ascii="Arial" w:eastAsia="Arial" w:hAnsi="Arial" w:cs="Arial"/>
          <w:color w:val="000000"/>
          <w:sz w:val="24"/>
          <w:szCs w:val="24"/>
        </w:rPr>
      </w:pPr>
    </w:p>
    <w:p w14:paraId="62486C05" w14:textId="77777777" w:rsidR="00C66036" w:rsidRDefault="00C66036">
      <w:pPr>
        <w:spacing w:after="200" w:line="240" w:lineRule="auto"/>
        <w:rPr>
          <w:rFonts w:ascii="Arial" w:eastAsia="Arial" w:hAnsi="Arial" w:cs="Arial"/>
          <w:color w:val="000000"/>
        </w:rPr>
      </w:pPr>
    </w:p>
    <w:p w14:paraId="4101652C" w14:textId="77777777" w:rsidR="00C66036" w:rsidRDefault="00C66036">
      <w:pPr>
        <w:spacing w:after="200" w:line="240" w:lineRule="auto"/>
        <w:rPr>
          <w:rFonts w:ascii="Arial" w:eastAsia="Arial" w:hAnsi="Arial" w:cs="Arial"/>
          <w:color w:val="000000"/>
        </w:rPr>
      </w:pPr>
    </w:p>
    <w:p w14:paraId="4B99056E" w14:textId="77777777" w:rsidR="00C66036" w:rsidRDefault="00C66036">
      <w:pPr>
        <w:spacing w:after="200" w:line="240" w:lineRule="auto"/>
        <w:rPr>
          <w:rFonts w:ascii="Arial" w:eastAsia="Arial" w:hAnsi="Arial" w:cs="Arial"/>
          <w:color w:val="000000"/>
        </w:rPr>
      </w:pPr>
    </w:p>
    <w:p w14:paraId="1299C43A" w14:textId="77777777" w:rsidR="00C66036" w:rsidRDefault="00C66036">
      <w:pPr>
        <w:spacing w:after="200" w:line="240" w:lineRule="auto"/>
        <w:rPr>
          <w:rFonts w:ascii="Arial" w:eastAsia="Arial" w:hAnsi="Arial" w:cs="Arial"/>
          <w:color w:val="000000"/>
        </w:rPr>
      </w:pPr>
    </w:p>
    <w:p w14:paraId="4DDBEF00" w14:textId="77777777" w:rsidR="00C66036" w:rsidRDefault="00C66036">
      <w:pPr>
        <w:spacing w:after="200" w:line="240" w:lineRule="auto"/>
        <w:rPr>
          <w:rFonts w:ascii="Arial" w:eastAsia="Arial" w:hAnsi="Arial" w:cs="Arial"/>
          <w:color w:val="000000"/>
        </w:rPr>
      </w:pPr>
    </w:p>
    <w:p w14:paraId="3461D779" w14:textId="77777777" w:rsidR="00C66036" w:rsidRDefault="00C66036">
      <w:pPr>
        <w:spacing w:after="200" w:line="240" w:lineRule="auto"/>
        <w:rPr>
          <w:rFonts w:ascii="Arial" w:eastAsia="Arial" w:hAnsi="Arial" w:cs="Arial"/>
          <w:color w:val="000000"/>
        </w:rPr>
      </w:pPr>
    </w:p>
    <w:p w14:paraId="3CF2D8B6" w14:textId="77777777" w:rsidR="00C66036" w:rsidRDefault="00C66036">
      <w:pPr>
        <w:spacing w:after="200" w:line="240" w:lineRule="auto"/>
        <w:rPr>
          <w:rFonts w:ascii="Arial" w:eastAsia="Arial" w:hAnsi="Arial" w:cs="Arial"/>
          <w:color w:val="000000"/>
        </w:rPr>
      </w:pPr>
    </w:p>
    <w:p w14:paraId="0FB78278" w14:textId="77777777" w:rsidR="00C66036" w:rsidRDefault="00C66036">
      <w:pPr>
        <w:spacing w:after="200" w:line="240" w:lineRule="auto"/>
        <w:rPr>
          <w:rFonts w:ascii="Arial" w:eastAsia="Arial" w:hAnsi="Arial" w:cs="Arial"/>
          <w:color w:val="000000"/>
        </w:rPr>
      </w:pPr>
    </w:p>
    <w:p w14:paraId="1FC39945" w14:textId="77777777" w:rsidR="00C66036" w:rsidRDefault="00C66036">
      <w:pPr>
        <w:spacing w:after="200" w:line="240" w:lineRule="auto"/>
        <w:rPr>
          <w:rFonts w:ascii="Arial" w:eastAsia="Arial" w:hAnsi="Arial" w:cs="Arial"/>
          <w:color w:val="000000"/>
        </w:rPr>
      </w:pPr>
    </w:p>
    <w:p w14:paraId="6DA99983" w14:textId="77777777" w:rsidR="00C66036" w:rsidRDefault="009A442B">
      <w:pPr>
        <w:pBdr>
          <w:top w:val="nil"/>
          <w:left w:val="nil"/>
          <w:bottom w:val="nil"/>
          <w:right w:val="nil"/>
          <w:between w:val="nil"/>
        </w:pBdr>
        <w:spacing w:before="120" w:after="200" w:line="240" w:lineRule="auto"/>
        <w:ind w:left="76"/>
        <w:jc w:val="both"/>
        <w:rPr>
          <w:rFonts w:ascii="Arial" w:eastAsia="Arial" w:hAnsi="Arial" w:cs="Arial"/>
          <w:b/>
          <w:color w:val="000000"/>
          <w:sz w:val="24"/>
          <w:szCs w:val="24"/>
        </w:rPr>
      </w:pPr>
      <w:r>
        <w:rPr>
          <w:rFonts w:ascii="Arial" w:eastAsia="Arial" w:hAnsi="Arial" w:cs="Arial"/>
          <w:b/>
          <w:color w:val="000000"/>
          <w:sz w:val="24"/>
          <w:szCs w:val="24"/>
        </w:rPr>
        <w:t>Module Aim(s)</w:t>
      </w:r>
    </w:p>
    <w:p w14:paraId="7FA2704A" w14:textId="77777777" w:rsidR="00C66036" w:rsidRDefault="009A442B">
      <w:pPr>
        <w:pBdr>
          <w:top w:val="nil"/>
          <w:left w:val="nil"/>
          <w:bottom w:val="nil"/>
          <w:right w:val="nil"/>
          <w:between w:val="nil"/>
        </w:pBdr>
        <w:spacing w:before="120" w:after="0" w:line="240" w:lineRule="auto"/>
        <w:ind w:left="76"/>
        <w:jc w:val="both"/>
        <w:rPr>
          <w:rFonts w:ascii="Arial" w:eastAsia="Arial" w:hAnsi="Arial" w:cs="Arial"/>
          <w:color w:val="000000"/>
          <w:sz w:val="24"/>
          <w:szCs w:val="24"/>
        </w:rPr>
      </w:pPr>
      <w:r>
        <w:rPr>
          <w:rFonts w:ascii="Arial" w:eastAsia="Arial" w:hAnsi="Arial" w:cs="Arial"/>
          <w:color w:val="000000"/>
          <w:sz w:val="24"/>
          <w:szCs w:val="24"/>
        </w:rPr>
        <w:t>To enable learners to independently study the leading-edge knowledge in professional investigation that has relevance to their workplace practice and their personal development.</w:t>
      </w:r>
    </w:p>
    <w:p w14:paraId="063C1DE1" w14:textId="77777777" w:rsidR="00C66036" w:rsidRDefault="009A442B">
      <w:pPr>
        <w:pBdr>
          <w:top w:val="nil"/>
          <w:left w:val="nil"/>
          <w:bottom w:val="nil"/>
          <w:right w:val="nil"/>
          <w:between w:val="nil"/>
        </w:pBdr>
        <w:spacing w:before="120" w:after="0" w:line="276" w:lineRule="auto"/>
        <w:ind w:left="76"/>
        <w:jc w:val="both"/>
        <w:rPr>
          <w:rFonts w:ascii="Arial" w:eastAsia="Arial" w:hAnsi="Arial" w:cs="Arial"/>
          <w:b/>
          <w:color w:val="000000"/>
          <w:sz w:val="24"/>
          <w:szCs w:val="24"/>
        </w:rPr>
      </w:pPr>
      <w:r>
        <w:rPr>
          <w:rFonts w:ascii="Arial" w:eastAsia="Arial" w:hAnsi="Arial" w:cs="Arial"/>
          <w:b/>
          <w:color w:val="000000"/>
          <w:sz w:val="24"/>
          <w:szCs w:val="24"/>
        </w:rPr>
        <w:t>Module Learning outcome(s):</w:t>
      </w:r>
    </w:p>
    <w:p w14:paraId="5F5840FB" w14:textId="77777777" w:rsidR="00C66036" w:rsidRDefault="009A442B">
      <w:pPr>
        <w:rPr>
          <w:rFonts w:ascii="Arial" w:eastAsia="Arial" w:hAnsi="Arial" w:cs="Arial"/>
          <w:color w:val="000000"/>
        </w:rPr>
      </w:pPr>
      <w:r>
        <w:rPr>
          <w:rFonts w:ascii="Arial" w:eastAsia="Arial" w:hAnsi="Arial" w:cs="Arial"/>
          <w:color w:val="000000"/>
        </w:rPr>
        <w:t xml:space="preserve"> Upon the successful completion of this module, the student should be able to:</w:t>
      </w:r>
    </w:p>
    <w:p w14:paraId="47A39C29" w14:textId="77777777" w:rsidR="00C66036" w:rsidRDefault="009A442B">
      <w:pPr>
        <w:numPr>
          <w:ilvl w:val="0"/>
          <w:numId w:val="2"/>
        </w:numPr>
        <w:pBdr>
          <w:top w:val="nil"/>
          <w:left w:val="nil"/>
          <w:bottom w:val="nil"/>
          <w:right w:val="nil"/>
          <w:between w:val="nil"/>
        </w:pBdr>
        <w:spacing w:after="0"/>
        <w:ind w:left="714" w:hanging="357"/>
        <w:jc w:val="both"/>
        <w:rPr>
          <w:rFonts w:ascii="Arial" w:eastAsia="Arial" w:hAnsi="Arial" w:cs="Arial"/>
          <w:color w:val="000000"/>
        </w:rPr>
      </w:pPr>
      <w:r>
        <w:rPr>
          <w:rFonts w:ascii="Arial" w:eastAsia="Arial" w:hAnsi="Arial" w:cs="Arial"/>
          <w:color w:val="000000"/>
        </w:rPr>
        <w:t xml:space="preserve">formulate and implement a personal independent study programme to further enhance the development of their professional investigative practice, and critically reflect on their learning experience as required for continuing professional </w:t>
      </w:r>
      <w:proofErr w:type="gramStart"/>
      <w:r>
        <w:rPr>
          <w:rFonts w:ascii="Arial" w:eastAsia="Arial" w:hAnsi="Arial" w:cs="Arial"/>
          <w:color w:val="000000"/>
        </w:rPr>
        <w:t>development;</w:t>
      </w:r>
      <w:proofErr w:type="gramEnd"/>
    </w:p>
    <w:p w14:paraId="7010F32F" w14:textId="77777777" w:rsidR="00C66036" w:rsidRDefault="009A442B">
      <w:pPr>
        <w:numPr>
          <w:ilvl w:val="0"/>
          <w:numId w:val="2"/>
        </w:numPr>
        <w:pBdr>
          <w:top w:val="nil"/>
          <w:left w:val="nil"/>
          <w:bottom w:val="nil"/>
          <w:right w:val="nil"/>
          <w:between w:val="nil"/>
        </w:pBdr>
        <w:spacing w:after="0"/>
        <w:ind w:left="714" w:hanging="357"/>
        <w:jc w:val="both"/>
        <w:rPr>
          <w:rFonts w:ascii="Arial" w:eastAsia="Arial" w:hAnsi="Arial" w:cs="Arial"/>
          <w:color w:val="000000"/>
        </w:rPr>
      </w:pPr>
      <w:r>
        <w:rPr>
          <w:rFonts w:ascii="Arial" w:eastAsia="Arial" w:hAnsi="Arial" w:cs="Arial"/>
          <w:color w:val="000000"/>
        </w:rPr>
        <w:t xml:space="preserve">demonstrate conceptual and critical thinking, analysis, synthesis and evaluation of assumptions, abstract concepts and data (that may be incomplete) and communicate their conclusions clearly to specialist and non-specialist </w:t>
      </w:r>
      <w:proofErr w:type="gramStart"/>
      <w:r>
        <w:rPr>
          <w:rFonts w:ascii="Arial" w:eastAsia="Arial" w:hAnsi="Arial" w:cs="Arial"/>
          <w:color w:val="000000"/>
        </w:rPr>
        <w:t>audiences;</w:t>
      </w:r>
      <w:proofErr w:type="gramEnd"/>
    </w:p>
    <w:p w14:paraId="63C0CB22" w14:textId="77777777" w:rsidR="00C66036" w:rsidRDefault="009A442B">
      <w:pPr>
        <w:numPr>
          <w:ilvl w:val="0"/>
          <w:numId w:val="2"/>
        </w:numPr>
        <w:pBdr>
          <w:top w:val="nil"/>
          <w:left w:val="nil"/>
          <w:bottom w:val="nil"/>
          <w:right w:val="nil"/>
          <w:between w:val="nil"/>
        </w:pBdr>
        <w:spacing w:after="0"/>
        <w:ind w:left="714" w:hanging="357"/>
        <w:jc w:val="both"/>
        <w:rPr>
          <w:rFonts w:ascii="Arial" w:eastAsia="Arial" w:hAnsi="Arial" w:cs="Arial"/>
          <w:color w:val="000000"/>
        </w:rPr>
      </w:pPr>
      <w:r>
        <w:rPr>
          <w:rFonts w:ascii="Arial" w:eastAsia="Arial" w:hAnsi="Arial" w:cs="Arial"/>
          <w:color w:val="000000"/>
        </w:rPr>
        <w:t xml:space="preserve">deploy accurately established techniques of analysis and enquiry relating to investigative practice to review, consolidate, extend and apply their knowledge and understanding, and to initiate and carry out </w:t>
      </w:r>
      <w:proofErr w:type="gramStart"/>
      <w:r>
        <w:rPr>
          <w:rFonts w:ascii="Arial" w:eastAsia="Arial" w:hAnsi="Arial" w:cs="Arial"/>
          <w:color w:val="000000"/>
        </w:rPr>
        <w:t>investigations;</w:t>
      </w:r>
      <w:proofErr w:type="gramEnd"/>
    </w:p>
    <w:p w14:paraId="40CBBC2D" w14:textId="77777777" w:rsidR="00C66036" w:rsidRDefault="009A442B">
      <w:pPr>
        <w:numPr>
          <w:ilvl w:val="0"/>
          <w:numId w:val="2"/>
        </w:numPr>
        <w:pBdr>
          <w:top w:val="nil"/>
          <w:left w:val="nil"/>
          <w:bottom w:val="nil"/>
          <w:right w:val="nil"/>
          <w:between w:val="nil"/>
        </w:pBdr>
        <w:spacing w:after="0"/>
        <w:ind w:left="714" w:hanging="357"/>
        <w:jc w:val="both"/>
        <w:rPr>
          <w:rFonts w:ascii="Arial" w:eastAsia="Arial" w:hAnsi="Arial" w:cs="Arial"/>
          <w:color w:val="000000"/>
        </w:rPr>
      </w:pPr>
      <w:r>
        <w:rPr>
          <w:rFonts w:ascii="Arial" w:eastAsia="Arial" w:hAnsi="Arial" w:cs="Arial"/>
          <w:color w:val="000000"/>
        </w:rPr>
        <w:t xml:space="preserve">demonstrate a systematic understanding of techniques applicable to their own research or advanced investigative </w:t>
      </w:r>
      <w:proofErr w:type="gramStart"/>
      <w:r>
        <w:rPr>
          <w:rFonts w:ascii="Arial" w:eastAsia="Arial" w:hAnsi="Arial" w:cs="Arial"/>
          <w:color w:val="000000"/>
        </w:rPr>
        <w:t>practice;</w:t>
      </w:r>
      <w:proofErr w:type="gramEnd"/>
    </w:p>
    <w:p w14:paraId="53F230D0" w14:textId="77777777" w:rsidR="00C66036" w:rsidRDefault="009A442B">
      <w:pPr>
        <w:numPr>
          <w:ilvl w:val="0"/>
          <w:numId w:val="2"/>
        </w:numPr>
        <w:pBdr>
          <w:top w:val="nil"/>
          <w:left w:val="nil"/>
          <w:bottom w:val="nil"/>
          <w:right w:val="nil"/>
          <w:between w:val="nil"/>
        </w:pBdr>
        <w:ind w:left="714" w:hanging="357"/>
        <w:jc w:val="both"/>
        <w:rPr>
          <w:rFonts w:ascii="Arial" w:eastAsia="Arial" w:hAnsi="Arial" w:cs="Arial"/>
          <w:color w:val="000000"/>
        </w:rPr>
      </w:pPr>
      <w:proofErr w:type="gramStart"/>
      <w:r>
        <w:rPr>
          <w:rFonts w:ascii="Arial" w:eastAsia="Arial" w:hAnsi="Arial" w:cs="Arial"/>
          <w:color w:val="000000"/>
        </w:rPr>
        <w:t>research, and</w:t>
      </w:r>
      <w:proofErr w:type="gramEnd"/>
      <w:r>
        <w:rPr>
          <w:rFonts w:ascii="Arial" w:eastAsia="Arial" w:hAnsi="Arial" w:cs="Arial"/>
          <w:color w:val="000000"/>
        </w:rPr>
        <w:t xml:space="preserve"> critically analyse current theories and methodologies relevant to their specified area of study, and critically evaluate the actual and/or potential impact of applying the learning acquired to their professional investigative practice.</w:t>
      </w:r>
    </w:p>
    <w:p w14:paraId="0562CB0E" w14:textId="77777777" w:rsidR="00C66036" w:rsidRDefault="00C66036">
      <w:pPr>
        <w:spacing w:line="276" w:lineRule="auto"/>
        <w:rPr>
          <w:rFonts w:ascii="Arial" w:eastAsia="Arial" w:hAnsi="Arial" w:cs="Arial"/>
          <w:color w:val="000000"/>
          <w:sz w:val="24"/>
          <w:szCs w:val="24"/>
        </w:rPr>
      </w:pPr>
    </w:p>
    <w:p w14:paraId="02AF29A5" w14:textId="77777777" w:rsidR="00C66036" w:rsidRDefault="009A442B">
      <w:pPr>
        <w:rPr>
          <w:rFonts w:ascii="Arial" w:eastAsia="Arial" w:hAnsi="Arial" w:cs="Arial"/>
          <w:b/>
          <w:sz w:val="24"/>
          <w:szCs w:val="24"/>
        </w:rPr>
      </w:pPr>
      <w:r>
        <w:rPr>
          <w:rFonts w:ascii="Arial" w:eastAsia="Arial" w:hAnsi="Arial" w:cs="Arial"/>
          <w:b/>
          <w:sz w:val="24"/>
          <w:szCs w:val="24"/>
        </w:rPr>
        <w:t>Content of workbook:</w:t>
      </w:r>
    </w:p>
    <w:p w14:paraId="34CE0A41" w14:textId="77777777" w:rsidR="00C66036" w:rsidRDefault="00C66036">
      <w:pPr>
        <w:rPr>
          <w:rFonts w:ascii="Arial" w:eastAsia="Arial" w:hAnsi="Arial" w:cs="Arial"/>
          <w:b/>
          <w:sz w:val="28"/>
          <w:szCs w:val="28"/>
        </w:rPr>
      </w:pPr>
    </w:p>
    <w:tbl>
      <w:tblPr>
        <w:tblStyle w:val="a"/>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005"/>
        <w:gridCol w:w="3005"/>
        <w:gridCol w:w="3005"/>
      </w:tblGrid>
      <w:tr w:rsidR="00C66036" w14:paraId="39E169F6" w14:textId="77777777">
        <w:tc>
          <w:tcPr>
            <w:tcW w:w="3005" w:type="dxa"/>
            <w:shd w:val="clear" w:color="auto" w:fill="1E8BCD"/>
          </w:tcPr>
          <w:p w14:paraId="6B32DFEA" w14:textId="77777777" w:rsidR="00C66036" w:rsidRDefault="009A442B">
            <w:pPr>
              <w:rPr>
                <w:rFonts w:ascii="Arial" w:eastAsia="Arial" w:hAnsi="Arial" w:cs="Arial"/>
                <w:b/>
                <w:sz w:val="24"/>
                <w:szCs w:val="24"/>
              </w:rPr>
            </w:pPr>
            <w:r>
              <w:rPr>
                <w:rFonts w:ascii="Arial" w:eastAsia="Arial" w:hAnsi="Arial" w:cs="Arial"/>
                <w:b/>
                <w:sz w:val="24"/>
                <w:szCs w:val="24"/>
              </w:rPr>
              <w:t>Task Number</w:t>
            </w:r>
          </w:p>
        </w:tc>
        <w:tc>
          <w:tcPr>
            <w:tcW w:w="3005" w:type="dxa"/>
            <w:shd w:val="clear" w:color="auto" w:fill="1E8BCD"/>
          </w:tcPr>
          <w:p w14:paraId="57591A1B" w14:textId="77777777" w:rsidR="00C66036" w:rsidRDefault="009A442B">
            <w:pPr>
              <w:rPr>
                <w:rFonts w:ascii="Arial" w:eastAsia="Arial" w:hAnsi="Arial" w:cs="Arial"/>
                <w:b/>
                <w:sz w:val="24"/>
                <w:szCs w:val="24"/>
              </w:rPr>
            </w:pPr>
            <w:r>
              <w:rPr>
                <w:rFonts w:ascii="Arial" w:eastAsia="Arial" w:hAnsi="Arial" w:cs="Arial"/>
                <w:b/>
                <w:sz w:val="24"/>
                <w:szCs w:val="24"/>
              </w:rPr>
              <w:t>Area Assessed</w:t>
            </w:r>
          </w:p>
        </w:tc>
        <w:tc>
          <w:tcPr>
            <w:tcW w:w="3005" w:type="dxa"/>
            <w:shd w:val="clear" w:color="auto" w:fill="1E8BCD"/>
          </w:tcPr>
          <w:p w14:paraId="18B84905" w14:textId="77777777" w:rsidR="00C66036" w:rsidRDefault="009A442B">
            <w:pPr>
              <w:jc w:val="center"/>
              <w:rPr>
                <w:rFonts w:ascii="Arial" w:eastAsia="Arial" w:hAnsi="Arial" w:cs="Arial"/>
                <w:b/>
                <w:sz w:val="24"/>
                <w:szCs w:val="24"/>
              </w:rPr>
            </w:pPr>
            <w:r>
              <w:rPr>
                <w:rFonts w:ascii="Arial" w:eastAsia="Arial" w:hAnsi="Arial" w:cs="Arial"/>
                <w:b/>
                <w:sz w:val="24"/>
                <w:szCs w:val="24"/>
              </w:rPr>
              <w:t>Word Count</w:t>
            </w:r>
          </w:p>
          <w:p w14:paraId="62EBF3C5" w14:textId="77777777" w:rsidR="00C66036" w:rsidRDefault="00C66036">
            <w:pPr>
              <w:jc w:val="center"/>
              <w:rPr>
                <w:rFonts w:ascii="Arial" w:eastAsia="Arial" w:hAnsi="Arial" w:cs="Arial"/>
                <w:b/>
                <w:sz w:val="24"/>
                <w:szCs w:val="24"/>
              </w:rPr>
            </w:pPr>
          </w:p>
        </w:tc>
      </w:tr>
      <w:tr w:rsidR="00C66036" w14:paraId="73D83FF9" w14:textId="77777777">
        <w:tc>
          <w:tcPr>
            <w:tcW w:w="3005" w:type="dxa"/>
          </w:tcPr>
          <w:p w14:paraId="1F24FC10" w14:textId="77777777" w:rsidR="00C66036" w:rsidRDefault="009A442B">
            <w:pPr>
              <w:rPr>
                <w:rFonts w:ascii="Arial" w:eastAsia="Arial" w:hAnsi="Arial" w:cs="Arial"/>
                <w:sz w:val="24"/>
                <w:szCs w:val="24"/>
              </w:rPr>
            </w:pPr>
            <w:r>
              <w:rPr>
                <w:rFonts w:ascii="Arial" w:eastAsia="Arial" w:hAnsi="Arial" w:cs="Arial"/>
                <w:sz w:val="24"/>
                <w:szCs w:val="24"/>
              </w:rPr>
              <w:t>Task 1</w:t>
            </w:r>
          </w:p>
        </w:tc>
        <w:tc>
          <w:tcPr>
            <w:tcW w:w="3005" w:type="dxa"/>
          </w:tcPr>
          <w:p w14:paraId="66158D71" w14:textId="77777777" w:rsidR="00C66036" w:rsidRDefault="009A442B">
            <w:pPr>
              <w:rPr>
                <w:rFonts w:ascii="Arial" w:eastAsia="Arial" w:hAnsi="Arial" w:cs="Arial"/>
                <w:b/>
                <w:sz w:val="24"/>
                <w:szCs w:val="24"/>
              </w:rPr>
            </w:pPr>
            <w:r>
              <w:rPr>
                <w:rFonts w:ascii="Arial" w:eastAsia="Arial" w:hAnsi="Arial" w:cs="Arial"/>
                <w:b/>
                <w:sz w:val="24"/>
                <w:szCs w:val="24"/>
              </w:rPr>
              <w:t>Personal development - Reflection</w:t>
            </w:r>
          </w:p>
        </w:tc>
        <w:tc>
          <w:tcPr>
            <w:tcW w:w="3005" w:type="dxa"/>
          </w:tcPr>
          <w:p w14:paraId="7FA2A991" w14:textId="77777777" w:rsidR="00C66036" w:rsidRDefault="009A442B">
            <w:pPr>
              <w:jc w:val="center"/>
              <w:rPr>
                <w:rFonts w:ascii="Arial" w:eastAsia="Arial" w:hAnsi="Arial" w:cs="Arial"/>
                <w:sz w:val="24"/>
                <w:szCs w:val="24"/>
              </w:rPr>
            </w:pPr>
            <w:r>
              <w:rPr>
                <w:rFonts w:ascii="Arial" w:eastAsia="Arial" w:hAnsi="Arial" w:cs="Arial"/>
                <w:sz w:val="24"/>
                <w:szCs w:val="24"/>
              </w:rPr>
              <w:t>2000</w:t>
            </w:r>
          </w:p>
        </w:tc>
      </w:tr>
      <w:tr w:rsidR="00C66036" w14:paraId="11F264FF" w14:textId="77777777">
        <w:tc>
          <w:tcPr>
            <w:tcW w:w="3005" w:type="dxa"/>
          </w:tcPr>
          <w:p w14:paraId="568B3C1E" w14:textId="77777777" w:rsidR="00C66036" w:rsidRDefault="009A442B">
            <w:pPr>
              <w:rPr>
                <w:rFonts w:ascii="Arial" w:eastAsia="Arial" w:hAnsi="Arial" w:cs="Arial"/>
                <w:sz w:val="24"/>
                <w:szCs w:val="24"/>
              </w:rPr>
            </w:pPr>
            <w:r>
              <w:rPr>
                <w:rFonts w:ascii="Arial" w:eastAsia="Arial" w:hAnsi="Arial" w:cs="Arial"/>
                <w:sz w:val="24"/>
                <w:szCs w:val="24"/>
              </w:rPr>
              <w:t>Task 2</w:t>
            </w:r>
          </w:p>
        </w:tc>
        <w:tc>
          <w:tcPr>
            <w:tcW w:w="3005" w:type="dxa"/>
          </w:tcPr>
          <w:p w14:paraId="1BC0F792" w14:textId="77777777" w:rsidR="00C66036" w:rsidRDefault="009A442B">
            <w:pPr>
              <w:rPr>
                <w:rFonts w:ascii="Arial" w:eastAsia="Arial" w:hAnsi="Arial" w:cs="Arial"/>
                <w:b/>
                <w:sz w:val="24"/>
                <w:szCs w:val="24"/>
              </w:rPr>
            </w:pPr>
            <w:r>
              <w:rPr>
                <w:rFonts w:ascii="Arial" w:eastAsia="Arial" w:hAnsi="Arial" w:cs="Arial"/>
                <w:b/>
                <w:sz w:val="24"/>
                <w:szCs w:val="24"/>
              </w:rPr>
              <w:t>Investigation challenges</w:t>
            </w:r>
          </w:p>
        </w:tc>
        <w:tc>
          <w:tcPr>
            <w:tcW w:w="3005" w:type="dxa"/>
          </w:tcPr>
          <w:p w14:paraId="4D18D5A1" w14:textId="77777777" w:rsidR="00C66036" w:rsidRDefault="009A442B">
            <w:pPr>
              <w:jc w:val="center"/>
              <w:rPr>
                <w:rFonts w:ascii="Arial" w:eastAsia="Arial" w:hAnsi="Arial" w:cs="Arial"/>
                <w:sz w:val="24"/>
                <w:szCs w:val="24"/>
              </w:rPr>
            </w:pPr>
            <w:r>
              <w:rPr>
                <w:rFonts w:ascii="Arial" w:eastAsia="Arial" w:hAnsi="Arial" w:cs="Arial"/>
                <w:sz w:val="24"/>
                <w:szCs w:val="24"/>
              </w:rPr>
              <w:t>2000</w:t>
            </w:r>
          </w:p>
        </w:tc>
      </w:tr>
      <w:tr w:rsidR="00C66036" w14:paraId="38060FF9" w14:textId="77777777">
        <w:tc>
          <w:tcPr>
            <w:tcW w:w="3005" w:type="dxa"/>
          </w:tcPr>
          <w:p w14:paraId="789ABFF6" w14:textId="77777777" w:rsidR="00C66036" w:rsidRDefault="009A442B">
            <w:pPr>
              <w:rPr>
                <w:rFonts w:ascii="Arial" w:eastAsia="Arial" w:hAnsi="Arial" w:cs="Arial"/>
                <w:sz w:val="24"/>
                <w:szCs w:val="24"/>
              </w:rPr>
            </w:pPr>
            <w:r>
              <w:rPr>
                <w:rFonts w:ascii="Arial" w:eastAsia="Arial" w:hAnsi="Arial" w:cs="Arial"/>
                <w:sz w:val="24"/>
                <w:szCs w:val="24"/>
              </w:rPr>
              <w:t>Task 3</w:t>
            </w:r>
          </w:p>
        </w:tc>
        <w:tc>
          <w:tcPr>
            <w:tcW w:w="3005" w:type="dxa"/>
          </w:tcPr>
          <w:p w14:paraId="69D3AEDF" w14:textId="77777777" w:rsidR="00C66036" w:rsidRDefault="009A442B">
            <w:pPr>
              <w:rPr>
                <w:rFonts w:ascii="Arial" w:eastAsia="Arial" w:hAnsi="Arial" w:cs="Arial"/>
                <w:b/>
                <w:sz w:val="24"/>
                <w:szCs w:val="24"/>
              </w:rPr>
            </w:pPr>
            <w:r>
              <w:rPr>
                <w:rFonts w:ascii="Arial" w:eastAsia="Arial" w:hAnsi="Arial" w:cs="Arial"/>
                <w:b/>
                <w:sz w:val="24"/>
                <w:szCs w:val="24"/>
              </w:rPr>
              <w:t>Investigation techniques</w:t>
            </w:r>
          </w:p>
        </w:tc>
        <w:tc>
          <w:tcPr>
            <w:tcW w:w="3005" w:type="dxa"/>
          </w:tcPr>
          <w:p w14:paraId="130D8785" w14:textId="77777777" w:rsidR="00C66036" w:rsidRDefault="009A442B">
            <w:pPr>
              <w:jc w:val="center"/>
              <w:rPr>
                <w:rFonts w:ascii="Arial" w:eastAsia="Arial" w:hAnsi="Arial" w:cs="Arial"/>
                <w:sz w:val="24"/>
                <w:szCs w:val="24"/>
              </w:rPr>
            </w:pPr>
            <w:r>
              <w:rPr>
                <w:rFonts w:ascii="Arial" w:eastAsia="Arial" w:hAnsi="Arial" w:cs="Arial"/>
                <w:sz w:val="24"/>
                <w:szCs w:val="24"/>
              </w:rPr>
              <w:t>2000</w:t>
            </w:r>
          </w:p>
        </w:tc>
      </w:tr>
      <w:tr w:rsidR="00C66036" w14:paraId="62C3233A" w14:textId="77777777">
        <w:tc>
          <w:tcPr>
            <w:tcW w:w="3005" w:type="dxa"/>
          </w:tcPr>
          <w:p w14:paraId="5DD14925" w14:textId="77777777" w:rsidR="00C66036" w:rsidRDefault="009A442B">
            <w:pPr>
              <w:rPr>
                <w:rFonts w:ascii="Arial" w:eastAsia="Arial" w:hAnsi="Arial" w:cs="Arial"/>
                <w:sz w:val="24"/>
                <w:szCs w:val="24"/>
              </w:rPr>
            </w:pPr>
            <w:r>
              <w:rPr>
                <w:rFonts w:ascii="Arial" w:eastAsia="Arial" w:hAnsi="Arial" w:cs="Arial"/>
                <w:sz w:val="24"/>
                <w:szCs w:val="24"/>
              </w:rPr>
              <w:t>Task 4</w:t>
            </w:r>
          </w:p>
        </w:tc>
        <w:tc>
          <w:tcPr>
            <w:tcW w:w="3005" w:type="dxa"/>
          </w:tcPr>
          <w:p w14:paraId="49178567" w14:textId="77777777" w:rsidR="00C66036" w:rsidRDefault="009A442B">
            <w:pPr>
              <w:rPr>
                <w:rFonts w:ascii="Arial" w:eastAsia="Arial" w:hAnsi="Arial" w:cs="Arial"/>
                <w:b/>
                <w:sz w:val="24"/>
                <w:szCs w:val="24"/>
              </w:rPr>
            </w:pPr>
            <w:r>
              <w:rPr>
                <w:rFonts w:ascii="Arial" w:eastAsia="Arial" w:hAnsi="Arial" w:cs="Arial"/>
                <w:b/>
                <w:sz w:val="24"/>
                <w:szCs w:val="24"/>
              </w:rPr>
              <w:t>Investigation methodology and theory</w:t>
            </w:r>
          </w:p>
        </w:tc>
        <w:tc>
          <w:tcPr>
            <w:tcW w:w="3005" w:type="dxa"/>
          </w:tcPr>
          <w:p w14:paraId="2FB1F891" w14:textId="77777777" w:rsidR="00C66036" w:rsidRDefault="009A442B">
            <w:pPr>
              <w:spacing w:after="160" w:line="259" w:lineRule="auto"/>
              <w:jc w:val="center"/>
              <w:rPr>
                <w:rFonts w:ascii="Arial" w:eastAsia="Arial" w:hAnsi="Arial" w:cs="Arial"/>
                <w:sz w:val="24"/>
                <w:szCs w:val="24"/>
              </w:rPr>
            </w:pPr>
            <w:r>
              <w:rPr>
                <w:rFonts w:ascii="Arial" w:eastAsia="Arial" w:hAnsi="Arial" w:cs="Arial"/>
                <w:sz w:val="24"/>
                <w:szCs w:val="24"/>
              </w:rPr>
              <w:t>2000</w:t>
            </w:r>
          </w:p>
        </w:tc>
      </w:tr>
      <w:tr w:rsidR="00C66036" w14:paraId="0E6FAE8B" w14:textId="77777777">
        <w:trPr>
          <w:trHeight w:val="660"/>
        </w:trPr>
        <w:tc>
          <w:tcPr>
            <w:tcW w:w="3005" w:type="dxa"/>
          </w:tcPr>
          <w:p w14:paraId="168A4707" w14:textId="77777777" w:rsidR="00C66036" w:rsidRDefault="009A442B">
            <w:pPr>
              <w:rPr>
                <w:rFonts w:ascii="Arial" w:eastAsia="Arial" w:hAnsi="Arial" w:cs="Arial"/>
                <w:sz w:val="24"/>
                <w:szCs w:val="24"/>
              </w:rPr>
            </w:pPr>
            <w:r>
              <w:rPr>
                <w:rFonts w:ascii="Arial" w:eastAsia="Arial" w:hAnsi="Arial" w:cs="Arial"/>
                <w:sz w:val="24"/>
                <w:szCs w:val="24"/>
              </w:rPr>
              <w:t>Task 5</w:t>
            </w:r>
          </w:p>
        </w:tc>
        <w:tc>
          <w:tcPr>
            <w:tcW w:w="3005" w:type="dxa"/>
          </w:tcPr>
          <w:p w14:paraId="5C8C041B" w14:textId="77777777" w:rsidR="00C66036" w:rsidRDefault="009A442B">
            <w:pPr>
              <w:rPr>
                <w:rFonts w:ascii="Arial" w:eastAsia="Arial" w:hAnsi="Arial" w:cs="Arial"/>
                <w:sz w:val="24"/>
                <w:szCs w:val="24"/>
              </w:rPr>
            </w:pPr>
            <w:r>
              <w:rPr>
                <w:rFonts w:ascii="Arial" w:eastAsia="Arial" w:hAnsi="Arial" w:cs="Arial"/>
                <w:b/>
                <w:color w:val="000000"/>
                <w:sz w:val="24"/>
                <w:szCs w:val="24"/>
              </w:rPr>
              <w:t>Personal study/learning plan</w:t>
            </w:r>
          </w:p>
        </w:tc>
        <w:tc>
          <w:tcPr>
            <w:tcW w:w="3005" w:type="dxa"/>
          </w:tcPr>
          <w:p w14:paraId="35ADC470" w14:textId="77777777" w:rsidR="00C66036" w:rsidRDefault="009A442B">
            <w:pPr>
              <w:jc w:val="center"/>
              <w:rPr>
                <w:rFonts w:ascii="Arial" w:eastAsia="Arial" w:hAnsi="Arial" w:cs="Arial"/>
                <w:sz w:val="24"/>
                <w:szCs w:val="24"/>
              </w:rPr>
            </w:pPr>
            <w:r>
              <w:rPr>
                <w:rFonts w:ascii="Arial" w:eastAsia="Arial" w:hAnsi="Arial" w:cs="Arial"/>
                <w:sz w:val="24"/>
                <w:szCs w:val="24"/>
              </w:rPr>
              <w:t>2000</w:t>
            </w:r>
          </w:p>
        </w:tc>
      </w:tr>
      <w:tr w:rsidR="00C66036" w14:paraId="5870331C" w14:textId="77777777">
        <w:tc>
          <w:tcPr>
            <w:tcW w:w="3005" w:type="dxa"/>
          </w:tcPr>
          <w:p w14:paraId="6AEBEE3C" w14:textId="77777777" w:rsidR="00C66036" w:rsidRDefault="009A442B">
            <w:pPr>
              <w:rPr>
                <w:rFonts w:ascii="Arial" w:eastAsia="Arial" w:hAnsi="Arial" w:cs="Arial"/>
                <w:sz w:val="24"/>
                <w:szCs w:val="24"/>
              </w:rPr>
            </w:pPr>
            <w:r>
              <w:rPr>
                <w:rFonts w:ascii="Arial" w:eastAsia="Arial" w:hAnsi="Arial" w:cs="Arial"/>
                <w:sz w:val="24"/>
                <w:szCs w:val="24"/>
              </w:rPr>
              <w:t>Task 6.</w:t>
            </w:r>
          </w:p>
        </w:tc>
        <w:tc>
          <w:tcPr>
            <w:tcW w:w="3005" w:type="dxa"/>
          </w:tcPr>
          <w:p w14:paraId="17936F14" w14:textId="77777777" w:rsidR="00C66036" w:rsidRDefault="009A442B">
            <w:pPr>
              <w:rPr>
                <w:rFonts w:ascii="Arial" w:eastAsia="Arial" w:hAnsi="Arial" w:cs="Arial"/>
                <w:b/>
                <w:color w:val="000000"/>
                <w:sz w:val="24"/>
                <w:szCs w:val="24"/>
              </w:rPr>
            </w:pPr>
            <w:r>
              <w:rPr>
                <w:rFonts w:ascii="Arial" w:eastAsia="Arial" w:hAnsi="Arial" w:cs="Arial"/>
                <w:b/>
                <w:color w:val="000000"/>
                <w:sz w:val="24"/>
                <w:szCs w:val="24"/>
              </w:rPr>
              <w:t>Bibliography/Reference list</w:t>
            </w:r>
          </w:p>
          <w:p w14:paraId="6D98A12B" w14:textId="77777777" w:rsidR="00C66036" w:rsidRDefault="00C66036">
            <w:pPr>
              <w:jc w:val="center"/>
              <w:rPr>
                <w:rFonts w:ascii="Arial" w:eastAsia="Arial" w:hAnsi="Arial" w:cs="Arial"/>
                <w:b/>
                <w:color w:val="000000"/>
                <w:sz w:val="24"/>
                <w:szCs w:val="24"/>
              </w:rPr>
            </w:pPr>
          </w:p>
        </w:tc>
        <w:tc>
          <w:tcPr>
            <w:tcW w:w="3005" w:type="dxa"/>
          </w:tcPr>
          <w:p w14:paraId="1F83DC1E" w14:textId="77777777" w:rsidR="00C66036" w:rsidRDefault="009A442B">
            <w:pPr>
              <w:jc w:val="center"/>
              <w:rPr>
                <w:rFonts w:ascii="Arial" w:eastAsia="Arial" w:hAnsi="Arial" w:cs="Arial"/>
                <w:b/>
                <w:sz w:val="24"/>
                <w:szCs w:val="24"/>
              </w:rPr>
            </w:pPr>
            <w:r>
              <w:rPr>
                <w:rFonts w:ascii="Arial" w:eastAsia="Arial" w:hAnsi="Arial" w:cs="Arial"/>
                <w:b/>
                <w:sz w:val="24"/>
                <w:szCs w:val="24"/>
              </w:rPr>
              <w:t>Not included in the word count.</w:t>
            </w:r>
          </w:p>
        </w:tc>
      </w:tr>
    </w:tbl>
    <w:p w14:paraId="2946DB82" w14:textId="77777777" w:rsidR="00C66036" w:rsidRDefault="00C66036">
      <w:pPr>
        <w:rPr>
          <w:rFonts w:ascii="Arial" w:eastAsia="Arial" w:hAnsi="Arial" w:cs="Arial"/>
          <w:b/>
          <w:sz w:val="28"/>
          <w:szCs w:val="28"/>
        </w:rPr>
      </w:pPr>
    </w:p>
    <w:p w14:paraId="5997CC1D" w14:textId="77777777" w:rsidR="00C66036" w:rsidRDefault="00C66036">
      <w:pPr>
        <w:rPr>
          <w:rFonts w:ascii="Arial" w:eastAsia="Arial" w:hAnsi="Arial" w:cs="Arial"/>
          <w:b/>
          <w:sz w:val="28"/>
          <w:szCs w:val="28"/>
        </w:rPr>
      </w:pPr>
    </w:p>
    <w:p w14:paraId="110FFD37" w14:textId="77777777" w:rsidR="00C66036" w:rsidRDefault="00C66036">
      <w:pPr>
        <w:rPr>
          <w:rFonts w:ascii="Arial" w:eastAsia="Arial" w:hAnsi="Arial" w:cs="Arial"/>
          <w:b/>
          <w:sz w:val="28"/>
          <w:szCs w:val="28"/>
        </w:rPr>
      </w:pPr>
    </w:p>
    <w:p w14:paraId="6B699379" w14:textId="77777777" w:rsidR="00C66036" w:rsidRDefault="00C66036">
      <w:pPr>
        <w:rPr>
          <w:rFonts w:ascii="Arial" w:eastAsia="Arial" w:hAnsi="Arial" w:cs="Arial"/>
          <w:b/>
          <w:sz w:val="28"/>
          <w:szCs w:val="28"/>
        </w:rPr>
      </w:pPr>
    </w:p>
    <w:p w14:paraId="062D6733" w14:textId="77777777" w:rsidR="00C66036" w:rsidRDefault="009A442B">
      <w:pPr>
        <w:rPr>
          <w:i/>
        </w:rPr>
      </w:pPr>
      <w:r>
        <w:rPr>
          <w:rFonts w:ascii="Arial" w:eastAsia="Arial" w:hAnsi="Arial" w:cs="Arial"/>
          <w:b/>
          <w:i/>
          <w:sz w:val="24"/>
          <w:szCs w:val="24"/>
        </w:rPr>
        <w:t xml:space="preserve">Task </w:t>
      </w:r>
      <w:r>
        <w:rPr>
          <w:rFonts w:ascii="Arial" w:eastAsia="Arial" w:hAnsi="Arial" w:cs="Arial"/>
          <w:b/>
          <w:i/>
          <w:color w:val="000000"/>
          <w:sz w:val="24"/>
          <w:szCs w:val="24"/>
        </w:rPr>
        <w:t>1: Reflection &amp; Personal Development</w:t>
      </w:r>
    </w:p>
    <w:tbl>
      <w:tblPr>
        <w:tblStyle w:val="a0"/>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C66036" w14:paraId="045D2486" w14:textId="77777777">
        <w:tc>
          <w:tcPr>
            <w:tcW w:w="9015" w:type="dxa"/>
          </w:tcPr>
          <w:p w14:paraId="5A42B496" w14:textId="77777777" w:rsidR="00C66036" w:rsidRPr="0039604B" w:rsidRDefault="009A442B">
            <w:pPr>
              <w:rPr>
                <w:rFonts w:ascii="Aptos" w:eastAsia="Arial" w:hAnsi="Aptos" w:cs="Arial"/>
                <w:i/>
                <w:sz w:val="24"/>
                <w:szCs w:val="24"/>
              </w:rPr>
            </w:pPr>
            <w:r w:rsidRPr="0039604B">
              <w:rPr>
                <w:rFonts w:ascii="Aptos" w:eastAsia="Arial" w:hAnsi="Aptos" w:cs="Arial"/>
                <w:sz w:val="24"/>
                <w:szCs w:val="24"/>
              </w:rPr>
              <w:t>1a Using principles of reflection, critically evaluate your policing career focussing specifically on the last twelve (12) months. (e</w:t>
            </w:r>
            <w:r w:rsidRPr="0039604B">
              <w:rPr>
                <w:rFonts w:ascii="Aptos" w:eastAsia="Arial" w:hAnsi="Aptos" w:cs="Arial"/>
                <w:i/>
                <w:sz w:val="24"/>
                <w:szCs w:val="24"/>
              </w:rPr>
              <w:t xml:space="preserve">.g., skills development, academic achievements, CPD, training, promotion, specialisation, etc.). </w:t>
            </w:r>
          </w:p>
          <w:p w14:paraId="3FE9F23F" w14:textId="77777777" w:rsidR="00C66036" w:rsidRPr="0039604B" w:rsidRDefault="00C66036">
            <w:pPr>
              <w:rPr>
                <w:rFonts w:ascii="Aptos" w:hAnsi="Aptos" w:cs="Arial"/>
                <w:sz w:val="24"/>
                <w:szCs w:val="24"/>
              </w:rPr>
            </w:pPr>
          </w:p>
          <w:p w14:paraId="19B16174" w14:textId="77777777" w:rsidR="00C66036" w:rsidRPr="0039604B" w:rsidRDefault="009A442B">
            <w:pPr>
              <w:rPr>
                <w:rFonts w:ascii="Aptos" w:eastAsia="Arial" w:hAnsi="Aptos" w:cs="Arial"/>
                <w:sz w:val="24"/>
                <w:szCs w:val="24"/>
              </w:rPr>
            </w:pPr>
            <w:r w:rsidRPr="0039604B">
              <w:rPr>
                <w:rFonts w:ascii="Aptos" w:eastAsia="Arial" w:hAnsi="Aptos" w:cs="Arial"/>
                <w:sz w:val="24"/>
                <w:szCs w:val="24"/>
              </w:rPr>
              <w:t xml:space="preserve">1b. Discuss the importance of continuous professional development in achieving organisation objectives and the relevance of reflective practice in professional development. </w:t>
            </w:r>
          </w:p>
          <w:p w14:paraId="1F72F646" w14:textId="77777777" w:rsidR="00C66036" w:rsidRPr="0039604B" w:rsidRDefault="00C66036">
            <w:pPr>
              <w:rPr>
                <w:rFonts w:ascii="Aptos" w:eastAsia="Arial" w:hAnsi="Aptos" w:cs="Arial"/>
                <w:sz w:val="24"/>
                <w:szCs w:val="24"/>
              </w:rPr>
            </w:pPr>
          </w:p>
          <w:p w14:paraId="08CE6F91" w14:textId="77777777" w:rsidR="00C66036" w:rsidRPr="0039604B" w:rsidRDefault="00C66036">
            <w:pPr>
              <w:rPr>
                <w:rFonts w:ascii="Aptos" w:hAnsi="Aptos" w:cs="Arial"/>
                <w:sz w:val="24"/>
                <w:szCs w:val="24"/>
              </w:rPr>
            </w:pPr>
          </w:p>
          <w:p w14:paraId="61CDCEAD" w14:textId="77777777" w:rsidR="00C66036" w:rsidRPr="0039604B" w:rsidRDefault="00C66036">
            <w:pPr>
              <w:rPr>
                <w:rFonts w:ascii="Aptos" w:hAnsi="Aptos" w:cs="Arial"/>
                <w:sz w:val="24"/>
                <w:szCs w:val="24"/>
              </w:rPr>
            </w:pPr>
          </w:p>
          <w:p w14:paraId="1A6A6AE7" w14:textId="77777777" w:rsidR="00C66036" w:rsidRPr="0039604B" w:rsidRDefault="009A442B">
            <w:pPr>
              <w:rPr>
                <w:rFonts w:ascii="Aptos" w:hAnsi="Aptos" w:cs="Arial"/>
                <w:sz w:val="24"/>
                <w:szCs w:val="24"/>
              </w:rPr>
            </w:pPr>
            <w:r w:rsidRPr="0039604B">
              <w:rPr>
                <w:rFonts w:ascii="Aptos" w:eastAsia="Arial" w:hAnsi="Aptos" w:cs="Arial"/>
                <w:b/>
                <w:color w:val="000000"/>
                <w:sz w:val="24"/>
                <w:szCs w:val="24"/>
              </w:rPr>
              <w:t xml:space="preserve">2000 words </w:t>
            </w:r>
            <w:r w:rsidRPr="0039604B">
              <w:rPr>
                <w:rFonts w:ascii="Aptos" w:eastAsia="Arial" w:hAnsi="Aptos" w:cs="Arial"/>
                <w:i/>
                <w:color w:val="000000"/>
                <w:sz w:val="24"/>
                <w:szCs w:val="24"/>
              </w:rPr>
              <w:t>(+/- 10%: include your actual word count at the end of each section)</w:t>
            </w:r>
          </w:p>
          <w:p w14:paraId="0E90ABF0" w14:textId="77777777" w:rsidR="00C66036" w:rsidRPr="0039604B" w:rsidRDefault="00C66036">
            <w:pPr>
              <w:rPr>
                <w:rFonts w:ascii="Aptos" w:hAnsi="Aptos" w:cs="Arial"/>
                <w:sz w:val="24"/>
                <w:szCs w:val="24"/>
              </w:rPr>
            </w:pPr>
          </w:p>
          <w:p w14:paraId="09A2DC63" w14:textId="25311AAB" w:rsidR="0001757D" w:rsidRPr="0039604B" w:rsidRDefault="00CA395F">
            <w:pPr>
              <w:rPr>
                <w:rFonts w:ascii="Aptos" w:hAnsi="Aptos" w:cs="Arial"/>
                <w:sz w:val="24"/>
                <w:szCs w:val="24"/>
              </w:rPr>
            </w:pPr>
            <w:r w:rsidRPr="0039604B">
              <w:rPr>
                <w:rFonts w:ascii="Aptos" w:hAnsi="Aptos" w:cs="Arial"/>
                <w:b/>
                <w:bCs/>
                <w:sz w:val="24"/>
                <w:szCs w:val="24"/>
              </w:rPr>
              <w:t>Reflection and Personal Development</w:t>
            </w:r>
          </w:p>
          <w:p w14:paraId="5E1AA3C6" w14:textId="386F698D" w:rsidR="0001757D" w:rsidRPr="0039604B" w:rsidRDefault="0001757D" w:rsidP="0001757D">
            <w:pPr>
              <w:rPr>
                <w:rFonts w:ascii="Aptos" w:hAnsi="Aptos" w:cs="Arial"/>
                <w:b/>
                <w:bCs/>
                <w:sz w:val="24"/>
                <w:szCs w:val="24"/>
              </w:rPr>
            </w:pPr>
            <w:bookmarkStart w:id="0" w:name="_Hlk218516371"/>
            <w:r w:rsidRPr="0039604B">
              <w:rPr>
                <w:rFonts w:ascii="Aptos" w:hAnsi="Aptos" w:cs="Arial"/>
                <w:b/>
                <w:bCs/>
                <w:sz w:val="24"/>
                <w:szCs w:val="24"/>
              </w:rPr>
              <w:t xml:space="preserve">Task 1a: </w:t>
            </w:r>
            <w:bookmarkEnd w:id="0"/>
          </w:p>
          <w:p w14:paraId="3F09D113" w14:textId="77777777" w:rsidR="0001757D" w:rsidRPr="0039604B" w:rsidRDefault="0001757D" w:rsidP="0001757D">
            <w:pPr>
              <w:rPr>
                <w:rFonts w:ascii="Aptos" w:hAnsi="Aptos" w:cs="Arial"/>
                <w:sz w:val="24"/>
                <w:szCs w:val="24"/>
              </w:rPr>
            </w:pPr>
          </w:p>
          <w:p w14:paraId="76A6A030" w14:textId="77777777" w:rsidR="0001757D" w:rsidRPr="0039604B" w:rsidRDefault="0001757D" w:rsidP="0001757D">
            <w:pPr>
              <w:rPr>
                <w:rFonts w:ascii="Aptos" w:hAnsi="Aptos" w:cs="Arial"/>
                <w:b/>
                <w:bCs/>
                <w:sz w:val="24"/>
                <w:szCs w:val="24"/>
              </w:rPr>
            </w:pPr>
            <w:r w:rsidRPr="0039604B">
              <w:rPr>
                <w:rFonts w:ascii="Aptos" w:hAnsi="Aptos" w:cs="Arial"/>
                <w:b/>
                <w:bCs/>
                <w:sz w:val="24"/>
                <w:szCs w:val="24"/>
              </w:rPr>
              <w:t>Introduction</w:t>
            </w:r>
          </w:p>
          <w:p w14:paraId="715C4CEB" w14:textId="77777777" w:rsidR="0001757D" w:rsidRPr="0039604B" w:rsidRDefault="0001757D" w:rsidP="0001757D">
            <w:pPr>
              <w:rPr>
                <w:rFonts w:ascii="Aptos" w:hAnsi="Aptos" w:cs="Arial"/>
                <w:sz w:val="24"/>
                <w:szCs w:val="24"/>
              </w:rPr>
            </w:pPr>
          </w:p>
          <w:p w14:paraId="7CFFBA65" w14:textId="77777777" w:rsidR="0001757D" w:rsidRPr="0039604B" w:rsidRDefault="0001757D" w:rsidP="0001757D">
            <w:pPr>
              <w:rPr>
                <w:rFonts w:ascii="Aptos" w:hAnsi="Aptos" w:cs="Arial"/>
                <w:sz w:val="24"/>
                <w:szCs w:val="24"/>
              </w:rPr>
            </w:pPr>
            <w:r w:rsidRPr="0039604B">
              <w:rPr>
                <w:rFonts w:ascii="Aptos" w:hAnsi="Aptos" w:cs="Arial"/>
                <w:sz w:val="24"/>
                <w:szCs w:val="24"/>
              </w:rPr>
              <w:t>Reflective practice is widely recognised as a cornerstone of professional competence within contemporary policing. The dynamic and high-risk nature of modern policing environments requires practitioners not only to apply procedural knowledge but also to exercise professional judgement in situations characterised by uncertainty, ethical complexity, and potential harm. This is particularly evident within Counter Terrorism (CT) policing, where decision-making is often time-critical, intelligence-led, and subject to significant public and organisational scrutiny. In such contexts, reflective practice provides a structured means of examining experience, challenging assumptions, and embedding learning into future practice.</w:t>
            </w:r>
          </w:p>
          <w:p w14:paraId="799EAB99" w14:textId="77777777" w:rsidR="0001757D" w:rsidRPr="0039604B" w:rsidRDefault="0001757D" w:rsidP="0001757D">
            <w:pPr>
              <w:rPr>
                <w:rFonts w:ascii="Aptos" w:hAnsi="Aptos" w:cs="Arial"/>
                <w:sz w:val="24"/>
                <w:szCs w:val="24"/>
              </w:rPr>
            </w:pPr>
          </w:p>
          <w:p w14:paraId="572A16F9" w14:textId="77777777" w:rsidR="0001757D" w:rsidRPr="0039604B" w:rsidRDefault="0001757D" w:rsidP="0001757D">
            <w:pPr>
              <w:rPr>
                <w:rFonts w:ascii="Aptos" w:hAnsi="Aptos" w:cs="Arial"/>
                <w:sz w:val="24"/>
                <w:szCs w:val="24"/>
              </w:rPr>
            </w:pPr>
            <w:r w:rsidRPr="0039604B">
              <w:rPr>
                <w:rFonts w:ascii="Aptos" w:hAnsi="Aptos" w:cs="Arial"/>
                <w:sz w:val="24"/>
                <w:szCs w:val="24"/>
              </w:rPr>
              <w:t>This paper employs Gibbs’ (1988) Reflective Cycle as an organising framework to critically evaluate my professional development over the past twelve months following my transition from Serious Organised Crime (SOC) into a Counter Terrorism role as a PIP2 Manager. The reflection focuses on my evolving leadership approach, decision-making processes, and emotional resilience within complex investigative environments. Academic literature, leadership theory, and evidence-based policing research are integrated as analytical lenses to interrogate practice rather than as descriptive additions.</w:t>
            </w:r>
          </w:p>
          <w:p w14:paraId="04C03B2F" w14:textId="77777777" w:rsidR="0001757D" w:rsidRPr="0039604B" w:rsidRDefault="0001757D" w:rsidP="0001757D">
            <w:pPr>
              <w:rPr>
                <w:rFonts w:ascii="Aptos" w:hAnsi="Aptos" w:cs="Arial"/>
                <w:sz w:val="24"/>
                <w:szCs w:val="24"/>
              </w:rPr>
            </w:pPr>
          </w:p>
          <w:p w14:paraId="5DAB1CB1" w14:textId="77777777" w:rsidR="0001757D" w:rsidRPr="0039604B" w:rsidRDefault="0001757D" w:rsidP="0001757D">
            <w:pPr>
              <w:rPr>
                <w:rFonts w:ascii="Aptos" w:hAnsi="Aptos" w:cs="Arial"/>
                <w:sz w:val="24"/>
                <w:szCs w:val="24"/>
              </w:rPr>
            </w:pPr>
            <w:r w:rsidRPr="0039604B">
              <w:rPr>
                <w:rFonts w:ascii="Aptos" w:hAnsi="Aptos" w:cs="Arial"/>
                <w:sz w:val="24"/>
                <w:szCs w:val="24"/>
              </w:rPr>
              <w:lastRenderedPageBreak/>
              <w:t>The discussion then broadens to consider the importance of Continuous Professional Development (CPD) in achieving the organisational objectives of South Wales Police (SWP). It examines the relevance of reflective practice as a mechanism through which CPD becomes meaningful, sustained, and aligned with organisational priorities. The paper argues that reflective CPD enables individual professional growth while simultaneously contributing to organisational learning, effectiveness, and legitimacy.</w:t>
            </w:r>
          </w:p>
          <w:p w14:paraId="132C582F" w14:textId="77777777" w:rsidR="0001757D" w:rsidRPr="0039604B" w:rsidRDefault="0001757D" w:rsidP="0001757D">
            <w:pPr>
              <w:rPr>
                <w:rFonts w:ascii="Aptos" w:hAnsi="Aptos" w:cs="Arial"/>
                <w:sz w:val="24"/>
                <w:szCs w:val="24"/>
              </w:rPr>
            </w:pPr>
          </w:p>
          <w:p w14:paraId="273FC9BC" w14:textId="77777777" w:rsidR="0001757D" w:rsidRPr="0039604B" w:rsidRDefault="0001757D" w:rsidP="0001757D">
            <w:pPr>
              <w:rPr>
                <w:rFonts w:ascii="Aptos" w:hAnsi="Aptos" w:cs="Arial"/>
                <w:b/>
                <w:bCs/>
                <w:sz w:val="24"/>
                <w:szCs w:val="24"/>
              </w:rPr>
            </w:pPr>
            <w:r w:rsidRPr="0039604B">
              <w:rPr>
                <w:rFonts w:ascii="Aptos" w:hAnsi="Aptos" w:cs="Arial"/>
                <w:b/>
                <w:bCs/>
                <w:sz w:val="24"/>
                <w:szCs w:val="24"/>
              </w:rPr>
              <w:t>Reflective Account: Professional Development within Counter Terrorism Policing</w:t>
            </w:r>
          </w:p>
          <w:p w14:paraId="3F912843" w14:textId="77777777" w:rsidR="0001757D" w:rsidRPr="0039604B" w:rsidRDefault="0001757D" w:rsidP="0001757D">
            <w:pPr>
              <w:rPr>
                <w:rFonts w:ascii="Aptos" w:hAnsi="Aptos" w:cs="Arial"/>
                <w:sz w:val="24"/>
                <w:szCs w:val="24"/>
              </w:rPr>
            </w:pPr>
          </w:p>
          <w:p w14:paraId="3EC27146" w14:textId="77777777" w:rsidR="0001757D" w:rsidRPr="0039604B" w:rsidRDefault="0001757D" w:rsidP="0001757D">
            <w:pPr>
              <w:rPr>
                <w:rFonts w:ascii="Aptos" w:hAnsi="Aptos" w:cs="Arial"/>
                <w:b/>
                <w:bCs/>
                <w:sz w:val="24"/>
                <w:szCs w:val="24"/>
              </w:rPr>
            </w:pPr>
            <w:r w:rsidRPr="0039604B">
              <w:rPr>
                <w:rFonts w:ascii="Aptos" w:hAnsi="Aptos" w:cs="Arial"/>
                <w:b/>
                <w:bCs/>
                <w:sz w:val="24"/>
                <w:szCs w:val="24"/>
              </w:rPr>
              <w:t>Description of Experience</w:t>
            </w:r>
          </w:p>
          <w:p w14:paraId="44806997" w14:textId="77777777" w:rsidR="0001757D" w:rsidRPr="0039604B" w:rsidRDefault="0001757D" w:rsidP="0001757D">
            <w:pPr>
              <w:rPr>
                <w:rFonts w:ascii="Aptos" w:hAnsi="Aptos" w:cs="Arial"/>
                <w:sz w:val="24"/>
                <w:szCs w:val="24"/>
              </w:rPr>
            </w:pPr>
          </w:p>
          <w:p w14:paraId="0D5F938F" w14:textId="77777777" w:rsidR="0001757D" w:rsidRPr="0039604B" w:rsidRDefault="0001757D" w:rsidP="0001757D">
            <w:pPr>
              <w:rPr>
                <w:rFonts w:ascii="Aptos" w:hAnsi="Aptos" w:cs="Arial"/>
                <w:sz w:val="24"/>
                <w:szCs w:val="24"/>
              </w:rPr>
            </w:pPr>
            <w:r w:rsidRPr="0039604B">
              <w:rPr>
                <w:rFonts w:ascii="Aptos" w:hAnsi="Aptos" w:cs="Arial"/>
                <w:sz w:val="24"/>
                <w:szCs w:val="24"/>
              </w:rPr>
              <w:t xml:space="preserve">During the past year, I have been involved in a range of complex Counter Terrorism investigations involving extremist networks, online radicalisation pathways, and individuals assessed as presenting potential threats to public safety and national security. These investigations required the interpretation of sensitive intelligence, coordination across multiple agencies, and decision-making under conditions of ambiguity and time pressure. </w:t>
            </w:r>
            <w:proofErr w:type="gramStart"/>
            <w:r w:rsidRPr="0039604B">
              <w:rPr>
                <w:rFonts w:ascii="Aptos" w:hAnsi="Aptos" w:cs="Arial"/>
                <w:sz w:val="24"/>
                <w:szCs w:val="24"/>
              </w:rPr>
              <w:t>One investigation,</w:t>
            </w:r>
            <w:proofErr w:type="gramEnd"/>
            <w:r w:rsidRPr="0039604B">
              <w:rPr>
                <w:rFonts w:ascii="Aptos" w:hAnsi="Aptos" w:cs="Arial"/>
                <w:sz w:val="24"/>
                <w:szCs w:val="24"/>
              </w:rPr>
              <w:t xml:space="preserve"> demanded the rapid assessment of multi-source intelligence alongside close collaboration with Senior Investigating Officers (SIOs), Tactical Firearms Commanders (TFCs), and intelligence partners.</w:t>
            </w:r>
          </w:p>
          <w:p w14:paraId="26AC964A" w14:textId="77777777" w:rsidR="0001757D" w:rsidRPr="0039604B" w:rsidRDefault="0001757D" w:rsidP="0001757D">
            <w:pPr>
              <w:rPr>
                <w:rFonts w:ascii="Aptos" w:hAnsi="Aptos" w:cs="Arial"/>
                <w:sz w:val="24"/>
                <w:szCs w:val="24"/>
              </w:rPr>
            </w:pPr>
          </w:p>
          <w:p w14:paraId="460E5758" w14:textId="77777777" w:rsidR="0001757D" w:rsidRPr="0039604B" w:rsidRDefault="0001757D" w:rsidP="0001757D">
            <w:pPr>
              <w:rPr>
                <w:rFonts w:ascii="Aptos" w:hAnsi="Aptos" w:cs="Arial"/>
                <w:sz w:val="24"/>
                <w:szCs w:val="24"/>
              </w:rPr>
            </w:pPr>
            <w:r w:rsidRPr="0039604B">
              <w:rPr>
                <w:rFonts w:ascii="Aptos" w:hAnsi="Aptos" w:cs="Arial"/>
                <w:sz w:val="24"/>
                <w:szCs w:val="24"/>
              </w:rPr>
              <w:t>In my role as a PIP2 Manager, I was responsible for providing investigative oversight, ensuring compliance with legislative frameworks, national investigative guidance, and the National Decision Model (College of Policing, 2013). This included responsibility for setting investigative direction, managing risk, and safeguarding the welfare of staff working under sustained operational pressure. The role also required me to balance investigative thoroughness with the operational need for timely decision-making.</w:t>
            </w:r>
          </w:p>
          <w:p w14:paraId="2F39A93B" w14:textId="77777777" w:rsidR="0001757D" w:rsidRPr="0039604B" w:rsidRDefault="0001757D" w:rsidP="0001757D">
            <w:pPr>
              <w:rPr>
                <w:rFonts w:ascii="Aptos" w:hAnsi="Aptos" w:cs="Arial"/>
                <w:sz w:val="24"/>
                <w:szCs w:val="24"/>
              </w:rPr>
            </w:pPr>
          </w:p>
          <w:p w14:paraId="521E033D" w14:textId="77777777" w:rsidR="0001757D" w:rsidRPr="0039604B" w:rsidRDefault="0001757D" w:rsidP="0001757D">
            <w:pPr>
              <w:rPr>
                <w:rFonts w:ascii="Aptos" w:hAnsi="Aptos" w:cs="Arial"/>
                <w:sz w:val="24"/>
                <w:szCs w:val="24"/>
              </w:rPr>
            </w:pPr>
            <w:r w:rsidRPr="0039604B">
              <w:rPr>
                <w:rFonts w:ascii="Aptos" w:hAnsi="Aptos" w:cs="Arial"/>
                <w:sz w:val="24"/>
                <w:szCs w:val="24"/>
              </w:rPr>
              <w:t>The transition from SOC into CT represented a significant professional shift. While many investigative skills were transferable, CT policing introduced heightened levels of uncertainty, consequence, and ethical complexity. Decisions often had to be made with incomplete intelligence, where the cost of inaction could be as significant as the risk of action. This required a recalibration of my professional judgement and leadership approach.</w:t>
            </w:r>
          </w:p>
          <w:p w14:paraId="1842A79C" w14:textId="77777777" w:rsidR="0001757D" w:rsidRPr="0039604B" w:rsidRDefault="0001757D" w:rsidP="0001757D">
            <w:pPr>
              <w:rPr>
                <w:rFonts w:ascii="Aptos" w:hAnsi="Aptos" w:cs="Arial"/>
                <w:sz w:val="24"/>
                <w:szCs w:val="24"/>
              </w:rPr>
            </w:pPr>
          </w:p>
          <w:p w14:paraId="5024C777" w14:textId="77777777" w:rsidR="0001757D" w:rsidRPr="0039604B" w:rsidRDefault="0001757D" w:rsidP="0001757D">
            <w:pPr>
              <w:rPr>
                <w:rFonts w:ascii="Aptos" w:hAnsi="Aptos" w:cs="Arial"/>
                <w:b/>
                <w:bCs/>
                <w:sz w:val="24"/>
                <w:szCs w:val="24"/>
              </w:rPr>
            </w:pPr>
            <w:r w:rsidRPr="0039604B">
              <w:rPr>
                <w:rFonts w:ascii="Aptos" w:hAnsi="Aptos" w:cs="Arial"/>
                <w:b/>
                <w:bCs/>
                <w:sz w:val="24"/>
                <w:szCs w:val="24"/>
              </w:rPr>
              <w:t>Feelings and Initial Responses</w:t>
            </w:r>
          </w:p>
          <w:p w14:paraId="2E04F81F" w14:textId="77777777" w:rsidR="0001757D" w:rsidRPr="0039604B" w:rsidRDefault="0001757D" w:rsidP="0001757D">
            <w:pPr>
              <w:rPr>
                <w:rFonts w:ascii="Aptos" w:hAnsi="Aptos" w:cs="Arial"/>
                <w:sz w:val="24"/>
                <w:szCs w:val="24"/>
              </w:rPr>
            </w:pPr>
          </w:p>
          <w:p w14:paraId="0FAF9994" w14:textId="77777777" w:rsidR="0001757D" w:rsidRPr="0039604B" w:rsidRDefault="0001757D" w:rsidP="0001757D">
            <w:pPr>
              <w:rPr>
                <w:rFonts w:ascii="Aptos" w:hAnsi="Aptos" w:cs="Arial"/>
                <w:sz w:val="24"/>
                <w:szCs w:val="24"/>
              </w:rPr>
            </w:pPr>
            <w:r w:rsidRPr="0039604B">
              <w:rPr>
                <w:rFonts w:ascii="Aptos" w:hAnsi="Aptos" w:cs="Arial"/>
                <w:sz w:val="24"/>
                <w:szCs w:val="24"/>
              </w:rPr>
              <w:t>At the outset of this transition, I experienced a pronounced sense of apprehension linked to the potential consequences of CT decision-making. This was not solely anxiety but a heightened sense of professional responsibility, informed by an awareness of the potential impact of decisions on public safety, civil liberties, and officer wellbeing. Schön (1983) describes such experiences as operating within “indeterminate zones of practice”, where technical knowledge alone is insufficient to guide action.</w:t>
            </w:r>
          </w:p>
          <w:p w14:paraId="5EA36DD9" w14:textId="77777777" w:rsidR="0001757D" w:rsidRPr="0039604B" w:rsidRDefault="0001757D" w:rsidP="0001757D">
            <w:pPr>
              <w:rPr>
                <w:rFonts w:ascii="Aptos" w:hAnsi="Aptos" w:cs="Arial"/>
                <w:sz w:val="24"/>
                <w:szCs w:val="24"/>
              </w:rPr>
            </w:pPr>
          </w:p>
          <w:p w14:paraId="3EBA08AE" w14:textId="77777777" w:rsidR="0001757D" w:rsidRPr="0039604B" w:rsidRDefault="0001757D" w:rsidP="0001757D">
            <w:pPr>
              <w:rPr>
                <w:rFonts w:ascii="Aptos" w:hAnsi="Aptos" w:cs="Arial"/>
                <w:sz w:val="24"/>
                <w:szCs w:val="24"/>
              </w:rPr>
            </w:pPr>
            <w:r w:rsidRPr="0039604B">
              <w:rPr>
                <w:rFonts w:ascii="Aptos" w:hAnsi="Aptos" w:cs="Arial"/>
                <w:sz w:val="24"/>
                <w:szCs w:val="24"/>
              </w:rPr>
              <w:lastRenderedPageBreak/>
              <w:t>This apprehension initially influenced my leadership behaviour. I adopted a cautious and deliberative approach, seeking extensive validation of decisions and delaying briefings until I felt confident that intelligence had been exhaustively assessed. While this approach was motivated by a desire to minimise risk, subsequent reflection revealed that it occasionally resulted in delayed decision-making and reduced clarity for investigative teams.</w:t>
            </w:r>
          </w:p>
          <w:p w14:paraId="01EBD5CE" w14:textId="77777777" w:rsidR="0001757D" w:rsidRPr="0039604B" w:rsidRDefault="0001757D" w:rsidP="0001757D">
            <w:pPr>
              <w:rPr>
                <w:rFonts w:ascii="Aptos" w:hAnsi="Aptos" w:cs="Arial"/>
                <w:sz w:val="24"/>
                <w:szCs w:val="24"/>
              </w:rPr>
            </w:pPr>
          </w:p>
          <w:p w14:paraId="4F75E41A" w14:textId="77777777" w:rsidR="0001757D" w:rsidRPr="0039604B" w:rsidRDefault="0001757D" w:rsidP="0001757D">
            <w:pPr>
              <w:rPr>
                <w:rFonts w:ascii="Aptos" w:hAnsi="Aptos" w:cs="Arial"/>
                <w:sz w:val="24"/>
                <w:szCs w:val="24"/>
              </w:rPr>
            </w:pPr>
            <w:r w:rsidRPr="0039604B">
              <w:rPr>
                <w:rFonts w:ascii="Aptos" w:hAnsi="Aptos" w:cs="Arial"/>
                <w:sz w:val="24"/>
                <w:szCs w:val="24"/>
              </w:rPr>
              <w:t>Through reflective supervision and informal peer discussions, I began to recognise the extent to which my emotional responses shaped my professional behaviour. Boud, Keogh and Walker (1985) argue that emotional engagement is central to reflective learning, as it enables practitioners to understand how feelings influence action. Over time, increased exposure to CT investigations and deliberate reflective practice reduced my initial apprehension and supported the development of greater professional confidence and decisiveness.</w:t>
            </w:r>
          </w:p>
          <w:p w14:paraId="78BC8FFD" w14:textId="77777777" w:rsidR="0001757D" w:rsidRPr="0039604B" w:rsidRDefault="0001757D" w:rsidP="0001757D">
            <w:pPr>
              <w:rPr>
                <w:rFonts w:ascii="Aptos" w:hAnsi="Aptos" w:cs="Arial"/>
                <w:sz w:val="24"/>
                <w:szCs w:val="24"/>
              </w:rPr>
            </w:pPr>
          </w:p>
          <w:p w14:paraId="74ECC5E2" w14:textId="77777777" w:rsidR="0001757D" w:rsidRPr="0039604B" w:rsidRDefault="0001757D" w:rsidP="0001757D">
            <w:pPr>
              <w:rPr>
                <w:rFonts w:ascii="Aptos" w:hAnsi="Aptos" w:cs="Arial"/>
                <w:b/>
                <w:bCs/>
                <w:sz w:val="24"/>
                <w:szCs w:val="24"/>
              </w:rPr>
            </w:pPr>
            <w:r w:rsidRPr="0039604B">
              <w:rPr>
                <w:rFonts w:ascii="Aptos" w:hAnsi="Aptos" w:cs="Arial"/>
                <w:b/>
                <w:bCs/>
                <w:sz w:val="24"/>
                <w:szCs w:val="24"/>
              </w:rPr>
              <w:t>Evaluation of Practice</w:t>
            </w:r>
          </w:p>
          <w:p w14:paraId="3A705B60" w14:textId="77777777" w:rsidR="0001757D" w:rsidRPr="0039604B" w:rsidRDefault="0001757D" w:rsidP="0001757D">
            <w:pPr>
              <w:rPr>
                <w:rFonts w:ascii="Aptos" w:hAnsi="Aptos" w:cs="Arial"/>
                <w:sz w:val="24"/>
                <w:szCs w:val="24"/>
              </w:rPr>
            </w:pPr>
          </w:p>
          <w:p w14:paraId="036E377D" w14:textId="77777777" w:rsidR="0001757D" w:rsidRPr="0039604B" w:rsidRDefault="0001757D" w:rsidP="0001757D">
            <w:pPr>
              <w:rPr>
                <w:rFonts w:ascii="Aptos" w:hAnsi="Aptos" w:cs="Arial"/>
                <w:sz w:val="24"/>
                <w:szCs w:val="24"/>
              </w:rPr>
            </w:pPr>
            <w:r w:rsidRPr="0039604B">
              <w:rPr>
                <w:rFonts w:ascii="Aptos" w:hAnsi="Aptos" w:cs="Arial"/>
                <w:sz w:val="24"/>
                <w:szCs w:val="24"/>
              </w:rPr>
              <w:t>Evaluation of my practice identified several strengths. I consistently applied the National Decision Model, ensuring that decisions were proportionate, legally defensible, and ethically grounded. I promoted robust investigative oversight and facilitated effective information-sharing with partner agencies, which was particularly important in managing risk across organisational boundaries. Feedback from SIOs and partner teams indicated that my collaborative approach supported shared understanding and defensible decision-making.</w:t>
            </w:r>
          </w:p>
          <w:p w14:paraId="36536012" w14:textId="77777777" w:rsidR="0001757D" w:rsidRPr="0039604B" w:rsidRDefault="0001757D" w:rsidP="0001757D">
            <w:pPr>
              <w:rPr>
                <w:rFonts w:ascii="Aptos" w:hAnsi="Aptos" w:cs="Arial"/>
                <w:sz w:val="24"/>
                <w:szCs w:val="24"/>
              </w:rPr>
            </w:pPr>
          </w:p>
          <w:p w14:paraId="37996C14" w14:textId="77777777" w:rsidR="0001757D" w:rsidRPr="0039604B" w:rsidRDefault="0001757D" w:rsidP="0001757D">
            <w:pPr>
              <w:rPr>
                <w:rFonts w:ascii="Aptos" w:hAnsi="Aptos" w:cs="Arial"/>
                <w:sz w:val="24"/>
                <w:szCs w:val="24"/>
              </w:rPr>
            </w:pPr>
            <w:r w:rsidRPr="0039604B">
              <w:rPr>
                <w:rFonts w:ascii="Aptos" w:hAnsi="Aptos" w:cs="Arial"/>
                <w:sz w:val="24"/>
                <w:szCs w:val="24"/>
              </w:rPr>
              <w:t>I also placed significant emphasis on team welfare. Recognising the cumulative psychological impact of CT investigations, I encouraged open dialogue regarding workload, stress, and decision fatigue. This approach aligns with Goleman’s (1998) work on emotional intelligence, which highlights empathy and interpersonal awareness as critical leadership competencies in high-stress environments.</w:t>
            </w:r>
          </w:p>
          <w:p w14:paraId="13D4176E" w14:textId="77777777" w:rsidR="0001757D" w:rsidRPr="0039604B" w:rsidRDefault="0001757D" w:rsidP="0001757D">
            <w:pPr>
              <w:rPr>
                <w:rFonts w:ascii="Aptos" w:hAnsi="Aptos" w:cs="Arial"/>
                <w:sz w:val="24"/>
                <w:szCs w:val="24"/>
              </w:rPr>
            </w:pPr>
          </w:p>
          <w:p w14:paraId="4A939A79" w14:textId="77777777" w:rsidR="0001757D" w:rsidRPr="0039604B" w:rsidRDefault="0001757D" w:rsidP="0001757D">
            <w:pPr>
              <w:rPr>
                <w:rFonts w:ascii="Aptos" w:hAnsi="Aptos" w:cs="Arial"/>
                <w:sz w:val="24"/>
                <w:szCs w:val="24"/>
              </w:rPr>
            </w:pPr>
            <w:r w:rsidRPr="0039604B">
              <w:rPr>
                <w:rFonts w:ascii="Aptos" w:hAnsi="Aptos" w:cs="Arial"/>
                <w:sz w:val="24"/>
                <w:szCs w:val="24"/>
              </w:rPr>
              <w:t xml:space="preserve">However, reflective evaluation also identified limitations. Early investigative briefings were sometimes overly detailed, focusing on intelligence volume rather than strategic clarity. In fast-moving CT investigations, this occasionally resulted in ambiguity regarding priorities and reduced operational momentum. Innes (2006) emphasises that effective </w:t>
            </w:r>
            <w:proofErr w:type="gramStart"/>
            <w:r w:rsidRPr="0039604B">
              <w:rPr>
                <w:rFonts w:ascii="Aptos" w:hAnsi="Aptos" w:cs="Arial"/>
                <w:sz w:val="24"/>
                <w:szCs w:val="24"/>
              </w:rPr>
              <w:t>counter-terrorism</w:t>
            </w:r>
            <w:proofErr w:type="gramEnd"/>
            <w:r w:rsidRPr="0039604B">
              <w:rPr>
                <w:rFonts w:ascii="Aptos" w:hAnsi="Aptos" w:cs="Arial"/>
                <w:sz w:val="24"/>
                <w:szCs w:val="24"/>
              </w:rPr>
              <w:t xml:space="preserve"> relies on the rapid and precise interpretation of intelligence; my reflection highlighted that clarity and decisiveness were as important as analytical depth.</w:t>
            </w:r>
          </w:p>
          <w:p w14:paraId="1B99E0B0" w14:textId="77777777" w:rsidR="0001757D" w:rsidRPr="0039604B" w:rsidRDefault="0001757D" w:rsidP="0001757D">
            <w:pPr>
              <w:rPr>
                <w:rFonts w:ascii="Aptos" w:hAnsi="Aptos" w:cs="Arial"/>
                <w:sz w:val="24"/>
                <w:szCs w:val="24"/>
              </w:rPr>
            </w:pPr>
          </w:p>
          <w:p w14:paraId="794D7369" w14:textId="77777777" w:rsidR="0001757D" w:rsidRPr="0039604B" w:rsidRDefault="0001757D" w:rsidP="0001757D">
            <w:pPr>
              <w:rPr>
                <w:rFonts w:ascii="Aptos" w:hAnsi="Aptos" w:cs="Arial"/>
                <w:b/>
                <w:bCs/>
                <w:sz w:val="24"/>
                <w:szCs w:val="24"/>
              </w:rPr>
            </w:pPr>
            <w:r w:rsidRPr="0039604B">
              <w:rPr>
                <w:rFonts w:ascii="Aptos" w:hAnsi="Aptos" w:cs="Arial"/>
                <w:b/>
                <w:bCs/>
                <w:sz w:val="24"/>
                <w:szCs w:val="24"/>
              </w:rPr>
              <w:t>Analysis and Critical Reflection</w:t>
            </w:r>
          </w:p>
          <w:p w14:paraId="2B517B2E" w14:textId="77777777" w:rsidR="0001757D" w:rsidRPr="0039604B" w:rsidRDefault="0001757D" w:rsidP="0001757D">
            <w:pPr>
              <w:rPr>
                <w:rFonts w:ascii="Aptos" w:hAnsi="Aptos" w:cs="Arial"/>
                <w:sz w:val="24"/>
                <w:szCs w:val="24"/>
              </w:rPr>
            </w:pPr>
          </w:p>
          <w:p w14:paraId="6FEF6D3F" w14:textId="77777777" w:rsidR="0001757D" w:rsidRPr="0039604B" w:rsidRDefault="0001757D" w:rsidP="0001757D">
            <w:pPr>
              <w:rPr>
                <w:rFonts w:ascii="Aptos" w:hAnsi="Aptos" w:cs="Arial"/>
                <w:sz w:val="24"/>
                <w:szCs w:val="24"/>
              </w:rPr>
            </w:pPr>
            <w:r w:rsidRPr="0039604B">
              <w:rPr>
                <w:rFonts w:ascii="Aptos" w:hAnsi="Aptos" w:cs="Arial"/>
                <w:sz w:val="24"/>
                <w:szCs w:val="24"/>
              </w:rPr>
              <w:t>To deepen my understanding of these experiences, I applied relevant theoretical frameworks to analyse my leadership approach. Belbin’s (2010) Team Role Theory provided insight into my natural leadership tendencies. I consistently adopted the roles of Coordinator and Monitor Evaluator, emphasising inclusive decision-making and analytical scrutiny. While these roles supported balanced and evidence-</w:t>
            </w:r>
            <w:r w:rsidRPr="0039604B">
              <w:rPr>
                <w:rFonts w:ascii="Aptos" w:hAnsi="Aptos" w:cs="Arial"/>
                <w:sz w:val="24"/>
                <w:szCs w:val="24"/>
              </w:rPr>
              <w:lastRenderedPageBreak/>
              <w:t>informed decisions, reflection revealed that excessive deliberation could be perceived as hesitation in time-critical situations.</w:t>
            </w:r>
          </w:p>
          <w:p w14:paraId="4F3F0C69" w14:textId="77777777" w:rsidR="0001757D" w:rsidRPr="0039604B" w:rsidRDefault="0001757D" w:rsidP="0001757D">
            <w:pPr>
              <w:rPr>
                <w:rFonts w:ascii="Aptos" w:hAnsi="Aptos" w:cs="Arial"/>
                <w:sz w:val="24"/>
                <w:szCs w:val="24"/>
              </w:rPr>
            </w:pPr>
          </w:p>
          <w:p w14:paraId="40CC022B" w14:textId="459EB912" w:rsidR="0001757D" w:rsidRPr="0039604B" w:rsidRDefault="0001757D" w:rsidP="0001757D">
            <w:pPr>
              <w:rPr>
                <w:rFonts w:ascii="Aptos" w:hAnsi="Aptos" w:cs="Arial"/>
                <w:sz w:val="24"/>
                <w:szCs w:val="24"/>
              </w:rPr>
            </w:pPr>
            <w:r w:rsidRPr="0039604B">
              <w:rPr>
                <w:rFonts w:ascii="Aptos" w:hAnsi="Aptos" w:cs="Arial"/>
                <w:sz w:val="24"/>
                <w:szCs w:val="24"/>
              </w:rPr>
              <w:t>Using Brookfield’s (1995) “colleagues’ lens”, feedback from investigators suggested that my cautious approach was occasionally interpreted as a lack of confidence or urgency. This challenged my underlying assumption that thoroughness inherently equates to effectiveness. Githens-Mazer and Lambert (201</w:t>
            </w:r>
            <w:r w:rsidR="00000933">
              <w:rPr>
                <w:rFonts w:ascii="Aptos" w:hAnsi="Aptos" w:cs="Arial"/>
                <w:sz w:val="24"/>
                <w:szCs w:val="24"/>
              </w:rPr>
              <w:t>0</w:t>
            </w:r>
            <w:r w:rsidRPr="0039604B">
              <w:rPr>
                <w:rFonts w:ascii="Aptos" w:hAnsi="Aptos" w:cs="Arial"/>
                <w:sz w:val="24"/>
                <w:szCs w:val="24"/>
              </w:rPr>
              <w:t xml:space="preserve">) argue that effective </w:t>
            </w:r>
            <w:proofErr w:type="gramStart"/>
            <w:r w:rsidRPr="0039604B">
              <w:rPr>
                <w:rFonts w:ascii="Aptos" w:hAnsi="Aptos" w:cs="Arial"/>
                <w:sz w:val="24"/>
                <w:szCs w:val="24"/>
              </w:rPr>
              <w:t>counter-terrorism</w:t>
            </w:r>
            <w:proofErr w:type="gramEnd"/>
            <w:r w:rsidRPr="0039604B">
              <w:rPr>
                <w:rFonts w:ascii="Aptos" w:hAnsi="Aptos" w:cs="Arial"/>
                <w:sz w:val="24"/>
                <w:szCs w:val="24"/>
              </w:rPr>
              <w:t xml:space="preserve"> is iterative and reflexive, requiring leaders to adapt rapidly rather than rely on linear or overly cautious decision-making models.</w:t>
            </w:r>
            <w:r w:rsidR="00C46105">
              <w:rPr>
                <w:rFonts w:ascii="Aptos" w:hAnsi="Aptos" w:cs="Arial"/>
                <w:sz w:val="24"/>
                <w:szCs w:val="24"/>
              </w:rPr>
              <w:t xml:space="preserve"> This </w:t>
            </w:r>
            <w:r w:rsidR="00AF76E8">
              <w:rPr>
                <w:rFonts w:ascii="Aptos" w:hAnsi="Aptos" w:cs="Arial"/>
                <w:sz w:val="24"/>
                <w:szCs w:val="24"/>
              </w:rPr>
              <w:t>suggests</w:t>
            </w:r>
            <w:r w:rsidR="00C46105">
              <w:rPr>
                <w:rFonts w:ascii="Aptos" w:hAnsi="Aptos" w:cs="Arial"/>
                <w:sz w:val="24"/>
                <w:szCs w:val="24"/>
              </w:rPr>
              <w:t xml:space="preserve"> such environments are characterised by uncertainty and rapid change meaning leaders must continually reassess and adjust decisions in real time.  </w:t>
            </w:r>
          </w:p>
          <w:p w14:paraId="6D7C0648" w14:textId="77777777" w:rsidR="0001757D" w:rsidRPr="0039604B" w:rsidRDefault="0001757D" w:rsidP="0001757D">
            <w:pPr>
              <w:rPr>
                <w:rFonts w:ascii="Aptos" w:hAnsi="Aptos" w:cs="Arial"/>
                <w:sz w:val="24"/>
                <w:szCs w:val="24"/>
              </w:rPr>
            </w:pPr>
          </w:p>
          <w:p w14:paraId="4A09F01E" w14:textId="77777777" w:rsidR="0001757D" w:rsidRPr="0039604B" w:rsidRDefault="0001757D" w:rsidP="0001757D">
            <w:pPr>
              <w:rPr>
                <w:rFonts w:ascii="Aptos" w:hAnsi="Aptos" w:cs="Arial"/>
                <w:sz w:val="24"/>
                <w:szCs w:val="24"/>
              </w:rPr>
            </w:pPr>
            <w:r w:rsidRPr="0039604B">
              <w:rPr>
                <w:rFonts w:ascii="Aptos" w:hAnsi="Aptos" w:cs="Arial"/>
                <w:sz w:val="24"/>
                <w:szCs w:val="24"/>
              </w:rPr>
              <w:t>Engagement with academic research on radicalisation further influenced my practice. Research by Horgan (2008) and Silke (2014) emphasises the complexity and diversity of radicalisation pathways, challenging simplistic or deterministic interpretations. Applying this research in practice increased my confidence in questioning initial assessments and encouraging investigative teams to consider alternative hypotheses. This shift aligns with Sherman’s (2013) principles of evidence-based policing, where research evidence informs but does not replace professional judgement.</w:t>
            </w:r>
          </w:p>
          <w:p w14:paraId="7A4D8164" w14:textId="77777777" w:rsidR="0001757D" w:rsidRPr="0039604B" w:rsidRDefault="0001757D" w:rsidP="0001757D">
            <w:pPr>
              <w:rPr>
                <w:rFonts w:ascii="Aptos" w:hAnsi="Aptos" w:cs="Arial"/>
                <w:sz w:val="24"/>
                <w:szCs w:val="24"/>
              </w:rPr>
            </w:pPr>
          </w:p>
          <w:p w14:paraId="0A69D902" w14:textId="77777777" w:rsidR="0001757D" w:rsidRPr="0039604B" w:rsidRDefault="0001757D" w:rsidP="0001757D">
            <w:pPr>
              <w:rPr>
                <w:rFonts w:ascii="Aptos" w:hAnsi="Aptos" w:cs="Arial"/>
                <w:sz w:val="24"/>
                <w:szCs w:val="24"/>
              </w:rPr>
            </w:pPr>
            <w:r w:rsidRPr="0039604B">
              <w:rPr>
                <w:rFonts w:ascii="Aptos" w:hAnsi="Aptos" w:cs="Arial"/>
                <w:sz w:val="24"/>
                <w:szCs w:val="24"/>
              </w:rPr>
              <w:t xml:space="preserve">Crucially, reflection resulted in tangible changes to my leadership behaviour. I began to structure investigative briefings more strategically, clearly articulating objectives, decision rationale, and acceptable levels of risk. I also became more decisive when appropriate, recognising that leadership in CT contexts requires a balance between analytical caution and timely action. These changes improved team clarity, operational pace, and confidence in decision-making. As a </w:t>
            </w:r>
            <w:proofErr w:type="gramStart"/>
            <w:r w:rsidRPr="0039604B">
              <w:rPr>
                <w:rFonts w:ascii="Aptos" w:hAnsi="Aptos" w:cs="Arial"/>
                <w:sz w:val="24"/>
                <w:szCs w:val="24"/>
              </w:rPr>
              <w:t>result</w:t>
            </w:r>
            <w:proofErr w:type="gramEnd"/>
            <w:r w:rsidRPr="0039604B">
              <w:rPr>
                <w:rFonts w:ascii="Aptos" w:hAnsi="Aptos" w:cs="Arial"/>
                <w:sz w:val="24"/>
                <w:szCs w:val="24"/>
              </w:rPr>
              <w:t xml:space="preserve"> I ask myself, “if I were to do this again, what would I do differently and why?” </w:t>
            </w:r>
          </w:p>
          <w:p w14:paraId="19B6E8FC" w14:textId="77777777" w:rsidR="0001757D" w:rsidRPr="0039604B" w:rsidRDefault="0001757D" w:rsidP="0001757D">
            <w:pPr>
              <w:rPr>
                <w:rFonts w:ascii="Aptos" w:hAnsi="Aptos" w:cs="Arial"/>
                <w:sz w:val="24"/>
                <w:szCs w:val="24"/>
              </w:rPr>
            </w:pPr>
          </w:p>
          <w:p w14:paraId="1914DB6C" w14:textId="77777777" w:rsidR="0001757D" w:rsidRPr="0039604B" w:rsidRDefault="0001757D" w:rsidP="0001757D">
            <w:pPr>
              <w:rPr>
                <w:rFonts w:ascii="Aptos" w:hAnsi="Aptos" w:cs="Arial"/>
                <w:b/>
                <w:bCs/>
                <w:sz w:val="24"/>
                <w:szCs w:val="24"/>
              </w:rPr>
            </w:pPr>
            <w:r w:rsidRPr="0039604B">
              <w:rPr>
                <w:rFonts w:ascii="Aptos" w:hAnsi="Aptos" w:cs="Arial"/>
                <w:b/>
                <w:bCs/>
                <w:sz w:val="24"/>
                <w:szCs w:val="24"/>
              </w:rPr>
              <w:t>Reflective Outcomes and Learning</w:t>
            </w:r>
          </w:p>
          <w:p w14:paraId="503289D6" w14:textId="77777777" w:rsidR="0001757D" w:rsidRPr="0039604B" w:rsidRDefault="0001757D" w:rsidP="0001757D">
            <w:pPr>
              <w:rPr>
                <w:rFonts w:ascii="Aptos" w:hAnsi="Aptos" w:cs="Arial"/>
                <w:sz w:val="24"/>
                <w:szCs w:val="24"/>
              </w:rPr>
            </w:pPr>
          </w:p>
          <w:p w14:paraId="3DDEBB26" w14:textId="77777777" w:rsidR="0001757D" w:rsidRPr="0039604B" w:rsidRDefault="0001757D" w:rsidP="0001757D">
            <w:pPr>
              <w:rPr>
                <w:rFonts w:ascii="Aptos" w:hAnsi="Aptos" w:cs="Arial"/>
                <w:sz w:val="24"/>
                <w:szCs w:val="24"/>
              </w:rPr>
            </w:pPr>
            <w:r w:rsidRPr="0039604B">
              <w:rPr>
                <w:rFonts w:ascii="Aptos" w:hAnsi="Aptos" w:cs="Arial"/>
                <w:sz w:val="24"/>
                <w:szCs w:val="24"/>
              </w:rPr>
              <w:t>The reflective process resulted in several clear learning outcomes. Firstly, I developed greater self-awareness regarding how emotional responses influence leadership behaviour. This awareness enabled me to regulate my responses more effectively and to lead with greater confidence under pressure. Secondly, I refined my communication style, ensuring that briefings prioritised strategic direction rather than information volume. Thirdly, I developed greater confidence in exercising professional judgement, recognising that uncertainty is an inherent feature of CT policing rather than a failure of preparation.</w:t>
            </w:r>
          </w:p>
          <w:p w14:paraId="24BE6391" w14:textId="77777777" w:rsidR="0001757D" w:rsidRPr="0039604B" w:rsidRDefault="0001757D" w:rsidP="0001757D">
            <w:pPr>
              <w:rPr>
                <w:rFonts w:ascii="Aptos" w:hAnsi="Aptos" w:cs="Arial"/>
                <w:sz w:val="24"/>
                <w:szCs w:val="24"/>
              </w:rPr>
            </w:pPr>
          </w:p>
          <w:p w14:paraId="36FE8572" w14:textId="77777777" w:rsidR="0001757D" w:rsidRPr="0039604B" w:rsidRDefault="0001757D" w:rsidP="0001757D">
            <w:pPr>
              <w:rPr>
                <w:rFonts w:ascii="Aptos" w:hAnsi="Aptos" w:cs="Arial"/>
                <w:sz w:val="24"/>
                <w:szCs w:val="24"/>
              </w:rPr>
            </w:pPr>
            <w:r w:rsidRPr="0039604B">
              <w:rPr>
                <w:rFonts w:ascii="Aptos" w:hAnsi="Aptos" w:cs="Arial"/>
                <w:sz w:val="24"/>
                <w:szCs w:val="24"/>
              </w:rPr>
              <w:t>These learning outcomes demonstrate movement beyond reflection as description toward reflection as transformation. By identifying specific behavioural changes and their impact, reflective practice became a mechanism for professional growth rather than a retrospective exercise. These outcomes are documented within my CPD portfolio and inform my ongoing development within South Wales Police.</w:t>
            </w:r>
          </w:p>
          <w:p w14:paraId="5D524319" w14:textId="77777777" w:rsidR="0001757D" w:rsidRPr="0039604B" w:rsidRDefault="0001757D" w:rsidP="0001757D">
            <w:pPr>
              <w:rPr>
                <w:rFonts w:ascii="Aptos" w:hAnsi="Aptos" w:cs="Arial"/>
                <w:sz w:val="24"/>
                <w:szCs w:val="24"/>
              </w:rPr>
            </w:pPr>
          </w:p>
          <w:p w14:paraId="37E50A5F" w14:textId="77777777" w:rsidR="0001757D" w:rsidRPr="0039604B" w:rsidRDefault="0001757D" w:rsidP="0001757D">
            <w:pPr>
              <w:rPr>
                <w:rFonts w:ascii="Aptos" w:hAnsi="Aptos" w:cs="Arial"/>
                <w:sz w:val="24"/>
                <w:szCs w:val="24"/>
              </w:rPr>
            </w:pPr>
          </w:p>
          <w:p w14:paraId="68CBB4C1" w14:textId="77777777" w:rsidR="0001757D" w:rsidRPr="0039604B" w:rsidRDefault="0001757D" w:rsidP="0001757D">
            <w:pPr>
              <w:rPr>
                <w:rFonts w:ascii="Aptos" w:hAnsi="Aptos" w:cs="Arial"/>
                <w:b/>
                <w:bCs/>
                <w:sz w:val="24"/>
                <w:szCs w:val="24"/>
              </w:rPr>
            </w:pPr>
            <w:r w:rsidRPr="0039604B">
              <w:rPr>
                <w:rFonts w:ascii="Aptos" w:hAnsi="Aptos" w:cs="Arial"/>
                <w:b/>
                <w:bCs/>
                <w:sz w:val="24"/>
                <w:szCs w:val="24"/>
              </w:rPr>
              <w:t>Task 1b: Continuous Professional Development and Organisational Objectives in South Wales Police</w:t>
            </w:r>
          </w:p>
          <w:p w14:paraId="69E22C93" w14:textId="77777777" w:rsidR="0001757D" w:rsidRPr="0039604B" w:rsidRDefault="0001757D" w:rsidP="0001757D">
            <w:pPr>
              <w:rPr>
                <w:rFonts w:ascii="Aptos" w:hAnsi="Aptos" w:cs="Arial"/>
                <w:sz w:val="24"/>
                <w:szCs w:val="24"/>
              </w:rPr>
            </w:pPr>
          </w:p>
          <w:p w14:paraId="24D4E2CA" w14:textId="77777777" w:rsidR="0001757D" w:rsidRPr="0039604B" w:rsidRDefault="0001757D" w:rsidP="0001757D">
            <w:pPr>
              <w:rPr>
                <w:rFonts w:ascii="Aptos" w:hAnsi="Aptos" w:cs="Arial"/>
                <w:sz w:val="24"/>
                <w:szCs w:val="24"/>
              </w:rPr>
            </w:pPr>
            <w:r w:rsidRPr="0039604B">
              <w:rPr>
                <w:rFonts w:ascii="Aptos" w:hAnsi="Aptos" w:cs="Arial"/>
                <w:sz w:val="24"/>
                <w:szCs w:val="24"/>
              </w:rPr>
              <w:t>Continuous Professional Development is essential to maintaining professional competence within modern policing. The Chartered Institute of Personnel and Development (CIPD, 2023) defines CPD as the ongoing development of knowledge, skills, and behaviours required for effective professional performance. In policing, CPD extends beyond mandatory training to encompass reflective learning, mentoring, coaching, and engagement with research.</w:t>
            </w:r>
          </w:p>
          <w:p w14:paraId="160D1BA1" w14:textId="77777777" w:rsidR="0001757D" w:rsidRPr="0039604B" w:rsidRDefault="0001757D" w:rsidP="0001757D">
            <w:pPr>
              <w:rPr>
                <w:rFonts w:ascii="Aptos" w:hAnsi="Aptos" w:cs="Arial"/>
                <w:sz w:val="24"/>
                <w:szCs w:val="24"/>
              </w:rPr>
            </w:pPr>
          </w:p>
          <w:p w14:paraId="0FE9A477" w14:textId="77777777" w:rsidR="0001757D" w:rsidRPr="0039604B" w:rsidRDefault="0001757D" w:rsidP="0001757D">
            <w:pPr>
              <w:rPr>
                <w:rFonts w:ascii="Aptos" w:hAnsi="Aptos" w:cs="Arial"/>
                <w:sz w:val="24"/>
                <w:szCs w:val="24"/>
              </w:rPr>
            </w:pPr>
            <w:r w:rsidRPr="0039604B">
              <w:rPr>
                <w:rFonts w:ascii="Aptos" w:hAnsi="Aptos" w:cs="Arial"/>
                <w:sz w:val="24"/>
                <w:szCs w:val="24"/>
              </w:rPr>
              <w:t>The College of Policing (2022) frames CPD as a professional obligation, emphasising individual accountability for learning and development. Through the Policing Education Qualifications Framework (PEQF), national standards integrate academic learning with operational practice, supporting professionalisation across the service.</w:t>
            </w:r>
          </w:p>
          <w:p w14:paraId="11572CD2" w14:textId="77777777" w:rsidR="0001757D" w:rsidRPr="0039604B" w:rsidRDefault="0001757D" w:rsidP="0001757D">
            <w:pPr>
              <w:rPr>
                <w:rFonts w:ascii="Aptos" w:hAnsi="Aptos" w:cs="Arial"/>
                <w:sz w:val="24"/>
                <w:szCs w:val="24"/>
              </w:rPr>
            </w:pPr>
          </w:p>
          <w:p w14:paraId="585F219F" w14:textId="77777777" w:rsidR="0001757D" w:rsidRPr="0039604B" w:rsidRDefault="0001757D" w:rsidP="0001757D">
            <w:pPr>
              <w:rPr>
                <w:rFonts w:ascii="Aptos" w:hAnsi="Aptos" w:cs="Arial"/>
                <w:sz w:val="24"/>
                <w:szCs w:val="24"/>
              </w:rPr>
            </w:pPr>
            <w:r w:rsidRPr="0039604B">
              <w:rPr>
                <w:rFonts w:ascii="Aptos" w:hAnsi="Aptos" w:cs="Arial"/>
                <w:sz w:val="24"/>
                <w:szCs w:val="24"/>
              </w:rPr>
              <w:t>South Wales Police serve a diverse population of over 1.3 million people and operates within complex social, legal, and threat environments (South Wales Police, 2023). Its Strategic Plan (2023–2027) prioritises protecting vulnerable people, reducing serious violence, and enhancing public confidence. Achieving these objectives requires a skilled, adaptable, and reflective workforce, positioning CPD as a strategic enabler of organisational effectiveness.</w:t>
            </w:r>
          </w:p>
          <w:p w14:paraId="5499A67B" w14:textId="77777777" w:rsidR="0001757D" w:rsidRPr="0039604B" w:rsidRDefault="0001757D" w:rsidP="0001757D">
            <w:pPr>
              <w:rPr>
                <w:rFonts w:ascii="Aptos" w:hAnsi="Aptos" w:cs="Arial"/>
                <w:sz w:val="24"/>
                <w:szCs w:val="24"/>
              </w:rPr>
            </w:pPr>
          </w:p>
          <w:p w14:paraId="25948EBB" w14:textId="6C4936FB" w:rsidR="0001757D" w:rsidRPr="0039604B" w:rsidRDefault="0001757D" w:rsidP="0001757D">
            <w:pPr>
              <w:rPr>
                <w:rFonts w:ascii="Aptos" w:hAnsi="Aptos" w:cs="Arial"/>
                <w:sz w:val="24"/>
                <w:szCs w:val="24"/>
              </w:rPr>
            </w:pPr>
            <w:r w:rsidRPr="0039604B">
              <w:rPr>
                <w:rFonts w:ascii="Aptos" w:hAnsi="Aptos" w:cs="Arial"/>
                <w:sz w:val="24"/>
                <w:szCs w:val="24"/>
              </w:rPr>
              <w:t xml:space="preserve">CPD ensures officers maintain legal, procedural, and technical competence, particularly in areas such as </w:t>
            </w:r>
            <w:proofErr w:type="gramStart"/>
            <w:r w:rsidRPr="0039604B">
              <w:rPr>
                <w:rFonts w:ascii="Aptos" w:hAnsi="Aptos" w:cs="Arial"/>
                <w:sz w:val="24"/>
                <w:szCs w:val="24"/>
              </w:rPr>
              <w:t>counter-terrorism</w:t>
            </w:r>
            <w:proofErr w:type="gramEnd"/>
            <w:r w:rsidRPr="0039604B">
              <w:rPr>
                <w:rFonts w:ascii="Aptos" w:hAnsi="Aptos" w:cs="Arial"/>
                <w:sz w:val="24"/>
                <w:szCs w:val="24"/>
              </w:rPr>
              <w:t xml:space="preserve">, safeguarding, and data protection. Ongoing learning supports ethical decision-making and enhances investigative quality. CPD also underpins evidence-based policing by developing analytical skills and research literacy, enabling officers to contribute to informed decision-making at both operational and strategic levels Sherman, </w:t>
            </w:r>
            <w:r w:rsidR="00C46105">
              <w:rPr>
                <w:rFonts w:ascii="Aptos" w:hAnsi="Aptos" w:cs="Arial"/>
                <w:sz w:val="24"/>
                <w:szCs w:val="24"/>
              </w:rPr>
              <w:t>(</w:t>
            </w:r>
            <w:r w:rsidRPr="0039604B">
              <w:rPr>
                <w:rFonts w:ascii="Aptos" w:hAnsi="Aptos" w:cs="Arial"/>
                <w:sz w:val="24"/>
                <w:szCs w:val="24"/>
              </w:rPr>
              <w:t>2013).</w:t>
            </w:r>
          </w:p>
          <w:p w14:paraId="4F3471CD" w14:textId="77777777" w:rsidR="0001757D" w:rsidRPr="0039604B" w:rsidRDefault="0001757D" w:rsidP="0001757D">
            <w:pPr>
              <w:rPr>
                <w:rFonts w:ascii="Aptos" w:hAnsi="Aptos" w:cs="Arial"/>
                <w:sz w:val="24"/>
                <w:szCs w:val="24"/>
              </w:rPr>
            </w:pPr>
          </w:p>
          <w:p w14:paraId="29FEA575" w14:textId="77777777" w:rsidR="0001757D" w:rsidRPr="0039604B" w:rsidRDefault="0001757D" w:rsidP="0001757D">
            <w:pPr>
              <w:rPr>
                <w:rFonts w:ascii="Aptos" w:hAnsi="Aptos" w:cs="Arial"/>
                <w:sz w:val="24"/>
                <w:szCs w:val="24"/>
              </w:rPr>
            </w:pPr>
            <w:r w:rsidRPr="0039604B">
              <w:rPr>
                <w:rFonts w:ascii="Aptos" w:hAnsi="Aptos" w:cs="Arial"/>
                <w:sz w:val="24"/>
                <w:szCs w:val="24"/>
              </w:rPr>
              <w:t>Leadership development is a critical component of CPD. The College of Policing Leadership Review (2015) emphasises that leadership is behavioural rather than positional. Structured development pathways within SWP support succession planning, ethical leadership, and organisational resilience, ensuring continuity of capability in a challenging operational environment.</w:t>
            </w:r>
          </w:p>
          <w:p w14:paraId="291E4722" w14:textId="77777777" w:rsidR="0001757D" w:rsidRPr="0039604B" w:rsidRDefault="0001757D" w:rsidP="0001757D">
            <w:pPr>
              <w:rPr>
                <w:rFonts w:ascii="Aptos" w:hAnsi="Aptos" w:cs="Arial"/>
                <w:sz w:val="24"/>
                <w:szCs w:val="24"/>
              </w:rPr>
            </w:pPr>
          </w:p>
          <w:p w14:paraId="099B9DB9" w14:textId="77777777" w:rsidR="0001757D" w:rsidRPr="0039604B" w:rsidRDefault="0001757D" w:rsidP="0001757D">
            <w:pPr>
              <w:rPr>
                <w:rFonts w:ascii="Aptos" w:hAnsi="Aptos" w:cs="Arial"/>
                <w:b/>
                <w:bCs/>
                <w:sz w:val="24"/>
                <w:szCs w:val="24"/>
              </w:rPr>
            </w:pPr>
            <w:r w:rsidRPr="0039604B">
              <w:rPr>
                <w:rFonts w:ascii="Aptos" w:hAnsi="Aptos" w:cs="Arial"/>
                <w:b/>
                <w:bCs/>
                <w:sz w:val="24"/>
                <w:szCs w:val="24"/>
              </w:rPr>
              <w:t>The Role of Reflective Practice in Professional Development</w:t>
            </w:r>
          </w:p>
          <w:p w14:paraId="31FE88CA" w14:textId="77777777" w:rsidR="0001757D" w:rsidRPr="0039604B" w:rsidRDefault="0001757D" w:rsidP="0001757D">
            <w:pPr>
              <w:rPr>
                <w:rFonts w:ascii="Aptos" w:hAnsi="Aptos" w:cs="Arial"/>
                <w:sz w:val="24"/>
                <w:szCs w:val="24"/>
              </w:rPr>
            </w:pPr>
          </w:p>
          <w:p w14:paraId="0CD28B45" w14:textId="77777777" w:rsidR="0001757D" w:rsidRPr="0039604B" w:rsidRDefault="0001757D" w:rsidP="0001757D">
            <w:pPr>
              <w:rPr>
                <w:rFonts w:ascii="Aptos" w:hAnsi="Aptos" w:cs="Arial"/>
                <w:sz w:val="24"/>
                <w:szCs w:val="24"/>
              </w:rPr>
            </w:pPr>
            <w:r w:rsidRPr="0039604B">
              <w:rPr>
                <w:rFonts w:ascii="Aptos" w:hAnsi="Aptos" w:cs="Arial"/>
                <w:sz w:val="24"/>
                <w:szCs w:val="24"/>
              </w:rPr>
              <w:t>Reflective practice enables CPD to move beyond knowledge acquisition into meaningful behavioural change. Schön (1983) argues that reflection is essential in complex professional environments where procedural guidance alone is insufficient. Models such as Gibbs’ (1988) Reflective Cycle and Kolb’s (1984) Experiential Learning Cycle provide structured approaches to learning from experience, supporting deeper understanding and professional growth.</w:t>
            </w:r>
          </w:p>
          <w:p w14:paraId="0435A066" w14:textId="77777777" w:rsidR="0001757D" w:rsidRPr="0039604B" w:rsidRDefault="0001757D" w:rsidP="0001757D">
            <w:pPr>
              <w:rPr>
                <w:rFonts w:ascii="Aptos" w:hAnsi="Aptos" w:cs="Arial"/>
                <w:sz w:val="24"/>
                <w:szCs w:val="24"/>
              </w:rPr>
            </w:pPr>
          </w:p>
          <w:p w14:paraId="185723BA" w14:textId="3C4A9FB8" w:rsidR="0001757D" w:rsidRPr="0039604B" w:rsidRDefault="0001757D" w:rsidP="0001757D">
            <w:pPr>
              <w:rPr>
                <w:rFonts w:ascii="Aptos" w:hAnsi="Aptos" w:cs="Arial"/>
                <w:sz w:val="24"/>
                <w:szCs w:val="24"/>
              </w:rPr>
            </w:pPr>
            <w:r w:rsidRPr="0039604B">
              <w:rPr>
                <w:rFonts w:ascii="Aptos" w:hAnsi="Aptos" w:cs="Arial"/>
                <w:sz w:val="24"/>
                <w:szCs w:val="24"/>
              </w:rPr>
              <w:lastRenderedPageBreak/>
              <w:t>Within policing, reflective practice is embedded within national CPD frameworks, with officers encouraged to record reflective accounts linked to operational performance (College of Policing, 2022). Reflective supervision supports learning by fostering a culture focused on improvement rather than blame</w:t>
            </w:r>
            <w:r w:rsidR="00745E49">
              <w:rPr>
                <w:rFonts w:ascii="Aptos" w:hAnsi="Aptos" w:cs="Arial"/>
                <w:sz w:val="24"/>
                <w:szCs w:val="24"/>
              </w:rPr>
              <w:t xml:space="preserve">, </w:t>
            </w:r>
            <w:r w:rsidRPr="0039604B">
              <w:rPr>
                <w:rFonts w:ascii="Aptos" w:hAnsi="Aptos" w:cs="Arial"/>
                <w:sz w:val="24"/>
                <w:szCs w:val="24"/>
              </w:rPr>
              <w:t xml:space="preserve">Ingram et al., </w:t>
            </w:r>
            <w:r w:rsidR="00745E49">
              <w:rPr>
                <w:rFonts w:ascii="Aptos" w:hAnsi="Aptos" w:cs="Arial"/>
                <w:sz w:val="24"/>
                <w:szCs w:val="24"/>
              </w:rPr>
              <w:t>(</w:t>
            </w:r>
            <w:r w:rsidRPr="0039604B">
              <w:rPr>
                <w:rFonts w:ascii="Aptos" w:hAnsi="Aptos" w:cs="Arial"/>
                <w:sz w:val="24"/>
                <w:szCs w:val="24"/>
              </w:rPr>
              <w:t>20</w:t>
            </w:r>
            <w:r w:rsidR="00F61D92">
              <w:rPr>
                <w:rFonts w:ascii="Aptos" w:hAnsi="Aptos" w:cs="Arial"/>
                <w:sz w:val="24"/>
                <w:szCs w:val="24"/>
              </w:rPr>
              <w:t>18</w:t>
            </w:r>
            <w:r w:rsidRPr="0039604B">
              <w:rPr>
                <w:rFonts w:ascii="Aptos" w:hAnsi="Aptos" w:cs="Arial"/>
                <w:sz w:val="24"/>
                <w:szCs w:val="24"/>
              </w:rPr>
              <w:t>). Such approaches align with the principles of a “just culture”, where learning is prioritised over punitive responses.</w:t>
            </w:r>
          </w:p>
          <w:p w14:paraId="620252A9" w14:textId="77777777" w:rsidR="0001757D" w:rsidRPr="0039604B" w:rsidRDefault="0001757D" w:rsidP="0001757D">
            <w:pPr>
              <w:rPr>
                <w:rFonts w:ascii="Aptos" w:hAnsi="Aptos" w:cs="Arial"/>
                <w:sz w:val="24"/>
                <w:szCs w:val="24"/>
              </w:rPr>
            </w:pPr>
          </w:p>
          <w:p w14:paraId="0E2A1129" w14:textId="07C34E05" w:rsidR="0001757D" w:rsidRPr="0039604B" w:rsidRDefault="0001757D" w:rsidP="0001757D">
            <w:pPr>
              <w:rPr>
                <w:rFonts w:ascii="Aptos" w:hAnsi="Aptos" w:cs="Arial"/>
                <w:sz w:val="24"/>
                <w:szCs w:val="24"/>
              </w:rPr>
            </w:pPr>
            <w:r w:rsidRPr="0039604B">
              <w:rPr>
                <w:rFonts w:ascii="Aptos" w:hAnsi="Aptos" w:cs="Arial"/>
                <w:sz w:val="24"/>
                <w:szCs w:val="24"/>
              </w:rPr>
              <w:t xml:space="preserve">Reflective practice also supports officer wellbeing. By enabling individuals to process emotional and ethical challenges, reflection contributes to resilience, emotional regulation, and professional confidence Goleman, </w:t>
            </w:r>
            <w:r w:rsidR="0021584B">
              <w:rPr>
                <w:rFonts w:ascii="Aptos" w:hAnsi="Aptos" w:cs="Arial"/>
                <w:sz w:val="24"/>
                <w:szCs w:val="24"/>
              </w:rPr>
              <w:t>(</w:t>
            </w:r>
            <w:r w:rsidRPr="0039604B">
              <w:rPr>
                <w:rFonts w:ascii="Aptos" w:hAnsi="Aptos" w:cs="Arial"/>
                <w:sz w:val="24"/>
                <w:szCs w:val="24"/>
              </w:rPr>
              <w:t>1995</w:t>
            </w:r>
            <w:r w:rsidR="0021584B">
              <w:rPr>
                <w:rFonts w:ascii="Aptos" w:hAnsi="Aptos" w:cs="Arial"/>
                <w:sz w:val="24"/>
                <w:szCs w:val="24"/>
              </w:rPr>
              <w:t>)</w:t>
            </w:r>
            <w:r w:rsidRPr="0039604B">
              <w:rPr>
                <w:rFonts w:ascii="Aptos" w:hAnsi="Aptos" w:cs="Arial"/>
                <w:sz w:val="24"/>
                <w:szCs w:val="24"/>
              </w:rPr>
              <w:t xml:space="preserve">; Maslach and Leiter, </w:t>
            </w:r>
            <w:r w:rsidR="0021584B">
              <w:rPr>
                <w:rFonts w:ascii="Aptos" w:hAnsi="Aptos" w:cs="Arial"/>
                <w:sz w:val="24"/>
                <w:szCs w:val="24"/>
              </w:rPr>
              <w:t>(</w:t>
            </w:r>
            <w:r w:rsidRPr="0039604B">
              <w:rPr>
                <w:rFonts w:ascii="Aptos" w:hAnsi="Aptos" w:cs="Arial"/>
                <w:sz w:val="24"/>
                <w:szCs w:val="24"/>
              </w:rPr>
              <w:t>2016). Officers who engage in reflective practice are better equipped to manage stress and maintain professional standards in demanding environments.</w:t>
            </w:r>
          </w:p>
          <w:p w14:paraId="7EE11DB8" w14:textId="77777777" w:rsidR="0001757D" w:rsidRPr="0039604B" w:rsidRDefault="0001757D" w:rsidP="0001757D">
            <w:pPr>
              <w:rPr>
                <w:rFonts w:ascii="Aptos" w:hAnsi="Aptos" w:cs="Arial"/>
                <w:sz w:val="24"/>
                <w:szCs w:val="24"/>
              </w:rPr>
            </w:pPr>
          </w:p>
          <w:p w14:paraId="1D3E1528" w14:textId="77777777" w:rsidR="0001757D" w:rsidRPr="0039604B" w:rsidRDefault="0001757D" w:rsidP="0001757D">
            <w:pPr>
              <w:rPr>
                <w:rFonts w:ascii="Aptos" w:hAnsi="Aptos" w:cs="Arial"/>
                <w:b/>
                <w:bCs/>
                <w:sz w:val="24"/>
                <w:szCs w:val="24"/>
              </w:rPr>
            </w:pPr>
            <w:r w:rsidRPr="0039604B">
              <w:rPr>
                <w:rFonts w:ascii="Aptos" w:hAnsi="Aptos" w:cs="Arial"/>
                <w:b/>
                <w:bCs/>
                <w:sz w:val="24"/>
                <w:szCs w:val="24"/>
              </w:rPr>
              <w:t>CPD, Reflection, and Organisational Learning</w:t>
            </w:r>
          </w:p>
          <w:p w14:paraId="71BE5600" w14:textId="77777777" w:rsidR="0001757D" w:rsidRPr="0039604B" w:rsidRDefault="0001757D" w:rsidP="0001757D">
            <w:pPr>
              <w:rPr>
                <w:rFonts w:ascii="Aptos" w:hAnsi="Aptos" w:cs="Arial"/>
                <w:sz w:val="24"/>
                <w:szCs w:val="24"/>
              </w:rPr>
            </w:pPr>
          </w:p>
          <w:p w14:paraId="2DF6403A" w14:textId="6C2EC310" w:rsidR="0001757D" w:rsidRPr="0039604B" w:rsidRDefault="0001757D" w:rsidP="0001757D">
            <w:pPr>
              <w:rPr>
                <w:rFonts w:ascii="Aptos" w:hAnsi="Aptos" w:cs="Arial"/>
                <w:sz w:val="24"/>
                <w:szCs w:val="24"/>
              </w:rPr>
            </w:pPr>
            <w:r w:rsidRPr="0039604B">
              <w:rPr>
                <w:rFonts w:ascii="Aptos" w:hAnsi="Aptos" w:cs="Arial"/>
                <w:sz w:val="24"/>
                <w:szCs w:val="24"/>
              </w:rPr>
              <w:t xml:space="preserve">CPD and reflective practice are mutually reinforcing processes. CPD provides learning opportunities, while reflection ensures that learning is embedded and applied. Together, they support a learning organisation model, where individual experiences inform collective improvement Senge, </w:t>
            </w:r>
            <w:r w:rsidR="0021584B">
              <w:rPr>
                <w:rFonts w:ascii="Aptos" w:hAnsi="Aptos" w:cs="Arial"/>
                <w:sz w:val="24"/>
                <w:szCs w:val="24"/>
              </w:rPr>
              <w:t>(</w:t>
            </w:r>
            <w:r w:rsidRPr="0039604B">
              <w:rPr>
                <w:rFonts w:ascii="Aptos" w:hAnsi="Aptos" w:cs="Arial"/>
                <w:sz w:val="24"/>
                <w:szCs w:val="24"/>
              </w:rPr>
              <w:t>1990).</w:t>
            </w:r>
          </w:p>
          <w:p w14:paraId="5B0ABF38" w14:textId="77777777" w:rsidR="0001757D" w:rsidRPr="0039604B" w:rsidRDefault="0001757D" w:rsidP="0001757D">
            <w:pPr>
              <w:rPr>
                <w:rFonts w:ascii="Aptos" w:hAnsi="Aptos" w:cs="Arial"/>
                <w:sz w:val="24"/>
                <w:szCs w:val="24"/>
              </w:rPr>
            </w:pPr>
          </w:p>
          <w:p w14:paraId="4656B27E" w14:textId="77777777" w:rsidR="0001757D" w:rsidRPr="0039604B" w:rsidRDefault="0001757D" w:rsidP="0001757D">
            <w:pPr>
              <w:rPr>
                <w:rFonts w:ascii="Aptos" w:hAnsi="Aptos" w:cs="Arial"/>
                <w:sz w:val="24"/>
                <w:szCs w:val="24"/>
              </w:rPr>
            </w:pPr>
            <w:r w:rsidRPr="0039604B">
              <w:rPr>
                <w:rFonts w:ascii="Aptos" w:hAnsi="Aptos" w:cs="Arial"/>
                <w:sz w:val="24"/>
                <w:szCs w:val="24"/>
              </w:rPr>
              <w:t>Within South Wales Police, mechanisms such as reflective supervision, debriefs, mentoring, and performance reviews enable reflective learning to inform organisational practice. Although challenges remain, including time pressures and cultural resistance, leadership commitment to reflective CPD is essential to sustaining professional standards and organisational legitimacy.</w:t>
            </w:r>
          </w:p>
          <w:p w14:paraId="070A5BE0" w14:textId="77777777" w:rsidR="0001757D" w:rsidRPr="0039604B" w:rsidRDefault="0001757D" w:rsidP="0001757D">
            <w:pPr>
              <w:rPr>
                <w:rFonts w:ascii="Aptos" w:hAnsi="Aptos" w:cs="Arial"/>
                <w:sz w:val="24"/>
                <w:szCs w:val="24"/>
              </w:rPr>
            </w:pPr>
          </w:p>
          <w:p w14:paraId="33735A85" w14:textId="77777777" w:rsidR="0001757D" w:rsidRPr="0039604B" w:rsidRDefault="0001757D" w:rsidP="0001757D">
            <w:pPr>
              <w:rPr>
                <w:rFonts w:ascii="Aptos" w:hAnsi="Aptos" w:cs="Arial"/>
                <w:b/>
                <w:bCs/>
                <w:sz w:val="24"/>
                <w:szCs w:val="24"/>
              </w:rPr>
            </w:pPr>
            <w:r w:rsidRPr="0039604B">
              <w:rPr>
                <w:rFonts w:ascii="Aptos" w:hAnsi="Aptos" w:cs="Arial"/>
                <w:b/>
                <w:bCs/>
                <w:sz w:val="24"/>
                <w:szCs w:val="24"/>
              </w:rPr>
              <w:t>Critical Evaluation: Limitations of Reflective Practice and Mitigation in Policing</w:t>
            </w:r>
          </w:p>
          <w:p w14:paraId="6B64785B" w14:textId="77777777" w:rsidR="0001757D" w:rsidRPr="0039604B" w:rsidRDefault="0001757D" w:rsidP="0001757D">
            <w:pPr>
              <w:rPr>
                <w:rFonts w:ascii="Aptos" w:hAnsi="Aptos" w:cs="Arial"/>
                <w:sz w:val="24"/>
                <w:szCs w:val="24"/>
              </w:rPr>
            </w:pPr>
          </w:p>
          <w:p w14:paraId="086A2550" w14:textId="77777777" w:rsidR="0001757D" w:rsidRPr="0039604B" w:rsidRDefault="0001757D" w:rsidP="0001757D">
            <w:pPr>
              <w:rPr>
                <w:rFonts w:ascii="Aptos" w:hAnsi="Aptos" w:cs="Arial"/>
                <w:sz w:val="24"/>
                <w:szCs w:val="24"/>
              </w:rPr>
            </w:pPr>
            <w:r w:rsidRPr="0039604B">
              <w:rPr>
                <w:rFonts w:ascii="Aptos" w:hAnsi="Aptos" w:cs="Arial"/>
                <w:sz w:val="24"/>
                <w:szCs w:val="24"/>
              </w:rPr>
              <w:t>While reflective practice is widely promoted as a mechanism for professional development, it is not without limitations, particularly within operational policing contexts. One significant limitation is the risk of reflection becoming overly descriptive or confirmatory, where practitioners rationalise decisions rather than critically interrogating them. Schön (1983) cautions that reflection can reinforce existing assumptions if not applied rigorously. Within high-risk environments such as Counter Terrorism, this risk is heightened, as decision-making is often retrospectively justified due to outcome bias and organisational scrutiny.</w:t>
            </w:r>
          </w:p>
          <w:p w14:paraId="6B26110D" w14:textId="77777777" w:rsidR="0001757D" w:rsidRPr="0039604B" w:rsidRDefault="0001757D" w:rsidP="0001757D">
            <w:pPr>
              <w:rPr>
                <w:rFonts w:ascii="Aptos" w:hAnsi="Aptos" w:cs="Arial"/>
                <w:sz w:val="24"/>
                <w:szCs w:val="24"/>
              </w:rPr>
            </w:pPr>
          </w:p>
          <w:p w14:paraId="2E691942" w14:textId="77777777" w:rsidR="0001757D" w:rsidRPr="0039604B" w:rsidRDefault="0001757D" w:rsidP="0001757D">
            <w:pPr>
              <w:rPr>
                <w:rFonts w:ascii="Aptos" w:hAnsi="Aptos" w:cs="Arial"/>
                <w:sz w:val="24"/>
                <w:szCs w:val="24"/>
              </w:rPr>
            </w:pPr>
            <w:r w:rsidRPr="0039604B">
              <w:rPr>
                <w:rFonts w:ascii="Aptos" w:hAnsi="Aptos" w:cs="Arial"/>
                <w:sz w:val="24"/>
                <w:szCs w:val="24"/>
              </w:rPr>
              <w:t>Time constraints present a further limitation. Policing operates within an environment of competing operational demands, and reflective activity can be deprioritised in favour of immediate task completion. In such circumstances, reflection risks becoming superficial or inconsistent, reducing its developmental value (Ingram et al., 2020). Additionally, reflective practice may be constrained by organisational culture. Where reflection is perceived as an admission of error rather than a learning tool, officers may be reluctant to engage openly, limiting its effectiveness.</w:t>
            </w:r>
          </w:p>
          <w:p w14:paraId="10FAC46F" w14:textId="77777777" w:rsidR="0001757D" w:rsidRPr="0039604B" w:rsidRDefault="0001757D" w:rsidP="0001757D">
            <w:pPr>
              <w:rPr>
                <w:rFonts w:ascii="Aptos" w:hAnsi="Aptos" w:cs="Arial"/>
                <w:sz w:val="24"/>
                <w:szCs w:val="24"/>
              </w:rPr>
            </w:pPr>
          </w:p>
          <w:p w14:paraId="7F4E866D" w14:textId="77777777" w:rsidR="0001757D" w:rsidRPr="0039604B" w:rsidRDefault="0001757D" w:rsidP="0001757D">
            <w:pPr>
              <w:rPr>
                <w:rFonts w:ascii="Aptos" w:hAnsi="Aptos" w:cs="Arial"/>
                <w:sz w:val="24"/>
                <w:szCs w:val="24"/>
              </w:rPr>
            </w:pPr>
            <w:r w:rsidRPr="0039604B">
              <w:rPr>
                <w:rFonts w:ascii="Aptos" w:hAnsi="Aptos" w:cs="Arial"/>
                <w:sz w:val="24"/>
                <w:szCs w:val="24"/>
              </w:rPr>
              <w:lastRenderedPageBreak/>
              <w:t>To mitigate these limitations, I adopt a structured and disciplined approach to reflection. Using formal models such as Gibbs’ (1988) cycle enables me to move beyond narrative description toward critical evaluation and action planning. I actively seek external perspectives through reflective supervision and peer debriefs, reducing the risk of self-justification and cognitive bias (Brookfield, 1995). Embedding reflection within CPD processes ensures it remains purposeful and linked to professional outcomes rather than abstract introspection.</w:t>
            </w:r>
          </w:p>
          <w:p w14:paraId="0287F4F8" w14:textId="77777777" w:rsidR="0001757D" w:rsidRPr="0039604B" w:rsidRDefault="0001757D" w:rsidP="0001757D">
            <w:pPr>
              <w:rPr>
                <w:rFonts w:ascii="Aptos" w:hAnsi="Aptos" w:cs="Arial"/>
                <w:sz w:val="24"/>
                <w:szCs w:val="24"/>
              </w:rPr>
            </w:pPr>
          </w:p>
          <w:p w14:paraId="34CD7AD4" w14:textId="77777777" w:rsidR="0001757D" w:rsidRPr="0039604B" w:rsidRDefault="0001757D" w:rsidP="0001757D">
            <w:pPr>
              <w:rPr>
                <w:rFonts w:ascii="Aptos" w:hAnsi="Aptos" w:cs="Arial"/>
                <w:sz w:val="24"/>
                <w:szCs w:val="24"/>
              </w:rPr>
            </w:pPr>
            <w:r w:rsidRPr="0039604B">
              <w:rPr>
                <w:rFonts w:ascii="Aptos" w:hAnsi="Aptos" w:cs="Arial"/>
                <w:sz w:val="24"/>
                <w:szCs w:val="24"/>
              </w:rPr>
              <w:t>By treating reflective practice as a professional discipline rather than an informal activity, I mitigate its limitations and ensure it contributes meaningfully to decision-making, leadership development, and organisational learning.</w:t>
            </w:r>
          </w:p>
          <w:p w14:paraId="467CEC60" w14:textId="77777777" w:rsidR="0001757D" w:rsidRPr="0039604B" w:rsidRDefault="0001757D" w:rsidP="0001757D">
            <w:pPr>
              <w:rPr>
                <w:rFonts w:ascii="Aptos" w:hAnsi="Aptos" w:cs="Arial"/>
                <w:sz w:val="24"/>
                <w:szCs w:val="24"/>
              </w:rPr>
            </w:pPr>
          </w:p>
          <w:p w14:paraId="4504EF5A" w14:textId="77777777" w:rsidR="0001757D" w:rsidRPr="0039604B" w:rsidRDefault="0001757D" w:rsidP="0001757D">
            <w:pPr>
              <w:rPr>
                <w:rFonts w:ascii="Aptos" w:hAnsi="Aptos" w:cs="Arial"/>
                <w:b/>
                <w:bCs/>
                <w:sz w:val="24"/>
                <w:szCs w:val="24"/>
              </w:rPr>
            </w:pPr>
            <w:r w:rsidRPr="0039604B">
              <w:rPr>
                <w:rFonts w:ascii="Aptos" w:hAnsi="Aptos" w:cs="Arial"/>
                <w:b/>
                <w:bCs/>
                <w:sz w:val="24"/>
                <w:szCs w:val="24"/>
              </w:rPr>
              <w:t>Conclusion</w:t>
            </w:r>
          </w:p>
          <w:p w14:paraId="695F197F" w14:textId="77777777" w:rsidR="0001757D" w:rsidRPr="0039604B" w:rsidRDefault="0001757D" w:rsidP="0001757D">
            <w:pPr>
              <w:rPr>
                <w:rFonts w:ascii="Aptos" w:hAnsi="Aptos" w:cs="Arial"/>
                <w:sz w:val="24"/>
                <w:szCs w:val="24"/>
              </w:rPr>
            </w:pPr>
          </w:p>
          <w:p w14:paraId="00621A1F" w14:textId="77777777" w:rsidR="0001757D" w:rsidRPr="0039604B" w:rsidRDefault="0001757D" w:rsidP="0001757D">
            <w:pPr>
              <w:rPr>
                <w:rFonts w:ascii="Aptos" w:hAnsi="Aptos" w:cs="Arial"/>
                <w:sz w:val="24"/>
                <w:szCs w:val="24"/>
              </w:rPr>
            </w:pPr>
            <w:r w:rsidRPr="0039604B">
              <w:rPr>
                <w:rFonts w:ascii="Aptos" w:hAnsi="Aptos" w:cs="Arial"/>
                <w:sz w:val="24"/>
                <w:szCs w:val="24"/>
              </w:rPr>
              <w:t>This paper has demonstrated that reflective practice and Continuous Professional Development are central to both individual professional growth and organisational effectiveness within South Wales Police. The reflective account illustrates how structured reflection led to tangible improvements in leadership practice within investigations. At an organisational level, CPD and reflective practice enhance competence, ethical standards, adaptability, and public confidence.</w:t>
            </w:r>
          </w:p>
          <w:p w14:paraId="4E90C9D6" w14:textId="77777777" w:rsidR="0001757D" w:rsidRPr="0039604B" w:rsidRDefault="0001757D" w:rsidP="0001757D">
            <w:pPr>
              <w:rPr>
                <w:rFonts w:ascii="Aptos" w:hAnsi="Aptos" w:cs="Arial"/>
                <w:sz w:val="24"/>
                <w:szCs w:val="24"/>
              </w:rPr>
            </w:pPr>
          </w:p>
          <w:p w14:paraId="239C07E3" w14:textId="77777777" w:rsidR="0001757D" w:rsidRPr="0039604B" w:rsidRDefault="0001757D" w:rsidP="0001757D">
            <w:pPr>
              <w:rPr>
                <w:rFonts w:ascii="Aptos" w:hAnsi="Aptos" w:cs="Arial"/>
                <w:sz w:val="24"/>
                <w:szCs w:val="24"/>
              </w:rPr>
            </w:pPr>
            <w:r w:rsidRPr="0039604B">
              <w:rPr>
                <w:rFonts w:ascii="Aptos" w:hAnsi="Aptos" w:cs="Arial"/>
                <w:sz w:val="24"/>
                <w:szCs w:val="24"/>
              </w:rPr>
              <w:t>Ultimately, reflective CPD is not a peripheral activity but a strategic enabler of effective, ethical, and resilient policing. By embedding reflective learning into everyday practice, South Wales Police is better positioned to meet contemporary challenges and deliver high-quality policing services.</w:t>
            </w:r>
          </w:p>
          <w:p w14:paraId="228615D7" w14:textId="77777777" w:rsidR="0001757D" w:rsidRPr="0039604B" w:rsidRDefault="0001757D">
            <w:pPr>
              <w:rPr>
                <w:rFonts w:ascii="Aptos" w:hAnsi="Aptos" w:cs="Arial"/>
                <w:sz w:val="24"/>
                <w:szCs w:val="24"/>
              </w:rPr>
            </w:pPr>
          </w:p>
          <w:p w14:paraId="6BB9E253" w14:textId="24009982" w:rsidR="0001757D" w:rsidRPr="0039604B" w:rsidRDefault="0001757D">
            <w:pPr>
              <w:rPr>
                <w:rFonts w:ascii="Aptos" w:hAnsi="Aptos" w:cs="Arial"/>
                <w:sz w:val="24"/>
                <w:szCs w:val="24"/>
              </w:rPr>
            </w:pPr>
            <w:r w:rsidRPr="0039604B">
              <w:rPr>
                <w:rFonts w:ascii="Aptos" w:hAnsi="Aptos" w:cs="Arial"/>
                <w:sz w:val="24"/>
                <w:szCs w:val="24"/>
              </w:rPr>
              <w:t>Word count - 21</w:t>
            </w:r>
            <w:r w:rsidR="008F387F">
              <w:rPr>
                <w:rFonts w:ascii="Aptos" w:hAnsi="Aptos" w:cs="Arial"/>
                <w:sz w:val="24"/>
                <w:szCs w:val="24"/>
              </w:rPr>
              <w:t>71</w:t>
            </w:r>
          </w:p>
        </w:tc>
      </w:tr>
    </w:tbl>
    <w:p w14:paraId="23DE523C" w14:textId="77777777" w:rsidR="00C66036" w:rsidRDefault="00C66036">
      <w:pPr>
        <w:ind w:left="3600" w:right="107" w:firstLine="720"/>
        <w:rPr>
          <w:rFonts w:ascii="Arial" w:eastAsia="Arial" w:hAnsi="Arial" w:cs="Arial"/>
          <w:b/>
          <w:color w:val="000000"/>
          <w:sz w:val="24"/>
          <w:szCs w:val="24"/>
        </w:rPr>
      </w:pPr>
    </w:p>
    <w:p w14:paraId="52E56223" w14:textId="77777777" w:rsidR="00C66036" w:rsidRDefault="00C66036">
      <w:pPr>
        <w:rPr>
          <w:rFonts w:ascii="Arial" w:eastAsia="Arial" w:hAnsi="Arial" w:cs="Arial"/>
          <w:b/>
          <w:sz w:val="24"/>
          <w:szCs w:val="24"/>
        </w:rPr>
      </w:pPr>
    </w:p>
    <w:p w14:paraId="479BE2E7" w14:textId="77777777" w:rsidR="00C66036" w:rsidRDefault="009A442B">
      <w:pPr>
        <w:rPr>
          <w:rFonts w:ascii="Arial" w:eastAsia="Arial" w:hAnsi="Arial" w:cs="Arial"/>
          <w:b/>
          <w:i/>
          <w:sz w:val="24"/>
          <w:szCs w:val="24"/>
        </w:rPr>
      </w:pPr>
      <w:r>
        <w:rPr>
          <w:rFonts w:ascii="Arial" w:eastAsia="Arial" w:hAnsi="Arial" w:cs="Arial"/>
          <w:b/>
          <w:i/>
          <w:sz w:val="24"/>
          <w:szCs w:val="24"/>
        </w:rPr>
        <w:t>Task 2: Investigation Challenges</w:t>
      </w:r>
    </w:p>
    <w:p w14:paraId="72C3DA56" w14:textId="77777777" w:rsidR="00C66036" w:rsidRDefault="009A442B">
      <w:pPr>
        <w:rPr>
          <w:rFonts w:ascii="Arial" w:eastAsia="Arial" w:hAnsi="Arial" w:cs="Arial"/>
          <w:sz w:val="24"/>
          <w:szCs w:val="24"/>
        </w:rPr>
      </w:pPr>
      <w:r>
        <w:rPr>
          <w:rFonts w:ascii="Arial" w:eastAsia="Arial" w:hAnsi="Arial" w:cs="Arial"/>
          <w:sz w:val="24"/>
          <w:szCs w:val="24"/>
        </w:rPr>
        <w:t xml:space="preserve">You must choose a serious and complex investigation in which you played a significant role and reflect upon what happened. </w:t>
      </w:r>
    </w:p>
    <w:tbl>
      <w:tblPr>
        <w:tblStyle w:val="a1"/>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C66036" w14:paraId="07B8D423" w14:textId="77777777">
        <w:tc>
          <w:tcPr>
            <w:tcW w:w="9015" w:type="dxa"/>
          </w:tcPr>
          <w:p w14:paraId="07547A01" w14:textId="77777777" w:rsidR="00C66036" w:rsidRDefault="00C66036">
            <w:pPr>
              <w:rPr>
                <w:rFonts w:ascii="Arial" w:eastAsia="Arial" w:hAnsi="Arial" w:cs="Arial"/>
                <w:b/>
                <w:color w:val="000000"/>
                <w:sz w:val="24"/>
                <w:szCs w:val="24"/>
              </w:rPr>
            </w:pPr>
          </w:p>
          <w:p w14:paraId="5390E874" w14:textId="77777777" w:rsidR="00C66036" w:rsidRDefault="009A442B">
            <w:pPr>
              <w:ind w:right="237"/>
              <w:jc w:val="both"/>
              <w:rPr>
                <w:rFonts w:ascii="Arial" w:eastAsia="Arial" w:hAnsi="Arial" w:cs="Arial"/>
                <w:sz w:val="24"/>
                <w:szCs w:val="24"/>
              </w:rPr>
            </w:pPr>
            <w:r>
              <w:rPr>
                <w:rFonts w:ascii="Arial" w:eastAsia="Arial" w:hAnsi="Arial" w:cs="Arial"/>
                <w:b/>
                <w:color w:val="000000"/>
                <w:sz w:val="24"/>
                <w:szCs w:val="24"/>
              </w:rPr>
              <w:t>2a. Give a brief description</w:t>
            </w:r>
            <w:r>
              <w:rPr>
                <w:rFonts w:ascii="Arial" w:eastAsia="Arial" w:hAnsi="Arial" w:cs="Arial"/>
                <w:color w:val="000000"/>
                <w:sz w:val="24"/>
                <w:szCs w:val="24"/>
              </w:rPr>
              <w:t xml:space="preserve"> of the investigation including social and legislative contexts and any relevant cultural, ethnicity and language issues. </w:t>
            </w:r>
            <w:r>
              <w:rPr>
                <w:rFonts w:ascii="Arial" w:eastAsia="Arial" w:hAnsi="Arial" w:cs="Arial"/>
                <w:sz w:val="24"/>
                <w:szCs w:val="24"/>
              </w:rPr>
              <w:t xml:space="preserve"> </w:t>
            </w:r>
          </w:p>
          <w:p w14:paraId="5043CB0F" w14:textId="77777777" w:rsidR="00C66036" w:rsidRDefault="00C66036">
            <w:pPr>
              <w:rPr>
                <w:rFonts w:ascii="Arial" w:eastAsia="Arial" w:hAnsi="Arial" w:cs="Arial"/>
                <w:b/>
                <w:color w:val="000000"/>
                <w:sz w:val="24"/>
                <w:szCs w:val="24"/>
              </w:rPr>
            </w:pPr>
          </w:p>
          <w:p w14:paraId="32676725" w14:textId="77777777" w:rsidR="00C66036" w:rsidRDefault="009A442B">
            <w:pPr>
              <w:rPr>
                <w:rFonts w:ascii="Arial" w:eastAsia="Arial" w:hAnsi="Arial" w:cs="Arial"/>
                <w:color w:val="000000"/>
                <w:sz w:val="24"/>
                <w:szCs w:val="24"/>
              </w:rPr>
            </w:pPr>
            <w:r>
              <w:rPr>
                <w:rFonts w:ascii="Arial" w:eastAsia="Arial" w:hAnsi="Arial" w:cs="Arial"/>
                <w:b/>
                <w:color w:val="000000"/>
                <w:sz w:val="24"/>
                <w:szCs w:val="24"/>
              </w:rPr>
              <w:t xml:space="preserve">2b </w:t>
            </w:r>
            <w:r>
              <w:rPr>
                <w:rFonts w:ascii="Arial" w:eastAsia="Arial" w:hAnsi="Arial" w:cs="Arial"/>
                <w:color w:val="000000"/>
                <w:sz w:val="24"/>
                <w:szCs w:val="24"/>
              </w:rPr>
              <w:t>Critically evaluate</w:t>
            </w:r>
            <w:r>
              <w:rPr>
                <w:rFonts w:ascii="Arial" w:eastAsia="Arial" w:hAnsi="Arial" w:cs="Arial"/>
                <w:b/>
                <w:color w:val="000000"/>
                <w:sz w:val="24"/>
                <w:szCs w:val="24"/>
              </w:rPr>
              <w:t xml:space="preserve"> </w:t>
            </w:r>
            <w:r>
              <w:rPr>
                <w:rFonts w:ascii="Arial" w:eastAsia="Arial" w:hAnsi="Arial" w:cs="Arial"/>
                <w:color w:val="000000"/>
                <w:sz w:val="24"/>
                <w:szCs w:val="24"/>
              </w:rPr>
              <w:t>the challenges associated with the investigation and the actions you took to effectively deal with such challenges.</w:t>
            </w:r>
          </w:p>
          <w:p w14:paraId="07459315" w14:textId="77777777" w:rsidR="00C66036" w:rsidRDefault="00C66036">
            <w:pPr>
              <w:rPr>
                <w:rFonts w:ascii="Arial" w:eastAsia="Arial" w:hAnsi="Arial" w:cs="Arial"/>
                <w:color w:val="000000"/>
                <w:sz w:val="24"/>
                <w:szCs w:val="24"/>
              </w:rPr>
            </w:pPr>
          </w:p>
          <w:p w14:paraId="0F86277B" w14:textId="77777777" w:rsidR="00C66036" w:rsidRDefault="009A442B">
            <w:pPr>
              <w:rPr>
                <w:rFonts w:ascii="Arial" w:eastAsia="Arial" w:hAnsi="Arial" w:cs="Arial"/>
                <w:color w:val="000000"/>
                <w:sz w:val="24"/>
                <w:szCs w:val="24"/>
              </w:rPr>
            </w:pPr>
            <w:r>
              <w:rPr>
                <w:rFonts w:ascii="Arial" w:eastAsia="Arial" w:hAnsi="Arial" w:cs="Arial"/>
                <w:color w:val="000000"/>
                <w:sz w:val="24"/>
                <w:szCs w:val="24"/>
              </w:rPr>
              <w:t>2b. Critically reflect on your thinking, analysis, evaluation of any assumptions or generalisations that had an impact on how you dealt with the investigation and/or how you communicated your conclusions to others (e.g. senior officers, specialist and non-specialist investigators/departments etc.).</w:t>
            </w:r>
          </w:p>
          <w:p w14:paraId="6537F28F" w14:textId="77777777" w:rsidR="00C66036" w:rsidRDefault="00C66036">
            <w:pPr>
              <w:rPr>
                <w:rFonts w:ascii="Arial" w:eastAsia="Arial" w:hAnsi="Arial" w:cs="Arial"/>
                <w:color w:val="000000"/>
                <w:sz w:val="24"/>
                <w:szCs w:val="24"/>
              </w:rPr>
            </w:pPr>
          </w:p>
          <w:p w14:paraId="6DFB9E20" w14:textId="77777777" w:rsidR="00C66036" w:rsidRDefault="00C66036">
            <w:pPr>
              <w:rPr>
                <w:rFonts w:ascii="Arial" w:eastAsia="Arial" w:hAnsi="Arial" w:cs="Arial"/>
                <w:color w:val="000000"/>
                <w:sz w:val="24"/>
                <w:szCs w:val="24"/>
              </w:rPr>
            </w:pPr>
          </w:p>
          <w:p w14:paraId="70DF9E56" w14:textId="77777777" w:rsidR="00C66036" w:rsidRDefault="00C66036">
            <w:pPr>
              <w:rPr>
                <w:rFonts w:ascii="Arial" w:eastAsia="Arial" w:hAnsi="Arial" w:cs="Arial"/>
                <w:b/>
                <w:color w:val="000000"/>
                <w:sz w:val="24"/>
                <w:szCs w:val="24"/>
              </w:rPr>
            </w:pPr>
          </w:p>
          <w:p w14:paraId="6A180C97" w14:textId="77777777" w:rsidR="00C66036" w:rsidRDefault="009A442B">
            <w:pPr>
              <w:rPr>
                <w:rFonts w:ascii="Arial" w:eastAsia="Arial" w:hAnsi="Arial" w:cs="Arial"/>
                <w:sz w:val="24"/>
                <w:szCs w:val="24"/>
              </w:rPr>
            </w:pPr>
            <w:r>
              <w:rPr>
                <w:rFonts w:ascii="Arial" w:eastAsia="Arial" w:hAnsi="Arial" w:cs="Arial"/>
                <w:b/>
                <w:color w:val="000000"/>
                <w:sz w:val="24"/>
                <w:szCs w:val="24"/>
              </w:rPr>
              <w:t>2000 words</w:t>
            </w:r>
            <w:r>
              <w:rPr>
                <w:rFonts w:ascii="Arial" w:eastAsia="Arial" w:hAnsi="Arial" w:cs="Arial"/>
                <w:color w:val="000000"/>
                <w:sz w:val="24"/>
                <w:szCs w:val="24"/>
              </w:rPr>
              <w:t xml:space="preserve"> </w:t>
            </w:r>
            <w:r>
              <w:rPr>
                <w:rFonts w:ascii="Arial" w:eastAsia="Arial" w:hAnsi="Arial" w:cs="Arial"/>
                <w:i/>
                <w:color w:val="000000"/>
                <w:sz w:val="24"/>
                <w:szCs w:val="24"/>
              </w:rPr>
              <w:t>(+/- 10%: include your actual word count at the end of each section)</w:t>
            </w:r>
          </w:p>
          <w:p w14:paraId="0CE18707" w14:textId="77777777" w:rsidR="00C66036" w:rsidRDefault="00C66036">
            <w:pPr>
              <w:rPr>
                <w:rFonts w:ascii="Arial" w:eastAsia="Arial" w:hAnsi="Arial" w:cs="Arial"/>
                <w:b/>
                <w:color w:val="000000"/>
                <w:sz w:val="24"/>
                <w:szCs w:val="24"/>
              </w:rPr>
            </w:pPr>
          </w:p>
          <w:p w14:paraId="1C64C937" w14:textId="295F6674" w:rsidR="00CA395F" w:rsidRPr="0039604B" w:rsidRDefault="00CA395F" w:rsidP="00CA395F">
            <w:pPr>
              <w:rPr>
                <w:rFonts w:ascii="Aptos" w:hAnsi="Aptos" w:cs="Arial"/>
                <w:b/>
                <w:bCs/>
                <w:sz w:val="24"/>
                <w:szCs w:val="24"/>
              </w:rPr>
            </w:pPr>
            <w:r w:rsidRPr="0039604B">
              <w:rPr>
                <w:rFonts w:ascii="Aptos" w:hAnsi="Aptos" w:cs="Arial"/>
                <w:b/>
                <w:bCs/>
                <w:sz w:val="24"/>
                <w:szCs w:val="24"/>
              </w:rPr>
              <w:t xml:space="preserve">Task 2a: Give a brief description of the investigation including social and legislative contexts and any relevant cultural, ethnicity and language issues.  </w:t>
            </w:r>
          </w:p>
          <w:p w14:paraId="6187F21C" w14:textId="77777777" w:rsidR="00CA395F" w:rsidRPr="0039604B" w:rsidRDefault="00CA395F" w:rsidP="00CA395F">
            <w:pPr>
              <w:rPr>
                <w:rFonts w:ascii="Aptos" w:hAnsi="Aptos" w:cs="Arial"/>
                <w:sz w:val="24"/>
                <w:szCs w:val="24"/>
              </w:rPr>
            </w:pPr>
          </w:p>
          <w:p w14:paraId="375FFFAD" w14:textId="77777777" w:rsidR="00CA395F" w:rsidRPr="0039604B" w:rsidRDefault="00CA395F" w:rsidP="00CA395F">
            <w:pPr>
              <w:rPr>
                <w:rFonts w:ascii="Aptos" w:hAnsi="Aptos" w:cs="Arial"/>
                <w:sz w:val="24"/>
                <w:szCs w:val="24"/>
              </w:rPr>
            </w:pPr>
            <w:r w:rsidRPr="0039604B">
              <w:rPr>
                <w:rFonts w:ascii="Aptos" w:hAnsi="Aptos" w:cs="Arial"/>
                <w:sz w:val="24"/>
                <w:szCs w:val="24"/>
              </w:rPr>
              <w:t>This investigation concerned organised modern slavery and sexual exploitation involving predominantly Chinese national victims operating across multiple locations in England and Scotland. The offending was facilitated by organised criminal networks that exercised control through coercion, debt bondage, movement restriction, psychological intimidation, and social isolation. Victims were largely foreign nationals with limited English-language proficiency and minimal understanding of UK legal protections, significantly increasing their vulnerability and dependence on offenders.</w:t>
            </w:r>
          </w:p>
          <w:p w14:paraId="78E07213" w14:textId="77777777" w:rsidR="00CA395F" w:rsidRPr="0039604B" w:rsidRDefault="00CA395F" w:rsidP="00CA395F">
            <w:pPr>
              <w:rPr>
                <w:rFonts w:ascii="Aptos" w:hAnsi="Aptos" w:cs="Arial"/>
                <w:sz w:val="24"/>
                <w:szCs w:val="24"/>
              </w:rPr>
            </w:pPr>
          </w:p>
          <w:p w14:paraId="55854820" w14:textId="77777777" w:rsidR="00CA395F" w:rsidRPr="0039604B" w:rsidRDefault="00CA395F" w:rsidP="00CA395F">
            <w:pPr>
              <w:rPr>
                <w:rFonts w:ascii="Aptos" w:hAnsi="Aptos" w:cs="Arial"/>
                <w:sz w:val="24"/>
                <w:szCs w:val="24"/>
              </w:rPr>
            </w:pPr>
            <w:r w:rsidRPr="0039604B">
              <w:rPr>
                <w:rFonts w:ascii="Aptos" w:hAnsi="Aptos" w:cs="Arial"/>
                <w:sz w:val="24"/>
                <w:szCs w:val="24"/>
              </w:rPr>
              <w:t>The criminality was characterised by serial offending and repeated patterns of exploitation. Victims were routinely moved between premises and force areas, often at short notice, to evade detection and maximise profit. This transient model of exploitation created significant challenges for victim identification, safeguarding continuity, and evidential development. Consequently, the investigation required a coordinated, intelligence-led response capable of identifying patterns across jurisdictions, disrupting organised networks, and securing admissible evidence capable of withstanding judicial scrutiny.</w:t>
            </w:r>
          </w:p>
          <w:p w14:paraId="752CCBF6" w14:textId="77777777" w:rsidR="00CA395F" w:rsidRPr="0039604B" w:rsidRDefault="00CA395F" w:rsidP="00CA395F">
            <w:pPr>
              <w:rPr>
                <w:rFonts w:ascii="Aptos" w:hAnsi="Aptos" w:cs="Arial"/>
                <w:sz w:val="24"/>
                <w:szCs w:val="24"/>
              </w:rPr>
            </w:pPr>
          </w:p>
          <w:p w14:paraId="5299A27D" w14:textId="77777777" w:rsidR="00CA395F" w:rsidRPr="0039604B" w:rsidRDefault="00CA395F" w:rsidP="00CA395F">
            <w:pPr>
              <w:rPr>
                <w:rFonts w:ascii="Aptos" w:hAnsi="Aptos" w:cs="Arial"/>
                <w:sz w:val="24"/>
                <w:szCs w:val="24"/>
              </w:rPr>
            </w:pPr>
            <w:r w:rsidRPr="0039604B">
              <w:rPr>
                <w:rFonts w:ascii="Aptos" w:hAnsi="Aptos" w:cs="Arial"/>
                <w:sz w:val="24"/>
                <w:szCs w:val="24"/>
              </w:rPr>
              <w:t>The investigation was further complicated by the need to balance enforcement activity with safeguarding obligations. An overly enforcement-focused approach risked retraumatising victims or reinforcing fear of authorities, potentially undermining long-term engagement. As such, investigative decision-making was framed not only around disruption and prosecution, but also around victim safety, recovery, and confidence in the criminal justice process.</w:t>
            </w:r>
          </w:p>
          <w:p w14:paraId="6AFB74A4" w14:textId="77777777" w:rsidR="00CA395F" w:rsidRPr="0039604B" w:rsidRDefault="00CA395F" w:rsidP="00CA395F">
            <w:pPr>
              <w:rPr>
                <w:rFonts w:ascii="Aptos" w:hAnsi="Aptos" w:cs="Arial"/>
                <w:sz w:val="24"/>
                <w:szCs w:val="24"/>
              </w:rPr>
            </w:pPr>
          </w:p>
          <w:p w14:paraId="4BB6B29C" w14:textId="77777777" w:rsidR="00CA395F" w:rsidRPr="0039604B" w:rsidRDefault="00CA395F" w:rsidP="00CA395F">
            <w:pPr>
              <w:rPr>
                <w:rFonts w:ascii="Aptos" w:hAnsi="Aptos" w:cs="Arial"/>
                <w:b/>
                <w:bCs/>
                <w:sz w:val="24"/>
                <w:szCs w:val="24"/>
              </w:rPr>
            </w:pPr>
            <w:r w:rsidRPr="0039604B">
              <w:rPr>
                <w:rFonts w:ascii="Aptos" w:hAnsi="Aptos" w:cs="Arial"/>
                <w:b/>
                <w:bCs/>
                <w:sz w:val="24"/>
                <w:szCs w:val="24"/>
              </w:rPr>
              <w:t>Social Context</w:t>
            </w:r>
          </w:p>
          <w:p w14:paraId="3AEEEE67" w14:textId="77777777" w:rsidR="00CA395F" w:rsidRPr="0039604B" w:rsidRDefault="00CA395F" w:rsidP="00CA395F">
            <w:pPr>
              <w:rPr>
                <w:rFonts w:ascii="Aptos" w:hAnsi="Aptos" w:cs="Arial"/>
                <w:sz w:val="24"/>
                <w:szCs w:val="24"/>
              </w:rPr>
            </w:pPr>
          </w:p>
          <w:p w14:paraId="7B3CB630" w14:textId="77777777" w:rsidR="00CA395F" w:rsidRPr="0039604B" w:rsidRDefault="00CA395F" w:rsidP="00CA395F">
            <w:pPr>
              <w:rPr>
                <w:rFonts w:ascii="Aptos" w:hAnsi="Aptos" w:cs="Arial"/>
                <w:sz w:val="24"/>
                <w:szCs w:val="24"/>
              </w:rPr>
            </w:pPr>
            <w:r w:rsidRPr="0039604B">
              <w:rPr>
                <w:rFonts w:ascii="Aptos" w:hAnsi="Aptos" w:cs="Arial"/>
                <w:sz w:val="24"/>
                <w:szCs w:val="24"/>
              </w:rPr>
              <w:t>Modern slavery exists within a social context where victims frequently remain hidden due to fear, dependency, cultural isolation, and mistrust of authority. In this investigation, victims were embedded within closed social and cultural networks and were reliant on offenders for accommodation, income, and perceived protection. This dependency was reinforced through debt arrangements that victims often believed were legitimate, culturally expected, or unavoidable.</w:t>
            </w:r>
          </w:p>
          <w:p w14:paraId="6326484C" w14:textId="77777777" w:rsidR="00CA395F" w:rsidRPr="0039604B" w:rsidRDefault="00CA395F" w:rsidP="00CA395F">
            <w:pPr>
              <w:rPr>
                <w:rFonts w:ascii="Aptos" w:hAnsi="Aptos" w:cs="Arial"/>
                <w:sz w:val="24"/>
                <w:szCs w:val="24"/>
              </w:rPr>
            </w:pPr>
          </w:p>
          <w:p w14:paraId="4EB06500" w14:textId="5161034A" w:rsidR="00CA395F" w:rsidRPr="0039604B" w:rsidRDefault="00CA395F" w:rsidP="00CA395F">
            <w:pPr>
              <w:rPr>
                <w:rFonts w:ascii="Aptos" w:hAnsi="Aptos" w:cs="Arial"/>
                <w:sz w:val="24"/>
                <w:szCs w:val="24"/>
              </w:rPr>
            </w:pPr>
            <w:r w:rsidRPr="0039604B">
              <w:rPr>
                <w:rFonts w:ascii="Aptos" w:hAnsi="Aptos" w:cs="Arial"/>
                <w:sz w:val="24"/>
                <w:szCs w:val="24"/>
              </w:rPr>
              <w:t>Research suggests that victims from East Asian communities are particularly vulnerable to under-identification due to language barriers, cultural stigma associated with sexual exploitation, and fear of immigration enforcement</w:t>
            </w:r>
            <w:r w:rsidR="00745E49">
              <w:rPr>
                <w:rFonts w:ascii="Aptos" w:hAnsi="Aptos" w:cs="Arial"/>
                <w:sz w:val="24"/>
                <w:szCs w:val="24"/>
              </w:rPr>
              <w:t xml:space="preserve">, </w:t>
            </w:r>
            <w:r w:rsidR="00405427">
              <w:rPr>
                <w:rFonts w:ascii="Aptos" w:hAnsi="Aptos" w:cs="Arial"/>
                <w:sz w:val="24"/>
                <w:szCs w:val="24"/>
              </w:rPr>
              <w:t>Gill &amp; Harrison,</w:t>
            </w:r>
            <w:r w:rsidRPr="0039604B">
              <w:rPr>
                <w:rFonts w:ascii="Aptos" w:hAnsi="Aptos" w:cs="Arial"/>
                <w:sz w:val="24"/>
                <w:szCs w:val="24"/>
              </w:rPr>
              <w:t xml:space="preserve"> </w:t>
            </w:r>
            <w:r w:rsidR="00745E49">
              <w:rPr>
                <w:rFonts w:ascii="Aptos" w:hAnsi="Aptos" w:cs="Arial"/>
                <w:sz w:val="24"/>
                <w:szCs w:val="24"/>
              </w:rPr>
              <w:t>(</w:t>
            </w:r>
            <w:r w:rsidRPr="0039604B">
              <w:rPr>
                <w:rFonts w:ascii="Aptos" w:hAnsi="Aptos" w:cs="Arial"/>
                <w:sz w:val="24"/>
                <w:szCs w:val="24"/>
              </w:rPr>
              <w:t>201</w:t>
            </w:r>
            <w:r w:rsidR="00405427">
              <w:rPr>
                <w:rFonts w:ascii="Aptos" w:hAnsi="Aptos" w:cs="Arial"/>
                <w:sz w:val="24"/>
                <w:szCs w:val="24"/>
              </w:rPr>
              <w:t>9</w:t>
            </w:r>
            <w:r w:rsidRPr="0039604B">
              <w:rPr>
                <w:rFonts w:ascii="Aptos" w:hAnsi="Aptos" w:cs="Arial"/>
                <w:sz w:val="24"/>
                <w:szCs w:val="24"/>
              </w:rPr>
              <w:t xml:space="preserve">). These factors were </w:t>
            </w:r>
            <w:proofErr w:type="gramStart"/>
            <w:r w:rsidRPr="0039604B">
              <w:rPr>
                <w:rFonts w:ascii="Aptos" w:hAnsi="Aptos" w:cs="Arial"/>
                <w:sz w:val="24"/>
                <w:szCs w:val="24"/>
              </w:rPr>
              <w:t>clearly evident</w:t>
            </w:r>
            <w:proofErr w:type="gramEnd"/>
            <w:r w:rsidRPr="0039604B">
              <w:rPr>
                <w:rFonts w:ascii="Aptos" w:hAnsi="Aptos" w:cs="Arial"/>
                <w:sz w:val="24"/>
                <w:szCs w:val="24"/>
              </w:rPr>
              <w:t xml:space="preserve">. Victims frequently minimised or normalised their exploitation, referring to their circumstances as work rather than </w:t>
            </w:r>
            <w:r w:rsidRPr="0039604B">
              <w:rPr>
                <w:rFonts w:ascii="Aptos" w:hAnsi="Aptos" w:cs="Arial"/>
                <w:sz w:val="24"/>
                <w:szCs w:val="24"/>
              </w:rPr>
              <w:lastRenderedPageBreak/>
              <w:t>abuse. Reluctance to engage with police was driven by fear of reprisals, financial insecurity, cultural shame, and concerns regarding immigration status.</w:t>
            </w:r>
          </w:p>
          <w:p w14:paraId="601F7F39" w14:textId="77777777" w:rsidR="00CA395F" w:rsidRPr="0039604B" w:rsidRDefault="00CA395F" w:rsidP="00CA395F">
            <w:pPr>
              <w:rPr>
                <w:rFonts w:ascii="Aptos" w:hAnsi="Aptos" w:cs="Arial"/>
                <w:sz w:val="24"/>
                <w:szCs w:val="24"/>
              </w:rPr>
            </w:pPr>
          </w:p>
          <w:p w14:paraId="33609FD3" w14:textId="77777777" w:rsidR="00CA395F" w:rsidRPr="0039604B" w:rsidRDefault="00CA395F" w:rsidP="00CA395F">
            <w:pPr>
              <w:rPr>
                <w:rFonts w:ascii="Aptos" w:hAnsi="Aptos" w:cs="Arial"/>
                <w:sz w:val="24"/>
                <w:szCs w:val="24"/>
              </w:rPr>
            </w:pPr>
            <w:r w:rsidRPr="0039604B">
              <w:rPr>
                <w:rFonts w:ascii="Aptos" w:hAnsi="Aptos" w:cs="Arial"/>
                <w:sz w:val="24"/>
                <w:szCs w:val="24"/>
              </w:rPr>
              <w:t>These dynamics necessitated an investigative approach that conceptualised exploitation not solely as criminal offending, but as a safeguarding and human rights issue. Without an understanding of this social context, there was a risk that victim behaviour could be misinterpreted as non-cooperation or complicity. The investigation therefore adopted a trauma-informed and victim-centred approach, recognising that engagement would be gradual, inconsistent, and shaped by long-standing coercive control.</w:t>
            </w:r>
          </w:p>
          <w:p w14:paraId="1CE02DA2" w14:textId="77777777" w:rsidR="00CA395F" w:rsidRPr="0039604B" w:rsidRDefault="00CA395F" w:rsidP="00CA395F">
            <w:pPr>
              <w:rPr>
                <w:rFonts w:ascii="Aptos" w:hAnsi="Aptos" w:cs="Arial"/>
                <w:sz w:val="24"/>
                <w:szCs w:val="24"/>
              </w:rPr>
            </w:pPr>
          </w:p>
          <w:p w14:paraId="5F435A5E" w14:textId="77777777" w:rsidR="00CA395F" w:rsidRPr="0039604B" w:rsidRDefault="00CA395F" w:rsidP="00CA395F">
            <w:pPr>
              <w:rPr>
                <w:rFonts w:ascii="Aptos" w:hAnsi="Aptos" w:cs="Arial"/>
                <w:sz w:val="24"/>
                <w:szCs w:val="24"/>
              </w:rPr>
            </w:pPr>
            <w:r w:rsidRPr="0039604B">
              <w:rPr>
                <w:rFonts w:ascii="Aptos" w:hAnsi="Aptos" w:cs="Arial"/>
                <w:sz w:val="24"/>
                <w:szCs w:val="24"/>
              </w:rPr>
              <w:t>The investigation also took place within a broader social and political climate of increasing awareness of modern slavery alongside heightened concern regarding organised immigration crime. This dual narrative risked conflating victimhood with criminality. Actively challenging stereotypes and ensuring that victims were treated as exploited individuals rather than immigration offenders was essential to ethical, lawful, and legitimate policing practice.</w:t>
            </w:r>
          </w:p>
          <w:p w14:paraId="35EEC308" w14:textId="77777777" w:rsidR="00CA395F" w:rsidRPr="0039604B" w:rsidRDefault="00CA395F" w:rsidP="00CA395F">
            <w:pPr>
              <w:rPr>
                <w:rFonts w:ascii="Aptos" w:hAnsi="Aptos" w:cs="Arial"/>
                <w:sz w:val="24"/>
                <w:szCs w:val="24"/>
              </w:rPr>
            </w:pPr>
          </w:p>
          <w:p w14:paraId="23BCDF8D" w14:textId="77777777" w:rsidR="00CA395F" w:rsidRPr="0039604B" w:rsidRDefault="00CA395F" w:rsidP="00CA395F">
            <w:pPr>
              <w:rPr>
                <w:rFonts w:ascii="Aptos" w:hAnsi="Aptos" w:cs="Arial"/>
                <w:b/>
                <w:bCs/>
                <w:sz w:val="24"/>
                <w:szCs w:val="24"/>
              </w:rPr>
            </w:pPr>
            <w:r w:rsidRPr="0039604B">
              <w:rPr>
                <w:rFonts w:ascii="Aptos" w:hAnsi="Aptos" w:cs="Arial"/>
                <w:b/>
                <w:bCs/>
                <w:sz w:val="24"/>
                <w:szCs w:val="24"/>
              </w:rPr>
              <w:t>Legislative and Procedural Context</w:t>
            </w:r>
          </w:p>
          <w:p w14:paraId="1FD8EF4E" w14:textId="77777777" w:rsidR="00CA395F" w:rsidRPr="0039604B" w:rsidRDefault="00CA395F" w:rsidP="00CA395F">
            <w:pPr>
              <w:rPr>
                <w:rFonts w:ascii="Aptos" w:hAnsi="Aptos" w:cs="Arial"/>
                <w:sz w:val="24"/>
                <w:szCs w:val="24"/>
              </w:rPr>
            </w:pPr>
          </w:p>
          <w:p w14:paraId="606136F6" w14:textId="77777777" w:rsidR="00CA395F" w:rsidRPr="0039604B" w:rsidRDefault="00CA395F" w:rsidP="00CA395F">
            <w:pPr>
              <w:rPr>
                <w:rFonts w:ascii="Aptos" w:hAnsi="Aptos" w:cs="Arial"/>
                <w:sz w:val="24"/>
                <w:szCs w:val="24"/>
              </w:rPr>
            </w:pPr>
            <w:r w:rsidRPr="0039604B">
              <w:rPr>
                <w:rFonts w:ascii="Aptos" w:hAnsi="Aptos" w:cs="Arial"/>
                <w:sz w:val="24"/>
                <w:szCs w:val="24"/>
              </w:rPr>
              <w:t>The investigation was conducted primarily under the Modern Slavery Act 2015, which provides the statutory framework for identifying, safeguarding, and supporting victims of exploitation, as well as prosecuting those who arrange or facilitate such offending. The Act recognises that exploitation may occur through subtle forms of coercion and psychological control, which was particularly relevant to this investigation.</w:t>
            </w:r>
          </w:p>
          <w:p w14:paraId="0C865AFB" w14:textId="77777777" w:rsidR="00CA395F" w:rsidRPr="0039604B" w:rsidRDefault="00CA395F" w:rsidP="00CA395F">
            <w:pPr>
              <w:rPr>
                <w:rFonts w:ascii="Aptos" w:hAnsi="Aptos" w:cs="Arial"/>
                <w:sz w:val="24"/>
                <w:szCs w:val="24"/>
              </w:rPr>
            </w:pPr>
          </w:p>
          <w:p w14:paraId="195CF9F8" w14:textId="77777777" w:rsidR="00CA395F" w:rsidRPr="0039604B" w:rsidRDefault="00CA395F" w:rsidP="00CA395F">
            <w:pPr>
              <w:rPr>
                <w:rFonts w:ascii="Aptos" w:hAnsi="Aptos" w:cs="Arial"/>
                <w:sz w:val="24"/>
                <w:szCs w:val="24"/>
              </w:rPr>
            </w:pPr>
            <w:r w:rsidRPr="0039604B">
              <w:rPr>
                <w:rFonts w:ascii="Aptos" w:hAnsi="Aptos" w:cs="Arial"/>
                <w:sz w:val="24"/>
                <w:szCs w:val="24"/>
              </w:rPr>
              <w:t>Section 33A of the Sexual Offences Act 2003 was also utilised to reflect the repeated and patterned nature of the offending across multiple locations. This enabled the investigation to present the full scope of criminality rather than fragmenting behaviour into isolated incidents.</w:t>
            </w:r>
          </w:p>
          <w:p w14:paraId="1EEE6E12" w14:textId="77777777" w:rsidR="00CA395F" w:rsidRPr="0039604B" w:rsidRDefault="00CA395F" w:rsidP="00CA395F">
            <w:pPr>
              <w:rPr>
                <w:rFonts w:ascii="Aptos" w:hAnsi="Aptos" w:cs="Arial"/>
                <w:sz w:val="24"/>
                <w:szCs w:val="24"/>
              </w:rPr>
            </w:pPr>
          </w:p>
          <w:p w14:paraId="3C016D40" w14:textId="77777777" w:rsidR="00CA395F" w:rsidRPr="0039604B" w:rsidRDefault="00CA395F" w:rsidP="00CA395F">
            <w:pPr>
              <w:rPr>
                <w:rFonts w:ascii="Aptos" w:hAnsi="Aptos" w:cs="Arial"/>
                <w:sz w:val="24"/>
                <w:szCs w:val="24"/>
              </w:rPr>
            </w:pPr>
            <w:r w:rsidRPr="0039604B">
              <w:rPr>
                <w:rFonts w:ascii="Aptos" w:hAnsi="Aptos" w:cs="Arial"/>
                <w:sz w:val="24"/>
                <w:szCs w:val="24"/>
              </w:rPr>
              <w:t>Safeguarding obligations were enacted through the National Referral Mechanism (NRM), ensuring that victims were formally recognised and provided access to specialist support services. Evidential activity was governed by the Police and Criminal Evidence Act 1984 (PACE), particularly in relation to interviews, search authorities, and evidential continuity.</w:t>
            </w:r>
          </w:p>
          <w:p w14:paraId="1DC8F962" w14:textId="77777777" w:rsidR="00CA395F" w:rsidRPr="0039604B" w:rsidRDefault="00CA395F" w:rsidP="00CA395F">
            <w:pPr>
              <w:rPr>
                <w:rFonts w:ascii="Aptos" w:hAnsi="Aptos" w:cs="Arial"/>
                <w:sz w:val="24"/>
                <w:szCs w:val="24"/>
              </w:rPr>
            </w:pPr>
          </w:p>
          <w:p w14:paraId="4213E2DE" w14:textId="77777777" w:rsidR="00CA395F" w:rsidRPr="0039604B" w:rsidRDefault="00CA395F" w:rsidP="00CA395F">
            <w:pPr>
              <w:rPr>
                <w:rFonts w:ascii="Aptos" w:hAnsi="Aptos" w:cs="Arial"/>
                <w:sz w:val="24"/>
                <w:szCs w:val="24"/>
              </w:rPr>
            </w:pPr>
            <w:r w:rsidRPr="0039604B">
              <w:rPr>
                <w:rFonts w:ascii="Aptos" w:hAnsi="Aptos" w:cs="Arial"/>
                <w:sz w:val="24"/>
                <w:szCs w:val="24"/>
              </w:rPr>
              <w:t>A significant legislative challenge arose from the cross-border nature of the investigation. Offending activity spanned England and Scotland, requiring compliance with two distinct legal systems. Differences in warrant processes, evidential thresholds, and judicial oversight created a risk that evidence lawfully obtained in one jurisdiction could be challenged in another. Managing this complexity was critical to maintaining evidential integrity.</w:t>
            </w:r>
          </w:p>
          <w:p w14:paraId="0FF33651" w14:textId="77777777" w:rsidR="00CA395F" w:rsidRPr="0039604B" w:rsidRDefault="00CA395F" w:rsidP="00CA395F">
            <w:pPr>
              <w:rPr>
                <w:rFonts w:ascii="Aptos" w:hAnsi="Aptos" w:cs="Arial"/>
                <w:sz w:val="24"/>
                <w:szCs w:val="24"/>
              </w:rPr>
            </w:pPr>
          </w:p>
          <w:p w14:paraId="007788D6" w14:textId="77777777" w:rsidR="00CA395F" w:rsidRPr="0039604B" w:rsidRDefault="00CA395F" w:rsidP="00CA395F">
            <w:pPr>
              <w:rPr>
                <w:rFonts w:ascii="Aptos" w:hAnsi="Aptos" w:cs="Arial"/>
                <w:b/>
                <w:bCs/>
                <w:sz w:val="24"/>
                <w:szCs w:val="24"/>
              </w:rPr>
            </w:pPr>
            <w:r w:rsidRPr="0039604B">
              <w:rPr>
                <w:rFonts w:ascii="Aptos" w:hAnsi="Aptos" w:cs="Arial"/>
                <w:b/>
                <w:bCs/>
                <w:sz w:val="24"/>
                <w:szCs w:val="24"/>
              </w:rPr>
              <w:t>Cultural, Ethnicity, and Language Considerations</w:t>
            </w:r>
          </w:p>
          <w:p w14:paraId="04C93131" w14:textId="77777777" w:rsidR="00CA395F" w:rsidRPr="0039604B" w:rsidRDefault="00CA395F" w:rsidP="00CA395F">
            <w:pPr>
              <w:rPr>
                <w:rFonts w:ascii="Aptos" w:hAnsi="Aptos" w:cs="Arial"/>
                <w:sz w:val="24"/>
                <w:szCs w:val="24"/>
              </w:rPr>
            </w:pPr>
          </w:p>
          <w:p w14:paraId="3570E82A" w14:textId="77777777" w:rsidR="00CA395F" w:rsidRPr="0039604B" w:rsidRDefault="00CA395F" w:rsidP="00CA395F">
            <w:pPr>
              <w:rPr>
                <w:rFonts w:ascii="Aptos" w:hAnsi="Aptos" w:cs="Arial"/>
                <w:sz w:val="24"/>
                <w:szCs w:val="24"/>
              </w:rPr>
            </w:pPr>
            <w:r w:rsidRPr="0039604B">
              <w:rPr>
                <w:rFonts w:ascii="Aptos" w:hAnsi="Aptos" w:cs="Arial"/>
                <w:sz w:val="24"/>
                <w:szCs w:val="24"/>
              </w:rPr>
              <w:t>Cultural and linguistic factors were central to both the offending and the investigative response. Victims primarily spoke Mandarin or Cantonese, and digital forensic examination revealed extensive use of Chinese-language messaging platforms. Accredited interpreters and linguistically competent digital analysts were therefore essential to avoid misinterpretation of victim accounts and communications data.</w:t>
            </w:r>
          </w:p>
          <w:p w14:paraId="47875D8B" w14:textId="77777777" w:rsidR="00CA395F" w:rsidRPr="0039604B" w:rsidRDefault="00CA395F" w:rsidP="00CA395F">
            <w:pPr>
              <w:rPr>
                <w:rFonts w:ascii="Aptos" w:hAnsi="Aptos" w:cs="Arial"/>
                <w:sz w:val="24"/>
                <w:szCs w:val="24"/>
              </w:rPr>
            </w:pPr>
          </w:p>
          <w:p w14:paraId="2F1C869F" w14:textId="77777777" w:rsidR="00CA395F" w:rsidRPr="0039604B" w:rsidRDefault="00CA395F" w:rsidP="00CA395F">
            <w:pPr>
              <w:rPr>
                <w:rFonts w:ascii="Aptos" w:hAnsi="Aptos" w:cs="Arial"/>
                <w:sz w:val="24"/>
                <w:szCs w:val="24"/>
              </w:rPr>
            </w:pPr>
            <w:r w:rsidRPr="0039604B">
              <w:rPr>
                <w:rFonts w:ascii="Aptos" w:hAnsi="Aptos" w:cs="Arial"/>
                <w:sz w:val="24"/>
                <w:szCs w:val="24"/>
              </w:rPr>
              <w:t xml:space="preserve">Cultural perceptions of debt, obligation, and shame significantly influenced victim behaviour. Some victims expressed beliefs that repaying debts through sexual services was expected or inevitable. Without appropriate cultural awareness, such beliefs could be misconstrued as consent. Recognising and mitigating this risk was fundamental to ensuring investigative decisions were ethical, lawful, and </w:t>
            </w:r>
            <w:proofErr w:type="gramStart"/>
            <w:r w:rsidRPr="0039604B">
              <w:rPr>
                <w:rFonts w:ascii="Aptos" w:hAnsi="Aptos" w:cs="Arial"/>
                <w:sz w:val="24"/>
                <w:szCs w:val="24"/>
              </w:rPr>
              <w:t>victim-focused</w:t>
            </w:r>
            <w:proofErr w:type="gramEnd"/>
            <w:r w:rsidRPr="0039604B">
              <w:rPr>
                <w:rFonts w:ascii="Aptos" w:hAnsi="Aptos" w:cs="Arial"/>
                <w:sz w:val="24"/>
                <w:szCs w:val="24"/>
              </w:rPr>
              <w:t>.</w:t>
            </w:r>
          </w:p>
          <w:p w14:paraId="74655587" w14:textId="77777777" w:rsidR="00CA395F" w:rsidRPr="0039604B" w:rsidRDefault="00CA395F" w:rsidP="00CA395F">
            <w:pPr>
              <w:rPr>
                <w:rFonts w:ascii="Aptos" w:hAnsi="Aptos" w:cs="Arial"/>
                <w:sz w:val="24"/>
                <w:szCs w:val="24"/>
              </w:rPr>
            </w:pPr>
          </w:p>
          <w:p w14:paraId="19FB404C" w14:textId="77777777" w:rsidR="00CA395F" w:rsidRPr="0039604B" w:rsidRDefault="00CA395F" w:rsidP="00CA395F">
            <w:pPr>
              <w:rPr>
                <w:rFonts w:ascii="Aptos" w:hAnsi="Aptos" w:cs="Arial"/>
                <w:b/>
                <w:bCs/>
                <w:sz w:val="24"/>
                <w:szCs w:val="24"/>
              </w:rPr>
            </w:pPr>
            <w:r w:rsidRPr="0039604B">
              <w:rPr>
                <w:rFonts w:ascii="Aptos" w:hAnsi="Aptos" w:cs="Arial"/>
                <w:b/>
                <w:bCs/>
                <w:sz w:val="24"/>
                <w:szCs w:val="24"/>
              </w:rPr>
              <w:t>Task 2b: Critically evaluate the challenges associated with the investigation and the actions you took to effectively deal with such challenges.</w:t>
            </w:r>
          </w:p>
          <w:p w14:paraId="2F4344AD" w14:textId="77777777" w:rsidR="00CA395F" w:rsidRPr="0039604B" w:rsidRDefault="00CA395F" w:rsidP="00CA395F">
            <w:pPr>
              <w:rPr>
                <w:rFonts w:ascii="Aptos" w:hAnsi="Aptos" w:cs="Arial"/>
                <w:b/>
                <w:bCs/>
                <w:sz w:val="24"/>
                <w:szCs w:val="24"/>
              </w:rPr>
            </w:pPr>
          </w:p>
          <w:p w14:paraId="7494324B" w14:textId="21461E0B" w:rsidR="00CA395F" w:rsidRPr="0039604B" w:rsidRDefault="00CA395F" w:rsidP="00CA395F">
            <w:pPr>
              <w:rPr>
                <w:rFonts w:ascii="Aptos" w:hAnsi="Aptos" w:cs="Arial"/>
                <w:b/>
                <w:bCs/>
                <w:sz w:val="24"/>
                <w:szCs w:val="24"/>
              </w:rPr>
            </w:pPr>
            <w:r w:rsidRPr="0039604B">
              <w:rPr>
                <w:rFonts w:ascii="Aptos" w:hAnsi="Aptos" w:cs="Arial"/>
                <w:b/>
                <w:bCs/>
                <w:sz w:val="24"/>
                <w:szCs w:val="24"/>
              </w:rPr>
              <w:t>Victim Identification Across Multiple Jurisdictions</w:t>
            </w:r>
          </w:p>
          <w:p w14:paraId="745A693E" w14:textId="77777777" w:rsidR="00CA395F" w:rsidRPr="0039604B" w:rsidRDefault="00CA395F" w:rsidP="00CA395F">
            <w:pPr>
              <w:rPr>
                <w:rFonts w:ascii="Aptos" w:hAnsi="Aptos" w:cs="Arial"/>
                <w:sz w:val="24"/>
                <w:szCs w:val="24"/>
              </w:rPr>
            </w:pPr>
          </w:p>
          <w:p w14:paraId="4B84756B" w14:textId="77777777" w:rsidR="00CA395F" w:rsidRPr="0039604B" w:rsidRDefault="00CA395F" w:rsidP="00CA395F">
            <w:pPr>
              <w:rPr>
                <w:rFonts w:ascii="Aptos" w:hAnsi="Aptos" w:cs="Arial"/>
                <w:sz w:val="24"/>
                <w:szCs w:val="24"/>
              </w:rPr>
            </w:pPr>
            <w:r w:rsidRPr="0039604B">
              <w:rPr>
                <w:rFonts w:ascii="Aptos" w:hAnsi="Aptos" w:cs="Arial"/>
                <w:sz w:val="24"/>
                <w:szCs w:val="24"/>
              </w:rPr>
              <w:t>A primary challenge was identifying and safeguarding victims dispersed across multiple force areas. Victims were frequently relocated by offenders, limiting opportunities for sustained engagement and increasing the risk of continued exploitation. Intelligence relating to victims was fragmented across forces, creating gaps in situational awareness and safeguarding coverage.</w:t>
            </w:r>
          </w:p>
          <w:p w14:paraId="33997A7D" w14:textId="77777777" w:rsidR="00CA395F" w:rsidRPr="0039604B" w:rsidRDefault="00CA395F" w:rsidP="00CA395F">
            <w:pPr>
              <w:rPr>
                <w:rFonts w:ascii="Aptos" w:hAnsi="Aptos" w:cs="Arial"/>
                <w:sz w:val="24"/>
                <w:szCs w:val="24"/>
              </w:rPr>
            </w:pPr>
          </w:p>
          <w:p w14:paraId="21FCE77A" w14:textId="77777777" w:rsidR="00CA395F" w:rsidRPr="0039604B" w:rsidRDefault="00CA395F" w:rsidP="00CA395F">
            <w:pPr>
              <w:rPr>
                <w:rFonts w:ascii="Aptos" w:hAnsi="Aptos" w:cs="Arial"/>
                <w:sz w:val="24"/>
                <w:szCs w:val="24"/>
              </w:rPr>
            </w:pPr>
            <w:r w:rsidRPr="0039604B">
              <w:rPr>
                <w:rFonts w:ascii="Aptos" w:hAnsi="Aptos" w:cs="Arial"/>
                <w:sz w:val="24"/>
                <w:szCs w:val="24"/>
              </w:rPr>
              <w:t>To address this, I prioritised structured intelligence coordination. Information from multiple jurisdictions was collated, mapped, and analysed to identify patterns of movement, common facilitators, and recurring addresses. This proactive approach shifted victim identification from reactive discovery to preventative safeguarding intervention.</w:t>
            </w:r>
          </w:p>
          <w:p w14:paraId="7E48F388" w14:textId="77777777" w:rsidR="00CA395F" w:rsidRPr="0039604B" w:rsidRDefault="00CA395F" w:rsidP="00CA395F">
            <w:pPr>
              <w:rPr>
                <w:rFonts w:ascii="Aptos" w:hAnsi="Aptos" w:cs="Arial"/>
                <w:sz w:val="24"/>
                <w:szCs w:val="24"/>
              </w:rPr>
            </w:pPr>
          </w:p>
          <w:p w14:paraId="4FB39BCC" w14:textId="397B599C" w:rsidR="00CA395F" w:rsidRPr="0039604B" w:rsidRDefault="00CA395F" w:rsidP="00CA395F">
            <w:pPr>
              <w:rPr>
                <w:rFonts w:ascii="Aptos" w:hAnsi="Aptos" w:cs="Arial"/>
                <w:sz w:val="24"/>
                <w:szCs w:val="24"/>
              </w:rPr>
            </w:pPr>
            <w:r w:rsidRPr="0039604B">
              <w:rPr>
                <w:rFonts w:ascii="Aptos" w:hAnsi="Aptos" w:cs="Arial"/>
                <w:sz w:val="24"/>
                <w:szCs w:val="24"/>
              </w:rPr>
              <w:t>This strategy reflects evidence-based policing principles, whereby operational decisions are informed by emerging patterns rather than isolated incidents</w:t>
            </w:r>
            <w:r w:rsidR="00745E49">
              <w:rPr>
                <w:rFonts w:ascii="Aptos" w:hAnsi="Aptos" w:cs="Arial"/>
                <w:sz w:val="24"/>
                <w:szCs w:val="24"/>
              </w:rPr>
              <w:t>,</w:t>
            </w:r>
            <w:r w:rsidRPr="0039604B">
              <w:rPr>
                <w:rFonts w:ascii="Aptos" w:hAnsi="Aptos" w:cs="Arial"/>
                <w:sz w:val="24"/>
                <w:szCs w:val="24"/>
              </w:rPr>
              <w:t xml:space="preserve"> Sherman, </w:t>
            </w:r>
            <w:r w:rsidR="00745E49">
              <w:rPr>
                <w:rFonts w:ascii="Aptos" w:hAnsi="Aptos" w:cs="Arial"/>
                <w:sz w:val="24"/>
                <w:szCs w:val="24"/>
              </w:rPr>
              <w:t>(</w:t>
            </w:r>
            <w:r w:rsidRPr="0039604B">
              <w:rPr>
                <w:rFonts w:ascii="Aptos" w:hAnsi="Aptos" w:cs="Arial"/>
                <w:sz w:val="24"/>
                <w:szCs w:val="24"/>
              </w:rPr>
              <w:t>2013). It reduced duplication of effort, improved consistency of victim engagement, and strengthened inter-force collaboration.</w:t>
            </w:r>
          </w:p>
          <w:p w14:paraId="386CB076" w14:textId="77777777" w:rsidR="00CA395F" w:rsidRPr="0039604B" w:rsidRDefault="00CA395F" w:rsidP="00CA395F">
            <w:pPr>
              <w:rPr>
                <w:rFonts w:ascii="Aptos" w:hAnsi="Aptos" w:cs="Arial"/>
                <w:sz w:val="24"/>
                <w:szCs w:val="24"/>
              </w:rPr>
            </w:pPr>
          </w:p>
          <w:p w14:paraId="17CBBA94" w14:textId="77777777" w:rsidR="00CA395F" w:rsidRPr="0039604B" w:rsidRDefault="00CA395F" w:rsidP="00CA395F">
            <w:pPr>
              <w:rPr>
                <w:rFonts w:ascii="Aptos" w:hAnsi="Aptos" w:cs="Arial"/>
                <w:sz w:val="24"/>
                <w:szCs w:val="24"/>
              </w:rPr>
            </w:pPr>
          </w:p>
          <w:p w14:paraId="3CBA600E" w14:textId="77777777" w:rsidR="00CA395F" w:rsidRPr="0039604B" w:rsidRDefault="00CA395F" w:rsidP="00CA395F">
            <w:pPr>
              <w:rPr>
                <w:rFonts w:ascii="Aptos" w:hAnsi="Aptos" w:cs="Arial"/>
                <w:b/>
                <w:bCs/>
                <w:sz w:val="24"/>
                <w:szCs w:val="24"/>
              </w:rPr>
            </w:pPr>
            <w:r w:rsidRPr="0039604B">
              <w:rPr>
                <w:rFonts w:ascii="Aptos" w:hAnsi="Aptos" w:cs="Arial"/>
                <w:b/>
                <w:bCs/>
                <w:sz w:val="24"/>
                <w:szCs w:val="24"/>
              </w:rPr>
              <w:t>OSINT, Communications Data, and Digital Complexity</w:t>
            </w:r>
          </w:p>
          <w:p w14:paraId="5503D3F9" w14:textId="77777777" w:rsidR="00CA395F" w:rsidRPr="0039604B" w:rsidRDefault="00CA395F" w:rsidP="00CA395F">
            <w:pPr>
              <w:rPr>
                <w:rFonts w:ascii="Aptos" w:hAnsi="Aptos" w:cs="Arial"/>
                <w:sz w:val="24"/>
                <w:szCs w:val="24"/>
              </w:rPr>
            </w:pPr>
          </w:p>
          <w:p w14:paraId="0EE7DDF6" w14:textId="77777777" w:rsidR="00CA395F" w:rsidRPr="0039604B" w:rsidRDefault="00CA395F" w:rsidP="00CA395F">
            <w:pPr>
              <w:rPr>
                <w:rFonts w:ascii="Aptos" w:hAnsi="Aptos" w:cs="Arial"/>
                <w:sz w:val="24"/>
                <w:szCs w:val="24"/>
              </w:rPr>
            </w:pPr>
            <w:r w:rsidRPr="0039604B">
              <w:rPr>
                <w:rFonts w:ascii="Aptos" w:hAnsi="Aptos" w:cs="Arial"/>
                <w:sz w:val="24"/>
                <w:szCs w:val="24"/>
              </w:rPr>
              <w:t>A significant additional challenge related to the scale of online offending and associated digital evidence. Open-source intelligence (OSINT) research identified extensive use of websites and forums advertising sexual services. These platforms facilitated booking arrangements, victim movement, and offender coordination, generating substantial volumes of digital material.</w:t>
            </w:r>
          </w:p>
          <w:p w14:paraId="703AEC6C" w14:textId="77777777" w:rsidR="00CA395F" w:rsidRPr="0039604B" w:rsidRDefault="00CA395F" w:rsidP="00CA395F">
            <w:pPr>
              <w:rPr>
                <w:rFonts w:ascii="Aptos" w:hAnsi="Aptos" w:cs="Arial"/>
                <w:sz w:val="24"/>
                <w:szCs w:val="24"/>
              </w:rPr>
            </w:pPr>
          </w:p>
          <w:p w14:paraId="1F8CE512" w14:textId="77777777" w:rsidR="00CA395F" w:rsidRPr="0039604B" w:rsidRDefault="00CA395F" w:rsidP="00CA395F">
            <w:pPr>
              <w:rPr>
                <w:rFonts w:ascii="Aptos" w:hAnsi="Aptos" w:cs="Arial"/>
                <w:sz w:val="24"/>
                <w:szCs w:val="24"/>
              </w:rPr>
            </w:pPr>
            <w:r w:rsidRPr="0039604B">
              <w:rPr>
                <w:rFonts w:ascii="Aptos" w:hAnsi="Aptos" w:cs="Arial"/>
                <w:sz w:val="24"/>
                <w:szCs w:val="24"/>
              </w:rPr>
              <w:lastRenderedPageBreak/>
              <w:t xml:space="preserve">This resulted in </w:t>
            </w:r>
            <w:proofErr w:type="gramStart"/>
            <w:r w:rsidRPr="0039604B">
              <w:rPr>
                <w:rFonts w:ascii="Aptos" w:hAnsi="Aptos" w:cs="Arial"/>
                <w:sz w:val="24"/>
                <w:szCs w:val="24"/>
              </w:rPr>
              <w:t>a large number of</w:t>
            </w:r>
            <w:proofErr w:type="gramEnd"/>
            <w:r w:rsidRPr="0039604B">
              <w:rPr>
                <w:rFonts w:ascii="Aptos" w:hAnsi="Aptos" w:cs="Arial"/>
                <w:sz w:val="24"/>
                <w:szCs w:val="24"/>
              </w:rPr>
              <w:t xml:space="preserve"> communications data applications, digital downloads, and seized devices. Without effective management, there was a risk of investigative overload, delays to safeguarding activity, and evidential drift. There was also a clear ethical and legal risk of conflating suspects, facilitators, victims, and uninvolved third parties if analysis lacked precision.</w:t>
            </w:r>
          </w:p>
          <w:p w14:paraId="7B3CA480" w14:textId="77777777" w:rsidR="00CA395F" w:rsidRPr="0039604B" w:rsidRDefault="00CA395F" w:rsidP="00CA395F">
            <w:pPr>
              <w:rPr>
                <w:rFonts w:ascii="Aptos" w:hAnsi="Aptos" w:cs="Arial"/>
                <w:sz w:val="24"/>
                <w:szCs w:val="24"/>
              </w:rPr>
            </w:pPr>
          </w:p>
          <w:p w14:paraId="607FAED8" w14:textId="77777777" w:rsidR="00CA395F" w:rsidRPr="0039604B" w:rsidRDefault="00CA395F" w:rsidP="00CA395F">
            <w:pPr>
              <w:rPr>
                <w:rFonts w:ascii="Aptos" w:hAnsi="Aptos" w:cs="Arial"/>
                <w:sz w:val="24"/>
                <w:szCs w:val="24"/>
              </w:rPr>
            </w:pPr>
            <w:r w:rsidRPr="0039604B">
              <w:rPr>
                <w:rFonts w:ascii="Aptos" w:hAnsi="Aptos" w:cs="Arial"/>
                <w:sz w:val="24"/>
                <w:szCs w:val="24"/>
              </w:rPr>
              <w:t>In response, I authorised the appointment of a dedicated researcher with responsibility for assessing OSINT material, websites, forums, and communications data. This role was critical in filtering vast datasets, identifying meaningful links between suspects, and distinguishing criminal activity from lawful or incidental contact. The researcher produced structured analytical products that informed decision-making, reduced unnecessary intrusion, and ensured proportionality.</w:t>
            </w:r>
          </w:p>
          <w:p w14:paraId="1D63877C" w14:textId="77777777" w:rsidR="00CA395F" w:rsidRPr="0039604B" w:rsidRDefault="00CA395F" w:rsidP="00CA395F">
            <w:pPr>
              <w:rPr>
                <w:rFonts w:ascii="Aptos" w:hAnsi="Aptos" w:cs="Arial"/>
                <w:sz w:val="24"/>
                <w:szCs w:val="24"/>
              </w:rPr>
            </w:pPr>
          </w:p>
          <w:p w14:paraId="0E5172EC" w14:textId="77777777" w:rsidR="00CA395F" w:rsidRPr="0039604B" w:rsidRDefault="00CA395F" w:rsidP="00CA395F">
            <w:pPr>
              <w:rPr>
                <w:rFonts w:ascii="Aptos" w:hAnsi="Aptos" w:cs="Arial"/>
                <w:sz w:val="24"/>
                <w:szCs w:val="24"/>
              </w:rPr>
            </w:pPr>
            <w:r w:rsidRPr="0039604B">
              <w:rPr>
                <w:rFonts w:ascii="Aptos" w:hAnsi="Aptos" w:cs="Arial"/>
                <w:sz w:val="24"/>
                <w:szCs w:val="24"/>
              </w:rPr>
              <w:t>This approach enhanced investigative efficiency and protected the rights of innocent parties, demonstrating ethical governance in complex digital investigations (College of Policing, 2013).</w:t>
            </w:r>
          </w:p>
          <w:p w14:paraId="65B27729" w14:textId="77777777" w:rsidR="00CA395F" w:rsidRPr="0039604B" w:rsidRDefault="00CA395F" w:rsidP="00CA395F">
            <w:pPr>
              <w:rPr>
                <w:rFonts w:ascii="Aptos" w:hAnsi="Aptos" w:cs="Arial"/>
                <w:color w:val="808080"/>
                <w:sz w:val="24"/>
                <w:szCs w:val="24"/>
              </w:rPr>
            </w:pPr>
          </w:p>
          <w:p w14:paraId="0A925F47" w14:textId="77777777" w:rsidR="00CA395F" w:rsidRPr="0039604B" w:rsidRDefault="00CA395F" w:rsidP="00CA395F">
            <w:pPr>
              <w:rPr>
                <w:rFonts w:ascii="Aptos" w:hAnsi="Aptos" w:cs="Arial"/>
                <w:b/>
                <w:bCs/>
                <w:sz w:val="24"/>
                <w:szCs w:val="24"/>
              </w:rPr>
            </w:pPr>
            <w:r w:rsidRPr="0039604B">
              <w:rPr>
                <w:rFonts w:ascii="Aptos" w:hAnsi="Aptos" w:cs="Arial"/>
                <w:b/>
                <w:bCs/>
                <w:sz w:val="24"/>
                <w:szCs w:val="24"/>
              </w:rPr>
              <w:t>Disclosure Management, Digital Volume, and CPS Engagement</w:t>
            </w:r>
          </w:p>
          <w:p w14:paraId="2C5DD22E" w14:textId="77777777" w:rsidR="00CA395F" w:rsidRPr="0039604B" w:rsidRDefault="00CA395F" w:rsidP="00CA395F">
            <w:pPr>
              <w:rPr>
                <w:rFonts w:ascii="Aptos" w:hAnsi="Aptos" w:cs="Arial"/>
                <w:sz w:val="24"/>
                <w:szCs w:val="24"/>
              </w:rPr>
            </w:pPr>
          </w:p>
          <w:p w14:paraId="2654E8B5" w14:textId="77777777" w:rsidR="00CA395F" w:rsidRPr="0039604B" w:rsidRDefault="00CA395F" w:rsidP="00CA395F">
            <w:pPr>
              <w:rPr>
                <w:rFonts w:ascii="Aptos" w:hAnsi="Aptos" w:cs="Arial"/>
                <w:sz w:val="24"/>
                <w:szCs w:val="24"/>
              </w:rPr>
            </w:pPr>
            <w:r w:rsidRPr="0039604B">
              <w:rPr>
                <w:rFonts w:ascii="Aptos" w:hAnsi="Aptos" w:cs="Arial"/>
                <w:sz w:val="24"/>
                <w:szCs w:val="24"/>
              </w:rPr>
              <w:t>The volume and complexity of digital material generated during this investigation presented a significant disclosure risk. Numerous digital devices were seized across multiple locations, producing extensive communications data, multimedia files, and third-party material. Without a structured approach, there was a clear danger of disproportionate review, evidential drift, and non-compliance with disclosure obligations.</w:t>
            </w:r>
          </w:p>
          <w:p w14:paraId="227031DC" w14:textId="77777777" w:rsidR="00CA395F" w:rsidRPr="0039604B" w:rsidRDefault="00CA395F" w:rsidP="00CA395F">
            <w:pPr>
              <w:rPr>
                <w:rFonts w:ascii="Aptos" w:hAnsi="Aptos" w:cs="Arial"/>
                <w:sz w:val="24"/>
                <w:szCs w:val="24"/>
              </w:rPr>
            </w:pPr>
          </w:p>
          <w:p w14:paraId="4535910D" w14:textId="7844D400" w:rsidR="00CA395F" w:rsidRPr="0039604B" w:rsidRDefault="00CA395F" w:rsidP="00CA395F">
            <w:pPr>
              <w:rPr>
                <w:rFonts w:ascii="Aptos" w:hAnsi="Aptos" w:cs="Arial"/>
                <w:sz w:val="24"/>
                <w:szCs w:val="24"/>
              </w:rPr>
            </w:pPr>
            <w:r w:rsidRPr="0039604B">
              <w:rPr>
                <w:rFonts w:ascii="Aptos" w:hAnsi="Aptos" w:cs="Arial"/>
                <w:sz w:val="24"/>
                <w:szCs w:val="24"/>
              </w:rPr>
              <w:t xml:space="preserve">To mitigate this risk, I implemented an Investigation Management Document (IMD) alongside a Disclosure Management Document (DMD) at an early stage. The </w:t>
            </w:r>
            <w:r w:rsidR="006C362C">
              <w:rPr>
                <w:rFonts w:ascii="Aptos" w:hAnsi="Aptos" w:cs="Arial"/>
                <w:sz w:val="24"/>
                <w:szCs w:val="24"/>
              </w:rPr>
              <w:t>Crown Prosecution Service (</w:t>
            </w:r>
            <w:r w:rsidRPr="0039604B">
              <w:rPr>
                <w:rFonts w:ascii="Aptos" w:hAnsi="Aptos" w:cs="Arial"/>
                <w:sz w:val="24"/>
                <w:szCs w:val="24"/>
              </w:rPr>
              <w:t>CPS</w:t>
            </w:r>
            <w:r w:rsidR="006C362C">
              <w:rPr>
                <w:rFonts w:ascii="Aptos" w:hAnsi="Aptos" w:cs="Arial"/>
                <w:sz w:val="24"/>
                <w:szCs w:val="24"/>
              </w:rPr>
              <w:t>)</w:t>
            </w:r>
            <w:r w:rsidRPr="0039604B">
              <w:rPr>
                <w:rFonts w:ascii="Aptos" w:hAnsi="Aptos" w:cs="Arial"/>
                <w:sz w:val="24"/>
                <w:szCs w:val="24"/>
              </w:rPr>
              <w:t xml:space="preserve"> Disclosure Manual emphasises that where large volumes of digital material exist, an IMD should be used to define investigative strategy, reasonable lines of enquiry, and digital priorities, which then inform the disclosure approach documented within the DMD (Crown Prosecution Service, 2022a). The DMD provided a transparent and auditable rationale for search parameters, review methodology, and material retention, ensuring that disclosure decisions were both proportionate and legally defensible.</w:t>
            </w:r>
          </w:p>
          <w:p w14:paraId="330A682E" w14:textId="77777777" w:rsidR="00CA395F" w:rsidRPr="0039604B" w:rsidRDefault="00CA395F" w:rsidP="00CA395F">
            <w:pPr>
              <w:rPr>
                <w:rFonts w:ascii="Aptos" w:hAnsi="Aptos" w:cs="Arial"/>
                <w:sz w:val="24"/>
                <w:szCs w:val="24"/>
              </w:rPr>
            </w:pPr>
          </w:p>
          <w:p w14:paraId="314B78FD" w14:textId="77777777" w:rsidR="00CA395F" w:rsidRPr="0039604B" w:rsidRDefault="00CA395F" w:rsidP="00CA395F">
            <w:pPr>
              <w:rPr>
                <w:rFonts w:ascii="Aptos" w:hAnsi="Aptos" w:cs="Arial"/>
                <w:sz w:val="24"/>
                <w:szCs w:val="24"/>
              </w:rPr>
            </w:pPr>
            <w:r w:rsidRPr="0039604B">
              <w:rPr>
                <w:rFonts w:ascii="Aptos" w:hAnsi="Aptos" w:cs="Arial"/>
                <w:sz w:val="24"/>
                <w:szCs w:val="24"/>
              </w:rPr>
              <w:t>This structured approach was particularly important in distinguishing suspects from victims and uninvolved third parties within large datasets. Reflectively, it reinforced the ethical dimension of disclosure management, ensuring that investigative necessity did not result in unnecessary intrusion into the private lives of vulnerable individuals. The CPS identifies disclosure as a core safeguard of fairness rather than a procedural formality, a principle that shaped my decision-making throughout the investigation (Crown Prosecution Service, 2022b).</w:t>
            </w:r>
          </w:p>
          <w:p w14:paraId="376D584E" w14:textId="77777777" w:rsidR="00CA395F" w:rsidRPr="0039604B" w:rsidRDefault="00CA395F" w:rsidP="00CA395F">
            <w:pPr>
              <w:rPr>
                <w:rFonts w:ascii="Aptos" w:hAnsi="Aptos" w:cs="Arial"/>
                <w:sz w:val="24"/>
                <w:szCs w:val="24"/>
              </w:rPr>
            </w:pPr>
          </w:p>
          <w:p w14:paraId="78E16C5E" w14:textId="1153E1AB" w:rsidR="00CA395F" w:rsidRPr="0039604B" w:rsidRDefault="00CA395F" w:rsidP="00CA395F">
            <w:pPr>
              <w:rPr>
                <w:rFonts w:ascii="Aptos" w:hAnsi="Aptos" w:cs="Arial"/>
                <w:sz w:val="24"/>
                <w:szCs w:val="24"/>
              </w:rPr>
            </w:pPr>
            <w:r w:rsidRPr="0039604B">
              <w:rPr>
                <w:rFonts w:ascii="Aptos" w:hAnsi="Aptos" w:cs="Arial"/>
                <w:sz w:val="24"/>
                <w:szCs w:val="24"/>
              </w:rPr>
              <w:t>Given the sexual exploitation context, the CPS allocated a dedicated</w:t>
            </w:r>
            <w:r w:rsidR="006C362C">
              <w:rPr>
                <w:rFonts w:ascii="Aptos" w:hAnsi="Aptos" w:cs="Arial"/>
                <w:sz w:val="24"/>
                <w:szCs w:val="24"/>
              </w:rPr>
              <w:t>,</w:t>
            </w:r>
            <w:r w:rsidRPr="0039604B">
              <w:rPr>
                <w:rFonts w:ascii="Aptos" w:hAnsi="Aptos" w:cs="Arial"/>
                <w:sz w:val="24"/>
                <w:szCs w:val="24"/>
              </w:rPr>
              <w:t xml:space="preserve"> </w:t>
            </w:r>
            <w:r w:rsidR="006C362C">
              <w:rPr>
                <w:rFonts w:ascii="Aptos" w:hAnsi="Aptos" w:cs="Arial"/>
                <w:sz w:val="24"/>
                <w:szCs w:val="24"/>
              </w:rPr>
              <w:t>Rape and Serious Sexual Offences (</w:t>
            </w:r>
            <w:r w:rsidRPr="0039604B">
              <w:rPr>
                <w:rFonts w:ascii="Aptos" w:hAnsi="Aptos" w:cs="Arial"/>
                <w:sz w:val="24"/>
                <w:szCs w:val="24"/>
              </w:rPr>
              <w:t>RASSO</w:t>
            </w:r>
            <w:r w:rsidR="006C362C">
              <w:rPr>
                <w:rFonts w:ascii="Aptos" w:hAnsi="Aptos" w:cs="Arial"/>
                <w:sz w:val="24"/>
                <w:szCs w:val="24"/>
              </w:rPr>
              <w:t>)</w:t>
            </w:r>
            <w:r w:rsidRPr="0039604B">
              <w:rPr>
                <w:rFonts w:ascii="Aptos" w:hAnsi="Aptos" w:cs="Arial"/>
                <w:sz w:val="24"/>
                <w:szCs w:val="24"/>
              </w:rPr>
              <w:t xml:space="preserve"> prosecution liaison. Early engagement with the </w:t>
            </w:r>
            <w:r w:rsidRPr="0039604B">
              <w:rPr>
                <w:rFonts w:ascii="Aptos" w:hAnsi="Aptos" w:cs="Arial"/>
                <w:sz w:val="24"/>
                <w:szCs w:val="24"/>
              </w:rPr>
              <w:lastRenderedPageBreak/>
              <w:t>RASSO prosecutor enabled joint planning around disclosure strategy, evidential thresholds, and victim sensitivity. This approach aligns with the CPS RASSO 2025 Strategy, which highlights the importance of early prosecutor involvement in cases involving extensive digital material and vulnerable victims (Crown Prosecution Service, 2025a). It also reflected the objectives of the Joint National Disclosure Improvement Plan, which promotes early collaboration and structured documentation to prevent late-stage disclosure challenges (Crown Prosecution Service, 2025b).</w:t>
            </w:r>
          </w:p>
          <w:p w14:paraId="7B074FA6" w14:textId="77777777" w:rsidR="00CA395F" w:rsidRPr="0039604B" w:rsidRDefault="00CA395F" w:rsidP="00CA395F">
            <w:pPr>
              <w:rPr>
                <w:rFonts w:ascii="Aptos" w:hAnsi="Aptos" w:cs="Arial"/>
                <w:sz w:val="24"/>
                <w:szCs w:val="24"/>
              </w:rPr>
            </w:pPr>
          </w:p>
          <w:p w14:paraId="62879D19" w14:textId="77777777" w:rsidR="00CA395F" w:rsidRPr="0039604B" w:rsidRDefault="00CA395F" w:rsidP="00CA395F">
            <w:pPr>
              <w:rPr>
                <w:rFonts w:ascii="Aptos" w:eastAsia="Times New Roman" w:hAnsi="Aptos" w:cs="Arial"/>
                <w:sz w:val="24"/>
                <w:szCs w:val="24"/>
              </w:rPr>
            </w:pPr>
            <w:r w:rsidRPr="0039604B">
              <w:rPr>
                <w:rFonts w:ascii="Aptos" w:hAnsi="Aptos" w:cs="Arial"/>
                <w:sz w:val="24"/>
                <w:szCs w:val="24"/>
              </w:rPr>
              <w:t>Critically, this experience demonstrated that proactive disclosure governance is integral to investigative integrity and prosecutorial confidence, particularly in complex, digitally driven modern slavery investigations.</w:t>
            </w:r>
          </w:p>
          <w:p w14:paraId="07A2A36C" w14:textId="77777777" w:rsidR="00CA395F" w:rsidRPr="0039604B" w:rsidRDefault="00CA395F" w:rsidP="00CA395F">
            <w:pPr>
              <w:rPr>
                <w:rFonts w:ascii="Aptos" w:hAnsi="Aptos" w:cs="Arial"/>
                <w:sz w:val="24"/>
                <w:szCs w:val="24"/>
              </w:rPr>
            </w:pPr>
          </w:p>
          <w:p w14:paraId="056429D3" w14:textId="77777777" w:rsidR="00CA395F" w:rsidRPr="0039604B" w:rsidRDefault="00CA395F" w:rsidP="00CA395F">
            <w:pPr>
              <w:rPr>
                <w:rFonts w:ascii="Aptos" w:hAnsi="Aptos" w:cs="Arial"/>
                <w:b/>
                <w:bCs/>
                <w:sz w:val="24"/>
                <w:szCs w:val="24"/>
              </w:rPr>
            </w:pPr>
            <w:r w:rsidRPr="0039604B">
              <w:rPr>
                <w:rFonts w:ascii="Aptos" w:hAnsi="Aptos" w:cs="Arial"/>
                <w:b/>
                <w:bCs/>
                <w:sz w:val="24"/>
                <w:szCs w:val="24"/>
              </w:rPr>
              <w:t>Cross-Border Legislation and Evidential Admissibility</w:t>
            </w:r>
          </w:p>
          <w:p w14:paraId="6EA530FB" w14:textId="77777777" w:rsidR="00CA395F" w:rsidRPr="0039604B" w:rsidRDefault="00CA395F" w:rsidP="00CA395F">
            <w:pPr>
              <w:rPr>
                <w:rFonts w:ascii="Aptos" w:hAnsi="Aptos" w:cs="Arial"/>
                <w:sz w:val="24"/>
                <w:szCs w:val="24"/>
              </w:rPr>
            </w:pPr>
          </w:p>
          <w:p w14:paraId="52550944" w14:textId="1D9A30E2" w:rsidR="00CA395F" w:rsidRPr="0039604B" w:rsidRDefault="00CA395F" w:rsidP="00CA395F">
            <w:pPr>
              <w:rPr>
                <w:rFonts w:ascii="Aptos" w:hAnsi="Aptos" w:cs="Arial"/>
                <w:sz w:val="24"/>
                <w:szCs w:val="24"/>
              </w:rPr>
            </w:pPr>
            <w:r w:rsidRPr="0039604B">
              <w:rPr>
                <w:rFonts w:ascii="Aptos" w:hAnsi="Aptos" w:cs="Arial"/>
                <w:sz w:val="24"/>
                <w:szCs w:val="24"/>
              </w:rPr>
              <w:t xml:space="preserve">The cross-border nature of the investigation created legal complexity, particularly regarding the admissibility of evidence obtained in Scotland for proceedings governed by </w:t>
            </w:r>
            <w:r w:rsidR="00D969C6">
              <w:rPr>
                <w:rFonts w:ascii="Aptos" w:hAnsi="Aptos" w:cs="Arial"/>
                <w:sz w:val="24"/>
                <w:szCs w:val="24"/>
              </w:rPr>
              <w:t>Police and Criminal Evidence Act (</w:t>
            </w:r>
            <w:r w:rsidRPr="0039604B">
              <w:rPr>
                <w:rFonts w:ascii="Aptos" w:hAnsi="Aptos" w:cs="Arial"/>
                <w:sz w:val="24"/>
                <w:szCs w:val="24"/>
              </w:rPr>
              <w:t>PACE</w:t>
            </w:r>
            <w:r w:rsidR="00D969C6">
              <w:rPr>
                <w:rFonts w:ascii="Aptos" w:hAnsi="Aptos" w:cs="Arial"/>
                <w:sz w:val="24"/>
                <w:szCs w:val="24"/>
              </w:rPr>
              <w:t>)</w:t>
            </w:r>
            <w:r w:rsidRPr="0039604B">
              <w:rPr>
                <w:rFonts w:ascii="Aptos" w:hAnsi="Aptos" w:cs="Arial"/>
                <w:sz w:val="24"/>
                <w:szCs w:val="24"/>
              </w:rPr>
              <w:t>. Failure to address these differences risked evidential challenge and potential case collapse.</w:t>
            </w:r>
          </w:p>
          <w:p w14:paraId="235147C0" w14:textId="77777777" w:rsidR="00CA395F" w:rsidRPr="0039604B" w:rsidRDefault="00CA395F" w:rsidP="00CA395F">
            <w:pPr>
              <w:rPr>
                <w:rFonts w:ascii="Aptos" w:hAnsi="Aptos" w:cs="Arial"/>
                <w:sz w:val="24"/>
                <w:szCs w:val="24"/>
              </w:rPr>
            </w:pPr>
          </w:p>
          <w:p w14:paraId="003A669F" w14:textId="77777777" w:rsidR="00CA395F" w:rsidRPr="0039604B" w:rsidRDefault="00CA395F" w:rsidP="00CA395F">
            <w:pPr>
              <w:rPr>
                <w:rFonts w:ascii="Aptos" w:hAnsi="Aptos" w:cs="Arial"/>
                <w:sz w:val="24"/>
                <w:szCs w:val="24"/>
              </w:rPr>
            </w:pPr>
            <w:r w:rsidRPr="0039604B">
              <w:rPr>
                <w:rFonts w:ascii="Aptos" w:hAnsi="Aptos" w:cs="Arial"/>
                <w:sz w:val="24"/>
                <w:szCs w:val="24"/>
              </w:rPr>
              <w:t>Recognising this risk, I engaged directly with Scottish legal authorities, including face-to-face meetings with the Procurator Fiscal and Sheriff. This ensured that warrants were lawfully sworn under Scottish procedure while remaining compatible with evidential standards in England and Wales. This proactive engagement reflected preventative legal risk management rather than reliance on retrospective remedies.</w:t>
            </w:r>
          </w:p>
          <w:p w14:paraId="5B7F9B61" w14:textId="77777777" w:rsidR="00CA395F" w:rsidRPr="0039604B" w:rsidRDefault="00CA395F" w:rsidP="00CA395F">
            <w:pPr>
              <w:rPr>
                <w:rFonts w:ascii="Aptos" w:hAnsi="Aptos" w:cs="Arial"/>
                <w:sz w:val="24"/>
                <w:szCs w:val="24"/>
              </w:rPr>
            </w:pPr>
          </w:p>
          <w:p w14:paraId="4978CC3A" w14:textId="77777777" w:rsidR="00CA395F" w:rsidRPr="0039604B" w:rsidRDefault="00CA395F" w:rsidP="00CA395F">
            <w:pPr>
              <w:rPr>
                <w:rFonts w:ascii="Aptos" w:hAnsi="Aptos" w:cs="Arial"/>
                <w:sz w:val="24"/>
                <w:szCs w:val="24"/>
              </w:rPr>
            </w:pPr>
            <w:r w:rsidRPr="0039604B">
              <w:rPr>
                <w:rFonts w:ascii="Aptos" w:hAnsi="Aptos" w:cs="Arial"/>
                <w:sz w:val="24"/>
                <w:szCs w:val="24"/>
              </w:rPr>
              <w:t>This approach strengthened professional relationships, enhanced transparency, and reinforced judicial confidence in the investigation.</w:t>
            </w:r>
          </w:p>
          <w:p w14:paraId="3A3FBC31" w14:textId="77777777" w:rsidR="00CA395F" w:rsidRPr="0039604B" w:rsidRDefault="00CA395F" w:rsidP="00CA395F">
            <w:pPr>
              <w:rPr>
                <w:rFonts w:ascii="Aptos" w:hAnsi="Aptos" w:cs="Arial"/>
                <w:sz w:val="24"/>
                <w:szCs w:val="24"/>
              </w:rPr>
            </w:pPr>
          </w:p>
          <w:p w14:paraId="3A236597" w14:textId="77777777" w:rsidR="00CA395F" w:rsidRPr="0039604B" w:rsidRDefault="00CA395F" w:rsidP="00CA395F">
            <w:pPr>
              <w:rPr>
                <w:rFonts w:ascii="Aptos" w:hAnsi="Aptos" w:cs="Arial"/>
                <w:b/>
                <w:bCs/>
                <w:sz w:val="24"/>
                <w:szCs w:val="24"/>
              </w:rPr>
            </w:pPr>
            <w:r w:rsidRPr="0039604B">
              <w:rPr>
                <w:rFonts w:ascii="Aptos" w:hAnsi="Aptos" w:cs="Arial"/>
                <w:b/>
                <w:bCs/>
                <w:sz w:val="24"/>
                <w:szCs w:val="24"/>
              </w:rPr>
              <w:t>Covert Policing and Ethical Decision-Making</w:t>
            </w:r>
          </w:p>
          <w:p w14:paraId="7AFD17C3" w14:textId="77777777" w:rsidR="00CA395F" w:rsidRPr="0039604B" w:rsidRDefault="00CA395F" w:rsidP="00CA395F">
            <w:pPr>
              <w:rPr>
                <w:rFonts w:ascii="Aptos" w:hAnsi="Aptos" w:cs="Arial"/>
                <w:sz w:val="24"/>
                <w:szCs w:val="24"/>
              </w:rPr>
            </w:pPr>
          </w:p>
          <w:p w14:paraId="5A857FBC" w14:textId="77777777" w:rsidR="00CA395F" w:rsidRPr="0039604B" w:rsidRDefault="00CA395F" w:rsidP="00CA395F">
            <w:pPr>
              <w:rPr>
                <w:rFonts w:ascii="Aptos" w:hAnsi="Aptos" w:cs="Arial"/>
                <w:sz w:val="24"/>
                <w:szCs w:val="24"/>
              </w:rPr>
            </w:pPr>
            <w:r w:rsidRPr="0039604B">
              <w:rPr>
                <w:rFonts w:ascii="Aptos" w:hAnsi="Aptos" w:cs="Arial"/>
                <w:sz w:val="24"/>
                <w:szCs w:val="24"/>
              </w:rPr>
              <w:t xml:space="preserve">The investigation required the use of covert tactics, including Targeted Equipment Interference (TEI), Directed Surveillance Authorities (DSA), and undercover deployments. These tactics were necessary to identify principal offenders and locate </w:t>
            </w:r>
            <w:proofErr w:type="gramStart"/>
            <w:r w:rsidRPr="0039604B">
              <w:rPr>
                <w:rFonts w:ascii="Aptos" w:hAnsi="Aptos" w:cs="Arial"/>
                <w:sz w:val="24"/>
                <w:szCs w:val="24"/>
              </w:rPr>
              <w:t>victims, but</w:t>
            </w:r>
            <w:proofErr w:type="gramEnd"/>
            <w:r w:rsidRPr="0039604B">
              <w:rPr>
                <w:rFonts w:ascii="Aptos" w:hAnsi="Aptos" w:cs="Arial"/>
                <w:sz w:val="24"/>
                <w:szCs w:val="24"/>
              </w:rPr>
              <w:t xml:space="preserve"> raised ethical considerations regarding proportionality and intrusion.</w:t>
            </w:r>
          </w:p>
          <w:p w14:paraId="4E823EB7" w14:textId="77777777" w:rsidR="00CA395F" w:rsidRPr="0039604B" w:rsidRDefault="00CA395F" w:rsidP="00CA395F">
            <w:pPr>
              <w:rPr>
                <w:rFonts w:ascii="Aptos" w:hAnsi="Aptos" w:cs="Arial"/>
                <w:sz w:val="24"/>
                <w:szCs w:val="24"/>
              </w:rPr>
            </w:pPr>
          </w:p>
          <w:p w14:paraId="75ACD023" w14:textId="77777777" w:rsidR="00CA395F" w:rsidRPr="0039604B" w:rsidRDefault="00CA395F" w:rsidP="00CA395F">
            <w:pPr>
              <w:rPr>
                <w:rFonts w:ascii="Aptos" w:hAnsi="Aptos" w:cs="Arial"/>
                <w:sz w:val="24"/>
                <w:szCs w:val="24"/>
              </w:rPr>
            </w:pPr>
            <w:r w:rsidRPr="0039604B">
              <w:rPr>
                <w:rFonts w:ascii="Aptos" w:hAnsi="Aptos" w:cs="Arial"/>
                <w:sz w:val="24"/>
                <w:szCs w:val="24"/>
              </w:rPr>
              <w:t>I ensured all covert activity was subject to rigorous justification, regular review, and legal oversight. Decision-making balanced intelligence necessity against potential impact on vulnerable individuals, in line with the Regulation of Investigatory Powers Act and professional standards. This balance was essential to maintaining evidential integrity and public trust.</w:t>
            </w:r>
          </w:p>
          <w:p w14:paraId="495FC84E" w14:textId="77777777" w:rsidR="00CA395F" w:rsidRPr="0039604B" w:rsidRDefault="00CA395F" w:rsidP="00CA395F">
            <w:pPr>
              <w:rPr>
                <w:rFonts w:ascii="Aptos" w:hAnsi="Aptos" w:cs="Arial"/>
                <w:sz w:val="24"/>
                <w:szCs w:val="24"/>
              </w:rPr>
            </w:pPr>
          </w:p>
          <w:p w14:paraId="09FA236B" w14:textId="189D4719" w:rsidR="00CA395F" w:rsidRPr="0039604B" w:rsidRDefault="00CA395F" w:rsidP="00CA395F">
            <w:pPr>
              <w:rPr>
                <w:rFonts w:ascii="Aptos" w:hAnsi="Aptos" w:cs="Arial"/>
                <w:b/>
                <w:bCs/>
                <w:sz w:val="24"/>
                <w:szCs w:val="24"/>
              </w:rPr>
            </w:pPr>
            <w:r w:rsidRPr="0039604B">
              <w:rPr>
                <w:rFonts w:ascii="Aptos" w:hAnsi="Aptos" w:cs="Arial"/>
                <w:b/>
                <w:bCs/>
                <w:sz w:val="24"/>
                <w:szCs w:val="24"/>
              </w:rPr>
              <w:t>Task 2b: Critically reflect on your thinking, analysis, evaluation of any assumptions or generalisations that had an impact on how you dealt with the investigation and/or how you communicated your conclusions to others (e.g. senior officers, specialist and non-specialist investigators/departments etc.).</w:t>
            </w:r>
          </w:p>
          <w:p w14:paraId="38F52FD5" w14:textId="77777777" w:rsidR="00CA395F" w:rsidRPr="0039604B" w:rsidRDefault="00CA395F" w:rsidP="00CA395F">
            <w:pPr>
              <w:rPr>
                <w:rFonts w:ascii="Aptos" w:hAnsi="Aptos" w:cs="Arial"/>
                <w:sz w:val="24"/>
                <w:szCs w:val="24"/>
              </w:rPr>
            </w:pPr>
          </w:p>
          <w:p w14:paraId="5C2D845B" w14:textId="77777777" w:rsidR="00CA395F" w:rsidRPr="0039604B" w:rsidRDefault="00CA395F" w:rsidP="00CA395F">
            <w:pPr>
              <w:rPr>
                <w:rFonts w:ascii="Aptos" w:hAnsi="Aptos" w:cs="Arial"/>
                <w:sz w:val="24"/>
                <w:szCs w:val="24"/>
              </w:rPr>
            </w:pPr>
            <w:r w:rsidRPr="0039604B">
              <w:rPr>
                <w:rFonts w:ascii="Aptos" w:hAnsi="Aptos" w:cs="Arial"/>
                <w:sz w:val="24"/>
                <w:szCs w:val="24"/>
              </w:rPr>
              <w:t>Early in the investigation, there was an implicit assumption that victims would self-identify once safeguarding measures were offered. Reflective analysis revealed this assumption to be flawed and influenced by unconscious bias and limited cultural understanding. Victim reluctance was initially interpreted as resistance rather than a trauma response shaped by fear, shame, and dependency.</w:t>
            </w:r>
          </w:p>
          <w:p w14:paraId="593B71A5" w14:textId="77777777" w:rsidR="00CA395F" w:rsidRPr="0039604B" w:rsidRDefault="00CA395F" w:rsidP="00CA395F">
            <w:pPr>
              <w:rPr>
                <w:rFonts w:ascii="Aptos" w:hAnsi="Aptos" w:cs="Arial"/>
                <w:sz w:val="24"/>
                <w:szCs w:val="24"/>
              </w:rPr>
            </w:pPr>
          </w:p>
          <w:p w14:paraId="5883B7EF" w14:textId="77777777" w:rsidR="00CA395F" w:rsidRPr="0039604B" w:rsidRDefault="00CA395F" w:rsidP="00CA395F">
            <w:pPr>
              <w:rPr>
                <w:rFonts w:ascii="Aptos" w:hAnsi="Aptos" w:cs="Arial"/>
                <w:sz w:val="24"/>
                <w:szCs w:val="24"/>
              </w:rPr>
            </w:pPr>
            <w:r w:rsidRPr="0039604B">
              <w:rPr>
                <w:rFonts w:ascii="Aptos" w:hAnsi="Aptos" w:cs="Arial"/>
                <w:sz w:val="24"/>
                <w:szCs w:val="24"/>
              </w:rPr>
              <w:t>Through reflective supervision and engagement with specialist partners, this assumption was challenged and reframed. Recognising that victim behaviour did not align with traditional safeguarding expectations led to a shift in strategy towards trust-building, gradual engagement, and culturally competent advocacy. This reflects Schön’s (1983) concept of reflection-in-action, where practitioners adapt thinking in response to complex and uncertain realities.</w:t>
            </w:r>
          </w:p>
          <w:p w14:paraId="5034225E" w14:textId="77777777" w:rsidR="00CA395F" w:rsidRPr="0039604B" w:rsidRDefault="00CA395F" w:rsidP="00CA395F">
            <w:pPr>
              <w:rPr>
                <w:rFonts w:ascii="Aptos" w:hAnsi="Aptos" w:cs="Arial"/>
                <w:sz w:val="24"/>
                <w:szCs w:val="24"/>
              </w:rPr>
            </w:pPr>
          </w:p>
          <w:p w14:paraId="7B17421E" w14:textId="77777777" w:rsidR="00CA395F" w:rsidRPr="0039604B" w:rsidRDefault="00CA395F" w:rsidP="00CA395F">
            <w:pPr>
              <w:rPr>
                <w:rFonts w:ascii="Aptos" w:hAnsi="Aptos" w:cs="Arial"/>
                <w:sz w:val="24"/>
                <w:szCs w:val="24"/>
              </w:rPr>
            </w:pPr>
            <w:r w:rsidRPr="0039604B">
              <w:rPr>
                <w:rFonts w:ascii="Aptos" w:hAnsi="Aptos" w:cs="Arial"/>
                <w:sz w:val="24"/>
                <w:szCs w:val="24"/>
              </w:rPr>
              <w:t>Reflection also highlighted the importance of deliberately slowing decision-making at critical junctures to test assumptions against evidence. Intelligence initially interpreted as non-compliance was reconsidered as trauma bonding and fear of retaliation. This reframing directly influenced safeguarding strategy, resulting in improved victim engagement and disclosure over time.</w:t>
            </w:r>
          </w:p>
          <w:p w14:paraId="46506E29" w14:textId="77777777" w:rsidR="00CA395F" w:rsidRPr="0039604B" w:rsidRDefault="00CA395F" w:rsidP="00CA395F">
            <w:pPr>
              <w:rPr>
                <w:rFonts w:ascii="Aptos" w:hAnsi="Aptos" w:cs="Arial"/>
                <w:sz w:val="24"/>
                <w:szCs w:val="24"/>
              </w:rPr>
            </w:pPr>
          </w:p>
          <w:p w14:paraId="169EFF14" w14:textId="77777777" w:rsidR="00CA395F" w:rsidRPr="0039604B" w:rsidRDefault="00CA395F" w:rsidP="00CA395F">
            <w:pPr>
              <w:rPr>
                <w:rFonts w:ascii="Aptos" w:hAnsi="Aptos" w:cs="Arial"/>
                <w:sz w:val="24"/>
                <w:szCs w:val="24"/>
              </w:rPr>
            </w:pPr>
            <w:r w:rsidRPr="0039604B">
              <w:rPr>
                <w:rFonts w:ascii="Aptos" w:hAnsi="Aptos" w:cs="Arial"/>
                <w:sz w:val="24"/>
                <w:szCs w:val="24"/>
              </w:rPr>
              <w:t>Communicating complex investigative decisions to senior officers and specialist units presented further challenges. Reflection revealed that earlier briefings assumed a shared level of understanding that did not exist. In response, I adapted my communication style, delivering structured briefings that explicitly outlined legal justification, ethical considerations, safeguarding impact, and risk assessment. This improved shared understanding and strengthened confidence in decision-making at senior levels, reinforcing the importance of emotional intelligence in leadership (Goleman, 1998).</w:t>
            </w:r>
          </w:p>
          <w:p w14:paraId="6CAC501F" w14:textId="77777777" w:rsidR="00CA395F" w:rsidRPr="0039604B" w:rsidRDefault="00CA395F" w:rsidP="00CA395F">
            <w:pPr>
              <w:rPr>
                <w:rFonts w:ascii="Aptos" w:hAnsi="Aptos" w:cs="Arial"/>
                <w:sz w:val="24"/>
                <w:szCs w:val="24"/>
              </w:rPr>
            </w:pPr>
          </w:p>
          <w:p w14:paraId="298A9565" w14:textId="77777777" w:rsidR="00CA395F" w:rsidRPr="0039604B" w:rsidRDefault="00CA395F" w:rsidP="00CA395F">
            <w:pPr>
              <w:rPr>
                <w:rFonts w:ascii="Aptos" w:hAnsi="Aptos" w:cs="Arial"/>
                <w:b/>
                <w:bCs/>
                <w:sz w:val="24"/>
                <w:szCs w:val="24"/>
              </w:rPr>
            </w:pPr>
            <w:r w:rsidRPr="0039604B">
              <w:rPr>
                <w:rFonts w:ascii="Aptos" w:hAnsi="Aptos" w:cs="Arial"/>
                <w:b/>
                <w:bCs/>
                <w:sz w:val="24"/>
                <w:szCs w:val="24"/>
              </w:rPr>
              <w:t>Learning Outcomes and Professional Development</w:t>
            </w:r>
          </w:p>
          <w:p w14:paraId="44921F54" w14:textId="77777777" w:rsidR="00CA395F" w:rsidRPr="0039604B" w:rsidRDefault="00CA395F" w:rsidP="00CA395F">
            <w:pPr>
              <w:rPr>
                <w:rFonts w:ascii="Aptos" w:hAnsi="Aptos" w:cs="Arial"/>
                <w:sz w:val="24"/>
                <w:szCs w:val="24"/>
              </w:rPr>
            </w:pPr>
          </w:p>
          <w:p w14:paraId="34C8B8FA" w14:textId="77777777" w:rsidR="00CA395F" w:rsidRPr="0039604B" w:rsidRDefault="00CA395F" w:rsidP="00CA395F">
            <w:pPr>
              <w:rPr>
                <w:rFonts w:ascii="Aptos" w:hAnsi="Aptos" w:cs="Arial"/>
                <w:sz w:val="24"/>
                <w:szCs w:val="24"/>
              </w:rPr>
            </w:pPr>
            <w:r w:rsidRPr="0039604B">
              <w:rPr>
                <w:rFonts w:ascii="Aptos" w:hAnsi="Aptos" w:cs="Arial"/>
                <w:sz w:val="24"/>
                <w:szCs w:val="24"/>
              </w:rPr>
              <w:t>As a direct result of reflective practice:</w:t>
            </w:r>
          </w:p>
          <w:p w14:paraId="136D1209" w14:textId="77777777" w:rsidR="00CA395F" w:rsidRPr="0039604B" w:rsidRDefault="00CA395F" w:rsidP="00CA395F">
            <w:pPr>
              <w:rPr>
                <w:rFonts w:ascii="Aptos" w:hAnsi="Aptos" w:cs="Arial"/>
                <w:sz w:val="24"/>
                <w:szCs w:val="24"/>
              </w:rPr>
            </w:pPr>
          </w:p>
          <w:p w14:paraId="5A59941F" w14:textId="77777777" w:rsidR="00CA395F" w:rsidRPr="0039604B" w:rsidRDefault="00CA395F" w:rsidP="00CA395F">
            <w:pPr>
              <w:rPr>
                <w:rFonts w:ascii="Aptos" w:hAnsi="Aptos" w:cs="Arial"/>
                <w:sz w:val="24"/>
                <w:szCs w:val="24"/>
              </w:rPr>
            </w:pPr>
            <w:r w:rsidRPr="0039604B">
              <w:rPr>
                <w:rFonts w:ascii="Aptos" w:eastAsia="Times New Roman" w:hAnsi="Aptos" w:cs="Arial"/>
                <w:sz w:val="24"/>
                <w:szCs w:val="24"/>
              </w:rPr>
              <w:t>I adopted a more trauma-informed and culturally competent investigative approach</w:t>
            </w:r>
          </w:p>
          <w:p w14:paraId="39945396" w14:textId="77777777" w:rsidR="00CA395F" w:rsidRPr="0039604B" w:rsidRDefault="00CA395F" w:rsidP="00CA395F">
            <w:pPr>
              <w:rPr>
                <w:rFonts w:ascii="Aptos" w:hAnsi="Aptos" w:cs="Arial"/>
                <w:sz w:val="24"/>
                <w:szCs w:val="24"/>
              </w:rPr>
            </w:pPr>
            <w:r w:rsidRPr="0039604B">
              <w:rPr>
                <w:rFonts w:ascii="Aptos" w:eastAsia="Times New Roman" w:hAnsi="Aptos" w:cs="Arial"/>
                <w:sz w:val="24"/>
                <w:szCs w:val="24"/>
              </w:rPr>
              <w:t>I became more critical of assumptions influencing early decision-making</w:t>
            </w:r>
          </w:p>
          <w:p w14:paraId="0A5771AB" w14:textId="77777777" w:rsidR="00CA395F" w:rsidRPr="0039604B" w:rsidRDefault="00CA395F" w:rsidP="00CA395F">
            <w:pPr>
              <w:rPr>
                <w:rFonts w:ascii="Aptos" w:hAnsi="Aptos" w:cs="Arial"/>
                <w:sz w:val="24"/>
                <w:szCs w:val="24"/>
              </w:rPr>
            </w:pPr>
            <w:r w:rsidRPr="0039604B">
              <w:rPr>
                <w:rFonts w:ascii="Aptos" w:eastAsia="Times New Roman" w:hAnsi="Aptos" w:cs="Arial"/>
                <w:sz w:val="24"/>
                <w:szCs w:val="24"/>
              </w:rPr>
              <w:t>I improved clarity and structure in senior-level communication</w:t>
            </w:r>
          </w:p>
          <w:p w14:paraId="57B06E3C" w14:textId="77777777" w:rsidR="00CA395F" w:rsidRPr="0039604B" w:rsidRDefault="00CA395F" w:rsidP="00CA395F">
            <w:pPr>
              <w:rPr>
                <w:rFonts w:ascii="Aptos" w:hAnsi="Aptos" w:cs="Arial"/>
                <w:sz w:val="24"/>
                <w:szCs w:val="24"/>
              </w:rPr>
            </w:pPr>
            <w:r w:rsidRPr="0039604B">
              <w:rPr>
                <w:rFonts w:ascii="Aptos" w:eastAsia="Times New Roman" w:hAnsi="Aptos" w:cs="Arial"/>
                <w:sz w:val="24"/>
                <w:szCs w:val="24"/>
              </w:rPr>
              <w:t>I strengthened proactive management of legal, ethical, and digital risk</w:t>
            </w:r>
          </w:p>
          <w:p w14:paraId="51B6294B" w14:textId="77777777" w:rsidR="00CA395F" w:rsidRPr="0039604B" w:rsidRDefault="00CA395F" w:rsidP="00CA395F">
            <w:pPr>
              <w:rPr>
                <w:rFonts w:ascii="Aptos" w:hAnsi="Aptos" w:cs="Arial"/>
                <w:sz w:val="24"/>
                <w:szCs w:val="24"/>
              </w:rPr>
            </w:pPr>
          </w:p>
          <w:p w14:paraId="5BD7A21A" w14:textId="7B359586" w:rsidR="00CA395F" w:rsidRPr="0039604B" w:rsidRDefault="00CA395F" w:rsidP="00CA395F">
            <w:pPr>
              <w:rPr>
                <w:rFonts w:ascii="Aptos" w:hAnsi="Aptos" w:cs="Arial"/>
                <w:sz w:val="24"/>
                <w:szCs w:val="24"/>
              </w:rPr>
            </w:pPr>
            <w:r w:rsidRPr="0039604B">
              <w:rPr>
                <w:rFonts w:ascii="Aptos" w:hAnsi="Aptos" w:cs="Arial"/>
                <w:sz w:val="24"/>
                <w:szCs w:val="24"/>
              </w:rPr>
              <w:t>These outcomes have informed subsequent investigations within both SWP and the ROCU network, demonstrating sustained professional development rather than isolated learning.</w:t>
            </w:r>
          </w:p>
          <w:p w14:paraId="7071A58B" w14:textId="77777777" w:rsidR="00CA395F" w:rsidRPr="0039604B" w:rsidRDefault="00CA395F" w:rsidP="00CA395F">
            <w:pPr>
              <w:rPr>
                <w:rFonts w:ascii="Aptos" w:hAnsi="Aptos" w:cs="Arial"/>
                <w:sz w:val="24"/>
                <w:szCs w:val="24"/>
              </w:rPr>
            </w:pPr>
          </w:p>
          <w:p w14:paraId="44E871BC" w14:textId="19A9DEDC" w:rsidR="00CA395F" w:rsidRPr="00CA395F" w:rsidRDefault="00CA395F" w:rsidP="00CA395F">
            <w:pPr>
              <w:rPr>
                <w:rFonts w:eastAsia="Arial"/>
                <w:color w:val="000000"/>
              </w:rPr>
            </w:pPr>
            <w:r w:rsidRPr="0039604B">
              <w:rPr>
                <w:rFonts w:ascii="Aptos" w:eastAsia="Arial" w:hAnsi="Aptos" w:cs="Arial"/>
                <w:color w:val="000000"/>
                <w:sz w:val="24"/>
                <w:szCs w:val="24"/>
              </w:rPr>
              <w:t xml:space="preserve">Word Count - </w:t>
            </w:r>
            <w:r w:rsidR="00D969C6">
              <w:rPr>
                <w:rFonts w:ascii="Aptos" w:eastAsia="Arial" w:hAnsi="Aptos" w:cs="Arial"/>
                <w:color w:val="000000"/>
                <w:sz w:val="24"/>
                <w:szCs w:val="24"/>
              </w:rPr>
              <w:t>2010</w:t>
            </w:r>
          </w:p>
        </w:tc>
      </w:tr>
    </w:tbl>
    <w:p w14:paraId="144A5D23" w14:textId="77777777" w:rsidR="00C66036" w:rsidRDefault="00C66036">
      <w:pPr>
        <w:ind w:left="3600" w:right="107"/>
        <w:jc w:val="both"/>
        <w:rPr>
          <w:rFonts w:ascii="Arial" w:eastAsia="Arial" w:hAnsi="Arial" w:cs="Arial"/>
          <w:b/>
          <w:color w:val="000000"/>
          <w:sz w:val="24"/>
          <w:szCs w:val="24"/>
        </w:rPr>
      </w:pPr>
    </w:p>
    <w:p w14:paraId="738610EB" w14:textId="77777777" w:rsidR="00C66036" w:rsidRDefault="00C66036">
      <w:pPr>
        <w:ind w:left="2880" w:right="107"/>
        <w:jc w:val="both"/>
        <w:rPr>
          <w:rFonts w:ascii="Arial" w:eastAsia="Arial" w:hAnsi="Arial" w:cs="Arial"/>
          <w:b/>
          <w:color w:val="000000"/>
          <w:sz w:val="24"/>
          <w:szCs w:val="24"/>
        </w:rPr>
      </w:pPr>
    </w:p>
    <w:p w14:paraId="637805D2" w14:textId="77777777" w:rsidR="00C66036" w:rsidRDefault="00C66036">
      <w:pPr>
        <w:ind w:left="2880" w:right="107"/>
        <w:jc w:val="both"/>
        <w:rPr>
          <w:rFonts w:ascii="Arial" w:eastAsia="Arial" w:hAnsi="Arial" w:cs="Arial"/>
          <w:b/>
          <w:color w:val="000000"/>
          <w:sz w:val="24"/>
          <w:szCs w:val="24"/>
        </w:rPr>
      </w:pPr>
    </w:p>
    <w:p w14:paraId="463F29E8" w14:textId="77777777" w:rsidR="00C66036" w:rsidRDefault="00C66036">
      <w:pPr>
        <w:ind w:left="2880" w:right="107"/>
        <w:jc w:val="both"/>
        <w:rPr>
          <w:rFonts w:ascii="Arial" w:eastAsia="Arial" w:hAnsi="Arial" w:cs="Arial"/>
          <w:b/>
          <w:color w:val="000000"/>
          <w:sz w:val="24"/>
          <w:szCs w:val="24"/>
        </w:rPr>
      </w:pPr>
    </w:p>
    <w:p w14:paraId="3A0FF5F2" w14:textId="77777777" w:rsidR="00C66036" w:rsidRDefault="00C66036">
      <w:pPr>
        <w:ind w:left="2880" w:right="107"/>
        <w:jc w:val="both"/>
        <w:rPr>
          <w:rFonts w:ascii="Arial" w:eastAsia="Arial" w:hAnsi="Arial" w:cs="Arial"/>
          <w:b/>
          <w:color w:val="000000"/>
          <w:sz w:val="24"/>
          <w:szCs w:val="24"/>
        </w:rPr>
      </w:pPr>
    </w:p>
    <w:p w14:paraId="00666F19" w14:textId="77777777" w:rsidR="00CA395F" w:rsidRDefault="00CA395F">
      <w:pPr>
        <w:ind w:left="2880" w:right="107"/>
        <w:jc w:val="both"/>
        <w:rPr>
          <w:rFonts w:ascii="Arial" w:eastAsia="Arial" w:hAnsi="Arial" w:cs="Arial"/>
          <w:b/>
          <w:color w:val="000000"/>
          <w:sz w:val="24"/>
          <w:szCs w:val="24"/>
        </w:rPr>
      </w:pPr>
    </w:p>
    <w:p w14:paraId="21AFD8E7" w14:textId="77777777" w:rsidR="00CA395F" w:rsidRDefault="00CA395F">
      <w:pPr>
        <w:ind w:left="2880" w:right="107"/>
        <w:jc w:val="both"/>
        <w:rPr>
          <w:rFonts w:ascii="Arial" w:eastAsia="Arial" w:hAnsi="Arial" w:cs="Arial"/>
          <w:b/>
          <w:color w:val="000000"/>
          <w:sz w:val="24"/>
          <w:szCs w:val="24"/>
        </w:rPr>
      </w:pPr>
    </w:p>
    <w:p w14:paraId="5630AD66" w14:textId="77777777" w:rsidR="00C66036" w:rsidRDefault="00C66036">
      <w:pPr>
        <w:ind w:left="2880" w:right="107"/>
        <w:jc w:val="both"/>
        <w:rPr>
          <w:rFonts w:ascii="Arial" w:eastAsia="Arial" w:hAnsi="Arial" w:cs="Arial"/>
          <w:b/>
          <w:color w:val="000000"/>
          <w:sz w:val="24"/>
          <w:szCs w:val="24"/>
        </w:rPr>
      </w:pPr>
    </w:p>
    <w:p w14:paraId="61829076" w14:textId="77777777" w:rsidR="00C66036" w:rsidRDefault="00C66036">
      <w:pPr>
        <w:ind w:left="2880" w:right="107"/>
        <w:jc w:val="both"/>
        <w:rPr>
          <w:rFonts w:ascii="Arial" w:eastAsia="Arial" w:hAnsi="Arial" w:cs="Arial"/>
          <w:b/>
          <w:i/>
          <w:color w:val="000000"/>
          <w:sz w:val="24"/>
          <w:szCs w:val="24"/>
        </w:rPr>
      </w:pPr>
    </w:p>
    <w:p w14:paraId="51DB8FC1" w14:textId="77777777" w:rsidR="00C66036" w:rsidRDefault="009A442B">
      <w:pPr>
        <w:ind w:right="107"/>
        <w:jc w:val="both"/>
        <w:rPr>
          <w:rFonts w:ascii="Arial" w:eastAsia="Arial" w:hAnsi="Arial" w:cs="Arial"/>
          <w:b/>
          <w:i/>
          <w:color w:val="000000"/>
          <w:sz w:val="24"/>
          <w:szCs w:val="24"/>
        </w:rPr>
      </w:pPr>
      <w:r>
        <w:rPr>
          <w:rFonts w:ascii="Arial" w:eastAsia="Arial" w:hAnsi="Arial" w:cs="Arial"/>
          <w:b/>
          <w:i/>
          <w:color w:val="000000"/>
          <w:sz w:val="24"/>
          <w:szCs w:val="24"/>
        </w:rPr>
        <w:t>Task 3: Investigation Techniques</w:t>
      </w:r>
    </w:p>
    <w:p w14:paraId="6EBB15BB" w14:textId="77777777" w:rsidR="00C66036" w:rsidRDefault="009A442B">
      <w:pPr>
        <w:ind w:right="107"/>
        <w:rPr>
          <w:rFonts w:ascii="Arial" w:eastAsia="Arial" w:hAnsi="Arial" w:cs="Arial"/>
          <w:color w:val="000000"/>
          <w:sz w:val="24"/>
          <w:szCs w:val="24"/>
        </w:rPr>
      </w:pPr>
      <w:r>
        <w:rPr>
          <w:rFonts w:ascii="Arial" w:eastAsia="Arial" w:hAnsi="Arial" w:cs="Arial"/>
          <w:color w:val="000000"/>
          <w:sz w:val="24"/>
          <w:szCs w:val="24"/>
        </w:rPr>
        <w:t xml:space="preserve">You must choose a serious and complex criminal investigation in which you played a significant role in providing a response. </w:t>
      </w:r>
    </w:p>
    <w:tbl>
      <w:tblPr>
        <w:tblStyle w:val="a2"/>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C66036" w14:paraId="510606C7" w14:textId="77777777">
        <w:tc>
          <w:tcPr>
            <w:tcW w:w="9015" w:type="dxa"/>
          </w:tcPr>
          <w:p w14:paraId="2BA226A1" w14:textId="77777777" w:rsidR="00C66036" w:rsidRDefault="00C66036">
            <w:pPr>
              <w:rPr>
                <w:rFonts w:ascii="Arial" w:eastAsia="Arial" w:hAnsi="Arial" w:cs="Arial"/>
                <w:b/>
                <w:color w:val="000000"/>
                <w:sz w:val="24"/>
                <w:szCs w:val="24"/>
              </w:rPr>
            </w:pPr>
          </w:p>
          <w:p w14:paraId="6EDA9C47" w14:textId="77777777" w:rsidR="00C66036" w:rsidRDefault="009A442B">
            <w:pPr>
              <w:ind w:right="237"/>
              <w:jc w:val="both"/>
              <w:rPr>
                <w:rFonts w:ascii="Arial" w:eastAsia="Arial" w:hAnsi="Arial" w:cs="Arial"/>
                <w:sz w:val="24"/>
                <w:szCs w:val="24"/>
              </w:rPr>
            </w:pPr>
            <w:r>
              <w:rPr>
                <w:rFonts w:ascii="Arial" w:eastAsia="Arial" w:hAnsi="Arial" w:cs="Arial"/>
                <w:b/>
                <w:color w:val="000000"/>
                <w:sz w:val="24"/>
                <w:szCs w:val="24"/>
              </w:rPr>
              <w:t xml:space="preserve">3a. </w:t>
            </w:r>
            <w:bookmarkStart w:id="1" w:name="_Hlk218682601"/>
            <w:r>
              <w:rPr>
                <w:rFonts w:ascii="Arial" w:eastAsia="Arial" w:hAnsi="Arial" w:cs="Arial"/>
                <w:b/>
                <w:color w:val="000000"/>
                <w:sz w:val="24"/>
                <w:szCs w:val="24"/>
              </w:rPr>
              <w:t>Give a brief description</w:t>
            </w:r>
            <w:r>
              <w:rPr>
                <w:rFonts w:ascii="Arial" w:eastAsia="Arial" w:hAnsi="Arial" w:cs="Arial"/>
                <w:color w:val="000000"/>
                <w:sz w:val="24"/>
                <w:szCs w:val="24"/>
              </w:rPr>
              <w:t xml:space="preserve"> of the incident including social and legislative contexts and any relevant cultural, ethnicity and language issues</w:t>
            </w:r>
            <w:bookmarkEnd w:id="1"/>
            <w:r>
              <w:rPr>
                <w:rFonts w:ascii="Arial" w:eastAsia="Arial" w:hAnsi="Arial" w:cs="Arial"/>
                <w:color w:val="000000"/>
                <w:sz w:val="24"/>
                <w:szCs w:val="24"/>
              </w:rPr>
              <w:t xml:space="preserve">. </w:t>
            </w:r>
            <w:r>
              <w:rPr>
                <w:rFonts w:ascii="Arial" w:eastAsia="Arial" w:hAnsi="Arial" w:cs="Arial"/>
                <w:sz w:val="24"/>
                <w:szCs w:val="24"/>
              </w:rPr>
              <w:t xml:space="preserve"> </w:t>
            </w:r>
          </w:p>
          <w:p w14:paraId="17AD93B2" w14:textId="77777777" w:rsidR="00C66036" w:rsidRDefault="00C66036">
            <w:pPr>
              <w:rPr>
                <w:rFonts w:ascii="Arial" w:eastAsia="Arial" w:hAnsi="Arial" w:cs="Arial"/>
                <w:b/>
                <w:color w:val="000000"/>
                <w:sz w:val="24"/>
                <w:szCs w:val="24"/>
              </w:rPr>
            </w:pPr>
          </w:p>
          <w:p w14:paraId="65DEA073" w14:textId="77777777" w:rsidR="00C66036" w:rsidRDefault="009A442B">
            <w:pPr>
              <w:rPr>
                <w:rFonts w:ascii="Arial" w:eastAsia="Arial" w:hAnsi="Arial" w:cs="Arial"/>
                <w:color w:val="000000"/>
                <w:sz w:val="24"/>
                <w:szCs w:val="24"/>
              </w:rPr>
            </w:pPr>
            <w:r>
              <w:rPr>
                <w:rFonts w:ascii="Arial" w:eastAsia="Arial" w:hAnsi="Arial" w:cs="Arial"/>
                <w:color w:val="000000"/>
                <w:sz w:val="24"/>
                <w:szCs w:val="24"/>
              </w:rPr>
              <w:t xml:space="preserve">3b. Outline the established techniques used to progress the investigation. </w:t>
            </w:r>
          </w:p>
          <w:p w14:paraId="0DE4B5B7" w14:textId="77777777" w:rsidR="00C66036" w:rsidRDefault="00C66036">
            <w:pPr>
              <w:rPr>
                <w:rFonts w:ascii="Arial" w:eastAsia="Arial" w:hAnsi="Arial" w:cs="Arial"/>
                <w:color w:val="000000"/>
                <w:sz w:val="24"/>
                <w:szCs w:val="24"/>
              </w:rPr>
            </w:pPr>
          </w:p>
          <w:p w14:paraId="7B0EEFA5" w14:textId="77777777" w:rsidR="00C66036" w:rsidRDefault="009A442B">
            <w:pPr>
              <w:rPr>
                <w:rFonts w:ascii="Arial" w:eastAsia="Arial" w:hAnsi="Arial" w:cs="Arial"/>
                <w:sz w:val="24"/>
                <w:szCs w:val="24"/>
              </w:rPr>
            </w:pPr>
            <w:r>
              <w:rPr>
                <w:rFonts w:ascii="Arial" w:eastAsia="Arial" w:hAnsi="Arial" w:cs="Arial"/>
                <w:color w:val="000000"/>
                <w:sz w:val="24"/>
                <w:szCs w:val="24"/>
              </w:rPr>
              <w:t xml:space="preserve">3c. </w:t>
            </w:r>
            <w:bookmarkStart w:id="2" w:name="_Hlk218682275"/>
            <w:r>
              <w:rPr>
                <w:rFonts w:ascii="Arial" w:eastAsia="Arial" w:hAnsi="Arial" w:cs="Arial"/>
                <w:color w:val="000000"/>
                <w:sz w:val="24"/>
                <w:szCs w:val="24"/>
              </w:rPr>
              <w:t>Critically explore the use of each investigative technique that you applied to the investigation and demonstrate your understanding of their use</w:t>
            </w:r>
            <w:bookmarkEnd w:id="2"/>
          </w:p>
          <w:p w14:paraId="66204FF1" w14:textId="77777777" w:rsidR="00C66036" w:rsidRDefault="00C66036">
            <w:pPr>
              <w:rPr>
                <w:rFonts w:ascii="Arial" w:eastAsia="Arial" w:hAnsi="Arial" w:cs="Arial"/>
                <w:color w:val="000000"/>
                <w:sz w:val="24"/>
                <w:szCs w:val="24"/>
              </w:rPr>
            </w:pPr>
          </w:p>
          <w:p w14:paraId="12B114CA" w14:textId="4123BC12" w:rsidR="00C66036" w:rsidRDefault="009A442B">
            <w:pPr>
              <w:rPr>
                <w:rFonts w:ascii="Arial" w:eastAsia="Arial" w:hAnsi="Arial" w:cs="Arial"/>
                <w:color w:val="000000"/>
                <w:sz w:val="24"/>
                <w:szCs w:val="24"/>
              </w:rPr>
            </w:pPr>
            <w:r>
              <w:rPr>
                <w:rFonts w:ascii="Arial" w:eastAsia="Arial" w:hAnsi="Arial" w:cs="Arial"/>
                <w:color w:val="000000"/>
                <w:sz w:val="24"/>
                <w:szCs w:val="24"/>
              </w:rPr>
              <w:t>3</w:t>
            </w:r>
            <w:r w:rsidR="00C31004">
              <w:rPr>
                <w:rFonts w:ascii="Arial" w:eastAsia="Arial" w:hAnsi="Arial" w:cs="Arial"/>
                <w:color w:val="000000"/>
                <w:sz w:val="24"/>
                <w:szCs w:val="24"/>
              </w:rPr>
              <w:t>d</w:t>
            </w:r>
            <w:r>
              <w:rPr>
                <w:rFonts w:ascii="Arial" w:eastAsia="Arial" w:hAnsi="Arial" w:cs="Arial"/>
                <w:color w:val="000000"/>
                <w:sz w:val="24"/>
                <w:szCs w:val="24"/>
              </w:rPr>
              <w:t xml:space="preserve">. Critically evaluate how you applied specific legislation and/or powers to the investigation. </w:t>
            </w:r>
          </w:p>
          <w:p w14:paraId="2DBF0D7D" w14:textId="77777777" w:rsidR="00C66036" w:rsidRDefault="00C66036">
            <w:pPr>
              <w:rPr>
                <w:rFonts w:ascii="Arial" w:eastAsia="Arial" w:hAnsi="Arial" w:cs="Arial"/>
                <w:color w:val="000000"/>
                <w:sz w:val="24"/>
                <w:szCs w:val="24"/>
              </w:rPr>
            </w:pPr>
          </w:p>
          <w:p w14:paraId="6B62F1B3" w14:textId="77777777" w:rsidR="00C66036" w:rsidRDefault="00C66036">
            <w:pPr>
              <w:rPr>
                <w:rFonts w:ascii="Arial" w:eastAsia="Arial" w:hAnsi="Arial" w:cs="Arial"/>
                <w:b/>
                <w:color w:val="000000"/>
                <w:sz w:val="24"/>
                <w:szCs w:val="24"/>
              </w:rPr>
            </w:pPr>
          </w:p>
          <w:p w14:paraId="3434A91C" w14:textId="77777777" w:rsidR="00C66036" w:rsidRDefault="009A442B">
            <w:pPr>
              <w:rPr>
                <w:rFonts w:ascii="Arial" w:eastAsia="Arial" w:hAnsi="Arial" w:cs="Arial"/>
                <w:sz w:val="24"/>
                <w:szCs w:val="24"/>
              </w:rPr>
            </w:pPr>
            <w:r>
              <w:rPr>
                <w:rFonts w:ascii="Arial" w:eastAsia="Arial" w:hAnsi="Arial" w:cs="Arial"/>
                <w:b/>
                <w:color w:val="000000"/>
                <w:sz w:val="24"/>
                <w:szCs w:val="24"/>
              </w:rPr>
              <w:t>2000 words</w:t>
            </w:r>
            <w:r>
              <w:rPr>
                <w:rFonts w:ascii="Arial" w:eastAsia="Arial" w:hAnsi="Arial" w:cs="Arial"/>
                <w:color w:val="000000"/>
                <w:sz w:val="24"/>
                <w:szCs w:val="24"/>
              </w:rPr>
              <w:t xml:space="preserve"> </w:t>
            </w:r>
            <w:r>
              <w:rPr>
                <w:rFonts w:ascii="Arial" w:eastAsia="Arial" w:hAnsi="Arial" w:cs="Arial"/>
                <w:i/>
                <w:color w:val="000000"/>
                <w:sz w:val="24"/>
                <w:szCs w:val="24"/>
              </w:rPr>
              <w:t>(+/- 10%: include your actual word count at the end of each section)</w:t>
            </w:r>
          </w:p>
          <w:p w14:paraId="7039A995" w14:textId="77777777" w:rsidR="00C66036" w:rsidRDefault="00C66036">
            <w:pPr>
              <w:rPr>
                <w:rFonts w:ascii="Arial" w:eastAsia="Arial" w:hAnsi="Arial" w:cs="Arial"/>
                <w:b/>
                <w:color w:val="000000"/>
                <w:sz w:val="24"/>
                <w:szCs w:val="24"/>
              </w:rPr>
            </w:pPr>
          </w:p>
          <w:p w14:paraId="0A525F1C" w14:textId="77777777" w:rsidR="00CA395F" w:rsidRPr="0039604B" w:rsidRDefault="00CA395F" w:rsidP="00CA395F">
            <w:pPr>
              <w:rPr>
                <w:rFonts w:ascii="Aptos" w:hAnsi="Aptos" w:cs="Arial"/>
                <w:b/>
                <w:bCs/>
                <w:sz w:val="24"/>
                <w:szCs w:val="24"/>
              </w:rPr>
            </w:pPr>
            <w:r w:rsidRPr="0039604B">
              <w:rPr>
                <w:rFonts w:ascii="Aptos" w:hAnsi="Aptos" w:cs="Arial"/>
                <w:b/>
                <w:bCs/>
                <w:sz w:val="24"/>
                <w:szCs w:val="24"/>
              </w:rPr>
              <w:t>Investigation Techniques</w:t>
            </w:r>
          </w:p>
          <w:p w14:paraId="63944985" w14:textId="77777777" w:rsidR="00CA395F" w:rsidRPr="0039604B" w:rsidRDefault="00CA395F" w:rsidP="00CA395F">
            <w:pPr>
              <w:rPr>
                <w:rFonts w:ascii="Aptos" w:hAnsi="Aptos" w:cs="Arial"/>
                <w:b/>
                <w:bCs/>
                <w:sz w:val="24"/>
                <w:szCs w:val="24"/>
              </w:rPr>
            </w:pPr>
            <w:r w:rsidRPr="0039604B">
              <w:rPr>
                <w:rFonts w:ascii="Aptos" w:hAnsi="Aptos" w:cs="Arial"/>
                <w:b/>
                <w:bCs/>
                <w:sz w:val="24"/>
                <w:szCs w:val="24"/>
              </w:rPr>
              <w:t>Task 3a: Give a brief description of the incident including social and legislative contexts and any relevant cultural, ethnicity and language issues</w:t>
            </w:r>
          </w:p>
          <w:p w14:paraId="15175C70" w14:textId="02FA9E37" w:rsidR="00CA395F" w:rsidRPr="0039604B" w:rsidRDefault="00CA395F" w:rsidP="00CA395F">
            <w:pPr>
              <w:rPr>
                <w:rFonts w:ascii="Aptos" w:hAnsi="Aptos" w:cs="Arial"/>
                <w:b/>
                <w:bCs/>
                <w:sz w:val="24"/>
                <w:szCs w:val="24"/>
              </w:rPr>
            </w:pPr>
            <w:r w:rsidRPr="0039604B">
              <w:rPr>
                <w:rFonts w:ascii="Aptos" w:hAnsi="Aptos" w:cs="Arial"/>
                <w:b/>
                <w:bCs/>
                <w:sz w:val="24"/>
                <w:szCs w:val="24"/>
              </w:rPr>
              <w:t xml:space="preserve"> </w:t>
            </w:r>
          </w:p>
          <w:p w14:paraId="3C41EF0F" w14:textId="77777777" w:rsidR="00CA395F" w:rsidRPr="0039604B" w:rsidRDefault="00CA395F" w:rsidP="00CA395F">
            <w:pPr>
              <w:rPr>
                <w:rFonts w:ascii="Aptos" w:hAnsi="Aptos" w:cs="Arial"/>
                <w:sz w:val="24"/>
                <w:szCs w:val="24"/>
              </w:rPr>
            </w:pPr>
            <w:r w:rsidRPr="0039604B">
              <w:rPr>
                <w:rFonts w:ascii="Aptos" w:hAnsi="Aptos" w:cs="Arial"/>
                <w:sz w:val="24"/>
                <w:szCs w:val="24"/>
              </w:rPr>
              <w:t>This investigation focused on the misuse of the road network by organised crime groups (OCGs) to facilitate the transportation of illicit commodities, primarily drugs, across the United Kingdom. The offending involved breaches of the Misuse of Drugs Act 1971 (MDA) and associated financial offences under the Proceeds of Crime Act 2002 (POCA). The investigative challenge centred on identifying and evidencing the activities of individuals with little or no previous interaction with policing, who were paid by OCGs to act as short-term couriers.</w:t>
            </w:r>
          </w:p>
          <w:p w14:paraId="487CD908" w14:textId="77777777" w:rsidR="00CA395F" w:rsidRPr="0039604B" w:rsidRDefault="00CA395F" w:rsidP="00CA395F">
            <w:pPr>
              <w:rPr>
                <w:rFonts w:ascii="Aptos" w:hAnsi="Aptos" w:cs="Arial"/>
                <w:sz w:val="24"/>
                <w:szCs w:val="24"/>
              </w:rPr>
            </w:pPr>
            <w:r w:rsidRPr="0039604B">
              <w:rPr>
                <w:rFonts w:ascii="Aptos" w:hAnsi="Aptos" w:cs="Arial"/>
                <w:sz w:val="24"/>
                <w:szCs w:val="24"/>
              </w:rPr>
              <w:t>These individuals were deliberately selected by OCGs to reduce law enforcement scrutiny. Drivers were frequently recruited on a transactional basis, tasked with transporting commodities between locations with rapid turnaround times, often returning to their point of origin within hours. This operating model sought to frustrate conventional intelligence-led policing (National Crime Agency, 2022), by minimising exposure, avoiding known offenders, and exploiting the volume of lawful road use.</w:t>
            </w:r>
          </w:p>
          <w:p w14:paraId="7400C013" w14:textId="77777777" w:rsidR="00CA395F" w:rsidRPr="0039604B" w:rsidRDefault="00CA395F" w:rsidP="00CA395F">
            <w:pPr>
              <w:rPr>
                <w:rFonts w:ascii="Aptos" w:hAnsi="Aptos" w:cs="Arial"/>
                <w:sz w:val="24"/>
                <w:szCs w:val="24"/>
              </w:rPr>
            </w:pPr>
          </w:p>
          <w:p w14:paraId="789EE5CA" w14:textId="77777777" w:rsidR="00CA395F" w:rsidRPr="0039604B" w:rsidRDefault="00CA395F" w:rsidP="00CA395F">
            <w:pPr>
              <w:rPr>
                <w:rFonts w:ascii="Aptos" w:hAnsi="Aptos" w:cs="Arial"/>
                <w:b/>
                <w:bCs/>
                <w:sz w:val="24"/>
                <w:szCs w:val="24"/>
              </w:rPr>
            </w:pPr>
            <w:r w:rsidRPr="0039604B">
              <w:rPr>
                <w:rFonts w:ascii="Aptos" w:hAnsi="Aptos" w:cs="Arial"/>
                <w:b/>
                <w:bCs/>
                <w:sz w:val="24"/>
                <w:szCs w:val="24"/>
              </w:rPr>
              <w:t>Social Context</w:t>
            </w:r>
          </w:p>
          <w:p w14:paraId="2A544A18" w14:textId="77777777" w:rsidR="00CA395F" w:rsidRPr="0039604B" w:rsidRDefault="00CA395F" w:rsidP="00CA395F">
            <w:pPr>
              <w:rPr>
                <w:rFonts w:ascii="Aptos" w:hAnsi="Aptos" w:cs="Arial"/>
                <w:b/>
                <w:bCs/>
                <w:sz w:val="24"/>
                <w:szCs w:val="24"/>
              </w:rPr>
            </w:pPr>
          </w:p>
          <w:p w14:paraId="02E26714" w14:textId="77777777" w:rsidR="00CA395F" w:rsidRDefault="00CA395F" w:rsidP="00CA395F">
            <w:pPr>
              <w:rPr>
                <w:rFonts w:ascii="Aptos" w:hAnsi="Aptos" w:cs="Arial"/>
                <w:sz w:val="24"/>
                <w:szCs w:val="24"/>
              </w:rPr>
            </w:pPr>
            <w:r w:rsidRPr="0039604B">
              <w:rPr>
                <w:rFonts w:ascii="Aptos" w:hAnsi="Aptos" w:cs="Arial"/>
                <w:sz w:val="24"/>
                <w:szCs w:val="24"/>
              </w:rPr>
              <w:t>The social context of this offending reflects the increasing professionalisation and adaptability of organised crime. OCGs increasingly rely on individuals from economically vulnerable backgrounds who may not perceive themselves as criminals but rather as paid drivers undertaking discrete tasks. This creates a blurred boundary between criminality and perceived legitimate activity, complicating both enforcement and safeguarding considerations.</w:t>
            </w:r>
          </w:p>
          <w:p w14:paraId="18C2C545" w14:textId="77777777" w:rsidR="00240E02" w:rsidRPr="0039604B" w:rsidRDefault="00240E02" w:rsidP="00CA395F">
            <w:pPr>
              <w:rPr>
                <w:rFonts w:ascii="Aptos" w:hAnsi="Aptos" w:cs="Arial"/>
                <w:sz w:val="24"/>
                <w:szCs w:val="24"/>
              </w:rPr>
            </w:pPr>
          </w:p>
          <w:p w14:paraId="429924EF" w14:textId="77777777" w:rsidR="00CA395F" w:rsidRPr="0039604B" w:rsidRDefault="00CA395F" w:rsidP="00CA395F">
            <w:pPr>
              <w:rPr>
                <w:rFonts w:ascii="Aptos" w:hAnsi="Aptos" w:cs="Arial"/>
                <w:sz w:val="24"/>
                <w:szCs w:val="24"/>
              </w:rPr>
            </w:pPr>
            <w:r w:rsidRPr="0039604B">
              <w:rPr>
                <w:rFonts w:ascii="Aptos" w:hAnsi="Aptos" w:cs="Arial"/>
                <w:sz w:val="24"/>
                <w:szCs w:val="24"/>
              </w:rPr>
              <w:t>From a policing perspective, this model challenges traditional assumptions that organised crime activity is conducted by known offenders. The use of “clean skins” reduces the effectiveness of reactive policing models that rely on prior intelligence or criminal histories. As a result, investigative responses must rely on behavioural indicators and data-driven analysis rather than offender-centric approaches.</w:t>
            </w:r>
          </w:p>
          <w:p w14:paraId="0C3CB61E" w14:textId="77777777" w:rsidR="00CA395F" w:rsidRPr="0039604B" w:rsidRDefault="00CA395F" w:rsidP="00CA395F">
            <w:pPr>
              <w:rPr>
                <w:rFonts w:ascii="Aptos" w:hAnsi="Aptos" w:cs="Arial"/>
                <w:sz w:val="24"/>
                <w:szCs w:val="24"/>
              </w:rPr>
            </w:pPr>
          </w:p>
          <w:p w14:paraId="082AC749" w14:textId="77777777" w:rsidR="00CA395F" w:rsidRPr="0039604B" w:rsidRDefault="00CA395F" w:rsidP="00CA395F">
            <w:pPr>
              <w:rPr>
                <w:rFonts w:ascii="Aptos" w:hAnsi="Aptos" w:cs="Arial"/>
                <w:b/>
                <w:bCs/>
                <w:sz w:val="24"/>
                <w:szCs w:val="24"/>
              </w:rPr>
            </w:pPr>
            <w:r w:rsidRPr="0039604B">
              <w:rPr>
                <w:rFonts w:ascii="Aptos" w:hAnsi="Aptos" w:cs="Arial"/>
                <w:b/>
                <w:bCs/>
                <w:sz w:val="24"/>
                <w:szCs w:val="24"/>
              </w:rPr>
              <w:t>Legislative Context</w:t>
            </w:r>
          </w:p>
          <w:p w14:paraId="37D4AD45" w14:textId="77777777" w:rsidR="00CA395F" w:rsidRPr="0039604B" w:rsidRDefault="00CA395F" w:rsidP="00CA395F">
            <w:pPr>
              <w:rPr>
                <w:rFonts w:ascii="Aptos" w:hAnsi="Aptos" w:cs="Arial"/>
                <w:b/>
                <w:bCs/>
                <w:sz w:val="24"/>
                <w:szCs w:val="24"/>
              </w:rPr>
            </w:pPr>
          </w:p>
          <w:p w14:paraId="6C2BF98F" w14:textId="77777777" w:rsidR="00CA395F" w:rsidRPr="0039604B" w:rsidRDefault="00CA395F" w:rsidP="00CA395F">
            <w:pPr>
              <w:rPr>
                <w:rFonts w:ascii="Aptos" w:hAnsi="Aptos" w:cs="Arial"/>
                <w:sz w:val="24"/>
                <w:szCs w:val="24"/>
              </w:rPr>
            </w:pPr>
            <w:r w:rsidRPr="0039604B">
              <w:rPr>
                <w:rFonts w:ascii="Aptos" w:hAnsi="Aptos" w:cs="Arial"/>
                <w:sz w:val="24"/>
                <w:szCs w:val="24"/>
              </w:rPr>
              <w:t>The investigation operated primarily within the framework of the Misuse of Drugs Act 1971, governing the possession, supply, and transportation of controlled substances. Financial aspects of the offending, including payment for courier activity and asset recovery, engaged the Proceeds of Crime Act 2002, enabling financial investigation and disruption alongside criminal prosecution.</w:t>
            </w:r>
          </w:p>
          <w:p w14:paraId="6E11CC12" w14:textId="77777777" w:rsidR="00CA395F" w:rsidRPr="0039604B" w:rsidRDefault="00CA395F" w:rsidP="00CA395F">
            <w:pPr>
              <w:rPr>
                <w:rFonts w:ascii="Aptos" w:hAnsi="Aptos" w:cs="Arial"/>
                <w:sz w:val="24"/>
                <w:szCs w:val="24"/>
              </w:rPr>
            </w:pPr>
            <w:r w:rsidRPr="0039604B">
              <w:rPr>
                <w:rFonts w:ascii="Aptos" w:hAnsi="Aptos" w:cs="Arial"/>
                <w:sz w:val="24"/>
                <w:szCs w:val="24"/>
              </w:rPr>
              <w:t>The use of Automatic Number Plate Recognition (ANPR) and associated data analysis engaged surveillance and privacy considerations under the Regulation of Investigatory Powers Act 2000 (RIPA) and the oversight framework of the Investigatory Powers Commissioner’s Office (IPCO). Directed Surveillance Authorities (DSA) were required to ensure that data analysis activities were lawful, proportionate, and necessary.</w:t>
            </w:r>
          </w:p>
          <w:p w14:paraId="4E7131F9" w14:textId="77777777" w:rsidR="00CA395F" w:rsidRPr="0039604B" w:rsidRDefault="00CA395F" w:rsidP="00CA395F">
            <w:pPr>
              <w:rPr>
                <w:rFonts w:ascii="Aptos" w:hAnsi="Aptos" w:cs="Arial"/>
                <w:sz w:val="24"/>
                <w:szCs w:val="24"/>
              </w:rPr>
            </w:pPr>
          </w:p>
          <w:p w14:paraId="3BCEC8BF" w14:textId="77777777" w:rsidR="00CA395F" w:rsidRPr="0039604B" w:rsidRDefault="00CA395F" w:rsidP="00CA395F">
            <w:pPr>
              <w:rPr>
                <w:rFonts w:ascii="Aptos" w:hAnsi="Aptos" w:cs="Arial"/>
                <w:b/>
                <w:bCs/>
                <w:sz w:val="24"/>
                <w:szCs w:val="24"/>
              </w:rPr>
            </w:pPr>
            <w:r w:rsidRPr="0039604B">
              <w:rPr>
                <w:rFonts w:ascii="Aptos" w:hAnsi="Aptos" w:cs="Arial"/>
                <w:b/>
                <w:bCs/>
                <w:sz w:val="24"/>
                <w:szCs w:val="24"/>
              </w:rPr>
              <w:t>Cultural, Ethnicity and Language Issues</w:t>
            </w:r>
          </w:p>
          <w:p w14:paraId="263AE90A" w14:textId="77777777" w:rsidR="00CA395F" w:rsidRPr="0039604B" w:rsidRDefault="00CA395F" w:rsidP="00CA395F">
            <w:pPr>
              <w:rPr>
                <w:rFonts w:ascii="Aptos" w:hAnsi="Aptos" w:cs="Arial"/>
                <w:b/>
                <w:bCs/>
                <w:sz w:val="24"/>
                <w:szCs w:val="24"/>
              </w:rPr>
            </w:pPr>
          </w:p>
          <w:p w14:paraId="06F82B1F" w14:textId="77777777" w:rsidR="00CA395F" w:rsidRPr="0039604B" w:rsidRDefault="00CA395F" w:rsidP="00CA395F">
            <w:pPr>
              <w:rPr>
                <w:rFonts w:ascii="Aptos" w:hAnsi="Aptos" w:cs="Arial"/>
                <w:sz w:val="24"/>
                <w:szCs w:val="24"/>
              </w:rPr>
            </w:pPr>
            <w:r w:rsidRPr="0039604B">
              <w:rPr>
                <w:rFonts w:ascii="Aptos" w:hAnsi="Aptos" w:cs="Arial"/>
                <w:sz w:val="24"/>
                <w:szCs w:val="24"/>
              </w:rPr>
              <w:t>There were limited direct cultural or language barriers in this investigation; however, there were behavioural and socio-economic factors relevant to understanding offender selection and compliance. Many drivers had no established criminal identity and perceived the activity as low-risk employment rather than organised criminal participation. This required investigators to avoid assumptions based on appearance, background, or lack of criminal history, instead focusing on evidence-led decision-making.</w:t>
            </w:r>
          </w:p>
          <w:p w14:paraId="69A8FB70" w14:textId="77777777" w:rsidR="00CA395F" w:rsidRPr="0039604B" w:rsidRDefault="00CA395F" w:rsidP="00CA395F">
            <w:pPr>
              <w:rPr>
                <w:rFonts w:ascii="Aptos" w:hAnsi="Aptos" w:cs="Arial"/>
                <w:sz w:val="24"/>
                <w:szCs w:val="24"/>
              </w:rPr>
            </w:pPr>
          </w:p>
          <w:p w14:paraId="799AEEAB" w14:textId="77777777" w:rsidR="00CA395F" w:rsidRPr="0039604B" w:rsidRDefault="00CA395F" w:rsidP="00CA395F">
            <w:pPr>
              <w:rPr>
                <w:rFonts w:ascii="Aptos" w:hAnsi="Aptos" w:cs="Arial"/>
                <w:b/>
                <w:bCs/>
                <w:sz w:val="24"/>
                <w:szCs w:val="24"/>
              </w:rPr>
            </w:pPr>
            <w:r w:rsidRPr="0039604B">
              <w:rPr>
                <w:rFonts w:ascii="Aptos" w:hAnsi="Aptos" w:cs="Arial"/>
                <w:b/>
                <w:bCs/>
                <w:sz w:val="24"/>
                <w:szCs w:val="24"/>
              </w:rPr>
              <w:t>Task 3b: Outline Established Techniques Used to Progress the Investigation</w:t>
            </w:r>
          </w:p>
          <w:p w14:paraId="59C15920" w14:textId="77777777" w:rsidR="00CA395F" w:rsidRPr="0039604B" w:rsidRDefault="00CA395F" w:rsidP="00CA395F">
            <w:pPr>
              <w:rPr>
                <w:rFonts w:ascii="Aptos" w:hAnsi="Aptos" w:cs="Arial"/>
                <w:b/>
                <w:bCs/>
                <w:sz w:val="24"/>
                <w:szCs w:val="24"/>
              </w:rPr>
            </w:pPr>
          </w:p>
          <w:p w14:paraId="47C30EFB" w14:textId="77777777" w:rsidR="00CA395F" w:rsidRPr="0039604B" w:rsidRDefault="00CA395F" w:rsidP="00CA395F">
            <w:pPr>
              <w:rPr>
                <w:rFonts w:ascii="Aptos" w:hAnsi="Aptos" w:cs="Arial"/>
                <w:sz w:val="24"/>
                <w:szCs w:val="24"/>
              </w:rPr>
            </w:pPr>
            <w:r w:rsidRPr="0039604B">
              <w:rPr>
                <w:rFonts w:ascii="Aptos" w:hAnsi="Aptos" w:cs="Arial"/>
                <w:sz w:val="24"/>
                <w:szCs w:val="24"/>
              </w:rPr>
              <w:t>To address the challenges posed by this offending model, a range of established investigative techniques were employed. These techniques were selected to identify criminal behaviour within high volumes of lawful activity while maintaining compliance with legal and ethical standards.</w:t>
            </w:r>
          </w:p>
          <w:p w14:paraId="2D10BE56" w14:textId="77777777" w:rsidR="00CA395F" w:rsidRPr="0039604B" w:rsidRDefault="00CA395F" w:rsidP="00CA395F">
            <w:pPr>
              <w:rPr>
                <w:rFonts w:ascii="Aptos" w:hAnsi="Aptos" w:cs="Arial"/>
                <w:sz w:val="24"/>
                <w:szCs w:val="24"/>
              </w:rPr>
            </w:pPr>
          </w:p>
          <w:p w14:paraId="21228C93" w14:textId="77777777" w:rsidR="00CA395F" w:rsidRPr="0039604B" w:rsidRDefault="00CA395F" w:rsidP="00CA395F">
            <w:pPr>
              <w:rPr>
                <w:rFonts w:ascii="Aptos" w:hAnsi="Aptos" w:cs="Arial"/>
                <w:b/>
                <w:bCs/>
                <w:sz w:val="24"/>
                <w:szCs w:val="24"/>
              </w:rPr>
            </w:pPr>
            <w:r w:rsidRPr="0039604B">
              <w:rPr>
                <w:rFonts w:ascii="Aptos" w:hAnsi="Aptos" w:cs="Arial"/>
                <w:b/>
                <w:bCs/>
                <w:sz w:val="24"/>
                <w:szCs w:val="24"/>
              </w:rPr>
              <w:t>Pattern Analysis of Routes and Journey Behaviour</w:t>
            </w:r>
          </w:p>
          <w:p w14:paraId="4302EF69" w14:textId="77777777" w:rsidR="00CA395F" w:rsidRPr="0039604B" w:rsidRDefault="00CA395F" w:rsidP="00CA395F">
            <w:pPr>
              <w:rPr>
                <w:rFonts w:ascii="Aptos" w:hAnsi="Aptos" w:cs="Arial"/>
                <w:b/>
                <w:bCs/>
                <w:sz w:val="24"/>
                <w:szCs w:val="24"/>
              </w:rPr>
            </w:pPr>
          </w:p>
          <w:p w14:paraId="4577B1A1" w14:textId="713708FA" w:rsidR="00CA395F" w:rsidRPr="0039604B" w:rsidRDefault="00CA395F" w:rsidP="00CA395F">
            <w:pPr>
              <w:rPr>
                <w:rFonts w:ascii="Aptos" w:hAnsi="Aptos" w:cs="Arial"/>
                <w:sz w:val="24"/>
                <w:szCs w:val="24"/>
              </w:rPr>
            </w:pPr>
            <w:r w:rsidRPr="0039604B">
              <w:rPr>
                <w:rFonts w:ascii="Aptos" w:hAnsi="Aptos" w:cs="Arial"/>
                <w:sz w:val="24"/>
                <w:szCs w:val="24"/>
              </w:rPr>
              <w:t xml:space="preserve">ANPR data was used to identify anomalous journey patterns, particularly rapid return journeys between known supply and distribution areas. Vehicles completing long-distance trips with unusually short dwell times were flagged for further analysis. This approach enabled investigators to focus on behavioural indicators rather than individual identity, aligning with intelligence-led policing principles, Sherman, </w:t>
            </w:r>
            <w:r w:rsidR="00745E49">
              <w:rPr>
                <w:rFonts w:ascii="Aptos" w:hAnsi="Aptos" w:cs="Arial"/>
                <w:sz w:val="24"/>
                <w:szCs w:val="24"/>
              </w:rPr>
              <w:t>(</w:t>
            </w:r>
            <w:r w:rsidRPr="0039604B">
              <w:rPr>
                <w:rFonts w:ascii="Aptos" w:hAnsi="Aptos" w:cs="Arial"/>
                <w:sz w:val="24"/>
                <w:szCs w:val="24"/>
              </w:rPr>
              <w:t>2013).</w:t>
            </w:r>
          </w:p>
          <w:p w14:paraId="4887FED8" w14:textId="77777777" w:rsidR="00CA395F" w:rsidRPr="0039604B" w:rsidRDefault="00CA395F" w:rsidP="00CA395F">
            <w:pPr>
              <w:rPr>
                <w:rFonts w:ascii="Aptos" w:hAnsi="Aptos" w:cs="Arial"/>
                <w:sz w:val="24"/>
                <w:szCs w:val="24"/>
              </w:rPr>
            </w:pPr>
          </w:p>
          <w:p w14:paraId="1BE6393E" w14:textId="77777777" w:rsidR="00CA395F" w:rsidRPr="0039604B" w:rsidRDefault="00CA395F" w:rsidP="00CA395F">
            <w:pPr>
              <w:rPr>
                <w:rFonts w:ascii="Aptos" w:hAnsi="Aptos" w:cs="Arial"/>
                <w:b/>
                <w:bCs/>
                <w:sz w:val="24"/>
                <w:szCs w:val="24"/>
              </w:rPr>
            </w:pPr>
            <w:r w:rsidRPr="0039604B">
              <w:rPr>
                <w:rFonts w:ascii="Aptos" w:hAnsi="Aptos" w:cs="Arial"/>
                <w:b/>
                <w:bCs/>
                <w:sz w:val="24"/>
                <w:szCs w:val="24"/>
              </w:rPr>
              <w:t>Attribution of Drivers to Vehicles</w:t>
            </w:r>
          </w:p>
          <w:p w14:paraId="0BA9B3CE" w14:textId="77777777" w:rsidR="00CA395F" w:rsidRPr="0039604B" w:rsidRDefault="00CA395F" w:rsidP="00CA395F">
            <w:pPr>
              <w:rPr>
                <w:rFonts w:ascii="Aptos" w:hAnsi="Aptos" w:cs="Arial"/>
                <w:b/>
                <w:bCs/>
                <w:sz w:val="24"/>
                <w:szCs w:val="24"/>
              </w:rPr>
            </w:pPr>
          </w:p>
          <w:p w14:paraId="6A2ECB80" w14:textId="77777777" w:rsidR="00CA395F" w:rsidRPr="0039604B" w:rsidRDefault="00CA395F" w:rsidP="00CA395F">
            <w:pPr>
              <w:rPr>
                <w:rFonts w:ascii="Aptos" w:hAnsi="Aptos" w:cs="Arial"/>
                <w:sz w:val="24"/>
                <w:szCs w:val="24"/>
              </w:rPr>
            </w:pPr>
            <w:r w:rsidRPr="0039604B">
              <w:rPr>
                <w:rFonts w:ascii="Aptos" w:hAnsi="Aptos" w:cs="Arial"/>
                <w:sz w:val="24"/>
                <w:szCs w:val="24"/>
              </w:rPr>
              <w:t>A significant challenge was that vehicles were frequently not registered to the individuals driving them, limiting the effectiveness of traditional ownership-based enquiries. Phone data examination was therefore used to attribute drivers to vehicles. This involved analysing call data, cell site usage, and device movement patterns to link individuals to specific journeys, including retrospective analysis of journeys conducted prior to arrest.</w:t>
            </w:r>
          </w:p>
          <w:p w14:paraId="72DD42A0" w14:textId="77777777" w:rsidR="00CA395F" w:rsidRPr="0039604B" w:rsidRDefault="00CA395F" w:rsidP="00CA395F">
            <w:pPr>
              <w:rPr>
                <w:rFonts w:ascii="Aptos" w:hAnsi="Aptos" w:cs="Arial"/>
                <w:sz w:val="24"/>
                <w:szCs w:val="24"/>
              </w:rPr>
            </w:pPr>
          </w:p>
          <w:p w14:paraId="2041CE62" w14:textId="77777777" w:rsidR="00CA395F" w:rsidRPr="0039604B" w:rsidRDefault="00CA395F" w:rsidP="00CA395F">
            <w:pPr>
              <w:rPr>
                <w:rFonts w:ascii="Aptos" w:hAnsi="Aptos" w:cs="Arial"/>
                <w:b/>
                <w:bCs/>
                <w:sz w:val="24"/>
                <w:szCs w:val="24"/>
              </w:rPr>
            </w:pPr>
            <w:r w:rsidRPr="0039604B">
              <w:rPr>
                <w:rFonts w:ascii="Aptos" w:hAnsi="Aptos" w:cs="Arial"/>
                <w:b/>
                <w:bCs/>
                <w:sz w:val="24"/>
                <w:szCs w:val="24"/>
              </w:rPr>
              <w:t>Directed Surveillance Authority (DSA) and Oversight</w:t>
            </w:r>
          </w:p>
          <w:p w14:paraId="3925EE26" w14:textId="77777777" w:rsidR="00CA395F" w:rsidRPr="0039604B" w:rsidRDefault="00CA395F" w:rsidP="00CA395F">
            <w:pPr>
              <w:rPr>
                <w:rFonts w:ascii="Aptos" w:hAnsi="Aptos" w:cs="Arial"/>
                <w:b/>
                <w:bCs/>
                <w:sz w:val="24"/>
                <w:szCs w:val="24"/>
              </w:rPr>
            </w:pPr>
          </w:p>
          <w:p w14:paraId="17975A20" w14:textId="77777777" w:rsidR="00CA395F" w:rsidRPr="0039604B" w:rsidRDefault="00CA395F" w:rsidP="00CA395F">
            <w:pPr>
              <w:rPr>
                <w:rFonts w:ascii="Aptos" w:hAnsi="Aptos" w:cs="Arial"/>
                <w:sz w:val="24"/>
                <w:szCs w:val="24"/>
              </w:rPr>
            </w:pPr>
            <w:r w:rsidRPr="0039604B">
              <w:rPr>
                <w:rFonts w:ascii="Aptos" w:hAnsi="Aptos" w:cs="Arial"/>
                <w:sz w:val="24"/>
                <w:szCs w:val="24"/>
              </w:rPr>
              <w:t>Directed Surveillance Authorities were obtained to lawfully analyse and review ANPR and communications data. (College of Policing, 2013; IPCO, 2022).</w:t>
            </w:r>
          </w:p>
          <w:p w14:paraId="24692CE8" w14:textId="5C3DB801" w:rsidR="00CA395F" w:rsidRPr="0039604B" w:rsidRDefault="00CA395F" w:rsidP="00CA395F">
            <w:pPr>
              <w:rPr>
                <w:rFonts w:ascii="Aptos" w:hAnsi="Aptos" w:cs="Arial"/>
                <w:sz w:val="24"/>
                <w:szCs w:val="24"/>
              </w:rPr>
            </w:pPr>
            <w:r w:rsidRPr="0039604B">
              <w:rPr>
                <w:rFonts w:ascii="Aptos" w:hAnsi="Aptos" w:cs="Arial"/>
                <w:sz w:val="24"/>
                <w:szCs w:val="24"/>
              </w:rPr>
              <w:t xml:space="preserve">All applications were subject to Authorising Officer (AO) scrutiny and IPCO oversight, ensuring compliance with RIPA and safeguarding against disproportionate intrusion into lawful road users, reducing unnecessary intrusion into the privacy of non-involved individuals </w:t>
            </w:r>
            <w:proofErr w:type="gramStart"/>
            <w:r w:rsidRPr="0039604B">
              <w:rPr>
                <w:rFonts w:ascii="Aptos" w:hAnsi="Aptos" w:cs="Arial"/>
                <w:sz w:val="24"/>
                <w:szCs w:val="24"/>
              </w:rPr>
              <w:t>Taylor</w:t>
            </w:r>
            <w:r w:rsidR="001F408D">
              <w:rPr>
                <w:rFonts w:ascii="Aptos" w:hAnsi="Aptos" w:cs="Arial"/>
                <w:sz w:val="24"/>
                <w:szCs w:val="24"/>
              </w:rPr>
              <w:t>(</w:t>
            </w:r>
            <w:proofErr w:type="gramEnd"/>
            <w:r w:rsidRPr="0039604B">
              <w:rPr>
                <w:rFonts w:ascii="Aptos" w:hAnsi="Aptos" w:cs="Arial"/>
                <w:sz w:val="24"/>
                <w:szCs w:val="24"/>
              </w:rPr>
              <w:t>2011).</w:t>
            </w:r>
          </w:p>
          <w:p w14:paraId="3BCD733E" w14:textId="77777777" w:rsidR="00C31004" w:rsidRPr="0039604B" w:rsidRDefault="00C31004" w:rsidP="00CA395F">
            <w:pPr>
              <w:rPr>
                <w:rFonts w:ascii="Aptos" w:hAnsi="Aptos" w:cs="Arial"/>
                <w:sz w:val="24"/>
                <w:szCs w:val="24"/>
              </w:rPr>
            </w:pPr>
          </w:p>
          <w:p w14:paraId="71EC8B5B" w14:textId="77777777" w:rsidR="00CA395F" w:rsidRPr="0039604B" w:rsidRDefault="00CA395F" w:rsidP="00CA395F">
            <w:pPr>
              <w:rPr>
                <w:rFonts w:ascii="Aptos" w:hAnsi="Aptos" w:cs="Arial"/>
                <w:sz w:val="24"/>
                <w:szCs w:val="24"/>
              </w:rPr>
            </w:pPr>
          </w:p>
          <w:p w14:paraId="1AAB226A" w14:textId="77777777" w:rsidR="00CA395F" w:rsidRPr="0039604B" w:rsidRDefault="00CA395F" w:rsidP="00CA395F">
            <w:pPr>
              <w:rPr>
                <w:rFonts w:ascii="Aptos" w:hAnsi="Aptos" w:cs="Arial"/>
                <w:b/>
                <w:bCs/>
                <w:sz w:val="24"/>
                <w:szCs w:val="24"/>
              </w:rPr>
            </w:pPr>
            <w:r w:rsidRPr="0039604B">
              <w:rPr>
                <w:rFonts w:ascii="Aptos" w:hAnsi="Aptos" w:cs="Arial"/>
                <w:b/>
                <w:bCs/>
                <w:sz w:val="24"/>
                <w:szCs w:val="24"/>
              </w:rPr>
              <w:t>Software-Enabled Data Filtering</w:t>
            </w:r>
          </w:p>
          <w:p w14:paraId="1F10F602" w14:textId="77777777" w:rsidR="00CA395F" w:rsidRPr="0039604B" w:rsidRDefault="00CA395F" w:rsidP="00CA395F">
            <w:pPr>
              <w:rPr>
                <w:rFonts w:ascii="Aptos" w:hAnsi="Aptos" w:cs="Arial"/>
                <w:b/>
                <w:bCs/>
                <w:sz w:val="24"/>
                <w:szCs w:val="24"/>
              </w:rPr>
            </w:pPr>
          </w:p>
          <w:p w14:paraId="3253F5D4" w14:textId="77777777" w:rsidR="00CA395F" w:rsidRPr="0039604B" w:rsidRDefault="00CA395F" w:rsidP="00CA395F">
            <w:pPr>
              <w:rPr>
                <w:rFonts w:ascii="Aptos" w:hAnsi="Aptos" w:cs="Arial"/>
                <w:sz w:val="24"/>
                <w:szCs w:val="24"/>
              </w:rPr>
            </w:pPr>
            <w:r w:rsidRPr="0039604B">
              <w:rPr>
                <w:rFonts w:ascii="Aptos" w:hAnsi="Aptos" w:cs="Arial"/>
                <w:sz w:val="24"/>
                <w:szCs w:val="24"/>
              </w:rPr>
              <w:t>Due to the volume of ANPR data involved, bespoke software was created to filter and analyse mass data files. This enabled the exclusion of clearly lawful road users, such as HGVs and commercial fleets, allowing investigative focus to be placed on relevant vehicles. This approach reduced unnecessary intrusion and improved investigative efficiency.</w:t>
            </w:r>
          </w:p>
          <w:p w14:paraId="54BC1486" w14:textId="77777777" w:rsidR="00CA395F" w:rsidRPr="0039604B" w:rsidRDefault="00CA395F" w:rsidP="00CA395F">
            <w:pPr>
              <w:rPr>
                <w:rFonts w:ascii="Aptos" w:hAnsi="Aptos" w:cs="Arial"/>
                <w:sz w:val="24"/>
                <w:szCs w:val="24"/>
              </w:rPr>
            </w:pPr>
          </w:p>
          <w:p w14:paraId="5A0A9E21" w14:textId="77777777" w:rsidR="00CA395F" w:rsidRPr="0039604B" w:rsidRDefault="00CA395F" w:rsidP="00CA395F">
            <w:pPr>
              <w:rPr>
                <w:rFonts w:ascii="Aptos" w:hAnsi="Aptos" w:cs="Arial"/>
                <w:b/>
                <w:bCs/>
                <w:sz w:val="24"/>
                <w:szCs w:val="24"/>
              </w:rPr>
            </w:pPr>
            <w:r w:rsidRPr="0039604B">
              <w:rPr>
                <w:rFonts w:ascii="Aptos" w:hAnsi="Aptos" w:cs="Arial"/>
                <w:b/>
                <w:bCs/>
                <w:sz w:val="24"/>
                <w:szCs w:val="24"/>
              </w:rPr>
              <w:t>Technological Constraints</w:t>
            </w:r>
          </w:p>
          <w:p w14:paraId="26653ACD" w14:textId="77777777" w:rsidR="00CA395F" w:rsidRPr="0039604B" w:rsidRDefault="00CA395F" w:rsidP="00CA395F">
            <w:pPr>
              <w:rPr>
                <w:rFonts w:ascii="Aptos" w:hAnsi="Aptos" w:cs="Arial"/>
                <w:b/>
                <w:bCs/>
                <w:sz w:val="24"/>
                <w:szCs w:val="24"/>
              </w:rPr>
            </w:pPr>
          </w:p>
          <w:p w14:paraId="64614934" w14:textId="77777777" w:rsidR="00CA395F" w:rsidRPr="0039604B" w:rsidRDefault="00CA395F" w:rsidP="00CA395F">
            <w:pPr>
              <w:rPr>
                <w:rFonts w:ascii="Aptos" w:hAnsi="Aptos" w:cs="Arial"/>
                <w:sz w:val="24"/>
                <w:szCs w:val="24"/>
              </w:rPr>
            </w:pPr>
            <w:r w:rsidRPr="0039604B">
              <w:rPr>
                <w:rFonts w:ascii="Aptos" w:hAnsi="Aptos" w:cs="Arial"/>
                <w:sz w:val="24"/>
                <w:szCs w:val="24"/>
              </w:rPr>
              <w:t xml:space="preserve">Although the use of Python scripting would have offered significant analytical advantages, organisational IT policy restrictions within South Wales Police prevented its deployment. As a result, alternative software solutions were developed within permitted systems, demonstrating adaptability and governance-compliant innovation. </w:t>
            </w:r>
          </w:p>
          <w:p w14:paraId="03423B58" w14:textId="77777777" w:rsidR="00CA395F" w:rsidRPr="0039604B" w:rsidRDefault="00CA395F" w:rsidP="00CA395F">
            <w:pPr>
              <w:rPr>
                <w:rFonts w:ascii="Aptos" w:hAnsi="Aptos" w:cs="Arial"/>
                <w:sz w:val="24"/>
                <w:szCs w:val="24"/>
              </w:rPr>
            </w:pPr>
          </w:p>
          <w:p w14:paraId="1EEB3E37" w14:textId="77777777" w:rsidR="00CA395F" w:rsidRPr="0039604B" w:rsidRDefault="00CA395F" w:rsidP="00CA395F">
            <w:pPr>
              <w:rPr>
                <w:rFonts w:ascii="Aptos" w:hAnsi="Aptos" w:cs="Arial"/>
                <w:b/>
                <w:bCs/>
                <w:sz w:val="24"/>
                <w:szCs w:val="24"/>
              </w:rPr>
            </w:pPr>
            <w:r w:rsidRPr="0039604B">
              <w:rPr>
                <w:rFonts w:ascii="Aptos" w:hAnsi="Aptos" w:cs="Arial"/>
                <w:b/>
                <w:bCs/>
                <w:sz w:val="24"/>
                <w:szCs w:val="24"/>
              </w:rPr>
              <w:t xml:space="preserve">Task 3c: Critically explore the use of each investigative technique that you applied to the investigation and demonstrate your understanding of their use. </w:t>
            </w:r>
          </w:p>
          <w:p w14:paraId="44186C4C" w14:textId="77777777" w:rsidR="00CA395F" w:rsidRPr="0039604B" w:rsidRDefault="00CA395F" w:rsidP="00CA395F">
            <w:pPr>
              <w:rPr>
                <w:rFonts w:ascii="Aptos" w:hAnsi="Aptos" w:cs="Arial"/>
                <w:b/>
                <w:bCs/>
                <w:sz w:val="24"/>
                <w:szCs w:val="24"/>
              </w:rPr>
            </w:pPr>
          </w:p>
          <w:p w14:paraId="41BE9402" w14:textId="77777777" w:rsidR="00CA395F" w:rsidRPr="0039604B" w:rsidRDefault="00CA395F" w:rsidP="00CA395F">
            <w:pPr>
              <w:rPr>
                <w:rFonts w:ascii="Aptos" w:hAnsi="Aptos" w:cs="Arial"/>
                <w:b/>
                <w:bCs/>
                <w:sz w:val="24"/>
                <w:szCs w:val="24"/>
              </w:rPr>
            </w:pPr>
            <w:r w:rsidRPr="0039604B">
              <w:rPr>
                <w:rFonts w:ascii="Aptos" w:hAnsi="Aptos" w:cs="Arial"/>
                <w:b/>
                <w:bCs/>
                <w:sz w:val="24"/>
                <w:szCs w:val="24"/>
              </w:rPr>
              <w:t>Use of ANPR and Pattern Analysis</w:t>
            </w:r>
          </w:p>
          <w:p w14:paraId="18A065D7" w14:textId="77777777" w:rsidR="00CA395F" w:rsidRPr="0039604B" w:rsidRDefault="00CA395F" w:rsidP="00CA395F">
            <w:pPr>
              <w:rPr>
                <w:rFonts w:ascii="Aptos" w:hAnsi="Aptos" w:cs="Arial"/>
                <w:b/>
                <w:bCs/>
                <w:sz w:val="24"/>
                <w:szCs w:val="24"/>
              </w:rPr>
            </w:pPr>
          </w:p>
          <w:p w14:paraId="4740DAE8" w14:textId="77777777" w:rsidR="00CA395F" w:rsidRDefault="00CA395F" w:rsidP="00CA395F">
            <w:pPr>
              <w:rPr>
                <w:rFonts w:ascii="Aptos" w:hAnsi="Aptos" w:cs="Arial"/>
                <w:sz w:val="24"/>
                <w:szCs w:val="24"/>
              </w:rPr>
            </w:pPr>
            <w:r w:rsidRPr="0039604B">
              <w:rPr>
                <w:rFonts w:ascii="Aptos" w:hAnsi="Aptos" w:cs="Arial"/>
                <w:sz w:val="24"/>
                <w:szCs w:val="24"/>
              </w:rPr>
              <w:t>ANPR was a critical investigative tool, but its effectiveness depended on how data was interpreted rather than its volume. Pattern analysis allowed investigators to distinguish criminal behaviour from lawful road use, reducing the risk of arbitrary targeting. However, reliance on pattern recognition carries inherent risk of confirmation bias if not subject to continual review.</w:t>
            </w:r>
          </w:p>
          <w:p w14:paraId="193108F1" w14:textId="77777777" w:rsidR="00240E02" w:rsidRPr="0039604B" w:rsidRDefault="00240E02" w:rsidP="00CA395F">
            <w:pPr>
              <w:rPr>
                <w:rFonts w:ascii="Aptos" w:hAnsi="Aptos" w:cs="Arial"/>
                <w:sz w:val="24"/>
                <w:szCs w:val="24"/>
              </w:rPr>
            </w:pPr>
          </w:p>
          <w:p w14:paraId="1E1AC961" w14:textId="77777777" w:rsidR="00CA395F" w:rsidRPr="0039604B" w:rsidRDefault="00CA395F" w:rsidP="00CA395F">
            <w:pPr>
              <w:rPr>
                <w:rFonts w:ascii="Aptos" w:hAnsi="Aptos" w:cs="Arial"/>
                <w:sz w:val="24"/>
                <w:szCs w:val="24"/>
              </w:rPr>
            </w:pPr>
            <w:r w:rsidRPr="0039604B">
              <w:rPr>
                <w:rFonts w:ascii="Aptos" w:hAnsi="Aptos" w:cs="Arial"/>
                <w:sz w:val="24"/>
                <w:szCs w:val="24"/>
              </w:rPr>
              <w:t>To mitigate this, analytical thresholds were regularly reassessed, and hypotheses were tested against emerging data. This reflects evidence-based policing principles, ensuring that investigative focus was guided by validated patterns rather than assumption.</w:t>
            </w:r>
          </w:p>
          <w:p w14:paraId="1DF18D51" w14:textId="77777777" w:rsidR="00CA395F" w:rsidRPr="0039604B" w:rsidRDefault="00CA395F" w:rsidP="00CA395F">
            <w:pPr>
              <w:rPr>
                <w:rFonts w:ascii="Aptos" w:hAnsi="Aptos" w:cs="Arial"/>
                <w:sz w:val="24"/>
                <w:szCs w:val="24"/>
              </w:rPr>
            </w:pPr>
          </w:p>
          <w:p w14:paraId="04AC5294" w14:textId="77777777" w:rsidR="00CA395F" w:rsidRPr="0039604B" w:rsidRDefault="00CA395F" w:rsidP="00CA395F">
            <w:pPr>
              <w:rPr>
                <w:rFonts w:ascii="Aptos" w:hAnsi="Aptos" w:cs="Arial"/>
                <w:b/>
                <w:bCs/>
                <w:sz w:val="24"/>
                <w:szCs w:val="24"/>
              </w:rPr>
            </w:pPr>
            <w:r w:rsidRPr="0039604B">
              <w:rPr>
                <w:rFonts w:ascii="Aptos" w:hAnsi="Aptos" w:cs="Arial"/>
                <w:b/>
                <w:bCs/>
                <w:sz w:val="24"/>
                <w:szCs w:val="24"/>
              </w:rPr>
              <w:t>Phone Data Examination</w:t>
            </w:r>
          </w:p>
          <w:p w14:paraId="2DD0E18E" w14:textId="77777777" w:rsidR="00CA395F" w:rsidRPr="0039604B" w:rsidRDefault="00CA395F" w:rsidP="00CA395F">
            <w:pPr>
              <w:rPr>
                <w:rFonts w:ascii="Aptos" w:hAnsi="Aptos" w:cs="Arial"/>
                <w:b/>
                <w:bCs/>
                <w:sz w:val="24"/>
                <w:szCs w:val="24"/>
              </w:rPr>
            </w:pPr>
          </w:p>
          <w:p w14:paraId="61E89E0D" w14:textId="77777777" w:rsidR="00CA395F" w:rsidRPr="0039604B" w:rsidRDefault="00CA395F" w:rsidP="00CA395F">
            <w:pPr>
              <w:rPr>
                <w:rFonts w:ascii="Aptos" w:hAnsi="Aptos" w:cs="Arial"/>
                <w:sz w:val="24"/>
                <w:szCs w:val="24"/>
              </w:rPr>
            </w:pPr>
            <w:r w:rsidRPr="0039604B">
              <w:rPr>
                <w:rFonts w:ascii="Aptos" w:hAnsi="Aptos" w:cs="Arial"/>
                <w:sz w:val="24"/>
                <w:szCs w:val="24"/>
              </w:rPr>
              <w:t>Phone data examination was essential in attributing drivers to vehicles and establishing continuity of offending. This technique enabled retrospective linkage of journeys, strengthening evidential continuity. However, it also raised privacy considerations, particularly where individuals were not previously known to police.</w:t>
            </w:r>
          </w:p>
          <w:p w14:paraId="340451F5" w14:textId="77777777" w:rsidR="00CA395F" w:rsidRPr="0039604B" w:rsidRDefault="00CA395F" w:rsidP="00CA395F">
            <w:pPr>
              <w:rPr>
                <w:rFonts w:ascii="Aptos" w:hAnsi="Aptos" w:cs="Arial"/>
                <w:sz w:val="24"/>
                <w:szCs w:val="24"/>
              </w:rPr>
            </w:pPr>
            <w:r w:rsidRPr="0039604B">
              <w:rPr>
                <w:rFonts w:ascii="Aptos" w:hAnsi="Aptos" w:cs="Arial"/>
                <w:sz w:val="24"/>
                <w:szCs w:val="24"/>
              </w:rPr>
              <w:t xml:space="preserve">The proportionality of this technique was managed through clear investigative objectives and time-limited data analysis. This ensured that intrusion was justified and defensible, particularly </w:t>
            </w:r>
            <w:proofErr w:type="gramStart"/>
            <w:r w:rsidRPr="0039604B">
              <w:rPr>
                <w:rFonts w:ascii="Aptos" w:hAnsi="Aptos" w:cs="Arial"/>
                <w:sz w:val="24"/>
                <w:szCs w:val="24"/>
              </w:rPr>
              <w:t>in light of</w:t>
            </w:r>
            <w:proofErr w:type="gramEnd"/>
            <w:r w:rsidRPr="0039604B">
              <w:rPr>
                <w:rFonts w:ascii="Aptos" w:hAnsi="Aptos" w:cs="Arial"/>
                <w:sz w:val="24"/>
                <w:szCs w:val="24"/>
              </w:rPr>
              <w:t xml:space="preserve"> judicial scrutiny.</w:t>
            </w:r>
          </w:p>
          <w:p w14:paraId="164484BD" w14:textId="77777777" w:rsidR="00CA395F" w:rsidRPr="0039604B" w:rsidRDefault="00CA395F" w:rsidP="00CA395F">
            <w:pPr>
              <w:rPr>
                <w:rFonts w:ascii="Aptos" w:hAnsi="Aptos" w:cs="Arial"/>
                <w:sz w:val="24"/>
                <w:szCs w:val="24"/>
              </w:rPr>
            </w:pPr>
          </w:p>
          <w:p w14:paraId="24C8F9CC" w14:textId="77777777" w:rsidR="00CA395F" w:rsidRPr="0039604B" w:rsidRDefault="00CA395F" w:rsidP="00CA395F">
            <w:pPr>
              <w:rPr>
                <w:rFonts w:ascii="Aptos" w:hAnsi="Aptos" w:cs="Arial"/>
                <w:b/>
                <w:bCs/>
                <w:sz w:val="24"/>
                <w:szCs w:val="24"/>
              </w:rPr>
            </w:pPr>
            <w:r w:rsidRPr="0039604B">
              <w:rPr>
                <w:rFonts w:ascii="Aptos" w:hAnsi="Aptos" w:cs="Arial"/>
                <w:b/>
                <w:bCs/>
                <w:sz w:val="24"/>
                <w:szCs w:val="24"/>
              </w:rPr>
              <w:t>Directed Surveillance and Governance</w:t>
            </w:r>
          </w:p>
          <w:p w14:paraId="1C87691D" w14:textId="77777777" w:rsidR="00CA395F" w:rsidRPr="0039604B" w:rsidRDefault="00CA395F" w:rsidP="00CA395F">
            <w:pPr>
              <w:rPr>
                <w:rFonts w:ascii="Aptos" w:hAnsi="Aptos" w:cs="Arial"/>
                <w:b/>
                <w:bCs/>
                <w:sz w:val="24"/>
                <w:szCs w:val="24"/>
              </w:rPr>
            </w:pPr>
          </w:p>
          <w:p w14:paraId="4D23E020" w14:textId="77777777" w:rsidR="00CA395F" w:rsidRDefault="00CA395F" w:rsidP="00CA395F">
            <w:pPr>
              <w:rPr>
                <w:rFonts w:ascii="Aptos" w:hAnsi="Aptos" w:cs="Arial"/>
                <w:sz w:val="24"/>
                <w:szCs w:val="24"/>
              </w:rPr>
            </w:pPr>
            <w:r w:rsidRPr="0039604B">
              <w:rPr>
                <w:rFonts w:ascii="Aptos" w:hAnsi="Aptos" w:cs="Arial"/>
                <w:sz w:val="24"/>
                <w:szCs w:val="24"/>
              </w:rPr>
              <w:t>The use of Directed Surveillance Authorities provided a lawful framework for data analysis. The requirement for AO authorisation and IPCO oversight introduced necessary checks and balances, preventing mission creep. While this governance process added time and complexity, it enhanced evidential robustness and public accountability.</w:t>
            </w:r>
          </w:p>
          <w:p w14:paraId="2EA719AA" w14:textId="77777777" w:rsidR="00240E02" w:rsidRPr="0039604B" w:rsidRDefault="00240E02" w:rsidP="00CA395F">
            <w:pPr>
              <w:rPr>
                <w:rFonts w:ascii="Aptos" w:hAnsi="Aptos" w:cs="Arial"/>
                <w:sz w:val="24"/>
                <w:szCs w:val="24"/>
              </w:rPr>
            </w:pPr>
          </w:p>
          <w:p w14:paraId="7459FD5E" w14:textId="3ADD789D" w:rsidR="00CA395F" w:rsidRPr="0039604B" w:rsidRDefault="00CA395F" w:rsidP="00CA395F">
            <w:pPr>
              <w:rPr>
                <w:rFonts w:ascii="Aptos" w:hAnsi="Aptos" w:cs="Arial"/>
                <w:sz w:val="24"/>
                <w:szCs w:val="24"/>
              </w:rPr>
            </w:pPr>
            <w:r w:rsidRPr="0039604B">
              <w:rPr>
                <w:rFonts w:ascii="Aptos" w:hAnsi="Aptos" w:cs="Arial"/>
                <w:sz w:val="24"/>
                <w:szCs w:val="24"/>
              </w:rPr>
              <w:t>Academic literature increasingly emphasises the need for Direct Surveillance Authority (DSA) when reviewing Automatic Number Plate Recognition (ANPR) data, particularly where analysis moves beyond intelligence development into targeted monitoring of individuals or vehicles. Scholars argue that while ANPR is often framed as a low-intrusion technology, its capacity to generate detailed movement patterns creates a form of systematic surveillance that warrants formal authorisation</w:t>
            </w:r>
            <w:r w:rsidR="00745E49">
              <w:rPr>
                <w:rFonts w:ascii="Aptos" w:hAnsi="Aptos" w:cs="Arial"/>
                <w:sz w:val="24"/>
                <w:szCs w:val="24"/>
              </w:rPr>
              <w:t xml:space="preserve">, </w:t>
            </w:r>
            <w:r w:rsidRPr="0039604B">
              <w:rPr>
                <w:rFonts w:ascii="Aptos" w:hAnsi="Aptos" w:cs="Arial"/>
                <w:sz w:val="24"/>
                <w:szCs w:val="24"/>
              </w:rPr>
              <w:t xml:space="preserve">Woods, </w:t>
            </w:r>
            <w:r w:rsidR="00745E49">
              <w:rPr>
                <w:rFonts w:ascii="Aptos" w:hAnsi="Aptos" w:cs="Arial"/>
                <w:sz w:val="24"/>
                <w:szCs w:val="24"/>
              </w:rPr>
              <w:t>(</w:t>
            </w:r>
            <w:r w:rsidRPr="0039604B">
              <w:rPr>
                <w:rFonts w:ascii="Aptos" w:hAnsi="Aptos" w:cs="Arial"/>
                <w:sz w:val="24"/>
                <w:szCs w:val="24"/>
              </w:rPr>
              <w:t>2017).</w:t>
            </w:r>
          </w:p>
          <w:p w14:paraId="3B5A05DF" w14:textId="77777777" w:rsidR="00CA395F" w:rsidRPr="0039604B" w:rsidRDefault="00CA395F" w:rsidP="00CA395F">
            <w:pPr>
              <w:rPr>
                <w:rFonts w:ascii="Aptos" w:hAnsi="Aptos" w:cs="Arial"/>
                <w:sz w:val="24"/>
                <w:szCs w:val="24"/>
              </w:rPr>
            </w:pPr>
          </w:p>
          <w:p w14:paraId="07A00645" w14:textId="1C0FBE5B" w:rsidR="00CA395F" w:rsidRPr="0039604B" w:rsidRDefault="00CA395F" w:rsidP="00CA395F">
            <w:pPr>
              <w:rPr>
                <w:rFonts w:ascii="Aptos" w:hAnsi="Aptos" w:cs="Arial"/>
                <w:sz w:val="24"/>
                <w:szCs w:val="24"/>
              </w:rPr>
            </w:pPr>
            <w:r w:rsidRPr="0039604B">
              <w:rPr>
                <w:rFonts w:ascii="Aptos" w:hAnsi="Aptos" w:cs="Arial"/>
                <w:sz w:val="24"/>
                <w:szCs w:val="24"/>
              </w:rPr>
              <w:t xml:space="preserve">From a regulatory perspective, the requirement for DSA aligns with principles of necessity and proportionality under the Regulation of Investigatory Powers Act (RIPA) and human rights jurisprudence. Academic commentary highlights that without DSA, ANPR use risks drifting from general intelligence gathering into covert surveillance without adequate oversight, thereby undermining legal compliance and public trust </w:t>
            </w:r>
            <w:r w:rsidR="009D75EF">
              <w:rPr>
                <w:rFonts w:ascii="Aptos" w:hAnsi="Aptos" w:cs="Arial"/>
                <w:sz w:val="24"/>
                <w:szCs w:val="24"/>
              </w:rPr>
              <w:lastRenderedPageBreak/>
              <w:t>Woods</w:t>
            </w:r>
            <w:r w:rsidRPr="0039604B">
              <w:rPr>
                <w:rFonts w:ascii="Aptos" w:hAnsi="Aptos" w:cs="Arial"/>
                <w:sz w:val="24"/>
                <w:szCs w:val="24"/>
              </w:rPr>
              <w:t xml:space="preserve">, </w:t>
            </w:r>
            <w:r w:rsidR="00745E49">
              <w:rPr>
                <w:rFonts w:ascii="Aptos" w:hAnsi="Aptos" w:cs="Arial"/>
                <w:sz w:val="24"/>
                <w:szCs w:val="24"/>
              </w:rPr>
              <w:t>(</w:t>
            </w:r>
            <w:r w:rsidRPr="0039604B">
              <w:rPr>
                <w:rFonts w:ascii="Aptos" w:hAnsi="Aptos" w:cs="Arial"/>
                <w:sz w:val="24"/>
                <w:szCs w:val="24"/>
              </w:rPr>
              <w:t>201</w:t>
            </w:r>
            <w:r w:rsidR="009D75EF">
              <w:rPr>
                <w:rFonts w:ascii="Aptos" w:hAnsi="Aptos" w:cs="Arial"/>
                <w:sz w:val="24"/>
                <w:szCs w:val="24"/>
              </w:rPr>
              <w:t>7</w:t>
            </w:r>
            <w:r w:rsidRPr="0039604B">
              <w:rPr>
                <w:rFonts w:ascii="Aptos" w:hAnsi="Aptos" w:cs="Arial"/>
                <w:sz w:val="24"/>
                <w:szCs w:val="24"/>
              </w:rPr>
              <w:t>). This is particularly relevant where historical ANPR data is retrospectively analysed to infer behaviour, associations or routines.</w:t>
            </w:r>
          </w:p>
          <w:p w14:paraId="211D38C5" w14:textId="77777777" w:rsidR="00CA395F" w:rsidRPr="0039604B" w:rsidRDefault="00CA395F" w:rsidP="00CA395F">
            <w:pPr>
              <w:rPr>
                <w:rFonts w:ascii="Aptos" w:hAnsi="Aptos" w:cs="Arial"/>
                <w:sz w:val="24"/>
                <w:szCs w:val="24"/>
              </w:rPr>
            </w:pPr>
          </w:p>
          <w:p w14:paraId="79179DC7" w14:textId="7D0D6727" w:rsidR="00CA395F" w:rsidRPr="0039604B" w:rsidRDefault="00CA395F" w:rsidP="00CA395F">
            <w:pPr>
              <w:rPr>
                <w:rFonts w:ascii="Aptos" w:hAnsi="Aptos" w:cs="Arial"/>
                <w:sz w:val="24"/>
                <w:szCs w:val="24"/>
              </w:rPr>
            </w:pPr>
            <w:r w:rsidRPr="0039604B">
              <w:rPr>
                <w:rFonts w:ascii="Aptos" w:hAnsi="Aptos" w:cs="Arial"/>
                <w:sz w:val="24"/>
                <w:szCs w:val="24"/>
              </w:rPr>
              <w:t xml:space="preserve">In contrast, some policing literature adopts a more permissive stance, suggesting that DSA requirements may impede operational efficiency and RIPA allows such use as a ‘Trigger’ to conduct interdictions. Proponents argue that ANPR operates in public spaces and therefore constitutes minimal intrusion, justifying more flexible access without formal authorisation Taylor, </w:t>
            </w:r>
            <w:r w:rsidR="001F408D">
              <w:rPr>
                <w:rFonts w:ascii="Aptos" w:hAnsi="Aptos" w:cs="Arial"/>
                <w:sz w:val="24"/>
                <w:szCs w:val="24"/>
              </w:rPr>
              <w:t>(</w:t>
            </w:r>
            <w:r w:rsidRPr="0039604B">
              <w:rPr>
                <w:rFonts w:ascii="Aptos" w:hAnsi="Aptos" w:cs="Arial"/>
                <w:sz w:val="24"/>
                <w:szCs w:val="24"/>
              </w:rPr>
              <w:t>2011). However, critical scholars challenge this view, invoking the “mosaic effect”, whereby aggregated data becomes significantly more intrusive than isolated observations</w:t>
            </w:r>
            <w:r w:rsidR="008A1FC8">
              <w:rPr>
                <w:rFonts w:ascii="Aptos" w:hAnsi="Aptos" w:cs="Arial"/>
                <w:sz w:val="24"/>
                <w:szCs w:val="24"/>
              </w:rPr>
              <w:t>,</w:t>
            </w:r>
            <w:r w:rsidRPr="0039604B">
              <w:rPr>
                <w:rFonts w:ascii="Aptos" w:hAnsi="Aptos" w:cs="Arial"/>
                <w:sz w:val="24"/>
                <w:szCs w:val="24"/>
              </w:rPr>
              <w:t xml:space="preserve"> </w:t>
            </w:r>
            <w:r w:rsidR="008A1FC8">
              <w:rPr>
                <w:rFonts w:ascii="Aptos" w:hAnsi="Aptos" w:cs="Arial"/>
                <w:sz w:val="24"/>
                <w:szCs w:val="24"/>
              </w:rPr>
              <w:t>Gray and Citron</w:t>
            </w:r>
            <w:r w:rsidRPr="0039604B">
              <w:rPr>
                <w:rFonts w:ascii="Aptos" w:hAnsi="Aptos" w:cs="Arial"/>
                <w:sz w:val="24"/>
                <w:szCs w:val="24"/>
              </w:rPr>
              <w:t xml:space="preserve">, </w:t>
            </w:r>
            <w:r w:rsidR="008A1FC8">
              <w:rPr>
                <w:rFonts w:ascii="Aptos" w:hAnsi="Aptos" w:cs="Arial"/>
                <w:sz w:val="24"/>
                <w:szCs w:val="24"/>
              </w:rPr>
              <w:t>(</w:t>
            </w:r>
            <w:r w:rsidRPr="0039604B">
              <w:rPr>
                <w:rFonts w:ascii="Aptos" w:hAnsi="Aptos" w:cs="Arial"/>
                <w:sz w:val="24"/>
                <w:szCs w:val="24"/>
              </w:rPr>
              <w:t>2018).</w:t>
            </w:r>
          </w:p>
          <w:p w14:paraId="1A0CCEAF" w14:textId="77777777" w:rsidR="00CA395F" w:rsidRPr="0039604B" w:rsidRDefault="00CA395F" w:rsidP="00CA395F">
            <w:pPr>
              <w:rPr>
                <w:rFonts w:ascii="Aptos" w:hAnsi="Aptos" w:cs="Arial"/>
                <w:sz w:val="24"/>
                <w:szCs w:val="24"/>
              </w:rPr>
            </w:pPr>
          </w:p>
          <w:p w14:paraId="7861DEEC" w14:textId="77777777" w:rsidR="00CA395F" w:rsidRPr="0039604B" w:rsidRDefault="00CA395F" w:rsidP="00CA395F">
            <w:pPr>
              <w:rPr>
                <w:rFonts w:ascii="Aptos" w:hAnsi="Aptos" w:cs="Arial"/>
                <w:sz w:val="24"/>
                <w:szCs w:val="24"/>
              </w:rPr>
            </w:pPr>
            <w:r w:rsidRPr="0039604B">
              <w:rPr>
                <w:rFonts w:ascii="Aptos" w:hAnsi="Aptos" w:cs="Arial"/>
                <w:sz w:val="24"/>
                <w:szCs w:val="24"/>
              </w:rPr>
              <w:t>Overall, contemporary academic debate supports the use of DSA as a necessary safeguard, ensuring that ANPR use remains legitimate, accountable and ethically defensible.</w:t>
            </w:r>
          </w:p>
          <w:p w14:paraId="312A2BBE" w14:textId="77777777" w:rsidR="00CA395F" w:rsidRPr="0039604B" w:rsidRDefault="00CA395F" w:rsidP="00CA395F">
            <w:pPr>
              <w:rPr>
                <w:rFonts w:ascii="Aptos" w:hAnsi="Aptos" w:cs="Arial"/>
                <w:sz w:val="24"/>
                <w:szCs w:val="24"/>
              </w:rPr>
            </w:pPr>
          </w:p>
          <w:p w14:paraId="5DB1EB49" w14:textId="77777777" w:rsidR="00CA395F" w:rsidRPr="0039604B" w:rsidRDefault="00CA395F" w:rsidP="00CA395F">
            <w:pPr>
              <w:rPr>
                <w:rFonts w:ascii="Aptos" w:hAnsi="Aptos" w:cs="Arial"/>
                <w:b/>
                <w:bCs/>
                <w:sz w:val="24"/>
                <w:szCs w:val="24"/>
              </w:rPr>
            </w:pPr>
            <w:r w:rsidRPr="0039604B">
              <w:rPr>
                <w:rFonts w:ascii="Aptos" w:hAnsi="Aptos" w:cs="Arial"/>
                <w:b/>
                <w:bCs/>
                <w:sz w:val="24"/>
                <w:szCs w:val="24"/>
              </w:rPr>
              <w:t>Software-Driven Analysis</w:t>
            </w:r>
          </w:p>
          <w:p w14:paraId="68CDA445" w14:textId="77777777" w:rsidR="00CA395F" w:rsidRPr="0039604B" w:rsidRDefault="00CA395F" w:rsidP="00CA395F">
            <w:pPr>
              <w:rPr>
                <w:rFonts w:ascii="Aptos" w:hAnsi="Aptos" w:cs="Arial"/>
                <w:b/>
                <w:bCs/>
                <w:sz w:val="24"/>
                <w:szCs w:val="24"/>
              </w:rPr>
            </w:pPr>
          </w:p>
          <w:p w14:paraId="0D9C2A90" w14:textId="77777777" w:rsidR="00CA395F" w:rsidRPr="0039604B" w:rsidRDefault="00CA395F" w:rsidP="00CA395F">
            <w:pPr>
              <w:rPr>
                <w:rFonts w:ascii="Aptos" w:hAnsi="Aptos" w:cs="Arial"/>
                <w:sz w:val="24"/>
                <w:szCs w:val="24"/>
              </w:rPr>
            </w:pPr>
            <w:r w:rsidRPr="0039604B">
              <w:rPr>
                <w:rFonts w:ascii="Aptos" w:hAnsi="Aptos" w:cs="Arial"/>
                <w:sz w:val="24"/>
                <w:szCs w:val="24"/>
              </w:rPr>
              <w:t>The development of bespoke analytical software significantly improved investigative efficiency and reduced unnecessary intrusion. By excluding clearly lawful vehicles, the investigation demonstrated adherence to proportionality and necessity. The inability to use Python scripting highlighted organisational constraints but also reinforced the importance of compliance with IT governance and information security policies.</w:t>
            </w:r>
          </w:p>
          <w:p w14:paraId="3B197E06" w14:textId="77777777" w:rsidR="00CA395F" w:rsidRPr="0039604B" w:rsidRDefault="00CA395F" w:rsidP="00CA395F">
            <w:pPr>
              <w:rPr>
                <w:rFonts w:ascii="Aptos" w:hAnsi="Aptos" w:cs="Arial"/>
                <w:sz w:val="24"/>
                <w:szCs w:val="24"/>
              </w:rPr>
            </w:pPr>
          </w:p>
          <w:p w14:paraId="5C04905C" w14:textId="4AC9B442" w:rsidR="00CA395F" w:rsidRPr="0039604B" w:rsidRDefault="00CA395F" w:rsidP="00CA395F">
            <w:pPr>
              <w:rPr>
                <w:rFonts w:ascii="Aptos" w:hAnsi="Aptos" w:cs="Arial"/>
                <w:b/>
                <w:bCs/>
                <w:sz w:val="24"/>
                <w:szCs w:val="24"/>
              </w:rPr>
            </w:pPr>
            <w:r w:rsidRPr="0039604B">
              <w:rPr>
                <w:rFonts w:ascii="Aptos" w:hAnsi="Aptos" w:cs="Arial"/>
                <w:b/>
                <w:bCs/>
                <w:sz w:val="24"/>
                <w:szCs w:val="24"/>
              </w:rPr>
              <w:t>Task 3</w:t>
            </w:r>
            <w:r w:rsidR="00C31004" w:rsidRPr="0039604B">
              <w:rPr>
                <w:rFonts w:ascii="Aptos" w:hAnsi="Aptos" w:cs="Arial"/>
                <w:b/>
                <w:bCs/>
                <w:sz w:val="24"/>
                <w:szCs w:val="24"/>
              </w:rPr>
              <w:t>d</w:t>
            </w:r>
            <w:r w:rsidRPr="0039604B">
              <w:rPr>
                <w:rFonts w:ascii="Aptos" w:hAnsi="Aptos" w:cs="Arial"/>
                <w:b/>
                <w:bCs/>
                <w:sz w:val="24"/>
                <w:szCs w:val="24"/>
              </w:rPr>
              <w:t>: Critically Evaluate how you applied specific legislation and/or powers to the investigation.</w:t>
            </w:r>
          </w:p>
          <w:p w14:paraId="384CB70C" w14:textId="77777777" w:rsidR="00CA395F" w:rsidRPr="0039604B" w:rsidRDefault="00CA395F" w:rsidP="00CA395F">
            <w:pPr>
              <w:rPr>
                <w:rFonts w:ascii="Aptos" w:hAnsi="Aptos" w:cs="Arial"/>
                <w:b/>
                <w:bCs/>
                <w:sz w:val="24"/>
                <w:szCs w:val="24"/>
              </w:rPr>
            </w:pPr>
          </w:p>
          <w:p w14:paraId="3622EDA4" w14:textId="77777777" w:rsidR="00CA395F" w:rsidRPr="0039604B" w:rsidRDefault="00CA395F" w:rsidP="00CA395F">
            <w:pPr>
              <w:rPr>
                <w:rFonts w:ascii="Aptos" w:hAnsi="Aptos" w:cs="Arial"/>
                <w:b/>
                <w:bCs/>
                <w:sz w:val="24"/>
                <w:szCs w:val="24"/>
              </w:rPr>
            </w:pPr>
            <w:r w:rsidRPr="0039604B">
              <w:rPr>
                <w:rFonts w:ascii="Aptos" w:hAnsi="Aptos" w:cs="Arial"/>
                <w:b/>
                <w:bCs/>
                <w:sz w:val="24"/>
                <w:szCs w:val="24"/>
              </w:rPr>
              <w:t>Misuse of Drugs Act 1971</w:t>
            </w:r>
          </w:p>
          <w:p w14:paraId="5EFA5F46" w14:textId="77777777" w:rsidR="00CA395F" w:rsidRPr="0039604B" w:rsidRDefault="00CA395F" w:rsidP="00CA395F">
            <w:pPr>
              <w:rPr>
                <w:rFonts w:ascii="Aptos" w:hAnsi="Aptos" w:cs="Arial"/>
                <w:b/>
                <w:bCs/>
                <w:sz w:val="24"/>
                <w:szCs w:val="24"/>
              </w:rPr>
            </w:pPr>
          </w:p>
          <w:p w14:paraId="75038CB5" w14:textId="77777777" w:rsidR="00CA395F" w:rsidRPr="0039604B" w:rsidRDefault="00CA395F" w:rsidP="00CA395F">
            <w:pPr>
              <w:rPr>
                <w:rFonts w:ascii="Aptos" w:hAnsi="Aptos" w:cs="Arial"/>
                <w:sz w:val="24"/>
                <w:szCs w:val="24"/>
              </w:rPr>
            </w:pPr>
            <w:r w:rsidRPr="0039604B">
              <w:rPr>
                <w:rFonts w:ascii="Aptos" w:hAnsi="Aptos" w:cs="Arial"/>
                <w:sz w:val="24"/>
                <w:szCs w:val="24"/>
              </w:rPr>
              <w:t>The MDA provided the substantive offence framework for the investigation. Evidence gathered through ANPR, phone data, and surveillance was used to demonstrate knowledge, intent, and participation in drug supply offences. The challenge lay in evidencing culpability for individuals presenting as low-level couriers.</w:t>
            </w:r>
          </w:p>
          <w:p w14:paraId="2439FDAE" w14:textId="77777777" w:rsidR="00CA395F" w:rsidRPr="0039604B" w:rsidRDefault="00CA395F" w:rsidP="00CA395F">
            <w:pPr>
              <w:rPr>
                <w:rFonts w:ascii="Aptos" w:hAnsi="Aptos" w:cs="Arial"/>
                <w:sz w:val="24"/>
                <w:szCs w:val="24"/>
              </w:rPr>
            </w:pPr>
            <w:r w:rsidRPr="0039604B">
              <w:rPr>
                <w:rFonts w:ascii="Aptos" w:hAnsi="Aptos" w:cs="Arial"/>
                <w:sz w:val="24"/>
                <w:szCs w:val="24"/>
              </w:rPr>
              <w:t>This required careful evidential construction to demonstrate that drivers were not merely incidental participants but knowingly engaged in criminal supply chains.</w:t>
            </w:r>
          </w:p>
          <w:p w14:paraId="7895DEE8" w14:textId="77777777" w:rsidR="00CA395F" w:rsidRPr="0039604B" w:rsidRDefault="00CA395F" w:rsidP="00CA395F">
            <w:pPr>
              <w:rPr>
                <w:rFonts w:ascii="Aptos" w:hAnsi="Aptos" w:cs="Arial"/>
                <w:sz w:val="24"/>
                <w:szCs w:val="24"/>
              </w:rPr>
            </w:pPr>
          </w:p>
          <w:p w14:paraId="5FC5D4D9" w14:textId="77777777" w:rsidR="00CA395F" w:rsidRPr="0039604B" w:rsidRDefault="00CA395F" w:rsidP="00CA395F">
            <w:pPr>
              <w:rPr>
                <w:rFonts w:ascii="Aptos" w:hAnsi="Aptos" w:cs="Arial"/>
                <w:b/>
                <w:bCs/>
                <w:sz w:val="24"/>
                <w:szCs w:val="24"/>
              </w:rPr>
            </w:pPr>
            <w:r w:rsidRPr="0039604B">
              <w:rPr>
                <w:rFonts w:ascii="Aptos" w:hAnsi="Aptos" w:cs="Arial"/>
                <w:b/>
                <w:bCs/>
                <w:sz w:val="24"/>
                <w:szCs w:val="24"/>
              </w:rPr>
              <w:t>Proceeds of Crime Act 2002</w:t>
            </w:r>
          </w:p>
          <w:p w14:paraId="08D7D524" w14:textId="77777777" w:rsidR="00CA395F" w:rsidRPr="0039604B" w:rsidRDefault="00CA395F" w:rsidP="00CA395F">
            <w:pPr>
              <w:rPr>
                <w:rFonts w:ascii="Aptos" w:hAnsi="Aptos" w:cs="Arial"/>
                <w:b/>
                <w:bCs/>
                <w:sz w:val="24"/>
                <w:szCs w:val="24"/>
              </w:rPr>
            </w:pPr>
          </w:p>
          <w:p w14:paraId="43838477" w14:textId="47E7909F" w:rsidR="00CA395F" w:rsidRPr="0039604B" w:rsidRDefault="00CA395F" w:rsidP="00CA395F">
            <w:pPr>
              <w:rPr>
                <w:rFonts w:ascii="Aptos" w:hAnsi="Aptos" w:cs="Arial"/>
                <w:sz w:val="24"/>
                <w:szCs w:val="24"/>
              </w:rPr>
            </w:pPr>
            <w:r w:rsidRPr="0039604B">
              <w:rPr>
                <w:rFonts w:ascii="Aptos" w:hAnsi="Aptos" w:cs="Arial"/>
                <w:sz w:val="24"/>
                <w:szCs w:val="24"/>
              </w:rPr>
              <w:t xml:space="preserve">The Proceeds of Crime Act 2002 (POCA) represents a central legislative tool in UK drug trafficking investigations by enabling law enforcement agencies to disrupt organised crime through financial deprivation. Rather than focusing solely on prosecution for drug supply offences, POCA allows investigators to target the economic incentives underpinning drug markets, reflecting a strategic shift towards “following the money” Levi, </w:t>
            </w:r>
            <w:r w:rsidR="00745E49">
              <w:rPr>
                <w:rFonts w:ascii="Aptos" w:hAnsi="Aptos" w:cs="Arial"/>
                <w:sz w:val="24"/>
                <w:szCs w:val="24"/>
              </w:rPr>
              <w:t>(</w:t>
            </w:r>
            <w:r w:rsidRPr="0039604B">
              <w:rPr>
                <w:rFonts w:ascii="Aptos" w:hAnsi="Aptos" w:cs="Arial"/>
                <w:sz w:val="24"/>
                <w:szCs w:val="24"/>
              </w:rPr>
              <w:t>2015). Confiscation, restraint and civil recovery powers are commonly used alongside drug trafficking charges to weaken criminal networks and prevent reinvestment into further criminal activity.</w:t>
            </w:r>
          </w:p>
          <w:p w14:paraId="277D97D5" w14:textId="77777777" w:rsidR="00CA395F" w:rsidRPr="0039604B" w:rsidRDefault="00CA395F" w:rsidP="00CA395F">
            <w:pPr>
              <w:rPr>
                <w:rFonts w:ascii="Aptos" w:hAnsi="Aptos" w:cs="Arial"/>
                <w:sz w:val="24"/>
                <w:szCs w:val="24"/>
              </w:rPr>
            </w:pPr>
          </w:p>
          <w:p w14:paraId="18368E9D" w14:textId="4BBDE506" w:rsidR="00CA395F" w:rsidRPr="0039604B" w:rsidRDefault="00CA395F" w:rsidP="00CA395F">
            <w:pPr>
              <w:rPr>
                <w:rFonts w:ascii="Aptos" w:hAnsi="Aptos" w:cs="Arial"/>
                <w:sz w:val="24"/>
                <w:szCs w:val="24"/>
              </w:rPr>
            </w:pPr>
            <w:r w:rsidRPr="0039604B">
              <w:rPr>
                <w:rFonts w:ascii="Aptos" w:hAnsi="Aptos" w:cs="Arial"/>
                <w:sz w:val="24"/>
                <w:szCs w:val="24"/>
              </w:rPr>
              <w:t>However, academic literature highlights significant limitations in POCA’s operational application. Financial investigations under POCA are complex and resource-intensive, often requiring specialist knowledge of accounting, international finance and emerging technologies. Drug trafficking groups increasingly exploit sophisticated laundering methods, including the use of cryptocurrencies and transnational money flows, which can exceed the capacity of many investigative units (</w:t>
            </w:r>
            <w:r w:rsidR="00C56E3F">
              <w:rPr>
                <w:rFonts w:ascii="Aptos" w:hAnsi="Aptos" w:cs="Arial"/>
                <w:sz w:val="24"/>
                <w:szCs w:val="24"/>
              </w:rPr>
              <w:t>NSA</w:t>
            </w:r>
            <w:r w:rsidR="00E75B33">
              <w:rPr>
                <w:rFonts w:ascii="Aptos" w:hAnsi="Aptos" w:cs="Arial"/>
                <w:sz w:val="24"/>
                <w:szCs w:val="24"/>
              </w:rPr>
              <w:t>-Illicit Finance</w:t>
            </w:r>
            <w:r w:rsidR="00C56E3F">
              <w:rPr>
                <w:rFonts w:ascii="Aptos" w:hAnsi="Aptos" w:cs="Arial"/>
                <w:sz w:val="24"/>
                <w:szCs w:val="24"/>
              </w:rPr>
              <w:t>, 2025)</w:t>
            </w:r>
            <w:r w:rsidRPr="0039604B">
              <w:rPr>
                <w:rFonts w:ascii="Aptos" w:hAnsi="Aptos" w:cs="Arial"/>
                <w:sz w:val="24"/>
                <w:szCs w:val="24"/>
              </w:rPr>
              <w:t>. Consequently, POCA is often more effective in lower-level cases involving cash seizures than in dismantling complex organised crime networks.</w:t>
            </w:r>
          </w:p>
          <w:p w14:paraId="0009D469" w14:textId="77777777" w:rsidR="00CA395F" w:rsidRPr="0039604B" w:rsidRDefault="00CA395F" w:rsidP="00CA395F">
            <w:pPr>
              <w:rPr>
                <w:rFonts w:ascii="Aptos" w:hAnsi="Aptos" w:cs="Arial"/>
                <w:sz w:val="24"/>
                <w:szCs w:val="24"/>
              </w:rPr>
            </w:pPr>
          </w:p>
          <w:p w14:paraId="14267C8A" w14:textId="69DB3A7D" w:rsidR="00CA395F" w:rsidRPr="0039604B" w:rsidRDefault="00CA395F" w:rsidP="00CA395F">
            <w:pPr>
              <w:rPr>
                <w:rFonts w:ascii="Aptos" w:hAnsi="Aptos" w:cs="Arial"/>
                <w:sz w:val="24"/>
                <w:szCs w:val="24"/>
              </w:rPr>
            </w:pPr>
            <w:r w:rsidRPr="0039604B">
              <w:rPr>
                <w:rFonts w:ascii="Aptos" w:hAnsi="Aptos" w:cs="Arial"/>
                <w:sz w:val="24"/>
                <w:szCs w:val="24"/>
              </w:rPr>
              <w:t>Concerns have also been raised regarding proportionality and fairness. The statutory assumptions applied in benefit calculations may overestimate criminal gain, shifting the burden of proof onto defendants and raising compatibility issues with Article 6 of the European Convention on Human Rights</w:t>
            </w:r>
            <w:r w:rsidR="00745E49">
              <w:rPr>
                <w:rFonts w:ascii="Aptos" w:hAnsi="Aptos" w:cs="Arial"/>
                <w:sz w:val="24"/>
                <w:szCs w:val="24"/>
              </w:rPr>
              <w:t xml:space="preserve">, </w:t>
            </w:r>
            <w:r w:rsidRPr="0039604B">
              <w:rPr>
                <w:rFonts w:ascii="Aptos" w:hAnsi="Aptos" w:cs="Arial"/>
                <w:sz w:val="24"/>
                <w:szCs w:val="24"/>
              </w:rPr>
              <w:t xml:space="preserve">Ashworth and </w:t>
            </w:r>
            <w:proofErr w:type="spellStart"/>
            <w:r w:rsidRPr="0039604B">
              <w:rPr>
                <w:rFonts w:ascii="Aptos" w:hAnsi="Aptos" w:cs="Arial"/>
                <w:sz w:val="24"/>
                <w:szCs w:val="24"/>
              </w:rPr>
              <w:t>Zedner</w:t>
            </w:r>
            <w:proofErr w:type="spellEnd"/>
            <w:r w:rsidRPr="0039604B">
              <w:rPr>
                <w:rFonts w:ascii="Aptos" w:hAnsi="Aptos" w:cs="Arial"/>
                <w:sz w:val="24"/>
                <w:szCs w:val="24"/>
              </w:rPr>
              <w:t xml:space="preserve">, </w:t>
            </w:r>
            <w:r w:rsidR="00745E49">
              <w:rPr>
                <w:rFonts w:ascii="Aptos" w:hAnsi="Aptos" w:cs="Arial"/>
                <w:sz w:val="24"/>
                <w:szCs w:val="24"/>
              </w:rPr>
              <w:t>(</w:t>
            </w:r>
            <w:r w:rsidRPr="0039604B">
              <w:rPr>
                <w:rFonts w:ascii="Aptos" w:hAnsi="Aptos" w:cs="Arial"/>
                <w:sz w:val="24"/>
                <w:szCs w:val="24"/>
              </w:rPr>
              <w:t>2014). Furthermore, low enforcement and recovery rates of confiscation orders undermine POCA’s deterrent effect, limiting its overall impact.</w:t>
            </w:r>
          </w:p>
          <w:p w14:paraId="23847D0C" w14:textId="77777777" w:rsidR="00CA395F" w:rsidRPr="0039604B" w:rsidRDefault="00CA395F" w:rsidP="00CA395F">
            <w:pPr>
              <w:rPr>
                <w:rFonts w:ascii="Aptos" w:hAnsi="Aptos" w:cs="Arial"/>
                <w:sz w:val="24"/>
                <w:szCs w:val="24"/>
              </w:rPr>
            </w:pPr>
          </w:p>
          <w:p w14:paraId="2CBDFE5C" w14:textId="77777777" w:rsidR="00CA395F" w:rsidRPr="0039604B" w:rsidRDefault="00CA395F" w:rsidP="00CA395F">
            <w:pPr>
              <w:rPr>
                <w:rFonts w:ascii="Aptos" w:hAnsi="Aptos" w:cs="Arial"/>
                <w:sz w:val="24"/>
                <w:szCs w:val="24"/>
              </w:rPr>
            </w:pPr>
            <w:r w:rsidRPr="0039604B">
              <w:rPr>
                <w:rFonts w:ascii="Aptos" w:hAnsi="Aptos" w:cs="Arial"/>
                <w:sz w:val="24"/>
                <w:szCs w:val="24"/>
              </w:rPr>
              <w:t>Overall, while POCA remains a powerful investigative tool in drug trafficking cases, its effectiveness is constrained by legal complexity, resource limitations and enforcement challenges.</w:t>
            </w:r>
          </w:p>
          <w:p w14:paraId="541338BB" w14:textId="77777777" w:rsidR="00CA395F" w:rsidRPr="0039604B" w:rsidRDefault="00CA395F" w:rsidP="00CA395F">
            <w:pPr>
              <w:rPr>
                <w:rFonts w:ascii="Aptos" w:hAnsi="Aptos" w:cs="Arial"/>
                <w:sz w:val="24"/>
                <w:szCs w:val="24"/>
              </w:rPr>
            </w:pPr>
          </w:p>
          <w:p w14:paraId="0FD3DE40" w14:textId="77777777" w:rsidR="00CA395F" w:rsidRPr="0039604B" w:rsidRDefault="00CA395F" w:rsidP="00CA395F">
            <w:pPr>
              <w:rPr>
                <w:rFonts w:ascii="Aptos" w:hAnsi="Aptos" w:cs="Arial"/>
                <w:b/>
                <w:bCs/>
                <w:sz w:val="24"/>
                <w:szCs w:val="24"/>
              </w:rPr>
            </w:pPr>
            <w:r w:rsidRPr="0039604B">
              <w:rPr>
                <w:rFonts w:ascii="Aptos" w:hAnsi="Aptos" w:cs="Arial"/>
                <w:b/>
                <w:bCs/>
                <w:sz w:val="24"/>
                <w:szCs w:val="24"/>
              </w:rPr>
              <w:t>RIPA and Surveillance Powers</w:t>
            </w:r>
          </w:p>
          <w:p w14:paraId="09832AF4" w14:textId="77777777" w:rsidR="00CA395F" w:rsidRPr="0039604B" w:rsidRDefault="00CA395F" w:rsidP="00CA395F">
            <w:pPr>
              <w:rPr>
                <w:rFonts w:ascii="Aptos" w:hAnsi="Aptos" w:cs="Arial"/>
                <w:b/>
                <w:bCs/>
                <w:sz w:val="24"/>
                <w:szCs w:val="24"/>
              </w:rPr>
            </w:pPr>
          </w:p>
          <w:p w14:paraId="4E01F406" w14:textId="77777777" w:rsidR="00CA395F" w:rsidRPr="0039604B" w:rsidRDefault="00CA395F" w:rsidP="00CA395F">
            <w:pPr>
              <w:rPr>
                <w:rFonts w:ascii="Aptos" w:hAnsi="Aptos" w:cs="Arial"/>
                <w:sz w:val="24"/>
                <w:szCs w:val="24"/>
              </w:rPr>
            </w:pPr>
            <w:r w:rsidRPr="0039604B">
              <w:rPr>
                <w:rFonts w:ascii="Aptos" w:hAnsi="Aptos" w:cs="Arial"/>
                <w:sz w:val="24"/>
                <w:szCs w:val="24"/>
              </w:rPr>
              <w:t xml:space="preserve">The application of RIPA powers ensured that surveillance activity was lawful and proportionate. Regular reviews ensured continued necessity, and all activity </w:t>
            </w:r>
            <w:proofErr w:type="gramStart"/>
            <w:r w:rsidRPr="0039604B">
              <w:rPr>
                <w:rFonts w:ascii="Aptos" w:hAnsi="Aptos" w:cs="Arial"/>
                <w:sz w:val="24"/>
                <w:szCs w:val="24"/>
              </w:rPr>
              <w:t>was capable of standing</w:t>
            </w:r>
            <w:proofErr w:type="gramEnd"/>
            <w:r w:rsidRPr="0039604B">
              <w:rPr>
                <w:rFonts w:ascii="Aptos" w:hAnsi="Aptos" w:cs="Arial"/>
                <w:sz w:val="24"/>
                <w:szCs w:val="24"/>
              </w:rPr>
              <w:t xml:space="preserve"> up to IPCO and judicial scrutiny. This legislative framework provided legitimacy and protected both investigators and the organisation.</w:t>
            </w:r>
          </w:p>
          <w:p w14:paraId="3BFB5B8D" w14:textId="659D4479" w:rsidR="00CA395F" w:rsidRPr="0039604B" w:rsidRDefault="00CA395F" w:rsidP="00CA395F">
            <w:pPr>
              <w:rPr>
                <w:rFonts w:ascii="Aptos" w:hAnsi="Aptos" w:cs="Arial"/>
                <w:sz w:val="24"/>
                <w:szCs w:val="24"/>
              </w:rPr>
            </w:pPr>
            <w:r w:rsidRPr="0039604B">
              <w:rPr>
                <w:rFonts w:ascii="Aptos" w:hAnsi="Aptos" w:cs="Arial"/>
                <w:sz w:val="24"/>
                <w:szCs w:val="24"/>
              </w:rPr>
              <w:t>Academic debate surrounding the use of Automatic Number Plate Recognition (ANPR) on roadways presents a more critical perspective than that offered by Taylor (2011). Their study suggested that ANPR was broadly accepted as a form of routine social monitoring and could support policing objectives with limited public resistance, particularly where its use aligned with crime prevention narratives. However, subsequent literature challenges both the assumed effectiveness of ANPR and the extent of public acceptance.</w:t>
            </w:r>
          </w:p>
          <w:p w14:paraId="34F4141A" w14:textId="77777777" w:rsidR="00CA395F" w:rsidRPr="0039604B" w:rsidRDefault="00CA395F" w:rsidP="00CA395F">
            <w:pPr>
              <w:rPr>
                <w:rFonts w:ascii="Aptos" w:hAnsi="Aptos" w:cs="Arial"/>
                <w:sz w:val="24"/>
                <w:szCs w:val="24"/>
              </w:rPr>
            </w:pPr>
          </w:p>
          <w:p w14:paraId="12B40828" w14:textId="666473C5" w:rsidR="00CA395F" w:rsidRPr="0039604B" w:rsidRDefault="00CA395F" w:rsidP="00CA395F">
            <w:pPr>
              <w:rPr>
                <w:rFonts w:ascii="Aptos" w:hAnsi="Aptos" w:cs="Arial"/>
                <w:sz w:val="24"/>
                <w:szCs w:val="24"/>
              </w:rPr>
            </w:pPr>
            <w:r w:rsidRPr="0039604B">
              <w:rPr>
                <w:rFonts w:ascii="Aptos" w:hAnsi="Aptos" w:cs="Arial"/>
                <w:sz w:val="24"/>
                <w:szCs w:val="24"/>
              </w:rPr>
              <w:t>Later empirical studies argue that ANPR’s crime reduction impact is often overstated. Lum et al. (2011) contend that while ANPR may enhance detection and investigative efficiency, there is limited evidence that its deployment alone leads to sustained reductions in vehicle-related crime. This challenges the instrumental framing adopted by Taylor</w:t>
            </w:r>
            <w:r w:rsidR="001F408D">
              <w:rPr>
                <w:rFonts w:ascii="Aptos" w:hAnsi="Aptos" w:cs="Arial"/>
                <w:sz w:val="24"/>
                <w:szCs w:val="24"/>
              </w:rPr>
              <w:t xml:space="preserve"> </w:t>
            </w:r>
            <w:r w:rsidRPr="0039604B">
              <w:rPr>
                <w:rFonts w:ascii="Aptos" w:hAnsi="Aptos" w:cs="Arial"/>
                <w:sz w:val="24"/>
                <w:szCs w:val="24"/>
              </w:rPr>
              <w:t>(2011), suggesting that technological surveillance does not automatically translate into improved policing outcomes without strategic integration.</w:t>
            </w:r>
          </w:p>
          <w:p w14:paraId="1FA9B0CA" w14:textId="77777777" w:rsidR="00CA395F" w:rsidRPr="0039604B" w:rsidRDefault="00CA395F" w:rsidP="00CA395F">
            <w:pPr>
              <w:rPr>
                <w:rFonts w:ascii="Aptos" w:hAnsi="Aptos" w:cs="Arial"/>
                <w:sz w:val="24"/>
                <w:szCs w:val="24"/>
              </w:rPr>
            </w:pPr>
          </w:p>
          <w:p w14:paraId="4BEFE915" w14:textId="77777777" w:rsidR="00CA395F" w:rsidRPr="0039604B" w:rsidRDefault="00CA395F" w:rsidP="00CA395F">
            <w:pPr>
              <w:rPr>
                <w:rFonts w:ascii="Aptos" w:hAnsi="Aptos" w:cs="Arial"/>
                <w:sz w:val="24"/>
                <w:szCs w:val="24"/>
              </w:rPr>
            </w:pPr>
            <w:r w:rsidRPr="0039604B">
              <w:rPr>
                <w:rFonts w:ascii="Aptos" w:hAnsi="Aptos" w:cs="Arial"/>
                <w:sz w:val="24"/>
                <w:szCs w:val="24"/>
              </w:rPr>
              <w:t xml:space="preserve">Furthermore, critical socio-legal scholarship questions the notion of public acceptance of ANPR as benign monitoring. Woods (2017) argues that large-scale collection and retention of vehicle movement data raises significant privacy and </w:t>
            </w:r>
            <w:r w:rsidRPr="0039604B">
              <w:rPr>
                <w:rFonts w:ascii="Aptos" w:hAnsi="Aptos" w:cs="Arial"/>
                <w:sz w:val="24"/>
                <w:szCs w:val="24"/>
              </w:rPr>
              <w:lastRenderedPageBreak/>
              <w:t xml:space="preserve">proportionality concerns, particularly when data aggregation enables detailed profiling of individuals’ routines. </w:t>
            </w:r>
          </w:p>
          <w:p w14:paraId="4DCDB135" w14:textId="77777777" w:rsidR="00CA395F" w:rsidRPr="0039604B" w:rsidRDefault="00CA395F" w:rsidP="00CA395F">
            <w:pPr>
              <w:rPr>
                <w:rFonts w:ascii="Aptos" w:hAnsi="Aptos" w:cs="Arial"/>
                <w:sz w:val="24"/>
                <w:szCs w:val="24"/>
              </w:rPr>
            </w:pPr>
          </w:p>
          <w:p w14:paraId="67140B47" w14:textId="059FA5E2" w:rsidR="00CA395F" w:rsidRDefault="00CA395F" w:rsidP="00CA395F">
            <w:pPr>
              <w:rPr>
                <w:rFonts w:ascii="Aptos" w:hAnsi="Aptos" w:cs="Arial"/>
                <w:sz w:val="24"/>
                <w:szCs w:val="24"/>
              </w:rPr>
            </w:pPr>
            <w:r w:rsidRPr="0039604B">
              <w:rPr>
                <w:rFonts w:ascii="Aptos" w:hAnsi="Aptos" w:cs="Arial"/>
                <w:sz w:val="24"/>
                <w:szCs w:val="24"/>
              </w:rPr>
              <w:t>Academic literature increasingly positions acceptance of ANPR as conditional rather than implicit. Trust, transparency and governance frameworks are central to legitimacy. In contrast to Taylor (2011), contemporary research suggests that without robust safeguards, ANPR risks undermining public confidence and normalising intrusive social monitoring beyond its original policing purpose.</w:t>
            </w:r>
            <w:r w:rsidR="0040307A">
              <w:rPr>
                <w:rFonts w:ascii="Aptos" w:hAnsi="Aptos" w:cs="Arial"/>
                <w:sz w:val="24"/>
                <w:szCs w:val="24"/>
              </w:rPr>
              <w:t xml:space="preserve"> </w:t>
            </w:r>
          </w:p>
          <w:p w14:paraId="4D2C7F9A" w14:textId="6E224529" w:rsidR="0040307A" w:rsidRPr="0040307A" w:rsidRDefault="0040307A" w:rsidP="0040307A">
            <w:pPr>
              <w:shd w:val="clear" w:color="auto" w:fill="FFFFFF"/>
              <w:spacing w:before="360" w:after="360"/>
              <w:rPr>
                <w:rFonts w:ascii="Aptos" w:eastAsia="Times New Roman" w:hAnsi="Aptos" w:cs="Times New Roman"/>
                <w:color w:val="0B0C0C"/>
                <w:sz w:val="24"/>
                <w:szCs w:val="24"/>
                <w:lang w:eastAsia="en-GB"/>
              </w:rPr>
            </w:pPr>
            <w:r w:rsidRPr="0040307A">
              <w:rPr>
                <w:rFonts w:ascii="Aptos" w:eastAsia="Times New Roman" w:hAnsi="Aptos" w:cs="Times New Roman"/>
                <w:color w:val="0B0C0C"/>
                <w:sz w:val="24"/>
                <w:szCs w:val="24"/>
                <w:lang w:eastAsia="en-GB"/>
              </w:rPr>
              <w:t xml:space="preserve">The Technology Advisory Panel (TAP) regularly provides independent advice to the Investigatory Powers Commissioner, </w:t>
            </w:r>
            <w:r>
              <w:rPr>
                <w:rFonts w:ascii="Aptos" w:eastAsia="Times New Roman" w:hAnsi="Aptos" w:cs="Times New Roman"/>
                <w:color w:val="0B0C0C"/>
                <w:sz w:val="24"/>
                <w:szCs w:val="24"/>
                <w:lang w:eastAsia="en-GB"/>
              </w:rPr>
              <w:t xml:space="preserve">(IPCO) </w:t>
            </w:r>
            <w:r w:rsidRPr="0040307A">
              <w:rPr>
                <w:rFonts w:ascii="Aptos" w:eastAsia="Times New Roman" w:hAnsi="Aptos" w:cs="Times New Roman"/>
                <w:color w:val="0B0C0C"/>
                <w:sz w:val="24"/>
                <w:szCs w:val="24"/>
                <w:lang w:eastAsia="en-GB"/>
              </w:rPr>
              <w:t xml:space="preserve">and his team, on a wide range of technical and scientific topics relating to the </w:t>
            </w:r>
            <w:bookmarkStart w:id="3" w:name="_Hlk219456260"/>
            <w:r w:rsidRPr="0040307A">
              <w:rPr>
                <w:rFonts w:ascii="Aptos" w:eastAsia="Times New Roman" w:hAnsi="Aptos" w:cs="Times New Roman"/>
                <w:color w:val="0B0C0C"/>
                <w:sz w:val="24"/>
                <w:szCs w:val="24"/>
                <w:lang w:eastAsia="en-GB"/>
              </w:rPr>
              <w:t>Investigatory Powers Act (2016).</w:t>
            </w:r>
            <w:bookmarkEnd w:id="3"/>
          </w:p>
          <w:p w14:paraId="3F280B17" w14:textId="30726603" w:rsidR="0040307A" w:rsidRPr="0040307A" w:rsidRDefault="0040307A" w:rsidP="0040307A">
            <w:pPr>
              <w:shd w:val="clear" w:color="auto" w:fill="FFFFFF"/>
              <w:spacing w:before="360" w:after="360"/>
              <w:rPr>
                <w:rFonts w:ascii="Aptos" w:eastAsia="Times New Roman" w:hAnsi="Aptos" w:cs="Times New Roman"/>
                <w:color w:val="0B0C0C"/>
                <w:sz w:val="24"/>
                <w:szCs w:val="24"/>
                <w:lang w:eastAsia="en-GB"/>
              </w:rPr>
            </w:pPr>
            <w:r w:rsidRPr="0040307A">
              <w:rPr>
                <w:rFonts w:ascii="Aptos" w:eastAsia="Times New Roman" w:hAnsi="Aptos" w:cs="Times New Roman"/>
                <w:color w:val="0B0C0C"/>
                <w:sz w:val="24"/>
                <w:szCs w:val="24"/>
                <w:lang w:eastAsia="en-GB"/>
              </w:rPr>
              <w:t>Advice may be written or verbal and can vary in length and detail. Although much is too sensitive to be published, where possible unclassified versions will be made available publicly as samples of the type of advice provided to the Investigatory Powers Commissioner.</w:t>
            </w:r>
            <w:r>
              <w:rPr>
                <w:rFonts w:ascii="Aptos" w:eastAsia="Times New Roman" w:hAnsi="Aptos" w:cs="Times New Roman"/>
                <w:color w:val="0B0C0C"/>
                <w:sz w:val="24"/>
                <w:szCs w:val="24"/>
                <w:lang w:eastAsia="en-GB"/>
              </w:rPr>
              <w:t xml:space="preserve"> This independent oversight maintains consistency </w:t>
            </w:r>
            <w:r w:rsidR="009B703C">
              <w:rPr>
                <w:rFonts w:ascii="Aptos" w:eastAsia="Times New Roman" w:hAnsi="Aptos" w:cs="Times New Roman"/>
                <w:color w:val="0B0C0C"/>
                <w:sz w:val="24"/>
                <w:szCs w:val="24"/>
                <w:lang w:eastAsia="en-GB"/>
              </w:rPr>
              <w:t xml:space="preserve">and appropriate legislative use </w:t>
            </w:r>
            <w:r>
              <w:rPr>
                <w:rFonts w:ascii="Aptos" w:eastAsia="Times New Roman" w:hAnsi="Aptos" w:cs="Times New Roman"/>
                <w:color w:val="0B0C0C"/>
                <w:sz w:val="24"/>
                <w:szCs w:val="24"/>
                <w:lang w:eastAsia="en-GB"/>
              </w:rPr>
              <w:t>across UK</w:t>
            </w:r>
            <w:r w:rsidR="009B703C">
              <w:rPr>
                <w:rFonts w:ascii="Aptos" w:eastAsia="Times New Roman" w:hAnsi="Aptos" w:cs="Times New Roman"/>
                <w:color w:val="0B0C0C"/>
                <w:sz w:val="24"/>
                <w:szCs w:val="24"/>
                <w:lang w:eastAsia="en-GB"/>
              </w:rPr>
              <w:t xml:space="preserve"> Policing</w:t>
            </w:r>
            <w:r>
              <w:rPr>
                <w:rFonts w:ascii="Aptos" w:eastAsia="Times New Roman" w:hAnsi="Aptos" w:cs="Times New Roman"/>
                <w:color w:val="0B0C0C"/>
                <w:sz w:val="24"/>
                <w:szCs w:val="24"/>
                <w:lang w:eastAsia="en-GB"/>
              </w:rPr>
              <w:t xml:space="preserve"> and Mitigates the </w:t>
            </w:r>
            <w:r w:rsidR="009B703C">
              <w:rPr>
                <w:rFonts w:ascii="Aptos" w:eastAsia="Times New Roman" w:hAnsi="Aptos" w:cs="Times New Roman"/>
                <w:color w:val="0B0C0C"/>
                <w:sz w:val="24"/>
                <w:szCs w:val="24"/>
                <w:lang w:eastAsia="en-GB"/>
              </w:rPr>
              <w:t>misuse of personal data.</w:t>
            </w:r>
          </w:p>
          <w:p w14:paraId="79D34DC7" w14:textId="77777777" w:rsidR="0040307A" w:rsidRPr="0039604B" w:rsidRDefault="0040307A" w:rsidP="00CA395F">
            <w:pPr>
              <w:rPr>
                <w:rFonts w:ascii="Aptos" w:hAnsi="Aptos" w:cs="Arial"/>
                <w:sz w:val="24"/>
                <w:szCs w:val="24"/>
              </w:rPr>
            </w:pPr>
          </w:p>
          <w:p w14:paraId="6344746A" w14:textId="77777777" w:rsidR="00CA395F" w:rsidRPr="0039604B" w:rsidRDefault="00CA395F" w:rsidP="00CA395F">
            <w:pPr>
              <w:rPr>
                <w:rFonts w:ascii="Aptos" w:hAnsi="Aptos" w:cs="Arial"/>
                <w:sz w:val="24"/>
                <w:szCs w:val="24"/>
              </w:rPr>
            </w:pPr>
          </w:p>
          <w:p w14:paraId="5432E165" w14:textId="03279F5B" w:rsidR="00CA395F" w:rsidRPr="0039604B" w:rsidRDefault="00CA395F" w:rsidP="00CA395F">
            <w:pPr>
              <w:rPr>
                <w:rFonts w:ascii="Aptos" w:hAnsi="Aptos" w:cs="Arial"/>
                <w:sz w:val="24"/>
                <w:szCs w:val="24"/>
              </w:rPr>
            </w:pPr>
            <w:r w:rsidRPr="0039604B">
              <w:rPr>
                <w:rFonts w:ascii="Aptos" w:hAnsi="Aptos" w:cs="Arial"/>
                <w:sz w:val="24"/>
                <w:szCs w:val="24"/>
              </w:rPr>
              <w:t xml:space="preserve">Total Word Count: </w:t>
            </w:r>
            <w:r w:rsidR="009B703C">
              <w:rPr>
                <w:rFonts w:ascii="Aptos" w:hAnsi="Aptos" w:cs="Arial"/>
                <w:sz w:val="24"/>
                <w:szCs w:val="24"/>
              </w:rPr>
              <w:t>2020</w:t>
            </w:r>
          </w:p>
          <w:p w14:paraId="02F2C34E" w14:textId="77777777" w:rsidR="00CA395F" w:rsidRDefault="00CA395F">
            <w:pPr>
              <w:rPr>
                <w:rFonts w:ascii="Arial" w:eastAsia="Arial" w:hAnsi="Arial" w:cs="Arial"/>
                <w:b/>
                <w:color w:val="000000"/>
                <w:sz w:val="24"/>
                <w:szCs w:val="24"/>
              </w:rPr>
            </w:pPr>
          </w:p>
        </w:tc>
      </w:tr>
    </w:tbl>
    <w:p w14:paraId="680A4E5D" w14:textId="77777777" w:rsidR="00C66036" w:rsidRDefault="00C66036">
      <w:pPr>
        <w:ind w:left="3600" w:right="107" w:firstLine="720"/>
        <w:jc w:val="both"/>
        <w:rPr>
          <w:rFonts w:ascii="Arial" w:eastAsia="Arial" w:hAnsi="Arial" w:cs="Arial"/>
          <w:b/>
          <w:color w:val="000000"/>
          <w:sz w:val="24"/>
          <w:szCs w:val="24"/>
        </w:rPr>
      </w:pPr>
    </w:p>
    <w:p w14:paraId="19219836" w14:textId="77777777" w:rsidR="00C66036" w:rsidRDefault="00C66036">
      <w:pPr>
        <w:ind w:right="107"/>
        <w:jc w:val="both"/>
        <w:rPr>
          <w:rFonts w:ascii="Arial" w:eastAsia="Arial" w:hAnsi="Arial" w:cs="Arial"/>
          <w:b/>
          <w:color w:val="000000"/>
          <w:sz w:val="24"/>
          <w:szCs w:val="24"/>
        </w:rPr>
      </w:pPr>
    </w:p>
    <w:p w14:paraId="296FEF7D" w14:textId="77777777" w:rsidR="00C66036" w:rsidRDefault="00C66036">
      <w:pPr>
        <w:ind w:right="107"/>
        <w:jc w:val="both"/>
        <w:rPr>
          <w:rFonts w:ascii="Arial" w:eastAsia="Arial" w:hAnsi="Arial" w:cs="Arial"/>
          <w:b/>
          <w:color w:val="000000"/>
          <w:sz w:val="24"/>
          <w:szCs w:val="24"/>
        </w:rPr>
      </w:pPr>
    </w:p>
    <w:p w14:paraId="62871D7F" w14:textId="77777777" w:rsidR="00C66036" w:rsidRDefault="009A442B">
      <w:pPr>
        <w:ind w:right="107"/>
        <w:jc w:val="both"/>
        <w:rPr>
          <w:rFonts w:ascii="Arial" w:eastAsia="Arial" w:hAnsi="Arial" w:cs="Arial"/>
          <w:b/>
          <w:i/>
          <w:color w:val="000000"/>
          <w:sz w:val="24"/>
          <w:szCs w:val="24"/>
        </w:rPr>
      </w:pPr>
      <w:r>
        <w:rPr>
          <w:rFonts w:ascii="Arial" w:eastAsia="Arial" w:hAnsi="Arial" w:cs="Arial"/>
          <w:b/>
          <w:i/>
          <w:color w:val="000000"/>
          <w:sz w:val="24"/>
          <w:szCs w:val="24"/>
        </w:rPr>
        <w:t>Task 4: Investigation Methodology &amp; Theory</w:t>
      </w:r>
    </w:p>
    <w:tbl>
      <w:tblPr>
        <w:tblStyle w:val="a3"/>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C66036" w14:paraId="29B462D3" w14:textId="77777777">
        <w:tc>
          <w:tcPr>
            <w:tcW w:w="9015" w:type="dxa"/>
          </w:tcPr>
          <w:p w14:paraId="7194DBDC" w14:textId="77777777" w:rsidR="00C66036" w:rsidRDefault="00C66036">
            <w:pPr>
              <w:rPr>
                <w:rFonts w:ascii="Arial" w:eastAsia="Arial" w:hAnsi="Arial" w:cs="Arial"/>
                <w:b/>
                <w:color w:val="000000"/>
                <w:sz w:val="24"/>
                <w:szCs w:val="24"/>
              </w:rPr>
            </w:pPr>
          </w:p>
          <w:p w14:paraId="19EE9B2D" w14:textId="77777777" w:rsidR="00C66036" w:rsidRDefault="009A442B">
            <w:pPr>
              <w:rPr>
                <w:rFonts w:ascii="Arial" w:eastAsia="Arial" w:hAnsi="Arial" w:cs="Arial"/>
                <w:color w:val="000000"/>
                <w:sz w:val="24"/>
                <w:szCs w:val="24"/>
              </w:rPr>
            </w:pPr>
            <w:r>
              <w:rPr>
                <w:rFonts w:ascii="Arial" w:eastAsia="Arial" w:hAnsi="Arial" w:cs="Arial"/>
                <w:color w:val="000000"/>
                <w:sz w:val="24"/>
                <w:szCs w:val="24"/>
              </w:rPr>
              <w:t>4a. Research and critically analyse current theories and methodologies relevant to your own specified area of investigation (</w:t>
            </w:r>
            <w:r>
              <w:rPr>
                <w:rFonts w:ascii="Arial" w:eastAsia="Arial" w:hAnsi="Arial" w:cs="Arial"/>
                <w:i/>
                <w:color w:val="000000"/>
                <w:sz w:val="24"/>
                <w:szCs w:val="24"/>
              </w:rPr>
              <w:t>e.g., use of specialist interviewing techniques, crime scene management, NDM, intelligence etc.)</w:t>
            </w:r>
            <w:r>
              <w:rPr>
                <w:rFonts w:ascii="Arial" w:eastAsia="Arial" w:hAnsi="Arial" w:cs="Arial"/>
                <w:color w:val="000000"/>
                <w:sz w:val="24"/>
                <w:szCs w:val="24"/>
              </w:rPr>
              <w:t xml:space="preserve">. </w:t>
            </w:r>
          </w:p>
          <w:p w14:paraId="769D0D3C" w14:textId="77777777" w:rsidR="00C66036" w:rsidRDefault="00C66036">
            <w:pPr>
              <w:rPr>
                <w:rFonts w:ascii="Arial" w:eastAsia="Arial" w:hAnsi="Arial" w:cs="Arial"/>
                <w:color w:val="000000"/>
                <w:sz w:val="24"/>
                <w:szCs w:val="24"/>
              </w:rPr>
            </w:pPr>
          </w:p>
          <w:p w14:paraId="5B715A6D" w14:textId="77777777" w:rsidR="00C66036" w:rsidRDefault="009A442B">
            <w:pPr>
              <w:rPr>
                <w:rFonts w:ascii="Arial" w:eastAsia="Arial" w:hAnsi="Arial" w:cs="Arial"/>
                <w:color w:val="000000"/>
                <w:sz w:val="24"/>
                <w:szCs w:val="24"/>
              </w:rPr>
            </w:pPr>
            <w:r>
              <w:rPr>
                <w:rFonts w:ascii="Arial" w:eastAsia="Arial" w:hAnsi="Arial" w:cs="Arial"/>
                <w:color w:val="000000"/>
                <w:sz w:val="24"/>
                <w:szCs w:val="24"/>
              </w:rPr>
              <w:t xml:space="preserve">4b. Evaluate the importance of applying skills, knowledge and experience to reach appropriate investigative outcomes. </w:t>
            </w:r>
          </w:p>
          <w:p w14:paraId="54CD245A" w14:textId="77777777" w:rsidR="00C66036" w:rsidRDefault="00C66036">
            <w:pPr>
              <w:rPr>
                <w:rFonts w:ascii="Arial" w:eastAsia="Arial" w:hAnsi="Arial" w:cs="Arial"/>
                <w:color w:val="000000"/>
                <w:sz w:val="24"/>
                <w:szCs w:val="24"/>
              </w:rPr>
            </w:pPr>
          </w:p>
          <w:p w14:paraId="1231BE67" w14:textId="77777777" w:rsidR="00C66036" w:rsidRDefault="00C66036">
            <w:pPr>
              <w:rPr>
                <w:rFonts w:ascii="Arial" w:eastAsia="Arial" w:hAnsi="Arial" w:cs="Arial"/>
                <w:b/>
                <w:color w:val="000000"/>
                <w:sz w:val="24"/>
                <w:szCs w:val="24"/>
              </w:rPr>
            </w:pPr>
          </w:p>
          <w:p w14:paraId="2C6B152D" w14:textId="77777777" w:rsidR="00C66036" w:rsidRDefault="009A442B">
            <w:pPr>
              <w:rPr>
                <w:rFonts w:ascii="Arial" w:eastAsia="Arial" w:hAnsi="Arial" w:cs="Arial"/>
                <w:sz w:val="24"/>
                <w:szCs w:val="24"/>
              </w:rPr>
            </w:pPr>
            <w:r>
              <w:rPr>
                <w:rFonts w:ascii="Arial" w:eastAsia="Arial" w:hAnsi="Arial" w:cs="Arial"/>
                <w:b/>
                <w:color w:val="000000"/>
                <w:sz w:val="24"/>
                <w:szCs w:val="24"/>
              </w:rPr>
              <w:t>2000 words</w:t>
            </w:r>
            <w:r>
              <w:rPr>
                <w:rFonts w:ascii="Arial" w:eastAsia="Arial" w:hAnsi="Arial" w:cs="Arial"/>
                <w:color w:val="000000"/>
                <w:sz w:val="24"/>
                <w:szCs w:val="24"/>
              </w:rPr>
              <w:t xml:space="preserve"> </w:t>
            </w:r>
            <w:r>
              <w:rPr>
                <w:rFonts w:ascii="Arial" w:eastAsia="Arial" w:hAnsi="Arial" w:cs="Arial"/>
                <w:i/>
                <w:color w:val="000000"/>
                <w:sz w:val="24"/>
                <w:szCs w:val="24"/>
              </w:rPr>
              <w:t>(+/- 10%: include your actual word count at the end of each section)</w:t>
            </w:r>
          </w:p>
          <w:p w14:paraId="0F2C6989" w14:textId="77777777" w:rsidR="00C66036" w:rsidRDefault="00C66036">
            <w:pPr>
              <w:rPr>
                <w:rFonts w:ascii="Arial" w:eastAsia="Arial" w:hAnsi="Arial" w:cs="Arial"/>
                <w:b/>
                <w:color w:val="000000"/>
                <w:sz w:val="24"/>
                <w:szCs w:val="24"/>
              </w:rPr>
            </w:pPr>
          </w:p>
          <w:p w14:paraId="7EC9FA65" w14:textId="77777777" w:rsidR="0039604B" w:rsidRPr="0039604B" w:rsidRDefault="0039604B" w:rsidP="0039604B">
            <w:pPr>
              <w:rPr>
                <w:rFonts w:ascii="Aptos" w:hAnsi="Aptos"/>
                <w:b/>
                <w:bCs/>
                <w:sz w:val="24"/>
                <w:szCs w:val="24"/>
              </w:rPr>
            </w:pPr>
            <w:r w:rsidRPr="0039604B">
              <w:rPr>
                <w:rFonts w:ascii="Aptos" w:hAnsi="Aptos"/>
                <w:b/>
                <w:bCs/>
                <w:sz w:val="24"/>
                <w:szCs w:val="24"/>
              </w:rPr>
              <w:t>Task 4: Investigation Methodology and Theory</w:t>
            </w:r>
          </w:p>
          <w:p w14:paraId="4F6A4015" w14:textId="77777777" w:rsidR="0039604B" w:rsidRPr="0039604B" w:rsidRDefault="0039604B" w:rsidP="0039604B">
            <w:pPr>
              <w:rPr>
                <w:rFonts w:ascii="Aptos" w:hAnsi="Aptos"/>
                <w:b/>
                <w:bCs/>
                <w:sz w:val="24"/>
                <w:szCs w:val="24"/>
              </w:rPr>
            </w:pPr>
            <w:r w:rsidRPr="0039604B">
              <w:rPr>
                <w:rFonts w:ascii="Aptos" w:hAnsi="Aptos"/>
                <w:b/>
                <w:bCs/>
                <w:sz w:val="24"/>
                <w:szCs w:val="24"/>
              </w:rPr>
              <w:t>4a. Critical Analysis of UK Investigation Theories and Methodologies</w:t>
            </w:r>
          </w:p>
          <w:p w14:paraId="3A293CFF" w14:textId="77777777" w:rsidR="0039604B" w:rsidRPr="0039604B" w:rsidRDefault="0039604B" w:rsidP="0039604B">
            <w:pPr>
              <w:rPr>
                <w:rFonts w:ascii="Aptos" w:hAnsi="Aptos"/>
                <w:b/>
                <w:bCs/>
                <w:sz w:val="24"/>
                <w:szCs w:val="24"/>
              </w:rPr>
            </w:pPr>
          </w:p>
          <w:p w14:paraId="5B15D488" w14:textId="77777777" w:rsidR="0039604B" w:rsidRPr="0039604B" w:rsidRDefault="0039604B" w:rsidP="0039604B">
            <w:pPr>
              <w:rPr>
                <w:rFonts w:ascii="Aptos" w:hAnsi="Aptos"/>
                <w:b/>
                <w:bCs/>
                <w:sz w:val="24"/>
                <w:szCs w:val="24"/>
              </w:rPr>
            </w:pPr>
            <w:r w:rsidRPr="0039604B">
              <w:rPr>
                <w:rFonts w:ascii="Aptos" w:hAnsi="Aptos"/>
                <w:b/>
                <w:bCs/>
                <w:sz w:val="24"/>
                <w:szCs w:val="24"/>
              </w:rPr>
              <w:t>Introduction</w:t>
            </w:r>
          </w:p>
          <w:p w14:paraId="6F8753B3" w14:textId="77777777" w:rsidR="0039604B" w:rsidRPr="0039604B" w:rsidRDefault="0039604B" w:rsidP="0039604B">
            <w:pPr>
              <w:rPr>
                <w:rFonts w:ascii="Aptos" w:hAnsi="Aptos"/>
                <w:sz w:val="24"/>
                <w:szCs w:val="24"/>
              </w:rPr>
            </w:pPr>
          </w:p>
          <w:p w14:paraId="35A2E241" w14:textId="77777777" w:rsidR="0039604B" w:rsidRPr="0039604B" w:rsidRDefault="0039604B" w:rsidP="0039604B">
            <w:pPr>
              <w:rPr>
                <w:rFonts w:ascii="Aptos" w:hAnsi="Aptos" w:cs="Aptos"/>
                <w:sz w:val="24"/>
                <w:szCs w:val="24"/>
              </w:rPr>
            </w:pPr>
            <w:r w:rsidRPr="0039604B">
              <w:rPr>
                <w:rFonts w:ascii="Aptos" w:hAnsi="Aptos"/>
                <w:sz w:val="24"/>
                <w:szCs w:val="24"/>
              </w:rPr>
              <w:t>The investigation of drug trafficking within the United Kingdom represents a complex policing challenge due to the adaptive nature of organised crime groups (OCGs), technological advancement, and the transnational scope of illicit drug markets. Contemporary investigations rely upon a combination of theoretical models, intelligence frameworks, covert policing tactics, and advanced data analysis to identify, attribute, and prosecute offenders. This chapter critically analyses current UK theories and methodologies relevant to drug trafficking investigations, with particular focus on intelligence-led policing, the National Intelligence Model (NIM), the National Decision Model (NDM), covert policing practices, and the use of data sources such as vehicle data, mobile devices, mobile communications data, and CCTV.</w:t>
            </w:r>
          </w:p>
          <w:p w14:paraId="44CEA491" w14:textId="77777777" w:rsidR="0039604B" w:rsidRPr="0039604B" w:rsidRDefault="0039604B" w:rsidP="0039604B">
            <w:pPr>
              <w:rPr>
                <w:rFonts w:ascii="Aptos" w:hAnsi="Aptos"/>
                <w:sz w:val="24"/>
                <w:szCs w:val="24"/>
              </w:rPr>
            </w:pPr>
          </w:p>
          <w:p w14:paraId="468C170E" w14:textId="77777777" w:rsidR="0039604B" w:rsidRPr="0039604B" w:rsidRDefault="0039604B" w:rsidP="0039604B">
            <w:pPr>
              <w:rPr>
                <w:rFonts w:ascii="Aptos" w:hAnsi="Aptos"/>
                <w:b/>
                <w:bCs/>
                <w:sz w:val="24"/>
                <w:szCs w:val="24"/>
              </w:rPr>
            </w:pPr>
            <w:r w:rsidRPr="0039604B">
              <w:rPr>
                <w:rFonts w:ascii="Aptos" w:hAnsi="Aptos"/>
                <w:b/>
                <w:bCs/>
                <w:sz w:val="24"/>
                <w:szCs w:val="24"/>
              </w:rPr>
              <w:t>Intelligence-Led Policing and the National Intelligence Model -</w:t>
            </w:r>
          </w:p>
          <w:p w14:paraId="075D5FC3" w14:textId="77777777" w:rsidR="0039604B" w:rsidRPr="0039604B" w:rsidRDefault="0039604B" w:rsidP="0039604B">
            <w:pPr>
              <w:rPr>
                <w:rFonts w:ascii="Aptos" w:hAnsi="Aptos"/>
                <w:b/>
                <w:bCs/>
                <w:sz w:val="24"/>
                <w:szCs w:val="24"/>
              </w:rPr>
            </w:pPr>
            <w:r w:rsidRPr="0039604B">
              <w:rPr>
                <w:rFonts w:ascii="Aptos" w:hAnsi="Aptos"/>
                <w:b/>
                <w:bCs/>
                <w:sz w:val="24"/>
                <w:szCs w:val="24"/>
              </w:rPr>
              <w:t>Intelligence-Led Policing (ILP)</w:t>
            </w:r>
          </w:p>
          <w:p w14:paraId="242F6FFE" w14:textId="77777777" w:rsidR="0039604B" w:rsidRPr="0039604B" w:rsidRDefault="0039604B" w:rsidP="0039604B">
            <w:pPr>
              <w:rPr>
                <w:rFonts w:ascii="Aptos" w:hAnsi="Aptos"/>
                <w:sz w:val="24"/>
                <w:szCs w:val="24"/>
              </w:rPr>
            </w:pPr>
          </w:p>
          <w:p w14:paraId="4AE826EF" w14:textId="1BD0C751" w:rsidR="0039604B" w:rsidRPr="0039604B" w:rsidRDefault="0039604B" w:rsidP="0039604B">
            <w:pPr>
              <w:rPr>
                <w:rFonts w:ascii="Aptos" w:hAnsi="Aptos" w:cs="Aptos"/>
                <w:sz w:val="24"/>
                <w:szCs w:val="24"/>
              </w:rPr>
            </w:pPr>
            <w:r w:rsidRPr="0039604B">
              <w:rPr>
                <w:rFonts w:ascii="Aptos" w:hAnsi="Aptos"/>
                <w:sz w:val="24"/>
                <w:szCs w:val="24"/>
              </w:rPr>
              <w:t>Intelligence-Led Policing (ILP) is a strategic framework that prioritises the collection and analysis of intelligence to inform proactive policing responses. In the UK context, ILP emerged in response to the limitations of reactive policing and has become central to tackling serious and organised crime, including drug trafficking</w:t>
            </w:r>
            <w:r w:rsidR="001D1C9D">
              <w:rPr>
                <w:rFonts w:ascii="Aptos" w:hAnsi="Aptos"/>
                <w:sz w:val="24"/>
                <w:szCs w:val="24"/>
              </w:rPr>
              <w:t>.</w:t>
            </w:r>
            <w:r w:rsidRPr="0039604B">
              <w:rPr>
                <w:rFonts w:ascii="Aptos" w:hAnsi="Aptos"/>
                <w:sz w:val="24"/>
                <w:szCs w:val="24"/>
              </w:rPr>
              <w:t xml:space="preserve"> Ratcliffe, </w:t>
            </w:r>
            <w:r w:rsidR="001D1C9D">
              <w:rPr>
                <w:rFonts w:ascii="Aptos" w:hAnsi="Aptos"/>
                <w:sz w:val="24"/>
                <w:szCs w:val="24"/>
              </w:rPr>
              <w:t>(</w:t>
            </w:r>
            <w:r w:rsidRPr="0039604B">
              <w:rPr>
                <w:rFonts w:ascii="Aptos" w:hAnsi="Aptos"/>
                <w:sz w:val="24"/>
                <w:szCs w:val="24"/>
              </w:rPr>
              <w:t>2008).</w:t>
            </w:r>
          </w:p>
          <w:p w14:paraId="472A797D" w14:textId="77777777" w:rsidR="0039604B" w:rsidRPr="0039604B" w:rsidRDefault="0039604B" w:rsidP="0039604B">
            <w:pPr>
              <w:rPr>
                <w:rFonts w:ascii="Aptos" w:hAnsi="Aptos"/>
                <w:sz w:val="24"/>
                <w:szCs w:val="24"/>
              </w:rPr>
            </w:pPr>
          </w:p>
          <w:p w14:paraId="43838202" w14:textId="77777777" w:rsidR="0039604B" w:rsidRPr="0039604B" w:rsidRDefault="0039604B" w:rsidP="0039604B">
            <w:pPr>
              <w:rPr>
                <w:rFonts w:ascii="Aptos" w:hAnsi="Aptos" w:cs="Aptos"/>
                <w:sz w:val="24"/>
                <w:szCs w:val="24"/>
              </w:rPr>
            </w:pPr>
            <w:r w:rsidRPr="0039604B">
              <w:rPr>
                <w:rFonts w:ascii="Aptos" w:hAnsi="Aptos"/>
                <w:sz w:val="24"/>
                <w:szCs w:val="24"/>
              </w:rPr>
              <w:t>ILP focuses on identifying patterns, risks, and vulnerabilities rather than individual incidents, enabling law enforcement to disrupt criminal networks at strategic points. In drug trafficking investigations, ILP supports the identification of supply chains, distribution networks, and facilitators such as transporters and financiers. The emphasis on proactive intervention allows policing resources to be targeted more efficiently against high-harm offenders.</w:t>
            </w:r>
          </w:p>
          <w:p w14:paraId="271F5926" w14:textId="77777777" w:rsidR="0039604B" w:rsidRPr="0039604B" w:rsidRDefault="0039604B" w:rsidP="0039604B">
            <w:pPr>
              <w:rPr>
                <w:rFonts w:ascii="Aptos" w:hAnsi="Aptos"/>
                <w:sz w:val="24"/>
                <w:szCs w:val="24"/>
              </w:rPr>
            </w:pPr>
          </w:p>
          <w:p w14:paraId="78ABD926" w14:textId="691C0376" w:rsidR="0039604B" w:rsidRPr="0039604B" w:rsidRDefault="0039604B" w:rsidP="0039604B">
            <w:pPr>
              <w:rPr>
                <w:rFonts w:ascii="Aptos" w:hAnsi="Aptos" w:cs="Aptos"/>
                <w:sz w:val="24"/>
                <w:szCs w:val="24"/>
              </w:rPr>
            </w:pPr>
            <w:r w:rsidRPr="0039604B">
              <w:rPr>
                <w:rFonts w:ascii="Aptos" w:hAnsi="Aptos"/>
                <w:sz w:val="24"/>
                <w:szCs w:val="24"/>
              </w:rPr>
              <w:t>However, ILP is not without criticism. Its effectiveness is dependent on the quality of intelligence collected and the analytical capability of the organisation. Inconsistent intelligence standards, under-resourcing of analytical units, and information silos between agencies can undermine the model’s effectiveness</w:t>
            </w:r>
            <w:r w:rsidR="001D1C9D">
              <w:rPr>
                <w:rFonts w:ascii="Aptos" w:hAnsi="Aptos"/>
                <w:sz w:val="24"/>
                <w:szCs w:val="24"/>
              </w:rPr>
              <w:t>.</w:t>
            </w:r>
            <w:r w:rsidRPr="0039604B">
              <w:rPr>
                <w:rFonts w:ascii="Aptos" w:hAnsi="Aptos"/>
                <w:sz w:val="24"/>
                <w:szCs w:val="24"/>
              </w:rPr>
              <w:t xml:space="preserve"> Innes, </w:t>
            </w:r>
            <w:r w:rsidR="001D1C9D">
              <w:rPr>
                <w:rFonts w:ascii="Aptos" w:hAnsi="Aptos"/>
                <w:sz w:val="24"/>
                <w:szCs w:val="24"/>
              </w:rPr>
              <w:t>(</w:t>
            </w:r>
            <w:r w:rsidRPr="0039604B">
              <w:rPr>
                <w:rFonts w:ascii="Aptos" w:hAnsi="Aptos"/>
                <w:sz w:val="24"/>
                <w:szCs w:val="24"/>
              </w:rPr>
              <w:t>2003).</w:t>
            </w:r>
          </w:p>
          <w:p w14:paraId="73B6788B" w14:textId="77777777" w:rsidR="0039604B" w:rsidRPr="0039604B" w:rsidRDefault="0039604B" w:rsidP="0039604B">
            <w:pPr>
              <w:rPr>
                <w:rFonts w:ascii="Aptos" w:hAnsi="Aptos"/>
                <w:sz w:val="24"/>
                <w:szCs w:val="24"/>
              </w:rPr>
            </w:pPr>
          </w:p>
          <w:p w14:paraId="3A3B6282" w14:textId="77777777" w:rsidR="0039604B" w:rsidRPr="0039604B" w:rsidRDefault="0039604B" w:rsidP="0039604B">
            <w:pPr>
              <w:rPr>
                <w:rFonts w:ascii="Aptos" w:hAnsi="Aptos"/>
                <w:b/>
                <w:bCs/>
                <w:sz w:val="24"/>
                <w:szCs w:val="24"/>
              </w:rPr>
            </w:pPr>
            <w:r w:rsidRPr="0039604B">
              <w:rPr>
                <w:rFonts w:ascii="Aptos" w:hAnsi="Aptos"/>
                <w:b/>
                <w:bCs/>
                <w:sz w:val="24"/>
                <w:szCs w:val="24"/>
              </w:rPr>
              <w:t>The National Intelligence Model (NIM)</w:t>
            </w:r>
          </w:p>
          <w:p w14:paraId="133EF25E" w14:textId="77777777" w:rsidR="0039604B" w:rsidRPr="0039604B" w:rsidRDefault="0039604B" w:rsidP="0039604B">
            <w:pPr>
              <w:rPr>
                <w:rFonts w:ascii="Aptos" w:hAnsi="Aptos"/>
                <w:sz w:val="24"/>
                <w:szCs w:val="24"/>
              </w:rPr>
            </w:pPr>
          </w:p>
          <w:p w14:paraId="70E4AB28" w14:textId="77777777" w:rsidR="0039604B" w:rsidRPr="0039604B" w:rsidRDefault="0039604B" w:rsidP="0039604B">
            <w:pPr>
              <w:rPr>
                <w:rFonts w:ascii="Aptos" w:hAnsi="Aptos" w:cs="Aptos"/>
                <w:sz w:val="24"/>
                <w:szCs w:val="24"/>
              </w:rPr>
            </w:pPr>
            <w:r w:rsidRPr="0039604B">
              <w:rPr>
                <w:rFonts w:ascii="Aptos" w:hAnsi="Aptos"/>
                <w:sz w:val="24"/>
                <w:szCs w:val="24"/>
              </w:rPr>
              <w:t>The National Intelligence Model (NIM) provides the operational framework through which ILP is implemented across UK policing. It structures intelligence into strategic, tactical, and operational products and links analysis to tasking and coordination processes (College of Policing, 2020).</w:t>
            </w:r>
          </w:p>
          <w:p w14:paraId="0F87016A" w14:textId="77777777" w:rsidR="0039604B" w:rsidRPr="0039604B" w:rsidRDefault="0039604B" w:rsidP="0039604B">
            <w:pPr>
              <w:rPr>
                <w:rFonts w:ascii="Aptos" w:hAnsi="Aptos"/>
                <w:sz w:val="24"/>
                <w:szCs w:val="24"/>
              </w:rPr>
            </w:pPr>
          </w:p>
          <w:p w14:paraId="494DF7EE" w14:textId="77777777" w:rsidR="0039604B" w:rsidRPr="0039604B" w:rsidRDefault="0039604B" w:rsidP="0039604B">
            <w:pPr>
              <w:rPr>
                <w:rFonts w:ascii="Aptos" w:hAnsi="Aptos" w:cs="Aptos"/>
                <w:sz w:val="24"/>
                <w:szCs w:val="24"/>
              </w:rPr>
            </w:pPr>
            <w:r w:rsidRPr="0039604B">
              <w:rPr>
                <w:rFonts w:ascii="Aptos" w:hAnsi="Aptos"/>
                <w:sz w:val="24"/>
                <w:szCs w:val="24"/>
              </w:rPr>
              <w:t xml:space="preserve">In drug trafficking investigations, NIM enables forces to prioritise OCGs based on threat, risk, and harm, ensuring investigative focus is placed on the most damaging offenders. The use of analytical products such as problem profiles and network charts </w:t>
            </w:r>
            <w:proofErr w:type="gramStart"/>
            <w:r w:rsidRPr="0039604B">
              <w:rPr>
                <w:rFonts w:ascii="Aptos" w:hAnsi="Aptos"/>
                <w:sz w:val="24"/>
                <w:szCs w:val="24"/>
              </w:rPr>
              <w:t>assists</w:t>
            </w:r>
            <w:proofErr w:type="gramEnd"/>
            <w:r w:rsidRPr="0039604B">
              <w:rPr>
                <w:rFonts w:ascii="Aptos" w:hAnsi="Aptos"/>
                <w:sz w:val="24"/>
                <w:szCs w:val="24"/>
              </w:rPr>
              <w:t xml:space="preserve"> investigators in visualising criminal structures and relationships, supporting attribution and evidential development.</w:t>
            </w:r>
          </w:p>
          <w:p w14:paraId="4F2D36AF" w14:textId="77777777" w:rsidR="0039604B" w:rsidRPr="0039604B" w:rsidRDefault="0039604B" w:rsidP="0039604B">
            <w:pPr>
              <w:rPr>
                <w:rFonts w:ascii="Aptos" w:hAnsi="Aptos"/>
                <w:sz w:val="24"/>
                <w:szCs w:val="24"/>
              </w:rPr>
            </w:pPr>
          </w:p>
          <w:p w14:paraId="1497AD85" w14:textId="656BF8E6" w:rsidR="0039604B" w:rsidRPr="0039604B" w:rsidRDefault="0039604B" w:rsidP="0039604B">
            <w:pPr>
              <w:rPr>
                <w:rFonts w:ascii="Aptos" w:hAnsi="Aptos" w:cs="Aptos"/>
                <w:sz w:val="24"/>
                <w:szCs w:val="24"/>
              </w:rPr>
            </w:pPr>
            <w:r w:rsidRPr="0039604B">
              <w:rPr>
                <w:rFonts w:ascii="Aptos" w:hAnsi="Aptos"/>
                <w:sz w:val="24"/>
                <w:szCs w:val="24"/>
              </w:rPr>
              <w:t>Despite its strengths, the NIM has been criticised for inconsistent application across forces and for sometimes becoming a bureaucratic exercise rather than a dynamic investigative tool. When tasking meetings prioritise administrative compliance over critical thinking, intelligence products may fail to translate into effective operational outcomes</w:t>
            </w:r>
            <w:r w:rsidR="00AF7836">
              <w:rPr>
                <w:rFonts w:ascii="Aptos" w:hAnsi="Aptos"/>
                <w:sz w:val="24"/>
                <w:szCs w:val="24"/>
              </w:rPr>
              <w:t>.</w:t>
            </w:r>
            <w:r w:rsidR="001D1C9D">
              <w:rPr>
                <w:rFonts w:ascii="Aptos" w:hAnsi="Aptos"/>
                <w:sz w:val="24"/>
                <w:szCs w:val="24"/>
              </w:rPr>
              <w:t xml:space="preserve"> </w:t>
            </w:r>
            <w:r w:rsidRPr="0039604B">
              <w:rPr>
                <w:rFonts w:ascii="Aptos" w:hAnsi="Aptos"/>
                <w:sz w:val="24"/>
                <w:szCs w:val="24"/>
              </w:rPr>
              <w:t xml:space="preserve">Phythian and Kirby, </w:t>
            </w:r>
            <w:r w:rsidR="00AF7836">
              <w:rPr>
                <w:rFonts w:ascii="Aptos" w:hAnsi="Aptos"/>
                <w:sz w:val="24"/>
                <w:szCs w:val="24"/>
              </w:rPr>
              <w:t>(</w:t>
            </w:r>
            <w:r w:rsidRPr="0039604B">
              <w:rPr>
                <w:rFonts w:ascii="Aptos" w:hAnsi="Aptos"/>
                <w:sz w:val="24"/>
                <w:szCs w:val="24"/>
              </w:rPr>
              <w:t>202</w:t>
            </w:r>
            <w:r w:rsidR="004C4D52">
              <w:rPr>
                <w:rFonts w:ascii="Aptos" w:hAnsi="Aptos"/>
                <w:sz w:val="24"/>
                <w:szCs w:val="24"/>
              </w:rPr>
              <w:t>4</w:t>
            </w:r>
            <w:r w:rsidRPr="0039604B">
              <w:rPr>
                <w:rFonts w:ascii="Aptos" w:hAnsi="Aptos"/>
                <w:sz w:val="24"/>
                <w:szCs w:val="24"/>
              </w:rPr>
              <w:t>).</w:t>
            </w:r>
          </w:p>
          <w:p w14:paraId="19E887E8" w14:textId="77777777" w:rsidR="0039604B" w:rsidRPr="0039604B" w:rsidRDefault="0039604B" w:rsidP="0039604B">
            <w:pPr>
              <w:rPr>
                <w:rFonts w:ascii="Aptos" w:hAnsi="Aptos"/>
                <w:sz w:val="24"/>
                <w:szCs w:val="24"/>
              </w:rPr>
            </w:pPr>
          </w:p>
          <w:p w14:paraId="08B298CA" w14:textId="77777777" w:rsidR="0039604B" w:rsidRPr="0039604B" w:rsidRDefault="0039604B" w:rsidP="0039604B">
            <w:pPr>
              <w:rPr>
                <w:rFonts w:ascii="Aptos" w:hAnsi="Aptos"/>
                <w:b/>
                <w:bCs/>
                <w:sz w:val="24"/>
                <w:szCs w:val="24"/>
              </w:rPr>
            </w:pPr>
            <w:r w:rsidRPr="0039604B">
              <w:rPr>
                <w:rFonts w:ascii="Aptos" w:hAnsi="Aptos"/>
                <w:b/>
                <w:bCs/>
                <w:sz w:val="24"/>
                <w:szCs w:val="24"/>
              </w:rPr>
              <w:t>Decision-Making Frameworks: The National Decision Model</w:t>
            </w:r>
          </w:p>
          <w:p w14:paraId="469C3820" w14:textId="77777777" w:rsidR="0039604B" w:rsidRPr="0039604B" w:rsidRDefault="0039604B" w:rsidP="0039604B">
            <w:pPr>
              <w:rPr>
                <w:rFonts w:ascii="Aptos" w:hAnsi="Aptos"/>
                <w:sz w:val="24"/>
                <w:szCs w:val="24"/>
              </w:rPr>
            </w:pPr>
          </w:p>
          <w:p w14:paraId="72220D0C" w14:textId="6D0EEC90" w:rsidR="0039604B" w:rsidRPr="0039604B" w:rsidRDefault="0039604B" w:rsidP="0039604B">
            <w:pPr>
              <w:rPr>
                <w:rFonts w:ascii="Aptos" w:hAnsi="Aptos" w:cs="Aptos"/>
                <w:sz w:val="24"/>
                <w:szCs w:val="24"/>
              </w:rPr>
            </w:pPr>
            <w:r w:rsidRPr="0039604B">
              <w:rPr>
                <w:rFonts w:ascii="Aptos" w:hAnsi="Aptos"/>
                <w:sz w:val="24"/>
                <w:szCs w:val="24"/>
              </w:rPr>
              <w:t>The National Decision Model (NDM) provides a structured framework for ethical and lawful decision-making in UK policing. It places the Code of Ethics at its core and requires officers to assess information, identify options, consider powers and policy, and review outcomes (</w:t>
            </w:r>
            <w:r w:rsidR="001219EB">
              <w:rPr>
                <w:rFonts w:ascii="Aptos" w:hAnsi="Aptos"/>
                <w:sz w:val="24"/>
                <w:szCs w:val="24"/>
              </w:rPr>
              <w:t xml:space="preserve">College </w:t>
            </w:r>
            <w:proofErr w:type="gramStart"/>
            <w:r w:rsidR="001219EB">
              <w:rPr>
                <w:rFonts w:ascii="Aptos" w:hAnsi="Aptos"/>
                <w:sz w:val="24"/>
                <w:szCs w:val="24"/>
              </w:rPr>
              <w:t>Of</w:t>
            </w:r>
            <w:proofErr w:type="gramEnd"/>
            <w:r w:rsidR="001219EB">
              <w:rPr>
                <w:rFonts w:ascii="Aptos" w:hAnsi="Aptos"/>
                <w:sz w:val="24"/>
                <w:szCs w:val="24"/>
              </w:rPr>
              <w:t xml:space="preserve"> Policing, 2013</w:t>
            </w:r>
            <w:r w:rsidRPr="0039604B">
              <w:rPr>
                <w:rFonts w:ascii="Aptos" w:hAnsi="Aptos"/>
                <w:sz w:val="24"/>
                <w:szCs w:val="24"/>
              </w:rPr>
              <w:t>).</w:t>
            </w:r>
          </w:p>
          <w:p w14:paraId="1F5B7501" w14:textId="77777777" w:rsidR="0039604B" w:rsidRPr="0039604B" w:rsidRDefault="0039604B" w:rsidP="0039604B">
            <w:pPr>
              <w:rPr>
                <w:rFonts w:ascii="Aptos" w:hAnsi="Aptos"/>
                <w:sz w:val="24"/>
                <w:szCs w:val="24"/>
              </w:rPr>
            </w:pPr>
          </w:p>
          <w:p w14:paraId="12A473B8" w14:textId="77777777" w:rsidR="0039604B" w:rsidRPr="0039604B" w:rsidRDefault="0039604B" w:rsidP="0039604B">
            <w:pPr>
              <w:rPr>
                <w:rFonts w:ascii="Aptos" w:hAnsi="Aptos" w:cs="Aptos"/>
                <w:sz w:val="24"/>
                <w:szCs w:val="24"/>
              </w:rPr>
            </w:pPr>
            <w:r w:rsidRPr="0039604B">
              <w:rPr>
                <w:rFonts w:ascii="Aptos" w:hAnsi="Aptos"/>
                <w:sz w:val="24"/>
                <w:szCs w:val="24"/>
              </w:rPr>
              <w:t>In drug trafficking investigations, particularly those involving covert tactics or intrusive surveillance, the NDM ensures decisions are proportionate, necessary, and justifiable. The model is particularly relevant when authorising actions such as search warrants, arrests, or surveillance operations, where legal scrutiny is likely.</w:t>
            </w:r>
          </w:p>
          <w:p w14:paraId="49F810D7" w14:textId="77777777" w:rsidR="0039604B" w:rsidRPr="0039604B" w:rsidRDefault="0039604B" w:rsidP="0039604B">
            <w:pPr>
              <w:rPr>
                <w:rFonts w:ascii="Aptos" w:hAnsi="Aptos"/>
                <w:sz w:val="24"/>
                <w:szCs w:val="24"/>
              </w:rPr>
            </w:pPr>
          </w:p>
          <w:p w14:paraId="4CAAEE62" w14:textId="77777777" w:rsidR="0039604B" w:rsidRPr="0039604B" w:rsidRDefault="0039604B" w:rsidP="0039604B">
            <w:pPr>
              <w:rPr>
                <w:rFonts w:ascii="Aptos" w:hAnsi="Aptos" w:cs="Aptos"/>
                <w:sz w:val="24"/>
                <w:szCs w:val="24"/>
              </w:rPr>
            </w:pPr>
            <w:r w:rsidRPr="0039604B">
              <w:rPr>
                <w:rFonts w:ascii="Aptos" w:hAnsi="Aptos"/>
                <w:sz w:val="24"/>
                <w:szCs w:val="24"/>
              </w:rPr>
              <w:t>However, the NDM is a decision-support tool rather than a decision-making substitute. Its effectiveness relies on the practitioner’s ability to interpret information accurately and apply professional judgement. Over-reliance on the model without contextual understanding may lead to overly cautious or delayed decision-making, particularly in fast-moving investigations.</w:t>
            </w:r>
          </w:p>
          <w:p w14:paraId="5487FD1E" w14:textId="77777777" w:rsidR="0039604B" w:rsidRPr="0039604B" w:rsidRDefault="0039604B" w:rsidP="0039604B">
            <w:pPr>
              <w:rPr>
                <w:rFonts w:ascii="Aptos" w:hAnsi="Aptos"/>
                <w:sz w:val="24"/>
                <w:szCs w:val="24"/>
              </w:rPr>
            </w:pPr>
          </w:p>
          <w:p w14:paraId="000647BC" w14:textId="77777777" w:rsidR="0039604B" w:rsidRPr="0039604B" w:rsidRDefault="0039604B" w:rsidP="0039604B">
            <w:pPr>
              <w:rPr>
                <w:rFonts w:ascii="Aptos" w:hAnsi="Aptos"/>
                <w:b/>
                <w:bCs/>
                <w:sz w:val="24"/>
                <w:szCs w:val="24"/>
              </w:rPr>
            </w:pPr>
            <w:r w:rsidRPr="0039604B">
              <w:rPr>
                <w:rFonts w:ascii="Aptos" w:hAnsi="Aptos"/>
                <w:b/>
                <w:bCs/>
                <w:sz w:val="24"/>
                <w:szCs w:val="24"/>
              </w:rPr>
              <w:t>Covert Policing Tactics in Drug Trafficking Investigations</w:t>
            </w:r>
          </w:p>
          <w:p w14:paraId="0BFAB6FD" w14:textId="77777777" w:rsidR="0039604B" w:rsidRPr="0039604B" w:rsidRDefault="0039604B" w:rsidP="0039604B">
            <w:pPr>
              <w:rPr>
                <w:rFonts w:ascii="Aptos" w:hAnsi="Aptos"/>
                <w:b/>
                <w:bCs/>
                <w:sz w:val="24"/>
                <w:szCs w:val="24"/>
              </w:rPr>
            </w:pPr>
          </w:p>
          <w:p w14:paraId="2C4ACA86" w14:textId="77777777" w:rsidR="0039604B" w:rsidRPr="0039604B" w:rsidRDefault="0039604B" w:rsidP="0039604B">
            <w:pPr>
              <w:rPr>
                <w:rFonts w:ascii="Aptos" w:hAnsi="Aptos"/>
                <w:b/>
                <w:bCs/>
                <w:sz w:val="24"/>
                <w:szCs w:val="24"/>
              </w:rPr>
            </w:pPr>
            <w:r w:rsidRPr="0039604B">
              <w:rPr>
                <w:rFonts w:ascii="Aptos" w:hAnsi="Aptos"/>
                <w:b/>
                <w:bCs/>
                <w:sz w:val="24"/>
                <w:szCs w:val="24"/>
              </w:rPr>
              <w:t>Covert Human Intelligence Sources (CHIS)</w:t>
            </w:r>
          </w:p>
          <w:p w14:paraId="4C484A2B" w14:textId="77777777" w:rsidR="0039604B" w:rsidRPr="0039604B" w:rsidRDefault="0039604B" w:rsidP="0039604B">
            <w:pPr>
              <w:rPr>
                <w:rFonts w:ascii="Aptos" w:hAnsi="Aptos"/>
                <w:sz w:val="24"/>
                <w:szCs w:val="24"/>
              </w:rPr>
            </w:pPr>
          </w:p>
          <w:p w14:paraId="0C5232EF" w14:textId="77777777" w:rsidR="0039604B" w:rsidRPr="0039604B" w:rsidRDefault="0039604B" w:rsidP="0039604B">
            <w:pPr>
              <w:rPr>
                <w:rFonts w:ascii="Aptos" w:hAnsi="Aptos" w:cs="Aptos"/>
                <w:sz w:val="24"/>
                <w:szCs w:val="24"/>
              </w:rPr>
            </w:pPr>
            <w:r w:rsidRPr="0039604B">
              <w:rPr>
                <w:rFonts w:ascii="Aptos" w:hAnsi="Aptos"/>
                <w:sz w:val="24"/>
                <w:szCs w:val="24"/>
              </w:rPr>
              <w:t>Covert policing remains a critical component in dismantling drug trafficking networks, particularly where OCGs operate through trusted and insulated networks. The use of Covert Human Intelligence Sources (CHIS) enables law enforcement to access intelligence that is otherwise unobtainable through overt means whilst balanced against ‘Agent Provocateur’.</w:t>
            </w:r>
          </w:p>
          <w:p w14:paraId="4878B019" w14:textId="77777777" w:rsidR="0039604B" w:rsidRPr="0039604B" w:rsidRDefault="0039604B" w:rsidP="0039604B">
            <w:pPr>
              <w:rPr>
                <w:rFonts w:ascii="Aptos" w:hAnsi="Aptos"/>
                <w:sz w:val="24"/>
                <w:szCs w:val="24"/>
              </w:rPr>
            </w:pPr>
          </w:p>
          <w:p w14:paraId="59088E8A" w14:textId="3E7DB13D" w:rsidR="0039604B" w:rsidRPr="0039604B" w:rsidRDefault="0039604B" w:rsidP="0039604B">
            <w:pPr>
              <w:rPr>
                <w:rFonts w:ascii="Aptos" w:hAnsi="Aptos" w:cs="Aptos"/>
                <w:sz w:val="24"/>
                <w:szCs w:val="24"/>
              </w:rPr>
            </w:pPr>
            <w:r w:rsidRPr="0039604B">
              <w:rPr>
                <w:rFonts w:ascii="Aptos" w:hAnsi="Aptos"/>
                <w:sz w:val="24"/>
                <w:szCs w:val="24"/>
              </w:rPr>
              <w:t>The introduction of the Covert Human Intelligence Sources (Criminal Conduct) Act 2021</w:t>
            </w:r>
            <w:r w:rsidR="00706A55">
              <w:rPr>
                <w:rFonts w:ascii="Aptos" w:hAnsi="Aptos"/>
                <w:sz w:val="24"/>
                <w:szCs w:val="24"/>
              </w:rPr>
              <w:t>,</w:t>
            </w:r>
            <w:r w:rsidRPr="0039604B">
              <w:rPr>
                <w:rFonts w:ascii="Aptos" w:hAnsi="Aptos"/>
                <w:sz w:val="24"/>
                <w:szCs w:val="24"/>
              </w:rPr>
              <w:t xml:space="preserve"> formalised the legal framework governing authorised criminal conduct by CHIS, providing statutory oversight and accountability (UK Parliament, 2021). This legislation reflects the balancing act between operational necessity and ethical accountability.</w:t>
            </w:r>
          </w:p>
          <w:p w14:paraId="38512DB5" w14:textId="77777777" w:rsidR="0039604B" w:rsidRPr="0039604B" w:rsidRDefault="0039604B" w:rsidP="0039604B">
            <w:pPr>
              <w:rPr>
                <w:rFonts w:ascii="Aptos" w:hAnsi="Aptos"/>
                <w:sz w:val="24"/>
                <w:szCs w:val="24"/>
              </w:rPr>
            </w:pPr>
          </w:p>
          <w:p w14:paraId="1D534FF9" w14:textId="77777777" w:rsidR="0039604B" w:rsidRPr="0039604B" w:rsidRDefault="0039604B" w:rsidP="0039604B">
            <w:pPr>
              <w:rPr>
                <w:rFonts w:ascii="Aptos" w:hAnsi="Aptos"/>
                <w:b/>
                <w:bCs/>
                <w:sz w:val="24"/>
                <w:szCs w:val="24"/>
              </w:rPr>
            </w:pPr>
            <w:r w:rsidRPr="0039604B">
              <w:rPr>
                <w:rFonts w:ascii="Aptos" w:hAnsi="Aptos"/>
                <w:b/>
                <w:bCs/>
                <w:sz w:val="24"/>
                <w:szCs w:val="24"/>
              </w:rPr>
              <w:t>Ethical and Practical Limitations</w:t>
            </w:r>
          </w:p>
          <w:p w14:paraId="202FC76B" w14:textId="77777777" w:rsidR="0039604B" w:rsidRPr="0039604B" w:rsidRDefault="0039604B" w:rsidP="0039604B">
            <w:pPr>
              <w:rPr>
                <w:rFonts w:ascii="Aptos" w:hAnsi="Aptos"/>
                <w:sz w:val="24"/>
                <w:szCs w:val="24"/>
              </w:rPr>
            </w:pPr>
          </w:p>
          <w:p w14:paraId="6402240B" w14:textId="77777777" w:rsidR="0039604B" w:rsidRPr="0039604B" w:rsidRDefault="0039604B" w:rsidP="0039604B">
            <w:pPr>
              <w:rPr>
                <w:rFonts w:ascii="Aptos" w:hAnsi="Aptos" w:cs="Aptos"/>
                <w:sz w:val="24"/>
                <w:szCs w:val="24"/>
              </w:rPr>
            </w:pPr>
            <w:r w:rsidRPr="0039604B">
              <w:rPr>
                <w:rFonts w:ascii="Aptos" w:hAnsi="Aptos"/>
                <w:sz w:val="24"/>
                <w:szCs w:val="24"/>
              </w:rPr>
              <w:t xml:space="preserve">While covert tactics are highly effective, they present significant ethical, legal, and operational risks. Failures in oversight can damage public confidence and lead to legal challenges. Additionally, covert intelligence must often be corroborated through </w:t>
            </w:r>
            <w:r w:rsidRPr="0039604B">
              <w:rPr>
                <w:rFonts w:ascii="Aptos" w:hAnsi="Aptos"/>
                <w:sz w:val="24"/>
                <w:szCs w:val="24"/>
              </w:rPr>
              <w:lastRenderedPageBreak/>
              <w:t>overt evidence, such as communications data or surveillance, to ensure evidential robustness.</w:t>
            </w:r>
          </w:p>
          <w:p w14:paraId="412DA179" w14:textId="77777777" w:rsidR="0039604B" w:rsidRPr="0039604B" w:rsidRDefault="0039604B" w:rsidP="0039604B">
            <w:pPr>
              <w:rPr>
                <w:rFonts w:ascii="Aptos" w:hAnsi="Aptos"/>
                <w:sz w:val="24"/>
                <w:szCs w:val="24"/>
              </w:rPr>
            </w:pPr>
          </w:p>
          <w:p w14:paraId="0E9872E1" w14:textId="77777777" w:rsidR="0039604B" w:rsidRPr="0039604B" w:rsidRDefault="0039604B" w:rsidP="0039604B">
            <w:pPr>
              <w:rPr>
                <w:rFonts w:ascii="Aptos" w:hAnsi="Aptos"/>
                <w:b/>
                <w:bCs/>
                <w:sz w:val="24"/>
                <w:szCs w:val="24"/>
              </w:rPr>
            </w:pPr>
            <w:r w:rsidRPr="0039604B">
              <w:rPr>
                <w:rFonts w:ascii="Aptos" w:hAnsi="Aptos"/>
                <w:b/>
                <w:bCs/>
                <w:sz w:val="24"/>
                <w:szCs w:val="24"/>
              </w:rPr>
              <w:t>Data Analysis in Drug Trafficking Investigations</w:t>
            </w:r>
          </w:p>
          <w:p w14:paraId="097BE600" w14:textId="77777777" w:rsidR="0039604B" w:rsidRPr="0039604B" w:rsidRDefault="0039604B" w:rsidP="0039604B">
            <w:pPr>
              <w:rPr>
                <w:rFonts w:ascii="Aptos" w:hAnsi="Aptos"/>
                <w:b/>
                <w:bCs/>
                <w:sz w:val="24"/>
                <w:szCs w:val="24"/>
              </w:rPr>
            </w:pPr>
          </w:p>
          <w:p w14:paraId="713353AE" w14:textId="77777777" w:rsidR="0039604B" w:rsidRPr="0039604B" w:rsidRDefault="0039604B" w:rsidP="0039604B">
            <w:pPr>
              <w:rPr>
                <w:rFonts w:ascii="Aptos" w:hAnsi="Aptos"/>
                <w:b/>
                <w:bCs/>
                <w:sz w:val="24"/>
                <w:szCs w:val="24"/>
              </w:rPr>
            </w:pPr>
            <w:r w:rsidRPr="0039604B">
              <w:rPr>
                <w:rFonts w:ascii="Aptos" w:hAnsi="Aptos"/>
                <w:b/>
                <w:bCs/>
                <w:sz w:val="24"/>
                <w:szCs w:val="24"/>
              </w:rPr>
              <w:t>Mobile Devices and Communications Data</w:t>
            </w:r>
          </w:p>
          <w:p w14:paraId="591E3791" w14:textId="77777777" w:rsidR="0039604B" w:rsidRPr="0039604B" w:rsidRDefault="0039604B" w:rsidP="0039604B">
            <w:pPr>
              <w:rPr>
                <w:rFonts w:ascii="Aptos" w:hAnsi="Aptos"/>
                <w:sz w:val="24"/>
                <w:szCs w:val="24"/>
              </w:rPr>
            </w:pPr>
          </w:p>
          <w:p w14:paraId="77468B2A" w14:textId="3EB9FAB7" w:rsidR="0039604B" w:rsidRPr="0039604B" w:rsidRDefault="0039604B" w:rsidP="0039604B">
            <w:pPr>
              <w:rPr>
                <w:rFonts w:ascii="Aptos" w:hAnsi="Aptos" w:cs="Aptos"/>
                <w:sz w:val="24"/>
                <w:szCs w:val="24"/>
              </w:rPr>
            </w:pPr>
            <w:r w:rsidRPr="0039604B">
              <w:rPr>
                <w:rFonts w:ascii="Aptos" w:hAnsi="Aptos"/>
                <w:sz w:val="24"/>
                <w:szCs w:val="24"/>
              </w:rPr>
              <w:t>The analysis of mobile devices and communications data has become central to modern drug trafficking investigations. Mobile phone data can provide call records, messages, geolocation data, and application usage, enabling investigators to establish associations and timelines</w:t>
            </w:r>
            <w:r w:rsidR="00AF7836">
              <w:rPr>
                <w:rFonts w:ascii="Aptos" w:hAnsi="Aptos"/>
                <w:sz w:val="24"/>
                <w:szCs w:val="24"/>
              </w:rPr>
              <w:t>.</w:t>
            </w:r>
            <w:r w:rsidRPr="0039604B">
              <w:rPr>
                <w:rFonts w:ascii="Aptos" w:hAnsi="Aptos"/>
                <w:sz w:val="24"/>
                <w:szCs w:val="24"/>
              </w:rPr>
              <w:t xml:space="preserve"> Casey, </w:t>
            </w:r>
            <w:r w:rsidR="00AF7836">
              <w:rPr>
                <w:rFonts w:ascii="Aptos" w:hAnsi="Aptos"/>
                <w:sz w:val="24"/>
                <w:szCs w:val="24"/>
              </w:rPr>
              <w:t>(</w:t>
            </w:r>
            <w:r w:rsidRPr="0039604B">
              <w:rPr>
                <w:rFonts w:ascii="Aptos" w:hAnsi="Aptos"/>
                <w:sz w:val="24"/>
                <w:szCs w:val="24"/>
              </w:rPr>
              <w:t>2011).</w:t>
            </w:r>
          </w:p>
          <w:p w14:paraId="6855D420" w14:textId="77777777" w:rsidR="0039604B" w:rsidRPr="0039604B" w:rsidRDefault="0039604B" w:rsidP="0039604B">
            <w:pPr>
              <w:rPr>
                <w:rFonts w:ascii="Aptos" w:hAnsi="Aptos"/>
                <w:sz w:val="24"/>
                <w:szCs w:val="24"/>
              </w:rPr>
            </w:pPr>
          </w:p>
          <w:p w14:paraId="3FB7B1DB" w14:textId="77777777" w:rsidR="0039604B" w:rsidRPr="0039604B" w:rsidRDefault="0039604B" w:rsidP="0039604B">
            <w:pPr>
              <w:rPr>
                <w:rFonts w:ascii="Aptos" w:hAnsi="Aptos" w:cs="Aptos"/>
                <w:sz w:val="24"/>
                <w:szCs w:val="24"/>
              </w:rPr>
            </w:pPr>
            <w:r w:rsidRPr="0039604B">
              <w:rPr>
                <w:rFonts w:ascii="Aptos" w:hAnsi="Aptos"/>
                <w:sz w:val="24"/>
                <w:szCs w:val="24"/>
              </w:rPr>
              <w:t>Network analysis techniques allow investigators to map communication patterns and identify key individuals within trafficking networks. However, the increasing use of encrypted platforms presents challenges, requiring advanced technical expertise and lawful investigative powers.</w:t>
            </w:r>
          </w:p>
          <w:p w14:paraId="052EFD6C" w14:textId="77777777" w:rsidR="0039604B" w:rsidRPr="0039604B" w:rsidRDefault="0039604B" w:rsidP="0039604B">
            <w:pPr>
              <w:rPr>
                <w:rFonts w:ascii="Aptos" w:hAnsi="Aptos"/>
                <w:sz w:val="24"/>
                <w:szCs w:val="24"/>
              </w:rPr>
            </w:pPr>
          </w:p>
          <w:p w14:paraId="76BCCA0F" w14:textId="77777777" w:rsidR="0039604B" w:rsidRPr="0039604B" w:rsidRDefault="0039604B" w:rsidP="0039604B">
            <w:pPr>
              <w:rPr>
                <w:rFonts w:ascii="Aptos" w:hAnsi="Aptos"/>
                <w:b/>
                <w:bCs/>
                <w:sz w:val="24"/>
                <w:szCs w:val="24"/>
              </w:rPr>
            </w:pPr>
            <w:r w:rsidRPr="0039604B">
              <w:rPr>
                <w:rFonts w:ascii="Aptos" w:hAnsi="Aptos"/>
                <w:b/>
                <w:bCs/>
                <w:sz w:val="24"/>
                <w:szCs w:val="24"/>
              </w:rPr>
              <w:t>Vehicle Data and ANPR</w:t>
            </w:r>
          </w:p>
          <w:p w14:paraId="43A099A2" w14:textId="77777777" w:rsidR="0039604B" w:rsidRPr="0039604B" w:rsidRDefault="0039604B" w:rsidP="0039604B">
            <w:pPr>
              <w:rPr>
                <w:rFonts w:ascii="Aptos" w:hAnsi="Aptos"/>
                <w:sz w:val="24"/>
                <w:szCs w:val="24"/>
              </w:rPr>
            </w:pPr>
          </w:p>
          <w:p w14:paraId="0332C32F" w14:textId="09B297CC" w:rsidR="0039604B" w:rsidRPr="0039604B" w:rsidRDefault="0039604B" w:rsidP="0039604B">
            <w:pPr>
              <w:rPr>
                <w:rFonts w:ascii="Aptos" w:hAnsi="Aptos" w:cs="Aptos"/>
                <w:sz w:val="24"/>
                <w:szCs w:val="24"/>
              </w:rPr>
            </w:pPr>
            <w:r w:rsidRPr="0039604B">
              <w:rPr>
                <w:rFonts w:ascii="Aptos" w:hAnsi="Aptos"/>
                <w:sz w:val="24"/>
                <w:szCs w:val="24"/>
              </w:rPr>
              <w:t>Automatic Number Plate Recognition (ANPR) systems enable the tracking of vehicle movements across the UK road network. In drug trafficking investigations, ANPR data is used to corroborate suspect movements, identify transport routes, and link individuals to criminal activity (Home Office,</w:t>
            </w:r>
            <w:r w:rsidR="003709EE">
              <w:rPr>
                <w:rFonts w:ascii="Aptos" w:hAnsi="Aptos"/>
                <w:sz w:val="24"/>
                <w:szCs w:val="24"/>
              </w:rPr>
              <w:t xml:space="preserve"> NASPLE </w:t>
            </w:r>
            <w:r w:rsidRPr="0039604B">
              <w:rPr>
                <w:rFonts w:ascii="Aptos" w:hAnsi="Aptos"/>
                <w:sz w:val="24"/>
                <w:szCs w:val="24"/>
              </w:rPr>
              <w:t>20</w:t>
            </w:r>
            <w:r w:rsidR="003709EE">
              <w:rPr>
                <w:rFonts w:ascii="Aptos" w:hAnsi="Aptos"/>
                <w:sz w:val="24"/>
                <w:szCs w:val="24"/>
              </w:rPr>
              <w:t>24</w:t>
            </w:r>
            <w:r w:rsidRPr="0039604B">
              <w:rPr>
                <w:rFonts w:ascii="Aptos" w:hAnsi="Aptos"/>
                <w:sz w:val="24"/>
                <w:szCs w:val="24"/>
              </w:rPr>
              <w:t>).</w:t>
            </w:r>
          </w:p>
          <w:p w14:paraId="4D7681B2" w14:textId="77777777" w:rsidR="0039604B" w:rsidRPr="0039604B" w:rsidRDefault="0039604B" w:rsidP="0039604B">
            <w:pPr>
              <w:rPr>
                <w:rFonts w:ascii="Aptos" w:hAnsi="Aptos"/>
                <w:sz w:val="24"/>
                <w:szCs w:val="24"/>
              </w:rPr>
            </w:pPr>
          </w:p>
          <w:p w14:paraId="565A562B" w14:textId="77777777" w:rsidR="0039604B" w:rsidRPr="0039604B" w:rsidRDefault="0039604B" w:rsidP="0039604B">
            <w:pPr>
              <w:rPr>
                <w:rFonts w:ascii="Aptos" w:hAnsi="Aptos" w:cs="Aptos"/>
                <w:sz w:val="24"/>
                <w:szCs w:val="24"/>
              </w:rPr>
            </w:pPr>
            <w:r w:rsidRPr="0039604B">
              <w:rPr>
                <w:rFonts w:ascii="Aptos" w:hAnsi="Aptos"/>
                <w:sz w:val="24"/>
                <w:szCs w:val="24"/>
              </w:rPr>
              <w:t>Despite its value, ANPR data must be handled in accordance with data protection legislation. Investigators must ensure that its use is proportionate and justified to avoid breaches of privacy rights.</w:t>
            </w:r>
          </w:p>
          <w:p w14:paraId="62A88B8E" w14:textId="77777777" w:rsidR="0039604B" w:rsidRPr="0039604B" w:rsidRDefault="0039604B" w:rsidP="0039604B">
            <w:pPr>
              <w:rPr>
                <w:rFonts w:ascii="Aptos" w:hAnsi="Aptos"/>
                <w:sz w:val="24"/>
                <w:szCs w:val="24"/>
              </w:rPr>
            </w:pPr>
          </w:p>
          <w:p w14:paraId="76FEC1EA" w14:textId="77777777" w:rsidR="0039604B" w:rsidRPr="0039604B" w:rsidRDefault="0039604B" w:rsidP="0039604B">
            <w:pPr>
              <w:rPr>
                <w:rFonts w:ascii="Aptos" w:hAnsi="Aptos"/>
                <w:b/>
                <w:bCs/>
                <w:sz w:val="24"/>
                <w:szCs w:val="24"/>
              </w:rPr>
            </w:pPr>
            <w:r w:rsidRPr="0039604B">
              <w:rPr>
                <w:rFonts w:ascii="Aptos" w:hAnsi="Aptos"/>
                <w:b/>
                <w:bCs/>
                <w:sz w:val="24"/>
                <w:szCs w:val="24"/>
              </w:rPr>
              <w:t>CCTV Evidence</w:t>
            </w:r>
          </w:p>
          <w:p w14:paraId="26622D76" w14:textId="77777777" w:rsidR="0039604B" w:rsidRPr="0039604B" w:rsidRDefault="0039604B" w:rsidP="0039604B">
            <w:pPr>
              <w:rPr>
                <w:rFonts w:ascii="Aptos" w:hAnsi="Aptos"/>
                <w:sz w:val="24"/>
                <w:szCs w:val="24"/>
              </w:rPr>
            </w:pPr>
          </w:p>
          <w:p w14:paraId="1F76E0A9" w14:textId="77777777" w:rsidR="0039604B" w:rsidRPr="0039604B" w:rsidRDefault="0039604B" w:rsidP="0039604B">
            <w:pPr>
              <w:rPr>
                <w:rFonts w:ascii="Aptos" w:hAnsi="Aptos" w:cs="Aptos"/>
                <w:sz w:val="24"/>
                <w:szCs w:val="24"/>
              </w:rPr>
            </w:pPr>
            <w:r w:rsidRPr="0039604B">
              <w:rPr>
                <w:rFonts w:ascii="Aptos" w:hAnsi="Aptos"/>
                <w:sz w:val="24"/>
                <w:szCs w:val="24"/>
              </w:rPr>
              <w:t>CCTV remains a vital corroborative tool in attributing offenders to drug trafficking activity. When combined with ANPR and mobile data, CCTV footage strengthens evidential timelines and enhances attribution. However, volume and quality issues can limit its effectiveness, requiring skilled analysts to interpret footage accurately.</w:t>
            </w:r>
          </w:p>
          <w:p w14:paraId="2E95703D" w14:textId="77777777" w:rsidR="0039604B" w:rsidRPr="0039604B" w:rsidRDefault="0039604B" w:rsidP="0039604B">
            <w:pPr>
              <w:rPr>
                <w:rFonts w:ascii="Aptos" w:hAnsi="Aptos"/>
                <w:sz w:val="24"/>
                <w:szCs w:val="24"/>
              </w:rPr>
            </w:pPr>
          </w:p>
          <w:p w14:paraId="35FF9A85" w14:textId="77777777" w:rsidR="0039604B" w:rsidRPr="0039604B" w:rsidRDefault="0039604B" w:rsidP="0039604B">
            <w:pPr>
              <w:rPr>
                <w:rFonts w:ascii="Aptos" w:hAnsi="Aptos"/>
                <w:b/>
                <w:bCs/>
                <w:sz w:val="24"/>
                <w:szCs w:val="24"/>
              </w:rPr>
            </w:pPr>
            <w:r w:rsidRPr="0039604B">
              <w:rPr>
                <w:rFonts w:ascii="Aptos" w:hAnsi="Aptos"/>
                <w:b/>
                <w:bCs/>
                <w:sz w:val="24"/>
                <w:szCs w:val="24"/>
              </w:rPr>
              <w:t>4b. Application of Skills, Knowledge and Experience in Investigative Outcomes</w:t>
            </w:r>
          </w:p>
          <w:p w14:paraId="29D7A94C" w14:textId="77777777" w:rsidR="0039604B" w:rsidRPr="0039604B" w:rsidRDefault="0039604B" w:rsidP="0039604B">
            <w:pPr>
              <w:rPr>
                <w:rFonts w:ascii="Aptos" w:hAnsi="Aptos"/>
                <w:b/>
                <w:bCs/>
                <w:sz w:val="24"/>
                <w:szCs w:val="24"/>
              </w:rPr>
            </w:pPr>
          </w:p>
          <w:p w14:paraId="51869F4D" w14:textId="77777777" w:rsidR="0039604B" w:rsidRPr="0039604B" w:rsidRDefault="0039604B" w:rsidP="0039604B">
            <w:pPr>
              <w:rPr>
                <w:rFonts w:ascii="Aptos" w:hAnsi="Aptos"/>
                <w:b/>
                <w:bCs/>
                <w:sz w:val="24"/>
                <w:szCs w:val="24"/>
              </w:rPr>
            </w:pPr>
            <w:r w:rsidRPr="0039604B">
              <w:rPr>
                <w:rFonts w:ascii="Aptos" w:hAnsi="Aptos"/>
                <w:b/>
                <w:bCs/>
                <w:sz w:val="24"/>
                <w:szCs w:val="24"/>
              </w:rPr>
              <w:t>Linking Theory to Practice</w:t>
            </w:r>
          </w:p>
          <w:p w14:paraId="349A2CE2" w14:textId="77777777" w:rsidR="0039604B" w:rsidRPr="0039604B" w:rsidRDefault="0039604B" w:rsidP="0039604B">
            <w:pPr>
              <w:rPr>
                <w:rFonts w:ascii="Aptos" w:hAnsi="Aptos"/>
                <w:sz w:val="24"/>
                <w:szCs w:val="24"/>
              </w:rPr>
            </w:pPr>
          </w:p>
          <w:p w14:paraId="19B8A0C3" w14:textId="77777777" w:rsidR="0039604B" w:rsidRPr="0039604B" w:rsidRDefault="0039604B" w:rsidP="0039604B">
            <w:pPr>
              <w:rPr>
                <w:rFonts w:ascii="Aptos" w:hAnsi="Aptos" w:cs="Aptos"/>
                <w:sz w:val="24"/>
                <w:szCs w:val="24"/>
              </w:rPr>
            </w:pPr>
            <w:r w:rsidRPr="0039604B">
              <w:rPr>
                <w:rFonts w:ascii="Aptos" w:hAnsi="Aptos"/>
                <w:sz w:val="24"/>
                <w:szCs w:val="24"/>
              </w:rPr>
              <w:t>The application of investigative theory into practice is essential for achieving effective outcomes. Theoretical models such as ILP, NIM, and NDM provide structure and consistency, but their success depends on practitioner competence. Skilled investigators use these frameworks to guide hypothesis generation, test assumptions, and evaluate evidence objectively.</w:t>
            </w:r>
          </w:p>
          <w:p w14:paraId="5AFC1754" w14:textId="77777777" w:rsidR="0039604B" w:rsidRPr="0039604B" w:rsidRDefault="0039604B" w:rsidP="0039604B">
            <w:pPr>
              <w:rPr>
                <w:rFonts w:ascii="Aptos" w:hAnsi="Aptos"/>
                <w:sz w:val="24"/>
                <w:szCs w:val="24"/>
              </w:rPr>
            </w:pPr>
          </w:p>
          <w:p w14:paraId="1417DE17" w14:textId="77777777" w:rsidR="0039604B" w:rsidRPr="0039604B" w:rsidRDefault="0039604B" w:rsidP="0039604B">
            <w:pPr>
              <w:rPr>
                <w:rFonts w:ascii="Aptos" w:hAnsi="Aptos"/>
                <w:sz w:val="24"/>
                <w:szCs w:val="24"/>
              </w:rPr>
            </w:pPr>
          </w:p>
          <w:p w14:paraId="72AFD365" w14:textId="77777777" w:rsidR="0039604B" w:rsidRPr="0039604B" w:rsidRDefault="0039604B" w:rsidP="0039604B">
            <w:pPr>
              <w:rPr>
                <w:rFonts w:ascii="Aptos" w:hAnsi="Aptos"/>
                <w:b/>
                <w:bCs/>
                <w:sz w:val="24"/>
                <w:szCs w:val="24"/>
              </w:rPr>
            </w:pPr>
            <w:r w:rsidRPr="0039604B">
              <w:rPr>
                <w:rFonts w:ascii="Aptos" w:hAnsi="Aptos"/>
                <w:b/>
                <w:bCs/>
                <w:sz w:val="24"/>
                <w:szCs w:val="24"/>
              </w:rPr>
              <w:lastRenderedPageBreak/>
              <w:t>Preventing Inertia, Boredom and Complacency</w:t>
            </w:r>
          </w:p>
          <w:p w14:paraId="5E4DCEFD" w14:textId="77777777" w:rsidR="0039604B" w:rsidRPr="0039604B" w:rsidRDefault="0039604B" w:rsidP="0039604B">
            <w:pPr>
              <w:rPr>
                <w:rFonts w:ascii="Aptos" w:hAnsi="Aptos"/>
                <w:sz w:val="24"/>
                <w:szCs w:val="24"/>
              </w:rPr>
            </w:pPr>
          </w:p>
          <w:p w14:paraId="6A0A9F24" w14:textId="77777777" w:rsidR="0039604B" w:rsidRPr="0039604B" w:rsidRDefault="0039604B" w:rsidP="0039604B">
            <w:pPr>
              <w:rPr>
                <w:rFonts w:ascii="Aptos" w:hAnsi="Aptos" w:cs="Aptos"/>
                <w:sz w:val="24"/>
                <w:szCs w:val="24"/>
              </w:rPr>
            </w:pPr>
            <w:r w:rsidRPr="0039604B">
              <w:rPr>
                <w:rFonts w:ascii="Aptos" w:hAnsi="Aptos"/>
                <w:sz w:val="24"/>
                <w:szCs w:val="24"/>
              </w:rPr>
              <w:t>The structured application of investigative frameworks and analytical methodologies plays a critical role in preventing inertia, boredom, and complacency within complex drug trafficking investigations. Prolonged investigations, particularly those involving extensive data analysis, covert surveillance, and intelligence development, can increase the risk of cognitive fatigue and routine-based thinking among investigators. Without deliberate methodological structure, this may lead to investigative drift, reduced critical engagement, and ultimately under-performance.</w:t>
            </w:r>
          </w:p>
          <w:p w14:paraId="3488231D" w14:textId="77777777" w:rsidR="0039604B" w:rsidRPr="0039604B" w:rsidRDefault="0039604B" w:rsidP="0039604B">
            <w:pPr>
              <w:rPr>
                <w:rFonts w:ascii="Aptos" w:hAnsi="Aptos"/>
                <w:sz w:val="24"/>
                <w:szCs w:val="24"/>
              </w:rPr>
            </w:pPr>
          </w:p>
          <w:p w14:paraId="65B7CCC0" w14:textId="77777777" w:rsidR="0039604B" w:rsidRPr="0039604B" w:rsidRDefault="0039604B" w:rsidP="0039604B">
            <w:pPr>
              <w:rPr>
                <w:rFonts w:ascii="Aptos" w:hAnsi="Aptos" w:cs="Aptos"/>
                <w:sz w:val="24"/>
                <w:szCs w:val="24"/>
              </w:rPr>
            </w:pPr>
            <w:r w:rsidRPr="0039604B">
              <w:rPr>
                <w:rFonts w:ascii="Aptos" w:hAnsi="Aptos"/>
                <w:sz w:val="24"/>
                <w:szCs w:val="24"/>
              </w:rPr>
              <w:t>The use of formal models such as Intelligence-Led Policing, the National Intelligence Model, and structured analytical techniques encourages continual review, hypothesis testing, and reassessment of investigative direction. These frameworks support disciplined thinking and promote reflective practice, ensuring that investigative activity remains purposeful and aligned to emerging intelligence rather than defaulting to habitual or assumption-based decision-making.</w:t>
            </w:r>
          </w:p>
          <w:p w14:paraId="5736CAF3" w14:textId="77777777" w:rsidR="0039604B" w:rsidRPr="0039604B" w:rsidRDefault="0039604B" w:rsidP="0039604B">
            <w:pPr>
              <w:rPr>
                <w:rFonts w:ascii="Aptos" w:hAnsi="Aptos"/>
                <w:sz w:val="24"/>
                <w:szCs w:val="24"/>
              </w:rPr>
            </w:pPr>
          </w:p>
          <w:p w14:paraId="1193086F" w14:textId="7447CDEF" w:rsidR="00084807" w:rsidRPr="00084807" w:rsidRDefault="00084807" w:rsidP="00084807">
            <w:pPr>
              <w:rPr>
                <w:rFonts w:ascii="Aptos" w:eastAsia="Times New Roman" w:hAnsi="Aptos"/>
                <w:color w:val="000000"/>
                <w:sz w:val="24"/>
                <w:szCs w:val="24"/>
              </w:rPr>
            </w:pPr>
            <w:r w:rsidRPr="00084807">
              <w:rPr>
                <w:rFonts w:ascii="Aptos" w:eastAsia="Times New Roman" w:hAnsi="Aptos"/>
                <w:color w:val="000000"/>
                <w:sz w:val="24"/>
                <w:szCs w:val="24"/>
              </w:rPr>
              <w:t>Research shows that investigative outcomes can be negatively affected when officers become overly familiar with processes and fail to rigorously challenge established lines of enquiry. Cognitive biases, such as confirmation bias, can cause investigators to become anchored to initial hypotheses and overlook alternative possibilities, reducing investigative adaptability and effectiveness</w:t>
            </w:r>
            <w:r w:rsidR="00AF7836">
              <w:rPr>
                <w:rFonts w:ascii="Aptos" w:eastAsia="Times New Roman" w:hAnsi="Aptos"/>
                <w:color w:val="000000"/>
                <w:sz w:val="24"/>
                <w:szCs w:val="24"/>
              </w:rPr>
              <w:t>.</w:t>
            </w:r>
            <w:r w:rsidRPr="00084807">
              <w:rPr>
                <w:rFonts w:ascii="Aptos" w:eastAsia="Times New Roman" w:hAnsi="Aptos"/>
                <w:color w:val="000000"/>
                <w:sz w:val="24"/>
                <w:szCs w:val="24"/>
              </w:rPr>
              <w:t xml:space="preserve"> Ask and </w:t>
            </w:r>
            <w:proofErr w:type="spellStart"/>
            <w:r w:rsidRPr="00084807">
              <w:rPr>
                <w:rFonts w:ascii="Aptos" w:eastAsia="Times New Roman" w:hAnsi="Aptos"/>
                <w:color w:val="000000"/>
                <w:sz w:val="24"/>
                <w:szCs w:val="24"/>
              </w:rPr>
              <w:t>Granhag</w:t>
            </w:r>
            <w:proofErr w:type="spellEnd"/>
            <w:r w:rsidRPr="00084807">
              <w:rPr>
                <w:rFonts w:ascii="Aptos" w:eastAsia="Times New Roman" w:hAnsi="Aptos"/>
                <w:color w:val="000000"/>
                <w:sz w:val="24"/>
                <w:szCs w:val="24"/>
              </w:rPr>
              <w:t xml:space="preserve">, </w:t>
            </w:r>
            <w:r w:rsidR="00AF7836">
              <w:rPr>
                <w:rFonts w:ascii="Aptos" w:eastAsia="Times New Roman" w:hAnsi="Aptos"/>
                <w:color w:val="000000"/>
                <w:sz w:val="24"/>
                <w:szCs w:val="24"/>
              </w:rPr>
              <w:t>(</w:t>
            </w:r>
            <w:r w:rsidRPr="00084807">
              <w:rPr>
                <w:rFonts w:ascii="Aptos" w:eastAsia="Times New Roman" w:hAnsi="Aptos"/>
                <w:color w:val="000000"/>
                <w:sz w:val="24"/>
                <w:szCs w:val="24"/>
              </w:rPr>
              <w:t>2005</w:t>
            </w:r>
            <w:r w:rsidR="00AF7836">
              <w:rPr>
                <w:rFonts w:ascii="Aptos" w:eastAsia="Times New Roman" w:hAnsi="Aptos"/>
                <w:color w:val="000000"/>
                <w:sz w:val="24"/>
                <w:szCs w:val="24"/>
              </w:rPr>
              <w:t>)</w:t>
            </w:r>
            <w:r w:rsidRPr="00084807">
              <w:rPr>
                <w:rFonts w:ascii="Aptos" w:eastAsia="Times New Roman" w:hAnsi="Aptos"/>
                <w:color w:val="000000"/>
                <w:sz w:val="24"/>
                <w:szCs w:val="24"/>
              </w:rPr>
              <w:t xml:space="preserve">; </w:t>
            </w:r>
            <w:proofErr w:type="spellStart"/>
            <w:r w:rsidRPr="00084807">
              <w:rPr>
                <w:rFonts w:ascii="Aptos" w:eastAsia="Times New Roman" w:hAnsi="Aptos"/>
                <w:color w:val="000000"/>
                <w:sz w:val="24"/>
                <w:szCs w:val="24"/>
              </w:rPr>
              <w:t>Meterko</w:t>
            </w:r>
            <w:proofErr w:type="spellEnd"/>
            <w:r w:rsidRPr="00084807">
              <w:rPr>
                <w:rFonts w:ascii="Aptos" w:eastAsia="Times New Roman" w:hAnsi="Aptos"/>
                <w:color w:val="000000"/>
                <w:sz w:val="24"/>
                <w:szCs w:val="24"/>
              </w:rPr>
              <w:t xml:space="preserve"> and Cooper, </w:t>
            </w:r>
            <w:r w:rsidR="00AF7836">
              <w:rPr>
                <w:rFonts w:ascii="Aptos" w:eastAsia="Times New Roman" w:hAnsi="Aptos"/>
                <w:color w:val="000000"/>
                <w:sz w:val="24"/>
                <w:szCs w:val="24"/>
              </w:rPr>
              <w:t>(</w:t>
            </w:r>
            <w:r w:rsidRPr="00084807">
              <w:rPr>
                <w:rFonts w:ascii="Aptos" w:eastAsia="Times New Roman" w:hAnsi="Aptos"/>
                <w:color w:val="000000"/>
                <w:sz w:val="24"/>
                <w:szCs w:val="24"/>
              </w:rPr>
              <w:t>2022).</w:t>
            </w:r>
          </w:p>
          <w:p w14:paraId="6C14A703" w14:textId="5EE1A565" w:rsidR="0039604B" w:rsidRPr="0039604B" w:rsidRDefault="0039604B" w:rsidP="0039604B">
            <w:pPr>
              <w:rPr>
                <w:rFonts w:ascii="Aptos" w:hAnsi="Aptos" w:cs="Aptos"/>
                <w:sz w:val="24"/>
                <w:szCs w:val="24"/>
              </w:rPr>
            </w:pPr>
            <w:r w:rsidRPr="0039604B">
              <w:rPr>
                <w:rFonts w:ascii="Aptos" w:hAnsi="Aptos"/>
                <w:sz w:val="24"/>
                <w:szCs w:val="24"/>
              </w:rPr>
              <w:t>Their research highlights the importance of structured reflection and continuous professional engagement to counter complacency, particularly in long-term investigations involving serious and organised crime. By embedding analytical checkpoints and formal review mechanisms, investigators are encouraged to remain intellectually engaged, challenge cognitive bias, and maintain investigative momentum.</w:t>
            </w:r>
          </w:p>
          <w:p w14:paraId="6F581D04" w14:textId="77777777" w:rsidR="0039604B" w:rsidRPr="0039604B" w:rsidRDefault="0039604B" w:rsidP="0039604B">
            <w:pPr>
              <w:rPr>
                <w:rFonts w:ascii="Aptos" w:hAnsi="Aptos"/>
                <w:sz w:val="24"/>
                <w:szCs w:val="24"/>
              </w:rPr>
            </w:pPr>
          </w:p>
          <w:p w14:paraId="225E1745" w14:textId="77777777" w:rsidR="0039604B" w:rsidRPr="0039604B" w:rsidRDefault="0039604B" w:rsidP="0039604B">
            <w:pPr>
              <w:rPr>
                <w:rFonts w:ascii="Aptos" w:hAnsi="Aptos" w:cs="Aptos"/>
                <w:sz w:val="24"/>
                <w:szCs w:val="24"/>
              </w:rPr>
            </w:pPr>
            <w:r w:rsidRPr="0039604B">
              <w:rPr>
                <w:rFonts w:ascii="Aptos" w:hAnsi="Aptos"/>
                <w:sz w:val="24"/>
                <w:szCs w:val="24"/>
              </w:rPr>
              <w:t>Furthermore, applying theory to practice enables investigators to recognise when investigative strategies require adaptation in response to changing offender behaviour or emerging evidence. This reflective and structured approach not only enhances investigative effectiveness but also supports professional accountability and resilience in high-pressure operational environments.</w:t>
            </w:r>
          </w:p>
          <w:p w14:paraId="0EAF6C70" w14:textId="77777777" w:rsidR="0039604B" w:rsidRPr="0039604B" w:rsidRDefault="0039604B" w:rsidP="0039604B">
            <w:pPr>
              <w:rPr>
                <w:rFonts w:ascii="Aptos" w:hAnsi="Aptos"/>
                <w:sz w:val="24"/>
                <w:szCs w:val="24"/>
              </w:rPr>
            </w:pPr>
          </w:p>
          <w:p w14:paraId="7ADFCB44" w14:textId="77777777" w:rsidR="0039604B" w:rsidRPr="0039604B" w:rsidRDefault="0039604B" w:rsidP="0039604B">
            <w:pPr>
              <w:rPr>
                <w:rFonts w:ascii="Aptos" w:hAnsi="Aptos"/>
                <w:b/>
                <w:bCs/>
                <w:sz w:val="24"/>
                <w:szCs w:val="24"/>
              </w:rPr>
            </w:pPr>
            <w:r w:rsidRPr="0039604B">
              <w:rPr>
                <w:rFonts w:ascii="Aptos" w:hAnsi="Aptos"/>
                <w:b/>
                <w:bCs/>
                <w:sz w:val="24"/>
                <w:szCs w:val="24"/>
              </w:rPr>
              <w:t>The Role of Experience in Investigative Practice</w:t>
            </w:r>
          </w:p>
          <w:p w14:paraId="7685F3F3" w14:textId="77777777" w:rsidR="0039604B" w:rsidRPr="0039604B" w:rsidRDefault="0039604B" w:rsidP="0039604B">
            <w:pPr>
              <w:rPr>
                <w:rFonts w:ascii="Aptos" w:hAnsi="Aptos"/>
                <w:sz w:val="24"/>
                <w:szCs w:val="24"/>
              </w:rPr>
            </w:pPr>
          </w:p>
          <w:p w14:paraId="0BECA20C" w14:textId="77777777" w:rsidR="0039604B" w:rsidRPr="0039604B" w:rsidRDefault="0039604B" w:rsidP="0039604B">
            <w:pPr>
              <w:rPr>
                <w:rFonts w:ascii="Aptos" w:hAnsi="Aptos"/>
                <w:sz w:val="24"/>
                <w:szCs w:val="24"/>
              </w:rPr>
            </w:pPr>
            <w:r w:rsidRPr="0039604B">
              <w:rPr>
                <w:rFonts w:ascii="Aptos" w:hAnsi="Aptos"/>
                <w:sz w:val="24"/>
                <w:szCs w:val="24"/>
              </w:rPr>
              <w:t>Experience plays a significant role in shaping investigative effectiveness within complex drug trafficking investigations; however, its value must be critically examined rather than assumed. While experience is often perceived as an inherently positive attribute, its contribution to investigative outcomes is contingent upon the extent to which it is actively reflected upon, evaluated, and integrated with formal knowledge and theoretical frameworks.</w:t>
            </w:r>
          </w:p>
          <w:p w14:paraId="10116813" w14:textId="77777777" w:rsidR="0039604B" w:rsidRPr="0039604B" w:rsidRDefault="0039604B" w:rsidP="0039604B">
            <w:pPr>
              <w:rPr>
                <w:rFonts w:ascii="Aptos" w:hAnsi="Aptos"/>
                <w:sz w:val="24"/>
                <w:szCs w:val="24"/>
              </w:rPr>
            </w:pPr>
          </w:p>
          <w:p w14:paraId="06D25FD9" w14:textId="77777777" w:rsidR="0039604B" w:rsidRPr="0039604B" w:rsidRDefault="0039604B" w:rsidP="0039604B">
            <w:pPr>
              <w:rPr>
                <w:rFonts w:ascii="Aptos" w:hAnsi="Aptos" w:cs="Aptos"/>
                <w:sz w:val="24"/>
                <w:szCs w:val="24"/>
              </w:rPr>
            </w:pPr>
            <w:r w:rsidRPr="0039604B">
              <w:rPr>
                <w:rFonts w:ascii="Aptos" w:hAnsi="Aptos"/>
                <w:sz w:val="24"/>
                <w:szCs w:val="24"/>
              </w:rPr>
              <w:lastRenderedPageBreak/>
              <w:t>Kolb’s (1984) Experiential Learning Cycle provides a well-established theoretical lens for evaluating the role of experience in investigative practice. Kolb proposes that learning occurs through a cyclical process of concrete experience, reflective observation, abstract conceptualisation, and active experimentation. Applied to policing, this suggests that investigative experience enhances professional competence only when officers actively reflect on their operational encounters and apply lessons learned to future practice. In the context of drug trafficking investigations, experienced officers may demonstrate nuanced situational awareness, an intuitive grasp of offender behaviour, and the ability to identify patterns within large volumes of data, such as mobile device communications, ANPR records, and CCTV footage. These abilities can expedite hypothesis generation, focus investigative priorities, and strengthen evidential development.</w:t>
            </w:r>
          </w:p>
          <w:p w14:paraId="4FB3AB1F" w14:textId="77777777" w:rsidR="0039604B" w:rsidRPr="0039604B" w:rsidRDefault="0039604B" w:rsidP="0039604B">
            <w:pPr>
              <w:rPr>
                <w:rFonts w:ascii="Aptos" w:hAnsi="Aptos"/>
                <w:sz w:val="24"/>
                <w:szCs w:val="24"/>
              </w:rPr>
            </w:pPr>
          </w:p>
          <w:p w14:paraId="3AB8B34E" w14:textId="77777777" w:rsidR="0039604B" w:rsidRPr="0039604B" w:rsidRDefault="0039604B" w:rsidP="0039604B">
            <w:pPr>
              <w:rPr>
                <w:rFonts w:ascii="Aptos" w:hAnsi="Aptos" w:cs="Aptos"/>
                <w:sz w:val="24"/>
                <w:szCs w:val="24"/>
              </w:rPr>
            </w:pPr>
            <w:r w:rsidRPr="0039604B">
              <w:rPr>
                <w:rFonts w:ascii="Aptos" w:hAnsi="Aptos"/>
                <w:sz w:val="24"/>
                <w:szCs w:val="24"/>
              </w:rPr>
              <w:t>However, while Kolb’s model emphasises structured reflection, it assumes that all practitioners engage rigorously in each stage of the learning cycle. In practice, experience can become static or unexamined, leading to overreliance on prior cases and the risk of confirmation bias—interpreting new data to fit existing assumptions. Such bias can be particularly damaging in complex, data-rich investigations where investigators must synthesise multiple sources of intelligence to identify novel criminal behaviours. Kolb’s framework highlights that experience alone does not constitute learning; reflective observation and abstract conceptualisation are critical for converting operational exposure into actionable competence (Kolb, 1984).</w:t>
            </w:r>
          </w:p>
          <w:p w14:paraId="5AC39884" w14:textId="77777777" w:rsidR="0039604B" w:rsidRPr="0039604B" w:rsidRDefault="0039604B" w:rsidP="0039604B">
            <w:pPr>
              <w:rPr>
                <w:rFonts w:ascii="Aptos" w:hAnsi="Aptos"/>
                <w:sz w:val="24"/>
                <w:szCs w:val="24"/>
              </w:rPr>
            </w:pPr>
          </w:p>
          <w:p w14:paraId="1CBEF059" w14:textId="77777777" w:rsidR="0039604B" w:rsidRPr="0039604B" w:rsidRDefault="0039604B" w:rsidP="0039604B">
            <w:pPr>
              <w:rPr>
                <w:rFonts w:ascii="Aptos" w:hAnsi="Aptos" w:cs="Aptos"/>
                <w:sz w:val="24"/>
                <w:szCs w:val="24"/>
              </w:rPr>
            </w:pPr>
            <w:r w:rsidRPr="0039604B">
              <w:rPr>
                <w:rFonts w:ascii="Aptos" w:hAnsi="Aptos"/>
                <w:sz w:val="24"/>
                <w:szCs w:val="24"/>
              </w:rPr>
              <w:t>A useful counterpoint to Kolb is Schön’s (1983) Reflective Practitioner model, which emphasises reflection-in-action and reflection-on-action. Unlike Kolb, Schön acknowledges that professionals frequently operate in situations of high uncertainty and ambiguity, where pre-defined frameworks may be insufficient. Reflection-in-action allows investigators to make real-time adjustments during operations, while reflection-on-action occurs after events to evaluate decisions and outcomes. Schön’s model foregrounds adaptive expertise, highlighting that investigative effectiveness often depends on the ability to improvise and make judgements under uncertainty, not solely on structured experiential cycles.</w:t>
            </w:r>
          </w:p>
          <w:p w14:paraId="64174B7D" w14:textId="77777777" w:rsidR="0039604B" w:rsidRPr="0039604B" w:rsidRDefault="0039604B" w:rsidP="0039604B">
            <w:pPr>
              <w:rPr>
                <w:rFonts w:ascii="Aptos" w:hAnsi="Aptos"/>
                <w:sz w:val="24"/>
                <w:szCs w:val="24"/>
              </w:rPr>
            </w:pPr>
          </w:p>
          <w:p w14:paraId="6CB7ED59" w14:textId="77777777" w:rsidR="0039604B" w:rsidRPr="0039604B" w:rsidRDefault="0039604B" w:rsidP="0039604B">
            <w:pPr>
              <w:rPr>
                <w:rFonts w:ascii="Aptos" w:hAnsi="Aptos" w:cs="Aptos"/>
                <w:sz w:val="24"/>
                <w:szCs w:val="24"/>
              </w:rPr>
            </w:pPr>
            <w:r w:rsidRPr="0039604B">
              <w:rPr>
                <w:rFonts w:ascii="Aptos" w:hAnsi="Aptos"/>
                <w:sz w:val="24"/>
                <w:szCs w:val="24"/>
              </w:rPr>
              <w:t>Critically comparing the two, Kolb provides a structured, systematic approach to learning from experience, which is valuable for ensuring that lessons from prior operations are captured and institutionalised. However, it may be less applicable in fast-moving, unpredictable environments where immediate adaptive decision-making is required. Conversely, Schön’s model explicitly recognises the fluidity of operational contexts and the need for iterative, reflexive decision-making, but it risks under-theorising the formalisation of experience into codified practice, potentially resulting in inconsistent standards across investigators.</w:t>
            </w:r>
          </w:p>
          <w:p w14:paraId="67196198" w14:textId="77777777" w:rsidR="0039604B" w:rsidRPr="0039604B" w:rsidRDefault="0039604B" w:rsidP="0039604B">
            <w:pPr>
              <w:rPr>
                <w:rFonts w:ascii="Aptos" w:hAnsi="Aptos"/>
                <w:sz w:val="24"/>
                <w:szCs w:val="24"/>
              </w:rPr>
            </w:pPr>
          </w:p>
          <w:p w14:paraId="53C20492" w14:textId="77777777" w:rsidR="0039604B" w:rsidRPr="0039604B" w:rsidRDefault="0039604B" w:rsidP="0039604B">
            <w:pPr>
              <w:rPr>
                <w:rFonts w:ascii="Aptos" w:hAnsi="Aptos" w:cs="Aptos"/>
                <w:sz w:val="24"/>
                <w:szCs w:val="24"/>
              </w:rPr>
            </w:pPr>
            <w:r w:rsidRPr="0039604B">
              <w:rPr>
                <w:rFonts w:ascii="Aptos" w:hAnsi="Aptos"/>
                <w:sz w:val="24"/>
                <w:szCs w:val="24"/>
              </w:rPr>
              <w:t xml:space="preserve">Integrating both perspectives offers a more nuanced understanding of experience in drug trafficking investigations. Experience becomes most effective when it combines Kolb’s structured reflection and learning cycles with Schön’s adaptive, in-situ reflection. For example, an investigator analysing suspect vehicle movements via </w:t>
            </w:r>
            <w:r w:rsidRPr="0039604B">
              <w:rPr>
                <w:rFonts w:ascii="Aptos" w:hAnsi="Aptos"/>
                <w:sz w:val="24"/>
                <w:szCs w:val="24"/>
              </w:rPr>
              <w:lastRenderedPageBreak/>
              <w:t>ANPR may use Schön’s reflection-in-action to adjust surveillance tactics in real time, while later applying Kolb’s cycle to evaluate the operation, identify lessons, and inform future investigations. This dual approach mitigates the risks of complacency, cognitive bias, and rigidity that can accompany unexamined experience, while simultaneously promoting adaptive, evidence-informed practice.</w:t>
            </w:r>
          </w:p>
          <w:p w14:paraId="553634A6" w14:textId="77777777" w:rsidR="0039604B" w:rsidRPr="0039604B" w:rsidRDefault="0039604B" w:rsidP="0039604B">
            <w:pPr>
              <w:rPr>
                <w:rFonts w:ascii="Aptos" w:hAnsi="Aptos"/>
                <w:sz w:val="24"/>
                <w:szCs w:val="24"/>
              </w:rPr>
            </w:pPr>
          </w:p>
          <w:p w14:paraId="1B8E9574" w14:textId="77777777" w:rsidR="0039604B" w:rsidRPr="0039604B" w:rsidRDefault="0039604B" w:rsidP="0039604B">
            <w:pPr>
              <w:rPr>
                <w:rFonts w:ascii="Aptos" w:hAnsi="Aptos" w:cs="Aptos"/>
                <w:sz w:val="24"/>
                <w:szCs w:val="24"/>
              </w:rPr>
            </w:pPr>
            <w:r w:rsidRPr="0039604B">
              <w:rPr>
                <w:rFonts w:ascii="Aptos" w:hAnsi="Aptos"/>
                <w:sz w:val="24"/>
                <w:szCs w:val="24"/>
              </w:rPr>
              <w:t>Moreover, organisational culture critically influences how experience translates into competence. Forces that embed reflective supervision, structured debriefings, and knowledge-sharing mechanisms ensure that individual experiences contribute to collective learning. Without such structures, even highly experienced investigators may inadvertently perpetuate outdated approaches, resist innovation, or over-rely on intuition at the expense of structured intelligence-led practices.</w:t>
            </w:r>
          </w:p>
          <w:p w14:paraId="4808521D" w14:textId="77777777" w:rsidR="0039604B" w:rsidRPr="0039604B" w:rsidRDefault="0039604B" w:rsidP="0039604B">
            <w:pPr>
              <w:rPr>
                <w:rFonts w:ascii="Aptos" w:hAnsi="Aptos"/>
                <w:sz w:val="24"/>
                <w:szCs w:val="24"/>
              </w:rPr>
            </w:pPr>
          </w:p>
          <w:p w14:paraId="02430D9D" w14:textId="77777777" w:rsidR="0039604B" w:rsidRPr="0039604B" w:rsidRDefault="0039604B" w:rsidP="0039604B">
            <w:pPr>
              <w:rPr>
                <w:rFonts w:ascii="Aptos" w:hAnsi="Aptos" w:cs="Aptos"/>
                <w:sz w:val="24"/>
                <w:szCs w:val="24"/>
              </w:rPr>
            </w:pPr>
            <w:r w:rsidRPr="0039604B">
              <w:rPr>
                <w:rFonts w:ascii="Aptos" w:hAnsi="Aptos"/>
                <w:sz w:val="24"/>
                <w:szCs w:val="24"/>
              </w:rPr>
              <w:t>In conclusion, experience is a valuable but inherently limited component of investigative practice. Kolb’s Experiential Learning Cycle underscores the importance of structured reflection and learning from operational encounters, while Schön’s Reflective Practitioner model emphasises adaptive expertise in uncertain environments. Together, they highlight that experience must be critically examined, reflected upon, and integrated with theoretical and analytical frameworks to enhance investigative outcomes. Failure to do so risks bias, complacency, and suboptimal decision-making in complex drug trafficking investigations.</w:t>
            </w:r>
          </w:p>
          <w:p w14:paraId="616DE2CD" w14:textId="77777777" w:rsidR="0039604B" w:rsidRPr="0039604B" w:rsidRDefault="0039604B" w:rsidP="0039604B">
            <w:pPr>
              <w:rPr>
                <w:rFonts w:ascii="Aptos" w:hAnsi="Aptos"/>
                <w:sz w:val="24"/>
                <w:szCs w:val="24"/>
              </w:rPr>
            </w:pPr>
          </w:p>
          <w:p w14:paraId="4FA2B71A" w14:textId="77777777" w:rsidR="0039604B" w:rsidRPr="0039604B" w:rsidRDefault="0039604B" w:rsidP="0039604B">
            <w:pPr>
              <w:rPr>
                <w:rFonts w:ascii="Aptos" w:hAnsi="Aptos"/>
                <w:b/>
                <w:bCs/>
                <w:sz w:val="24"/>
                <w:szCs w:val="24"/>
              </w:rPr>
            </w:pPr>
            <w:r w:rsidRPr="0039604B">
              <w:rPr>
                <w:rFonts w:ascii="Aptos" w:hAnsi="Aptos"/>
                <w:b/>
                <w:bCs/>
                <w:sz w:val="24"/>
                <w:szCs w:val="24"/>
              </w:rPr>
              <w:t>Limitations of Skills and Methodologies</w:t>
            </w:r>
          </w:p>
          <w:p w14:paraId="30574F1E" w14:textId="77777777" w:rsidR="0039604B" w:rsidRPr="0039604B" w:rsidRDefault="0039604B" w:rsidP="0039604B">
            <w:pPr>
              <w:rPr>
                <w:rFonts w:ascii="Aptos" w:hAnsi="Aptos"/>
                <w:sz w:val="24"/>
                <w:szCs w:val="24"/>
              </w:rPr>
            </w:pPr>
          </w:p>
          <w:p w14:paraId="2082F03E" w14:textId="77777777" w:rsidR="0039604B" w:rsidRPr="0039604B" w:rsidRDefault="0039604B" w:rsidP="0039604B">
            <w:pPr>
              <w:rPr>
                <w:rFonts w:ascii="Aptos" w:hAnsi="Aptos" w:cs="Aptos"/>
                <w:sz w:val="24"/>
                <w:szCs w:val="24"/>
              </w:rPr>
            </w:pPr>
            <w:r w:rsidRPr="0039604B">
              <w:rPr>
                <w:rFonts w:ascii="Aptos" w:hAnsi="Aptos"/>
                <w:sz w:val="24"/>
                <w:szCs w:val="24"/>
              </w:rPr>
              <w:t>Despite strong theoretical frameworks, limitations remain. Resource constraints, High workloads, multi disciplined officers, technological advances by criminals, and legal restrictions can impede investigations. Continuous professional development and organisational learning are therefore essential to maintain investigative effectiveness.</w:t>
            </w:r>
          </w:p>
          <w:p w14:paraId="5A4732CB" w14:textId="77777777" w:rsidR="0039604B" w:rsidRPr="0039604B" w:rsidRDefault="0039604B" w:rsidP="0039604B">
            <w:pPr>
              <w:rPr>
                <w:rFonts w:ascii="Aptos" w:hAnsi="Aptos"/>
                <w:sz w:val="24"/>
                <w:szCs w:val="24"/>
              </w:rPr>
            </w:pPr>
          </w:p>
          <w:p w14:paraId="78747F64" w14:textId="77777777" w:rsidR="0039604B" w:rsidRPr="0039604B" w:rsidRDefault="0039604B" w:rsidP="0039604B">
            <w:pPr>
              <w:rPr>
                <w:rFonts w:ascii="Aptos" w:hAnsi="Aptos"/>
                <w:b/>
                <w:bCs/>
                <w:sz w:val="24"/>
                <w:szCs w:val="24"/>
              </w:rPr>
            </w:pPr>
            <w:r w:rsidRPr="0039604B">
              <w:rPr>
                <w:rFonts w:ascii="Aptos" w:hAnsi="Aptos"/>
                <w:b/>
                <w:bCs/>
                <w:sz w:val="24"/>
                <w:szCs w:val="24"/>
              </w:rPr>
              <w:t>Conclusion</w:t>
            </w:r>
          </w:p>
          <w:p w14:paraId="284823E1" w14:textId="77777777" w:rsidR="0039604B" w:rsidRPr="0039604B" w:rsidRDefault="0039604B" w:rsidP="0039604B">
            <w:pPr>
              <w:rPr>
                <w:rFonts w:ascii="Aptos" w:hAnsi="Aptos"/>
                <w:sz w:val="24"/>
                <w:szCs w:val="24"/>
              </w:rPr>
            </w:pPr>
          </w:p>
          <w:p w14:paraId="72952EA6" w14:textId="77777777" w:rsidR="0039604B" w:rsidRPr="0039604B" w:rsidRDefault="0039604B" w:rsidP="0039604B">
            <w:pPr>
              <w:rPr>
                <w:rFonts w:ascii="Aptos" w:hAnsi="Aptos" w:cs="Aptos"/>
                <w:sz w:val="24"/>
                <w:szCs w:val="24"/>
              </w:rPr>
            </w:pPr>
            <w:r w:rsidRPr="0039604B">
              <w:rPr>
                <w:rFonts w:ascii="Aptos" w:hAnsi="Aptos"/>
                <w:sz w:val="24"/>
                <w:szCs w:val="24"/>
              </w:rPr>
              <w:t>Drug trafficking investigations in the UK rely upon an integrated application of intelligence-led policing, structured decision-making frameworks, covert tactics, and advanced data analysis. Theories such as ILP, NIM, and NDM provide essential structure and accountability, while data from mobile devices, vehicles, and CCTV enhances offender attribution.</w:t>
            </w:r>
          </w:p>
          <w:p w14:paraId="602B942F" w14:textId="77777777" w:rsidR="0039604B" w:rsidRPr="0039604B" w:rsidRDefault="0039604B" w:rsidP="0039604B">
            <w:pPr>
              <w:rPr>
                <w:rFonts w:ascii="Aptos" w:hAnsi="Aptos"/>
                <w:sz w:val="24"/>
                <w:szCs w:val="24"/>
              </w:rPr>
            </w:pPr>
          </w:p>
          <w:p w14:paraId="02E0AEE9" w14:textId="77777777" w:rsidR="0039604B" w:rsidRDefault="0039604B" w:rsidP="0039604B">
            <w:pPr>
              <w:rPr>
                <w:rFonts w:ascii="Aptos" w:hAnsi="Aptos"/>
                <w:sz w:val="24"/>
                <w:szCs w:val="24"/>
              </w:rPr>
            </w:pPr>
            <w:r w:rsidRPr="0039604B">
              <w:rPr>
                <w:rFonts w:ascii="Aptos" w:hAnsi="Aptos"/>
                <w:sz w:val="24"/>
                <w:szCs w:val="24"/>
              </w:rPr>
              <w:t>However, investigative success ultimately depends on the effective application of skills, knowledge, and experience. The critical evaluation and flexible application of theory reduces investigative inertia, mitigates complacency, and ensures proportionate, lawful outcomes. Continued investment in training, analytical capability, and ethical governance is vital to maintaining effective responses to drug trafficking in an evolving criminal landscape.</w:t>
            </w:r>
          </w:p>
          <w:p w14:paraId="30CA5D4A" w14:textId="77777777" w:rsidR="00A404A7" w:rsidRDefault="00A404A7" w:rsidP="0039604B">
            <w:pPr>
              <w:rPr>
                <w:rFonts w:ascii="Aptos" w:hAnsi="Aptos"/>
                <w:sz w:val="24"/>
                <w:szCs w:val="24"/>
              </w:rPr>
            </w:pPr>
          </w:p>
          <w:p w14:paraId="14E4EF79" w14:textId="2E2879AE" w:rsidR="00A404A7" w:rsidRPr="0039604B" w:rsidRDefault="00A404A7" w:rsidP="0039604B">
            <w:pPr>
              <w:rPr>
                <w:rFonts w:ascii="Aptos" w:hAnsi="Aptos" w:cs="Aptos"/>
                <w:sz w:val="24"/>
                <w:szCs w:val="24"/>
              </w:rPr>
            </w:pPr>
            <w:r>
              <w:rPr>
                <w:rFonts w:ascii="Aptos" w:hAnsi="Aptos"/>
                <w:sz w:val="24"/>
                <w:szCs w:val="24"/>
              </w:rPr>
              <w:t>Word count-2061</w:t>
            </w:r>
          </w:p>
          <w:p w14:paraId="36FEB5B0" w14:textId="77777777" w:rsidR="0039604B" w:rsidRPr="0039604B" w:rsidRDefault="0039604B">
            <w:pPr>
              <w:rPr>
                <w:rFonts w:ascii="Arial" w:eastAsia="Arial" w:hAnsi="Arial" w:cs="Arial"/>
                <w:bCs/>
                <w:color w:val="000000"/>
                <w:sz w:val="24"/>
                <w:szCs w:val="24"/>
              </w:rPr>
            </w:pPr>
          </w:p>
        </w:tc>
      </w:tr>
    </w:tbl>
    <w:p w14:paraId="30D7AA69" w14:textId="77777777" w:rsidR="00C66036" w:rsidRDefault="00C66036">
      <w:pPr>
        <w:ind w:left="2880" w:right="107"/>
        <w:jc w:val="both"/>
        <w:rPr>
          <w:rFonts w:ascii="Arial" w:eastAsia="Arial" w:hAnsi="Arial" w:cs="Arial"/>
          <w:b/>
          <w:color w:val="000000"/>
          <w:sz w:val="24"/>
          <w:szCs w:val="24"/>
        </w:rPr>
      </w:pPr>
    </w:p>
    <w:p w14:paraId="7196D064" w14:textId="77777777" w:rsidR="00C66036" w:rsidRDefault="00C66036">
      <w:pPr>
        <w:ind w:right="237"/>
        <w:jc w:val="both"/>
        <w:rPr>
          <w:rFonts w:ascii="Arial" w:eastAsia="Arial" w:hAnsi="Arial" w:cs="Arial"/>
          <w:color w:val="000000"/>
          <w:sz w:val="24"/>
          <w:szCs w:val="24"/>
        </w:rPr>
      </w:pPr>
    </w:p>
    <w:p w14:paraId="34FF1C98" w14:textId="77777777" w:rsidR="00C66036" w:rsidRDefault="00C66036">
      <w:pPr>
        <w:ind w:right="237"/>
        <w:jc w:val="both"/>
        <w:rPr>
          <w:rFonts w:ascii="Arial" w:eastAsia="Arial" w:hAnsi="Arial" w:cs="Arial"/>
          <w:color w:val="000000"/>
          <w:sz w:val="24"/>
          <w:szCs w:val="24"/>
        </w:rPr>
      </w:pPr>
    </w:p>
    <w:p w14:paraId="6D072C0D" w14:textId="77777777" w:rsidR="00C66036" w:rsidRDefault="00C66036">
      <w:pPr>
        <w:ind w:left="3600" w:right="107" w:firstLine="720"/>
        <w:jc w:val="both"/>
        <w:rPr>
          <w:rFonts w:ascii="Arial" w:eastAsia="Arial" w:hAnsi="Arial" w:cs="Arial"/>
          <w:b/>
          <w:color w:val="000000"/>
          <w:sz w:val="24"/>
          <w:szCs w:val="24"/>
        </w:rPr>
      </w:pPr>
    </w:p>
    <w:p w14:paraId="48A21919" w14:textId="77777777" w:rsidR="00C66036" w:rsidRDefault="00C66036">
      <w:pPr>
        <w:ind w:left="3600" w:right="107" w:firstLine="720"/>
        <w:jc w:val="both"/>
        <w:rPr>
          <w:rFonts w:ascii="Arial" w:eastAsia="Arial" w:hAnsi="Arial" w:cs="Arial"/>
          <w:b/>
          <w:color w:val="000000"/>
          <w:sz w:val="24"/>
          <w:szCs w:val="24"/>
        </w:rPr>
      </w:pPr>
    </w:p>
    <w:p w14:paraId="6BD18F9B" w14:textId="77777777" w:rsidR="00C66036" w:rsidRDefault="00C66036">
      <w:pPr>
        <w:ind w:left="3600" w:right="107" w:firstLine="720"/>
        <w:jc w:val="both"/>
        <w:rPr>
          <w:rFonts w:ascii="Arial" w:eastAsia="Arial" w:hAnsi="Arial" w:cs="Arial"/>
          <w:b/>
          <w:color w:val="000000"/>
          <w:sz w:val="24"/>
          <w:szCs w:val="24"/>
        </w:rPr>
      </w:pPr>
    </w:p>
    <w:p w14:paraId="238601FE" w14:textId="77777777" w:rsidR="00C66036" w:rsidRDefault="00C66036">
      <w:pPr>
        <w:ind w:left="720" w:right="107"/>
        <w:jc w:val="both"/>
        <w:rPr>
          <w:rFonts w:ascii="Arial" w:eastAsia="Arial" w:hAnsi="Arial" w:cs="Arial"/>
          <w:b/>
          <w:color w:val="000000"/>
          <w:sz w:val="24"/>
          <w:szCs w:val="24"/>
        </w:rPr>
      </w:pPr>
    </w:p>
    <w:p w14:paraId="0F3CABC7" w14:textId="77777777" w:rsidR="00C66036" w:rsidRDefault="00C66036">
      <w:pPr>
        <w:ind w:right="107"/>
        <w:jc w:val="both"/>
        <w:rPr>
          <w:rFonts w:ascii="Arial" w:eastAsia="Arial" w:hAnsi="Arial" w:cs="Arial"/>
          <w:b/>
          <w:color w:val="000000"/>
          <w:sz w:val="24"/>
          <w:szCs w:val="24"/>
        </w:rPr>
      </w:pPr>
    </w:p>
    <w:p w14:paraId="1F2ABD7D" w14:textId="77777777" w:rsidR="00C66036" w:rsidRDefault="009A442B">
      <w:pPr>
        <w:ind w:right="107"/>
        <w:jc w:val="both"/>
        <w:rPr>
          <w:rFonts w:ascii="Arial" w:eastAsia="Arial" w:hAnsi="Arial" w:cs="Arial"/>
          <w:i/>
          <w:color w:val="000000"/>
          <w:sz w:val="24"/>
          <w:szCs w:val="24"/>
        </w:rPr>
      </w:pPr>
      <w:r>
        <w:rPr>
          <w:rFonts w:ascii="Arial" w:eastAsia="Arial" w:hAnsi="Arial" w:cs="Arial"/>
          <w:b/>
          <w:i/>
          <w:color w:val="000000"/>
          <w:sz w:val="24"/>
          <w:szCs w:val="24"/>
        </w:rPr>
        <w:t>Task 5: Personal Development Plan (PDP)</w:t>
      </w:r>
    </w:p>
    <w:p w14:paraId="5B08B5D1" w14:textId="77777777" w:rsidR="00C66036" w:rsidRDefault="00C66036">
      <w:pPr>
        <w:ind w:right="107"/>
        <w:jc w:val="both"/>
        <w:rPr>
          <w:rFonts w:ascii="Arial" w:eastAsia="Arial" w:hAnsi="Arial" w:cs="Arial"/>
          <w:color w:val="000000"/>
          <w:sz w:val="24"/>
          <w:szCs w:val="24"/>
        </w:rPr>
      </w:pPr>
    </w:p>
    <w:p w14:paraId="692710E9" w14:textId="77777777" w:rsidR="00C66036" w:rsidRDefault="009A442B">
      <w:pPr>
        <w:rPr>
          <w:rFonts w:ascii="Arial" w:eastAsia="Arial" w:hAnsi="Arial" w:cs="Arial"/>
          <w:sz w:val="24"/>
          <w:szCs w:val="24"/>
        </w:rPr>
      </w:pPr>
      <w:r>
        <w:rPr>
          <w:rFonts w:ascii="Arial" w:eastAsia="Arial" w:hAnsi="Arial" w:cs="Arial"/>
          <w:b/>
          <w:i/>
          <w:color w:val="000000"/>
          <w:sz w:val="24"/>
          <w:szCs w:val="24"/>
        </w:rPr>
        <w:t>As part of your reflective process, please use this table to identify the next steps for your personal/professional development. Aim to identify a maximum of four (4) areas of development that are personal to you and your investigative practice for the next 12-18months.</w:t>
      </w:r>
      <w:r>
        <w:rPr>
          <w:rFonts w:ascii="Arial" w:eastAsia="Arial" w:hAnsi="Arial" w:cs="Arial"/>
          <w:sz w:val="24"/>
          <w:szCs w:val="24"/>
        </w:rPr>
        <w:t xml:space="preserve"> </w:t>
      </w:r>
    </w:p>
    <w:p w14:paraId="33DEE676" w14:textId="77777777" w:rsidR="00C66036" w:rsidRDefault="009A442B">
      <w:pPr>
        <w:ind w:right="107"/>
        <w:jc w:val="both"/>
        <w:rPr>
          <w:rFonts w:ascii="Arial" w:eastAsia="Arial" w:hAnsi="Arial" w:cs="Arial"/>
          <w:color w:val="000000"/>
          <w:sz w:val="24"/>
          <w:szCs w:val="24"/>
        </w:rPr>
      </w:pPr>
      <w:r>
        <w:rPr>
          <w:rFonts w:ascii="Arial" w:eastAsia="Arial" w:hAnsi="Arial" w:cs="Arial"/>
          <w:b/>
          <w:color w:val="000000"/>
          <w:sz w:val="24"/>
          <w:szCs w:val="24"/>
        </w:rPr>
        <w:t xml:space="preserve"> </w:t>
      </w:r>
      <w:r>
        <w:rPr>
          <w:rFonts w:ascii="Arial" w:eastAsia="Arial" w:hAnsi="Arial" w:cs="Arial"/>
          <w:color w:val="000000"/>
          <w:sz w:val="24"/>
          <w:szCs w:val="24"/>
        </w:rPr>
        <w:t xml:space="preserve">Consider using ‘SMART’ as part of your answer. </w:t>
      </w:r>
    </w:p>
    <w:p w14:paraId="16DEB4AB" w14:textId="77777777" w:rsidR="00C66036" w:rsidRDefault="00C66036">
      <w:pPr>
        <w:ind w:right="107"/>
        <w:jc w:val="both"/>
        <w:rPr>
          <w:rFonts w:ascii="Arial" w:eastAsia="Arial" w:hAnsi="Arial" w:cs="Arial"/>
          <w:color w:val="000000"/>
          <w:sz w:val="24"/>
          <w:szCs w:val="24"/>
        </w:rPr>
      </w:pPr>
    </w:p>
    <w:p w14:paraId="656D0DEC" w14:textId="77777777" w:rsidR="00C66036" w:rsidRDefault="009A442B">
      <w:pPr>
        <w:ind w:right="107"/>
        <w:jc w:val="both"/>
        <w:rPr>
          <w:rFonts w:ascii="Arial" w:eastAsia="Arial" w:hAnsi="Arial" w:cs="Arial"/>
          <w:color w:val="000000"/>
          <w:sz w:val="24"/>
          <w:szCs w:val="24"/>
        </w:rPr>
      </w:pPr>
      <w:r>
        <w:rPr>
          <w:rFonts w:ascii="Arial" w:eastAsia="Arial" w:hAnsi="Arial" w:cs="Arial"/>
          <w:b/>
          <w:i/>
          <w:color w:val="000000"/>
          <w:sz w:val="24"/>
          <w:szCs w:val="24"/>
        </w:rPr>
        <w:t xml:space="preserve">NOTE: This is equivalent to 2000 words </w:t>
      </w:r>
      <w:r>
        <w:rPr>
          <w:rFonts w:ascii="Arial" w:eastAsia="Arial" w:hAnsi="Arial" w:cs="Arial"/>
          <w:i/>
          <w:color w:val="000000"/>
          <w:sz w:val="24"/>
          <w:szCs w:val="24"/>
        </w:rPr>
        <w:t>towards the overall wordcount, please note t</w:t>
      </w:r>
      <w:r>
        <w:rPr>
          <w:rFonts w:ascii="Arial" w:eastAsia="Arial" w:hAnsi="Arial" w:cs="Arial"/>
          <w:i/>
          <w:color w:val="000000"/>
          <w:sz w:val="24"/>
          <w:szCs w:val="24"/>
          <w:u w:val="single"/>
        </w:rPr>
        <w:t>his is not the actual number of words used</w:t>
      </w:r>
      <w:r>
        <w:rPr>
          <w:rFonts w:ascii="Arial" w:eastAsia="Arial" w:hAnsi="Arial" w:cs="Arial"/>
          <w:i/>
          <w:color w:val="000000"/>
          <w:sz w:val="24"/>
          <w:szCs w:val="24"/>
        </w:rPr>
        <w:t xml:space="preserve"> in completing the table, the count reflects the thought and research behind it.</w:t>
      </w:r>
    </w:p>
    <w:p w14:paraId="0AD9C6F4" w14:textId="77777777" w:rsidR="00C66036" w:rsidRDefault="00C66036">
      <w:pPr>
        <w:ind w:right="107"/>
        <w:jc w:val="both"/>
        <w:rPr>
          <w:rFonts w:ascii="Arial" w:eastAsia="Arial" w:hAnsi="Arial" w:cs="Arial"/>
          <w:color w:val="000000"/>
          <w:sz w:val="24"/>
          <w:szCs w:val="24"/>
        </w:rPr>
      </w:pPr>
    </w:p>
    <w:tbl>
      <w:tblPr>
        <w:tblStyle w:val="a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254"/>
        <w:gridCol w:w="2254"/>
        <w:gridCol w:w="2254"/>
        <w:gridCol w:w="2254"/>
      </w:tblGrid>
      <w:tr w:rsidR="00C66036" w14:paraId="57CA21F2" w14:textId="77777777">
        <w:tc>
          <w:tcPr>
            <w:tcW w:w="2254" w:type="dxa"/>
            <w:shd w:val="clear" w:color="auto" w:fill="1E8BCD"/>
          </w:tcPr>
          <w:p w14:paraId="0E3FDA7B" w14:textId="77777777" w:rsidR="00C66036" w:rsidRDefault="009A442B">
            <w:pPr>
              <w:rPr>
                <w:rFonts w:ascii="Arial" w:eastAsia="Arial" w:hAnsi="Arial" w:cs="Arial"/>
                <w:b/>
                <w:sz w:val="24"/>
                <w:szCs w:val="24"/>
              </w:rPr>
            </w:pPr>
            <w:r>
              <w:rPr>
                <w:rFonts w:ascii="Arial" w:eastAsia="Arial" w:hAnsi="Arial" w:cs="Arial"/>
                <w:b/>
                <w:sz w:val="24"/>
                <w:szCs w:val="24"/>
              </w:rPr>
              <w:t>Area of Development</w:t>
            </w:r>
          </w:p>
        </w:tc>
        <w:tc>
          <w:tcPr>
            <w:tcW w:w="2254" w:type="dxa"/>
            <w:shd w:val="clear" w:color="auto" w:fill="1E8BCD"/>
          </w:tcPr>
          <w:p w14:paraId="5CBB39F5" w14:textId="77777777" w:rsidR="00C66036" w:rsidRDefault="009A442B">
            <w:pPr>
              <w:rPr>
                <w:rFonts w:ascii="Arial" w:eastAsia="Arial" w:hAnsi="Arial" w:cs="Arial"/>
                <w:b/>
                <w:sz w:val="24"/>
                <w:szCs w:val="24"/>
              </w:rPr>
            </w:pPr>
            <w:r>
              <w:rPr>
                <w:rFonts w:ascii="Arial" w:eastAsia="Arial" w:hAnsi="Arial" w:cs="Arial"/>
                <w:b/>
                <w:sz w:val="24"/>
                <w:szCs w:val="24"/>
              </w:rPr>
              <w:t xml:space="preserve">How it will be achieved </w:t>
            </w:r>
          </w:p>
        </w:tc>
        <w:tc>
          <w:tcPr>
            <w:tcW w:w="2254" w:type="dxa"/>
            <w:shd w:val="clear" w:color="auto" w:fill="1E8BCD"/>
          </w:tcPr>
          <w:p w14:paraId="55AC8719" w14:textId="77777777" w:rsidR="00C66036" w:rsidRDefault="009A442B">
            <w:pPr>
              <w:rPr>
                <w:rFonts w:ascii="Arial" w:eastAsia="Arial" w:hAnsi="Arial" w:cs="Arial"/>
                <w:b/>
                <w:sz w:val="24"/>
                <w:szCs w:val="24"/>
              </w:rPr>
            </w:pPr>
            <w:r>
              <w:rPr>
                <w:rFonts w:ascii="Arial" w:eastAsia="Arial" w:hAnsi="Arial" w:cs="Arial"/>
                <w:b/>
                <w:sz w:val="24"/>
                <w:szCs w:val="24"/>
              </w:rPr>
              <w:t>Who can provide support?</w:t>
            </w:r>
          </w:p>
        </w:tc>
        <w:tc>
          <w:tcPr>
            <w:tcW w:w="2254" w:type="dxa"/>
            <w:shd w:val="clear" w:color="auto" w:fill="1E8BCD"/>
          </w:tcPr>
          <w:p w14:paraId="553F2FC8" w14:textId="77777777" w:rsidR="00C66036" w:rsidRDefault="009A442B">
            <w:pPr>
              <w:rPr>
                <w:rFonts w:ascii="Arial" w:eastAsia="Arial" w:hAnsi="Arial" w:cs="Arial"/>
                <w:b/>
                <w:sz w:val="24"/>
                <w:szCs w:val="24"/>
              </w:rPr>
            </w:pPr>
            <w:r>
              <w:rPr>
                <w:rFonts w:ascii="Arial" w:eastAsia="Arial" w:hAnsi="Arial" w:cs="Arial"/>
                <w:b/>
                <w:sz w:val="24"/>
                <w:szCs w:val="24"/>
              </w:rPr>
              <w:t>Timeline</w:t>
            </w:r>
          </w:p>
        </w:tc>
      </w:tr>
      <w:tr w:rsidR="00C66036" w:rsidRPr="007D6818" w14:paraId="4B1F511A" w14:textId="77777777">
        <w:tc>
          <w:tcPr>
            <w:tcW w:w="2254" w:type="dxa"/>
          </w:tcPr>
          <w:p w14:paraId="65F9C3DC" w14:textId="77777777" w:rsidR="00C66036" w:rsidRPr="007D6818" w:rsidRDefault="00C66036">
            <w:pPr>
              <w:rPr>
                <w:rFonts w:ascii="Aptos" w:eastAsia="Arial" w:hAnsi="Aptos" w:cs="Arial"/>
                <w:b/>
                <w:sz w:val="24"/>
                <w:szCs w:val="24"/>
              </w:rPr>
            </w:pPr>
          </w:p>
          <w:p w14:paraId="5023141B" w14:textId="6CA85867" w:rsidR="00C66036" w:rsidRPr="007D6818" w:rsidRDefault="00505B2C">
            <w:pPr>
              <w:rPr>
                <w:rFonts w:ascii="Aptos" w:eastAsia="Arial" w:hAnsi="Aptos" w:cs="Arial"/>
                <w:bCs/>
                <w:sz w:val="24"/>
                <w:szCs w:val="24"/>
              </w:rPr>
            </w:pPr>
            <w:r w:rsidRPr="007D6818">
              <w:rPr>
                <w:rFonts w:ascii="Aptos" w:eastAsia="Arial" w:hAnsi="Aptos" w:cs="Arial"/>
                <w:bCs/>
                <w:sz w:val="24"/>
                <w:szCs w:val="24"/>
              </w:rPr>
              <w:t xml:space="preserve">Develop degree-level academic writing skills, focusing on critical analysis, structured arguments, and correct referencing. Strong academic writing is essential for successful completion of the </w:t>
            </w:r>
            <w:r w:rsidRPr="007D6818">
              <w:rPr>
                <w:rFonts w:ascii="Aptos" w:eastAsia="Arial" w:hAnsi="Aptos" w:cs="Arial"/>
                <w:bCs/>
                <w:sz w:val="24"/>
                <w:szCs w:val="24"/>
              </w:rPr>
              <w:lastRenderedPageBreak/>
              <w:t>BSc and for articulating professional investigative practice.</w:t>
            </w:r>
          </w:p>
          <w:p w14:paraId="1F3B1409" w14:textId="77777777" w:rsidR="00C66036" w:rsidRPr="007D6818" w:rsidRDefault="00C66036">
            <w:pPr>
              <w:rPr>
                <w:rFonts w:ascii="Aptos" w:eastAsia="Arial" w:hAnsi="Aptos" w:cs="Arial"/>
                <w:b/>
                <w:sz w:val="24"/>
                <w:szCs w:val="24"/>
              </w:rPr>
            </w:pPr>
          </w:p>
          <w:p w14:paraId="562C75D1" w14:textId="77777777" w:rsidR="00C66036" w:rsidRPr="007D6818" w:rsidRDefault="00C66036">
            <w:pPr>
              <w:rPr>
                <w:rFonts w:ascii="Aptos" w:eastAsia="Arial" w:hAnsi="Aptos" w:cs="Arial"/>
                <w:b/>
                <w:sz w:val="24"/>
                <w:szCs w:val="24"/>
              </w:rPr>
            </w:pPr>
          </w:p>
          <w:p w14:paraId="664355AD" w14:textId="77777777" w:rsidR="00C66036" w:rsidRPr="007D6818" w:rsidRDefault="00C66036">
            <w:pPr>
              <w:rPr>
                <w:rFonts w:ascii="Aptos" w:eastAsia="Arial" w:hAnsi="Aptos" w:cs="Arial"/>
                <w:b/>
                <w:sz w:val="24"/>
                <w:szCs w:val="24"/>
              </w:rPr>
            </w:pPr>
          </w:p>
        </w:tc>
        <w:tc>
          <w:tcPr>
            <w:tcW w:w="2254" w:type="dxa"/>
          </w:tcPr>
          <w:p w14:paraId="07DCF936" w14:textId="77777777" w:rsidR="00C66036" w:rsidRPr="007D6818" w:rsidRDefault="00C66036">
            <w:pPr>
              <w:rPr>
                <w:rFonts w:ascii="Aptos" w:eastAsia="Arial" w:hAnsi="Aptos" w:cs="Arial"/>
                <w:b/>
                <w:sz w:val="24"/>
                <w:szCs w:val="24"/>
              </w:rPr>
            </w:pPr>
          </w:p>
          <w:p w14:paraId="1B202703" w14:textId="3C67025D" w:rsidR="00505B2C" w:rsidRPr="007D6818" w:rsidRDefault="00505B2C">
            <w:pPr>
              <w:rPr>
                <w:rFonts w:ascii="Aptos" w:eastAsia="Arial" w:hAnsi="Aptos" w:cs="Arial"/>
                <w:bCs/>
                <w:sz w:val="24"/>
                <w:szCs w:val="24"/>
              </w:rPr>
            </w:pPr>
            <w:r w:rsidRPr="007D6818">
              <w:rPr>
                <w:rFonts w:ascii="Aptos" w:eastAsia="Arial" w:hAnsi="Aptos" w:cs="Arial"/>
                <w:bCs/>
                <w:sz w:val="24"/>
                <w:szCs w:val="24"/>
              </w:rPr>
              <w:t xml:space="preserve">By Attending the University sessions and development based on feedback and practise from ongoing assignments. </w:t>
            </w:r>
          </w:p>
          <w:p w14:paraId="42E24CD8" w14:textId="77777777" w:rsidR="00031A1A" w:rsidRPr="007D6818" w:rsidRDefault="00505B2C">
            <w:pPr>
              <w:rPr>
                <w:rFonts w:ascii="Aptos" w:eastAsia="Arial" w:hAnsi="Aptos" w:cs="Arial"/>
                <w:bCs/>
                <w:sz w:val="24"/>
                <w:szCs w:val="24"/>
              </w:rPr>
            </w:pPr>
            <w:r w:rsidRPr="007D6818">
              <w:rPr>
                <w:rFonts w:ascii="Aptos" w:eastAsia="Arial" w:hAnsi="Aptos" w:cs="Arial"/>
                <w:bCs/>
                <w:sz w:val="24"/>
                <w:szCs w:val="24"/>
              </w:rPr>
              <w:t>Utilising Library learning</w:t>
            </w:r>
            <w:r w:rsidR="00031A1A" w:rsidRPr="007D6818">
              <w:rPr>
                <w:rFonts w:ascii="Aptos" w:eastAsia="Arial" w:hAnsi="Aptos" w:cs="Arial"/>
                <w:bCs/>
                <w:sz w:val="24"/>
                <w:szCs w:val="24"/>
              </w:rPr>
              <w:t xml:space="preserve">. </w:t>
            </w:r>
          </w:p>
          <w:p w14:paraId="1A965116" w14:textId="0F9EE45B" w:rsidR="00505B2C" w:rsidRPr="007D6818" w:rsidRDefault="00031A1A">
            <w:pPr>
              <w:rPr>
                <w:rFonts w:ascii="Aptos" w:eastAsia="Arial" w:hAnsi="Aptos" w:cs="Arial"/>
                <w:bCs/>
                <w:sz w:val="24"/>
                <w:szCs w:val="24"/>
              </w:rPr>
            </w:pPr>
            <w:r w:rsidRPr="007D6818">
              <w:rPr>
                <w:rFonts w:ascii="Aptos" w:eastAsia="Arial" w:hAnsi="Aptos" w:cs="Arial"/>
                <w:bCs/>
                <w:sz w:val="24"/>
                <w:szCs w:val="24"/>
              </w:rPr>
              <w:t xml:space="preserve">Success can be measured by completing and </w:t>
            </w:r>
            <w:r w:rsidRPr="007D6818">
              <w:rPr>
                <w:rFonts w:ascii="Aptos" w:eastAsia="Arial" w:hAnsi="Aptos" w:cs="Arial"/>
                <w:bCs/>
                <w:sz w:val="24"/>
                <w:szCs w:val="24"/>
              </w:rPr>
              <w:lastRenderedPageBreak/>
              <w:t xml:space="preserve">passing the BSC course. </w:t>
            </w:r>
            <w:r w:rsidR="00505B2C" w:rsidRPr="007D6818">
              <w:rPr>
                <w:rFonts w:ascii="Aptos" w:eastAsia="Arial" w:hAnsi="Aptos" w:cs="Arial"/>
                <w:bCs/>
                <w:sz w:val="24"/>
                <w:szCs w:val="24"/>
              </w:rPr>
              <w:t xml:space="preserve"> </w:t>
            </w:r>
          </w:p>
        </w:tc>
        <w:tc>
          <w:tcPr>
            <w:tcW w:w="2254" w:type="dxa"/>
          </w:tcPr>
          <w:p w14:paraId="5BA06C46" w14:textId="77777777" w:rsidR="00C66036" w:rsidRPr="007D6818" w:rsidRDefault="00C66036">
            <w:pPr>
              <w:rPr>
                <w:rFonts w:ascii="Aptos" w:eastAsia="Arial" w:hAnsi="Aptos" w:cs="Arial"/>
                <w:b/>
                <w:sz w:val="24"/>
                <w:szCs w:val="24"/>
              </w:rPr>
            </w:pPr>
          </w:p>
          <w:p w14:paraId="409216F2" w14:textId="77777777" w:rsidR="00505B2C" w:rsidRDefault="00505B2C">
            <w:pPr>
              <w:rPr>
                <w:rFonts w:ascii="Aptos" w:eastAsia="Arial" w:hAnsi="Aptos" w:cs="Arial"/>
                <w:bCs/>
                <w:sz w:val="24"/>
                <w:szCs w:val="24"/>
              </w:rPr>
            </w:pPr>
            <w:r w:rsidRPr="007D6818">
              <w:rPr>
                <w:rFonts w:ascii="Aptos" w:eastAsia="Arial" w:hAnsi="Aptos" w:cs="Arial"/>
                <w:bCs/>
                <w:sz w:val="24"/>
                <w:szCs w:val="24"/>
              </w:rPr>
              <w:t xml:space="preserve">Course Tutor feedback on Structure and critical engagement. Online and vicarious learning from similar academic writing. </w:t>
            </w:r>
          </w:p>
          <w:p w14:paraId="3CC581E3" w14:textId="77777777" w:rsidR="007D6818" w:rsidRDefault="007D6818">
            <w:pPr>
              <w:rPr>
                <w:rFonts w:ascii="Aptos" w:eastAsia="Arial" w:hAnsi="Aptos" w:cs="Arial"/>
                <w:bCs/>
                <w:sz w:val="24"/>
                <w:szCs w:val="24"/>
              </w:rPr>
            </w:pPr>
          </w:p>
          <w:p w14:paraId="351A122F" w14:textId="77777777" w:rsidR="007D6818" w:rsidRDefault="007D6818">
            <w:pPr>
              <w:rPr>
                <w:rFonts w:ascii="Aptos" w:eastAsia="Arial" w:hAnsi="Aptos" w:cs="Arial"/>
                <w:bCs/>
                <w:sz w:val="24"/>
                <w:szCs w:val="24"/>
              </w:rPr>
            </w:pPr>
            <w:r>
              <w:rPr>
                <w:rFonts w:ascii="Aptos" w:eastAsia="Arial" w:hAnsi="Aptos" w:cs="Arial"/>
                <w:bCs/>
                <w:sz w:val="24"/>
                <w:szCs w:val="24"/>
              </w:rPr>
              <w:t xml:space="preserve">UWTSD – HWB online support and resources, library. </w:t>
            </w:r>
          </w:p>
          <w:p w14:paraId="43013B52" w14:textId="77777777" w:rsidR="007D6818" w:rsidRDefault="007D6818">
            <w:pPr>
              <w:rPr>
                <w:rFonts w:ascii="Aptos" w:eastAsia="Arial" w:hAnsi="Aptos" w:cs="Arial"/>
                <w:bCs/>
                <w:sz w:val="24"/>
                <w:szCs w:val="24"/>
              </w:rPr>
            </w:pPr>
          </w:p>
          <w:p w14:paraId="37F7BEC6" w14:textId="322731DE" w:rsidR="007D6818" w:rsidRPr="007D6818" w:rsidRDefault="007D6818">
            <w:pPr>
              <w:rPr>
                <w:rFonts w:ascii="Aptos" w:eastAsia="Arial" w:hAnsi="Aptos" w:cs="Arial"/>
                <w:bCs/>
                <w:sz w:val="24"/>
                <w:szCs w:val="24"/>
              </w:rPr>
            </w:pPr>
            <w:r>
              <w:rPr>
                <w:rFonts w:ascii="Aptos" w:eastAsia="Arial" w:hAnsi="Aptos" w:cs="Arial"/>
                <w:bCs/>
                <w:sz w:val="24"/>
                <w:szCs w:val="24"/>
              </w:rPr>
              <w:t xml:space="preserve">OU online resources, Google Scholar.  </w:t>
            </w:r>
          </w:p>
          <w:p w14:paraId="3F90B225" w14:textId="77777777" w:rsidR="00873F8C" w:rsidRPr="007D6818" w:rsidRDefault="00873F8C">
            <w:pPr>
              <w:rPr>
                <w:rFonts w:ascii="Aptos" w:eastAsia="Arial" w:hAnsi="Aptos" w:cs="Arial"/>
                <w:bCs/>
                <w:sz w:val="24"/>
                <w:szCs w:val="24"/>
              </w:rPr>
            </w:pPr>
          </w:p>
          <w:p w14:paraId="7DF4E37C" w14:textId="1564DC87" w:rsidR="00873F8C" w:rsidRPr="007D6818" w:rsidRDefault="00873F8C">
            <w:pPr>
              <w:rPr>
                <w:rFonts w:ascii="Aptos" w:eastAsia="Arial" w:hAnsi="Aptos" w:cs="Arial"/>
                <w:bCs/>
                <w:sz w:val="24"/>
                <w:szCs w:val="24"/>
              </w:rPr>
            </w:pPr>
            <w:r w:rsidRPr="007D6818">
              <w:rPr>
                <w:rFonts w:ascii="Aptos" w:eastAsia="Arial" w:hAnsi="Aptos" w:cs="Arial"/>
                <w:bCs/>
                <w:sz w:val="24"/>
                <w:szCs w:val="24"/>
              </w:rPr>
              <w:t xml:space="preserve">Support from my family for my absenteeism to commit to study time and the personal financial commitment. </w:t>
            </w:r>
          </w:p>
        </w:tc>
        <w:tc>
          <w:tcPr>
            <w:tcW w:w="2254" w:type="dxa"/>
          </w:tcPr>
          <w:p w14:paraId="28FF38B7" w14:textId="77777777" w:rsidR="00505B2C" w:rsidRPr="007D6818" w:rsidRDefault="00505B2C">
            <w:pPr>
              <w:rPr>
                <w:rFonts w:ascii="Aptos" w:eastAsia="Arial" w:hAnsi="Aptos" w:cs="Arial"/>
                <w:bCs/>
                <w:sz w:val="24"/>
                <w:szCs w:val="24"/>
              </w:rPr>
            </w:pPr>
          </w:p>
          <w:p w14:paraId="44FB30F8" w14:textId="59CCC27C" w:rsidR="00C66036" w:rsidRPr="007D6818" w:rsidRDefault="00505B2C">
            <w:pPr>
              <w:rPr>
                <w:rFonts w:ascii="Aptos" w:eastAsia="Arial" w:hAnsi="Aptos" w:cs="Arial"/>
                <w:bCs/>
                <w:sz w:val="24"/>
                <w:szCs w:val="24"/>
              </w:rPr>
            </w:pPr>
            <w:r w:rsidRPr="007D6818">
              <w:rPr>
                <w:rFonts w:ascii="Aptos" w:eastAsia="Arial" w:hAnsi="Aptos" w:cs="Arial"/>
                <w:bCs/>
                <w:sz w:val="24"/>
                <w:szCs w:val="24"/>
              </w:rPr>
              <w:t>12-18months but measurable during this period for continuous improvement</w:t>
            </w:r>
          </w:p>
        </w:tc>
      </w:tr>
      <w:tr w:rsidR="00C66036" w:rsidRPr="007D6818" w14:paraId="1DA6542E" w14:textId="77777777">
        <w:tc>
          <w:tcPr>
            <w:tcW w:w="2254" w:type="dxa"/>
          </w:tcPr>
          <w:p w14:paraId="3041E394" w14:textId="77777777" w:rsidR="00C66036" w:rsidRPr="007D6818" w:rsidRDefault="00C66036">
            <w:pPr>
              <w:rPr>
                <w:rFonts w:ascii="Aptos" w:eastAsia="Arial" w:hAnsi="Aptos" w:cs="Arial"/>
                <w:b/>
                <w:sz w:val="24"/>
                <w:szCs w:val="24"/>
              </w:rPr>
            </w:pPr>
          </w:p>
          <w:p w14:paraId="03A0B8E1" w14:textId="139B9A50" w:rsidR="00505B2C" w:rsidRPr="007D6818" w:rsidRDefault="00505B2C" w:rsidP="00505B2C">
            <w:pPr>
              <w:rPr>
                <w:rFonts w:ascii="Aptos" w:eastAsia="Arial" w:hAnsi="Aptos" w:cs="Arial"/>
                <w:bCs/>
                <w:sz w:val="24"/>
                <w:szCs w:val="24"/>
              </w:rPr>
            </w:pPr>
            <w:r w:rsidRPr="007D6818">
              <w:rPr>
                <w:rFonts w:ascii="Aptos" w:eastAsia="Arial" w:hAnsi="Aptos" w:cs="Arial"/>
                <w:bCs/>
                <w:sz w:val="24"/>
                <w:szCs w:val="24"/>
              </w:rPr>
              <w:t>Improve Time Management and Study–Work Balance</w:t>
            </w:r>
          </w:p>
          <w:p w14:paraId="47E133EE" w14:textId="50845342" w:rsidR="00505B2C" w:rsidRPr="007D6818" w:rsidRDefault="00505B2C" w:rsidP="00505B2C">
            <w:pPr>
              <w:rPr>
                <w:rFonts w:ascii="Aptos" w:eastAsia="Arial" w:hAnsi="Aptos" w:cs="Arial"/>
                <w:bCs/>
                <w:sz w:val="24"/>
                <w:szCs w:val="24"/>
              </w:rPr>
            </w:pPr>
            <w:r w:rsidRPr="007D6818">
              <w:rPr>
                <w:rFonts w:ascii="Aptos" w:eastAsia="Arial" w:hAnsi="Aptos" w:cs="Arial"/>
                <w:bCs/>
                <w:sz w:val="24"/>
                <w:szCs w:val="24"/>
              </w:rPr>
              <w:t>Specifically</w:t>
            </w:r>
          </w:p>
          <w:p w14:paraId="722B00AE" w14:textId="25920109" w:rsidR="00C66036" w:rsidRPr="007D6818" w:rsidRDefault="00505B2C" w:rsidP="00505B2C">
            <w:pPr>
              <w:rPr>
                <w:rFonts w:ascii="Aptos" w:eastAsia="Arial" w:hAnsi="Aptos" w:cs="Arial"/>
                <w:bCs/>
                <w:sz w:val="24"/>
                <w:szCs w:val="24"/>
              </w:rPr>
            </w:pPr>
            <w:r w:rsidRPr="007D6818">
              <w:rPr>
                <w:rFonts w:ascii="Aptos" w:eastAsia="Arial" w:hAnsi="Aptos" w:cs="Arial"/>
                <w:bCs/>
                <w:sz w:val="24"/>
                <w:szCs w:val="24"/>
              </w:rPr>
              <w:t>Implement structured study planning to balance operational responsibilities and academic commitments</w:t>
            </w:r>
          </w:p>
          <w:p w14:paraId="42C6D796" w14:textId="77777777" w:rsidR="00C66036" w:rsidRPr="007D6818" w:rsidRDefault="00C66036">
            <w:pPr>
              <w:rPr>
                <w:rFonts w:ascii="Aptos" w:eastAsia="Arial" w:hAnsi="Aptos" w:cs="Arial"/>
                <w:b/>
                <w:sz w:val="24"/>
                <w:szCs w:val="24"/>
              </w:rPr>
            </w:pPr>
          </w:p>
          <w:p w14:paraId="6E1831B3" w14:textId="77777777" w:rsidR="00C66036" w:rsidRPr="007D6818" w:rsidRDefault="00C66036">
            <w:pPr>
              <w:rPr>
                <w:rFonts w:ascii="Aptos" w:eastAsia="Arial" w:hAnsi="Aptos" w:cs="Arial"/>
                <w:b/>
                <w:sz w:val="24"/>
                <w:szCs w:val="24"/>
              </w:rPr>
            </w:pPr>
          </w:p>
          <w:p w14:paraId="54E11D2A" w14:textId="77777777" w:rsidR="00C66036" w:rsidRPr="007D6818" w:rsidRDefault="00C66036">
            <w:pPr>
              <w:rPr>
                <w:rFonts w:ascii="Aptos" w:eastAsia="Arial" w:hAnsi="Aptos" w:cs="Arial"/>
                <w:b/>
                <w:sz w:val="24"/>
                <w:szCs w:val="24"/>
              </w:rPr>
            </w:pPr>
          </w:p>
        </w:tc>
        <w:tc>
          <w:tcPr>
            <w:tcW w:w="2254" w:type="dxa"/>
          </w:tcPr>
          <w:p w14:paraId="27922425" w14:textId="77777777" w:rsidR="00C66036" w:rsidRPr="007D6818" w:rsidRDefault="00C66036">
            <w:pPr>
              <w:rPr>
                <w:rFonts w:ascii="Aptos" w:eastAsia="Arial" w:hAnsi="Aptos" w:cs="Arial"/>
                <w:b/>
                <w:sz w:val="24"/>
                <w:szCs w:val="24"/>
              </w:rPr>
            </w:pPr>
          </w:p>
          <w:p w14:paraId="111A4213" w14:textId="7CFADEFA" w:rsidR="00505B2C" w:rsidRPr="007D6818" w:rsidRDefault="00505B2C" w:rsidP="00505B2C">
            <w:pPr>
              <w:rPr>
                <w:rFonts w:ascii="Aptos" w:eastAsia="Arial" w:hAnsi="Aptos" w:cs="Arial"/>
                <w:bCs/>
                <w:sz w:val="24"/>
                <w:szCs w:val="24"/>
              </w:rPr>
            </w:pPr>
            <w:r w:rsidRPr="007D6818">
              <w:rPr>
                <w:rFonts w:ascii="Aptos" w:eastAsia="Arial" w:hAnsi="Aptos" w:cs="Arial"/>
                <w:bCs/>
                <w:sz w:val="24"/>
                <w:szCs w:val="24"/>
              </w:rPr>
              <w:t>Weekly study schedule maintained.</w:t>
            </w:r>
          </w:p>
          <w:p w14:paraId="4D204611" w14:textId="3939E998" w:rsidR="00505B2C" w:rsidRPr="007D6818" w:rsidRDefault="00505B2C" w:rsidP="00505B2C">
            <w:pPr>
              <w:rPr>
                <w:rFonts w:ascii="Aptos" w:eastAsia="Arial" w:hAnsi="Aptos" w:cs="Arial"/>
                <w:bCs/>
                <w:sz w:val="24"/>
                <w:szCs w:val="24"/>
              </w:rPr>
            </w:pPr>
            <w:r w:rsidRPr="007D6818">
              <w:rPr>
                <w:rFonts w:ascii="Aptos" w:eastAsia="Arial" w:hAnsi="Aptos" w:cs="Arial"/>
                <w:bCs/>
                <w:sz w:val="24"/>
                <w:szCs w:val="24"/>
              </w:rPr>
              <w:t>All assignments submitted on time.</w:t>
            </w:r>
          </w:p>
          <w:p w14:paraId="6A2CC5A0" w14:textId="77777777" w:rsidR="00505B2C" w:rsidRPr="007D6818" w:rsidRDefault="00505B2C" w:rsidP="00505B2C">
            <w:pPr>
              <w:rPr>
                <w:rFonts w:ascii="Aptos" w:eastAsia="Arial" w:hAnsi="Aptos" w:cs="Arial"/>
                <w:bCs/>
                <w:sz w:val="24"/>
                <w:szCs w:val="24"/>
              </w:rPr>
            </w:pPr>
            <w:r w:rsidRPr="007D6818">
              <w:rPr>
                <w:rFonts w:ascii="Aptos" w:eastAsia="Arial" w:hAnsi="Aptos" w:cs="Arial"/>
                <w:bCs/>
                <w:sz w:val="24"/>
                <w:szCs w:val="24"/>
              </w:rPr>
              <w:t>Use digital planners and protected study time.</w:t>
            </w:r>
          </w:p>
          <w:p w14:paraId="59BA8D02" w14:textId="6F27255B" w:rsidR="00505B2C" w:rsidRPr="007D6818" w:rsidRDefault="00505B2C" w:rsidP="00505B2C">
            <w:pPr>
              <w:rPr>
                <w:rFonts w:ascii="Aptos" w:eastAsia="Arial" w:hAnsi="Aptos" w:cs="Arial"/>
                <w:bCs/>
                <w:sz w:val="24"/>
                <w:szCs w:val="24"/>
              </w:rPr>
            </w:pPr>
            <w:r w:rsidRPr="007D6818">
              <w:rPr>
                <w:rFonts w:ascii="Aptos" w:eastAsia="Arial" w:hAnsi="Aptos" w:cs="Arial"/>
                <w:bCs/>
                <w:sz w:val="24"/>
                <w:szCs w:val="24"/>
              </w:rPr>
              <w:t>Early engagement with supervisors if workload conflicts arise.</w:t>
            </w:r>
          </w:p>
          <w:p w14:paraId="31126E5D" w14:textId="204B0CA3" w:rsidR="00505B2C" w:rsidRPr="007D6818" w:rsidRDefault="00505B2C" w:rsidP="00505B2C">
            <w:pPr>
              <w:rPr>
                <w:rFonts w:ascii="Aptos" w:eastAsia="Arial" w:hAnsi="Aptos" w:cs="Arial"/>
                <w:bCs/>
                <w:sz w:val="24"/>
                <w:szCs w:val="24"/>
              </w:rPr>
            </w:pPr>
            <w:r w:rsidRPr="007D6818">
              <w:rPr>
                <w:rFonts w:ascii="Aptos" w:eastAsia="Arial" w:hAnsi="Aptos" w:cs="Arial"/>
                <w:bCs/>
                <w:sz w:val="24"/>
                <w:szCs w:val="24"/>
              </w:rPr>
              <w:t>Essential to prevent burnout and ensure academic success.</w:t>
            </w:r>
            <w:r w:rsidR="00031A1A" w:rsidRPr="007D6818">
              <w:rPr>
                <w:rFonts w:ascii="Aptos" w:eastAsia="Arial" w:hAnsi="Aptos" w:cs="Arial"/>
                <w:bCs/>
                <w:sz w:val="24"/>
                <w:szCs w:val="24"/>
              </w:rPr>
              <w:t xml:space="preserve"> This can be measured by the positive impact on my welfare and emotional wellbeing.</w:t>
            </w:r>
          </w:p>
        </w:tc>
        <w:tc>
          <w:tcPr>
            <w:tcW w:w="2254" w:type="dxa"/>
          </w:tcPr>
          <w:p w14:paraId="2C655E4C" w14:textId="77777777" w:rsidR="00C66036" w:rsidRPr="007D6818" w:rsidRDefault="00C66036">
            <w:pPr>
              <w:rPr>
                <w:rFonts w:ascii="Aptos" w:eastAsia="Arial" w:hAnsi="Aptos" w:cs="Arial"/>
                <w:b/>
                <w:sz w:val="24"/>
                <w:szCs w:val="24"/>
              </w:rPr>
            </w:pPr>
          </w:p>
          <w:p w14:paraId="7A8A7A57" w14:textId="4A5C9C65" w:rsidR="00505B2C" w:rsidRPr="007D6818" w:rsidRDefault="00505B2C">
            <w:pPr>
              <w:rPr>
                <w:rFonts w:ascii="Aptos" w:eastAsia="Arial" w:hAnsi="Aptos" w:cs="Arial"/>
                <w:bCs/>
                <w:sz w:val="24"/>
                <w:szCs w:val="24"/>
              </w:rPr>
            </w:pPr>
            <w:r w:rsidRPr="007D6818">
              <w:rPr>
                <w:rFonts w:ascii="Aptos" w:eastAsia="Arial" w:hAnsi="Aptos" w:cs="Arial"/>
                <w:bCs/>
                <w:sz w:val="24"/>
                <w:szCs w:val="24"/>
              </w:rPr>
              <w:t>SWP</w:t>
            </w:r>
            <w:r w:rsidR="00031A1A" w:rsidRPr="007D6818">
              <w:rPr>
                <w:rFonts w:ascii="Aptos" w:eastAsia="Arial" w:hAnsi="Aptos" w:cs="Arial"/>
                <w:bCs/>
                <w:sz w:val="24"/>
                <w:szCs w:val="24"/>
              </w:rPr>
              <w:t xml:space="preserve"> (LDS)</w:t>
            </w:r>
            <w:r w:rsidRPr="007D6818">
              <w:rPr>
                <w:rFonts w:ascii="Aptos" w:eastAsia="Arial" w:hAnsi="Aptos" w:cs="Arial"/>
                <w:bCs/>
                <w:sz w:val="24"/>
                <w:szCs w:val="24"/>
              </w:rPr>
              <w:t>, CTPHQ</w:t>
            </w:r>
            <w:r w:rsidR="00873F8C" w:rsidRPr="007D6818">
              <w:rPr>
                <w:rFonts w:ascii="Aptos" w:eastAsia="Arial" w:hAnsi="Aptos" w:cs="Arial"/>
                <w:bCs/>
                <w:sz w:val="24"/>
                <w:szCs w:val="24"/>
              </w:rPr>
              <w:t xml:space="preserve"> providing protected learning time. </w:t>
            </w:r>
          </w:p>
          <w:p w14:paraId="70D5F11E" w14:textId="3F54183B" w:rsidR="00505B2C" w:rsidRPr="007D6818" w:rsidRDefault="00505B2C">
            <w:pPr>
              <w:rPr>
                <w:rFonts w:ascii="Aptos" w:eastAsia="Arial" w:hAnsi="Aptos" w:cs="Arial"/>
                <w:bCs/>
                <w:sz w:val="24"/>
                <w:szCs w:val="24"/>
              </w:rPr>
            </w:pPr>
            <w:r w:rsidRPr="007D6818">
              <w:rPr>
                <w:rFonts w:ascii="Aptos" w:eastAsia="Arial" w:hAnsi="Aptos" w:cs="Arial"/>
                <w:bCs/>
                <w:sz w:val="24"/>
                <w:szCs w:val="24"/>
              </w:rPr>
              <w:t>UWTSD</w:t>
            </w:r>
            <w:r w:rsidR="00031A1A" w:rsidRPr="007D6818">
              <w:rPr>
                <w:rFonts w:ascii="Aptos" w:eastAsia="Arial" w:hAnsi="Aptos" w:cs="Arial"/>
                <w:bCs/>
                <w:sz w:val="24"/>
                <w:szCs w:val="24"/>
              </w:rPr>
              <w:t>, self-discipline. Occ</w:t>
            </w:r>
            <w:r w:rsidR="00A42A50">
              <w:rPr>
                <w:rFonts w:ascii="Aptos" w:eastAsia="Arial" w:hAnsi="Aptos" w:cs="Arial"/>
                <w:bCs/>
                <w:sz w:val="24"/>
                <w:szCs w:val="24"/>
              </w:rPr>
              <w:t>upational</w:t>
            </w:r>
            <w:r w:rsidR="00031A1A" w:rsidRPr="007D6818">
              <w:rPr>
                <w:rFonts w:ascii="Aptos" w:eastAsia="Arial" w:hAnsi="Aptos" w:cs="Arial"/>
                <w:bCs/>
                <w:sz w:val="24"/>
                <w:szCs w:val="24"/>
              </w:rPr>
              <w:t xml:space="preserve"> health if needed. </w:t>
            </w:r>
          </w:p>
          <w:p w14:paraId="2DE403A5" w14:textId="342C2321" w:rsidR="00031A1A" w:rsidRPr="007D6818" w:rsidRDefault="00031A1A">
            <w:pPr>
              <w:rPr>
                <w:rFonts w:ascii="Aptos" w:eastAsia="Arial" w:hAnsi="Aptos" w:cs="Arial"/>
                <w:bCs/>
                <w:sz w:val="24"/>
                <w:szCs w:val="24"/>
              </w:rPr>
            </w:pPr>
            <w:r w:rsidRPr="007D6818">
              <w:rPr>
                <w:rFonts w:ascii="Aptos" w:eastAsia="Arial" w:hAnsi="Aptos" w:cs="Arial"/>
                <w:bCs/>
                <w:sz w:val="24"/>
                <w:szCs w:val="24"/>
              </w:rPr>
              <w:t xml:space="preserve">HWB – </w:t>
            </w:r>
            <w:r w:rsidR="007D6818">
              <w:rPr>
                <w:rFonts w:ascii="Aptos" w:eastAsia="Arial" w:hAnsi="Aptos" w:cs="Arial"/>
                <w:bCs/>
                <w:sz w:val="24"/>
                <w:szCs w:val="24"/>
              </w:rPr>
              <w:t>M</w:t>
            </w:r>
            <w:r w:rsidRPr="007D6818">
              <w:rPr>
                <w:rFonts w:ascii="Aptos" w:eastAsia="Arial" w:hAnsi="Aptos" w:cs="Arial"/>
                <w:bCs/>
                <w:sz w:val="24"/>
                <w:szCs w:val="24"/>
              </w:rPr>
              <w:t>oodle reviewed lessons at convenient times with work life balance.</w:t>
            </w:r>
          </w:p>
        </w:tc>
        <w:tc>
          <w:tcPr>
            <w:tcW w:w="2254" w:type="dxa"/>
          </w:tcPr>
          <w:p w14:paraId="5567146B" w14:textId="77777777" w:rsidR="00C66036" w:rsidRPr="007D6818" w:rsidRDefault="00C66036">
            <w:pPr>
              <w:rPr>
                <w:rFonts w:ascii="Aptos" w:eastAsia="Arial" w:hAnsi="Aptos" w:cs="Arial"/>
                <w:b/>
                <w:sz w:val="24"/>
                <w:szCs w:val="24"/>
              </w:rPr>
            </w:pPr>
          </w:p>
          <w:p w14:paraId="62431CDC" w14:textId="6F04EDD5" w:rsidR="00031A1A" w:rsidRPr="007D6818" w:rsidRDefault="00031A1A">
            <w:pPr>
              <w:rPr>
                <w:rFonts w:ascii="Aptos" w:eastAsia="Arial" w:hAnsi="Aptos" w:cs="Arial"/>
                <w:bCs/>
                <w:sz w:val="24"/>
                <w:szCs w:val="24"/>
              </w:rPr>
            </w:pPr>
            <w:r w:rsidRPr="007D6818">
              <w:rPr>
                <w:rFonts w:ascii="Aptos" w:eastAsia="Arial" w:hAnsi="Aptos" w:cs="Arial"/>
                <w:bCs/>
                <w:sz w:val="24"/>
                <w:szCs w:val="24"/>
              </w:rPr>
              <w:t xml:space="preserve">Implemented at the earliest opportunity and reviewed monthly. </w:t>
            </w:r>
          </w:p>
        </w:tc>
      </w:tr>
      <w:tr w:rsidR="00C66036" w:rsidRPr="007D6818" w14:paraId="49E398E2" w14:textId="77777777">
        <w:tc>
          <w:tcPr>
            <w:tcW w:w="2254" w:type="dxa"/>
          </w:tcPr>
          <w:p w14:paraId="16287F21" w14:textId="77777777" w:rsidR="00C66036" w:rsidRPr="007D6818" w:rsidRDefault="00C66036">
            <w:pPr>
              <w:rPr>
                <w:rFonts w:ascii="Aptos" w:eastAsia="Arial" w:hAnsi="Aptos" w:cs="Arial"/>
                <w:b/>
                <w:sz w:val="24"/>
                <w:szCs w:val="24"/>
              </w:rPr>
            </w:pPr>
          </w:p>
          <w:p w14:paraId="2C33D0D6" w14:textId="77777777" w:rsidR="00031A1A" w:rsidRPr="007D6818" w:rsidRDefault="00031A1A" w:rsidP="00031A1A">
            <w:pPr>
              <w:rPr>
                <w:rFonts w:ascii="Aptos" w:eastAsia="Arial" w:hAnsi="Aptos" w:cs="Arial"/>
                <w:bCs/>
                <w:sz w:val="24"/>
                <w:szCs w:val="24"/>
              </w:rPr>
            </w:pPr>
            <w:r w:rsidRPr="007D6818">
              <w:rPr>
                <w:rFonts w:ascii="Aptos" w:eastAsia="Arial" w:hAnsi="Aptos" w:cs="Arial"/>
                <w:bCs/>
                <w:sz w:val="24"/>
                <w:szCs w:val="24"/>
              </w:rPr>
              <w:t>Continue Professional Development as a Senior Investigating Officer (SIO)</w:t>
            </w:r>
          </w:p>
          <w:p w14:paraId="5ADF7390" w14:textId="3B3B91E2" w:rsidR="00031A1A" w:rsidRPr="007D6818" w:rsidRDefault="00031A1A" w:rsidP="00031A1A">
            <w:pPr>
              <w:rPr>
                <w:rFonts w:ascii="Aptos" w:eastAsia="Arial" w:hAnsi="Aptos" w:cs="Arial"/>
                <w:bCs/>
                <w:sz w:val="24"/>
                <w:szCs w:val="24"/>
              </w:rPr>
            </w:pPr>
            <w:proofErr w:type="gramStart"/>
            <w:r w:rsidRPr="007D6818">
              <w:rPr>
                <w:rFonts w:ascii="Aptos" w:eastAsia="Arial" w:hAnsi="Aptos" w:cs="Arial"/>
                <w:bCs/>
                <w:sz w:val="24"/>
                <w:szCs w:val="24"/>
              </w:rPr>
              <w:t>Specifically</w:t>
            </w:r>
            <w:proofErr w:type="gramEnd"/>
            <w:r w:rsidRPr="007D6818">
              <w:rPr>
                <w:rFonts w:ascii="Aptos" w:eastAsia="Arial" w:hAnsi="Aptos" w:cs="Arial"/>
                <w:bCs/>
                <w:sz w:val="24"/>
                <w:szCs w:val="24"/>
              </w:rPr>
              <w:t xml:space="preserve"> to</w:t>
            </w:r>
          </w:p>
          <w:p w14:paraId="5BE93A62" w14:textId="144BF42A" w:rsidR="00C66036" w:rsidRPr="007D6818" w:rsidRDefault="00031A1A" w:rsidP="00031A1A">
            <w:pPr>
              <w:rPr>
                <w:rFonts w:ascii="Aptos" w:eastAsia="Arial" w:hAnsi="Aptos" w:cs="Arial"/>
                <w:bCs/>
                <w:sz w:val="24"/>
                <w:szCs w:val="24"/>
              </w:rPr>
            </w:pPr>
            <w:r w:rsidRPr="007D6818">
              <w:rPr>
                <w:rFonts w:ascii="Aptos" w:eastAsia="Arial" w:hAnsi="Aptos" w:cs="Arial"/>
                <w:bCs/>
                <w:sz w:val="24"/>
                <w:szCs w:val="24"/>
              </w:rPr>
              <w:t xml:space="preserve">Continue my progression on the Senior Investigating </w:t>
            </w:r>
            <w:r w:rsidRPr="007D6818">
              <w:rPr>
                <w:rFonts w:ascii="Aptos" w:eastAsia="Arial" w:hAnsi="Aptos" w:cs="Arial"/>
                <w:bCs/>
                <w:sz w:val="24"/>
                <w:szCs w:val="24"/>
              </w:rPr>
              <w:lastRenderedPageBreak/>
              <w:t xml:space="preserve">Officer Development Programme (SIODP), building on the successful completion of the Serious and Complex Crime modules and the Hydra immersive learning course, </w:t>
            </w:r>
            <w:proofErr w:type="gramStart"/>
            <w:r w:rsidRPr="007D6818">
              <w:rPr>
                <w:rFonts w:ascii="Aptos" w:eastAsia="Arial" w:hAnsi="Aptos" w:cs="Arial"/>
                <w:bCs/>
                <w:sz w:val="24"/>
                <w:szCs w:val="24"/>
              </w:rPr>
              <w:t>in order to</w:t>
            </w:r>
            <w:proofErr w:type="gramEnd"/>
            <w:r w:rsidRPr="007D6818">
              <w:rPr>
                <w:rFonts w:ascii="Aptos" w:eastAsia="Arial" w:hAnsi="Aptos" w:cs="Arial"/>
                <w:bCs/>
                <w:sz w:val="24"/>
                <w:szCs w:val="24"/>
              </w:rPr>
              <w:t xml:space="preserve"> further enhance leadership, decision-making, and investigative governance at senior level.</w:t>
            </w:r>
          </w:p>
          <w:p w14:paraId="384BA73E" w14:textId="77777777" w:rsidR="00C66036" w:rsidRPr="007D6818" w:rsidRDefault="00C66036">
            <w:pPr>
              <w:rPr>
                <w:rFonts w:ascii="Aptos" w:eastAsia="Arial" w:hAnsi="Aptos" w:cs="Arial"/>
                <w:b/>
                <w:sz w:val="24"/>
                <w:szCs w:val="24"/>
              </w:rPr>
            </w:pPr>
          </w:p>
          <w:p w14:paraId="34B3F2EB" w14:textId="77777777" w:rsidR="00C66036" w:rsidRPr="007D6818" w:rsidRDefault="00C66036">
            <w:pPr>
              <w:rPr>
                <w:rFonts w:ascii="Aptos" w:eastAsia="Arial" w:hAnsi="Aptos" w:cs="Arial"/>
                <w:b/>
                <w:sz w:val="24"/>
                <w:szCs w:val="24"/>
              </w:rPr>
            </w:pPr>
          </w:p>
          <w:p w14:paraId="7D34F5C7" w14:textId="77777777" w:rsidR="00C66036" w:rsidRPr="007D6818" w:rsidRDefault="00C66036">
            <w:pPr>
              <w:rPr>
                <w:rFonts w:ascii="Aptos" w:eastAsia="Arial" w:hAnsi="Aptos" w:cs="Arial"/>
                <w:b/>
                <w:sz w:val="24"/>
                <w:szCs w:val="24"/>
              </w:rPr>
            </w:pPr>
          </w:p>
        </w:tc>
        <w:tc>
          <w:tcPr>
            <w:tcW w:w="2254" w:type="dxa"/>
          </w:tcPr>
          <w:p w14:paraId="51C63541" w14:textId="77777777" w:rsidR="00C66036" w:rsidRPr="007D6818" w:rsidRDefault="00C66036">
            <w:pPr>
              <w:rPr>
                <w:rFonts w:ascii="Aptos" w:eastAsia="Arial" w:hAnsi="Aptos" w:cs="Arial"/>
                <w:bCs/>
                <w:sz w:val="24"/>
                <w:szCs w:val="24"/>
              </w:rPr>
            </w:pPr>
          </w:p>
          <w:p w14:paraId="3AC45F56" w14:textId="517CE496" w:rsidR="00031A1A" w:rsidRPr="007D6818" w:rsidRDefault="00031A1A" w:rsidP="00031A1A">
            <w:pPr>
              <w:rPr>
                <w:rFonts w:ascii="Aptos" w:eastAsia="Arial" w:hAnsi="Aptos" w:cs="Arial"/>
                <w:bCs/>
                <w:sz w:val="24"/>
                <w:szCs w:val="24"/>
              </w:rPr>
            </w:pPr>
            <w:r w:rsidRPr="007D6818">
              <w:rPr>
                <w:rFonts w:ascii="Aptos" w:eastAsia="Arial" w:hAnsi="Aptos" w:cs="Arial"/>
                <w:bCs/>
                <w:sz w:val="24"/>
                <w:szCs w:val="24"/>
              </w:rPr>
              <w:t>This can be measured by Successful completion of the remaining SIODP modules as set out in the National SIO accreditation framework.</w:t>
            </w:r>
          </w:p>
          <w:p w14:paraId="1A8A324C" w14:textId="77777777" w:rsidR="00031A1A" w:rsidRPr="007D6818" w:rsidRDefault="00031A1A" w:rsidP="00031A1A">
            <w:pPr>
              <w:rPr>
                <w:rFonts w:ascii="Aptos" w:eastAsia="Arial" w:hAnsi="Aptos" w:cs="Arial"/>
                <w:bCs/>
                <w:sz w:val="24"/>
                <w:szCs w:val="24"/>
              </w:rPr>
            </w:pPr>
            <w:r w:rsidRPr="007D6818">
              <w:rPr>
                <w:rFonts w:ascii="Aptos" w:eastAsia="Arial" w:hAnsi="Aptos" w:cs="Arial"/>
                <w:bCs/>
                <w:sz w:val="24"/>
                <w:szCs w:val="24"/>
              </w:rPr>
              <w:lastRenderedPageBreak/>
              <w:t>Demonstrated application of Hydra learning principles (decision logs, ethical decision-making, media strategy) in live or simulated investigations.</w:t>
            </w:r>
          </w:p>
          <w:p w14:paraId="42B84F19" w14:textId="77777777" w:rsidR="00031A1A" w:rsidRPr="007D6818" w:rsidRDefault="00031A1A" w:rsidP="00031A1A">
            <w:pPr>
              <w:rPr>
                <w:rFonts w:ascii="Aptos" w:eastAsia="Arial" w:hAnsi="Aptos" w:cs="Arial"/>
                <w:bCs/>
                <w:sz w:val="24"/>
                <w:szCs w:val="24"/>
              </w:rPr>
            </w:pPr>
            <w:r w:rsidRPr="007D6818">
              <w:rPr>
                <w:rFonts w:ascii="Aptos" w:eastAsia="Arial" w:hAnsi="Aptos" w:cs="Arial"/>
                <w:bCs/>
                <w:sz w:val="24"/>
                <w:szCs w:val="24"/>
              </w:rPr>
              <w:t>Positive professional feedback from line management or SIO mentors.</w:t>
            </w:r>
          </w:p>
          <w:p w14:paraId="33BF427B" w14:textId="77777777" w:rsidR="00031A1A" w:rsidRPr="007D6818" w:rsidRDefault="00031A1A" w:rsidP="00031A1A">
            <w:pPr>
              <w:rPr>
                <w:rFonts w:ascii="Aptos" w:eastAsia="Arial" w:hAnsi="Aptos" w:cs="Arial"/>
                <w:bCs/>
                <w:sz w:val="24"/>
                <w:szCs w:val="24"/>
              </w:rPr>
            </w:pPr>
            <w:r w:rsidRPr="007D6818">
              <w:rPr>
                <w:rFonts w:ascii="Aptos" w:eastAsia="Arial" w:hAnsi="Aptos" w:cs="Arial"/>
                <w:bCs/>
                <w:sz w:val="24"/>
                <w:szCs w:val="24"/>
              </w:rPr>
              <w:t>Achievable:</w:t>
            </w:r>
          </w:p>
          <w:p w14:paraId="4B663EB3" w14:textId="77777777" w:rsidR="00031A1A" w:rsidRPr="007D6818" w:rsidRDefault="00031A1A" w:rsidP="00031A1A">
            <w:pPr>
              <w:rPr>
                <w:rFonts w:ascii="Aptos" w:eastAsia="Arial" w:hAnsi="Aptos" w:cs="Arial"/>
                <w:bCs/>
                <w:sz w:val="24"/>
                <w:szCs w:val="24"/>
              </w:rPr>
            </w:pPr>
            <w:r w:rsidRPr="007D6818">
              <w:rPr>
                <w:rFonts w:ascii="Aptos" w:eastAsia="Arial" w:hAnsi="Aptos" w:cs="Arial"/>
                <w:bCs/>
                <w:sz w:val="24"/>
                <w:szCs w:val="24"/>
              </w:rPr>
              <w:t xml:space="preserve">Prior completion of serious and complex modules </w:t>
            </w:r>
            <w:proofErr w:type="gramStart"/>
            <w:r w:rsidRPr="007D6818">
              <w:rPr>
                <w:rFonts w:ascii="Aptos" w:eastAsia="Arial" w:hAnsi="Aptos" w:cs="Arial"/>
                <w:bCs/>
                <w:sz w:val="24"/>
                <w:szCs w:val="24"/>
              </w:rPr>
              <w:t>evidences</w:t>
            </w:r>
            <w:proofErr w:type="gramEnd"/>
            <w:r w:rsidRPr="007D6818">
              <w:rPr>
                <w:rFonts w:ascii="Aptos" w:eastAsia="Arial" w:hAnsi="Aptos" w:cs="Arial"/>
                <w:bCs/>
                <w:sz w:val="24"/>
                <w:szCs w:val="24"/>
              </w:rPr>
              <w:t xml:space="preserve"> capability and readiness to progress.</w:t>
            </w:r>
          </w:p>
          <w:p w14:paraId="2C8046F3" w14:textId="2EC162CD" w:rsidR="00031A1A" w:rsidRPr="007D6818" w:rsidRDefault="00031A1A" w:rsidP="00031A1A">
            <w:pPr>
              <w:rPr>
                <w:rFonts w:ascii="Aptos" w:eastAsia="Arial" w:hAnsi="Aptos" w:cs="Arial"/>
                <w:bCs/>
                <w:sz w:val="24"/>
                <w:szCs w:val="24"/>
              </w:rPr>
            </w:pPr>
          </w:p>
          <w:p w14:paraId="0B4020A7" w14:textId="5A41F637" w:rsidR="00031A1A" w:rsidRPr="007D6818" w:rsidRDefault="00031A1A" w:rsidP="0043186A">
            <w:pPr>
              <w:rPr>
                <w:rFonts w:ascii="Aptos" w:eastAsia="Arial" w:hAnsi="Aptos" w:cs="Arial"/>
                <w:bCs/>
                <w:sz w:val="24"/>
                <w:szCs w:val="24"/>
              </w:rPr>
            </w:pPr>
          </w:p>
        </w:tc>
        <w:tc>
          <w:tcPr>
            <w:tcW w:w="2254" w:type="dxa"/>
          </w:tcPr>
          <w:p w14:paraId="096A1A84" w14:textId="77777777" w:rsidR="00C66036" w:rsidRPr="007D6818" w:rsidRDefault="00C66036">
            <w:pPr>
              <w:rPr>
                <w:rFonts w:ascii="Aptos" w:eastAsia="Arial" w:hAnsi="Aptos" w:cs="Arial"/>
                <w:b/>
                <w:sz w:val="24"/>
                <w:szCs w:val="24"/>
              </w:rPr>
            </w:pPr>
          </w:p>
          <w:p w14:paraId="39C725F4" w14:textId="77022EAF" w:rsidR="0043186A" w:rsidRPr="007D6818" w:rsidRDefault="0043186A">
            <w:pPr>
              <w:rPr>
                <w:rFonts w:ascii="Aptos" w:eastAsia="Arial" w:hAnsi="Aptos" w:cs="Arial"/>
                <w:bCs/>
                <w:sz w:val="24"/>
                <w:szCs w:val="24"/>
              </w:rPr>
            </w:pPr>
            <w:r w:rsidRPr="007D6818">
              <w:rPr>
                <w:rFonts w:ascii="Aptos" w:eastAsia="Arial" w:hAnsi="Aptos" w:cs="Arial"/>
                <w:bCs/>
                <w:sz w:val="24"/>
                <w:szCs w:val="24"/>
              </w:rPr>
              <w:t>SWP (LDS) Investigative training dept. COP. Tarian ROCU/CTP Wales.</w:t>
            </w:r>
          </w:p>
          <w:p w14:paraId="1D7B270A" w14:textId="08D0E1E0" w:rsidR="0043186A" w:rsidRPr="007D6818" w:rsidRDefault="0043186A">
            <w:pPr>
              <w:rPr>
                <w:rFonts w:ascii="Aptos" w:eastAsia="Arial" w:hAnsi="Aptos" w:cs="Arial"/>
                <w:bCs/>
                <w:sz w:val="24"/>
                <w:szCs w:val="24"/>
              </w:rPr>
            </w:pPr>
            <w:r w:rsidRPr="007D6818">
              <w:rPr>
                <w:rFonts w:ascii="Aptos" w:eastAsia="Arial" w:hAnsi="Aptos" w:cs="Arial"/>
                <w:bCs/>
                <w:sz w:val="24"/>
                <w:szCs w:val="24"/>
              </w:rPr>
              <w:t xml:space="preserve">Peer review and SIO Mentor support where possible, such as D/SIO </w:t>
            </w:r>
            <w:r w:rsidRPr="007D6818">
              <w:rPr>
                <w:rFonts w:ascii="Aptos" w:eastAsia="Arial" w:hAnsi="Aptos" w:cs="Arial"/>
                <w:bCs/>
                <w:sz w:val="24"/>
                <w:szCs w:val="24"/>
              </w:rPr>
              <w:lastRenderedPageBreak/>
              <w:t xml:space="preserve">roles. Access to force-supported SIODP training modules and mentoring arrangements. (When available) </w:t>
            </w:r>
          </w:p>
        </w:tc>
        <w:tc>
          <w:tcPr>
            <w:tcW w:w="2254" w:type="dxa"/>
          </w:tcPr>
          <w:p w14:paraId="2A8F2B67" w14:textId="77777777" w:rsidR="00C66036" w:rsidRPr="007D6818" w:rsidRDefault="00C66036">
            <w:pPr>
              <w:rPr>
                <w:rFonts w:ascii="Aptos" w:eastAsia="Arial" w:hAnsi="Aptos" w:cs="Arial"/>
                <w:b/>
                <w:sz w:val="24"/>
                <w:szCs w:val="24"/>
              </w:rPr>
            </w:pPr>
          </w:p>
          <w:p w14:paraId="7AE32027" w14:textId="77777777" w:rsidR="0043186A" w:rsidRPr="007D6818" w:rsidRDefault="0043186A">
            <w:pPr>
              <w:rPr>
                <w:rFonts w:ascii="Aptos" w:eastAsia="Arial" w:hAnsi="Aptos" w:cs="Arial"/>
                <w:bCs/>
                <w:sz w:val="24"/>
                <w:szCs w:val="24"/>
              </w:rPr>
            </w:pPr>
            <w:r w:rsidRPr="007D6818">
              <w:rPr>
                <w:rFonts w:ascii="Aptos" w:eastAsia="Arial" w:hAnsi="Aptos" w:cs="Arial"/>
                <w:bCs/>
                <w:sz w:val="24"/>
                <w:szCs w:val="24"/>
              </w:rPr>
              <w:t>12-18months</w:t>
            </w:r>
          </w:p>
          <w:p w14:paraId="399CC840" w14:textId="2822149E" w:rsidR="0043186A" w:rsidRPr="007D6818" w:rsidRDefault="0043186A">
            <w:pPr>
              <w:rPr>
                <w:rFonts w:ascii="Aptos" w:eastAsia="Arial" w:hAnsi="Aptos" w:cs="Arial"/>
                <w:bCs/>
                <w:sz w:val="24"/>
                <w:szCs w:val="24"/>
              </w:rPr>
            </w:pPr>
            <w:r w:rsidRPr="007D6818">
              <w:rPr>
                <w:rFonts w:ascii="Aptos" w:eastAsia="Arial" w:hAnsi="Aptos" w:cs="Arial"/>
                <w:bCs/>
                <w:sz w:val="24"/>
                <w:szCs w:val="24"/>
              </w:rPr>
              <w:t xml:space="preserve">In March </w:t>
            </w:r>
            <w:r w:rsidR="00706A55">
              <w:rPr>
                <w:rFonts w:ascii="Aptos" w:eastAsia="Arial" w:hAnsi="Aptos" w:cs="Arial"/>
                <w:bCs/>
                <w:sz w:val="24"/>
                <w:szCs w:val="24"/>
              </w:rPr>
              <w:t>’</w:t>
            </w:r>
            <w:r w:rsidRPr="007D6818">
              <w:rPr>
                <w:rFonts w:ascii="Aptos" w:eastAsia="Arial" w:hAnsi="Aptos" w:cs="Arial"/>
                <w:bCs/>
                <w:sz w:val="24"/>
                <w:szCs w:val="24"/>
              </w:rPr>
              <w:t>26</w:t>
            </w:r>
            <w:r w:rsidR="00706A55">
              <w:rPr>
                <w:rFonts w:ascii="Aptos" w:eastAsia="Arial" w:hAnsi="Aptos" w:cs="Arial"/>
                <w:bCs/>
                <w:sz w:val="24"/>
                <w:szCs w:val="24"/>
              </w:rPr>
              <w:t>,</w:t>
            </w:r>
            <w:r w:rsidRPr="007D6818">
              <w:rPr>
                <w:rFonts w:ascii="Aptos" w:eastAsia="Arial" w:hAnsi="Aptos" w:cs="Arial"/>
                <w:bCs/>
                <w:sz w:val="24"/>
                <w:szCs w:val="24"/>
              </w:rPr>
              <w:t xml:space="preserve"> I </w:t>
            </w:r>
            <w:proofErr w:type="gramStart"/>
            <w:r w:rsidRPr="007D6818">
              <w:rPr>
                <w:rFonts w:ascii="Aptos" w:eastAsia="Arial" w:hAnsi="Aptos" w:cs="Arial"/>
                <w:bCs/>
                <w:sz w:val="24"/>
                <w:szCs w:val="24"/>
              </w:rPr>
              <w:t>return back</w:t>
            </w:r>
            <w:proofErr w:type="gramEnd"/>
            <w:r w:rsidRPr="007D6818">
              <w:rPr>
                <w:rFonts w:ascii="Aptos" w:eastAsia="Arial" w:hAnsi="Aptos" w:cs="Arial"/>
                <w:bCs/>
                <w:sz w:val="24"/>
                <w:szCs w:val="24"/>
              </w:rPr>
              <w:t xml:space="preserve"> to force due to the finite period of my seconded role to CTPHQ. </w:t>
            </w:r>
          </w:p>
          <w:p w14:paraId="4F904CB7" w14:textId="2005B492" w:rsidR="0043186A" w:rsidRPr="007D6818" w:rsidRDefault="0043186A">
            <w:pPr>
              <w:rPr>
                <w:rFonts w:ascii="Aptos" w:eastAsia="Arial" w:hAnsi="Aptos" w:cs="Arial"/>
                <w:bCs/>
                <w:sz w:val="24"/>
                <w:szCs w:val="24"/>
              </w:rPr>
            </w:pPr>
            <w:r w:rsidRPr="007D6818">
              <w:rPr>
                <w:rFonts w:ascii="Aptos" w:eastAsia="Arial" w:hAnsi="Aptos" w:cs="Arial"/>
                <w:bCs/>
                <w:sz w:val="24"/>
                <w:szCs w:val="24"/>
              </w:rPr>
              <w:t xml:space="preserve">The role I undertake on my </w:t>
            </w:r>
            <w:r w:rsidRPr="007D6818">
              <w:rPr>
                <w:rFonts w:ascii="Aptos" w:eastAsia="Arial" w:hAnsi="Aptos" w:cs="Arial"/>
                <w:bCs/>
                <w:sz w:val="24"/>
                <w:szCs w:val="24"/>
              </w:rPr>
              <w:lastRenderedPageBreak/>
              <w:t xml:space="preserve">return may support this objective. </w:t>
            </w:r>
          </w:p>
        </w:tc>
      </w:tr>
      <w:tr w:rsidR="00C66036" w:rsidRPr="007D6818" w14:paraId="06971CD3" w14:textId="77777777">
        <w:tc>
          <w:tcPr>
            <w:tcW w:w="2254" w:type="dxa"/>
          </w:tcPr>
          <w:p w14:paraId="2A1F701D" w14:textId="77777777" w:rsidR="00C66036" w:rsidRPr="007D6818" w:rsidRDefault="00C66036">
            <w:pPr>
              <w:rPr>
                <w:rFonts w:ascii="Aptos" w:eastAsia="Arial" w:hAnsi="Aptos" w:cs="Arial"/>
                <w:b/>
                <w:sz w:val="24"/>
                <w:szCs w:val="24"/>
              </w:rPr>
            </w:pPr>
          </w:p>
          <w:p w14:paraId="2F8A0EFA" w14:textId="77777777" w:rsidR="0043186A" w:rsidRPr="007D6818" w:rsidRDefault="0043186A" w:rsidP="0043186A">
            <w:pPr>
              <w:rPr>
                <w:rFonts w:ascii="Aptos" w:eastAsia="Arial" w:hAnsi="Aptos" w:cs="Arial"/>
                <w:bCs/>
                <w:sz w:val="24"/>
                <w:szCs w:val="24"/>
              </w:rPr>
            </w:pPr>
            <w:r w:rsidRPr="007D6818">
              <w:rPr>
                <w:rFonts w:ascii="Aptos" w:eastAsia="Arial" w:hAnsi="Aptos" w:cs="Arial"/>
                <w:bCs/>
                <w:sz w:val="24"/>
                <w:szCs w:val="24"/>
              </w:rPr>
              <w:t>Achieve Promotion to Inspector Through Successful Completion of the NPPF Inspector Examination</w:t>
            </w:r>
          </w:p>
          <w:p w14:paraId="5E6D50DB" w14:textId="59DDCBEE" w:rsidR="0043186A" w:rsidRPr="007D6818" w:rsidRDefault="0043186A" w:rsidP="0043186A">
            <w:pPr>
              <w:rPr>
                <w:rFonts w:ascii="Aptos" w:eastAsia="Arial" w:hAnsi="Aptos" w:cs="Arial"/>
                <w:bCs/>
                <w:sz w:val="24"/>
                <w:szCs w:val="24"/>
              </w:rPr>
            </w:pPr>
            <w:r w:rsidRPr="007D6818">
              <w:rPr>
                <w:rFonts w:ascii="Aptos" w:eastAsia="Arial" w:hAnsi="Aptos" w:cs="Arial"/>
                <w:bCs/>
                <w:sz w:val="24"/>
                <w:szCs w:val="24"/>
              </w:rPr>
              <w:t>Specifically</w:t>
            </w:r>
          </w:p>
          <w:p w14:paraId="22C3B8B4" w14:textId="77777777" w:rsidR="0043186A" w:rsidRPr="007D6818" w:rsidRDefault="0043186A" w:rsidP="0043186A">
            <w:pPr>
              <w:rPr>
                <w:rFonts w:ascii="Aptos" w:eastAsia="Arial" w:hAnsi="Aptos" w:cs="Arial"/>
                <w:bCs/>
                <w:sz w:val="24"/>
                <w:szCs w:val="24"/>
              </w:rPr>
            </w:pPr>
            <w:r w:rsidRPr="007D6818">
              <w:rPr>
                <w:rFonts w:ascii="Aptos" w:eastAsia="Arial" w:hAnsi="Aptos" w:cs="Arial"/>
                <w:bCs/>
                <w:sz w:val="24"/>
                <w:szCs w:val="24"/>
              </w:rPr>
              <w:t>Prepare for and successfully pass the National Police Promotion Framework (NPPF) Inspector examination, with the aim of achieving promotion to the rank of Inspector.</w:t>
            </w:r>
          </w:p>
          <w:p w14:paraId="49918E62" w14:textId="6C56A156" w:rsidR="0043186A" w:rsidRPr="007D6818" w:rsidRDefault="0043186A" w:rsidP="0043186A">
            <w:pPr>
              <w:rPr>
                <w:rFonts w:ascii="Aptos" w:eastAsia="Arial" w:hAnsi="Aptos" w:cs="Arial"/>
                <w:bCs/>
                <w:sz w:val="24"/>
                <w:szCs w:val="24"/>
              </w:rPr>
            </w:pPr>
            <w:r w:rsidRPr="007D6818">
              <w:rPr>
                <w:rFonts w:ascii="Aptos" w:eastAsia="Arial" w:hAnsi="Aptos" w:cs="Arial"/>
                <w:bCs/>
                <w:sz w:val="24"/>
                <w:szCs w:val="24"/>
              </w:rPr>
              <w:t>To be Measured by</w:t>
            </w:r>
          </w:p>
          <w:p w14:paraId="701019E5" w14:textId="6DF4383B" w:rsidR="0043186A" w:rsidRPr="007D6818" w:rsidRDefault="0043186A" w:rsidP="0043186A">
            <w:pPr>
              <w:rPr>
                <w:rFonts w:ascii="Aptos" w:eastAsia="Arial" w:hAnsi="Aptos" w:cs="Arial"/>
                <w:bCs/>
                <w:sz w:val="24"/>
                <w:szCs w:val="24"/>
              </w:rPr>
            </w:pPr>
            <w:r w:rsidRPr="007D6818">
              <w:rPr>
                <w:rFonts w:ascii="Aptos" w:eastAsia="Arial" w:hAnsi="Aptos" w:cs="Arial"/>
                <w:bCs/>
                <w:sz w:val="24"/>
                <w:szCs w:val="24"/>
              </w:rPr>
              <w:lastRenderedPageBreak/>
              <w:t>Successfully passing of the Inspector examination at the next available sitting.</w:t>
            </w:r>
          </w:p>
          <w:p w14:paraId="34BE4D4B" w14:textId="77777777" w:rsidR="0043186A" w:rsidRPr="007D6818" w:rsidRDefault="0043186A" w:rsidP="0043186A">
            <w:pPr>
              <w:rPr>
                <w:rFonts w:ascii="Aptos" w:eastAsia="Arial" w:hAnsi="Aptos" w:cs="Arial"/>
                <w:bCs/>
                <w:sz w:val="24"/>
                <w:szCs w:val="24"/>
              </w:rPr>
            </w:pPr>
            <w:r w:rsidRPr="007D6818">
              <w:rPr>
                <w:rFonts w:ascii="Aptos" w:eastAsia="Arial" w:hAnsi="Aptos" w:cs="Arial"/>
                <w:bCs/>
                <w:sz w:val="24"/>
                <w:szCs w:val="24"/>
              </w:rPr>
              <w:t>Completion of a structured study programme aligned to the exam syllabus.</w:t>
            </w:r>
          </w:p>
          <w:p w14:paraId="03EFCA41" w14:textId="0A48993F" w:rsidR="00C66036" w:rsidRPr="007D6818" w:rsidRDefault="0043186A" w:rsidP="0043186A">
            <w:pPr>
              <w:rPr>
                <w:rFonts w:ascii="Aptos" w:eastAsia="Arial" w:hAnsi="Aptos" w:cs="Arial"/>
                <w:bCs/>
                <w:sz w:val="24"/>
                <w:szCs w:val="24"/>
              </w:rPr>
            </w:pPr>
            <w:r w:rsidRPr="007D6818">
              <w:rPr>
                <w:rFonts w:ascii="Aptos" w:eastAsia="Arial" w:hAnsi="Aptos" w:cs="Arial"/>
                <w:bCs/>
                <w:sz w:val="24"/>
                <w:szCs w:val="24"/>
              </w:rPr>
              <w:t xml:space="preserve">Demonstrated leadership behaviours consistent with Inspector rank, evidenced through </w:t>
            </w:r>
            <w:r w:rsidR="00C32851">
              <w:rPr>
                <w:rFonts w:ascii="Aptos" w:eastAsia="Arial" w:hAnsi="Aptos" w:cs="Arial"/>
                <w:bCs/>
                <w:sz w:val="24"/>
                <w:szCs w:val="24"/>
              </w:rPr>
              <w:t>Perform/</w:t>
            </w:r>
            <w:r w:rsidRPr="007D6818">
              <w:rPr>
                <w:rFonts w:ascii="Aptos" w:eastAsia="Arial" w:hAnsi="Aptos" w:cs="Arial"/>
                <w:bCs/>
                <w:sz w:val="24"/>
                <w:szCs w:val="24"/>
              </w:rPr>
              <w:t>PDRs or line manager feedback.</w:t>
            </w:r>
          </w:p>
          <w:p w14:paraId="5F96A722" w14:textId="77777777" w:rsidR="00C66036" w:rsidRPr="007D6818" w:rsidRDefault="00C66036">
            <w:pPr>
              <w:rPr>
                <w:rFonts w:ascii="Aptos" w:eastAsia="Arial" w:hAnsi="Aptos" w:cs="Arial"/>
                <w:b/>
                <w:sz w:val="24"/>
                <w:szCs w:val="24"/>
              </w:rPr>
            </w:pPr>
          </w:p>
          <w:p w14:paraId="5B95CD12" w14:textId="77777777" w:rsidR="00C66036" w:rsidRPr="007D6818" w:rsidRDefault="00C66036">
            <w:pPr>
              <w:rPr>
                <w:rFonts w:ascii="Aptos" w:eastAsia="Arial" w:hAnsi="Aptos" w:cs="Arial"/>
                <w:b/>
                <w:sz w:val="24"/>
                <w:szCs w:val="24"/>
              </w:rPr>
            </w:pPr>
          </w:p>
          <w:p w14:paraId="5220BBB2" w14:textId="77777777" w:rsidR="00C66036" w:rsidRPr="007D6818" w:rsidRDefault="00C66036">
            <w:pPr>
              <w:rPr>
                <w:rFonts w:ascii="Aptos" w:eastAsia="Arial" w:hAnsi="Aptos" w:cs="Arial"/>
                <w:b/>
                <w:sz w:val="24"/>
                <w:szCs w:val="24"/>
              </w:rPr>
            </w:pPr>
          </w:p>
        </w:tc>
        <w:tc>
          <w:tcPr>
            <w:tcW w:w="2254" w:type="dxa"/>
          </w:tcPr>
          <w:p w14:paraId="75840DEA" w14:textId="77777777" w:rsidR="00C66036" w:rsidRPr="007D6818" w:rsidRDefault="00C66036">
            <w:pPr>
              <w:rPr>
                <w:rFonts w:ascii="Aptos" w:eastAsia="Arial" w:hAnsi="Aptos" w:cs="Arial"/>
                <w:bCs/>
                <w:sz w:val="24"/>
                <w:szCs w:val="24"/>
              </w:rPr>
            </w:pPr>
          </w:p>
          <w:p w14:paraId="0652B890" w14:textId="77777777" w:rsidR="0043186A" w:rsidRPr="007D6818" w:rsidRDefault="0043186A" w:rsidP="0043186A">
            <w:pPr>
              <w:rPr>
                <w:rFonts w:ascii="Aptos" w:eastAsia="Arial" w:hAnsi="Aptos" w:cs="Arial"/>
                <w:bCs/>
                <w:sz w:val="24"/>
                <w:szCs w:val="24"/>
              </w:rPr>
            </w:pPr>
            <w:r w:rsidRPr="007D6818">
              <w:rPr>
                <w:rFonts w:ascii="Aptos" w:eastAsia="Arial" w:hAnsi="Aptos" w:cs="Arial"/>
                <w:bCs/>
                <w:sz w:val="24"/>
                <w:szCs w:val="24"/>
              </w:rPr>
              <w:t>Extensive operational and supervisory experience provides a strong foundation.</w:t>
            </w:r>
          </w:p>
          <w:p w14:paraId="2E7F1A8B" w14:textId="77777777" w:rsidR="0043186A" w:rsidRPr="007D6818" w:rsidRDefault="0043186A" w:rsidP="0043186A">
            <w:pPr>
              <w:rPr>
                <w:rFonts w:ascii="Aptos" w:eastAsia="Arial" w:hAnsi="Aptos" w:cs="Arial"/>
                <w:bCs/>
                <w:sz w:val="24"/>
                <w:szCs w:val="24"/>
              </w:rPr>
            </w:pPr>
            <w:r w:rsidRPr="007D6818">
              <w:rPr>
                <w:rFonts w:ascii="Aptos" w:eastAsia="Arial" w:hAnsi="Aptos" w:cs="Arial"/>
                <w:bCs/>
                <w:sz w:val="24"/>
                <w:szCs w:val="24"/>
              </w:rPr>
              <w:t>Study skills developed through the BSc programme support exam preparation.</w:t>
            </w:r>
          </w:p>
          <w:p w14:paraId="5D2A231B" w14:textId="77777777" w:rsidR="0043186A" w:rsidRPr="007D6818" w:rsidRDefault="0043186A" w:rsidP="0043186A">
            <w:pPr>
              <w:rPr>
                <w:rFonts w:ascii="Aptos" w:eastAsia="Arial" w:hAnsi="Aptos" w:cs="Arial"/>
                <w:bCs/>
                <w:sz w:val="24"/>
                <w:szCs w:val="24"/>
              </w:rPr>
            </w:pPr>
            <w:r w:rsidRPr="007D6818">
              <w:rPr>
                <w:rFonts w:ascii="Aptos" w:eastAsia="Arial" w:hAnsi="Aptos" w:cs="Arial"/>
                <w:bCs/>
                <w:sz w:val="24"/>
                <w:szCs w:val="24"/>
              </w:rPr>
              <w:t>Access to force promotion support, exam materials, and peer study groups.</w:t>
            </w:r>
          </w:p>
          <w:p w14:paraId="3491B021" w14:textId="038A14EB" w:rsidR="0043186A" w:rsidRPr="007D6818" w:rsidRDefault="0043186A" w:rsidP="0043186A">
            <w:pPr>
              <w:rPr>
                <w:rFonts w:ascii="Aptos" w:eastAsia="Arial" w:hAnsi="Aptos" w:cs="Arial"/>
                <w:bCs/>
                <w:sz w:val="24"/>
                <w:szCs w:val="24"/>
              </w:rPr>
            </w:pPr>
            <w:r w:rsidRPr="007D6818">
              <w:rPr>
                <w:rFonts w:ascii="Aptos" w:eastAsia="Arial" w:hAnsi="Aptos" w:cs="Arial"/>
                <w:bCs/>
                <w:sz w:val="24"/>
                <w:szCs w:val="24"/>
              </w:rPr>
              <w:t>It is relevant as</w:t>
            </w:r>
          </w:p>
          <w:p w14:paraId="13CB595B" w14:textId="541EBC5A" w:rsidR="0043186A" w:rsidRPr="007D6818" w:rsidRDefault="0043186A" w:rsidP="0043186A">
            <w:pPr>
              <w:rPr>
                <w:rFonts w:ascii="Aptos" w:eastAsia="Arial" w:hAnsi="Aptos" w:cs="Arial"/>
                <w:bCs/>
                <w:sz w:val="24"/>
                <w:szCs w:val="24"/>
              </w:rPr>
            </w:pPr>
            <w:r w:rsidRPr="007D6818">
              <w:rPr>
                <w:rFonts w:ascii="Aptos" w:eastAsia="Arial" w:hAnsi="Aptos" w:cs="Arial"/>
                <w:bCs/>
                <w:sz w:val="24"/>
                <w:szCs w:val="24"/>
              </w:rPr>
              <w:t xml:space="preserve">Promotion to Inspector supports professional </w:t>
            </w:r>
            <w:r w:rsidRPr="007D6818">
              <w:rPr>
                <w:rFonts w:ascii="Aptos" w:eastAsia="Arial" w:hAnsi="Aptos" w:cs="Arial"/>
                <w:bCs/>
                <w:sz w:val="24"/>
                <w:szCs w:val="24"/>
              </w:rPr>
              <w:lastRenderedPageBreak/>
              <w:t>progression, enhances leadership capacity within investigative teams, and complements academic development by translating theory into strategic and operational leadership practice.</w:t>
            </w:r>
          </w:p>
        </w:tc>
        <w:tc>
          <w:tcPr>
            <w:tcW w:w="2254" w:type="dxa"/>
          </w:tcPr>
          <w:p w14:paraId="0F9F7701" w14:textId="77777777" w:rsidR="00C66036" w:rsidRPr="007D6818" w:rsidRDefault="00C66036">
            <w:pPr>
              <w:rPr>
                <w:rFonts w:ascii="Aptos" w:eastAsia="Arial" w:hAnsi="Aptos" w:cs="Arial"/>
                <w:bCs/>
                <w:sz w:val="24"/>
                <w:szCs w:val="24"/>
              </w:rPr>
            </w:pPr>
          </w:p>
          <w:p w14:paraId="6E208AEE" w14:textId="77777777" w:rsidR="00873F8C" w:rsidRPr="007D6818" w:rsidRDefault="00873F8C">
            <w:pPr>
              <w:rPr>
                <w:rFonts w:ascii="Aptos" w:eastAsia="Arial" w:hAnsi="Aptos" w:cs="Arial"/>
                <w:bCs/>
                <w:sz w:val="24"/>
                <w:szCs w:val="24"/>
              </w:rPr>
            </w:pPr>
            <w:r w:rsidRPr="007D6818">
              <w:rPr>
                <w:rFonts w:ascii="Aptos" w:eastAsia="Arial" w:hAnsi="Aptos" w:cs="Arial"/>
                <w:bCs/>
                <w:sz w:val="24"/>
                <w:szCs w:val="24"/>
              </w:rPr>
              <w:t xml:space="preserve">Privately funded study groups such as Police Pass, </w:t>
            </w:r>
            <w:proofErr w:type="spellStart"/>
            <w:r w:rsidRPr="007D6818">
              <w:rPr>
                <w:rFonts w:ascii="Aptos" w:eastAsia="Arial" w:hAnsi="Aptos" w:cs="Arial"/>
                <w:bCs/>
                <w:sz w:val="24"/>
                <w:szCs w:val="24"/>
              </w:rPr>
              <w:t>Blackstones</w:t>
            </w:r>
            <w:proofErr w:type="spellEnd"/>
            <w:r w:rsidRPr="007D6818">
              <w:rPr>
                <w:rFonts w:ascii="Aptos" w:eastAsia="Arial" w:hAnsi="Aptos" w:cs="Arial"/>
                <w:bCs/>
                <w:sz w:val="24"/>
                <w:szCs w:val="24"/>
              </w:rPr>
              <w:t xml:space="preserve"> online Q&amp;A. </w:t>
            </w:r>
          </w:p>
          <w:p w14:paraId="257C0A2A" w14:textId="77777777" w:rsidR="00873F8C" w:rsidRPr="007D6818" w:rsidRDefault="00873F8C">
            <w:pPr>
              <w:rPr>
                <w:rFonts w:ascii="Aptos" w:eastAsia="Arial" w:hAnsi="Aptos" w:cs="Arial"/>
                <w:bCs/>
                <w:sz w:val="24"/>
                <w:szCs w:val="24"/>
              </w:rPr>
            </w:pPr>
          </w:p>
          <w:p w14:paraId="1F908E29" w14:textId="77777777" w:rsidR="00873F8C" w:rsidRPr="007D6818" w:rsidRDefault="00873F8C">
            <w:pPr>
              <w:rPr>
                <w:rFonts w:ascii="Aptos" w:eastAsia="Arial" w:hAnsi="Aptos" w:cs="Arial"/>
                <w:bCs/>
                <w:sz w:val="24"/>
                <w:szCs w:val="24"/>
              </w:rPr>
            </w:pPr>
            <w:r w:rsidRPr="007D6818">
              <w:rPr>
                <w:rFonts w:ascii="Aptos" w:eastAsia="Arial" w:hAnsi="Aptos" w:cs="Arial"/>
                <w:bCs/>
                <w:sz w:val="24"/>
                <w:szCs w:val="24"/>
              </w:rPr>
              <w:t xml:space="preserve">Family support due to commitment required. </w:t>
            </w:r>
          </w:p>
          <w:p w14:paraId="3546EB69" w14:textId="77777777" w:rsidR="00873F8C" w:rsidRPr="007D6818" w:rsidRDefault="00873F8C">
            <w:pPr>
              <w:rPr>
                <w:rFonts w:ascii="Aptos" w:eastAsia="Arial" w:hAnsi="Aptos" w:cs="Arial"/>
                <w:bCs/>
                <w:sz w:val="24"/>
                <w:szCs w:val="24"/>
              </w:rPr>
            </w:pPr>
          </w:p>
          <w:p w14:paraId="6D9C8D39" w14:textId="326005FF" w:rsidR="00873F8C" w:rsidRPr="007D6818" w:rsidRDefault="00873F8C">
            <w:pPr>
              <w:rPr>
                <w:rFonts w:ascii="Aptos" w:eastAsia="Arial" w:hAnsi="Aptos" w:cs="Arial"/>
                <w:bCs/>
                <w:sz w:val="24"/>
                <w:szCs w:val="24"/>
              </w:rPr>
            </w:pPr>
            <w:r w:rsidRPr="007D6818">
              <w:rPr>
                <w:rFonts w:ascii="Aptos" w:eastAsia="Arial" w:hAnsi="Aptos" w:cs="Arial"/>
                <w:bCs/>
                <w:sz w:val="24"/>
                <w:szCs w:val="24"/>
              </w:rPr>
              <w:t xml:space="preserve">SWP and line manager support for Part 1 NPPF (noting part 2 is the examination that requires management support.) </w:t>
            </w:r>
          </w:p>
        </w:tc>
        <w:tc>
          <w:tcPr>
            <w:tcW w:w="2254" w:type="dxa"/>
          </w:tcPr>
          <w:p w14:paraId="09C62CFB" w14:textId="77777777" w:rsidR="00C66036" w:rsidRPr="007D6818" w:rsidRDefault="00C66036">
            <w:pPr>
              <w:rPr>
                <w:rFonts w:ascii="Aptos" w:eastAsia="Arial" w:hAnsi="Aptos" w:cs="Arial"/>
                <w:b/>
                <w:sz w:val="24"/>
                <w:szCs w:val="24"/>
              </w:rPr>
            </w:pPr>
          </w:p>
          <w:p w14:paraId="7D4BAB7E" w14:textId="311DE892" w:rsidR="00873F8C" w:rsidRPr="007D6818" w:rsidRDefault="00873F8C" w:rsidP="00873F8C">
            <w:pPr>
              <w:rPr>
                <w:rFonts w:ascii="Aptos" w:eastAsia="Arial" w:hAnsi="Aptos" w:cs="Arial"/>
                <w:bCs/>
                <w:sz w:val="24"/>
                <w:szCs w:val="24"/>
              </w:rPr>
            </w:pPr>
            <w:r w:rsidRPr="007D6818">
              <w:rPr>
                <w:rFonts w:ascii="Aptos" w:eastAsia="Arial" w:hAnsi="Aptos" w:cs="Arial"/>
                <w:bCs/>
                <w:sz w:val="24"/>
                <w:szCs w:val="24"/>
              </w:rPr>
              <w:t>Commence structured exam study 3-6 months prior to the exam date.</w:t>
            </w:r>
          </w:p>
          <w:p w14:paraId="5AFF0638" w14:textId="0A8670B0" w:rsidR="00873F8C" w:rsidRPr="007D6818" w:rsidRDefault="00873F8C" w:rsidP="00873F8C">
            <w:pPr>
              <w:rPr>
                <w:rFonts w:ascii="Aptos" w:eastAsia="Arial" w:hAnsi="Aptos" w:cs="Arial"/>
                <w:bCs/>
                <w:sz w:val="24"/>
                <w:szCs w:val="24"/>
              </w:rPr>
            </w:pPr>
            <w:r w:rsidRPr="007D6818">
              <w:rPr>
                <w:rFonts w:ascii="Aptos" w:eastAsia="Arial" w:hAnsi="Aptos" w:cs="Arial"/>
                <w:bCs/>
                <w:sz w:val="24"/>
                <w:szCs w:val="24"/>
              </w:rPr>
              <w:t>Sit and pass the Inspector’s examination at the next scheduled intake.</w:t>
            </w:r>
          </w:p>
          <w:p w14:paraId="675E05EE" w14:textId="637E2247" w:rsidR="00873F8C" w:rsidRPr="007D6818" w:rsidRDefault="00873F8C" w:rsidP="00873F8C">
            <w:pPr>
              <w:rPr>
                <w:rFonts w:ascii="Aptos" w:eastAsia="Arial" w:hAnsi="Aptos" w:cs="Arial"/>
                <w:bCs/>
                <w:sz w:val="24"/>
                <w:szCs w:val="24"/>
              </w:rPr>
            </w:pPr>
            <w:r w:rsidRPr="007D6818">
              <w:rPr>
                <w:rFonts w:ascii="Aptos" w:eastAsia="Arial" w:hAnsi="Aptos" w:cs="Arial"/>
                <w:bCs/>
                <w:sz w:val="24"/>
                <w:szCs w:val="24"/>
              </w:rPr>
              <w:t>Promotion process completed within 12-18 months, subject to organisational timelines.</w:t>
            </w:r>
          </w:p>
        </w:tc>
      </w:tr>
    </w:tbl>
    <w:p w14:paraId="2FC17F8B" w14:textId="77777777" w:rsidR="00C66036" w:rsidRDefault="00C66036">
      <w:pPr>
        <w:rPr>
          <w:rFonts w:ascii="Arial" w:eastAsia="Arial" w:hAnsi="Arial" w:cs="Arial"/>
          <w:b/>
          <w:sz w:val="28"/>
          <w:szCs w:val="28"/>
        </w:rPr>
      </w:pPr>
    </w:p>
    <w:p w14:paraId="0A4F7224" w14:textId="77777777" w:rsidR="00C66036" w:rsidRDefault="00C66036">
      <w:pPr>
        <w:rPr>
          <w:rFonts w:ascii="Arial" w:eastAsia="Arial" w:hAnsi="Arial" w:cs="Arial"/>
          <w:b/>
          <w:sz w:val="28"/>
          <w:szCs w:val="28"/>
        </w:rPr>
      </w:pPr>
    </w:p>
    <w:p w14:paraId="5AE48A43" w14:textId="77777777" w:rsidR="00C66036" w:rsidRDefault="00C66036">
      <w:pPr>
        <w:spacing w:before="240" w:after="60"/>
        <w:rPr>
          <w:rFonts w:ascii="Arial" w:eastAsia="Arial" w:hAnsi="Arial" w:cs="Arial"/>
          <w:b/>
          <w:sz w:val="28"/>
          <w:szCs w:val="28"/>
        </w:rPr>
      </w:pPr>
    </w:p>
    <w:p w14:paraId="50F40DEB" w14:textId="77777777" w:rsidR="00C66036" w:rsidRDefault="00C66036">
      <w:pPr>
        <w:rPr>
          <w:rFonts w:ascii="Arial" w:eastAsia="Arial" w:hAnsi="Arial" w:cs="Arial"/>
          <w:b/>
          <w:sz w:val="28"/>
          <w:szCs w:val="28"/>
        </w:rPr>
      </w:pPr>
    </w:p>
    <w:p w14:paraId="20EAD8DD" w14:textId="77777777" w:rsidR="00C66036" w:rsidRDefault="009A442B">
      <w:pPr>
        <w:spacing w:before="240" w:after="60"/>
        <w:ind w:right="237"/>
        <w:jc w:val="both"/>
        <w:rPr>
          <w:rFonts w:ascii="Arial" w:eastAsia="Arial" w:hAnsi="Arial" w:cs="Arial"/>
          <w:b/>
          <w:color w:val="000000"/>
          <w:sz w:val="24"/>
          <w:szCs w:val="24"/>
        </w:rPr>
      </w:pPr>
      <w:r>
        <w:rPr>
          <w:rFonts w:ascii="Arial" w:eastAsia="Arial" w:hAnsi="Arial" w:cs="Arial"/>
          <w:b/>
          <w:color w:val="000000"/>
          <w:sz w:val="24"/>
          <w:szCs w:val="24"/>
        </w:rPr>
        <w:t>Task 6 – Bibliography/Reference list</w:t>
      </w:r>
    </w:p>
    <w:p w14:paraId="03AF79B6" w14:textId="77777777" w:rsidR="00C66036" w:rsidRDefault="009A442B">
      <w:pPr>
        <w:spacing w:before="240" w:after="60"/>
        <w:ind w:right="237"/>
        <w:jc w:val="both"/>
        <w:rPr>
          <w:rFonts w:ascii="Arial" w:eastAsia="Arial" w:hAnsi="Arial" w:cs="Arial"/>
          <w:color w:val="000000"/>
          <w:sz w:val="24"/>
          <w:szCs w:val="24"/>
        </w:rPr>
      </w:pPr>
      <w:r>
        <w:rPr>
          <w:rFonts w:ascii="Arial" w:eastAsia="Arial" w:hAnsi="Arial" w:cs="Arial"/>
          <w:color w:val="000000"/>
          <w:sz w:val="24"/>
          <w:szCs w:val="24"/>
        </w:rPr>
        <w:t>The bibliography/reference list should only include sources referenced within the workbook using the Harvard referencing system. Information about referencing in written assignments and how to avoid plagiarism can be found on Moodle and will be provided in your lesson. It is important that you are aware of the importance of ensuring that the work submitted is your original work.</w:t>
      </w:r>
    </w:p>
    <w:p w14:paraId="6399F898" w14:textId="77777777" w:rsidR="00C66036" w:rsidRDefault="009A442B">
      <w:pPr>
        <w:spacing w:before="240" w:after="60"/>
        <w:ind w:right="237"/>
        <w:jc w:val="both"/>
        <w:rPr>
          <w:rFonts w:ascii="Arial" w:eastAsia="Arial" w:hAnsi="Arial" w:cs="Arial"/>
          <w:color w:val="000000"/>
          <w:sz w:val="24"/>
          <w:szCs w:val="24"/>
        </w:rPr>
      </w:pPr>
      <w:r>
        <w:rPr>
          <w:rFonts w:ascii="Arial" w:eastAsia="Arial" w:hAnsi="Arial" w:cs="Arial"/>
          <w:color w:val="000000"/>
          <w:sz w:val="24"/>
          <w:szCs w:val="24"/>
        </w:rPr>
        <w:t>If you are unsure, it is important that you seek guidance.</w:t>
      </w:r>
    </w:p>
    <w:p w14:paraId="2FEEEFC6" w14:textId="77777777" w:rsidR="00C66036" w:rsidRDefault="009A442B">
      <w:pPr>
        <w:spacing w:before="240" w:after="60"/>
        <w:ind w:right="237"/>
        <w:jc w:val="both"/>
        <w:rPr>
          <w:rFonts w:ascii="Arial" w:eastAsia="Arial" w:hAnsi="Arial" w:cs="Arial"/>
          <w:b/>
          <w:color w:val="000000"/>
          <w:sz w:val="24"/>
          <w:szCs w:val="24"/>
        </w:rPr>
      </w:pPr>
      <w:r>
        <w:rPr>
          <w:rFonts w:ascii="Arial" w:eastAsia="Arial" w:hAnsi="Arial" w:cs="Arial"/>
          <w:b/>
          <w:color w:val="000000"/>
          <w:sz w:val="24"/>
          <w:szCs w:val="24"/>
        </w:rPr>
        <w:t xml:space="preserve">Harvard Refencing Guide Link: </w:t>
      </w:r>
    </w:p>
    <w:p w14:paraId="366C6B87" w14:textId="77777777" w:rsidR="00C66036" w:rsidRDefault="009A442B">
      <w:pPr>
        <w:spacing w:before="240" w:after="60"/>
        <w:ind w:right="237"/>
        <w:jc w:val="both"/>
        <w:rPr>
          <w:rFonts w:ascii="Arial" w:eastAsia="Arial" w:hAnsi="Arial" w:cs="Arial"/>
          <w:sz w:val="24"/>
          <w:szCs w:val="24"/>
        </w:rPr>
      </w:pPr>
      <w:hyperlink r:id="rId11">
        <w:r>
          <w:rPr>
            <w:color w:val="0563C1"/>
            <w:sz w:val="24"/>
            <w:szCs w:val="24"/>
            <w:u w:val="single"/>
          </w:rPr>
          <w:t>https://moodle.uwtsd.ac.uk/pluginfile.php/324905/mod_resource/content/1/Harvard%20Referencing%20GUide.pdf</w:t>
        </w:r>
      </w:hyperlink>
    </w:p>
    <w:p w14:paraId="1B6C5519" w14:textId="77777777" w:rsidR="00F15729" w:rsidRDefault="00F15729" w:rsidP="003709EE">
      <w:pPr>
        <w:rPr>
          <w:rFonts w:ascii="Aptos" w:eastAsia="Times New Roman" w:hAnsi="Aptos"/>
          <w:b/>
          <w:bCs/>
          <w:color w:val="000000"/>
          <w:sz w:val="24"/>
          <w:szCs w:val="24"/>
        </w:rPr>
      </w:pPr>
    </w:p>
    <w:p w14:paraId="4CFE8D59" w14:textId="17971E26" w:rsidR="003709EE" w:rsidRPr="001F408D" w:rsidRDefault="003709EE" w:rsidP="003709EE">
      <w:pPr>
        <w:rPr>
          <w:rFonts w:ascii="Aptos" w:eastAsia="Times New Roman" w:hAnsi="Aptos"/>
          <w:b/>
          <w:bCs/>
          <w:color w:val="000000"/>
          <w:sz w:val="24"/>
          <w:szCs w:val="24"/>
        </w:rPr>
      </w:pPr>
      <w:r w:rsidRPr="001F408D">
        <w:rPr>
          <w:rFonts w:ascii="Aptos" w:eastAsia="Times New Roman" w:hAnsi="Aptos"/>
          <w:b/>
          <w:bCs/>
          <w:color w:val="000000"/>
          <w:sz w:val="24"/>
          <w:szCs w:val="24"/>
        </w:rPr>
        <w:lastRenderedPageBreak/>
        <w:t>References</w:t>
      </w:r>
    </w:p>
    <w:p w14:paraId="5C81777B" w14:textId="4E973683"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Ashworth, A. and </w:t>
      </w:r>
      <w:proofErr w:type="spellStart"/>
      <w:r w:rsidRPr="001F408D">
        <w:rPr>
          <w:rFonts w:ascii="Aptos" w:eastAsia="Times New Roman" w:hAnsi="Aptos"/>
          <w:color w:val="000000"/>
          <w:sz w:val="24"/>
          <w:szCs w:val="24"/>
        </w:rPr>
        <w:t>Zedner</w:t>
      </w:r>
      <w:proofErr w:type="spellEnd"/>
      <w:r w:rsidRPr="001F408D">
        <w:rPr>
          <w:rFonts w:ascii="Aptos" w:eastAsia="Times New Roman" w:hAnsi="Aptos"/>
          <w:color w:val="000000"/>
          <w:sz w:val="24"/>
          <w:szCs w:val="24"/>
        </w:rPr>
        <w:t>, L. (2014</w:t>
      </w:r>
      <w:r w:rsidRPr="00344AAD">
        <w:rPr>
          <w:rFonts w:ascii="Aptos" w:eastAsia="Times New Roman" w:hAnsi="Aptos"/>
          <w:i/>
          <w:iCs/>
          <w:color w:val="000000"/>
          <w:sz w:val="24"/>
          <w:szCs w:val="24"/>
        </w:rPr>
        <w:t>) Preventive justice</w:t>
      </w:r>
      <w:r w:rsidRPr="001F408D">
        <w:rPr>
          <w:rFonts w:ascii="Aptos" w:eastAsia="Times New Roman" w:hAnsi="Aptos"/>
          <w:color w:val="000000"/>
          <w:sz w:val="24"/>
          <w:szCs w:val="24"/>
        </w:rPr>
        <w:t xml:space="preserve">. Oxford: Oxford University Press. </w:t>
      </w:r>
      <w:hyperlink r:id="rId12" w:history="1">
        <w:r w:rsidR="00000933" w:rsidRPr="001F408D">
          <w:rPr>
            <w:rStyle w:val="Hyperlink"/>
            <w:rFonts w:ascii="Aptos" w:eastAsia="Times New Roman" w:hAnsi="Aptos"/>
            <w:sz w:val="24"/>
            <w:szCs w:val="24"/>
          </w:rPr>
          <w:t>https://doi.org/10.1093/acprof:oso/9780198712527.001.</w:t>
        </w:r>
        <w:r w:rsidR="00000933" w:rsidRPr="001F408D">
          <w:rPr>
            <w:rStyle w:val="Hyperlink"/>
            <w:rFonts w:ascii="Aptos" w:eastAsia="Times New Roman" w:hAnsi="Aptos"/>
            <w:sz w:val="24"/>
            <w:szCs w:val="24"/>
          </w:rPr>
          <w:t>0</w:t>
        </w:r>
        <w:r w:rsidR="00000933" w:rsidRPr="001F408D">
          <w:rPr>
            <w:rStyle w:val="Hyperlink"/>
            <w:rFonts w:ascii="Aptos" w:eastAsia="Times New Roman" w:hAnsi="Aptos"/>
            <w:sz w:val="24"/>
            <w:szCs w:val="24"/>
          </w:rPr>
          <w:t>001</w:t>
        </w:r>
      </w:hyperlink>
      <w:r w:rsidR="0055472A">
        <w:rPr>
          <w:rFonts w:ascii="Aptos" w:hAnsi="Aptos"/>
          <w:sz w:val="24"/>
          <w:szCs w:val="24"/>
        </w:rPr>
        <w:t xml:space="preserve"> </w:t>
      </w:r>
      <w:r w:rsidR="00000933" w:rsidRPr="001F408D">
        <w:rPr>
          <w:rFonts w:ascii="Aptos" w:eastAsia="Times New Roman" w:hAnsi="Aptos"/>
          <w:color w:val="000000"/>
          <w:sz w:val="24"/>
          <w:szCs w:val="24"/>
        </w:rPr>
        <w:t xml:space="preserve"> </w:t>
      </w:r>
    </w:p>
    <w:p w14:paraId="1118A5FC" w14:textId="19012195" w:rsidR="00084807" w:rsidRPr="001F408D" w:rsidRDefault="00084807" w:rsidP="00084807">
      <w:pPr>
        <w:rPr>
          <w:rFonts w:ascii="Aptos" w:eastAsia="Times New Roman" w:hAnsi="Aptos"/>
          <w:color w:val="000000"/>
          <w:sz w:val="24"/>
          <w:szCs w:val="24"/>
        </w:rPr>
      </w:pPr>
      <w:r w:rsidRPr="001F408D">
        <w:rPr>
          <w:rFonts w:ascii="Aptos" w:eastAsia="Times New Roman" w:hAnsi="Aptos"/>
          <w:color w:val="000000"/>
          <w:sz w:val="24"/>
          <w:szCs w:val="24"/>
        </w:rPr>
        <w:t xml:space="preserve">Ask, K. and </w:t>
      </w:r>
      <w:proofErr w:type="spellStart"/>
      <w:r w:rsidRPr="001F408D">
        <w:rPr>
          <w:rFonts w:ascii="Aptos" w:eastAsia="Times New Roman" w:hAnsi="Aptos"/>
          <w:color w:val="000000"/>
          <w:sz w:val="24"/>
          <w:szCs w:val="24"/>
        </w:rPr>
        <w:t>Granhag</w:t>
      </w:r>
      <w:proofErr w:type="spellEnd"/>
      <w:r w:rsidRPr="001F408D">
        <w:rPr>
          <w:rFonts w:ascii="Aptos" w:eastAsia="Times New Roman" w:hAnsi="Aptos"/>
          <w:color w:val="000000"/>
          <w:sz w:val="24"/>
          <w:szCs w:val="24"/>
        </w:rPr>
        <w:t xml:space="preserve">, P. A. (2005) </w:t>
      </w:r>
      <w:r w:rsidRPr="00344AAD">
        <w:rPr>
          <w:rFonts w:ascii="Aptos" w:eastAsia="Times New Roman" w:hAnsi="Aptos"/>
          <w:i/>
          <w:iCs/>
          <w:color w:val="000000"/>
          <w:sz w:val="24"/>
          <w:szCs w:val="24"/>
        </w:rPr>
        <w:t>‘Structured analysis of police case files: Investigative decision making and the confirmation bias’</w:t>
      </w:r>
      <w:r w:rsidRPr="001F408D">
        <w:rPr>
          <w:rFonts w:ascii="Aptos" w:eastAsia="Times New Roman" w:hAnsi="Aptos"/>
          <w:color w:val="000000"/>
          <w:sz w:val="24"/>
          <w:szCs w:val="24"/>
        </w:rPr>
        <w:t xml:space="preserve">, Journal of Investigative Psychology and Offender Profiling, 2(2), pp. 43–62. </w:t>
      </w:r>
      <w:hyperlink r:id="rId13" w:history="1">
        <w:r w:rsidRPr="001F408D">
          <w:rPr>
            <w:rStyle w:val="Hyperlink"/>
            <w:rFonts w:ascii="Aptos" w:eastAsia="Times New Roman" w:hAnsi="Aptos"/>
            <w:sz w:val="24"/>
            <w:szCs w:val="24"/>
          </w:rPr>
          <w:t>https://doi.org/10.1002/jip.19</w:t>
        </w:r>
      </w:hyperlink>
      <w:r w:rsidRPr="001F408D">
        <w:rPr>
          <w:rFonts w:ascii="Aptos" w:eastAsia="Times New Roman" w:hAnsi="Aptos"/>
          <w:color w:val="000000"/>
          <w:sz w:val="24"/>
          <w:szCs w:val="24"/>
        </w:rPr>
        <w:t xml:space="preserve"> </w:t>
      </w:r>
    </w:p>
    <w:p w14:paraId="6DD195F4" w14:textId="77777777"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Belbin, R.M. (2010) </w:t>
      </w:r>
      <w:r w:rsidRPr="00344AAD">
        <w:rPr>
          <w:rFonts w:ascii="Aptos" w:eastAsia="Times New Roman" w:hAnsi="Aptos"/>
          <w:i/>
          <w:iCs/>
          <w:color w:val="000000"/>
          <w:sz w:val="24"/>
          <w:szCs w:val="24"/>
        </w:rPr>
        <w:t>Team roles at work</w:t>
      </w:r>
      <w:r w:rsidRPr="001F408D">
        <w:rPr>
          <w:rFonts w:ascii="Aptos" w:eastAsia="Times New Roman" w:hAnsi="Aptos"/>
          <w:color w:val="000000"/>
          <w:sz w:val="24"/>
          <w:szCs w:val="24"/>
        </w:rPr>
        <w:t xml:space="preserve">. 2nd </w:t>
      </w:r>
      <w:proofErr w:type="spellStart"/>
      <w:r w:rsidRPr="001F408D">
        <w:rPr>
          <w:rFonts w:ascii="Aptos" w:eastAsia="Times New Roman" w:hAnsi="Aptos"/>
          <w:color w:val="000000"/>
          <w:sz w:val="24"/>
          <w:szCs w:val="24"/>
        </w:rPr>
        <w:t>edn</w:t>
      </w:r>
      <w:proofErr w:type="spellEnd"/>
      <w:r w:rsidRPr="001F408D">
        <w:rPr>
          <w:rFonts w:ascii="Aptos" w:eastAsia="Times New Roman" w:hAnsi="Aptos"/>
          <w:color w:val="000000"/>
          <w:sz w:val="24"/>
          <w:szCs w:val="24"/>
        </w:rPr>
        <w:t>. Oxford: Butterworth-Heinemann.</w:t>
      </w:r>
    </w:p>
    <w:p w14:paraId="1C729D8A" w14:textId="164BE1D0"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Boud, D., Keogh, R. and Walker, D. (1985) </w:t>
      </w:r>
      <w:r w:rsidRPr="00344AAD">
        <w:rPr>
          <w:rFonts w:ascii="Aptos" w:eastAsia="Times New Roman" w:hAnsi="Aptos"/>
          <w:i/>
          <w:iCs/>
          <w:color w:val="000000"/>
          <w:sz w:val="24"/>
          <w:szCs w:val="24"/>
        </w:rPr>
        <w:t>Reflection: Turning experience into learning</w:t>
      </w:r>
      <w:r w:rsidRPr="001F408D">
        <w:rPr>
          <w:rFonts w:ascii="Aptos" w:eastAsia="Times New Roman" w:hAnsi="Aptos"/>
          <w:color w:val="000000"/>
          <w:sz w:val="24"/>
          <w:szCs w:val="24"/>
        </w:rPr>
        <w:t xml:space="preserve">. London: </w:t>
      </w:r>
      <w:r w:rsidR="002854EE">
        <w:rPr>
          <w:rFonts w:ascii="Aptos" w:eastAsia="Times New Roman" w:hAnsi="Aptos"/>
          <w:color w:val="000000"/>
          <w:sz w:val="24"/>
          <w:szCs w:val="24"/>
        </w:rPr>
        <w:t>Routledge</w:t>
      </w:r>
      <w:r w:rsidRPr="001F408D">
        <w:rPr>
          <w:rFonts w:ascii="Aptos" w:eastAsia="Times New Roman" w:hAnsi="Aptos"/>
          <w:color w:val="000000"/>
          <w:sz w:val="24"/>
          <w:szCs w:val="24"/>
        </w:rPr>
        <w:t>.</w:t>
      </w:r>
      <w:r w:rsidR="002854EE">
        <w:rPr>
          <w:rFonts w:ascii="Aptos" w:eastAsia="Times New Roman" w:hAnsi="Aptos"/>
          <w:color w:val="000000"/>
          <w:sz w:val="24"/>
          <w:szCs w:val="24"/>
        </w:rPr>
        <w:t xml:space="preserve"> </w:t>
      </w:r>
      <w:hyperlink r:id="rId14" w:history="1">
        <w:r w:rsidR="002854EE" w:rsidRPr="00BC6298">
          <w:rPr>
            <w:rStyle w:val="Hyperlink"/>
            <w:rFonts w:ascii="Aptos" w:eastAsia="Times New Roman" w:hAnsi="Aptos"/>
            <w:sz w:val="24"/>
            <w:szCs w:val="24"/>
          </w:rPr>
          <w:t>https://doi.org/10.4324/9781315059051</w:t>
        </w:r>
      </w:hyperlink>
      <w:r w:rsidR="002854EE">
        <w:rPr>
          <w:rFonts w:ascii="Aptos" w:eastAsia="Times New Roman" w:hAnsi="Aptos"/>
          <w:color w:val="000000"/>
          <w:sz w:val="24"/>
          <w:szCs w:val="24"/>
        </w:rPr>
        <w:t xml:space="preserve"> </w:t>
      </w:r>
    </w:p>
    <w:p w14:paraId="7412802F" w14:textId="77777777"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Brookfield, S.D. (1995) </w:t>
      </w:r>
      <w:r w:rsidRPr="00344AAD">
        <w:rPr>
          <w:rFonts w:ascii="Aptos" w:eastAsia="Times New Roman" w:hAnsi="Aptos"/>
          <w:i/>
          <w:iCs/>
          <w:color w:val="000000"/>
          <w:sz w:val="24"/>
          <w:szCs w:val="24"/>
        </w:rPr>
        <w:t>Becoming a critically reflective teacher</w:t>
      </w:r>
      <w:r w:rsidRPr="001F408D">
        <w:rPr>
          <w:rFonts w:ascii="Aptos" w:eastAsia="Times New Roman" w:hAnsi="Aptos"/>
          <w:color w:val="000000"/>
          <w:sz w:val="24"/>
          <w:szCs w:val="24"/>
        </w:rPr>
        <w:t>. San Francisco: Jossey-Bass.</w:t>
      </w:r>
    </w:p>
    <w:p w14:paraId="04CC8F1A" w14:textId="0C836F5E"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Casey, E. (2011) </w:t>
      </w:r>
      <w:r w:rsidRPr="00344AAD">
        <w:rPr>
          <w:rFonts w:ascii="Aptos" w:eastAsia="Times New Roman" w:hAnsi="Aptos"/>
          <w:i/>
          <w:iCs/>
          <w:color w:val="000000"/>
          <w:sz w:val="24"/>
          <w:szCs w:val="24"/>
        </w:rPr>
        <w:t>Digital evidence and computer crime</w:t>
      </w:r>
      <w:r w:rsidRPr="001F408D">
        <w:rPr>
          <w:rFonts w:ascii="Aptos" w:eastAsia="Times New Roman" w:hAnsi="Aptos"/>
          <w:color w:val="000000"/>
          <w:sz w:val="24"/>
          <w:szCs w:val="24"/>
        </w:rPr>
        <w:t xml:space="preserve">. 3rd </w:t>
      </w:r>
      <w:proofErr w:type="spellStart"/>
      <w:r w:rsidRPr="001F408D">
        <w:rPr>
          <w:rFonts w:ascii="Aptos" w:eastAsia="Times New Roman" w:hAnsi="Aptos"/>
          <w:color w:val="000000"/>
          <w:sz w:val="24"/>
          <w:szCs w:val="24"/>
        </w:rPr>
        <w:t>edn</w:t>
      </w:r>
      <w:proofErr w:type="spellEnd"/>
      <w:r w:rsidRPr="001F408D">
        <w:rPr>
          <w:rFonts w:ascii="Aptos" w:eastAsia="Times New Roman" w:hAnsi="Aptos"/>
          <w:color w:val="000000"/>
          <w:sz w:val="24"/>
          <w:szCs w:val="24"/>
        </w:rPr>
        <w:t xml:space="preserve">. London: Academic Press. </w:t>
      </w:r>
    </w:p>
    <w:p w14:paraId="369A8E05" w14:textId="77777777"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Chartered Institute of Personnel and Development (CIPD) (2023) </w:t>
      </w:r>
      <w:r w:rsidRPr="00344AAD">
        <w:rPr>
          <w:rFonts w:ascii="Aptos" w:eastAsia="Times New Roman" w:hAnsi="Aptos"/>
          <w:i/>
          <w:iCs/>
          <w:color w:val="000000"/>
          <w:sz w:val="24"/>
          <w:szCs w:val="24"/>
        </w:rPr>
        <w:t xml:space="preserve">Continuing professional development </w:t>
      </w:r>
      <w:r w:rsidRPr="001F408D">
        <w:rPr>
          <w:rFonts w:ascii="Aptos" w:eastAsia="Times New Roman" w:hAnsi="Aptos"/>
          <w:color w:val="000000"/>
          <w:sz w:val="24"/>
          <w:szCs w:val="24"/>
        </w:rPr>
        <w:t>(CPD). London: CIPD.</w:t>
      </w:r>
    </w:p>
    <w:p w14:paraId="62472AC9" w14:textId="77777777"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College of Policing (2013) </w:t>
      </w:r>
      <w:r w:rsidRPr="005D6A21">
        <w:rPr>
          <w:rFonts w:ascii="Aptos" w:eastAsia="Times New Roman" w:hAnsi="Aptos"/>
          <w:i/>
          <w:iCs/>
          <w:color w:val="000000"/>
          <w:sz w:val="24"/>
          <w:szCs w:val="24"/>
        </w:rPr>
        <w:t>The National Decision Model</w:t>
      </w:r>
      <w:r w:rsidRPr="001F408D">
        <w:rPr>
          <w:rFonts w:ascii="Aptos" w:eastAsia="Times New Roman" w:hAnsi="Aptos"/>
          <w:color w:val="000000"/>
          <w:sz w:val="24"/>
          <w:szCs w:val="24"/>
        </w:rPr>
        <w:t>. Ryton-on-Dunsmore: College of Policing.</w:t>
      </w:r>
    </w:p>
    <w:p w14:paraId="5F413A1C" w14:textId="77777777"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College of Policing (2015) </w:t>
      </w:r>
      <w:r w:rsidRPr="005D6A21">
        <w:rPr>
          <w:rFonts w:ascii="Aptos" w:eastAsia="Times New Roman" w:hAnsi="Aptos"/>
          <w:i/>
          <w:iCs/>
          <w:color w:val="000000"/>
          <w:sz w:val="24"/>
          <w:szCs w:val="24"/>
        </w:rPr>
        <w:t>Leadership review</w:t>
      </w:r>
      <w:r w:rsidRPr="001F408D">
        <w:rPr>
          <w:rFonts w:ascii="Aptos" w:eastAsia="Times New Roman" w:hAnsi="Aptos"/>
          <w:color w:val="000000"/>
          <w:sz w:val="24"/>
          <w:szCs w:val="24"/>
        </w:rPr>
        <w:t>. Ryton-on-Dunsmore: College of Policing.</w:t>
      </w:r>
    </w:p>
    <w:p w14:paraId="645F1CE3" w14:textId="77777777"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College of Policing (2020) </w:t>
      </w:r>
      <w:r w:rsidRPr="005D6A21">
        <w:rPr>
          <w:rFonts w:ascii="Aptos" w:eastAsia="Times New Roman" w:hAnsi="Aptos"/>
          <w:i/>
          <w:iCs/>
          <w:color w:val="000000"/>
          <w:sz w:val="24"/>
          <w:szCs w:val="24"/>
        </w:rPr>
        <w:t>National Intelligence Model</w:t>
      </w:r>
      <w:r w:rsidRPr="001F408D">
        <w:rPr>
          <w:rFonts w:ascii="Aptos" w:eastAsia="Times New Roman" w:hAnsi="Aptos"/>
          <w:color w:val="000000"/>
          <w:sz w:val="24"/>
          <w:szCs w:val="24"/>
        </w:rPr>
        <w:t>. Ryton-on-Dunsmore: College of Policing.</w:t>
      </w:r>
    </w:p>
    <w:p w14:paraId="2FE40CB4" w14:textId="77777777"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College of Policing (2022) </w:t>
      </w:r>
      <w:r w:rsidRPr="005D6A21">
        <w:rPr>
          <w:rFonts w:ascii="Aptos" w:eastAsia="Times New Roman" w:hAnsi="Aptos"/>
          <w:i/>
          <w:iCs/>
          <w:color w:val="000000"/>
          <w:sz w:val="24"/>
          <w:szCs w:val="24"/>
        </w:rPr>
        <w:t>Continuing professional development</w:t>
      </w:r>
      <w:r w:rsidRPr="001F408D">
        <w:rPr>
          <w:rFonts w:ascii="Aptos" w:eastAsia="Times New Roman" w:hAnsi="Aptos"/>
          <w:color w:val="000000"/>
          <w:sz w:val="24"/>
          <w:szCs w:val="24"/>
        </w:rPr>
        <w:t xml:space="preserve"> (CPD) guidance. Ryton-on-Dunsmore: College of Policing.</w:t>
      </w:r>
    </w:p>
    <w:p w14:paraId="5AC81FDE" w14:textId="77777777"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Crown Prosecution Service (2022a) </w:t>
      </w:r>
      <w:r w:rsidRPr="005D6A21">
        <w:rPr>
          <w:rFonts w:ascii="Aptos" w:eastAsia="Times New Roman" w:hAnsi="Aptos"/>
          <w:i/>
          <w:iCs/>
          <w:color w:val="000000"/>
          <w:sz w:val="24"/>
          <w:szCs w:val="24"/>
        </w:rPr>
        <w:t>Disclosure manual</w:t>
      </w:r>
      <w:r w:rsidRPr="001F408D">
        <w:rPr>
          <w:rFonts w:ascii="Aptos" w:eastAsia="Times New Roman" w:hAnsi="Aptos"/>
          <w:color w:val="000000"/>
          <w:sz w:val="24"/>
          <w:szCs w:val="24"/>
        </w:rPr>
        <w:t>. London: Crown Prosecution Service.</w:t>
      </w:r>
    </w:p>
    <w:p w14:paraId="4A7B769E" w14:textId="77777777"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Crown Prosecution Service (2022b) </w:t>
      </w:r>
      <w:r w:rsidRPr="005D6A21">
        <w:rPr>
          <w:rFonts w:ascii="Aptos" w:eastAsia="Times New Roman" w:hAnsi="Aptos"/>
          <w:i/>
          <w:iCs/>
          <w:color w:val="000000"/>
          <w:sz w:val="24"/>
          <w:szCs w:val="24"/>
        </w:rPr>
        <w:t>Disclosure: A guide for prosecutors</w:t>
      </w:r>
      <w:r w:rsidRPr="001F408D">
        <w:rPr>
          <w:rFonts w:ascii="Aptos" w:eastAsia="Times New Roman" w:hAnsi="Aptos"/>
          <w:color w:val="000000"/>
          <w:sz w:val="24"/>
          <w:szCs w:val="24"/>
        </w:rPr>
        <w:t>. London: Crown Prosecution Service.</w:t>
      </w:r>
    </w:p>
    <w:p w14:paraId="7D82659C" w14:textId="77777777"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Crown Prosecution Service (2025a) </w:t>
      </w:r>
      <w:r w:rsidRPr="005D6A21">
        <w:rPr>
          <w:rFonts w:ascii="Aptos" w:eastAsia="Times New Roman" w:hAnsi="Aptos"/>
          <w:i/>
          <w:iCs/>
          <w:color w:val="000000"/>
          <w:sz w:val="24"/>
          <w:szCs w:val="24"/>
        </w:rPr>
        <w:t>RASSO 2025 strategy</w:t>
      </w:r>
      <w:r w:rsidRPr="001F408D">
        <w:rPr>
          <w:rFonts w:ascii="Aptos" w:eastAsia="Times New Roman" w:hAnsi="Aptos"/>
          <w:color w:val="000000"/>
          <w:sz w:val="24"/>
          <w:szCs w:val="24"/>
        </w:rPr>
        <w:t>. London: Crown Prosecution Service.</w:t>
      </w:r>
    </w:p>
    <w:p w14:paraId="0E810630" w14:textId="77777777"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Crown Prosecution Service (2025b) </w:t>
      </w:r>
      <w:r w:rsidRPr="005D6A21">
        <w:rPr>
          <w:rFonts w:ascii="Aptos" w:eastAsia="Times New Roman" w:hAnsi="Aptos"/>
          <w:i/>
          <w:iCs/>
          <w:color w:val="000000"/>
          <w:sz w:val="24"/>
          <w:szCs w:val="24"/>
        </w:rPr>
        <w:t>Joint national disclosure improvement plan</w:t>
      </w:r>
      <w:r w:rsidRPr="001F408D">
        <w:rPr>
          <w:rFonts w:ascii="Aptos" w:eastAsia="Times New Roman" w:hAnsi="Aptos"/>
          <w:color w:val="000000"/>
          <w:sz w:val="24"/>
          <w:szCs w:val="24"/>
        </w:rPr>
        <w:t>. London: Crown Prosecution Service.</w:t>
      </w:r>
    </w:p>
    <w:p w14:paraId="06D7244D" w14:textId="77777777"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Gibbs, G. (1988) </w:t>
      </w:r>
      <w:r w:rsidRPr="005D6A21">
        <w:rPr>
          <w:rFonts w:ascii="Aptos" w:eastAsia="Times New Roman" w:hAnsi="Aptos"/>
          <w:i/>
          <w:iCs/>
          <w:color w:val="000000"/>
          <w:sz w:val="24"/>
          <w:szCs w:val="24"/>
        </w:rPr>
        <w:t>Learning by doing: A guide to teaching and learning methods</w:t>
      </w:r>
      <w:r w:rsidRPr="001F408D">
        <w:rPr>
          <w:rFonts w:ascii="Aptos" w:eastAsia="Times New Roman" w:hAnsi="Aptos"/>
          <w:color w:val="000000"/>
          <w:sz w:val="24"/>
          <w:szCs w:val="24"/>
        </w:rPr>
        <w:t>. Oxford: Oxford Polytechnic.</w:t>
      </w:r>
    </w:p>
    <w:p w14:paraId="71848AB3" w14:textId="2FF7C0D2" w:rsidR="00405427" w:rsidRPr="001F408D" w:rsidRDefault="00405427"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Gill, A and Harrison, K. (2019) </w:t>
      </w:r>
      <w:r w:rsidRPr="005D6A21">
        <w:rPr>
          <w:rFonts w:ascii="Aptos" w:hAnsi="Aptos"/>
          <w:i/>
          <w:iCs/>
          <w:color w:val="2A2A2A"/>
          <w:sz w:val="24"/>
          <w:szCs w:val="24"/>
          <w:shd w:val="clear" w:color="auto" w:fill="FFFFFF"/>
        </w:rPr>
        <w:t xml:space="preserve">‘I Am Talking About It Because I Want to Stop It’: Child Sexual Abuse and Sexual Violence Against Women in British South Asian </w:t>
      </w:r>
      <w:r w:rsidRPr="005D6A21">
        <w:rPr>
          <w:rFonts w:ascii="Aptos" w:hAnsi="Aptos"/>
          <w:i/>
          <w:iCs/>
          <w:color w:val="2A2A2A"/>
          <w:sz w:val="24"/>
          <w:szCs w:val="24"/>
          <w:shd w:val="clear" w:color="auto" w:fill="FFFFFF"/>
        </w:rPr>
        <w:lastRenderedPageBreak/>
        <w:t>Communities, </w:t>
      </w:r>
      <w:r w:rsidRPr="001F408D">
        <w:rPr>
          <w:rFonts w:ascii="Aptos" w:hAnsi="Aptos"/>
          <w:i/>
          <w:iCs/>
          <w:color w:val="2A2A2A"/>
          <w:sz w:val="24"/>
          <w:szCs w:val="24"/>
          <w:bdr w:val="none" w:sz="0" w:space="0" w:color="auto" w:frame="1"/>
          <w:shd w:val="clear" w:color="auto" w:fill="FFFFFF"/>
        </w:rPr>
        <w:t>The British Journal of Criminology</w:t>
      </w:r>
      <w:r w:rsidRPr="001F408D">
        <w:rPr>
          <w:rFonts w:ascii="Aptos" w:hAnsi="Aptos"/>
          <w:color w:val="2A2A2A"/>
          <w:sz w:val="24"/>
          <w:szCs w:val="24"/>
          <w:shd w:val="clear" w:color="auto" w:fill="FFFFFF"/>
        </w:rPr>
        <w:t>, Volume 59, Issue 3, May 2019, Pages 511–529, </w:t>
      </w:r>
      <w:hyperlink r:id="rId15" w:history="1">
        <w:r w:rsidRPr="001F408D">
          <w:rPr>
            <w:rFonts w:ascii="Aptos" w:hAnsi="Aptos"/>
            <w:color w:val="006FB7"/>
            <w:sz w:val="24"/>
            <w:szCs w:val="24"/>
            <w:u w:val="single"/>
            <w:bdr w:val="none" w:sz="0" w:space="0" w:color="auto" w:frame="1"/>
            <w:shd w:val="clear" w:color="auto" w:fill="FFFFFF"/>
          </w:rPr>
          <w:t>https://doi.org/10.1093/bjc/azy059</w:t>
        </w:r>
      </w:hyperlink>
    </w:p>
    <w:p w14:paraId="048C0C79" w14:textId="01068EC9" w:rsidR="00000933"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Githens-Mazer, J. and Lambert, R. (201</w:t>
      </w:r>
      <w:r w:rsidR="00000933" w:rsidRPr="001F408D">
        <w:rPr>
          <w:rFonts w:ascii="Aptos" w:eastAsia="Times New Roman" w:hAnsi="Aptos"/>
          <w:color w:val="000000"/>
          <w:sz w:val="24"/>
          <w:szCs w:val="24"/>
        </w:rPr>
        <w:t>0</w:t>
      </w:r>
      <w:r w:rsidRPr="001F408D">
        <w:rPr>
          <w:rFonts w:ascii="Aptos" w:eastAsia="Times New Roman" w:hAnsi="Aptos"/>
          <w:color w:val="000000"/>
          <w:sz w:val="24"/>
          <w:szCs w:val="24"/>
        </w:rPr>
        <w:t>) ‘</w:t>
      </w:r>
      <w:r w:rsidRPr="005D6A21">
        <w:rPr>
          <w:rFonts w:ascii="Aptos" w:eastAsia="Times New Roman" w:hAnsi="Aptos"/>
          <w:i/>
          <w:iCs/>
          <w:color w:val="000000"/>
          <w:sz w:val="24"/>
          <w:szCs w:val="24"/>
        </w:rPr>
        <w:t>Why conventional wisdom on radicalisation fails: The persistence of a failed discourse’</w:t>
      </w:r>
      <w:r w:rsidRPr="001F408D">
        <w:rPr>
          <w:rFonts w:ascii="Aptos" w:eastAsia="Times New Roman" w:hAnsi="Aptos"/>
          <w:color w:val="000000"/>
          <w:sz w:val="24"/>
          <w:szCs w:val="24"/>
        </w:rPr>
        <w:t>, International Affairs, 8</w:t>
      </w:r>
      <w:r w:rsidR="00000933" w:rsidRPr="001F408D">
        <w:rPr>
          <w:rFonts w:ascii="Aptos" w:eastAsia="Times New Roman" w:hAnsi="Aptos"/>
          <w:color w:val="000000"/>
          <w:sz w:val="24"/>
          <w:szCs w:val="24"/>
        </w:rPr>
        <w:t>6</w:t>
      </w:r>
      <w:r w:rsidRPr="001F408D">
        <w:rPr>
          <w:rFonts w:ascii="Aptos" w:eastAsia="Times New Roman" w:hAnsi="Aptos"/>
          <w:color w:val="000000"/>
          <w:sz w:val="24"/>
          <w:szCs w:val="24"/>
        </w:rPr>
        <w:t xml:space="preserve">(4), pp. 889–901. </w:t>
      </w:r>
      <w:hyperlink r:id="rId16" w:history="1">
        <w:r w:rsidR="00000933" w:rsidRPr="001F408D">
          <w:rPr>
            <w:rStyle w:val="Hyperlink"/>
            <w:rFonts w:ascii="Aptos" w:eastAsia="Times New Roman" w:hAnsi="Aptos"/>
            <w:sz w:val="24"/>
            <w:szCs w:val="24"/>
          </w:rPr>
          <w:t>https://doi.org/10.1111/j.1468-2346.2010.00918.x</w:t>
        </w:r>
      </w:hyperlink>
      <w:r w:rsidR="00000933" w:rsidRPr="001F408D">
        <w:rPr>
          <w:rFonts w:ascii="Aptos" w:eastAsia="Times New Roman" w:hAnsi="Aptos"/>
          <w:color w:val="000000"/>
          <w:sz w:val="24"/>
          <w:szCs w:val="24"/>
        </w:rPr>
        <w:t xml:space="preserve"> </w:t>
      </w:r>
    </w:p>
    <w:p w14:paraId="1C0F1F3D" w14:textId="77777777"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Goleman, D. (1995) </w:t>
      </w:r>
      <w:r w:rsidRPr="005D6A21">
        <w:rPr>
          <w:rFonts w:ascii="Aptos" w:eastAsia="Times New Roman" w:hAnsi="Aptos"/>
          <w:i/>
          <w:iCs/>
          <w:color w:val="000000"/>
          <w:sz w:val="24"/>
          <w:szCs w:val="24"/>
        </w:rPr>
        <w:t>Emotional intelligence</w:t>
      </w:r>
      <w:r w:rsidRPr="001F408D">
        <w:rPr>
          <w:rFonts w:ascii="Aptos" w:eastAsia="Times New Roman" w:hAnsi="Aptos"/>
          <w:color w:val="000000"/>
          <w:sz w:val="24"/>
          <w:szCs w:val="24"/>
        </w:rPr>
        <w:t>. New York: Bantam Books.</w:t>
      </w:r>
    </w:p>
    <w:p w14:paraId="0B2E1937" w14:textId="77777777" w:rsidR="003709EE"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Goleman, D. (1998) </w:t>
      </w:r>
      <w:r w:rsidRPr="005D6A21">
        <w:rPr>
          <w:rFonts w:ascii="Aptos" w:eastAsia="Times New Roman" w:hAnsi="Aptos"/>
          <w:i/>
          <w:iCs/>
          <w:color w:val="000000"/>
          <w:sz w:val="24"/>
          <w:szCs w:val="24"/>
        </w:rPr>
        <w:t>Working with emotional intelligence</w:t>
      </w:r>
      <w:r w:rsidRPr="001F408D">
        <w:rPr>
          <w:rFonts w:ascii="Aptos" w:eastAsia="Times New Roman" w:hAnsi="Aptos"/>
          <w:color w:val="000000"/>
          <w:sz w:val="24"/>
          <w:szCs w:val="24"/>
        </w:rPr>
        <w:t>. London: Bloomsbury.</w:t>
      </w:r>
    </w:p>
    <w:p w14:paraId="3D546451" w14:textId="21100B90" w:rsidR="008A1FC8" w:rsidRPr="008A1FC8" w:rsidRDefault="008A1FC8" w:rsidP="003709EE">
      <w:pPr>
        <w:rPr>
          <w:rFonts w:ascii="Aptos" w:eastAsia="Times New Roman" w:hAnsi="Aptos"/>
          <w:color w:val="000000"/>
          <w:sz w:val="24"/>
          <w:szCs w:val="24"/>
        </w:rPr>
      </w:pPr>
      <w:r w:rsidRPr="008A1FC8">
        <w:rPr>
          <w:rFonts w:ascii="Aptos" w:eastAsia="Times New Roman" w:hAnsi="Aptos"/>
          <w:color w:val="000000"/>
          <w:sz w:val="24"/>
          <w:szCs w:val="24"/>
        </w:rPr>
        <w:t>Gray, D. and Citron, D.K. (2013) ‘</w:t>
      </w:r>
      <w:r w:rsidRPr="005D6A21">
        <w:rPr>
          <w:rFonts w:ascii="Aptos" w:eastAsia="Times New Roman" w:hAnsi="Aptos"/>
          <w:i/>
          <w:iCs/>
          <w:color w:val="000000"/>
          <w:sz w:val="24"/>
          <w:szCs w:val="24"/>
        </w:rPr>
        <w:t>A shattered looking glass: The pitfalls and potential of the mosaic theory of Fourth Amendment privacy’</w:t>
      </w:r>
      <w:r w:rsidRPr="008A1FC8">
        <w:rPr>
          <w:rFonts w:ascii="Aptos" w:eastAsia="Times New Roman" w:hAnsi="Aptos"/>
          <w:color w:val="000000"/>
          <w:sz w:val="24"/>
          <w:szCs w:val="24"/>
        </w:rPr>
        <w:t>, North Carolina Journal of Law &amp; Technology, 14(3), pp. 381–432.</w:t>
      </w:r>
    </w:p>
    <w:p w14:paraId="3D2653B6" w14:textId="486043E6" w:rsidR="00861A10" w:rsidRPr="001F408D" w:rsidRDefault="00456436"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Haggerty, K.D., &amp; </w:t>
      </w:r>
      <w:proofErr w:type="spellStart"/>
      <w:r w:rsidRPr="001F408D">
        <w:rPr>
          <w:rFonts w:ascii="Aptos" w:eastAsia="Times New Roman" w:hAnsi="Aptos"/>
          <w:color w:val="000000"/>
          <w:sz w:val="24"/>
          <w:szCs w:val="24"/>
        </w:rPr>
        <w:t>Samatas</w:t>
      </w:r>
      <w:proofErr w:type="spellEnd"/>
      <w:r w:rsidRPr="001F408D">
        <w:rPr>
          <w:rFonts w:ascii="Aptos" w:eastAsia="Times New Roman" w:hAnsi="Aptos"/>
          <w:color w:val="000000"/>
          <w:sz w:val="24"/>
          <w:szCs w:val="24"/>
        </w:rPr>
        <w:t xml:space="preserve">, M. (2010). </w:t>
      </w:r>
      <w:r w:rsidRPr="005D6A21">
        <w:rPr>
          <w:rFonts w:ascii="Aptos" w:eastAsia="Times New Roman" w:hAnsi="Aptos"/>
          <w:i/>
          <w:iCs/>
          <w:color w:val="000000"/>
          <w:sz w:val="24"/>
          <w:szCs w:val="24"/>
        </w:rPr>
        <w:t>Surveillance and Democracy</w:t>
      </w:r>
      <w:r w:rsidRPr="001F408D">
        <w:rPr>
          <w:rFonts w:ascii="Aptos" w:eastAsia="Times New Roman" w:hAnsi="Aptos"/>
          <w:color w:val="000000"/>
          <w:sz w:val="24"/>
          <w:szCs w:val="24"/>
        </w:rPr>
        <w:t xml:space="preserve"> (1st ed.). Routledge-Cavendish. </w:t>
      </w:r>
      <w:hyperlink r:id="rId17" w:history="1">
        <w:r w:rsidRPr="001F408D">
          <w:rPr>
            <w:rStyle w:val="Hyperlink"/>
            <w:rFonts w:ascii="Aptos" w:eastAsia="Times New Roman" w:hAnsi="Aptos"/>
            <w:sz w:val="24"/>
            <w:szCs w:val="24"/>
          </w:rPr>
          <w:t>https://doi.org/10.4324/9780203852156</w:t>
        </w:r>
      </w:hyperlink>
      <w:r w:rsidRPr="001F408D">
        <w:rPr>
          <w:rFonts w:ascii="Aptos" w:eastAsia="Times New Roman" w:hAnsi="Aptos"/>
          <w:color w:val="000000"/>
          <w:sz w:val="24"/>
          <w:szCs w:val="24"/>
        </w:rPr>
        <w:t xml:space="preserve"> </w:t>
      </w:r>
    </w:p>
    <w:p w14:paraId="7A32DF20" w14:textId="0BF04A6A"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Home Office (2024) </w:t>
      </w:r>
      <w:r w:rsidRPr="005D6A21">
        <w:rPr>
          <w:rFonts w:ascii="Aptos" w:eastAsia="Times New Roman" w:hAnsi="Aptos"/>
          <w:i/>
          <w:iCs/>
          <w:color w:val="000000"/>
          <w:sz w:val="24"/>
          <w:szCs w:val="24"/>
        </w:rPr>
        <w:t>National ANPR Standards for Policing and Law Enforcement</w:t>
      </w:r>
      <w:r w:rsidRPr="001F408D">
        <w:rPr>
          <w:rFonts w:ascii="Aptos" w:eastAsia="Times New Roman" w:hAnsi="Aptos"/>
          <w:color w:val="000000"/>
          <w:sz w:val="24"/>
          <w:szCs w:val="24"/>
        </w:rPr>
        <w:t>. London: Home Office.</w:t>
      </w:r>
    </w:p>
    <w:p w14:paraId="0614F1F0" w14:textId="4BE818DC"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Horgan, J. (2008) </w:t>
      </w:r>
      <w:r w:rsidRPr="005D6A21">
        <w:rPr>
          <w:rFonts w:ascii="Aptos" w:eastAsia="Times New Roman" w:hAnsi="Aptos"/>
          <w:i/>
          <w:iCs/>
          <w:color w:val="000000"/>
          <w:sz w:val="24"/>
          <w:szCs w:val="24"/>
        </w:rPr>
        <w:t>‘From profiles to pathways and roots to routes: Perspectives from psychology on radicalization into terrorism’</w:t>
      </w:r>
      <w:r w:rsidRPr="001F408D">
        <w:rPr>
          <w:rFonts w:ascii="Aptos" w:eastAsia="Times New Roman" w:hAnsi="Aptos"/>
          <w:color w:val="000000"/>
          <w:sz w:val="24"/>
          <w:szCs w:val="24"/>
        </w:rPr>
        <w:t xml:space="preserve">, The ANNALS of the American Academy of Political and Social Science, 618(1), pp. 80–94. </w:t>
      </w:r>
      <w:hyperlink r:id="rId18" w:history="1">
        <w:r w:rsidR="00FE153E" w:rsidRPr="001F408D">
          <w:rPr>
            <w:rStyle w:val="Hyperlink"/>
            <w:rFonts w:ascii="Aptos" w:eastAsia="Times New Roman" w:hAnsi="Aptos"/>
            <w:sz w:val="24"/>
            <w:szCs w:val="24"/>
          </w:rPr>
          <w:t>http://www.jstor.org/stable/40375777</w:t>
        </w:r>
      </w:hyperlink>
      <w:r w:rsidR="00FE153E" w:rsidRPr="001F408D">
        <w:rPr>
          <w:rFonts w:ascii="Aptos" w:eastAsia="Times New Roman" w:hAnsi="Aptos"/>
          <w:color w:val="000000"/>
          <w:sz w:val="24"/>
          <w:szCs w:val="24"/>
        </w:rPr>
        <w:t xml:space="preserve"> </w:t>
      </w:r>
    </w:p>
    <w:p w14:paraId="3D9FBDC1" w14:textId="42CE47BD"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Ingram, J.R., Terrill, W. and </w:t>
      </w:r>
      <w:proofErr w:type="spellStart"/>
      <w:r w:rsidRPr="001F408D">
        <w:rPr>
          <w:rFonts w:ascii="Aptos" w:eastAsia="Times New Roman" w:hAnsi="Aptos"/>
          <w:color w:val="000000"/>
          <w:sz w:val="24"/>
          <w:szCs w:val="24"/>
        </w:rPr>
        <w:t>Paoline</w:t>
      </w:r>
      <w:proofErr w:type="spellEnd"/>
      <w:r w:rsidRPr="001F408D">
        <w:rPr>
          <w:rFonts w:ascii="Aptos" w:eastAsia="Times New Roman" w:hAnsi="Aptos"/>
          <w:color w:val="000000"/>
          <w:sz w:val="24"/>
          <w:szCs w:val="24"/>
        </w:rPr>
        <w:t>, E.A. (20</w:t>
      </w:r>
      <w:r w:rsidR="00F61D92" w:rsidRPr="001F408D">
        <w:rPr>
          <w:rFonts w:ascii="Aptos" w:eastAsia="Times New Roman" w:hAnsi="Aptos"/>
          <w:color w:val="000000"/>
          <w:sz w:val="24"/>
          <w:szCs w:val="24"/>
        </w:rPr>
        <w:t>18</w:t>
      </w:r>
      <w:r w:rsidRPr="001F408D">
        <w:rPr>
          <w:rFonts w:ascii="Aptos" w:eastAsia="Times New Roman" w:hAnsi="Aptos"/>
          <w:color w:val="000000"/>
          <w:sz w:val="24"/>
          <w:szCs w:val="24"/>
        </w:rPr>
        <w:t xml:space="preserve">) </w:t>
      </w:r>
      <w:r w:rsidRPr="005D6A21">
        <w:rPr>
          <w:rFonts w:ascii="Aptos" w:eastAsia="Times New Roman" w:hAnsi="Aptos"/>
          <w:i/>
          <w:iCs/>
          <w:color w:val="000000"/>
          <w:sz w:val="24"/>
          <w:szCs w:val="24"/>
        </w:rPr>
        <w:t>Police supervision in the 21st century</w:t>
      </w:r>
      <w:r w:rsidRPr="001F408D">
        <w:rPr>
          <w:rFonts w:ascii="Aptos" w:eastAsia="Times New Roman" w:hAnsi="Aptos"/>
          <w:color w:val="000000"/>
          <w:sz w:val="24"/>
          <w:szCs w:val="24"/>
        </w:rPr>
        <w:t>. New York: Routledge.</w:t>
      </w:r>
      <w:r w:rsidR="00405427" w:rsidRPr="001F408D">
        <w:rPr>
          <w:rFonts w:ascii="Aptos" w:eastAsia="Times New Roman" w:hAnsi="Aptos"/>
          <w:color w:val="000000"/>
          <w:sz w:val="24"/>
          <w:szCs w:val="24"/>
        </w:rPr>
        <w:t xml:space="preserve"> </w:t>
      </w:r>
      <w:hyperlink r:id="rId19" w:history="1">
        <w:r w:rsidR="00405427" w:rsidRPr="001F408D">
          <w:rPr>
            <w:rStyle w:val="Hyperlink"/>
            <w:rFonts w:ascii="Aptos" w:eastAsia="Times New Roman" w:hAnsi="Aptos"/>
            <w:sz w:val="24"/>
            <w:szCs w:val="24"/>
          </w:rPr>
          <w:t>https://doi.org/10.1111/1745-9125.12192</w:t>
        </w:r>
      </w:hyperlink>
      <w:r w:rsidR="00405427" w:rsidRPr="001F408D">
        <w:rPr>
          <w:rFonts w:ascii="Aptos" w:eastAsia="Times New Roman" w:hAnsi="Aptos"/>
          <w:color w:val="000000"/>
          <w:sz w:val="24"/>
          <w:szCs w:val="24"/>
        </w:rPr>
        <w:t xml:space="preserve"> </w:t>
      </w:r>
    </w:p>
    <w:p w14:paraId="343F770C" w14:textId="77777777"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Innes, M. (2003) </w:t>
      </w:r>
      <w:r w:rsidRPr="005D6A21">
        <w:rPr>
          <w:rFonts w:ascii="Aptos" w:eastAsia="Times New Roman" w:hAnsi="Aptos"/>
          <w:i/>
          <w:iCs/>
          <w:color w:val="000000"/>
          <w:sz w:val="24"/>
          <w:szCs w:val="24"/>
        </w:rPr>
        <w:t>Understanding social control</w:t>
      </w:r>
      <w:r w:rsidRPr="001F408D">
        <w:rPr>
          <w:rFonts w:ascii="Aptos" w:eastAsia="Times New Roman" w:hAnsi="Aptos"/>
          <w:color w:val="000000"/>
          <w:sz w:val="24"/>
          <w:szCs w:val="24"/>
        </w:rPr>
        <w:t>. Maidenhead: Open University Press.</w:t>
      </w:r>
    </w:p>
    <w:p w14:paraId="01C6CA59" w14:textId="77777777"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Innes, M. (2006) ‘</w:t>
      </w:r>
      <w:r w:rsidRPr="005D6A21">
        <w:rPr>
          <w:rFonts w:ascii="Aptos" w:eastAsia="Times New Roman" w:hAnsi="Aptos"/>
          <w:i/>
          <w:iCs/>
          <w:color w:val="000000"/>
          <w:sz w:val="24"/>
          <w:szCs w:val="24"/>
        </w:rPr>
        <w:t>Policing uncertainty: Countering terror through community intelligence and democratic policing’</w:t>
      </w:r>
      <w:r w:rsidRPr="001F408D">
        <w:rPr>
          <w:rFonts w:ascii="Aptos" w:eastAsia="Times New Roman" w:hAnsi="Aptos"/>
          <w:color w:val="000000"/>
          <w:sz w:val="24"/>
          <w:szCs w:val="24"/>
        </w:rPr>
        <w:t xml:space="preserve">, The ANNALS of the American Academy of Political and Social Science, 605(1), pp. 222–241. </w:t>
      </w:r>
      <w:hyperlink r:id="rId20" w:history="1">
        <w:r w:rsidRPr="001F408D">
          <w:rPr>
            <w:rStyle w:val="Hyperlink"/>
            <w:rFonts w:ascii="Aptos" w:eastAsia="Times New Roman" w:hAnsi="Aptos"/>
            <w:sz w:val="24"/>
            <w:szCs w:val="24"/>
          </w:rPr>
          <w:t>https://doi.org/10.1177/0002716206287118</w:t>
        </w:r>
      </w:hyperlink>
    </w:p>
    <w:p w14:paraId="424D7AA5" w14:textId="0623C9FC"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Investigatory Powers Commissioner’s Office (2022</w:t>
      </w:r>
      <w:r w:rsidR="005D6A21">
        <w:rPr>
          <w:rFonts w:ascii="Aptos" w:eastAsia="Times New Roman" w:hAnsi="Aptos"/>
          <w:color w:val="000000"/>
          <w:sz w:val="24"/>
          <w:szCs w:val="24"/>
        </w:rPr>
        <w:t>)</w:t>
      </w:r>
      <w:r w:rsidRPr="005D6A21">
        <w:rPr>
          <w:rFonts w:ascii="Aptos" w:eastAsia="Times New Roman" w:hAnsi="Aptos"/>
          <w:i/>
          <w:iCs/>
          <w:color w:val="000000"/>
          <w:sz w:val="24"/>
          <w:szCs w:val="24"/>
        </w:rPr>
        <w:t xml:space="preserve"> Annual report</w:t>
      </w:r>
      <w:r w:rsidRPr="001F408D">
        <w:rPr>
          <w:rFonts w:ascii="Aptos" w:eastAsia="Times New Roman" w:hAnsi="Aptos"/>
          <w:color w:val="000000"/>
          <w:sz w:val="24"/>
          <w:szCs w:val="24"/>
        </w:rPr>
        <w:t>. London: IPCO.</w:t>
      </w:r>
    </w:p>
    <w:p w14:paraId="3166DC45" w14:textId="77777777"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Kolb, D.A. (1984) </w:t>
      </w:r>
      <w:r w:rsidRPr="005D6A21">
        <w:rPr>
          <w:rFonts w:ascii="Aptos" w:eastAsia="Times New Roman" w:hAnsi="Aptos"/>
          <w:i/>
          <w:iCs/>
          <w:color w:val="000000"/>
          <w:sz w:val="24"/>
          <w:szCs w:val="24"/>
        </w:rPr>
        <w:t>Experiential learning: Experience as the source of learning and development.</w:t>
      </w:r>
      <w:r w:rsidRPr="001F408D">
        <w:rPr>
          <w:rFonts w:ascii="Aptos" w:eastAsia="Times New Roman" w:hAnsi="Aptos"/>
          <w:color w:val="000000"/>
          <w:sz w:val="24"/>
          <w:szCs w:val="24"/>
        </w:rPr>
        <w:t xml:space="preserve"> Englewood Cliffs, NJ: Prentice Hall.</w:t>
      </w:r>
    </w:p>
    <w:p w14:paraId="6F4D6660" w14:textId="77777777" w:rsidR="00256809" w:rsidRPr="001F408D" w:rsidRDefault="00256809" w:rsidP="00256809">
      <w:pPr>
        <w:rPr>
          <w:rFonts w:ascii="Aptos" w:eastAsia="Times New Roman" w:hAnsi="Aptos"/>
          <w:color w:val="000000"/>
          <w:sz w:val="24"/>
          <w:szCs w:val="24"/>
        </w:rPr>
      </w:pPr>
      <w:r w:rsidRPr="001F408D">
        <w:rPr>
          <w:rFonts w:ascii="Aptos" w:eastAsia="Times New Roman" w:hAnsi="Aptos"/>
          <w:color w:val="000000"/>
          <w:sz w:val="24"/>
          <w:szCs w:val="24"/>
        </w:rPr>
        <w:t>Levi, M. (2015) ‘</w:t>
      </w:r>
      <w:r w:rsidRPr="005D6A21">
        <w:rPr>
          <w:rFonts w:ascii="Aptos" w:eastAsia="Times New Roman" w:hAnsi="Aptos"/>
          <w:i/>
          <w:iCs/>
          <w:color w:val="000000"/>
          <w:sz w:val="24"/>
          <w:szCs w:val="24"/>
        </w:rPr>
        <w:t>Money for crime and money from crime: Financing crime and laundering crime proceeds’</w:t>
      </w:r>
      <w:r w:rsidRPr="001F408D">
        <w:rPr>
          <w:rFonts w:ascii="Aptos" w:eastAsia="Times New Roman" w:hAnsi="Aptos"/>
          <w:color w:val="000000"/>
          <w:sz w:val="24"/>
          <w:szCs w:val="24"/>
        </w:rPr>
        <w:t xml:space="preserve">, European Journal on Criminal Policy and Research, 21(2), pp. 275–297. </w:t>
      </w:r>
      <w:hyperlink r:id="rId21" w:history="1">
        <w:r w:rsidRPr="001F408D">
          <w:rPr>
            <w:rStyle w:val="Hyperlink"/>
            <w:rFonts w:ascii="Aptos" w:eastAsia="Times New Roman" w:hAnsi="Aptos"/>
            <w:sz w:val="24"/>
            <w:szCs w:val="24"/>
          </w:rPr>
          <w:t>https://doi.org/10.1007/s10610-015-9269-7</w:t>
        </w:r>
      </w:hyperlink>
    </w:p>
    <w:p w14:paraId="3DFF8F17" w14:textId="77777777"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Lum, C., Koper, C.S. and Telep, C.W. (2011) </w:t>
      </w:r>
      <w:r w:rsidRPr="005D6A21">
        <w:rPr>
          <w:rFonts w:ascii="Aptos" w:eastAsia="Times New Roman" w:hAnsi="Aptos"/>
          <w:i/>
          <w:iCs/>
          <w:color w:val="000000"/>
          <w:sz w:val="24"/>
          <w:szCs w:val="24"/>
        </w:rPr>
        <w:t>‘The evidence-based policing matrix’, Journal of Experimental Criminology,</w:t>
      </w:r>
      <w:r w:rsidRPr="001F408D">
        <w:rPr>
          <w:rFonts w:ascii="Aptos" w:eastAsia="Times New Roman" w:hAnsi="Aptos"/>
          <w:color w:val="000000"/>
          <w:sz w:val="24"/>
          <w:szCs w:val="24"/>
        </w:rPr>
        <w:t xml:space="preserve"> 7(1), pp. 3–26. </w:t>
      </w:r>
      <w:hyperlink r:id="rId22" w:history="1">
        <w:r w:rsidRPr="001F408D">
          <w:rPr>
            <w:rStyle w:val="Hyperlink"/>
            <w:rFonts w:ascii="Aptos" w:eastAsia="Times New Roman" w:hAnsi="Aptos"/>
            <w:sz w:val="24"/>
            <w:szCs w:val="24"/>
          </w:rPr>
          <w:t>https://doi.org/10.1007/s11292-010-9108-2</w:t>
        </w:r>
      </w:hyperlink>
    </w:p>
    <w:p w14:paraId="10212B31" w14:textId="4C487C13"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Maslach, C. and Leiter, M.P. (2016) </w:t>
      </w:r>
      <w:r w:rsidR="00430BA2" w:rsidRPr="005D6A21">
        <w:rPr>
          <w:rFonts w:ascii="Aptos" w:eastAsia="Times New Roman" w:hAnsi="Aptos"/>
          <w:i/>
          <w:iCs/>
          <w:color w:val="000000"/>
          <w:sz w:val="24"/>
          <w:szCs w:val="24"/>
        </w:rPr>
        <w:t xml:space="preserve">Understanding the </w:t>
      </w:r>
      <w:r w:rsidRPr="005D6A21">
        <w:rPr>
          <w:rFonts w:ascii="Aptos" w:eastAsia="Times New Roman" w:hAnsi="Aptos"/>
          <w:i/>
          <w:iCs/>
          <w:color w:val="000000"/>
          <w:sz w:val="24"/>
          <w:szCs w:val="24"/>
        </w:rPr>
        <w:t>Burnout</w:t>
      </w:r>
      <w:r w:rsidRPr="001F408D">
        <w:rPr>
          <w:rFonts w:ascii="Aptos" w:eastAsia="Times New Roman" w:hAnsi="Aptos"/>
          <w:color w:val="000000"/>
          <w:sz w:val="24"/>
          <w:szCs w:val="24"/>
        </w:rPr>
        <w:t xml:space="preserve">. 2nd </w:t>
      </w:r>
      <w:proofErr w:type="spellStart"/>
      <w:r w:rsidRPr="001F408D">
        <w:rPr>
          <w:rFonts w:ascii="Aptos" w:eastAsia="Times New Roman" w:hAnsi="Aptos"/>
          <w:color w:val="000000"/>
          <w:sz w:val="24"/>
          <w:szCs w:val="24"/>
        </w:rPr>
        <w:t>edn</w:t>
      </w:r>
      <w:proofErr w:type="spellEnd"/>
      <w:r w:rsidRPr="001F408D">
        <w:rPr>
          <w:rFonts w:ascii="Aptos" w:eastAsia="Times New Roman" w:hAnsi="Aptos"/>
          <w:color w:val="000000"/>
          <w:sz w:val="24"/>
          <w:szCs w:val="24"/>
        </w:rPr>
        <w:t>. London: Wiley.</w:t>
      </w:r>
      <w:r w:rsidR="00430BA2" w:rsidRPr="00430BA2">
        <w:t xml:space="preserve"> </w:t>
      </w:r>
      <w:hyperlink r:id="rId23" w:history="1">
        <w:r w:rsidR="00430BA2" w:rsidRPr="00BC6298">
          <w:rPr>
            <w:rStyle w:val="Hyperlink"/>
            <w:rFonts w:ascii="Aptos" w:eastAsia="Times New Roman" w:hAnsi="Aptos"/>
            <w:sz w:val="24"/>
            <w:szCs w:val="24"/>
          </w:rPr>
          <w:t>https://doi.org/10.1002/wps.20311</w:t>
        </w:r>
      </w:hyperlink>
      <w:r w:rsidR="00430BA2">
        <w:rPr>
          <w:rFonts w:ascii="Aptos" w:eastAsia="Times New Roman" w:hAnsi="Aptos"/>
          <w:color w:val="000000"/>
          <w:sz w:val="24"/>
          <w:szCs w:val="24"/>
        </w:rPr>
        <w:t xml:space="preserve"> </w:t>
      </w:r>
    </w:p>
    <w:p w14:paraId="2ACBC3C3" w14:textId="77777777" w:rsidR="00084807" w:rsidRPr="001F408D" w:rsidRDefault="00084807" w:rsidP="00084807">
      <w:pPr>
        <w:rPr>
          <w:rFonts w:ascii="Aptos" w:eastAsia="Times New Roman" w:hAnsi="Aptos"/>
          <w:color w:val="000000"/>
          <w:sz w:val="24"/>
          <w:szCs w:val="24"/>
        </w:rPr>
      </w:pPr>
      <w:proofErr w:type="spellStart"/>
      <w:r w:rsidRPr="001F408D">
        <w:rPr>
          <w:rFonts w:ascii="Aptos" w:eastAsia="Times New Roman" w:hAnsi="Aptos"/>
          <w:color w:val="000000"/>
          <w:sz w:val="24"/>
          <w:szCs w:val="24"/>
        </w:rPr>
        <w:lastRenderedPageBreak/>
        <w:t>Meterko</w:t>
      </w:r>
      <w:proofErr w:type="spellEnd"/>
      <w:r w:rsidRPr="001F408D">
        <w:rPr>
          <w:rFonts w:ascii="Aptos" w:eastAsia="Times New Roman" w:hAnsi="Aptos"/>
          <w:color w:val="000000"/>
          <w:sz w:val="24"/>
          <w:szCs w:val="24"/>
        </w:rPr>
        <w:t>, V. and Cooper, G. (2022) ‘</w:t>
      </w:r>
      <w:r w:rsidRPr="005D6A21">
        <w:rPr>
          <w:rFonts w:ascii="Aptos" w:eastAsia="Times New Roman" w:hAnsi="Aptos"/>
          <w:i/>
          <w:iCs/>
          <w:color w:val="000000"/>
          <w:sz w:val="24"/>
          <w:szCs w:val="24"/>
        </w:rPr>
        <w:t>Cognitive Biases in Criminal Case Evaluation: A Review of the Research’</w:t>
      </w:r>
      <w:r w:rsidRPr="001F408D">
        <w:rPr>
          <w:rFonts w:ascii="Aptos" w:eastAsia="Times New Roman" w:hAnsi="Aptos"/>
          <w:color w:val="000000"/>
          <w:sz w:val="24"/>
          <w:szCs w:val="24"/>
        </w:rPr>
        <w:t xml:space="preserve">, Journal of Police and Criminal Psychology, 37(1), pp. 101–122. </w:t>
      </w:r>
      <w:hyperlink r:id="rId24" w:history="1">
        <w:r w:rsidRPr="001F408D">
          <w:rPr>
            <w:rStyle w:val="Hyperlink"/>
            <w:rFonts w:ascii="Aptos" w:eastAsia="Times New Roman" w:hAnsi="Aptos"/>
            <w:sz w:val="24"/>
            <w:szCs w:val="24"/>
          </w:rPr>
          <w:t>https://doi.org/10.1007/s11896-02</w:t>
        </w:r>
        <w:r w:rsidRPr="001F408D">
          <w:rPr>
            <w:rStyle w:val="Hyperlink"/>
            <w:rFonts w:ascii="Aptos" w:eastAsia="Times New Roman" w:hAnsi="Aptos"/>
            <w:sz w:val="24"/>
            <w:szCs w:val="24"/>
          </w:rPr>
          <w:t>0</w:t>
        </w:r>
        <w:r w:rsidRPr="001F408D">
          <w:rPr>
            <w:rStyle w:val="Hyperlink"/>
            <w:rFonts w:ascii="Aptos" w:eastAsia="Times New Roman" w:hAnsi="Aptos"/>
            <w:sz w:val="24"/>
            <w:szCs w:val="24"/>
          </w:rPr>
          <w:t>-09425-8</w:t>
        </w:r>
      </w:hyperlink>
    </w:p>
    <w:p w14:paraId="6382B55D" w14:textId="77777777"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National Crime Agency (2022</w:t>
      </w:r>
      <w:r w:rsidRPr="005D6A21">
        <w:rPr>
          <w:rFonts w:ascii="Aptos" w:eastAsia="Times New Roman" w:hAnsi="Aptos"/>
          <w:i/>
          <w:iCs/>
          <w:color w:val="000000"/>
          <w:sz w:val="24"/>
          <w:szCs w:val="24"/>
        </w:rPr>
        <w:t>) National strategic assessment of serious and organised crime.</w:t>
      </w:r>
      <w:r w:rsidRPr="001F408D">
        <w:rPr>
          <w:rFonts w:ascii="Aptos" w:eastAsia="Times New Roman" w:hAnsi="Aptos"/>
          <w:color w:val="000000"/>
          <w:sz w:val="24"/>
          <w:szCs w:val="24"/>
        </w:rPr>
        <w:t xml:space="preserve"> London: NCA.</w:t>
      </w:r>
    </w:p>
    <w:p w14:paraId="3F6E77E3" w14:textId="298D9A07" w:rsidR="00E75B33" w:rsidRPr="001F408D" w:rsidRDefault="00E75B33"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National Crime Agency (2022) </w:t>
      </w:r>
      <w:r w:rsidRPr="005D6A21">
        <w:rPr>
          <w:rFonts w:ascii="Aptos" w:eastAsia="Times New Roman" w:hAnsi="Aptos"/>
          <w:i/>
          <w:iCs/>
          <w:color w:val="000000"/>
          <w:sz w:val="24"/>
          <w:szCs w:val="24"/>
        </w:rPr>
        <w:t>National strategic assessment of serious and organised crime- Illicit Finance</w:t>
      </w:r>
      <w:r w:rsidRPr="001F408D">
        <w:rPr>
          <w:rFonts w:ascii="Aptos" w:eastAsia="Times New Roman" w:hAnsi="Aptos"/>
          <w:color w:val="000000"/>
          <w:sz w:val="24"/>
          <w:szCs w:val="24"/>
        </w:rPr>
        <w:t>. London: NCA.</w:t>
      </w:r>
    </w:p>
    <w:p w14:paraId="3B6433B4" w14:textId="77777777" w:rsidR="004C4D52" w:rsidRPr="001F408D" w:rsidRDefault="004C4D52" w:rsidP="004C4D52">
      <w:pPr>
        <w:rPr>
          <w:rFonts w:ascii="Aptos" w:eastAsia="Times New Roman" w:hAnsi="Aptos"/>
          <w:color w:val="000000"/>
          <w:sz w:val="24"/>
          <w:szCs w:val="24"/>
        </w:rPr>
      </w:pPr>
      <w:r w:rsidRPr="001F408D">
        <w:rPr>
          <w:rFonts w:ascii="Aptos" w:eastAsia="Times New Roman" w:hAnsi="Aptos"/>
          <w:color w:val="000000"/>
          <w:sz w:val="24"/>
          <w:szCs w:val="24"/>
        </w:rPr>
        <w:t xml:space="preserve">Phythian, R. and Kirby, S. (2024) </w:t>
      </w:r>
      <w:r w:rsidRPr="005D6A21">
        <w:rPr>
          <w:rFonts w:ascii="Aptos" w:eastAsia="Times New Roman" w:hAnsi="Aptos"/>
          <w:i/>
          <w:iCs/>
          <w:color w:val="000000"/>
          <w:sz w:val="24"/>
          <w:szCs w:val="24"/>
        </w:rPr>
        <w:t>‘Intelligence-led policing in the 21st Century: How increased mobility requires new paradigms of information sharing’</w:t>
      </w:r>
      <w:r w:rsidRPr="001F408D">
        <w:rPr>
          <w:rFonts w:ascii="Aptos" w:eastAsia="Times New Roman" w:hAnsi="Aptos"/>
          <w:color w:val="000000"/>
          <w:sz w:val="24"/>
          <w:szCs w:val="24"/>
        </w:rPr>
        <w:t xml:space="preserve">, The Police Journal: Theory, Practice and Principles, 98(3), pp. 601–617. </w:t>
      </w:r>
      <w:hyperlink r:id="rId25" w:history="1">
        <w:r w:rsidRPr="001F408D">
          <w:rPr>
            <w:rStyle w:val="Hyperlink"/>
            <w:rFonts w:ascii="Aptos" w:eastAsia="Times New Roman" w:hAnsi="Aptos"/>
            <w:sz w:val="24"/>
            <w:szCs w:val="24"/>
          </w:rPr>
          <w:t>https://doi.org/10.1177/0032258X241309479</w:t>
        </w:r>
      </w:hyperlink>
    </w:p>
    <w:p w14:paraId="1DD0E171" w14:textId="77777777"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Ratcliffe, J.H. (2008) </w:t>
      </w:r>
      <w:r w:rsidRPr="005D6A21">
        <w:rPr>
          <w:rFonts w:ascii="Aptos" w:eastAsia="Times New Roman" w:hAnsi="Aptos"/>
          <w:i/>
          <w:iCs/>
          <w:color w:val="000000"/>
          <w:sz w:val="24"/>
          <w:szCs w:val="24"/>
        </w:rPr>
        <w:t>Intelligence-led policing</w:t>
      </w:r>
      <w:r w:rsidRPr="001F408D">
        <w:rPr>
          <w:rFonts w:ascii="Aptos" w:eastAsia="Times New Roman" w:hAnsi="Aptos"/>
          <w:color w:val="000000"/>
          <w:sz w:val="24"/>
          <w:szCs w:val="24"/>
        </w:rPr>
        <w:t>. Cullompton: Willan Publishing.</w:t>
      </w:r>
    </w:p>
    <w:p w14:paraId="716564FE" w14:textId="77777777"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Schön, D.A. (1983) </w:t>
      </w:r>
      <w:r w:rsidRPr="005D6A21">
        <w:rPr>
          <w:rFonts w:ascii="Aptos" w:eastAsia="Times New Roman" w:hAnsi="Aptos"/>
          <w:i/>
          <w:iCs/>
          <w:color w:val="000000"/>
          <w:sz w:val="24"/>
          <w:szCs w:val="24"/>
        </w:rPr>
        <w:t>The reflective practitioner: How professionals think in action</w:t>
      </w:r>
      <w:r w:rsidRPr="001F408D">
        <w:rPr>
          <w:rFonts w:ascii="Aptos" w:eastAsia="Times New Roman" w:hAnsi="Aptos"/>
          <w:color w:val="000000"/>
          <w:sz w:val="24"/>
          <w:szCs w:val="24"/>
        </w:rPr>
        <w:t>. New York: Basic Books.</w:t>
      </w:r>
    </w:p>
    <w:p w14:paraId="59E06646" w14:textId="77777777"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Senge, P.M. (1990) </w:t>
      </w:r>
      <w:r w:rsidRPr="005D6A21">
        <w:rPr>
          <w:rFonts w:ascii="Aptos" w:eastAsia="Times New Roman" w:hAnsi="Aptos"/>
          <w:i/>
          <w:iCs/>
          <w:color w:val="000000"/>
          <w:sz w:val="24"/>
          <w:szCs w:val="24"/>
        </w:rPr>
        <w:t>The fifth discipline: The art and practice of the learning organisation</w:t>
      </w:r>
      <w:r w:rsidRPr="001F408D">
        <w:rPr>
          <w:rFonts w:ascii="Aptos" w:eastAsia="Times New Roman" w:hAnsi="Aptos"/>
          <w:color w:val="000000"/>
          <w:sz w:val="24"/>
          <w:szCs w:val="24"/>
        </w:rPr>
        <w:t>. New York: Doubleday.</w:t>
      </w:r>
    </w:p>
    <w:p w14:paraId="10C06AF7" w14:textId="77777777"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Sherman, L.W. (2013) ‘</w:t>
      </w:r>
      <w:r w:rsidRPr="005D6A21">
        <w:rPr>
          <w:rFonts w:ascii="Aptos" w:eastAsia="Times New Roman" w:hAnsi="Aptos"/>
          <w:i/>
          <w:iCs/>
          <w:color w:val="000000"/>
          <w:sz w:val="24"/>
          <w:szCs w:val="24"/>
        </w:rPr>
        <w:t>The rise of evidence-based policing: Targeting, testing, and tracking’,</w:t>
      </w:r>
      <w:r w:rsidRPr="001F408D">
        <w:rPr>
          <w:rFonts w:ascii="Aptos" w:eastAsia="Times New Roman" w:hAnsi="Aptos"/>
          <w:color w:val="000000"/>
          <w:sz w:val="24"/>
          <w:szCs w:val="24"/>
        </w:rPr>
        <w:t xml:space="preserve"> Crime and Justice, 42(1), pp. 377–451. </w:t>
      </w:r>
      <w:hyperlink r:id="rId26" w:history="1">
        <w:r w:rsidRPr="001F408D">
          <w:rPr>
            <w:rStyle w:val="Hyperlink"/>
            <w:rFonts w:ascii="Aptos" w:eastAsia="Times New Roman" w:hAnsi="Aptos"/>
            <w:sz w:val="24"/>
            <w:szCs w:val="24"/>
          </w:rPr>
          <w:t>https://doi.org/10.1086/670819</w:t>
        </w:r>
      </w:hyperlink>
    </w:p>
    <w:p w14:paraId="40D44FE9" w14:textId="75C12678"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Silke, A. (2014) </w:t>
      </w:r>
      <w:r w:rsidR="008D6D7D" w:rsidRPr="005D6A21">
        <w:rPr>
          <w:rFonts w:ascii="Aptos" w:eastAsia="Times New Roman" w:hAnsi="Aptos"/>
          <w:i/>
          <w:iCs/>
          <w:color w:val="000000"/>
          <w:sz w:val="24"/>
          <w:szCs w:val="24"/>
        </w:rPr>
        <w:t>Prisons, Terrorism and Extremism Critical Issues in Management, Radicalisation and Reform</w:t>
      </w:r>
      <w:r w:rsidR="008D6D7D" w:rsidRPr="001F408D">
        <w:rPr>
          <w:rFonts w:ascii="Aptos" w:eastAsia="Times New Roman" w:hAnsi="Aptos"/>
          <w:color w:val="000000"/>
          <w:sz w:val="24"/>
          <w:szCs w:val="24"/>
        </w:rPr>
        <w:t xml:space="preserve"> -</w:t>
      </w:r>
      <w:r w:rsidRPr="001F408D">
        <w:rPr>
          <w:rFonts w:ascii="Aptos" w:eastAsia="Times New Roman" w:hAnsi="Aptos"/>
          <w:color w:val="000000"/>
          <w:sz w:val="24"/>
          <w:szCs w:val="24"/>
        </w:rPr>
        <w:t xml:space="preserve">Risk assessment of terrorist and extremist prisoners. London: </w:t>
      </w:r>
      <w:r w:rsidR="008D6D7D" w:rsidRPr="001F408D">
        <w:rPr>
          <w:rFonts w:ascii="Aptos" w:eastAsia="Times New Roman" w:hAnsi="Aptos"/>
          <w:color w:val="000000"/>
          <w:sz w:val="24"/>
          <w:szCs w:val="24"/>
        </w:rPr>
        <w:t>Routledge</w:t>
      </w:r>
      <w:r w:rsidRPr="001F408D">
        <w:rPr>
          <w:rFonts w:ascii="Aptos" w:eastAsia="Times New Roman" w:hAnsi="Aptos"/>
          <w:color w:val="000000"/>
          <w:sz w:val="24"/>
          <w:szCs w:val="24"/>
        </w:rPr>
        <w:t>.</w:t>
      </w:r>
    </w:p>
    <w:p w14:paraId="2C0A70BE" w14:textId="77777777"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South Wales Police (2023) </w:t>
      </w:r>
      <w:r w:rsidRPr="005D6A21">
        <w:rPr>
          <w:rFonts w:ascii="Aptos" w:eastAsia="Times New Roman" w:hAnsi="Aptos"/>
          <w:i/>
          <w:iCs/>
          <w:color w:val="000000"/>
          <w:sz w:val="24"/>
          <w:szCs w:val="24"/>
        </w:rPr>
        <w:t>Strategic plan 2023–2027</w:t>
      </w:r>
      <w:r w:rsidRPr="001F408D">
        <w:rPr>
          <w:rFonts w:ascii="Aptos" w:eastAsia="Times New Roman" w:hAnsi="Aptos"/>
          <w:color w:val="000000"/>
          <w:sz w:val="24"/>
          <w:szCs w:val="24"/>
        </w:rPr>
        <w:t>. Bridgend: South Wales Police.</w:t>
      </w:r>
    </w:p>
    <w:p w14:paraId="7105AF12" w14:textId="4C0D28AF"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Taylor, </w:t>
      </w:r>
      <w:r w:rsidR="00D41488" w:rsidRPr="001F408D">
        <w:rPr>
          <w:rFonts w:ascii="Aptos" w:eastAsia="Times New Roman" w:hAnsi="Aptos"/>
          <w:color w:val="000000"/>
          <w:sz w:val="24"/>
          <w:szCs w:val="24"/>
        </w:rPr>
        <w:t>N</w:t>
      </w:r>
      <w:r w:rsidRPr="001F408D">
        <w:rPr>
          <w:rFonts w:ascii="Aptos" w:eastAsia="Times New Roman" w:hAnsi="Aptos"/>
          <w:color w:val="000000"/>
          <w:sz w:val="24"/>
          <w:szCs w:val="24"/>
        </w:rPr>
        <w:t xml:space="preserve"> (2011) ‘</w:t>
      </w:r>
      <w:r w:rsidR="001F408D" w:rsidRPr="005D6A21">
        <w:rPr>
          <w:rFonts w:ascii="Aptos" w:eastAsia="Times New Roman" w:hAnsi="Aptos"/>
          <w:i/>
          <w:iCs/>
          <w:color w:val="000000"/>
          <w:sz w:val="24"/>
          <w:szCs w:val="24"/>
        </w:rPr>
        <w:t>Conceptual Legal framework for privacy, accountability and transparency’</w:t>
      </w:r>
      <w:r w:rsidRPr="001F408D">
        <w:rPr>
          <w:rFonts w:ascii="Aptos" w:eastAsia="Times New Roman" w:hAnsi="Aptos"/>
          <w:color w:val="000000"/>
          <w:sz w:val="24"/>
          <w:szCs w:val="24"/>
        </w:rPr>
        <w:t>, Surveillance &amp; Society, 8(</w:t>
      </w:r>
      <w:r w:rsidR="00D41488" w:rsidRPr="001F408D">
        <w:rPr>
          <w:rFonts w:ascii="Aptos" w:eastAsia="Times New Roman" w:hAnsi="Aptos"/>
          <w:color w:val="000000"/>
          <w:sz w:val="24"/>
          <w:szCs w:val="24"/>
        </w:rPr>
        <w:t>4</w:t>
      </w:r>
      <w:r w:rsidRPr="001F408D">
        <w:rPr>
          <w:rFonts w:ascii="Aptos" w:eastAsia="Times New Roman" w:hAnsi="Aptos"/>
          <w:color w:val="000000"/>
          <w:sz w:val="24"/>
          <w:szCs w:val="24"/>
        </w:rPr>
        <w:t xml:space="preserve">), pp. </w:t>
      </w:r>
      <w:r w:rsidR="001F408D" w:rsidRPr="001F408D">
        <w:rPr>
          <w:rFonts w:ascii="Aptos" w:eastAsia="Times New Roman" w:hAnsi="Aptos"/>
          <w:color w:val="000000"/>
          <w:sz w:val="24"/>
          <w:szCs w:val="24"/>
        </w:rPr>
        <w:t>455-470</w:t>
      </w:r>
      <w:r w:rsidRPr="001F408D">
        <w:rPr>
          <w:rFonts w:ascii="Aptos" w:eastAsia="Times New Roman" w:hAnsi="Aptos"/>
          <w:color w:val="000000"/>
          <w:sz w:val="24"/>
          <w:szCs w:val="24"/>
        </w:rPr>
        <w:t xml:space="preserve">. </w:t>
      </w:r>
      <w:hyperlink r:id="rId27" w:history="1">
        <w:r w:rsidR="00D41488" w:rsidRPr="001F408D">
          <w:rPr>
            <w:rStyle w:val="Hyperlink"/>
            <w:rFonts w:ascii="Aptos" w:eastAsia="Times New Roman" w:hAnsi="Aptos"/>
            <w:sz w:val="24"/>
            <w:szCs w:val="24"/>
          </w:rPr>
          <w:t>https://doi.org/10.24908/ss.v8i4.4182</w:t>
        </w:r>
      </w:hyperlink>
    </w:p>
    <w:p w14:paraId="43E707DF" w14:textId="2E9C0314"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 xml:space="preserve">Woods, </w:t>
      </w:r>
      <w:r w:rsidR="005D6A21">
        <w:rPr>
          <w:rFonts w:ascii="Aptos" w:eastAsia="Times New Roman" w:hAnsi="Aptos"/>
          <w:color w:val="000000"/>
          <w:sz w:val="24"/>
          <w:szCs w:val="24"/>
        </w:rPr>
        <w:t>L</w:t>
      </w:r>
      <w:r w:rsidRPr="001F408D">
        <w:rPr>
          <w:rFonts w:ascii="Aptos" w:eastAsia="Times New Roman" w:hAnsi="Aptos"/>
          <w:color w:val="000000"/>
          <w:sz w:val="24"/>
          <w:szCs w:val="24"/>
        </w:rPr>
        <w:t>. (2017) ‘</w:t>
      </w:r>
      <w:r w:rsidR="00462973" w:rsidRPr="005D6A21">
        <w:rPr>
          <w:rFonts w:ascii="Aptos" w:eastAsia="Times New Roman" w:hAnsi="Aptos"/>
          <w:i/>
          <w:iCs/>
          <w:color w:val="000000"/>
          <w:sz w:val="24"/>
          <w:szCs w:val="24"/>
        </w:rPr>
        <w:t>Automated Number Plate Recognition: Data Retention and the Protection of Privacy in Public Places</w:t>
      </w:r>
      <w:r w:rsidRPr="001F408D">
        <w:rPr>
          <w:rFonts w:ascii="Aptos" w:eastAsia="Times New Roman" w:hAnsi="Aptos"/>
          <w:color w:val="000000"/>
          <w:sz w:val="24"/>
          <w:szCs w:val="24"/>
        </w:rPr>
        <w:t xml:space="preserve">. </w:t>
      </w:r>
      <w:hyperlink r:id="rId28" w:history="1">
        <w:r w:rsidR="00462973" w:rsidRPr="00BC6298">
          <w:rPr>
            <w:rStyle w:val="Hyperlink"/>
            <w:rFonts w:ascii="Aptos" w:eastAsia="Times New Roman" w:hAnsi="Aptos"/>
            <w:sz w:val="24"/>
            <w:szCs w:val="24"/>
          </w:rPr>
          <w:t>https://doi.org/10.21039/irpan</w:t>
        </w:r>
        <w:r w:rsidR="00462973" w:rsidRPr="00BC6298">
          <w:rPr>
            <w:rStyle w:val="Hyperlink"/>
            <w:rFonts w:ascii="Aptos" w:eastAsia="Times New Roman" w:hAnsi="Aptos"/>
            <w:sz w:val="24"/>
            <w:szCs w:val="24"/>
          </w:rPr>
          <w:t>d</w:t>
        </w:r>
        <w:r w:rsidR="00462973" w:rsidRPr="00BC6298">
          <w:rPr>
            <w:rStyle w:val="Hyperlink"/>
            <w:rFonts w:ascii="Aptos" w:eastAsia="Times New Roman" w:hAnsi="Aptos"/>
            <w:sz w:val="24"/>
            <w:szCs w:val="24"/>
          </w:rPr>
          <w:t>p.v2i1.35</w:t>
        </w:r>
      </w:hyperlink>
      <w:r w:rsidR="00462973">
        <w:rPr>
          <w:rFonts w:ascii="Aptos" w:eastAsia="Times New Roman" w:hAnsi="Aptos"/>
          <w:color w:val="000000"/>
          <w:sz w:val="24"/>
          <w:szCs w:val="24"/>
        </w:rPr>
        <w:t xml:space="preserve"> </w:t>
      </w:r>
    </w:p>
    <w:p w14:paraId="749AD03C" w14:textId="77777777" w:rsidR="003709EE" w:rsidRPr="001F408D" w:rsidRDefault="003709EE" w:rsidP="003709EE">
      <w:pPr>
        <w:rPr>
          <w:rFonts w:ascii="Aptos" w:eastAsia="Times New Roman" w:hAnsi="Aptos"/>
          <w:b/>
          <w:bCs/>
          <w:color w:val="000000"/>
          <w:sz w:val="24"/>
          <w:szCs w:val="24"/>
        </w:rPr>
      </w:pPr>
      <w:r w:rsidRPr="001F408D">
        <w:rPr>
          <w:rFonts w:ascii="Aptos" w:eastAsia="Times New Roman" w:hAnsi="Aptos"/>
          <w:b/>
          <w:bCs/>
          <w:color w:val="000000"/>
          <w:sz w:val="24"/>
          <w:szCs w:val="24"/>
        </w:rPr>
        <w:t>Legislation</w:t>
      </w:r>
    </w:p>
    <w:p w14:paraId="72338C33" w14:textId="77777777" w:rsidR="003709EE"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Covert Human Intelligence Sources (Criminal Conduct) Act 2021.</w:t>
      </w:r>
    </w:p>
    <w:p w14:paraId="1EAF9C02" w14:textId="2BB165C4" w:rsidR="00AF7836" w:rsidRPr="001F408D" w:rsidRDefault="00AF7836" w:rsidP="003709EE">
      <w:pPr>
        <w:rPr>
          <w:rFonts w:ascii="Aptos" w:eastAsia="Times New Roman" w:hAnsi="Aptos"/>
          <w:color w:val="000000"/>
          <w:sz w:val="24"/>
          <w:szCs w:val="24"/>
        </w:rPr>
      </w:pPr>
      <w:r w:rsidRPr="0040307A">
        <w:rPr>
          <w:rFonts w:ascii="Aptos" w:eastAsia="Times New Roman" w:hAnsi="Aptos" w:cs="Times New Roman"/>
          <w:color w:val="0B0C0C"/>
          <w:sz w:val="24"/>
          <w:szCs w:val="24"/>
          <w:lang w:eastAsia="en-GB"/>
        </w:rPr>
        <w:t>Investigatory Powers Act 2016.</w:t>
      </w:r>
    </w:p>
    <w:p w14:paraId="3E966ADA" w14:textId="77777777"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Misuse of Drugs Act 1971.</w:t>
      </w:r>
    </w:p>
    <w:p w14:paraId="2B8DFD72" w14:textId="77777777"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Modern Slavery Act 2015.</w:t>
      </w:r>
    </w:p>
    <w:p w14:paraId="0140C680" w14:textId="77777777"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Police and Criminal Evidence Act 1984.</w:t>
      </w:r>
    </w:p>
    <w:p w14:paraId="2D0BC5F0" w14:textId="77777777"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lastRenderedPageBreak/>
        <w:t>Proceeds of Crime Act 2002.</w:t>
      </w:r>
    </w:p>
    <w:p w14:paraId="37B54CD3" w14:textId="77777777"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Regulation of Investigatory Powers Act 2000.</w:t>
      </w:r>
    </w:p>
    <w:p w14:paraId="41510851" w14:textId="77777777" w:rsidR="003709EE" w:rsidRPr="001F408D" w:rsidRDefault="003709EE" w:rsidP="003709EE">
      <w:pPr>
        <w:rPr>
          <w:rFonts w:ascii="Aptos" w:eastAsia="Times New Roman" w:hAnsi="Aptos"/>
          <w:color w:val="000000"/>
          <w:sz w:val="24"/>
          <w:szCs w:val="24"/>
        </w:rPr>
      </w:pPr>
      <w:r w:rsidRPr="001F408D">
        <w:rPr>
          <w:rFonts w:ascii="Aptos" w:eastAsia="Times New Roman" w:hAnsi="Aptos"/>
          <w:color w:val="000000"/>
          <w:sz w:val="24"/>
          <w:szCs w:val="24"/>
        </w:rPr>
        <w:t>Sexual Offences Act 2003.</w:t>
      </w:r>
    </w:p>
    <w:p w14:paraId="77A52294" w14:textId="77777777" w:rsidR="00C66036" w:rsidRDefault="00C66036">
      <w:pPr>
        <w:spacing w:before="240" w:after="60"/>
        <w:ind w:right="237"/>
        <w:jc w:val="both"/>
        <w:rPr>
          <w:rFonts w:ascii="Arial" w:eastAsia="Arial" w:hAnsi="Arial" w:cs="Arial"/>
          <w:color w:val="000000"/>
          <w:sz w:val="24"/>
          <w:szCs w:val="24"/>
        </w:rPr>
      </w:pPr>
    </w:p>
    <w:p w14:paraId="007DCDA8" w14:textId="77777777" w:rsidR="00C66036" w:rsidRDefault="00C66036">
      <w:pPr>
        <w:spacing w:before="240" w:after="60"/>
        <w:ind w:right="237"/>
        <w:jc w:val="both"/>
        <w:rPr>
          <w:rFonts w:ascii="Arial" w:eastAsia="Arial" w:hAnsi="Arial" w:cs="Arial"/>
          <w:color w:val="000000"/>
          <w:sz w:val="24"/>
          <w:szCs w:val="24"/>
        </w:rPr>
      </w:pPr>
    </w:p>
    <w:p w14:paraId="450EA2D7" w14:textId="77777777" w:rsidR="00C66036" w:rsidRDefault="00C66036">
      <w:pPr>
        <w:spacing w:before="240" w:after="60"/>
        <w:ind w:right="237"/>
        <w:jc w:val="both"/>
        <w:rPr>
          <w:rFonts w:ascii="Arial" w:eastAsia="Arial" w:hAnsi="Arial" w:cs="Arial"/>
          <w:color w:val="000000"/>
          <w:sz w:val="24"/>
          <w:szCs w:val="24"/>
        </w:rPr>
      </w:pPr>
    </w:p>
    <w:p w14:paraId="3DD355C9" w14:textId="77777777" w:rsidR="00C66036" w:rsidRDefault="00C66036">
      <w:pPr>
        <w:spacing w:before="240" w:after="60"/>
        <w:ind w:right="237"/>
        <w:jc w:val="both"/>
        <w:rPr>
          <w:rFonts w:ascii="Arial" w:eastAsia="Arial" w:hAnsi="Arial" w:cs="Arial"/>
          <w:color w:val="000000"/>
          <w:sz w:val="24"/>
          <w:szCs w:val="24"/>
        </w:rPr>
      </w:pPr>
    </w:p>
    <w:p w14:paraId="1A81F0B1" w14:textId="77777777" w:rsidR="00C66036" w:rsidRDefault="00C66036">
      <w:pPr>
        <w:rPr>
          <w:rFonts w:ascii="Arial" w:eastAsia="Arial" w:hAnsi="Arial" w:cs="Arial"/>
          <w:b/>
          <w:color w:val="000000"/>
          <w:sz w:val="24"/>
          <w:szCs w:val="24"/>
        </w:rPr>
      </w:pPr>
    </w:p>
    <w:p w14:paraId="717AAFBA" w14:textId="77777777" w:rsidR="00C66036" w:rsidRDefault="00C66036">
      <w:pPr>
        <w:spacing w:before="240" w:after="60"/>
        <w:ind w:right="237"/>
        <w:jc w:val="both"/>
        <w:rPr>
          <w:rFonts w:ascii="Arial" w:eastAsia="Arial" w:hAnsi="Arial" w:cs="Arial"/>
          <w:color w:val="000000"/>
          <w:sz w:val="24"/>
          <w:szCs w:val="24"/>
        </w:rPr>
      </w:pPr>
    </w:p>
    <w:p w14:paraId="56EE48EE" w14:textId="77777777" w:rsidR="00C66036" w:rsidRDefault="00C66036">
      <w:pPr>
        <w:rPr>
          <w:rFonts w:ascii="Arial" w:eastAsia="Arial" w:hAnsi="Arial" w:cs="Arial"/>
          <w:b/>
          <w:sz w:val="28"/>
          <w:szCs w:val="28"/>
        </w:rPr>
      </w:pPr>
    </w:p>
    <w:p w14:paraId="2908EB2C" w14:textId="77777777" w:rsidR="00C66036" w:rsidRDefault="00C66036">
      <w:pPr>
        <w:rPr>
          <w:rFonts w:ascii="Arial" w:eastAsia="Arial" w:hAnsi="Arial" w:cs="Arial"/>
          <w:b/>
          <w:sz w:val="28"/>
          <w:szCs w:val="28"/>
        </w:rPr>
      </w:pPr>
    </w:p>
    <w:p w14:paraId="121FD38A" w14:textId="77777777" w:rsidR="00C66036" w:rsidRDefault="00C66036">
      <w:pPr>
        <w:rPr>
          <w:rFonts w:ascii="Arial" w:eastAsia="Arial" w:hAnsi="Arial" w:cs="Arial"/>
          <w:b/>
          <w:sz w:val="28"/>
          <w:szCs w:val="28"/>
        </w:rPr>
      </w:pPr>
    </w:p>
    <w:p w14:paraId="1FE2DD96" w14:textId="77777777" w:rsidR="00C66036" w:rsidRDefault="00C66036">
      <w:pPr>
        <w:rPr>
          <w:rFonts w:ascii="Arial" w:eastAsia="Arial" w:hAnsi="Arial" w:cs="Arial"/>
          <w:b/>
          <w:sz w:val="28"/>
          <w:szCs w:val="28"/>
        </w:rPr>
      </w:pPr>
    </w:p>
    <w:p w14:paraId="27357532" w14:textId="77777777" w:rsidR="00C66036" w:rsidRDefault="00C66036">
      <w:pPr>
        <w:rPr>
          <w:rFonts w:ascii="Arial" w:eastAsia="Arial" w:hAnsi="Arial" w:cs="Arial"/>
          <w:b/>
          <w:sz w:val="28"/>
          <w:szCs w:val="28"/>
        </w:rPr>
      </w:pPr>
    </w:p>
    <w:p w14:paraId="07F023C8" w14:textId="77777777" w:rsidR="00C66036" w:rsidRDefault="00C66036">
      <w:pPr>
        <w:rPr>
          <w:rFonts w:ascii="Arial" w:eastAsia="Arial" w:hAnsi="Arial" w:cs="Arial"/>
          <w:b/>
          <w:sz w:val="28"/>
          <w:szCs w:val="28"/>
        </w:rPr>
      </w:pPr>
    </w:p>
    <w:p w14:paraId="4BDB5498" w14:textId="77777777" w:rsidR="00C66036" w:rsidRDefault="00C66036">
      <w:pPr>
        <w:rPr>
          <w:rFonts w:ascii="Arial" w:eastAsia="Arial" w:hAnsi="Arial" w:cs="Arial"/>
          <w:b/>
          <w:sz w:val="28"/>
          <w:szCs w:val="28"/>
        </w:rPr>
      </w:pPr>
    </w:p>
    <w:p w14:paraId="2916C19D" w14:textId="77777777" w:rsidR="00C66036" w:rsidRDefault="00C66036">
      <w:pPr>
        <w:rPr>
          <w:rFonts w:ascii="Arial" w:eastAsia="Arial" w:hAnsi="Arial" w:cs="Arial"/>
          <w:b/>
          <w:sz w:val="28"/>
          <w:szCs w:val="28"/>
        </w:rPr>
      </w:pPr>
    </w:p>
    <w:p w14:paraId="74869460" w14:textId="77777777" w:rsidR="00C66036" w:rsidRDefault="00C66036">
      <w:pPr>
        <w:rPr>
          <w:rFonts w:ascii="Arial" w:eastAsia="Arial" w:hAnsi="Arial" w:cs="Arial"/>
          <w:b/>
          <w:sz w:val="28"/>
          <w:szCs w:val="28"/>
        </w:rPr>
      </w:pPr>
    </w:p>
    <w:p w14:paraId="514DF558" w14:textId="77777777" w:rsidR="00C66036" w:rsidRDefault="009A442B">
      <w:pPr>
        <w:pStyle w:val="Heading2"/>
        <w:spacing w:before="0" w:after="160"/>
        <w:ind w:right="220"/>
        <w:jc w:val="both"/>
        <w:rPr>
          <w:rFonts w:ascii="Arial" w:eastAsia="Arial" w:hAnsi="Arial" w:cs="Arial"/>
          <w:color w:val="000000"/>
          <w:sz w:val="24"/>
          <w:szCs w:val="24"/>
        </w:rPr>
      </w:pPr>
      <w:r>
        <w:rPr>
          <w:rFonts w:ascii="Arial" w:eastAsia="Arial" w:hAnsi="Arial" w:cs="Arial"/>
          <w:b/>
          <w:color w:val="000000"/>
          <w:sz w:val="24"/>
          <w:szCs w:val="24"/>
        </w:rPr>
        <w:t>Use of Generative AI in Assessment</w:t>
      </w:r>
    </w:p>
    <w:p w14:paraId="38886B42" w14:textId="77777777" w:rsidR="00C66036" w:rsidRDefault="009A442B">
      <w:pPr>
        <w:jc w:val="both"/>
        <w:rPr>
          <w:rFonts w:ascii="Arial" w:eastAsia="Arial" w:hAnsi="Arial" w:cs="Arial"/>
          <w:color w:val="000000"/>
          <w:sz w:val="24"/>
          <w:szCs w:val="24"/>
        </w:rPr>
      </w:pPr>
      <w:r>
        <w:rPr>
          <w:rFonts w:ascii="Arial" w:eastAsia="Arial" w:hAnsi="Arial" w:cs="Arial"/>
          <w:color w:val="000000"/>
          <w:sz w:val="24"/>
          <w:szCs w:val="24"/>
        </w:rPr>
        <w:t>(Lecturer to indicate Yes or Not against each element)</w:t>
      </w:r>
    </w:p>
    <w:p w14:paraId="29D6B04F" w14:textId="77777777" w:rsidR="00C66036" w:rsidRDefault="009A442B">
      <w:pPr>
        <w:spacing w:after="0"/>
        <w:jc w:val="both"/>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 xml:space="preserve"> </w:t>
      </w:r>
    </w:p>
    <w:tbl>
      <w:tblPr>
        <w:tblStyle w:val="a5"/>
        <w:tblW w:w="8340" w:type="dxa"/>
        <w:tblInd w:w="600" w:type="dxa"/>
        <w:tblBorders>
          <w:top w:val="single" w:sz="6" w:space="0" w:color="000000"/>
          <w:left w:val="single" w:sz="6" w:space="0" w:color="000000"/>
          <w:bottom w:val="single" w:sz="6" w:space="0" w:color="000000"/>
          <w:right w:val="single" w:sz="6" w:space="0" w:color="000000"/>
          <w:insideH w:val="single" w:sz="4" w:space="0" w:color="000000"/>
          <w:insideV w:val="single" w:sz="4" w:space="0" w:color="000000"/>
        </w:tblBorders>
        <w:tblLayout w:type="fixed"/>
        <w:tblLook w:val="0400" w:firstRow="0" w:lastRow="0" w:firstColumn="0" w:lastColumn="0" w:noHBand="0" w:noVBand="1"/>
      </w:tblPr>
      <w:tblGrid>
        <w:gridCol w:w="2175"/>
        <w:gridCol w:w="4905"/>
        <w:gridCol w:w="1260"/>
      </w:tblGrid>
      <w:tr w:rsidR="00C66036" w14:paraId="28BA2256" w14:textId="77777777">
        <w:trPr>
          <w:trHeight w:val="300"/>
        </w:trPr>
        <w:tc>
          <w:tcPr>
            <w:tcW w:w="217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5880D05" w14:textId="77777777" w:rsidR="00C66036" w:rsidRDefault="009A442B">
            <w:pPr>
              <w:spacing w:line="257" w:lineRule="auto"/>
              <w:rPr>
                <w:rFonts w:ascii="Arial" w:eastAsia="Arial" w:hAnsi="Arial" w:cs="Arial"/>
              </w:rPr>
            </w:pPr>
            <w:r>
              <w:rPr>
                <w:rFonts w:ascii="Arial" w:eastAsia="Arial" w:hAnsi="Arial" w:cs="Arial"/>
              </w:rPr>
              <w:t>RESEARCH</w:t>
            </w:r>
          </w:p>
        </w:tc>
        <w:tc>
          <w:tcPr>
            <w:tcW w:w="490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750EA577" w14:textId="77777777" w:rsidR="00C66036" w:rsidRDefault="009A442B">
            <w:pPr>
              <w:spacing w:line="257" w:lineRule="auto"/>
              <w:rPr>
                <w:rFonts w:ascii="Arial" w:eastAsia="Arial" w:hAnsi="Arial" w:cs="Arial"/>
              </w:rPr>
            </w:pPr>
            <w:r>
              <w:rPr>
                <w:rFonts w:ascii="Arial" w:eastAsia="Arial" w:hAnsi="Arial" w:cs="Arial"/>
              </w:rPr>
              <w:t>For this assessment, you can use Generative AI to support you in research, including searching for bibliography, using tools to summarise, compare and interrogate materials.</w:t>
            </w:r>
          </w:p>
        </w:tc>
        <w:tc>
          <w:tcPr>
            <w:tcW w:w="1260"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69B703C7" w14:textId="77777777" w:rsidR="00C66036" w:rsidRDefault="009A442B">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0A6959E7" w14:textId="77777777" w:rsidR="00C66036" w:rsidRDefault="009A442B">
            <w:pPr>
              <w:rPr>
                <w:rFonts w:ascii="Arial" w:eastAsia="Arial" w:hAnsi="Arial" w:cs="Arial"/>
              </w:rPr>
            </w:pPr>
            <w:r>
              <w:rPr>
                <w:rFonts w:ascii="Arial" w:eastAsia="Arial" w:hAnsi="Arial" w:cs="Arial"/>
              </w:rPr>
              <w:t xml:space="preserve"> </w:t>
            </w:r>
          </w:p>
          <w:p w14:paraId="637A4EB4" w14:textId="77777777" w:rsidR="00C66036" w:rsidRDefault="009A442B">
            <w:pPr>
              <w:rPr>
                <w:rFonts w:ascii="MS Gothic" w:eastAsia="MS Gothic" w:hAnsi="MS Gothic" w:cs="MS Gothic"/>
              </w:rPr>
            </w:pPr>
            <w:proofErr w:type="gramStart"/>
            <w:r>
              <w:rPr>
                <w:rFonts w:ascii="Arial" w:eastAsia="Arial" w:hAnsi="Arial" w:cs="Arial"/>
              </w:rPr>
              <w:t xml:space="preserve">No  </w:t>
            </w:r>
            <w:r>
              <w:rPr>
                <w:rFonts w:ascii="MS Gothic" w:eastAsia="MS Gothic" w:hAnsi="MS Gothic" w:cs="MS Gothic"/>
              </w:rPr>
              <w:t>☐</w:t>
            </w:r>
            <w:proofErr w:type="gramEnd"/>
          </w:p>
        </w:tc>
      </w:tr>
      <w:tr w:rsidR="00C66036" w14:paraId="73EB4CD0" w14:textId="77777777">
        <w:trPr>
          <w:trHeight w:val="300"/>
        </w:trPr>
        <w:tc>
          <w:tcPr>
            <w:tcW w:w="217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8D19ADA" w14:textId="77777777" w:rsidR="00C66036" w:rsidRDefault="009A442B">
            <w:pPr>
              <w:spacing w:line="257" w:lineRule="auto"/>
              <w:rPr>
                <w:rFonts w:ascii="Arial" w:eastAsia="Arial" w:hAnsi="Arial" w:cs="Arial"/>
              </w:rPr>
            </w:pPr>
            <w:r>
              <w:rPr>
                <w:rFonts w:ascii="Arial" w:eastAsia="Arial" w:hAnsi="Arial" w:cs="Arial"/>
              </w:rPr>
              <w:t>STRUCTURE</w:t>
            </w:r>
          </w:p>
        </w:tc>
        <w:tc>
          <w:tcPr>
            <w:tcW w:w="490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2C5BD195" w14:textId="77777777" w:rsidR="00C66036" w:rsidRDefault="009A442B">
            <w:pPr>
              <w:spacing w:line="257" w:lineRule="auto"/>
              <w:rPr>
                <w:rFonts w:ascii="Arial" w:eastAsia="Arial" w:hAnsi="Arial" w:cs="Arial"/>
              </w:rPr>
            </w:pPr>
            <w:r>
              <w:rPr>
                <w:rFonts w:ascii="Arial" w:eastAsia="Arial" w:hAnsi="Arial" w:cs="Arial"/>
              </w:rPr>
              <w:t>For this assessment, you can use Generative AI to support you in structuring your submission, including creating a draft argument structure, identifying parts and headings, etc.</w:t>
            </w:r>
          </w:p>
        </w:tc>
        <w:tc>
          <w:tcPr>
            <w:tcW w:w="1260"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2154232A" w14:textId="77777777" w:rsidR="00C66036" w:rsidRDefault="009A442B">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100C5B58" w14:textId="77777777" w:rsidR="00C66036" w:rsidRDefault="009A442B">
            <w:pPr>
              <w:rPr>
                <w:rFonts w:ascii="Arial" w:eastAsia="Arial" w:hAnsi="Arial" w:cs="Arial"/>
              </w:rPr>
            </w:pPr>
            <w:r>
              <w:rPr>
                <w:rFonts w:ascii="Arial" w:eastAsia="Arial" w:hAnsi="Arial" w:cs="Arial"/>
              </w:rPr>
              <w:t xml:space="preserve"> </w:t>
            </w:r>
          </w:p>
          <w:p w14:paraId="0A40028C" w14:textId="77777777" w:rsidR="00C66036" w:rsidRDefault="009A442B">
            <w:pPr>
              <w:rPr>
                <w:rFonts w:ascii="MS Gothic" w:eastAsia="MS Gothic" w:hAnsi="MS Gothic" w:cs="MS Gothic"/>
              </w:rPr>
            </w:pPr>
            <w:proofErr w:type="gramStart"/>
            <w:r>
              <w:rPr>
                <w:rFonts w:ascii="Arial" w:eastAsia="Arial" w:hAnsi="Arial" w:cs="Arial"/>
              </w:rPr>
              <w:t xml:space="preserve">No  </w:t>
            </w:r>
            <w:r>
              <w:rPr>
                <w:rFonts w:ascii="MS Gothic" w:eastAsia="MS Gothic" w:hAnsi="MS Gothic" w:cs="MS Gothic"/>
              </w:rPr>
              <w:t>☐</w:t>
            </w:r>
            <w:proofErr w:type="gramEnd"/>
          </w:p>
        </w:tc>
      </w:tr>
      <w:tr w:rsidR="00C66036" w14:paraId="61343EA7" w14:textId="77777777">
        <w:trPr>
          <w:trHeight w:val="300"/>
        </w:trPr>
        <w:tc>
          <w:tcPr>
            <w:tcW w:w="217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6B8B1AD4" w14:textId="77777777" w:rsidR="00C66036" w:rsidRDefault="009A442B">
            <w:pPr>
              <w:spacing w:line="257" w:lineRule="auto"/>
              <w:rPr>
                <w:rFonts w:ascii="Arial" w:eastAsia="Arial" w:hAnsi="Arial" w:cs="Arial"/>
              </w:rPr>
            </w:pPr>
            <w:r>
              <w:rPr>
                <w:rFonts w:ascii="Arial" w:eastAsia="Arial" w:hAnsi="Arial" w:cs="Arial"/>
              </w:rPr>
              <w:t>PROOFREADING</w:t>
            </w:r>
          </w:p>
        </w:tc>
        <w:tc>
          <w:tcPr>
            <w:tcW w:w="490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56882ACD" w14:textId="77777777" w:rsidR="00C66036" w:rsidRDefault="009A442B">
            <w:pPr>
              <w:spacing w:line="257" w:lineRule="auto"/>
              <w:rPr>
                <w:rFonts w:ascii="Arial" w:eastAsia="Arial" w:hAnsi="Arial" w:cs="Arial"/>
              </w:rPr>
            </w:pPr>
            <w:r>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260"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54E45635" w14:textId="77777777" w:rsidR="00C66036" w:rsidRDefault="009A442B">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12F40E89" w14:textId="77777777" w:rsidR="00C66036" w:rsidRDefault="009A442B">
            <w:pPr>
              <w:rPr>
                <w:rFonts w:ascii="Arial" w:eastAsia="Arial" w:hAnsi="Arial" w:cs="Arial"/>
              </w:rPr>
            </w:pPr>
            <w:r>
              <w:rPr>
                <w:rFonts w:ascii="Arial" w:eastAsia="Arial" w:hAnsi="Arial" w:cs="Arial"/>
              </w:rPr>
              <w:t xml:space="preserve"> </w:t>
            </w:r>
          </w:p>
          <w:p w14:paraId="454F6AC3" w14:textId="77777777" w:rsidR="00C66036" w:rsidRDefault="009A442B">
            <w:pPr>
              <w:rPr>
                <w:rFonts w:ascii="MS Gothic" w:eastAsia="MS Gothic" w:hAnsi="MS Gothic" w:cs="MS Gothic"/>
              </w:rPr>
            </w:pPr>
            <w:proofErr w:type="gramStart"/>
            <w:r>
              <w:rPr>
                <w:rFonts w:ascii="Arial" w:eastAsia="Arial" w:hAnsi="Arial" w:cs="Arial"/>
              </w:rPr>
              <w:t xml:space="preserve">No  </w:t>
            </w:r>
            <w:r>
              <w:rPr>
                <w:rFonts w:ascii="MS Gothic" w:eastAsia="MS Gothic" w:hAnsi="MS Gothic" w:cs="MS Gothic"/>
              </w:rPr>
              <w:t>☐</w:t>
            </w:r>
            <w:proofErr w:type="gramEnd"/>
          </w:p>
        </w:tc>
      </w:tr>
      <w:tr w:rsidR="00C66036" w14:paraId="2C8BE662" w14:textId="77777777">
        <w:trPr>
          <w:trHeight w:val="300"/>
        </w:trPr>
        <w:tc>
          <w:tcPr>
            <w:tcW w:w="217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4D0763D6" w14:textId="77777777" w:rsidR="00C66036" w:rsidRDefault="009A442B">
            <w:pPr>
              <w:spacing w:line="257" w:lineRule="auto"/>
              <w:rPr>
                <w:rFonts w:ascii="Arial" w:eastAsia="Arial" w:hAnsi="Arial" w:cs="Arial"/>
              </w:rPr>
            </w:pPr>
            <w:r>
              <w:rPr>
                <w:rFonts w:ascii="Arial" w:eastAsia="Arial" w:hAnsi="Arial" w:cs="Arial"/>
              </w:rPr>
              <w:lastRenderedPageBreak/>
              <w:t>WRITING</w:t>
            </w:r>
          </w:p>
        </w:tc>
        <w:tc>
          <w:tcPr>
            <w:tcW w:w="490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76CE4260" w14:textId="77777777" w:rsidR="00C66036" w:rsidRDefault="009A442B">
            <w:pPr>
              <w:spacing w:line="257" w:lineRule="auto"/>
              <w:rPr>
                <w:rFonts w:ascii="Arial" w:eastAsia="Arial" w:hAnsi="Arial" w:cs="Arial"/>
              </w:rPr>
            </w:pPr>
            <w:r>
              <w:rPr>
                <w:rFonts w:ascii="Arial" w:eastAsia="Arial" w:hAnsi="Arial" w:cs="Arial"/>
              </w:rPr>
              <w:t>For this assessment, you can use Generative AI to create text for submission.</w:t>
            </w:r>
          </w:p>
        </w:tc>
        <w:tc>
          <w:tcPr>
            <w:tcW w:w="1260"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22919E03" w14:textId="77777777" w:rsidR="00C66036" w:rsidRDefault="009A442B">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608DEACE" w14:textId="77777777" w:rsidR="00C66036" w:rsidRDefault="009A442B">
            <w:pPr>
              <w:rPr>
                <w:rFonts w:ascii="Arial" w:eastAsia="Arial" w:hAnsi="Arial" w:cs="Arial"/>
              </w:rPr>
            </w:pPr>
            <w:r>
              <w:rPr>
                <w:rFonts w:ascii="Arial" w:eastAsia="Arial" w:hAnsi="Arial" w:cs="Arial"/>
              </w:rPr>
              <w:t xml:space="preserve"> </w:t>
            </w:r>
          </w:p>
          <w:p w14:paraId="4F7827E9" w14:textId="77777777" w:rsidR="00C66036" w:rsidRDefault="009A442B">
            <w:pPr>
              <w:rPr>
                <w:rFonts w:ascii="Arial" w:eastAsia="Arial" w:hAnsi="Arial" w:cs="Arial"/>
              </w:rPr>
            </w:pPr>
            <w:proofErr w:type="gramStart"/>
            <w:r>
              <w:rPr>
                <w:rFonts w:ascii="Arial" w:eastAsia="Arial" w:hAnsi="Arial" w:cs="Arial"/>
              </w:rPr>
              <w:t xml:space="preserve">No  </w:t>
            </w:r>
            <w:r>
              <w:rPr>
                <w:rFonts w:ascii="Arial" w:eastAsia="Arial" w:hAnsi="Arial" w:cs="Arial"/>
                <w:b/>
              </w:rPr>
              <w:t>X</w:t>
            </w:r>
            <w:proofErr w:type="gramEnd"/>
          </w:p>
        </w:tc>
      </w:tr>
      <w:tr w:rsidR="00C66036" w14:paraId="39D85C0E" w14:textId="77777777">
        <w:trPr>
          <w:trHeight w:val="300"/>
        </w:trPr>
        <w:tc>
          <w:tcPr>
            <w:tcW w:w="217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1F3B6C6" w14:textId="77777777" w:rsidR="00C66036" w:rsidRDefault="009A442B">
            <w:pPr>
              <w:spacing w:line="257" w:lineRule="auto"/>
              <w:rPr>
                <w:rFonts w:ascii="Arial" w:eastAsia="Arial" w:hAnsi="Arial" w:cs="Arial"/>
              </w:rPr>
            </w:pPr>
            <w:r>
              <w:rPr>
                <w:rFonts w:ascii="Arial" w:eastAsia="Arial" w:hAnsi="Arial" w:cs="Arial"/>
              </w:rPr>
              <w:t>CREATIVE</w:t>
            </w:r>
          </w:p>
        </w:tc>
        <w:tc>
          <w:tcPr>
            <w:tcW w:w="490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43C87444" w14:textId="77777777" w:rsidR="00C66036" w:rsidRDefault="009A442B">
            <w:pPr>
              <w:spacing w:line="257" w:lineRule="auto"/>
              <w:rPr>
                <w:rFonts w:ascii="Arial" w:eastAsia="Arial" w:hAnsi="Arial" w:cs="Arial"/>
              </w:rPr>
            </w:pPr>
            <w:r>
              <w:rPr>
                <w:rFonts w:ascii="Arial" w:eastAsia="Arial" w:hAnsi="Arial" w:cs="Arial"/>
              </w:rPr>
              <w:t>For this assessment, you can use Generative AI to create creative materials, such as images.</w:t>
            </w:r>
          </w:p>
        </w:tc>
        <w:tc>
          <w:tcPr>
            <w:tcW w:w="1260"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678DCE5F" w14:textId="77777777" w:rsidR="00C66036" w:rsidRDefault="009A442B">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2BAC6FC9" w14:textId="77777777" w:rsidR="00C66036" w:rsidRDefault="009A442B">
            <w:pPr>
              <w:rPr>
                <w:rFonts w:ascii="Arial" w:eastAsia="Arial" w:hAnsi="Arial" w:cs="Arial"/>
              </w:rPr>
            </w:pPr>
            <w:r>
              <w:rPr>
                <w:rFonts w:ascii="Arial" w:eastAsia="Arial" w:hAnsi="Arial" w:cs="Arial"/>
              </w:rPr>
              <w:t xml:space="preserve"> </w:t>
            </w:r>
          </w:p>
          <w:p w14:paraId="57320CF3" w14:textId="77777777" w:rsidR="00C66036" w:rsidRDefault="009A442B">
            <w:pPr>
              <w:rPr>
                <w:rFonts w:ascii="MS Gothic" w:eastAsia="MS Gothic" w:hAnsi="MS Gothic" w:cs="MS Gothic"/>
              </w:rPr>
            </w:pPr>
            <w:proofErr w:type="gramStart"/>
            <w:r>
              <w:rPr>
                <w:rFonts w:ascii="Arial" w:eastAsia="Arial" w:hAnsi="Arial" w:cs="Arial"/>
              </w:rPr>
              <w:t xml:space="preserve">No  </w:t>
            </w:r>
            <w:r>
              <w:rPr>
                <w:rFonts w:ascii="MS Gothic" w:eastAsia="MS Gothic" w:hAnsi="MS Gothic" w:cs="MS Gothic"/>
              </w:rPr>
              <w:t>☐</w:t>
            </w:r>
            <w:proofErr w:type="gramEnd"/>
          </w:p>
        </w:tc>
      </w:tr>
      <w:tr w:rsidR="00C66036" w14:paraId="2A23589F" w14:textId="77777777">
        <w:trPr>
          <w:trHeight w:val="300"/>
        </w:trPr>
        <w:tc>
          <w:tcPr>
            <w:tcW w:w="217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650AE604" w14:textId="77777777" w:rsidR="00C66036" w:rsidRDefault="009A442B">
            <w:pPr>
              <w:spacing w:line="257" w:lineRule="auto"/>
              <w:rPr>
                <w:rFonts w:ascii="Arial" w:eastAsia="Arial" w:hAnsi="Arial" w:cs="Arial"/>
              </w:rPr>
            </w:pPr>
            <w:r>
              <w:rPr>
                <w:rFonts w:ascii="Arial" w:eastAsia="Arial" w:hAnsi="Arial" w:cs="Arial"/>
              </w:rPr>
              <w:t>PROGRAMING</w:t>
            </w:r>
          </w:p>
        </w:tc>
        <w:tc>
          <w:tcPr>
            <w:tcW w:w="490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7DF51A37" w14:textId="77777777" w:rsidR="00C66036" w:rsidRDefault="009A442B">
            <w:pPr>
              <w:spacing w:line="257" w:lineRule="auto"/>
              <w:rPr>
                <w:rFonts w:ascii="Arial" w:eastAsia="Arial" w:hAnsi="Arial" w:cs="Arial"/>
              </w:rPr>
            </w:pPr>
            <w:r>
              <w:rPr>
                <w:rFonts w:ascii="Arial" w:eastAsia="Arial" w:hAnsi="Arial" w:cs="Arial"/>
              </w:rPr>
              <w:t>For this assessment, you can use Generative AI to create and check code.</w:t>
            </w:r>
          </w:p>
        </w:tc>
        <w:tc>
          <w:tcPr>
            <w:tcW w:w="1260"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6AB853B8" w14:textId="77777777" w:rsidR="00C66036" w:rsidRDefault="009A442B">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156A6281" w14:textId="77777777" w:rsidR="00C66036" w:rsidRDefault="009A442B">
            <w:pPr>
              <w:rPr>
                <w:rFonts w:ascii="Arial" w:eastAsia="Arial" w:hAnsi="Arial" w:cs="Arial"/>
              </w:rPr>
            </w:pPr>
            <w:r>
              <w:rPr>
                <w:rFonts w:ascii="Arial" w:eastAsia="Arial" w:hAnsi="Arial" w:cs="Arial"/>
              </w:rPr>
              <w:t xml:space="preserve"> </w:t>
            </w:r>
          </w:p>
          <w:p w14:paraId="4008208B" w14:textId="77777777" w:rsidR="00C66036" w:rsidRDefault="009A442B">
            <w:pPr>
              <w:rPr>
                <w:rFonts w:ascii="MS Gothic" w:eastAsia="MS Gothic" w:hAnsi="MS Gothic" w:cs="MS Gothic"/>
              </w:rPr>
            </w:pPr>
            <w:proofErr w:type="gramStart"/>
            <w:r>
              <w:rPr>
                <w:rFonts w:ascii="Arial" w:eastAsia="Arial" w:hAnsi="Arial" w:cs="Arial"/>
              </w:rPr>
              <w:t xml:space="preserve">No  </w:t>
            </w:r>
            <w:r>
              <w:rPr>
                <w:rFonts w:ascii="MS Gothic" w:eastAsia="MS Gothic" w:hAnsi="MS Gothic" w:cs="MS Gothic"/>
              </w:rPr>
              <w:t>☐</w:t>
            </w:r>
            <w:proofErr w:type="gramEnd"/>
          </w:p>
        </w:tc>
      </w:tr>
      <w:tr w:rsidR="00C66036" w14:paraId="6B8E53AD" w14:textId="77777777">
        <w:trPr>
          <w:trHeight w:val="300"/>
        </w:trPr>
        <w:tc>
          <w:tcPr>
            <w:tcW w:w="217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00C72056" w14:textId="77777777" w:rsidR="00C66036" w:rsidRDefault="009A442B">
            <w:pPr>
              <w:spacing w:line="257" w:lineRule="auto"/>
              <w:rPr>
                <w:rFonts w:ascii="Arial" w:eastAsia="Arial" w:hAnsi="Arial" w:cs="Arial"/>
              </w:rPr>
            </w:pPr>
            <w:r>
              <w:rPr>
                <w:rFonts w:ascii="Arial" w:eastAsia="Arial" w:hAnsi="Arial" w:cs="Arial"/>
              </w:rPr>
              <w:t>NONE</w:t>
            </w:r>
          </w:p>
        </w:tc>
        <w:tc>
          <w:tcPr>
            <w:tcW w:w="490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0F7CEE5D" w14:textId="77777777" w:rsidR="00C66036" w:rsidRDefault="009A442B">
            <w:pPr>
              <w:spacing w:line="257" w:lineRule="auto"/>
              <w:rPr>
                <w:rFonts w:ascii="Arial" w:eastAsia="Arial" w:hAnsi="Arial" w:cs="Arial"/>
              </w:rPr>
            </w:pPr>
            <w:r>
              <w:rPr>
                <w:rFonts w:ascii="Arial" w:eastAsia="Arial" w:hAnsi="Arial" w:cs="Arial"/>
              </w:rPr>
              <w:t xml:space="preserve">For this assessment, you are not allowed to use </w:t>
            </w:r>
            <w:r>
              <w:rPr>
                <w:rFonts w:ascii="Arial" w:eastAsia="Arial" w:hAnsi="Arial" w:cs="Arial"/>
                <w:b/>
              </w:rPr>
              <w:t>any</w:t>
            </w:r>
            <w:r>
              <w:rPr>
                <w:rFonts w:ascii="Arial" w:eastAsia="Arial" w:hAnsi="Arial" w:cs="Arial"/>
              </w:rPr>
              <w:t xml:space="preserve"> type of Generative AI support. This includes research support, structure support, writing/proofreading support and creative support.</w:t>
            </w:r>
          </w:p>
        </w:tc>
        <w:tc>
          <w:tcPr>
            <w:tcW w:w="1260"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0D5D04D1" w14:textId="77777777" w:rsidR="00C66036" w:rsidRDefault="009A442B">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20876B09" w14:textId="77777777" w:rsidR="00C66036" w:rsidRDefault="009A442B">
            <w:pPr>
              <w:rPr>
                <w:rFonts w:ascii="Arial" w:eastAsia="Arial" w:hAnsi="Arial" w:cs="Arial"/>
              </w:rPr>
            </w:pPr>
            <w:r>
              <w:rPr>
                <w:rFonts w:ascii="Arial" w:eastAsia="Arial" w:hAnsi="Arial" w:cs="Arial"/>
              </w:rPr>
              <w:t xml:space="preserve"> </w:t>
            </w:r>
          </w:p>
          <w:p w14:paraId="1CECDB4C" w14:textId="77777777" w:rsidR="00C66036" w:rsidRDefault="009A442B">
            <w:pPr>
              <w:rPr>
                <w:rFonts w:ascii="Arial" w:eastAsia="Arial" w:hAnsi="Arial" w:cs="Arial"/>
              </w:rPr>
            </w:pPr>
            <w:r>
              <w:rPr>
                <w:rFonts w:ascii="Arial" w:eastAsia="Arial" w:hAnsi="Arial" w:cs="Arial"/>
              </w:rPr>
              <w:t>No X</w:t>
            </w:r>
          </w:p>
        </w:tc>
      </w:tr>
    </w:tbl>
    <w:p w14:paraId="187F57B8" w14:textId="77777777" w:rsidR="00C66036" w:rsidRDefault="00C66036">
      <w:pPr>
        <w:spacing w:after="0"/>
        <w:ind w:left="720"/>
        <w:jc w:val="both"/>
        <w:rPr>
          <w:rFonts w:ascii="Arial" w:eastAsia="Arial" w:hAnsi="Arial" w:cs="Arial"/>
          <w:color w:val="000000"/>
          <w:sz w:val="24"/>
          <w:szCs w:val="24"/>
        </w:rPr>
      </w:pPr>
    </w:p>
    <w:p w14:paraId="54738AF4" w14:textId="77777777" w:rsidR="00C66036" w:rsidRDefault="00C66036">
      <w:pPr>
        <w:rPr>
          <w:rFonts w:ascii="Arial" w:eastAsia="Arial" w:hAnsi="Arial" w:cs="Arial"/>
          <w:b/>
          <w:sz w:val="28"/>
          <w:szCs w:val="28"/>
        </w:rPr>
      </w:pPr>
    </w:p>
    <w:p w14:paraId="788EDA10"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t>How to Acknowledge your use of AI</w:t>
      </w:r>
    </w:p>
    <w:p w14:paraId="447A2218"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t>This guidance is for students and staff to support the integration of AI tools in assessment.</w:t>
      </w:r>
    </w:p>
    <w:p w14:paraId="77D28831"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t>This guidance will provide you with the necessary information on how to acknowledge your use of AI in any assessment.</w:t>
      </w:r>
    </w:p>
    <w:p w14:paraId="774F50A7"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t>Important: Students are expected to keep drafts of their work, including notes, etc., before and after the use of any AI tool. Students will be expected to produce these drafts and materials as necessary.</w:t>
      </w:r>
    </w:p>
    <w:p w14:paraId="52249FA1"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t>You are expected to use this acknowledgement format for all allowable uses of AI.</w:t>
      </w:r>
    </w:p>
    <w:p w14:paraId="42E0E1A4"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t>You are expected to include this acknowledgement in a separate page at the beginning of your submission.</w:t>
      </w:r>
    </w:p>
    <w:p w14:paraId="038C136F"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t>Basic Acknowledgement format of AI tool use</w:t>
      </w:r>
    </w:p>
    <w:p w14:paraId="2B21EB85"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t xml:space="preserve">I acknowledge the use of [AI Tool] [(AI Tool </w:t>
      </w:r>
      <w:proofErr w:type="spellStart"/>
      <w:r>
        <w:rPr>
          <w:rFonts w:ascii="Arial" w:eastAsia="Arial" w:hAnsi="Arial" w:cs="Arial"/>
          <w:b/>
          <w:sz w:val="28"/>
          <w:szCs w:val="28"/>
        </w:rPr>
        <w:t>url</w:t>
      </w:r>
      <w:proofErr w:type="spellEnd"/>
      <w:r>
        <w:rPr>
          <w:rFonts w:ascii="Arial" w:eastAsia="Arial" w:hAnsi="Arial" w:cs="Arial"/>
          <w:b/>
          <w:sz w:val="28"/>
          <w:szCs w:val="28"/>
        </w:rPr>
        <w:t>)] on [Date] to [Purpose my work]. I used the prompt(s):</w:t>
      </w:r>
    </w:p>
    <w:p w14:paraId="41FB8A4F"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t>1. [Prompt]</w:t>
      </w:r>
    </w:p>
    <w:p w14:paraId="772CD2DD"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t>2. [Prompt]</w:t>
      </w:r>
    </w:p>
    <w:p w14:paraId="4B604B65"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lastRenderedPageBreak/>
        <w:t>3. [Prompt]</w:t>
      </w:r>
    </w:p>
    <w:p w14:paraId="7470D79E"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t>I confirm that I have not presented any AI generated text as my own work. I confirm I have copies of my drafts, notes, and other resources I used before, and after the use of AI tools which I may be asked to provide in evidence.</w:t>
      </w:r>
    </w:p>
    <w:p w14:paraId="58BF4C99"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t>Example 1: I acknowledge the use of Grammarly (https://www.grammarly.com/) on 10 February 2024 to check my work using the prompt(s):</w:t>
      </w:r>
    </w:p>
    <w:p w14:paraId="71FAE487"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t>1. Please check the following text for readability, grammar and syntax.</w:t>
      </w:r>
    </w:p>
    <w:p w14:paraId="2D1E9780"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t>I confirm that I have not presented any AI generated text as my own work. I confirm I have copies of my drafts, notes, and other resources I used before, and after the use of AI tools which I may be asked to provide in evidence.</w:t>
      </w:r>
    </w:p>
    <w:p w14:paraId="13B1D1D1"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t xml:space="preserve">Example 2: I acknowledge the use of </w:t>
      </w:r>
      <w:proofErr w:type="spellStart"/>
      <w:r>
        <w:rPr>
          <w:rFonts w:ascii="Arial" w:eastAsia="Arial" w:hAnsi="Arial" w:cs="Arial"/>
          <w:b/>
          <w:sz w:val="28"/>
          <w:szCs w:val="28"/>
        </w:rPr>
        <w:t>SciSpace</w:t>
      </w:r>
      <w:proofErr w:type="spellEnd"/>
      <w:r>
        <w:rPr>
          <w:rFonts w:ascii="Arial" w:eastAsia="Arial" w:hAnsi="Arial" w:cs="Arial"/>
          <w:b/>
          <w:sz w:val="28"/>
          <w:szCs w:val="28"/>
        </w:rPr>
        <w:t xml:space="preserve"> (https://typeset.io/) on 7 March 2024 to support my research using the prompt(s):</w:t>
      </w:r>
    </w:p>
    <w:p w14:paraId="7261368D"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t>1. Please provide me with materials on the biology of the liver.</w:t>
      </w:r>
    </w:p>
    <w:p w14:paraId="46302DF5"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t>2. Please provide me with materials on liver cells.</w:t>
      </w:r>
    </w:p>
    <w:p w14:paraId="7B22203C"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t>I confirm that I have not presented any AI generated text as my own work. I confirm I have copies of my drafts, notes, and other resources I used before, and after the use of AI tools which I may be asked to provide in evidence.</w:t>
      </w:r>
    </w:p>
    <w:p w14:paraId="12FE192E"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t>Example 3: I acknowledge the use of ChatGPT (https://chatgpt.com/) on 13 April 2024 to write my notes into submission format using the prompt(s):</w:t>
      </w:r>
    </w:p>
    <w:p w14:paraId="6248C9C9"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t>1. Please write up these bullet points as an essay paragraph at university level.</w:t>
      </w:r>
    </w:p>
    <w:p w14:paraId="4446D890"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t>I confirm that I have not presented any AI generated text as my own work. I confirm I have copies of my drafts, notes, and other resources I used before, and after the use of AI tools which I may be asked to provide in evidence.</w:t>
      </w:r>
    </w:p>
    <w:p w14:paraId="45E582C5"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lastRenderedPageBreak/>
        <w:t>Acknowledgement of the use of multiple AI tools</w:t>
      </w:r>
    </w:p>
    <w:p w14:paraId="6002B26D"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t>If you have used multiple AI tools, then you need to include an acknowledgement for each tool you used.</w:t>
      </w:r>
    </w:p>
    <w:p w14:paraId="1941F2E0"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t xml:space="preserve">Example 4: I acknowledge the use of </w:t>
      </w:r>
      <w:proofErr w:type="spellStart"/>
      <w:r>
        <w:rPr>
          <w:rFonts w:ascii="Arial" w:eastAsia="Arial" w:hAnsi="Arial" w:cs="Arial"/>
          <w:b/>
          <w:sz w:val="28"/>
          <w:szCs w:val="28"/>
        </w:rPr>
        <w:t>SciSpace</w:t>
      </w:r>
      <w:proofErr w:type="spellEnd"/>
      <w:r>
        <w:rPr>
          <w:rFonts w:ascii="Arial" w:eastAsia="Arial" w:hAnsi="Arial" w:cs="Arial"/>
          <w:b/>
          <w:sz w:val="28"/>
          <w:szCs w:val="28"/>
        </w:rPr>
        <w:t xml:space="preserve"> (https://typeset.io/) on 28 June 2024 to support my research using the prompt(s):</w:t>
      </w:r>
    </w:p>
    <w:p w14:paraId="6D7F4F4C"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t>1. Please provide me with materials on the American Civil War.</w:t>
      </w:r>
    </w:p>
    <w:p w14:paraId="433599D9"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t>2. Please provide me with materials on the reception of Gone with the Wind.</w:t>
      </w:r>
    </w:p>
    <w:p w14:paraId="24EC744D"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t>I confirm that I have not presented any AI generated text as my own work. I confirm I have copies of my drafts, notes, and other resources I used before, and after the use of AI tools which I may be asked to provide in evidence</w:t>
      </w:r>
    </w:p>
    <w:p w14:paraId="195C30E0"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t>I acknowledge the use of Adobe Express (https://www.adobe.com/express/) on 24 June 2024 to edit photographic material:</w:t>
      </w:r>
    </w:p>
    <w:p w14:paraId="18F1565B"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t>1. Remove background from Figure 1.</w:t>
      </w:r>
    </w:p>
    <w:p w14:paraId="0440F3F4"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t>I confirm that I have not presented any AI generated materials as my own work. I confirm I have copies of my drafts, notes, and other resources I used before, and after the use of AI tools which I may be asked to provide in evidence.</w:t>
      </w:r>
    </w:p>
    <w:p w14:paraId="4AFC8B11"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t>If you have not used AI tools</w:t>
      </w:r>
    </w:p>
    <w:p w14:paraId="228C972F"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t>If you have not used AI tools, whether because it is not allowed or because you have chosen not to use AI tools at all, you need to include the following acknowledgement.</w:t>
      </w:r>
    </w:p>
    <w:p w14:paraId="4C4144D3" w14:textId="77777777" w:rsidR="00C66036" w:rsidRDefault="009A442B">
      <w:pPr>
        <w:spacing w:before="240" w:after="240"/>
        <w:rPr>
          <w:rFonts w:ascii="Arial" w:eastAsia="Arial" w:hAnsi="Arial" w:cs="Arial"/>
          <w:b/>
          <w:sz w:val="28"/>
          <w:szCs w:val="28"/>
        </w:rPr>
      </w:pPr>
      <w:r>
        <w:rPr>
          <w:rFonts w:ascii="Arial" w:eastAsia="Arial" w:hAnsi="Arial" w:cs="Arial"/>
          <w:b/>
          <w:sz w:val="28"/>
          <w:szCs w:val="2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6ABBD8F" w14:textId="77777777" w:rsidR="00C66036" w:rsidRDefault="00C66036">
      <w:pPr>
        <w:rPr>
          <w:rFonts w:ascii="Arial" w:eastAsia="Arial" w:hAnsi="Arial" w:cs="Arial"/>
          <w:b/>
          <w:sz w:val="28"/>
          <w:szCs w:val="28"/>
        </w:rPr>
      </w:pPr>
    </w:p>
    <w:p w14:paraId="06BBA33E" w14:textId="77777777" w:rsidR="00C66036" w:rsidRDefault="00C66036">
      <w:pPr>
        <w:rPr>
          <w:rFonts w:ascii="Arial" w:eastAsia="Arial" w:hAnsi="Arial" w:cs="Arial"/>
          <w:b/>
          <w:sz w:val="28"/>
          <w:szCs w:val="28"/>
        </w:rPr>
      </w:pPr>
    </w:p>
    <w:p w14:paraId="464FCBC1" w14:textId="77777777" w:rsidR="00C66036" w:rsidRDefault="00C66036">
      <w:pPr>
        <w:rPr>
          <w:rFonts w:ascii="Arial" w:eastAsia="Arial" w:hAnsi="Arial" w:cs="Arial"/>
          <w:b/>
          <w:sz w:val="28"/>
          <w:szCs w:val="28"/>
        </w:rPr>
      </w:pPr>
    </w:p>
    <w:p w14:paraId="5C8C6B09" w14:textId="77777777" w:rsidR="00C66036" w:rsidRDefault="00C66036">
      <w:pPr>
        <w:rPr>
          <w:rFonts w:ascii="Arial" w:eastAsia="Arial" w:hAnsi="Arial" w:cs="Arial"/>
          <w:b/>
          <w:sz w:val="28"/>
          <w:szCs w:val="28"/>
        </w:rPr>
      </w:pPr>
    </w:p>
    <w:p w14:paraId="3382A365" w14:textId="77777777" w:rsidR="00C66036" w:rsidRDefault="00C66036">
      <w:pPr>
        <w:rPr>
          <w:rFonts w:ascii="Arial" w:eastAsia="Arial" w:hAnsi="Arial" w:cs="Arial"/>
          <w:b/>
          <w:sz w:val="28"/>
          <w:szCs w:val="28"/>
        </w:rPr>
      </w:pPr>
    </w:p>
    <w:p w14:paraId="5C71F136" w14:textId="77777777" w:rsidR="00C66036" w:rsidRDefault="00C66036">
      <w:pPr>
        <w:rPr>
          <w:rFonts w:ascii="Arial" w:eastAsia="Arial" w:hAnsi="Arial" w:cs="Arial"/>
          <w:b/>
          <w:sz w:val="28"/>
          <w:szCs w:val="28"/>
        </w:rPr>
      </w:pPr>
    </w:p>
    <w:p w14:paraId="62199465" w14:textId="77777777" w:rsidR="00C66036" w:rsidRDefault="00C66036">
      <w:pPr>
        <w:rPr>
          <w:rFonts w:ascii="Arial" w:eastAsia="Arial" w:hAnsi="Arial" w:cs="Arial"/>
          <w:b/>
          <w:sz w:val="28"/>
          <w:szCs w:val="28"/>
        </w:rPr>
      </w:pPr>
    </w:p>
    <w:p w14:paraId="0DA123B1" w14:textId="77777777" w:rsidR="00C66036" w:rsidRDefault="00C66036">
      <w:pPr>
        <w:rPr>
          <w:rFonts w:ascii="Arial" w:eastAsia="Arial" w:hAnsi="Arial" w:cs="Arial"/>
          <w:b/>
          <w:sz w:val="28"/>
          <w:szCs w:val="28"/>
        </w:rPr>
      </w:pPr>
    </w:p>
    <w:p w14:paraId="4C4CEA3D" w14:textId="77777777" w:rsidR="00C66036" w:rsidRDefault="00C66036">
      <w:pPr>
        <w:rPr>
          <w:rFonts w:ascii="Arial" w:eastAsia="Arial" w:hAnsi="Arial" w:cs="Arial"/>
          <w:b/>
          <w:sz w:val="28"/>
          <w:szCs w:val="28"/>
        </w:rPr>
      </w:pPr>
    </w:p>
    <w:p w14:paraId="25546E3C" w14:textId="77777777" w:rsidR="00C66036" w:rsidRDefault="009A442B">
      <w:pPr>
        <w:jc w:val="center"/>
        <w:rPr>
          <w:rFonts w:ascii="Arial" w:eastAsia="Arial" w:hAnsi="Arial" w:cs="Arial"/>
          <w:b/>
          <w:sz w:val="28"/>
          <w:szCs w:val="28"/>
        </w:rPr>
      </w:pPr>
      <w:r>
        <w:rPr>
          <w:rFonts w:ascii="Arial" w:eastAsia="Arial" w:hAnsi="Arial" w:cs="Arial"/>
          <w:b/>
          <w:sz w:val="28"/>
          <w:szCs w:val="28"/>
        </w:rPr>
        <w:t>Notes</w:t>
      </w:r>
    </w:p>
    <w:p w14:paraId="3DCD4F3C" w14:textId="77777777" w:rsidR="00873F8C" w:rsidRDefault="00873F8C">
      <w:pPr>
        <w:jc w:val="center"/>
        <w:rPr>
          <w:rFonts w:ascii="Arial" w:eastAsia="Arial" w:hAnsi="Arial" w:cs="Arial"/>
          <w:b/>
          <w:sz w:val="28"/>
          <w:szCs w:val="28"/>
        </w:rPr>
      </w:pPr>
    </w:p>
    <w:sectPr w:rsidR="00873F8C">
      <w:headerReference w:type="default" r:id="rId29"/>
      <w:footerReference w:type="default" r:id="rId30"/>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C0C651" w14:textId="77777777" w:rsidR="009A442B" w:rsidRDefault="009A442B">
      <w:pPr>
        <w:spacing w:after="0" w:line="240" w:lineRule="auto"/>
      </w:pPr>
      <w:r>
        <w:separator/>
      </w:r>
    </w:p>
  </w:endnote>
  <w:endnote w:type="continuationSeparator" w:id="0">
    <w:p w14:paraId="308D56CC" w14:textId="77777777" w:rsidR="009A442B" w:rsidRDefault="009A44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945587A7-08FA-42F3-9489-47F8F8DBE625}"/>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embedRegular r:id="rId2" w:fontKey="{8C2CCA4D-9856-4DC6-A765-5B5D4A7E2ABA}"/>
    <w:embedBold r:id="rId3" w:fontKey="{3B18D5D1-83A6-4386-BDF9-DB83E7EDE133}"/>
    <w:embedItalic r:id="rId4" w:fontKey="{8AEC090D-8393-408E-9C8B-EB45C17DAB73}"/>
  </w:font>
  <w:font w:name="Georgia">
    <w:panose1 w:val="02040502050405020303"/>
    <w:charset w:val="00"/>
    <w:family w:val="roman"/>
    <w:pitch w:val="variable"/>
    <w:sig w:usb0="00000287" w:usb1="00000000" w:usb2="00000000" w:usb3="00000000" w:csb0="0000009F" w:csb1="00000000"/>
    <w:embedRegular r:id="rId5" w:fontKey="{EF00FC40-8A82-461D-89E2-9D0F6E0F6CAF}"/>
    <w:embedItalic r:id="rId6" w:fontKey="{757FB726-0048-40EC-97DC-B9EB579F3B5C}"/>
  </w:font>
  <w:font w:name="Aptos">
    <w:charset w:val="00"/>
    <w:family w:val="swiss"/>
    <w:pitch w:val="variable"/>
    <w:sig w:usb0="20000287" w:usb1="00000003" w:usb2="00000000" w:usb3="00000000" w:csb0="0000019F" w:csb1="00000000"/>
    <w:embedRegular r:id="rId7" w:fontKey="{804C73C1-7B75-4EEC-9C1E-992738BDF192}"/>
    <w:embedBold r:id="rId8" w:fontKey="{0963D286-F3C1-4DE1-81C5-EE8FAB980172}"/>
    <w:embedItalic r:id="rId9" w:fontKey="{E9573DAD-B97C-4A8E-88E1-F3C1BD7991DE}"/>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embedRegular r:id="rId10" w:subsetted="1" w:fontKey="{3EDB2548-BD55-40A4-A9E8-81E68091BD31}"/>
  </w:font>
  <w:font w:name="Calibri Light">
    <w:panose1 w:val="020F0302020204030204"/>
    <w:charset w:val="00"/>
    <w:family w:val="swiss"/>
    <w:pitch w:val="variable"/>
    <w:sig w:usb0="E4002EFF" w:usb1="C200247B" w:usb2="00000009" w:usb3="00000000" w:csb0="000001FF" w:csb1="00000000"/>
    <w:embedRegular r:id="rId11" w:fontKey="{0475F4ED-8E50-41F5-9C92-C21C3177A128}"/>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895670" w14:textId="77777777" w:rsidR="00C66036" w:rsidRDefault="00C66036">
    <w:pPr>
      <w:widowControl w:val="0"/>
      <w:pBdr>
        <w:top w:val="nil"/>
        <w:left w:val="nil"/>
        <w:bottom w:val="nil"/>
        <w:right w:val="nil"/>
        <w:between w:val="nil"/>
      </w:pBdr>
      <w:spacing w:after="0" w:line="276" w:lineRule="auto"/>
      <w:rPr>
        <w:color w:val="000000"/>
      </w:rPr>
    </w:pPr>
  </w:p>
  <w:tbl>
    <w:tblPr>
      <w:tblStyle w:val="a7"/>
      <w:tblW w:w="9015" w:type="dxa"/>
      <w:tblLayout w:type="fixed"/>
      <w:tblLook w:val="0600" w:firstRow="0" w:lastRow="0" w:firstColumn="0" w:lastColumn="0" w:noHBand="1" w:noVBand="1"/>
    </w:tblPr>
    <w:tblGrid>
      <w:gridCol w:w="3005"/>
      <w:gridCol w:w="3005"/>
      <w:gridCol w:w="3005"/>
    </w:tblGrid>
    <w:tr w:rsidR="00C66036" w14:paraId="0605B8A2" w14:textId="77777777">
      <w:trPr>
        <w:trHeight w:val="300"/>
      </w:trPr>
      <w:tc>
        <w:tcPr>
          <w:tcW w:w="3005" w:type="dxa"/>
        </w:tcPr>
        <w:p w14:paraId="38C1F859" w14:textId="77777777" w:rsidR="00C66036" w:rsidRDefault="00C66036">
          <w:pPr>
            <w:pBdr>
              <w:top w:val="nil"/>
              <w:left w:val="nil"/>
              <w:bottom w:val="nil"/>
              <w:right w:val="nil"/>
              <w:between w:val="nil"/>
            </w:pBdr>
            <w:tabs>
              <w:tab w:val="center" w:pos="4680"/>
              <w:tab w:val="right" w:pos="9360"/>
            </w:tabs>
            <w:spacing w:after="0" w:line="240" w:lineRule="auto"/>
            <w:ind w:left="-115"/>
            <w:rPr>
              <w:color w:val="000000"/>
            </w:rPr>
          </w:pPr>
        </w:p>
      </w:tc>
      <w:tc>
        <w:tcPr>
          <w:tcW w:w="3005" w:type="dxa"/>
        </w:tcPr>
        <w:p w14:paraId="4782DA0D" w14:textId="77777777" w:rsidR="00C66036" w:rsidRDefault="009A442B">
          <w:pPr>
            <w:pBdr>
              <w:top w:val="nil"/>
              <w:left w:val="nil"/>
              <w:bottom w:val="nil"/>
              <w:right w:val="nil"/>
              <w:between w:val="nil"/>
            </w:pBdr>
            <w:tabs>
              <w:tab w:val="center" w:pos="4680"/>
              <w:tab w:val="right" w:pos="9360"/>
            </w:tabs>
            <w:spacing w:after="0" w:line="240" w:lineRule="auto"/>
            <w:jc w:val="center"/>
            <w:rPr>
              <w:color w:val="000000"/>
            </w:rPr>
          </w:pPr>
          <w:r>
            <w:rPr>
              <w:color w:val="000000"/>
            </w:rPr>
            <w:t xml:space="preserve">1 </w:t>
          </w:r>
        </w:p>
      </w:tc>
      <w:tc>
        <w:tcPr>
          <w:tcW w:w="3005" w:type="dxa"/>
        </w:tcPr>
        <w:p w14:paraId="0C8FE7CE" w14:textId="77777777" w:rsidR="00C66036" w:rsidRDefault="00C66036">
          <w:pPr>
            <w:pBdr>
              <w:top w:val="nil"/>
              <w:left w:val="nil"/>
              <w:bottom w:val="nil"/>
              <w:right w:val="nil"/>
              <w:between w:val="nil"/>
            </w:pBdr>
            <w:tabs>
              <w:tab w:val="center" w:pos="4680"/>
              <w:tab w:val="right" w:pos="9360"/>
            </w:tabs>
            <w:spacing w:after="0" w:line="240" w:lineRule="auto"/>
            <w:ind w:right="-115"/>
            <w:jc w:val="right"/>
            <w:rPr>
              <w:color w:val="000000"/>
            </w:rPr>
          </w:pPr>
        </w:p>
      </w:tc>
    </w:tr>
  </w:tbl>
  <w:p w14:paraId="41004F19" w14:textId="77777777" w:rsidR="00C66036" w:rsidRDefault="00C66036">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DCCCAD" w14:textId="77777777" w:rsidR="009A442B" w:rsidRDefault="009A442B">
      <w:pPr>
        <w:spacing w:after="0" w:line="240" w:lineRule="auto"/>
      </w:pPr>
      <w:r>
        <w:separator/>
      </w:r>
    </w:p>
  </w:footnote>
  <w:footnote w:type="continuationSeparator" w:id="0">
    <w:p w14:paraId="36AF6883" w14:textId="77777777" w:rsidR="009A442B" w:rsidRDefault="009A44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7E50C6" w14:textId="77777777" w:rsidR="00C66036" w:rsidRDefault="00C66036">
    <w:pPr>
      <w:widowControl w:val="0"/>
      <w:pBdr>
        <w:top w:val="nil"/>
        <w:left w:val="nil"/>
        <w:bottom w:val="nil"/>
        <w:right w:val="nil"/>
        <w:between w:val="nil"/>
      </w:pBdr>
      <w:spacing w:after="0" w:line="276" w:lineRule="auto"/>
      <w:rPr>
        <w:rFonts w:ascii="Arial" w:eastAsia="Arial" w:hAnsi="Arial" w:cs="Arial"/>
        <w:b/>
        <w:sz w:val="28"/>
        <w:szCs w:val="28"/>
      </w:rPr>
    </w:pPr>
  </w:p>
  <w:tbl>
    <w:tblPr>
      <w:tblStyle w:val="a6"/>
      <w:tblW w:w="9015" w:type="dxa"/>
      <w:tblLayout w:type="fixed"/>
      <w:tblLook w:val="0600" w:firstRow="0" w:lastRow="0" w:firstColumn="0" w:lastColumn="0" w:noHBand="1" w:noVBand="1"/>
    </w:tblPr>
    <w:tblGrid>
      <w:gridCol w:w="3005"/>
      <w:gridCol w:w="3005"/>
      <w:gridCol w:w="3005"/>
    </w:tblGrid>
    <w:tr w:rsidR="00C66036" w14:paraId="7B04FA47" w14:textId="77777777">
      <w:trPr>
        <w:trHeight w:val="300"/>
      </w:trPr>
      <w:tc>
        <w:tcPr>
          <w:tcW w:w="3005" w:type="dxa"/>
        </w:tcPr>
        <w:p w14:paraId="568C698B" w14:textId="77777777" w:rsidR="00C66036" w:rsidRDefault="00C66036">
          <w:pPr>
            <w:pBdr>
              <w:top w:val="nil"/>
              <w:left w:val="nil"/>
              <w:bottom w:val="nil"/>
              <w:right w:val="nil"/>
              <w:between w:val="nil"/>
            </w:pBdr>
            <w:tabs>
              <w:tab w:val="center" w:pos="4680"/>
              <w:tab w:val="right" w:pos="9360"/>
            </w:tabs>
            <w:spacing w:after="0" w:line="240" w:lineRule="auto"/>
            <w:ind w:left="-115"/>
            <w:rPr>
              <w:color w:val="000000"/>
            </w:rPr>
          </w:pPr>
        </w:p>
      </w:tc>
      <w:tc>
        <w:tcPr>
          <w:tcW w:w="3005" w:type="dxa"/>
        </w:tcPr>
        <w:p w14:paraId="1A939487" w14:textId="77777777" w:rsidR="00C66036" w:rsidRDefault="00C66036">
          <w:pPr>
            <w:pBdr>
              <w:top w:val="nil"/>
              <w:left w:val="nil"/>
              <w:bottom w:val="nil"/>
              <w:right w:val="nil"/>
              <w:between w:val="nil"/>
            </w:pBdr>
            <w:tabs>
              <w:tab w:val="center" w:pos="4680"/>
              <w:tab w:val="right" w:pos="9360"/>
            </w:tabs>
            <w:spacing w:after="0" w:line="240" w:lineRule="auto"/>
            <w:jc w:val="center"/>
            <w:rPr>
              <w:color w:val="000000"/>
            </w:rPr>
          </w:pPr>
        </w:p>
      </w:tc>
      <w:tc>
        <w:tcPr>
          <w:tcW w:w="3005" w:type="dxa"/>
        </w:tcPr>
        <w:p w14:paraId="6AA258D8" w14:textId="77777777" w:rsidR="00C66036" w:rsidRDefault="00C66036">
          <w:pPr>
            <w:pBdr>
              <w:top w:val="nil"/>
              <w:left w:val="nil"/>
              <w:bottom w:val="nil"/>
              <w:right w:val="nil"/>
              <w:between w:val="nil"/>
            </w:pBdr>
            <w:tabs>
              <w:tab w:val="center" w:pos="4680"/>
              <w:tab w:val="right" w:pos="9360"/>
            </w:tabs>
            <w:spacing w:after="0" w:line="240" w:lineRule="auto"/>
            <w:ind w:right="-115"/>
            <w:jc w:val="right"/>
            <w:rPr>
              <w:color w:val="000000"/>
            </w:rPr>
          </w:pPr>
        </w:p>
      </w:tc>
    </w:tr>
  </w:tbl>
  <w:p w14:paraId="6FFBD3EC" w14:textId="77777777" w:rsidR="00C66036" w:rsidRDefault="00C66036">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AD0EC0"/>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5C6A1AFC"/>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732B078F"/>
    <w:multiLevelType w:val="multilevel"/>
    <w:tmpl w:val="3DA09A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C0E074A"/>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850988638">
    <w:abstractNumId w:val="3"/>
  </w:num>
  <w:num w:numId="2" w16cid:durableId="255408736">
    <w:abstractNumId w:val="0"/>
  </w:num>
  <w:num w:numId="3" w16cid:durableId="1539514114">
    <w:abstractNumId w:val="1"/>
  </w:num>
  <w:num w:numId="4" w16cid:durableId="21228454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6036"/>
    <w:rsid w:val="00000933"/>
    <w:rsid w:val="0001757D"/>
    <w:rsid w:val="00031A1A"/>
    <w:rsid w:val="00084807"/>
    <w:rsid w:val="000E7661"/>
    <w:rsid w:val="0011078D"/>
    <w:rsid w:val="001219EB"/>
    <w:rsid w:val="0017256C"/>
    <w:rsid w:val="001D1C9D"/>
    <w:rsid w:val="001F408D"/>
    <w:rsid w:val="0021584B"/>
    <w:rsid w:val="00240E02"/>
    <w:rsid w:val="00256809"/>
    <w:rsid w:val="002854EE"/>
    <w:rsid w:val="00344AAD"/>
    <w:rsid w:val="003709EE"/>
    <w:rsid w:val="0039604B"/>
    <w:rsid w:val="0040307A"/>
    <w:rsid w:val="00405427"/>
    <w:rsid w:val="00430BA2"/>
    <w:rsid w:val="0043186A"/>
    <w:rsid w:val="00456436"/>
    <w:rsid w:val="00462973"/>
    <w:rsid w:val="00474B3E"/>
    <w:rsid w:val="004C4D52"/>
    <w:rsid w:val="00505B2C"/>
    <w:rsid w:val="0055472A"/>
    <w:rsid w:val="005D6A21"/>
    <w:rsid w:val="00665BFF"/>
    <w:rsid w:val="006C362C"/>
    <w:rsid w:val="007026DF"/>
    <w:rsid w:val="00706A55"/>
    <w:rsid w:val="00745E49"/>
    <w:rsid w:val="007D6818"/>
    <w:rsid w:val="00861A10"/>
    <w:rsid w:val="00873F8C"/>
    <w:rsid w:val="0088784D"/>
    <w:rsid w:val="008A1FC8"/>
    <w:rsid w:val="008B51D0"/>
    <w:rsid w:val="008D6D7D"/>
    <w:rsid w:val="008F387F"/>
    <w:rsid w:val="009A047E"/>
    <w:rsid w:val="009A442B"/>
    <w:rsid w:val="009B703C"/>
    <w:rsid w:val="009D75EF"/>
    <w:rsid w:val="00A404A7"/>
    <w:rsid w:val="00A42A50"/>
    <w:rsid w:val="00AA2DAF"/>
    <w:rsid w:val="00AF76E8"/>
    <w:rsid w:val="00AF7836"/>
    <w:rsid w:val="00B41623"/>
    <w:rsid w:val="00BE2894"/>
    <w:rsid w:val="00C31004"/>
    <w:rsid w:val="00C32851"/>
    <w:rsid w:val="00C46105"/>
    <w:rsid w:val="00C56E3F"/>
    <w:rsid w:val="00C66036"/>
    <w:rsid w:val="00C91891"/>
    <w:rsid w:val="00CA395F"/>
    <w:rsid w:val="00D41488"/>
    <w:rsid w:val="00D65167"/>
    <w:rsid w:val="00D969C6"/>
    <w:rsid w:val="00E02F08"/>
    <w:rsid w:val="00E75B33"/>
    <w:rsid w:val="00E76963"/>
    <w:rsid w:val="00F0034B"/>
    <w:rsid w:val="00F15729"/>
    <w:rsid w:val="00F61D92"/>
    <w:rsid w:val="00FE153E"/>
    <w:rsid w:val="04E0A0F9"/>
    <w:rsid w:val="29403CD8"/>
    <w:rsid w:val="44073852"/>
    <w:rsid w:val="7092645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050A3"/>
  <w15:docId w15:val="{1509B658-E0DC-4BFB-B212-A857C6B2D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160" w:after="80"/>
      <w:outlineLvl w:val="1"/>
    </w:pPr>
    <w:rPr>
      <w:color w:val="2F5496"/>
      <w:sz w:val="32"/>
      <w:szCs w:val="32"/>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customStyle="1" w:styleId="bullet">
    <w:name w:val="bullet"/>
    <w:basedOn w:val="Normal"/>
    <w:link w:val="bulletChar"/>
    <w:rsid w:val="7336895D"/>
    <w:pPr>
      <w:spacing w:before="120" w:after="0"/>
      <w:ind w:left="1004" w:hanging="284"/>
      <w:jc w:val="both"/>
    </w:pPr>
    <w:rPr>
      <w:rFonts w:ascii="Times New Roman" w:eastAsia="Times New Roman" w:hAnsi="Times New Roman" w:cs="Times New Roman"/>
      <w:sz w:val="24"/>
      <w:szCs w:val="24"/>
      <w:lang w:eastAsia="en-GB"/>
    </w:rPr>
  </w:style>
  <w:style w:type="character" w:customStyle="1" w:styleId="bulletChar">
    <w:name w:val="bullet Char"/>
    <w:basedOn w:val="DefaultParagraphFont"/>
    <w:link w:val="bullet"/>
    <w:rsid w:val="7336895D"/>
    <w:rPr>
      <w:rFonts w:ascii="Times New Roman" w:eastAsia="Times New Roman" w:hAnsi="Times New Roman" w:cs="Times New Roman"/>
      <w:sz w:val="24"/>
      <w:szCs w:val="24"/>
      <w:lang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table" w:customStyle="1" w:styleId="a4">
    <w:basedOn w:val="TableNormal"/>
    <w:pPr>
      <w:spacing w:after="0" w:line="240" w:lineRule="auto"/>
    </w:pPr>
    <w:tblPr>
      <w:tblStyleRowBandSize w:val="1"/>
      <w:tblStyleColBandSize w:val="1"/>
    </w:tblPr>
  </w:style>
  <w:style w:type="table" w:customStyle="1" w:styleId="a5">
    <w:basedOn w:val="TableNormal"/>
    <w:pPr>
      <w:spacing w:after="0" w:line="240" w:lineRule="auto"/>
    </w:p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CellMar>
        <w:left w:w="115" w:type="dxa"/>
        <w:right w:w="115" w:type="dxa"/>
      </w:tblCellMar>
    </w:tblPr>
  </w:style>
  <w:style w:type="paragraph" w:styleId="NormalWeb">
    <w:name w:val="Normal (Web)"/>
    <w:basedOn w:val="Normal"/>
    <w:uiPriority w:val="99"/>
    <w:semiHidden/>
    <w:unhideWhenUsed/>
    <w:rsid w:val="00CA395F"/>
    <w:pPr>
      <w:spacing w:before="100" w:beforeAutospacing="1" w:after="100" w:afterAutospacing="1" w:line="240" w:lineRule="auto"/>
    </w:pPr>
    <w:rPr>
      <w:rFonts w:ascii="Aptos" w:eastAsiaTheme="minorHAnsi" w:hAnsi="Aptos" w:cs="Aptos"/>
      <w:sz w:val="24"/>
      <w:szCs w:val="24"/>
      <w:lang w:eastAsia="en-GB"/>
    </w:rPr>
  </w:style>
  <w:style w:type="character" w:styleId="FollowedHyperlink">
    <w:name w:val="FollowedHyperlink"/>
    <w:basedOn w:val="DefaultParagraphFont"/>
    <w:uiPriority w:val="99"/>
    <w:semiHidden/>
    <w:unhideWhenUsed/>
    <w:rsid w:val="00000933"/>
    <w:rPr>
      <w:color w:val="954F72" w:themeColor="followedHyperlink"/>
      <w:u w:val="single"/>
    </w:rPr>
  </w:style>
  <w:style w:type="character" w:styleId="UnresolvedMention">
    <w:name w:val="Unresolved Mention"/>
    <w:basedOn w:val="DefaultParagraphFont"/>
    <w:uiPriority w:val="99"/>
    <w:semiHidden/>
    <w:unhideWhenUsed/>
    <w:rsid w:val="000009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826172">
      <w:bodyDiv w:val="1"/>
      <w:marLeft w:val="0"/>
      <w:marRight w:val="0"/>
      <w:marTop w:val="0"/>
      <w:marBottom w:val="0"/>
      <w:divBdr>
        <w:top w:val="none" w:sz="0" w:space="0" w:color="auto"/>
        <w:left w:val="none" w:sz="0" w:space="0" w:color="auto"/>
        <w:bottom w:val="none" w:sz="0" w:space="0" w:color="auto"/>
        <w:right w:val="none" w:sz="0" w:space="0" w:color="auto"/>
      </w:divBdr>
    </w:div>
    <w:div w:id="581179117">
      <w:bodyDiv w:val="1"/>
      <w:marLeft w:val="0"/>
      <w:marRight w:val="0"/>
      <w:marTop w:val="0"/>
      <w:marBottom w:val="0"/>
      <w:divBdr>
        <w:top w:val="none" w:sz="0" w:space="0" w:color="auto"/>
        <w:left w:val="none" w:sz="0" w:space="0" w:color="auto"/>
        <w:bottom w:val="none" w:sz="0" w:space="0" w:color="auto"/>
        <w:right w:val="none" w:sz="0" w:space="0" w:color="auto"/>
      </w:divBdr>
    </w:div>
    <w:div w:id="920917377">
      <w:bodyDiv w:val="1"/>
      <w:marLeft w:val="0"/>
      <w:marRight w:val="0"/>
      <w:marTop w:val="0"/>
      <w:marBottom w:val="0"/>
      <w:divBdr>
        <w:top w:val="none" w:sz="0" w:space="0" w:color="auto"/>
        <w:left w:val="none" w:sz="0" w:space="0" w:color="auto"/>
        <w:bottom w:val="none" w:sz="0" w:space="0" w:color="auto"/>
        <w:right w:val="none" w:sz="0" w:space="0" w:color="auto"/>
      </w:divBdr>
    </w:div>
    <w:div w:id="1292594139">
      <w:bodyDiv w:val="1"/>
      <w:marLeft w:val="0"/>
      <w:marRight w:val="0"/>
      <w:marTop w:val="0"/>
      <w:marBottom w:val="0"/>
      <w:divBdr>
        <w:top w:val="none" w:sz="0" w:space="0" w:color="auto"/>
        <w:left w:val="none" w:sz="0" w:space="0" w:color="auto"/>
        <w:bottom w:val="none" w:sz="0" w:space="0" w:color="auto"/>
        <w:right w:val="none" w:sz="0" w:space="0" w:color="auto"/>
      </w:divBdr>
    </w:div>
    <w:div w:id="1426656658">
      <w:bodyDiv w:val="1"/>
      <w:marLeft w:val="0"/>
      <w:marRight w:val="0"/>
      <w:marTop w:val="0"/>
      <w:marBottom w:val="0"/>
      <w:divBdr>
        <w:top w:val="none" w:sz="0" w:space="0" w:color="auto"/>
        <w:left w:val="none" w:sz="0" w:space="0" w:color="auto"/>
        <w:bottom w:val="none" w:sz="0" w:space="0" w:color="auto"/>
        <w:right w:val="none" w:sz="0" w:space="0" w:color="auto"/>
      </w:divBdr>
    </w:div>
    <w:div w:id="1842235777">
      <w:bodyDiv w:val="1"/>
      <w:marLeft w:val="0"/>
      <w:marRight w:val="0"/>
      <w:marTop w:val="0"/>
      <w:marBottom w:val="0"/>
      <w:divBdr>
        <w:top w:val="none" w:sz="0" w:space="0" w:color="auto"/>
        <w:left w:val="none" w:sz="0" w:space="0" w:color="auto"/>
        <w:bottom w:val="none" w:sz="0" w:space="0" w:color="auto"/>
        <w:right w:val="none" w:sz="0" w:space="0" w:color="auto"/>
      </w:divBdr>
    </w:div>
    <w:div w:id="19050966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2/jip.19" TargetMode="External"/><Relationship Id="rId18" Type="http://schemas.openxmlformats.org/officeDocument/2006/relationships/hyperlink" Target="http://www.jstor.org/stable/40375777" TargetMode="External"/><Relationship Id="rId26" Type="http://schemas.openxmlformats.org/officeDocument/2006/relationships/hyperlink" Target="https://doi.org/10.1086/670819" TargetMode="External"/><Relationship Id="rId3" Type="http://schemas.openxmlformats.org/officeDocument/2006/relationships/styles" Target="styles.xml"/><Relationship Id="rId21" Type="http://schemas.openxmlformats.org/officeDocument/2006/relationships/hyperlink" Target="https://gbr01.safelinks.protection.outlook.com/?url=https%3A%2F%2Fdoi.org%2F10.1007%2Fs10610-015-9269-7&amp;data=05%7C02%7Cmark.burge%40south-wales.police.uk%7C971cf09ee4ab4c8a25cc08de5430a8e8%7C270c2f4dfd0c4f0892a9e5bdd8a87e09%7C0%7C0%7C639040765155100675%7CUnknown%7CTWFpbGZsb3d8eyJFbXB0eU1hcGkiOnRydWUsIlYiOiIwLjAuMDAwMCIsIlAiOiJXaW4zMiIsIkFOIjoiTWFpbCIsIldUIjoyfQ%3D%3D%7C0%7C%7C%7C&amp;sdata=mhf6VOOquYwPql3Z5qJwQKWwEcAm%2FleOYfSjjmZJHDg%3D&amp;reserved=0" TargetMode="External"/><Relationship Id="rId7" Type="http://schemas.openxmlformats.org/officeDocument/2006/relationships/endnotes" Target="endnotes.xml"/><Relationship Id="rId12" Type="http://schemas.openxmlformats.org/officeDocument/2006/relationships/hyperlink" Target="https://doi.org/10.1093/acprof:oso/9780198712527.001.0001" TargetMode="External"/><Relationship Id="rId17" Type="http://schemas.openxmlformats.org/officeDocument/2006/relationships/hyperlink" Target="https://doi.org/10.4324/9780203852156" TargetMode="External"/><Relationship Id="rId25" Type="http://schemas.openxmlformats.org/officeDocument/2006/relationships/hyperlink" Target="https://gbr01.safelinks.protection.outlook.com/?url=https%3A%2F%2Fdoi.org%2F10.1177%2F0032258X241309479&amp;data=05%7C02%7Cmark.burge%40south-wales.police.uk%7C244d9ce39ed14ccdfe3808de543243f3%7C270c2f4dfd0c4f0892a9e5bdd8a87e09%7C0%7C0%7C639040772031757262%7CUnknown%7CTWFpbGZsb3d8eyJFbXB0eU1hcGkiOnRydWUsIlYiOiIwLjAuMDAwMCIsIlAiOiJXaW4zMiIsIkFOIjoiTWFpbCIsIldUIjoyfQ%3D%3D%7C0%7C%7C%7C&amp;sdata=wHvFe%2FETSsZ%2BA%2F9fCX0Zjph3npllOguAB8c7lnc8r3U%3D&amp;reserved=0" TargetMode="External"/><Relationship Id="rId2" Type="http://schemas.openxmlformats.org/officeDocument/2006/relationships/numbering" Target="numbering.xml"/><Relationship Id="rId16" Type="http://schemas.openxmlformats.org/officeDocument/2006/relationships/hyperlink" Target="https://doi.org/10.1111/j.1468-2346.2010.00918.x" TargetMode="External"/><Relationship Id="rId20" Type="http://schemas.openxmlformats.org/officeDocument/2006/relationships/hyperlink" Target="https://doi.org/10.1177/0002716206287118"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pluginfile.php/324905/mod_resource/content/1/Harvard%20Referencing%20GUide.pdf" TargetMode="External"/><Relationship Id="rId24" Type="http://schemas.openxmlformats.org/officeDocument/2006/relationships/hyperlink" Target="https://gbr01.safelinks.protection.outlook.com/?url=https%3A%2F%2Fdoi.org%2F10.1007%2Fs11896-020-09425-8&amp;data=05%7C02%7Cmark.burge%40south-wales.police.uk%7Caa1ecf8eb04f4b55646f08de543893fd%7C270c2f4dfd0c4f0892a9e5bdd8a87e09%7C0%7C0%7C639040799161402517%7CUnknown%7CTWFpbGZsb3d8eyJFbXB0eU1hcGkiOnRydWUsIlYiOiIwLjAuMDAwMCIsIlAiOiJXaW4zMiIsIkFOIjoiTWFpbCIsIldUIjoyfQ%3D%3D%7C0%7C%7C%7C&amp;sdata=rPSJ1BsPzdqo5RyDyW5H37oFmvtyOiTUbkm%2FSrMD1Vc%3D&amp;reserved=0"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93/bjc/azy059" TargetMode="External"/><Relationship Id="rId23" Type="http://schemas.openxmlformats.org/officeDocument/2006/relationships/hyperlink" Target="https://doi.org/10.1002/wps.20311" TargetMode="External"/><Relationship Id="rId28" Type="http://schemas.openxmlformats.org/officeDocument/2006/relationships/hyperlink" Target="https://doi.org/10.21039/irpandp.v2i1.35" TargetMode="External"/><Relationship Id="rId10" Type="http://schemas.openxmlformats.org/officeDocument/2006/relationships/hyperlink" Target="https://moodle.uwtsd.ac.uk/pluginfile.php/298870/mod_resource/content/1/Reflective%20Practice%20for%20Policing%20Students%20-%20Selina%20Copley%20Chapter5.pdf." TargetMode="External"/><Relationship Id="rId19" Type="http://schemas.openxmlformats.org/officeDocument/2006/relationships/hyperlink" Target="https://doi.org/10.1111/1745-9125.12192"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72-79-UPDATED-05-11-2019.pdf" TargetMode="External"/><Relationship Id="rId14" Type="http://schemas.openxmlformats.org/officeDocument/2006/relationships/hyperlink" Target="https://doi.org/10.4324/9781315059051" TargetMode="External"/><Relationship Id="rId22" Type="http://schemas.openxmlformats.org/officeDocument/2006/relationships/hyperlink" Target="https://doi.org/10.1007/s11292-010-9108-2" TargetMode="External"/><Relationship Id="rId27" Type="http://schemas.openxmlformats.org/officeDocument/2006/relationships/hyperlink" Target="https://doi.org/10.24908/ss.v8i4.4182" TargetMode="External"/><Relationship Id="rId30" Type="http://schemas.openxmlformats.org/officeDocument/2006/relationships/footer" Target="foot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gjzh2et4EC1Cn9aDy6ehBDmMLQA==">CgMxLjA4AHIhMUI1R1lWdEJRX3FqSEFKNHJuWXlHbXJGUDMyTDctQjRN</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2103</TotalTime>
  <Pages>42</Pages>
  <Words>13963</Words>
  <Characters>79591</Characters>
  <Application>Microsoft Office Word</Application>
  <DocSecurity>0</DocSecurity>
  <Lines>663</Lines>
  <Paragraphs>186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Kelly Andrews</dc:creator>
  <cp:lastModifiedBy>Burge,Mark swp3836</cp:lastModifiedBy>
  <cp:revision>41</cp:revision>
  <dcterms:created xsi:type="dcterms:W3CDTF">2026-01-05T14:49:00Z</dcterms:created>
  <dcterms:modified xsi:type="dcterms:W3CDTF">2026-01-16T16:14:00Z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0x010100F0F2E926444BD2459876A95BFCA12C43</vt:lpwstr>
  </property>
  <property fmtid="{D5CDD505-2E9C-101B-9397-08002B2CF9AE}" pid="3" name="MSIP_Label_66cf8fe5-b7b7-4df7-b38d-1c61ac2f6639_Enabled">
    <vt:lpwstr>true</vt:lpwstr>
  </property>
  <property fmtid="{D5CDD505-2E9C-101B-9397-08002B2CF9AE}" pid="4" name="MSIP_Label_66cf8fe5-b7b7-4df7-b38d-1c61ac2f6639_SetDate">
    <vt:lpwstr>2026-01-05T14:47:48Z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aedd42db-c40c-4e0f-a8c8-9a119b621352</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