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9DEF0" w14:textId="4C546B9C" w:rsidR="00B0651E" w:rsidRDefault="0003081E" w:rsidP="00B76FD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Reference </w:t>
      </w:r>
      <w:r w:rsidR="004A1AFF">
        <w:rPr>
          <w:rFonts w:ascii="Arial" w:hAnsi="Arial" w:cs="Arial"/>
          <w:sz w:val="24"/>
          <w:szCs w:val="24"/>
          <w:lang w:val="en-US"/>
        </w:rPr>
        <w:t>L</w:t>
      </w:r>
      <w:r>
        <w:rPr>
          <w:rFonts w:ascii="Arial" w:hAnsi="Arial" w:cs="Arial"/>
          <w:sz w:val="24"/>
          <w:szCs w:val="24"/>
          <w:lang w:val="en-US"/>
        </w:rPr>
        <w:t>ist</w:t>
      </w:r>
    </w:p>
    <w:p w14:paraId="7CAE6B43" w14:textId="77777777" w:rsidR="00367060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5CD16B" w14:textId="7DC8F43E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t xml:space="preserve">Aubrey, K. and Riley, A. (2019). </w:t>
      </w:r>
      <w:r w:rsidRPr="00C6762F">
        <w:rPr>
          <w:rFonts w:ascii="Arial" w:hAnsi="Arial" w:cs="Arial"/>
          <w:i/>
          <w:iCs/>
          <w:sz w:val="24"/>
          <w:szCs w:val="24"/>
        </w:rPr>
        <w:t xml:space="preserve">Understand and Using Educational Theories. </w:t>
      </w:r>
      <w:r w:rsidRPr="00C6762F">
        <w:rPr>
          <w:rFonts w:ascii="Arial" w:hAnsi="Arial" w:cs="Arial"/>
          <w:sz w:val="24"/>
          <w:szCs w:val="24"/>
        </w:rPr>
        <w:t>2nd Ed.  Los Angeles: SAGE Publications Ltd.</w:t>
      </w:r>
    </w:p>
    <w:p w14:paraId="214EF0D3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DAC66B" w14:textId="4E9E2531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762F">
        <w:rPr>
          <w:rFonts w:ascii="Arial" w:hAnsi="Arial" w:cs="Arial"/>
          <w:sz w:val="24"/>
          <w:szCs w:val="24"/>
          <w:lang w:val="en-US"/>
        </w:rPr>
        <w:t xml:space="preserve">Baker, C. (2011) 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>Foundations of Bilingual Education and Bilingualism</w:t>
      </w:r>
      <w:r w:rsidRPr="00C6762F">
        <w:rPr>
          <w:rFonts w:ascii="Arial" w:hAnsi="Arial" w:cs="Arial"/>
          <w:sz w:val="24"/>
          <w:szCs w:val="24"/>
          <w:lang w:val="en-US"/>
        </w:rPr>
        <w:t xml:space="preserve"> (5th ed). </w:t>
      </w:r>
      <w:proofErr w:type="spellStart"/>
      <w:r w:rsidRPr="00C6762F">
        <w:rPr>
          <w:rFonts w:ascii="Arial" w:hAnsi="Arial" w:cs="Arial"/>
          <w:sz w:val="24"/>
          <w:szCs w:val="24"/>
          <w:lang w:val="en-US"/>
        </w:rPr>
        <w:t>Clevedon</w:t>
      </w:r>
      <w:proofErr w:type="spellEnd"/>
      <w:r w:rsidRPr="00C6762F">
        <w:rPr>
          <w:rFonts w:ascii="Arial" w:hAnsi="Arial" w:cs="Arial"/>
          <w:sz w:val="24"/>
          <w:szCs w:val="24"/>
          <w:lang w:val="en-US"/>
        </w:rPr>
        <w:t>: Multilingual Matters.</w:t>
      </w:r>
    </w:p>
    <w:p w14:paraId="24059707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CFADAD4" w14:textId="6D9C0FFF" w:rsidR="004A1AFF" w:rsidRDefault="004A1AFF" w:rsidP="00C6762F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t xml:space="preserve">Binder J. R. (2015). The Wernicke area: Modern evidence and a reinterpretation. Neurology, 85(24), 2170–2175. </w:t>
      </w:r>
      <w:hyperlink r:id="rId6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https://doi.org/10.1212/WNL.0000000000002219</w:t>
        </w:r>
      </w:hyperlink>
    </w:p>
    <w:p w14:paraId="171EA845" w14:textId="77777777" w:rsidR="00367060" w:rsidRPr="00C6762F" w:rsidRDefault="00367060" w:rsidP="00C6762F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</w:p>
    <w:p w14:paraId="2EA9B655" w14:textId="031662CB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C6762F">
        <w:rPr>
          <w:rFonts w:ascii="Arial" w:hAnsi="Arial" w:cs="Arial"/>
          <w:sz w:val="24"/>
          <w:szCs w:val="24"/>
          <w:lang w:val="en-US"/>
        </w:rPr>
        <w:t>Canbay</w:t>
      </w:r>
      <w:proofErr w:type="spellEnd"/>
      <w:r w:rsidRPr="00C6762F">
        <w:rPr>
          <w:rFonts w:ascii="Arial" w:hAnsi="Arial" w:cs="Arial"/>
          <w:sz w:val="24"/>
          <w:szCs w:val="24"/>
          <w:lang w:val="en-US"/>
        </w:rPr>
        <w:t>, O. (2011) ‘</w:t>
      </w:r>
      <w:r w:rsidRPr="00C6762F">
        <w:rPr>
          <w:rFonts w:ascii="Arial" w:hAnsi="Arial" w:cs="Arial"/>
          <w:sz w:val="24"/>
          <w:szCs w:val="24"/>
          <w:lang w:val="en-US"/>
        </w:rPr>
        <w:t>Comparing the phonological awareness of bilingual and</w:t>
      </w:r>
      <w:r w:rsidRPr="00C6762F">
        <w:rPr>
          <w:rFonts w:ascii="Arial" w:hAnsi="Arial" w:cs="Arial"/>
          <w:sz w:val="24"/>
          <w:szCs w:val="24"/>
          <w:lang w:val="en-US"/>
        </w:rPr>
        <w:t xml:space="preserve"> </w:t>
      </w:r>
      <w:r w:rsidRPr="00C6762F">
        <w:rPr>
          <w:rFonts w:ascii="Arial" w:hAnsi="Arial" w:cs="Arial"/>
          <w:sz w:val="24"/>
          <w:szCs w:val="24"/>
          <w:lang w:val="en-US"/>
        </w:rPr>
        <w:t>monolingual pre-school children</w:t>
      </w:r>
      <w:r w:rsidRPr="00C6762F">
        <w:rPr>
          <w:rFonts w:ascii="Arial" w:hAnsi="Arial" w:cs="Arial"/>
          <w:sz w:val="24"/>
          <w:szCs w:val="24"/>
          <w:lang w:val="en-US"/>
        </w:rPr>
        <w:t xml:space="preserve">’, 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>Procedia Social and Behavioral Sciences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>,</w:t>
      </w:r>
      <w:r w:rsidRPr="00C6762F">
        <w:rPr>
          <w:rFonts w:ascii="Arial" w:hAnsi="Arial" w:cs="Arial"/>
          <w:sz w:val="24"/>
          <w:szCs w:val="24"/>
          <w:lang w:val="en-US"/>
        </w:rPr>
        <w:t xml:space="preserve"> 15</w:t>
      </w:r>
      <w:r w:rsidRPr="00C6762F">
        <w:rPr>
          <w:rFonts w:ascii="Arial" w:hAnsi="Arial" w:cs="Arial"/>
          <w:sz w:val="24"/>
          <w:szCs w:val="24"/>
          <w:lang w:val="en-US"/>
        </w:rPr>
        <w:t>, pp.</w:t>
      </w:r>
      <w:r w:rsidRPr="00C6762F">
        <w:rPr>
          <w:rFonts w:ascii="Arial" w:hAnsi="Arial" w:cs="Arial"/>
          <w:sz w:val="24"/>
          <w:szCs w:val="24"/>
          <w:lang w:val="en-US"/>
        </w:rPr>
        <w:t>976–980</w:t>
      </w:r>
      <w:r w:rsidRPr="00C6762F">
        <w:rPr>
          <w:rFonts w:ascii="Arial" w:hAnsi="Arial" w:cs="Arial"/>
          <w:sz w:val="24"/>
          <w:szCs w:val="24"/>
          <w:lang w:val="en-US"/>
        </w:rPr>
        <w:t>. Available at:</w:t>
      </w:r>
      <w:r w:rsidRPr="00C6762F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C6762F">
          <w:rPr>
            <w:rStyle w:val="Hyperlink"/>
            <w:rFonts w:ascii="Arial" w:hAnsi="Arial" w:cs="Arial"/>
            <w:sz w:val="24"/>
            <w:szCs w:val="24"/>
            <w:lang w:val="en-US"/>
          </w:rPr>
          <w:t>https://core.ac.uk/download/pdf/82106985.pdf</w:t>
        </w:r>
      </w:hyperlink>
      <w:r w:rsidRPr="00C6762F">
        <w:rPr>
          <w:rFonts w:ascii="Arial" w:hAnsi="Arial" w:cs="Arial"/>
          <w:sz w:val="24"/>
          <w:szCs w:val="24"/>
          <w:lang w:val="en-US"/>
        </w:rPr>
        <w:t xml:space="preserve"> [</w:t>
      </w:r>
      <w:proofErr w:type="spellStart"/>
      <w:r w:rsidRPr="00C6762F">
        <w:rPr>
          <w:rFonts w:ascii="Arial" w:hAnsi="Arial" w:cs="Arial"/>
          <w:sz w:val="24"/>
          <w:szCs w:val="24"/>
          <w:lang w:val="en-US"/>
        </w:rPr>
        <w:t>Acessed</w:t>
      </w:r>
      <w:proofErr w:type="spellEnd"/>
      <w:r w:rsidRPr="00C6762F">
        <w:rPr>
          <w:rFonts w:ascii="Arial" w:hAnsi="Arial" w:cs="Arial"/>
          <w:sz w:val="24"/>
          <w:szCs w:val="24"/>
          <w:lang w:val="en-US"/>
        </w:rPr>
        <w:t>: 21st March 2021].</w:t>
      </w:r>
    </w:p>
    <w:p w14:paraId="0CD8B8A0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FC4A103" w14:textId="6D84EA19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t xml:space="preserve">Devarakonda, C. (2013) </w:t>
      </w:r>
      <w:r w:rsidRPr="00C6762F">
        <w:rPr>
          <w:rFonts w:ascii="Arial" w:hAnsi="Arial" w:cs="Arial"/>
          <w:i/>
          <w:iCs/>
          <w:sz w:val="24"/>
          <w:szCs w:val="24"/>
        </w:rPr>
        <w:t>Diversity and Inclusion in Early Childhood: An Introduction</w:t>
      </w:r>
      <w:r w:rsidRPr="00C6762F">
        <w:rPr>
          <w:rFonts w:ascii="Arial" w:hAnsi="Arial" w:cs="Arial"/>
          <w:sz w:val="24"/>
          <w:szCs w:val="24"/>
        </w:rPr>
        <w:t>. London: Sage Publications Ltd.</w:t>
      </w:r>
    </w:p>
    <w:p w14:paraId="1F15BB5E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61CA86" w14:textId="35B07827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  <w:lang w:val="en-US"/>
        </w:rPr>
        <w:t xml:space="preserve">Franson, C (2009) 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 xml:space="preserve">What is Bilingualism? </w:t>
      </w:r>
      <w:r w:rsidRPr="00C6762F">
        <w:rPr>
          <w:rFonts w:ascii="Arial" w:hAnsi="Arial" w:cs="Arial"/>
          <w:sz w:val="24"/>
          <w:szCs w:val="24"/>
          <w:lang w:val="en-US"/>
        </w:rPr>
        <w:t>Available at:</w:t>
      </w:r>
      <w:r w:rsidRPr="00C6762F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C6762F">
          <w:rPr>
            <w:rStyle w:val="Hyperlink"/>
            <w:rFonts w:ascii="Arial" w:hAnsi="Arial" w:cs="Arial"/>
            <w:sz w:val="24"/>
            <w:szCs w:val="24"/>
          </w:rPr>
          <w:t>www.naldic.org.uk/ITTSEAL2/teaching/B1.cfm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p w14:paraId="4DFE4B6E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A38019" w14:textId="13DDD13E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6762F">
        <w:rPr>
          <w:rFonts w:ascii="Arial" w:hAnsi="Arial" w:cs="Arial"/>
          <w:sz w:val="24"/>
          <w:szCs w:val="24"/>
        </w:rPr>
        <w:t>Gianoutsos</w:t>
      </w:r>
      <w:proofErr w:type="spellEnd"/>
      <w:r w:rsidRPr="00C6762F">
        <w:rPr>
          <w:rFonts w:ascii="Arial" w:hAnsi="Arial" w:cs="Arial"/>
          <w:sz w:val="24"/>
          <w:szCs w:val="24"/>
        </w:rPr>
        <w:t>, J. (no date) ‘</w:t>
      </w:r>
      <w:r w:rsidRPr="00C6762F">
        <w:rPr>
          <w:rFonts w:ascii="Arial" w:hAnsi="Arial" w:cs="Arial"/>
          <w:sz w:val="24"/>
          <w:szCs w:val="24"/>
        </w:rPr>
        <w:t>L</w:t>
      </w:r>
      <w:r w:rsidRPr="00C6762F">
        <w:rPr>
          <w:rFonts w:ascii="Arial" w:hAnsi="Arial" w:cs="Arial"/>
          <w:sz w:val="24"/>
          <w:szCs w:val="24"/>
        </w:rPr>
        <w:t xml:space="preserve">ocke and </w:t>
      </w:r>
      <w:r w:rsidRPr="00C6762F">
        <w:rPr>
          <w:rFonts w:ascii="Arial" w:hAnsi="Arial" w:cs="Arial"/>
          <w:sz w:val="24"/>
          <w:szCs w:val="24"/>
        </w:rPr>
        <w:t>R</w:t>
      </w:r>
      <w:r w:rsidRPr="00C6762F">
        <w:rPr>
          <w:rFonts w:ascii="Arial" w:hAnsi="Arial" w:cs="Arial"/>
          <w:sz w:val="24"/>
          <w:szCs w:val="24"/>
        </w:rPr>
        <w:t>ousseau</w:t>
      </w:r>
      <w:r w:rsidRPr="00C6762F">
        <w:rPr>
          <w:rFonts w:ascii="Arial" w:hAnsi="Arial" w:cs="Arial"/>
          <w:sz w:val="24"/>
          <w:szCs w:val="24"/>
        </w:rPr>
        <w:t>: E</w:t>
      </w:r>
      <w:r w:rsidRPr="00C6762F">
        <w:rPr>
          <w:rFonts w:ascii="Arial" w:hAnsi="Arial" w:cs="Arial"/>
          <w:sz w:val="24"/>
          <w:szCs w:val="24"/>
        </w:rPr>
        <w:t>arly</w:t>
      </w:r>
      <w:r w:rsidRPr="00C6762F">
        <w:rPr>
          <w:rFonts w:ascii="Arial" w:hAnsi="Arial" w:cs="Arial"/>
          <w:sz w:val="24"/>
          <w:szCs w:val="24"/>
        </w:rPr>
        <w:t xml:space="preserve"> C</w:t>
      </w:r>
      <w:r w:rsidRPr="00C6762F">
        <w:rPr>
          <w:rFonts w:ascii="Arial" w:hAnsi="Arial" w:cs="Arial"/>
          <w:sz w:val="24"/>
          <w:szCs w:val="24"/>
        </w:rPr>
        <w:t>hildhood</w:t>
      </w:r>
      <w:r w:rsidRPr="00C6762F">
        <w:rPr>
          <w:rFonts w:ascii="Arial" w:hAnsi="Arial" w:cs="Arial"/>
          <w:sz w:val="24"/>
          <w:szCs w:val="24"/>
        </w:rPr>
        <w:t xml:space="preserve"> E</w:t>
      </w:r>
      <w:r w:rsidRPr="00C6762F">
        <w:rPr>
          <w:rFonts w:ascii="Arial" w:hAnsi="Arial" w:cs="Arial"/>
          <w:sz w:val="24"/>
          <w:szCs w:val="24"/>
        </w:rPr>
        <w:t xml:space="preserve">ducation’, </w:t>
      </w:r>
      <w:r w:rsidRPr="00C6762F">
        <w:rPr>
          <w:rFonts w:ascii="Arial" w:hAnsi="Arial" w:cs="Arial"/>
          <w:i/>
          <w:iCs/>
          <w:sz w:val="24"/>
          <w:szCs w:val="24"/>
        </w:rPr>
        <w:t xml:space="preserve">The Pulse, </w:t>
      </w:r>
      <w:r w:rsidRPr="00C6762F">
        <w:rPr>
          <w:rFonts w:ascii="Arial" w:hAnsi="Arial" w:cs="Arial"/>
          <w:sz w:val="24"/>
          <w:szCs w:val="24"/>
        </w:rPr>
        <w:t xml:space="preserve">4(1), no page.  Available at: </w:t>
      </w:r>
      <w:hyperlink r:id="rId9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https://www.baylor.edu/content/services/do</w:t>
        </w:r>
        <w:r w:rsidRPr="00C6762F">
          <w:rPr>
            <w:rStyle w:val="Hyperlink"/>
            <w:rFonts w:ascii="Arial" w:hAnsi="Arial" w:cs="Arial"/>
            <w:sz w:val="24"/>
            <w:szCs w:val="24"/>
          </w:rPr>
          <w:t>c</w:t>
        </w:r>
        <w:r w:rsidRPr="00C6762F">
          <w:rPr>
            <w:rStyle w:val="Hyperlink"/>
            <w:rFonts w:ascii="Arial" w:hAnsi="Arial" w:cs="Arial"/>
            <w:sz w:val="24"/>
            <w:szCs w:val="24"/>
          </w:rPr>
          <w:t>ument.php?id=37670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p w14:paraId="3FB1012E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761E03" w14:textId="04870A65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lastRenderedPageBreak/>
        <w:t xml:space="preserve">Goodman, S. (2015) </w:t>
      </w:r>
      <w:r w:rsidRPr="00C6762F">
        <w:rPr>
          <w:rFonts w:ascii="Arial" w:hAnsi="Arial" w:cs="Arial"/>
          <w:i/>
          <w:iCs/>
          <w:sz w:val="24"/>
          <w:szCs w:val="24"/>
        </w:rPr>
        <w:t xml:space="preserve">Fuel Creativity in the Classroom </w:t>
      </w:r>
      <w:proofErr w:type="gramStart"/>
      <w:r w:rsidRPr="00C6762F">
        <w:rPr>
          <w:rFonts w:ascii="Arial" w:hAnsi="Arial" w:cs="Arial"/>
          <w:i/>
          <w:iCs/>
          <w:sz w:val="24"/>
          <w:szCs w:val="24"/>
        </w:rPr>
        <w:t>With</w:t>
      </w:r>
      <w:proofErr w:type="gramEnd"/>
      <w:r w:rsidRPr="00C6762F">
        <w:rPr>
          <w:rFonts w:ascii="Arial" w:hAnsi="Arial" w:cs="Arial"/>
          <w:i/>
          <w:iCs/>
          <w:sz w:val="24"/>
          <w:szCs w:val="24"/>
        </w:rPr>
        <w:t xml:space="preserve"> Divergent Thinking. </w:t>
      </w:r>
      <w:r w:rsidRPr="00C6762F">
        <w:rPr>
          <w:rFonts w:ascii="Arial" w:hAnsi="Arial" w:cs="Arial"/>
          <w:sz w:val="24"/>
          <w:szCs w:val="24"/>
        </w:rPr>
        <w:t xml:space="preserve">Available at: </w:t>
      </w:r>
      <w:hyperlink r:id="rId10" w:anchor=":~:text=The%20word%20divergent%20is%20partly,is%20often%20associated%20with%20creativity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https://www.edutopia.org/blog/fueling-creativity-through-divergent-thinking-classroom-stacey-goodman#:~:text=The%20word%20divergent%20is%20partly,is%20often%20associated%20with%20creativity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p w14:paraId="4BA67F82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6A5E9D" w14:textId="4D768E9E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762F">
        <w:rPr>
          <w:rFonts w:ascii="Arial" w:hAnsi="Arial" w:cs="Arial"/>
          <w:sz w:val="24"/>
          <w:szCs w:val="24"/>
          <w:lang w:val="en-US"/>
        </w:rPr>
        <w:t xml:space="preserve">Gort, M. (2019) 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>Bilingualism Matters: Myths and Facts about Early Bilingual Development</w:t>
      </w:r>
      <w:r w:rsidRPr="00C6762F">
        <w:rPr>
          <w:rFonts w:ascii="Arial" w:hAnsi="Arial" w:cs="Arial"/>
          <w:sz w:val="24"/>
          <w:szCs w:val="24"/>
          <w:lang w:val="en-US"/>
        </w:rPr>
        <w:t xml:space="preserve"> [video clip] Available at: </w:t>
      </w:r>
      <w:hyperlink r:id="rId11" w:history="1">
        <w:r w:rsidRPr="00C6762F">
          <w:rPr>
            <w:rStyle w:val="Hyperlink"/>
            <w:rFonts w:ascii="Arial" w:hAnsi="Arial" w:cs="Arial"/>
            <w:sz w:val="24"/>
            <w:szCs w:val="24"/>
            <w:lang w:val="en-US"/>
          </w:rPr>
          <w:t>https://www.youtube.com/watch?v=i9L9-wtRjmo</w:t>
        </w:r>
      </w:hyperlink>
      <w:r w:rsidRPr="00C6762F">
        <w:rPr>
          <w:rFonts w:ascii="Arial" w:hAnsi="Arial" w:cs="Arial"/>
          <w:sz w:val="24"/>
          <w:szCs w:val="24"/>
          <w:lang w:val="en-US"/>
        </w:rPr>
        <w:t xml:space="preserve"> [Accessed: 21st March 2021].</w:t>
      </w:r>
    </w:p>
    <w:p w14:paraId="584A2EEB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3BC7AE2" w14:textId="30F6E050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C6762F">
        <w:rPr>
          <w:rFonts w:ascii="Arial" w:hAnsi="Arial" w:cs="Arial"/>
          <w:sz w:val="24"/>
          <w:szCs w:val="24"/>
          <w:lang w:val="cy-GB"/>
        </w:rPr>
        <w:t xml:space="preserve">Hoffman, C.(2020) </w:t>
      </w:r>
      <w:r w:rsidRPr="00C6762F">
        <w:rPr>
          <w:rFonts w:ascii="Arial" w:hAnsi="Arial" w:cs="Arial"/>
          <w:i/>
          <w:iCs/>
          <w:sz w:val="24"/>
          <w:szCs w:val="24"/>
        </w:rPr>
        <w:t xml:space="preserve">A literature review examining the effects of bilingualism in individuals who stutter. </w:t>
      </w:r>
      <w:r w:rsidRPr="00C6762F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13" w:history="1">
        <w:r w:rsidRPr="00C6762F">
          <w:rPr>
            <w:rStyle w:val="Hyperlink"/>
            <w:rFonts w:ascii="Arial" w:hAnsi="Arial" w:cs="Arial"/>
            <w:sz w:val="24"/>
            <w:szCs w:val="24"/>
          </w:rPr>
          <w:t>digitalcommons.murraystate.edu/cgi/viewcontent.cgi?article=1034&amp;context=honorstheses</w:t>
        </w:r>
      </w:hyperlink>
      <w:r w:rsidRPr="00C6762F">
        <w:rPr>
          <w:rFonts w:ascii="Arial" w:hAnsi="Arial" w:cs="Arial"/>
          <w:sz w:val="24"/>
          <w:szCs w:val="24"/>
        </w:rPr>
        <w:t xml:space="preserve"> [</w:t>
      </w:r>
      <w:r w:rsidRPr="00C6762F">
        <w:rPr>
          <w:rFonts w:ascii="Arial" w:hAnsi="Arial" w:cs="Arial"/>
          <w:sz w:val="24"/>
          <w:szCs w:val="24"/>
          <w:lang w:val="cy-GB"/>
        </w:rPr>
        <w:t>Accessed: 21st March 2021].</w:t>
      </w:r>
    </w:p>
    <w:p w14:paraId="0A0828F8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50C325BD" w14:textId="761865A4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t xml:space="preserve">Hoffman, J. and Russ, S. (2012) ‘Pretend Play, Creativity, and Emotion Regulation in Children’, </w:t>
      </w:r>
      <w:r w:rsidRPr="00C6762F">
        <w:rPr>
          <w:rFonts w:ascii="Arial" w:hAnsi="Arial" w:cs="Arial"/>
          <w:i/>
          <w:iCs/>
          <w:sz w:val="24"/>
          <w:szCs w:val="24"/>
        </w:rPr>
        <w:t xml:space="preserve">Psychology of Aesthetics, Creativity, and the Arts, </w:t>
      </w:r>
      <w:r w:rsidRPr="00C6762F">
        <w:rPr>
          <w:rFonts w:ascii="Arial" w:hAnsi="Arial" w:cs="Arial"/>
          <w:sz w:val="24"/>
          <w:szCs w:val="24"/>
        </w:rPr>
        <w:t>6(2), pp. 175-184.</w:t>
      </w:r>
    </w:p>
    <w:p w14:paraId="21004395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8BA43E" w14:textId="222D8079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6762F">
        <w:rPr>
          <w:rFonts w:ascii="Arial" w:hAnsi="Arial" w:cs="Arial"/>
          <w:sz w:val="24"/>
          <w:szCs w:val="24"/>
        </w:rPr>
        <w:t>Kharkhurin</w:t>
      </w:r>
      <w:proofErr w:type="spellEnd"/>
      <w:r w:rsidRPr="00C6762F">
        <w:rPr>
          <w:rFonts w:ascii="Arial" w:hAnsi="Arial" w:cs="Arial"/>
          <w:sz w:val="24"/>
          <w:szCs w:val="24"/>
        </w:rPr>
        <w:t xml:space="preserve">, A. (2009). ‘The Role of Bilingualism in Creative Performance on Divergent Thinking and Invented Alien Creatures Tests’, </w:t>
      </w:r>
      <w:r w:rsidRPr="00C6762F">
        <w:rPr>
          <w:rFonts w:ascii="Arial" w:hAnsi="Arial" w:cs="Arial"/>
          <w:i/>
          <w:iCs/>
          <w:sz w:val="24"/>
          <w:szCs w:val="24"/>
        </w:rPr>
        <w:t>The Journal of Creative Behaviour</w:t>
      </w:r>
      <w:r w:rsidRPr="00C6762F">
        <w:rPr>
          <w:rFonts w:ascii="Arial" w:hAnsi="Arial" w:cs="Arial"/>
          <w:sz w:val="24"/>
          <w:szCs w:val="24"/>
        </w:rPr>
        <w:t xml:space="preserve">, 43(1), pp. 59-71.  Available at: </w:t>
      </w:r>
      <w:hyperlink r:id="rId14" w:history="1">
        <w:r w:rsidRPr="00C6762F">
          <w:rPr>
            <w:rStyle w:val="Hyperlink"/>
            <w:rFonts w:ascii="Arial" w:hAnsi="Arial" w:cs="Arial"/>
            <w:color w:val="005274"/>
            <w:sz w:val="24"/>
            <w:szCs w:val="24"/>
            <w:shd w:val="clear" w:color="auto" w:fill="FFFFFF"/>
          </w:rPr>
          <w:t>https://doi.org/10.1002/j.2162-6057.2009.tb01306.x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p w14:paraId="46A67786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28BD89" w14:textId="7B443A26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C6762F">
        <w:rPr>
          <w:rFonts w:ascii="Arial" w:hAnsi="Arial" w:cs="Arial"/>
          <w:sz w:val="24"/>
          <w:szCs w:val="24"/>
        </w:rPr>
        <w:t xml:space="preserve">Kuipers, J. R. and Thierry, G. (2015) </w:t>
      </w:r>
      <w:r w:rsidRPr="00C6762F">
        <w:rPr>
          <w:rFonts w:ascii="Arial" w:hAnsi="Arial" w:cs="Arial"/>
          <w:i/>
          <w:iCs/>
          <w:sz w:val="24"/>
          <w:szCs w:val="24"/>
        </w:rPr>
        <w:t>Bilingualism and increased attention to speech: Evidence from event-related potentials</w:t>
      </w:r>
      <w:r w:rsidRPr="00C6762F">
        <w:rPr>
          <w:rFonts w:ascii="Arial" w:hAnsi="Arial" w:cs="Arial"/>
          <w:sz w:val="24"/>
          <w:szCs w:val="24"/>
        </w:rPr>
        <w:t xml:space="preserve">. </w:t>
      </w:r>
      <w:hyperlink r:id="rId15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16" w:history="1">
        <w:r w:rsidRPr="00C6762F">
          <w:rPr>
            <w:rStyle w:val="Hyperlink"/>
            <w:rFonts w:ascii="Arial" w:hAnsi="Arial" w:cs="Arial"/>
            <w:sz w:val="24"/>
            <w:szCs w:val="24"/>
          </w:rPr>
          <w:t>www.sciencedirect.com/science/article/pii/S0093934X15001443</w:t>
        </w:r>
      </w:hyperlink>
      <w:r w:rsidRPr="00C6762F">
        <w:rPr>
          <w:rFonts w:ascii="Arial" w:hAnsi="Arial" w:cs="Arial"/>
          <w:sz w:val="24"/>
          <w:szCs w:val="24"/>
        </w:rPr>
        <w:t xml:space="preserve"> </w:t>
      </w:r>
      <w:r w:rsidRPr="00C6762F">
        <w:rPr>
          <w:rFonts w:ascii="Arial" w:hAnsi="Arial" w:cs="Arial"/>
          <w:sz w:val="24"/>
          <w:szCs w:val="24"/>
          <w:lang w:val="cy-GB"/>
        </w:rPr>
        <w:t>[Accessed: 21st March 2021].</w:t>
      </w:r>
    </w:p>
    <w:p w14:paraId="0377C848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0EFBF089" w14:textId="254B2B07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762F">
        <w:rPr>
          <w:rFonts w:ascii="Arial" w:hAnsi="Arial" w:cs="Arial"/>
          <w:sz w:val="24"/>
          <w:szCs w:val="24"/>
          <w:lang w:val="en-US"/>
        </w:rPr>
        <w:lastRenderedPageBreak/>
        <w:t xml:space="preserve">Marian, V., &amp; Shook, A. (2012). ‘The Cognitive Benefits of Being Bilingual’, </w:t>
      </w:r>
      <w:proofErr w:type="gramStart"/>
      <w:r w:rsidRPr="00C6762F">
        <w:rPr>
          <w:rFonts w:ascii="Arial" w:hAnsi="Arial" w:cs="Arial"/>
          <w:i/>
          <w:iCs/>
          <w:sz w:val="24"/>
          <w:szCs w:val="24"/>
          <w:lang w:val="en-US"/>
        </w:rPr>
        <w:t>Cerebrum :the</w:t>
      </w:r>
      <w:proofErr w:type="gramEnd"/>
      <w:r w:rsidRPr="00C6762F">
        <w:rPr>
          <w:rFonts w:ascii="Arial" w:hAnsi="Arial" w:cs="Arial"/>
          <w:i/>
          <w:iCs/>
          <w:sz w:val="24"/>
          <w:szCs w:val="24"/>
          <w:lang w:val="en-US"/>
        </w:rPr>
        <w:t xml:space="preserve"> Dana Forum on Brain Science</w:t>
      </w:r>
      <w:r w:rsidRPr="00C6762F">
        <w:rPr>
          <w:rFonts w:ascii="Arial" w:hAnsi="Arial" w:cs="Arial"/>
          <w:sz w:val="24"/>
          <w:szCs w:val="24"/>
          <w:lang w:val="en-US"/>
        </w:rPr>
        <w:t xml:space="preserve">, 13, no page. Available at: </w:t>
      </w:r>
      <w:hyperlink r:id="rId17" w:history="1">
        <w:r w:rsidRPr="00C6762F">
          <w:rPr>
            <w:rStyle w:val="Hyperlink"/>
            <w:rFonts w:ascii="Arial" w:hAnsi="Arial" w:cs="Arial"/>
            <w:sz w:val="24"/>
            <w:szCs w:val="24"/>
            <w:lang w:val="en-US"/>
          </w:rPr>
          <w:t>https://www.researchgate.net/publication/235751035_The_Cognitive_Benefits_of_Being_Bilingual</w:t>
        </w:r>
      </w:hyperlink>
      <w:r w:rsidRPr="00C6762F">
        <w:rPr>
          <w:rFonts w:ascii="Arial" w:hAnsi="Arial" w:cs="Arial"/>
          <w:sz w:val="24"/>
          <w:szCs w:val="24"/>
          <w:lang w:val="en-US"/>
        </w:rPr>
        <w:t xml:space="preserve"> [Accessed: 21st March 2021].</w:t>
      </w:r>
    </w:p>
    <w:p w14:paraId="4FBE8036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2478159" w14:textId="5A497B32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t xml:space="preserve">Ofsted (2013) </w:t>
      </w:r>
      <w:r w:rsidRPr="00C6762F">
        <w:rPr>
          <w:rFonts w:ascii="Arial" w:hAnsi="Arial" w:cs="Arial"/>
          <w:i/>
          <w:iCs/>
          <w:sz w:val="24"/>
          <w:szCs w:val="24"/>
        </w:rPr>
        <w:t>English as an additional language A briefing paper for section 5 inspectors</w:t>
      </w:r>
      <w:r w:rsidRPr="00C6762F">
        <w:rPr>
          <w:rFonts w:ascii="Arial" w:hAnsi="Arial" w:cs="Arial"/>
          <w:sz w:val="24"/>
          <w:szCs w:val="24"/>
        </w:rPr>
        <w:t xml:space="preserve">, </w:t>
      </w:r>
      <w:hyperlink r:id="rId18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http://www.naldic.org.uk/eal-teaching-and-learning/outline-guidance/eal-ofsted</w:t>
        </w:r>
      </w:hyperlink>
      <w:hyperlink r:id="rId19" w:history="1">
        <w:r w:rsidRPr="00C6762F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p w14:paraId="5008165D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3A1B68" w14:textId="614EC886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762F">
        <w:rPr>
          <w:rFonts w:ascii="Arial" w:hAnsi="Arial" w:cs="Arial"/>
          <w:sz w:val="24"/>
          <w:szCs w:val="24"/>
          <w:lang w:val="en-US"/>
        </w:rPr>
        <w:t xml:space="preserve">Perry, S. (2008) 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 xml:space="preserve">The Bilingual Brain. </w:t>
      </w:r>
      <w:r w:rsidRPr="00C6762F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20" w:history="1">
        <w:r w:rsidRPr="00C6762F">
          <w:rPr>
            <w:rStyle w:val="Hyperlink"/>
            <w:rFonts w:ascii="Arial" w:hAnsi="Arial" w:cs="Arial"/>
            <w:sz w:val="24"/>
            <w:szCs w:val="24"/>
            <w:lang w:val="en-US"/>
          </w:rPr>
          <w:t>http://www.brainfacts.org/Archives/2008/The-Bilingual-Brain</w:t>
        </w:r>
      </w:hyperlink>
      <w:r w:rsidRPr="00C6762F">
        <w:rPr>
          <w:rFonts w:ascii="Arial" w:hAnsi="Arial" w:cs="Arial"/>
          <w:sz w:val="24"/>
          <w:szCs w:val="24"/>
          <w:lang w:val="en-US"/>
        </w:rPr>
        <w:t xml:space="preserve"> [Accessed: 22nd March 2021].</w:t>
      </w:r>
    </w:p>
    <w:p w14:paraId="266F953F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C3A4A29" w14:textId="21BD6030" w:rsidR="004A1AFF" w:rsidRDefault="004A1AFF" w:rsidP="00C6762F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  <w:lang w:val="en-US"/>
        </w:rPr>
      </w:pPr>
      <w:r w:rsidRPr="00C6762F">
        <w:rPr>
          <w:rFonts w:ascii="Arial" w:hAnsi="Arial" w:cs="Arial"/>
          <w:sz w:val="24"/>
          <w:szCs w:val="24"/>
          <w:lang w:val="en-US"/>
        </w:rPr>
        <w:t xml:space="preserve">Purves D., Augustine, GJ., Fitzpatrick D., et al. (2001) 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 xml:space="preserve">Neuroscience: </w:t>
      </w:r>
      <w:r w:rsidRPr="00C6762F">
        <w:rPr>
          <w:rFonts w:ascii="Arial" w:hAnsi="Arial" w:cs="Arial"/>
          <w:i/>
          <w:iCs/>
          <w:sz w:val="24"/>
          <w:szCs w:val="24"/>
          <w:lang w:val="en-US"/>
        </w:rPr>
        <w:t>The Auditory Cortex</w:t>
      </w:r>
      <w:r w:rsidRPr="00C6762F">
        <w:rPr>
          <w:rFonts w:ascii="Arial" w:hAnsi="Arial" w:cs="Arial"/>
          <w:sz w:val="24"/>
          <w:szCs w:val="24"/>
          <w:lang w:val="en-US"/>
        </w:rPr>
        <w:t>. 2nd Ed. Sunderland: Sinauer Associates.</w:t>
      </w:r>
      <w:r w:rsidRPr="00C6762F">
        <w:rPr>
          <w:rStyle w:val="Hyperlink"/>
          <w:rFonts w:ascii="Arial" w:hAnsi="Arial" w:cs="Arial"/>
          <w:sz w:val="24"/>
          <w:szCs w:val="24"/>
          <w:lang w:val="en-US"/>
        </w:rPr>
        <w:t xml:space="preserve"> </w:t>
      </w:r>
    </w:p>
    <w:p w14:paraId="791FE428" w14:textId="77777777" w:rsidR="00367060" w:rsidRPr="00C6762F" w:rsidRDefault="00367060" w:rsidP="00C6762F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  <w:lang w:val="en-US"/>
        </w:rPr>
      </w:pPr>
    </w:p>
    <w:p w14:paraId="033BD785" w14:textId="5780C0C0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t xml:space="preserve">Qualifications, Curriculum and Assessment Authority for Wales (2003) </w:t>
      </w:r>
      <w:r w:rsidRPr="00C6762F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Pr="00C6762F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Pr="00C6762F">
        <w:rPr>
          <w:rFonts w:ascii="Arial" w:hAnsi="Arial" w:cs="Arial"/>
          <w:i/>
          <w:iCs/>
          <w:sz w:val="24"/>
          <w:szCs w:val="24"/>
        </w:rPr>
        <w:t xml:space="preserve">. </w:t>
      </w:r>
      <w:r w:rsidRPr="00C6762F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https://hwb.gov.wales/api/storage/8e68e2f5-851f-43b8-af24-9eb38cf62482/developing-the-curriculum-cymreig.pdf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p w14:paraId="016F6716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C7CDE1" w14:textId="29D26899" w:rsidR="004A1AF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proofErr w:type="spellStart"/>
      <w:r w:rsidRPr="00C6762F">
        <w:rPr>
          <w:rFonts w:ascii="Arial" w:hAnsi="Arial" w:cs="Arial"/>
          <w:sz w:val="24"/>
          <w:szCs w:val="24"/>
          <w:lang w:val="en-US"/>
        </w:rPr>
        <w:t>Treutler</w:t>
      </w:r>
      <w:proofErr w:type="spellEnd"/>
      <w:r w:rsidRPr="00C6762F">
        <w:rPr>
          <w:rFonts w:ascii="Arial" w:hAnsi="Arial" w:cs="Arial"/>
          <w:sz w:val="24"/>
          <w:szCs w:val="24"/>
          <w:lang w:val="en-US"/>
        </w:rPr>
        <w:t xml:space="preserve">, M. and Soros, P. (2021) </w:t>
      </w:r>
      <w:r w:rsidRPr="00C6762F">
        <w:rPr>
          <w:rFonts w:ascii="Arial" w:hAnsi="Arial" w:cs="Arial"/>
          <w:i/>
          <w:iCs/>
          <w:sz w:val="24"/>
          <w:szCs w:val="24"/>
        </w:rPr>
        <w:t>Functional MRI of native and non-native speech production in sequential German-English bilinguals</w:t>
      </w:r>
      <w:r w:rsidRPr="00C6762F">
        <w:rPr>
          <w:rFonts w:ascii="Arial" w:hAnsi="Arial" w:cs="Arial"/>
          <w:sz w:val="24"/>
          <w:szCs w:val="24"/>
        </w:rPr>
        <w:t xml:space="preserve">, </w:t>
      </w:r>
      <w:hyperlink r:id="rId22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23" w:history="1">
        <w:r w:rsidRPr="00C6762F">
          <w:rPr>
            <w:rStyle w:val="Hyperlink"/>
            <w:rFonts w:ascii="Arial" w:hAnsi="Arial" w:cs="Arial"/>
            <w:sz w:val="24"/>
            <w:szCs w:val="24"/>
          </w:rPr>
          <w:t>www.biorxiv.org/content/10.1101/2021.02.18.431784v1.full</w:t>
        </w:r>
      </w:hyperlink>
      <w:r w:rsidRPr="00C6762F">
        <w:rPr>
          <w:rFonts w:ascii="Arial" w:hAnsi="Arial" w:cs="Arial"/>
          <w:sz w:val="24"/>
          <w:szCs w:val="24"/>
        </w:rPr>
        <w:t xml:space="preserve"> </w:t>
      </w:r>
      <w:r w:rsidRPr="00C6762F">
        <w:rPr>
          <w:rFonts w:ascii="Arial" w:hAnsi="Arial" w:cs="Arial"/>
          <w:sz w:val="24"/>
          <w:szCs w:val="24"/>
          <w:lang w:val="cy-GB"/>
        </w:rPr>
        <w:t>[Accessed: 21st March 2021].</w:t>
      </w:r>
    </w:p>
    <w:p w14:paraId="08037281" w14:textId="77777777" w:rsidR="00367060" w:rsidRPr="00C6762F" w:rsidRDefault="00367060" w:rsidP="00C6762F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7131EBEE" w14:textId="77777777" w:rsidR="004A1AFF" w:rsidRPr="00C6762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t xml:space="preserve">Welsh Government (2008) Learning and Teaching Pedagogy. [PDF Document]. Available at: </w:t>
      </w:r>
      <w:hyperlink r:id="rId24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https://hwb.gov.wales/curriculum-for-wales-2008/foundation-phase/learning-and-teaching-pedagogy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p w14:paraId="23350D56" w14:textId="77777777" w:rsidR="004A1AFF" w:rsidRPr="00C6762F" w:rsidRDefault="004A1AFF" w:rsidP="00C676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62F">
        <w:rPr>
          <w:rFonts w:ascii="Arial" w:hAnsi="Arial" w:cs="Arial"/>
          <w:sz w:val="24"/>
          <w:szCs w:val="24"/>
        </w:rPr>
        <w:lastRenderedPageBreak/>
        <w:t xml:space="preserve">Welsh Government (2014) </w:t>
      </w:r>
      <w:r w:rsidRPr="00C6762F">
        <w:rPr>
          <w:rFonts w:ascii="Arial" w:hAnsi="Arial" w:cs="Arial"/>
          <w:i/>
          <w:iCs/>
          <w:sz w:val="24"/>
          <w:szCs w:val="24"/>
        </w:rPr>
        <w:t xml:space="preserve">Welsh as an Additional Language Research into the level of need and current support provided to black and minority ethnic pupils with Welsh language support needs, </w:t>
      </w:r>
      <w:hyperlink r:id="rId25" w:history="1">
        <w:r w:rsidRPr="00C6762F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26" w:history="1">
        <w:r w:rsidRPr="00C6762F">
          <w:rPr>
            <w:rStyle w:val="Hyperlink"/>
            <w:rFonts w:ascii="Arial" w:hAnsi="Arial" w:cs="Arial"/>
            <w:sz w:val="24"/>
            <w:szCs w:val="24"/>
          </w:rPr>
          <w:t>gov.wales/sites/default/files/statistics-and-research/2019-07/140430-welsh-additional-language-en.pdf</w:t>
        </w:r>
      </w:hyperlink>
      <w:r w:rsidRPr="00C6762F">
        <w:rPr>
          <w:rFonts w:ascii="Arial" w:hAnsi="Arial" w:cs="Arial"/>
          <w:sz w:val="24"/>
          <w:szCs w:val="24"/>
        </w:rPr>
        <w:t xml:space="preserve"> [Accessed: 21st March 2021].</w:t>
      </w:r>
    </w:p>
    <w:sectPr w:rsidR="004A1AFF" w:rsidRPr="00C6762F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B8E072" w14:textId="77777777" w:rsidR="00C6762F" w:rsidRDefault="00C6762F" w:rsidP="00C6762F">
      <w:pPr>
        <w:spacing w:after="0" w:line="240" w:lineRule="auto"/>
      </w:pPr>
      <w:r>
        <w:separator/>
      </w:r>
    </w:p>
  </w:endnote>
  <w:endnote w:type="continuationSeparator" w:id="0">
    <w:p w14:paraId="1040126B" w14:textId="77777777" w:rsidR="00C6762F" w:rsidRDefault="00C6762F" w:rsidP="00C67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62F59C" w14:textId="77777777" w:rsidR="00C6762F" w:rsidRDefault="00C6762F" w:rsidP="00C6762F">
      <w:pPr>
        <w:spacing w:after="0" w:line="240" w:lineRule="auto"/>
      </w:pPr>
      <w:r>
        <w:separator/>
      </w:r>
    </w:p>
  </w:footnote>
  <w:footnote w:type="continuationSeparator" w:id="0">
    <w:p w14:paraId="285ACAD2" w14:textId="77777777" w:rsidR="00C6762F" w:rsidRDefault="00C6762F" w:rsidP="00C67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BE29B" w14:textId="5EC8A11B" w:rsidR="00C6762F" w:rsidRPr="00A70420" w:rsidRDefault="004A1AFF">
    <w:pPr>
      <w:pStyle w:val="Header"/>
      <w:rPr>
        <w:lang w:val="en-US"/>
      </w:rPr>
    </w:pPr>
    <w:r>
      <w:rPr>
        <w:lang w:val="en-US"/>
      </w:rPr>
      <w:t>EAEE4006</w:t>
    </w:r>
    <w:r w:rsidR="008B36D2" w:rsidRPr="008B36D2">
      <w:rPr>
        <w:lang w:val="en-US"/>
      </w:rPr>
      <w:ptab w:relativeTo="margin" w:alignment="center" w:leader="none"/>
    </w:r>
    <w:r w:rsidR="008B36D2" w:rsidRPr="008B36D2">
      <w:rPr>
        <w:lang w:val="en-US"/>
      </w:rPr>
      <w:ptab w:relativeTo="margin" w:alignment="right" w:leader="none"/>
    </w:r>
    <w:r>
      <w:rPr>
        <w:lang w:val="en-US"/>
      </w:rPr>
      <w:t>2008453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98D"/>
    <w:rsid w:val="0000454E"/>
    <w:rsid w:val="000130FC"/>
    <w:rsid w:val="0003081E"/>
    <w:rsid w:val="000441D2"/>
    <w:rsid w:val="000A3340"/>
    <w:rsid w:val="000A6C54"/>
    <w:rsid w:val="000E6A49"/>
    <w:rsid w:val="00120A1C"/>
    <w:rsid w:val="00191F01"/>
    <w:rsid w:val="001D7645"/>
    <w:rsid w:val="00221CD7"/>
    <w:rsid w:val="00267383"/>
    <w:rsid w:val="00283784"/>
    <w:rsid w:val="002A76AC"/>
    <w:rsid w:val="002B3466"/>
    <w:rsid w:val="00302BE5"/>
    <w:rsid w:val="00306250"/>
    <w:rsid w:val="003355C8"/>
    <w:rsid w:val="00367060"/>
    <w:rsid w:val="003D02B7"/>
    <w:rsid w:val="004422C3"/>
    <w:rsid w:val="00460544"/>
    <w:rsid w:val="004607AA"/>
    <w:rsid w:val="0046535F"/>
    <w:rsid w:val="00481AFD"/>
    <w:rsid w:val="00482984"/>
    <w:rsid w:val="004851F8"/>
    <w:rsid w:val="004A1AFF"/>
    <w:rsid w:val="004E432B"/>
    <w:rsid w:val="00543DFC"/>
    <w:rsid w:val="0057398D"/>
    <w:rsid w:val="005F4C36"/>
    <w:rsid w:val="00663F03"/>
    <w:rsid w:val="006F24CE"/>
    <w:rsid w:val="00725A7E"/>
    <w:rsid w:val="00726B9E"/>
    <w:rsid w:val="00746D20"/>
    <w:rsid w:val="007669E9"/>
    <w:rsid w:val="007A7008"/>
    <w:rsid w:val="007B4015"/>
    <w:rsid w:val="00802F04"/>
    <w:rsid w:val="00816A2B"/>
    <w:rsid w:val="00870A12"/>
    <w:rsid w:val="008A480A"/>
    <w:rsid w:val="008B36D2"/>
    <w:rsid w:val="008C7CEA"/>
    <w:rsid w:val="008D01FB"/>
    <w:rsid w:val="008F54CB"/>
    <w:rsid w:val="00922046"/>
    <w:rsid w:val="00961968"/>
    <w:rsid w:val="00961F03"/>
    <w:rsid w:val="009D508C"/>
    <w:rsid w:val="009D5E66"/>
    <w:rsid w:val="00A22303"/>
    <w:rsid w:val="00A70420"/>
    <w:rsid w:val="00A72515"/>
    <w:rsid w:val="00A80CF4"/>
    <w:rsid w:val="00AA385B"/>
    <w:rsid w:val="00AD6737"/>
    <w:rsid w:val="00B0651E"/>
    <w:rsid w:val="00B13384"/>
    <w:rsid w:val="00B4545A"/>
    <w:rsid w:val="00B76FD3"/>
    <w:rsid w:val="00BA5C39"/>
    <w:rsid w:val="00BF48B7"/>
    <w:rsid w:val="00C31DFA"/>
    <w:rsid w:val="00C506BD"/>
    <w:rsid w:val="00C6762F"/>
    <w:rsid w:val="00C9103A"/>
    <w:rsid w:val="00CD116F"/>
    <w:rsid w:val="00CD7388"/>
    <w:rsid w:val="00CF5DCB"/>
    <w:rsid w:val="00D03E6E"/>
    <w:rsid w:val="00D05623"/>
    <w:rsid w:val="00D32B0A"/>
    <w:rsid w:val="00D37BE4"/>
    <w:rsid w:val="00D929DD"/>
    <w:rsid w:val="00DF4985"/>
    <w:rsid w:val="00E31A55"/>
    <w:rsid w:val="00EF0AD3"/>
    <w:rsid w:val="00F15033"/>
    <w:rsid w:val="00F579F7"/>
    <w:rsid w:val="00F82DCB"/>
    <w:rsid w:val="00FE2AED"/>
    <w:rsid w:val="00FE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88F00"/>
  <w15:chartTrackingRefBased/>
  <w15:docId w15:val="{C5A4A45A-5F9B-4630-83FA-2FF6742D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2B0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54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346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7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62F"/>
  </w:style>
  <w:style w:type="paragraph" w:styleId="Footer">
    <w:name w:val="footer"/>
    <w:basedOn w:val="Normal"/>
    <w:link w:val="FooterChar"/>
    <w:uiPriority w:val="99"/>
    <w:unhideWhenUsed/>
    <w:rsid w:val="00C67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9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dic.org.uk/Resources/NALDIC/Initial%20Teacher%20Education/Documents/B1.pdf" TargetMode="External"/><Relationship Id="rId13" Type="http://schemas.openxmlformats.org/officeDocument/2006/relationships/hyperlink" Target="https://digitalcommons.murraystate.edu/cgi/viewcontent.cgi?article=1034&amp;context=honorstheses" TargetMode="External"/><Relationship Id="rId18" Type="http://schemas.openxmlformats.org/officeDocument/2006/relationships/hyperlink" Target="http://www.naldic.org.uk/eal-teaching-and-learning/outline-guidance/eal-ofsted/" TargetMode="External"/><Relationship Id="rId26" Type="http://schemas.openxmlformats.org/officeDocument/2006/relationships/hyperlink" Target="https://gov.wales/sites/default/files/statistics-and-research/2019-07/140430-welsh-additional-language-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api/storage/8e68e2f5-851f-43b8-af24-9eb38cf62482/developing-the-curriculum-cymreig.pdf" TargetMode="External"/><Relationship Id="rId7" Type="http://schemas.openxmlformats.org/officeDocument/2006/relationships/hyperlink" Target="https://core.ac.uk/download/pdf/82106985.pdf" TargetMode="External"/><Relationship Id="rId12" Type="http://schemas.openxmlformats.org/officeDocument/2006/relationships/hyperlink" Target="NULL" TargetMode="External"/><Relationship Id="rId17" Type="http://schemas.openxmlformats.org/officeDocument/2006/relationships/hyperlink" Target="https://www.researchgate.net/publication/235751035_The_Cognitive_Benefits_of_Being_Bilingual" TargetMode="External"/><Relationship Id="rId25" Type="http://schemas.openxmlformats.org/officeDocument/2006/relationships/hyperlink" Target="https://gov.wales/sites/default/files/statistics-and-research/2019-07/140430-welsh-additional-language-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ciencedirect.com/science/article/pii/S0093934X15001443" TargetMode="External"/><Relationship Id="rId20" Type="http://schemas.openxmlformats.org/officeDocument/2006/relationships/hyperlink" Target="http://www.brainfacts.org/Archives/2008/The-Bilingual-Brai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i.org/10.1212/WNL.0000000000002219" TargetMode="External"/><Relationship Id="rId11" Type="http://schemas.openxmlformats.org/officeDocument/2006/relationships/hyperlink" Target="https://www.youtube.com/watch?v=i9L9-wtRjmo" TargetMode="External"/><Relationship Id="rId24" Type="http://schemas.openxmlformats.org/officeDocument/2006/relationships/hyperlink" Target="https://hwb.gov.wales/curriculum-for-wales-2008/foundation-phase/learning-and-teaching-pedagogy" TargetMode="External"/><Relationship Id="rId5" Type="http://schemas.openxmlformats.org/officeDocument/2006/relationships/endnotes" Target="endnotes.xml"/><Relationship Id="rId15" Type="http://schemas.openxmlformats.org/officeDocument/2006/relationships/hyperlink" Target="NULL" TargetMode="External"/><Relationship Id="rId23" Type="http://schemas.openxmlformats.org/officeDocument/2006/relationships/hyperlink" Target="https://www.biorxiv.org/content/10.1101/2021.02.18.431784v1.ful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edutopia.org/blog/fueling-creativity-through-divergent-thinking-classroom-stacey-goodman" TargetMode="External"/><Relationship Id="rId19" Type="http://schemas.openxmlformats.org/officeDocument/2006/relationships/hyperlink" Target="http://www.naldic.org.uk/eal-teaching-and-learning/outline-guidance/eal-ofsted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aylor.edu/content/services/document.php?id=37670" TargetMode="External"/><Relationship Id="rId14" Type="http://schemas.openxmlformats.org/officeDocument/2006/relationships/hyperlink" Target="https://doi.org/10.1002/j.2162-6057.2009.tb01306.x" TargetMode="External"/><Relationship Id="rId22" Type="http://schemas.openxmlformats.org/officeDocument/2006/relationships/hyperlink" Target="https://www.biorxiv.org/content/10.1101/2021.02.18.431784v1.full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4</Pages>
  <Words>926</Words>
  <Characters>5281</Characters>
  <Application>Microsoft Office Word</Application>
  <DocSecurity>0</DocSecurity>
  <Lines>44</Lines>
  <Paragraphs>12</Paragraphs>
  <ScaleCrop>false</ScaleCrop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Jane Goodridge (2008453)</dc:creator>
  <cp:keywords/>
  <dc:description/>
  <cp:lastModifiedBy>Alison Jane Goodridge (2008453)</cp:lastModifiedBy>
  <cp:revision>84</cp:revision>
  <dcterms:created xsi:type="dcterms:W3CDTF">2021-03-21T21:22:00Z</dcterms:created>
  <dcterms:modified xsi:type="dcterms:W3CDTF">2021-03-26T22:06:00Z</dcterms:modified>
</cp:coreProperties>
</file>