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B69C0" w14:textId="2DBD3414" w:rsidR="00104AD2" w:rsidRDefault="008B21A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Module:</w:t>
      </w:r>
    </w:p>
    <w:p w14:paraId="0E94F3F2" w14:textId="52C9DF61" w:rsidR="001617D8" w:rsidRDefault="005878E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International meeting management for the Hotel Industry</w:t>
      </w:r>
    </w:p>
    <w:p w14:paraId="2C17C7B8" w14:textId="27EF8D74" w:rsidR="00104AD2" w:rsidRDefault="00104AD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code:</w:t>
      </w:r>
      <w:r w:rsidR="00EA63F5">
        <w:rPr>
          <w:rFonts w:ascii="Arial" w:hAnsi="Arial" w:cs="Arial"/>
          <w:sz w:val="32"/>
          <w:szCs w:val="32"/>
        </w:rPr>
        <w:t xml:space="preserve"> BMIH6007</w:t>
      </w:r>
    </w:p>
    <w:p w14:paraId="614B32FA" w14:textId="4E83A9D9" w:rsidR="007E6A39" w:rsidRDefault="007E6A3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name: Melania Kolozsi</w:t>
      </w:r>
    </w:p>
    <w:p w14:paraId="26E4DA28" w14:textId="7E4FA278" w:rsidR="007E6A39" w:rsidRDefault="007E6A3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Student number: </w:t>
      </w:r>
      <w:r w:rsidR="008B21AD">
        <w:rPr>
          <w:rFonts w:ascii="Arial" w:hAnsi="Arial" w:cs="Arial"/>
          <w:sz w:val="32"/>
          <w:szCs w:val="32"/>
        </w:rPr>
        <w:t>2206485</w:t>
      </w:r>
    </w:p>
    <w:p w14:paraId="10567746" w14:textId="4339FD1A" w:rsidR="00E81285" w:rsidRDefault="00E8128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Lecturer: Kathryn Flynn</w:t>
      </w:r>
    </w:p>
    <w:p w14:paraId="4AAAEA0C" w14:textId="54EDEFD2" w:rsidR="00E81285" w:rsidRDefault="00E8128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1: Presentation - Whitbread employee reward, Christmas dinner event.</w:t>
      </w:r>
    </w:p>
    <w:p w14:paraId="63E5C3D2" w14:textId="77777777" w:rsidR="008B21AD" w:rsidRDefault="008B21AD">
      <w:pPr>
        <w:rPr>
          <w:rFonts w:ascii="Arial" w:hAnsi="Arial" w:cs="Arial"/>
          <w:sz w:val="32"/>
          <w:szCs w:val="32"/>
        </w:rPr>
      </w:pPr>
    </w:p>
    <w:p w14:paraId="60CB9152" w14:textId="77777777" w:rsidR="006D7488" w:rsidRDefault="006D7488">
      <w:pPr>
        <w:rPr>
          <w:rFonts w:ascii="Arial" w:hAnsi="Arial" w:cs="Arial"/>
          <w:sz w:val="32"/>
          <w:szCs w:val="32"/>
        </w:rPr>
      </w:pPr>
    </w:p>
    <w:p w14:paraId="769BE300" w14:textId="283DAADB" w:rsidR="001617D8" w:rsidRDefault="00CF48D4">
      <w:pPr>
        <w:rPr>
          <w:rFonts w:ascii="Arial" w:hAnsi="Arial" w:cs="Arial"/>
          <w:sz w:val="32"/>
          <w:szCs w:val="32"/>
        </w:rPr>
      </w:pPr>
      <w:r w:rsidRPr="00CF48D4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0D069E0" wp14:editId="0535DBD6">
            <wp:extent cx="5731510" cy="3264535"/>
            <wp:effectExtent l="0" t="0" r="2540" b="0"/>
            <wp:docPr id="1283908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90826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2CC84" w14:textId="787DD658" w:rsidR="00275749" w:rsidRDefault="00185FCF">
      <w:pPr>
        <w:rPr>
          <w:rFonts w:ascii="Arial" w:hAnsi="Arial" w:cs="Arial"/>
          <w:sz w:val="32"/>
          <w:szCs w:val="32"/>
        </w:rPr>
      </w:pPr>
      <w:r w:rsidRPr="00185FCF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36072AC2" wp14:editId="2ACA693F">
            <wp:extent cx="5731510" cy="3225800"/>
            <wp:effectExtent l="0" t="0" r="2540" b="0"/>
            <wp:docPr id="494670709" name="Picture 1" descr="A close-up of a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670709" name="Picture 1" descr="A close-up of a business card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19082" w14:textId="3C116CAC" w:rsidR="00EC444D" w:rsidRDefault="00275749">
      <w:pPr>
        <w:rPr>
          <w:rFonts w:ascii="Arial" w:hAnsi="Arial" w:cs="Arial"/>
          <w:sz w:val="32"/>
          <w:szCs w:val="32"/>
        </w:rPr>
      </w:pPr>
      <w:r w:rsidRPr="00275749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5BB8EF5" wp14:editId="25A167A2">
            <wp:extent cx="5731510" cy="3218180"/>
            <wp:effectExtent l="0" t="0" r="2540" b="1270"/>
            <wp:docPr id="775336845" name="Picture 1" descr="A blue and white background with a picture of a table se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336845" name="Picture 1" descr="A blue and white background with a picture of a table setting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AC0C1" w14:textId="22437238" w:rsidR="0094121D" w:rsidRDefault="00EC444D">
      <w:pPr>
        <w:rPr>
          <w:rFonts w:ascii="Arial" w:hAnsi="Arial" w:cs="Arial"/>
          <w:sz w:val="32"/>
          <w:szCs w:val="32"/>
        </w:rPr>
      </w:pPr>
      <w:r w:rsidRPr="00EC444D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19B3F1E1" wp14:editId="7A22C098">
            <wp:extent cx="5731510" cy="3255010"/>
            <wp:effectExtent l="0" t="0" r="2540" b="2540"/>
            <wp:docPr id="1296443070" name="Picture 1" descr="A person in a sui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43070" name="Picture 1" descr="A person in a suit and ti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AB13E" w14:textId="49D6BBE6" w:rsidR="0094121D" w:rsidRDefault="007D6A46">
      <w:pPr>
        <w:rPr>
          <w:rFonts w:ascii="Arial" w:hAnsi="Arial" w:cs="Arial"/>
          <w:sz w:val="32"/>
          <w:szCs w:val="32"/>
        </w:rPr>
      </w:pPr>
      <w:r w:rsidRPr="007D6A46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4DF34650" wp14:editId="58C6AE4F">
            <wp:extent cx="5731510" cy="3241675"/>
            <wp:effectExtent l="0" t="0" r="2540" b="0"/>
            <wp:docPr id="766355269" name="Picture 1" descr="A blue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355269" name="Picture 1" descr="A blue background with white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9A56B" w14:textId="08DAA4A3" w:rsidR="007473E6" w:rsidRDefault="0094121D">
      <w:pPr>
        <w:rPr>
          <w:rFonts w:ascii="Arial" w:hAnsi="Arial" w:cs="Arial"/>
          <w:sz w:val="32"/>
          <w:szCs w:val="32"/>
        </w:rPr>
      </w:pPr>
      <w:r w:rsidRPr="0094121D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46D2EB90" wp14:editId="61AB6F53">
            <wp:extent cx="5731510" cy="3257550"/>
            <wp:effectExtent l="0" t="0" r="2540" b="0"/>
            <wp:docPr id="58424528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4528" name="Picture 1" descr="A diagram of a company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D6191" w14:textId="28A0116F" w:rsidR="00627FB1" w:rsidRDefault="007473E6">
      <w:pPr>
        <w:rPr>
          <w:rFonts w:ascii="Arial" w:hAnsi="Arial" w:cs="Arial"/>
          <w:sz w:val="32"/>
          <w:szCs w:val="32"/>
        </w:rPr>
      </w:pPr>
      <w:r w:rsidRPr="007473E6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4E2CAF9" wp14:editId="5424F38C">
            <wp:extent cx="5731510" cy="3225800"/>
            <wp:effectExtent l="0" t="0" r="2540" b="0"/>
            <wp:docPr id="421136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1361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966AB" w14:textId="413E388A" w:rsidR="00F20343" w:rsidRDefault="00F20343">
      <w:pPr>
        <w:rPr>
          <w:rFonts w:ascii="Arial" w:hAnsi="Arial" w:cs="Arial"/>
          <w:sz w:val="32"/>
          <w:szCs w:val="32"/>
        </w:rPr>
      </w:pPr>
      <w:r w:rsidRPr="00F20343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0B0BCEF7" wp14:editId="79333E63">
            <wp:extent cx="5731510" cy="3225800"/>
            <wp:effectExtent l="0" t="0" r="2540" b="0"/>
            <wp:docPr id="829615940" name="Picture 1" descr="A close-up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615940" name="Picture 1" descr="A close-up of a hote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DD888" w14:textId="3AE0FD2C" w:rsidR="0022771E" w:rsidRDefault="00627FB1">
      <w:pPr>
        <w:rPr>
          <w:rFonts w:ascii="Arial" w:hAnsi="Arial" w:cs="Arial"/>
          <w:sz w:val="32"/>
          <w:szCs w:val="32"/>
        </w:rPr>
      </w:pPr>
      <w:r w:rsidRPr="00627FB1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41BCEE64" wp14:editId="0AD57B1F">
            <wp:extent cx="5731510" cy="3232150"/>
            <wp:effectExtent l="0" t="0" r="2540" b="6350"/>
            <wp:docPr id="909351826" name="Picture 1" descr="A blue background with white circles and ic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51826" name="Picture 1" descr="A blue background with white circles and icon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22D83" w14:textId="794C51A2" w:rsidR="0022771E" w:rsidRDefault="00952DCE">
      <w:pPr>
        <w:rPr>
          <w:rFonts w:ascii="Arial" w:hAnsi="Arial" w:cs="Arial"/>
          <w:sz w:val="32"/>
          <w:szCs w:val="32"/>
        </w:rPr>
      </w:pPr>
      <w:r w:rsidRPr="00952DCE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7FE499C0" wp14:editId="553202E4">
            <wp:extent cx="5731510" cy="3225800"/>
            <wp:effectExtent l="0" t="0" r="2540" b="0"/>
            <wp:docPr id="1298976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97699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FDB76" w14:textId="2F2F1712" w:rsidR="0022771E" w:rsidRDefault="00580512">
      <w:pPr>
        <w:rPr>
          <w:rFonts w:ascii="Arial" w:hAnsi="Arial" w:cs="Arial"/>
          <w:sz w:val="32"/>
          <w:szCs w:val="32"/>
        </w:rPr>
      </w:pPr>
      <w:r w:rsidRPr="00580512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3C94DFA9" wp14:editId="7CAE8AB2">
            <wp:extent cx="5731510" cy="3220085"/>
            <wp:effectExtent l="0" t="0" r="2540" b="0"/>
            <wp:docPr id="1242603058" name="Picture 1" descr="A diagram and diagram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603058" name="Picture 1" descr="A diagram and diagram on a blue background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CC501" w14:textId="77777777" w:rsidR="002C6887" w:rsidRDefault="002C6887">
      <w:pPr>
        <w:rPr>
          <w:rFonts w:ascii="Arial" w:hAnsi="Arial" w:cs="Arial"/>
          <w:sz w:val="32"/>
          <w:szCs w:val="32"/>
        </w:rPr>
      </w:pPr>
    </w:p>
    <w:p w14:paraId="79B68B1A" w14:textId="2158CEBD" w:rsidR="0022771E" w:rsidRDefault="0022771E">
      <w:pPr>
        <w:rPr>
          <w:rFonts w:ascii="Arial" w:hAnsi="Arial" w:cs="Arial"/>
          <w:sz w:val="32"/>
          <w:szCs w:val="32"/>
        </w:rPr>
      </w:pPr>
      <w:r w:rsidRPr="0022771E">
        <w:rPr>
          <w:rFonts w:ascii="Arial" w:hAnsi="Arial" w:cs="Arial"/>
          <w:noProof/>
          <w:sz w:val="32"/>
          <w:szCs w:val="32"/>
        </w:rPr>
        <w:lastRenderedPageBreak/>
        <w:drawing>
          <wp:inline distT="0" distB="0" distL="0" distR="0" wp14:anchorId="5012D11F" wp14:editId="15AF3F35">
            <wp:extent cx="5731510" cy="3222625"/>
            <wp:effectExtent l="0" t="0" r="2540" b="0"/>
            <wp:docPr id="5379155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91555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3D42D" w14:textId="77777777" w:rsidR="0022771E" w:rsidRDefault="0022771E">
      <w:pPr>
        <w:rPr>
          <w:rFonts w:ascii="Arial" w:hAnsi="Arial" w:cs="Arial"/>
          <w:sz w:val="32"/>
          <w:szCs w:val="32"/>
        </w:rPr>
      </w:pPr>
    </w:p>
    <w:p w14:paraId="586BFFFB" w14:textId="1AC459D2" w:rsidR="00901516" w:rsidRPr="00EB40E2" w:rsidRDefault="00901516">
      <w:pPr>
        <w:rPr>
          <w:rFonts w:ascii="Arial" w:hAnsi="Arial" w:cs="Arial"/>
          <w:sz w:val="32"/>
          <w:szCs w:val="32"/>
        </w:rPr>
      </w:pPr>
      <w:r w:rsidRPr="00EB40E2">
        <w:rPr>
          <w:rFonts w:ascii="Arial" w:hAnsi="Arial" w:cs="Arial"/>
          <w:sz w:val="32"/>
          <w:szCs w:val="32"/>
        </w:rPr>
        <w:t>Reference list</w:t>
      </w:r>
    </w:p>
    <w:p w14:paraId="04935C4F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62000">
        <w:rPr>
          <w:rFonts w:ascii="Arial" w:hAnsi="Arial" w:cs="Arial"/>
          <w:sz w:val="24"/>
          <w:szCs w:val="24"/>
        </w:rPr>
        <w:t>Benckendorff</w:t>
      </w:r>
      <w:proofErr w:type="spellEnd"/>
      <w:r w:rsidRPr="00462000">
        <w:rPr>
          <w:rFonts w:ascii="Arial" w:hAnsi="Arial" w:cs="Arial"/>
          <w:sz w:val="24"/>
          <w:szCs w:val="24"/>
        </w:rPr>
        <w:t xml:space="preserve">, P. and Pearce, P.L., (2020) </w:t>
      </w:r>
      <w:r w:rsidRPr="00462000">
        <w:rPr>
          <w:rFonts w:ascii="Arial" w:hAnsi="Arial" w:cs="Arial"/>
          <w:i/>
          <w:iCs/>
          <w:sz w:val="24"/>
          <w:szCs w:val="24"/>
        </w:rPr>
        <w:t xml:space="preserve">Revisiting the psychology of events. </w:t>
      </w:r>
      <w:r w:rsidRPr="00462000">
        <w:rPr>
          <w:rFonts w:ascii="Arial" w:hAnsi="Arial" w:cs="Arial"/>
          <w:sz w:val="24"/>
          <w:szCs w:val="24"/>
        </w:rPr>
        <w:t xml:space="preserve">In: I. Yeoman, M. Robertson, U. McMahon-Beattie, E. Backer, and K. Smith, eds. </w:t>
      </w:r>
      <w:r w:rsidRPr="00462000">
        <w:rPr>
          <w:rFonts w:ascii="Arial" w:hAnsi="Arial" w:cs="Arial"/>
          <w:i/>
          <w:iCs/>
          <w:sz w:val="24"/>
          <w:szCs w:val="24"/>
        </w:rPr>
        <w:t>The Routledge handbook of events</w:t>
      </w:r>
      <w:r w:rsidRPr="00462000">
        <w:rPr>
          <w:rFonts w:ascii="Arial" w:hAnsi="Arial" w:cs="Arial"/>
          <w:sz w:val="24"/>
          <w:szCs w:val="24"/>
        </w:rPr>
        <w:t>. 2nd ed. London: Routledge, pp. 26. Available at: https://doi.org/10.4324/9780429280993 (Accessed 15 Oct. 2024).</w:t>
      </w:r>
    </w:p>
    <w:p w14:paraId="2449004B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 xml:space="preserve">Bladen, C., Kennell, J., Abson, E. and Wilde, N., (2022) </w:t>
      </w:r>
      <w:r w:rsidRPr="00462000">
        <w:rPr>
          <w:rFonts w:ascii="Arial" w:hAnsi="Arial" w:cs="Arial"/>
          <w:i/>
          <w:iCs/>
          <w:sz w:val="24"/>
          <w:szCs w:val="24"/>
        </w:rPr>
        <w:t>Event design and production</w:t>
      </w:r>
      <w:r w:rsidRPr="00462000">
        <w:rPr>
          <w:rFonts w:ascii="Arial" w:hAnsi="Arial" w:cs="Arial"/>
          <w:sz w:val="24"/>
          <w:szCs w:val="24"/>
        </w:rPr>
        <w:t xml:space="preserve">. In: </w:t>
      </w:r>
      <w:r w:rsidRPr="00462000">
        <w:rPr>
          <w:rFonts w:ascii="Arial" w:hAnsi="Arial" w:cs="Arial"/>
          <w:i/>
          <w:iCs/>
          <w:sz w:val="24"/>
          <w:szCs w:val="24"/>
        </w:rPr>
        <w:t>Events Management</w:t>
      </w:r>
      <w:r w:rsidRPr="00462000">
        <w:rPr>
          <w:rFonts w:ascii="Arial" w:hAnsi="Arial" w:cs="Arial"/>
          <w:sz w:val="24"/>
          <w:szCs w:val="24"/>
        </w:rPr>
        <w:t>. 3rd ed. Routledge, pp.25. Available at: https://doi.org/10.4324/9781003102878 (Accessed 16 Oct. 2024).</w:t>
      </w:r>
    </w:p>
    <w:p w14:paraId="1F9CFC90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proofErr w:type="spellStart"/>
      <w:r w:rsidRPr="007F4EC4">
        <w:rPr>
          <w:rFonts w:ascii="Arial" w:hAnsi="Arial" w:cs="Arial"/>
        </w:rPr>
        <w:t>Blyznyuk</w:t>
      </w:r>
      <w:proofErr w:type="spellEnd"/>
      <w:r w:rsidRPr="007F4EC4">
        <w:rPr>
          <w:rFonts w:ascii="Arial" w:hAnsi="Arial" w:cs="Arial"/>
        </w:rPr>
        <w:t xml:space="preserve"> T, Kuz O and Kinas I (2024) </w:t>
      </w:r>
      <w:r w:rsidRPr="007F4EC4">
        <w:rPr>
          <w:rFonts w:ascii="Arial" w:hAnsi="Arial" w:cs="Arial"/>
          <w:i/>
          <w:iCs/>
        </w:rPr>
        <w:t>Event-management as a tool for organizing special events</w:t>
      </w:r>
      <w:r w:rsidRPr="007F4EC4">
        <w:rPr>
          <w:rFonts w:ascii="Arial" w:hAnsi="Arial" w:cs="Arial"/>
        </w:rPr>
        <w:t xml:space="preserve">. Hneu.edu.ua. [online] </w:t>
      </w:r>
      <w:proofErr w:type="spellStart"/>
      <w:r w:rsidRPr="007F4EC4">
        <w:rPr>
          <w:rFonts w:ascii="Arial" w:hAnsi="Arial" w:cs="Arial"/>
        </w:rPr>
        <w:t>doi:http</w:t>
      </w:r>
      <w:proofErr w:type="spellEnd"/>
      <w:r w:rsidRPr="007F4EC4">
        <w:rPr>
          <w:rFonts w:ascii="Arial" w:hAnsi="Arial" w:cs="Arial"/>
        </w:rPr>
        <w:t>://repository.hneu.edu.ua/handle/123456789/33308 (Accessed 14 Oct. 2024).</w:t>
      </w:r>
    </w:p>
    <w:p w14:paraId="6491E672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Bridges, J. (2019) </w:t>
      </w:r>
      <w:r w:rsidRPr="007F4EC4">
        <w:rPr>
          <w:rFonts w:ascii="Arial" w:hAnsi="Arial" w:cs="Arial"/>
          <w:i/>
          <w:iCs/>
        </w:rPr>
        <w:t>How to Plan an Event (Checklist Included)</w:t>
      </w:r>
      <w:r w:rsidRPr="007F4EC4">
        <w:rPr>
          <w:rFonts w:ascii="Arial" w:hAnsi="Arial" w:cs="Arial"/>
        </w:rPr>
        <w:t xml:space="preserve">. [online] ProjectManager.com. Available at: https://www.projectmanager.com/training/how-to-plan-an-event </w:t>
      </w:r>
      <w:r>
        <w:rPr>
          <w:rFonts w:ascii="Arial" w:hAnsi="Arial" w:cs="Arial"/>
        </w:rPr>
        <w:t>(</w:t>
      </w:r>
      <w:r w:rsidRPr="007F4EC4">
        <w:rPr>
          <w:rFonts w:ascii="Arial" w:hAnsi="Arial" w:cs="Arial"/>
        </w:rPr>
        <w:t>Accessed 16 Oct. 2024</w:t>
      </w:r>
      <w:r>
        <w:rPr>
          <w:rFonts w:ascii="Arial" w:hAnsi="Arial" w:cs="Arial"/>
        </w:rPr>
        <w:t>)</w:t>
      </w:r>
      <w:r w:rsidRPr="007F4EC4">
        <w:rPr>
          <w:rFonts w:ascii="Arial" w:hAnsi="Arial" w:cs="Arial"/>
        </w:rPr>
        <w:t>.</w:t>
      </w:r>
    </w:p>
    <w:p w14:paraId="4C427DDA" w14:textId="20EC7F88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 xml:space="preserve">Canva (2024) </w:t>
      </w:r>
      <w:r w:rsidRPr="00462000">
        <w:rPr>
          <w:rFonts w:ascii="Arial" w:hAnsi="Arial" w:cs="Arial"/>
          <w:i/>
          <w:iCs/>
          <w:sz w:val="24"/>
          <w:szCs w:val="24"/>
        </w:rPr>
        <w:t xml:space="preserve">Design you card </w:t>
      </w:r>
      <w:r w:rsidRPr="00462000">
        <w:rPr>
          <w:rFonts w:ascii="Arial" w:hAnsi="Arial" w:cs="Arial"/>
          <w:sz w:val="24"/>
          <w:szCs w:val="24"/>
        </w:rPr>
        <w:t>. [online] Canva. Available at: https://www.canva.com/design/DAGTEXbNa80/y3yWPnSxvoGoaAcF2U6sYg/edit (Accessed 15 Oct. 2024).</w:t>
      </w:r>
    </w:p>
    <w:p w14:paraId="2DE2F740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lastRenderedPageBreak/>
        <w:t>Dowson, R., Albert, B. and Lomax, D., (2022) </w:t>
      </w:r>
      <w:r w:rsidRPr="00462000">
        <w:rPr>
          <w:rFonts w:ascii="Arial" w:hAnsi="Arial" w:cs="Arial"/>
          <w:i/>
          <w:iCs/>
          <w:sz w:val="24"/>
          <w:szCs w:val="24"/>
        </w:rPr>
        <w:t>Event planning and management: Principles, planning and practice</w:t>
      </w:r>
      <w:r w:rsidRPr="00462000">
        <w:rPr>
          <w:rFonts w:ascii="Arial" w:hAnsi="Arial" w:cs="Arial"/>
          <w:sz w:val="24"/>
          <w:szCs w:val="24"/>
        </w:rPr>
        <w:t>. Kogan Page Publishers.</w:t>
      </w:r>
    </w:p>
    <w:p w14:paraId="77343108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Dwyer, L. and Jago, L., (2020) </w:t>
      </w:r>
      <w:r w:rsidRPr="007F4EC4">
        <w:rPr>
          <w:rFonts w:ascii="Arial" w:hAnsi="Arial" w:cs="Arial"/>
          <w:i/>
          <w:iCs/>
        </w:rPr>
        <w:t>The economic contribution of special events.</w:t>
      </w:r>
      <w:r w:rsidRPr="007F4EC4">
        <w:rPr>
          <w:rFonts w:ascii="Arial" w:hAnsi="Arial" w:cs="Arial"/>
        </w:rPr>
        <w:t xml:space="preserve"> In: I. Yeoman, M. Robertson, U. McMahon-Beattie, E. Backer, and K. Smith, eds. </w:t>
      </w:r>
      <w:r w:rsidRPr="007F4EC4">
        <w:rPr>
          <w:rFonts w:ascii="Arial" w:hAnsi="Arial" w:cs="Arial"/>
          <w:i/>
          <w:iCs/>
        </w:rPr>
        <w:t>The Routledge handbook of events</w:t>
      </w:r>
      <w:r w:rsidRPr="007F4EC4">
        <w:rPr>
          <w:rFonts w:ascii="Arial" w:hAnsi="Arial" w:cs="Arial"/>
        </w:rPr>
        <w:t>. 2nd ed. London: Routledge, pp. 18. Available at: https://doi.org/10.4324/9780429280993 (Accessed 15 Oct. 2024).</w:t>
      </w:r>
    </w:p>
    <w:p w14:paraId="2849F77E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Gantt chart design (2024) </w:t>
      </w:r>
      <w:r w:rsidRPr="007F4EC4">
        <w:rPr>
          <w:rFonts w:ascii="Arial" w:hAnsi="Arial" w:cs="Arial"/>
          <w:i/>
          <w:iCs/>
        </w:rPr>
        <w:t>Welcome to monday.com | a new way of working</w:t>
      </w:r>
      <w:r w:rsidRPr="007F4EC4">
        <w:rPr>
          <w:rFonts w:ascii="Arial" w:hAnsi="Arial" w:cs="Arial"/>
        </w:rPr>
        <w:t>. [online] Monday.com. Available at: https://demetermelaniaannamarias-team.monday.com/ (Accessed 16 Oct. 2024).</w:t>
      </w:r>
    </w:p>
    <w:p w14:paraId="38A872B8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>Getz, D., (2020)</w:t>
      </w:r>
      <w:r w:rsidRPr="00462000">
        <w:rPr>
          <w:rFonts w:ascii="Arial" w:hAnsi="Arial" w:cs="Arial"/>
          <w:i/>
          <w:iCs/>
          <w:sz w:val="24"/>
          <w:szCs w:val="24"/>
        </w:rPr>
        <w:t xml:space="preserve"> Event studies</w:t>
      </w:r>
      <w:r w:rsidRPr="00462000">
        <w:rPr>
          <w:rFonts w:ascii="Arial" w:hAnsi="Arial" w:cs="Arial"/>
          <w:sz w:val="24"/>
          <w:szCs w:val="24"/>
        </w:rPr>
        <w:t xml:space="preserve">. In: I. Yeoman, M. Robertson, U. McMahon-Beattie, E. Backer, and K. Smith, eds. </w:t>
      </w:r>
      <w:r w:rsidRPr="00462000">
        <w:rPr>
          <w:rFonts w:ascii="Arial" w:hAnsi="Arial" w:cs="Arial"/>
          <w:i/>
          <w:iCs/>
          <w:sz w:val="24"/>
          <w:szCs w:val="24"/>
        </w:rPr>
        <w:t>The Routledge handbook of events</w:t>
      </w:r>
      <w:r w:rsidRPr="00462000">
        <w:rPr>
          <w:rFonts w:ascii="Arial" w:hAnsi="Arial" w:cs="Arial"/>
          <w:sz w:val="24"/>
          <w:szCs w:val="24"/>
        </w:rPr>
        <w:t>. 2nd ed. London: Routledge, pp. 26. Available at: https://doi.org/10.4324/9780429280993 (Accessed 15 Oct. 2024).</w:t>
      </w:r>
    </w:p>
    <w:p w14:paraId="3145BD6F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62000">
        <w:rPr>
          <w:rFonts w:ascii="Arial" w:hAnsi="Arial" w:cs="Arial"/>
          <w:sz w:val="24"/>
          <w:szCs w:val="24"/>
        </w:rPr>
        <w:t>Hadijaya</w:t>
      </w:r>
      <w:proofErr w:type="spellEnd"/>
      <w:r w:rsidRPr="00462000">
        <w:rPr>
          <w:rFonts w:ascii="Arial" w:hAnsi="Arial" w:cs="Arial"/>
          <w:sz w:val="24"/>
          <w:szCs w:val="24"/>
        </w:rPr>
        <w:t xml:space="preserve">, Y., Mujahid, T., Astika, L., and </w:t>
      </w:r>
      <w:proofErr w:type="spellStart"/>
      <w:r w:rsidRPr="00462000">
        <w:rPr>
          <w:rFonts w:ascii="Arial" w:hAnsi="Arial" w:cs="Arial"/>
          <w:sz w:val="24"/>
          <w:szCs w:val="24"/>
        </w:rPr>
        <w:t>Ramadina</w:t>
      </w:r>
      <w:proofErr w:type="spellEnd"/>
      <w:r w:rsidRPr="00462000">
        <w:rPr>
          <w:rFonts w:ascii="Arial" w:hAnsi="Arial" w:cs="Arial"/>
          <w:sz w:val="24"/>
          <w:szCs w:val="24"/>
        </w:rPr>
        <w:t xml:space="preserve">, R., (2024) </w:t>
      </w:r>
      <w:r w:rsidRPr="00462000">
        <w:rPr>
          <w:rFonts w:ascii="Arial" w:hAnsi="Arial" w:cs="Arial"/>
          <w:i/>
          <w:iCs/>
          <w:sz w:val="24"/>
          <w:szCs w:val="24"/>
        </w:rPr>
        <w:t>Organizational Culture, Rewards, Awards, Performance</w:t>
      </w:r>
      <w:r w:rsidRPr="00462000">
        <w:rPr>
          <w:rFonts w:ascii="Arial" w:hAnsi="Arial" w:cs="Arial"/>
          <w:sz w:val="24"/>
          <w:szCs w:val="24"/>
        </w:rPr>
        <w:t xml:space="preserve">. </w:t>
      </w:r>
      <w:r w:rsidRPr="00462000">
        <w:rPr>
          <w:rFonts w:ascii="Arial" w:hAnsi="Arial" w:cs="Arial"/>
          <w:i/>
          <w:iCs/>
          <w:sz w:val="24"/>
          <w:szCs w:val="24"/>
        </w:rPr>
        <w:t>Education Achievement: Journal of Science and Research</w:t>
      </w:r>
      <w:r w:rsidRPr="00462000">
        <w:rPr>
          <w:rFonts w:ascii="Arial" w:hAnsi="Arial" w:cs="Arial"/>
          <w:sz w:val="24"/>
          <w:szCs w:val="24"/>
        </w:rPr>
        <w:t xml:space="preserve">, 5(2), DOI: </w:t>
      </w:r>
      <w:hyperlink r:id="rId17" w:tgtFrame="_new" w:history="1">
        <w:r w:rsidRPr="00462000">
          <w:rPr>
            <w:rStyle w:val="Hyperlink"/>
            <w:rFonts w:ascii="Arial" w:hAnsi="Arial" w:cs="Arial"/>
            <w:sz w:val="24"/>
            <w:szCs w:val="24"/>
          </w:rPr>
          <w:t>https://doi.org/10.51178/jsr.v5i2.1919</w:t>
        </w:r>
      </w:hyperlink>
      <w:r w:rsidRPr="00462000">
        <w:rPr>
          <w:rFonts w:ascii="Arial" w:hAnsi="Arial" w:cs="Arial"/>
          <w:sz w:val="24"/>
          <w:szCs w:val="24"/>
        </w:rPr>
        <w:t>. (Accessed 16 Oct.2024).</w:t>
      </w:r>
    </w:p>
    <w:p w14:paraId="5B8114D4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Khan, S. (2024) </w:t>
      </w:r>
      <w:r w:rsidRPr="007F4EC4">
        <w:rPr>
          <w:rFonts w:ascii="Arial" w:hAnsi="Arial" w:cs="Arial"/>
          <w:i/>
          <w:iCs/>
        </w:rPr>
        <w:t>PMP Certification Training</w:t>
      </w:r>
      <w:r w:rsidRPr="007F4EC4">
        <w:rPr>
          <w:rFonts w:ascii="Arial" w:hAnsi="Arial" w:cs="Arial"/>
        </w:rPr>
        <w:t xml:space="preserve">. [online] </w:t>
      </w:r>
      <w:proofErr w:type="spellStart"/>
      <w:r w:rsidRPr="007F4EC4">
        <w:rPr>
          <w:rFonts w:ascii="Arial" w:hAnsi="Arial" w:cs="Arial"/>
        </w:rPr>
        <w:t>Edureka</w:t>
      </w:r>
      <w:proofErr w:type="spellEnd"/>
      <w:r w:rsidRPr="007F4EC4">
        <w:rPr>
          <w:rFonts w:ascii="Arial" w:hAnsi="Arial" w:cs="Arial"/>
        </w:rPr>
        <w:t xml:space="preserve">. Available at: https://www.edureka.co/blog/feasibility-study/ </w:t>
      </w:r>
      <w:r>
        <w:rPr>
          <w:rFonts w:ascii="Arial" w:hAnsi="Arial" w:cs="Arial"/>
        </w:rPr>
        <w:t>(</w:t>
      </w:r>
      <w:r w:rsidRPr="007F4EC4">
        <w:rPr>
          <w:rFonts w:ascii="Arial" w:hAnsi="Arial" w:cs="Arial"/>
        </w:rPr>
        <w:t>Accessed 16 Oct. 2024</w:t>
      </w:r>
      <w:r>
        <w:rPr>
          <w:rFonts w:ascii="Arial" w:hAnsi="Arial" w:cs="Arial"/>
        </w:rPr>
        <w:t>)</w:t>
      </w:r>
      <w:r w:rsidRPr="007F4EC4">
        <w:rPr>
          <w:rFonts w:ascii="Arial" w:hAnsi="Arial" w:cs="Arial"/>
        </w:rPr>
        <w:t>.</w:t>
      </w:r>
    </w:p>
    <w:p w14:paraId="0208EA20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 xml:space="preserve">Kumar, J. and Nazir, F., (2023) </w:t>
      </w:r>
      <w:r w:rsidRPr="00462000">
        <w:rPr>
          <w:rFonts w:ascii="Arial" w:hAnsi="Arial" w:cs="Arial"/>
          <w:i/>
          <w:iCs/>
          <w:sz w:val="24"/>
          <w:szCs w:val="24"/>
        </w:rPr>
        <w:t>Role and Importance of Event Tourism in Economic and Social Development</w:t>
      </w:r>
      <w:r w:rsidRPr="00462000">
        <w:rPr>
          <w:rFonts w:ascii="Arial" w:hAnsi="Arial" w:cs="Arial"/>
          <w:sz w:val="24"/>
          <w:szCs w:val="24"/>
        </w:rPr>
        <w:t xml:space="preserve">. In: </w:t>
      </w:r>
      <w:r w:rsidRPr="00462000">
        <w:rPr>
          <w:rFonts w:ascii="Arial" w:hAnsi="Arial" w:cs="Arial"/>
          <w:i/>
          <w:iCs/>
          <w:sz w:val="24"/>
          <w:szCs w:val="24"/>
        </w:rPr>
        <w:t>Event Tourism and Sustainable Community Development</w:t>
      </w:r>
      <w:r w:rsidRPr="00462000">
        <w:rPr>
          <w:rFonts w:ascii="Arial" w:hAnsi="Arial" w:cs="Arial"/>
          <w:sz w:val="24"/>
          <w:szCs w:val="24"/>
        </w:rPr>
        <w:t>. 1st ed. Apple Academic Press, pp.12. Available at: https://doi.org/10.1201/9781003332213 (Accessed 16 Oct. 2024).</w:t>
      </w:r>
    </w:p>
    <w:p w14:paraId="2B0A90B0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8" w:tooltip="Barbara Neuhofer" w:history="1">
        <w:r w:rsidRPr="00462000">
          <w:rPr>
            <w:rStyle w:val="Hyperlink"/>
            <w:rFonts w:ascii="Arial" w:hAnsi="Arial" w:cs="Arial"/>
            <w:sz w:val="24"/>
            <w:szCs w:val="24"/>
          </w:rPr>
          <w:t>Neuhofer, B.</w:t>
        </w:r>
      </w:hyperlink>
      <w:r w:rsidRPr="00462000">
        <w:rPr>
          <w:rFonts w:ascii="Arial" w:hAnsi="Arial" w:cs="Arial"/>
          <w:sz w:val="24"/>
          <w:szCs w:val="24"/>
        </w:rPr>
        <w:t>, </w:t>
      </w:r>
      <w:hyperlink r:id="rId19" w:tooltip="Krzysztof Celuch" w:history="1">
        <w:r w:rsidRPr="00462000">
          <w:rPr>
            <w:rStyle w:val="Hyperlink"/>
            <w:rFonts w:ascii="Arial" w:hAnsi="Arial" w:cs="Arial"/>
            <w:sz w:val="24"/>
            <w:szCs w:val="24"/>
          </w:rPr>
          <w:t>Celuch, K.</w:t>
        </w:r>
      </w:hyperlink>
      <w:r w:rsidRPr="00462000">
        <w:rPr>
          <w:rFonts w:ascii="Arial" w:hAnsi="Arial" w:cs="Arial"/>
          <w:sz w:val="24"/>
          <w:szCs w:val="24"/>
        </w:rPr>
        <w:t> and </w:t>
      </w:r>
      <w:hyperlink r:id="rId20" w:tooltip="Ivana Rihova" w:history="1">
        <w:r w:rsidRPr="00462000">
          <w:rPr>
            <w:rStyle w:val="Hyperlink"/>
            <w:rFonts w:ascii="Arial" w:hAnsi="Arial" w:cs="Arial"/>
            <w:sz w:val="24"/>
            <w:szCs w:val="24"/>
          </w:rPr>
          <w:t>Rihova, I.</w:t>
        </w:r>
      </w:hyperlink>
      <w:r w:rsidRPr="00462000">
        <w:rPr>
          <w:rFonts w:ascii="Arial" w:hAnsi="Arial" w:cs="Arial"/>
          <w:sz w:val="24"/>
          <w:szCs w:val="24"/>
        </w:rPr>
        <w:t> (2024</w:t>
      </w:r>
      <w:r w:rsidRPr="00462000">
        <w:rPr>
          <w:rFonts w:ascii="Arial" w:hAnsi="Arial" w:cs="Arial"/>
          <w:i/>
          <w:iCs/>
          <w:sz w:val="24"/>
          <w:szCs w:val="24"/>
        </w:rPr>
        <w:t>) "The future of transformative events: an event leaders’ perspective"</w:t>
      </w:r>
      <w:r w:rsidRPr="00462000">
        <w:rPr>
          <w:rFonts w:ascii="Arial" w:hAnsi="Arial" w:cs="Arial"/>
          <w:sz w:val="24"/>
          <w:szCs w:val="24"/>
        </w:rPr>
        <w:t>, </w:t>
      </w:r>
      <w:hyperlink r:id="rId21" w:history="1">
        <w:r w:rsidRPr="00462000">
          <w:rPr>
            <w:rStyle w:val="Hyperlink"/>
            <w:rFonts w:ascii="Arial" w:hAnsi="Arial" w:cs="Arial"/>
            <w:i/>
            <w:iCs/>
            <w:sz w:val="24"/>
            <w:szCs w:val="24"/>
          </w:rPr>
          <w:t>International Journal of Contemporary Hospitality Management</w:t>
        </w:r>
      </w:hyperlink>
      <w:r w:rsidRPr="00462000">
        <w:rPr>
          <w:rFonts w:ascii="Arial" w:hAnsi="Arial" w:cs="Arial"/>
          <w:sz w:val="24"/>
          <w:szCs w:val="24"/>
        </w:rPr>
        <w:t>, Vol. 36 No. 10, pp. 3472-3492. </w:t>
      </w:r>
      <w:hyperlink r:id="rId22" w:tooltip="DOI: https://doi.org/10.1108/IJCHM-07-2023-1027" w:history="1">
        <w:r w:rsidRPr="00462000">
          <w:rPr>
            <w:rStyle w:val="Hyperlink"/>
            <w:rFonts w:ascii="Arial" w:hAnsi="Arial" w:cs="Arial"/>
            <w:sz w:val="24"/>
            <w:szCs w:val="24"/>
          </w:rPr>
          <w:t>https://doi.org/10.1108/IJCHM-07-2023-1027</w:t>
        </w:r>
      </w:hyperlink>
      <w:r w:rsidRPr="00462000">
        <w:rPr>
          <w:rFonts w:ascii="Arial" w:hAnsi="Arial" w:cs="Arial"/>
          <w:sz w:val="24"/>
          <w:szCs w:val="24"/>
        </w:rPr>
        <w:t xml:space="preserve"> (Accessed 14 Oct. 2024).</w:t>
      </w:r>
    </w:p>
    <w:p w14:paraId="4F5D7938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Newman, A.H., </w:t>
      </w:r>
      <w:proofErr w:type="spellStart"/>
      <w:r w:rsidRPr="007F4EC4">
        <w:rPr>
          <w:rFonts w:ascii="Arial" w:hAnsi="Arial" w:cs="Arial"/>
        </w:rPr>
        <w:t>Tafkov</w:t>
      </w:r>
      <w:proofErr w:type="spellEnd"/>
      <w:r w:rsidRPr="007F4EC4">
        <w:rPr>
          <w:rFonts w:ascii="Arial" w:hAnsi="Arial" w:cs="Arial"/>
        </w:rPr>
        <w:t xml:space="preserve">, Ivo D, Waddoups, N.J. and Xiong, X.G. (2024) </w:t>
      </w:r>
      <w:r w:rsidRPr="007F4EC4">
        <w:rPr>
          <w:rFonts w:ascii="Arial" w:hAnsi="Arial" w:cs="Arial"/>
          <w:i/>
          <w:iCs/>
        </w:rPr>
        <w:t xml:space="preserve">The effect of reward frequency on performance under cash rewards and tangible rewards. </w:t>
      </w:r>
      <w:r w:rsidRPr="007F4EC4">
        <w:rPr>
          <w:rFonts w:ascii="Arial" w:hAnsi="Arial" w:cs="Arial"/>
        </w:rPr>
        <w:t xml:space="preserve">Accounting, Organizations and Society, [online] 112, p.101543. </w:t>
      </w:r>
      <w:proofErr w:type="spellStart"/>
      <w:r w:rsidRPr="007F4EC4">
        <w:rPr>
          <w:rFonts w:ascii="Arial" w:hAnsi="Arial" w:cs="Arial"/>
        </w:rPr>
        <w:t>doi:https</w:t>
      </w:r>
      <w:proofErr w:type="spellEnd"/>
      <w:r w:rsidRPr="007F4EC4">
        <w:rPr>
          <w:rFonts w:ascii="Arial" w:hAnsi="Arial" w:cs="Arial"/>
        </w:rPr>
        <w:t>://doi.org/10.1016/j.aos.2024.101543 (Accessed 13 Oct 2024).</w:t>
      </w:r>
    </w:p>
    <w:p w14:paraId="50003C8C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62000">
        <w:rPr>
          <w:rFonts w:ascii="Arial" w:hAnsi="Arial" w:cs="Arial"/>
          <w:sz w:val="24"/>
          <w:szCs w:val="24"/>
        </w:rPr>
        <w:lastRenderedPageBreak/>
        <w:t>ProGlobalEvents</w:t>
      </w:r>
      <w:proofErr w:type="spellEnd"/>
      <w:r w:rsidRPr="00462000">
        <w:rPr>
          <w:rFonts w:ascii="Arial" w:hAnsi="Arial" w:cs="Arial"/>
          <w:sz w:val="24"/>
          <w:szCs w:val="24"/>
        </w:rPr>
        <w:t xml:space="preserve"> (2022) How to Structure Your Corporate Event Budget. [online] </w:t>
      </w:r>
      <w:proofErr w:type="spellStart"/>
      <w:r w:rsidRPr="00462000">
        <w:rPr>
          <w:rFonts w:ascii="Arial" w:hAnsi="Arial" w:cs="Arial"/>
          <w:sz w:val="24"/>
          <w:szCs w:val="24"/>
        </w:rPr>
        <w:t>ProGlobalEvents</w:t>
      </w:r>
      <w:proofErr w:type="spellEnd"/>
      <w:r w:rsidRPr="00462000">
        <w:rPr>
          <w:rFonts w:ascii="Arial" w:hAnsi="Arial" w:cs="Arial"/>
          <w:sz w:val="24"/>
          <w:szCs w:val="24"/>
        </w:rPr>
        <w:t>. Available at: https://www.proglobalevents.com/blog/corporate-event-budget/ (Accessed 16 Oct. 2024).</w:t>
      </w:r>
    </w:p>
    <w:p w14:paraId="341FB395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Project Management (2018) </w:t>
      </w:r>
      <w:r w:rsidRPr="007F4EC4">
        <w:rPr>
          <w:rFonts w:ascii="Arial" w:hAnsi="Arial" w:cs="Arial"/>
          <w:i/>
          <w:iCs/>
        </w:rPr>
        <w:t>How to Conduct a Feasibility Study - Project Management Training</w:t>
      </w:r>
      <w:r w:rsidRPr="007F4EC4">
        <w:rPr>
          <w:rFonts w:ascii="Arial" w:hAnsi="Arial" w:cs="Arial"/>
        </w:rPr>
        <w:t xml:space="preserve">. </w:t>
      </w:r>
      <w:r w:rsidRPr="007F4EC4">
        <w:rPr>
          <w:rFonts w:ascii="Arial" w:hAnsi="Arial" w:cs="Arial"/>
          <w:i/>
          <w:iCs/>
        </w:rPr>
        <w:t>YouTube</w:t>
      </w:r>
      <w:r w:rsidRPr="007F4EC4">
        <w:rPr>
          <w:rFonts w:ascii="Arial" w:hAnsi="Arial" w:cs="Arial"/>
        </w:rPr>
        <w:t xml:space="preserve">. Available at: </w:t>
      </w:r>
      <w:hyperlink r:id="rId23" w:history="1">
        <w:r w:rsidRPr="00E76540">
          <w:rPr>
            <w:rStyle w:val="Hyperlink"/>
            <w:rFonts w:ascii="Arial" w:hAnsi="Arial" w:cs="Arial"/>
          </w:rPr>
          <w:t>https://www.youtube.com/watch?v=WI6_snOjlm0</w:t>
        </w:r>
      </w:hyperlink>
      <w:r>
        <w:rPr>
          <w:rFonts w:ascii="Arial" w:hAnsi="Arial" w:cs="Arial"/>
        </w:rPr>
        <w:t xml:space="preserve"> (Accessed 16 Oct. 2024).</w:t>
      </w:r>
    </w:p>
    <w:p w14:paraId="3F39241C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 xml:space="preserve">Reynolds, A. (2021) </w:t>
      </w:r>
      <w:r w:rsidRPr="00462000">
        <w:rPr>
          <w:rFonts w:ascii="Arial" w:hAnsi="Arial" w:cs="Arial"/>
          <w:i/>
          <w:iCs/>
          <w:sz w:val="24"/>
          <w:szCs w:val="24"/>
        </w:rPr>
        <w:t>The Live Music Business: Management and Production of Concerts and Festivals</w:t>
      </w:r>
      <w:r w:rsidRPr="00462000">
        <w:rPr>
          <w:rFonts w:ascii="Arial" w:hAnsi="Arial" w:cs="Arial"/>
          <w:sz w:val="24"/>
          <w:szCs w:val="24"/>
        </w:rPr>
        <w:t xml:space="preserve"> (3rd ed.). Routledge. </w:t>
      </w:r>
      <w:hyperlink r:id="rId24" w:history="1">
        <w:r w:rsidRPr="00462000">
          <w:rPr>
            <w:rStyle w:val="Hyperlink"/>
            <w:rFonts w:ascii="Arial" w:hAnsi="Arial" w:cs="Arial"/>
            <w:sz w:val="24"/>
            <w:szCs w:val="24"/>
          </w:rPr>
          <w:t>https://doi.org/10.4324/9781003019503</w:t>
        </w:r>
      </w:hyperlink>
      <w:r w:rsidRPr="00462000">
        <w:rPr>
          <w:rFonts w:ascii="Arial" w:hAnsi="Arial" w:cs="Arial"/>
          <w:sz w:val="24"/>
          <w:szCs w:val="24"/>
        </w:rPr>
        <w:t xml:space="preserve"> (Accessed 16 Oct. 2024).</w:t>
      </w:r>
    </w:p>
    <w:p w14:paraId="0E2B1CDE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>Wang, P., Wu, L., &amp; McGinley, S. (2024) ‘</w:t>
      </w:r>
      <w:r w:rsidRPr="00462000">
        <w:rPr>
          <w:rFonts w:ascii="Arial" w:hAnsi="Arial" w:cs="Arial"/>
          <w:i/>
          <w:iCs/>
          <w:sz w:val="24"/>
          <w:szCs w:val="24"/>
        </w:rPr>
        <w:t>How and Why Commitment-Focused Hospitality Employee Recognitions Attract Growth-Minded Job Seekers: An Inspiration Theory Perspective</w:t>
      </w:r>
      <w:r w:rsidRPr="00462000">
        <w:rPr>
          <w:rFonts w:ascii="Arial" w:hAnsi="Arial" w:cs="Arial"/>
          <w:sz w:val="24"/>
          <w:szCs w:val="24"/>
        </w:rPr>
        <w:t xml:space="preserve">’. Journal of Hospitality &amp; Tourism Research, 0(0). </w:t>
      </w:r>
      <w:hyperlink r:id="rId25" w:history="1">
        <w:r w:rsidRPr="00462000">
          <w:rPr>
            <w:rStyle w:val="Hyperlink"/>
            <w:rFonts w:ascii="Arial" w:hAnsi="Arial" w:cs="Arial"/>
            <w:sz w:val="24"/>
            <w:szCs w:val="24"/>
          </w:rPr>
          <w:t>https://doi.org/10.1177/10963480231223152</w:t>
        </w:r>
      </w:hyperlink>
      <w:r w:rsidRPr="00462000">
        <w:rPr>
          <w:rFonts w:ascii="Arial" w:hAnsi="Arial" w:cs="Arial"/>
          <w:sz w:val="24"/>
          <w:szCs w:val="24"/>
        </w:rPr>
        <w:t xml:space="preserve"> (Accessed 16 Oct.2024).</w:t>
      </w:r>
    </w:p>
    <w:p w14:paraId="26FF2A32" w14:textId="77777777" w:rsidR="00462000" w:rsidRPr="00462000" w:rsidRDefault="00462000" w:rsidP="00EB40E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2000">
        <w:rPr>
          <w:rFonts w:ascii="Arial" w:hAnsi="Arial" w:cs="Arial"/>
          <w:sz w:val="24"/>
          <w:szCs w:val="24"/>
        </w:rPr>
        <w:t xml:space="preserve">Whitbread (2023) </w:t>
      </w:r>
      <w:r w:rsidRPr="00462000">
        <w:rPr>
          <w:rFonts w:ascii="Arial" w:hAnsi="Arial" w:cs="Arial"/>
          <w:i/>
          <w:iCs/>
          <w:sz w:val="24"/>
          <w:szCs w:val="24"/>
        </w:rPr>
        <w:t>Whitbread logo</w:t>
      </w:r>
      <w:r w:rsidRPr="00462000">
        <w:rPr>
          <w:rFonts w:ascii="Arial" w:hAnsi="Arial" w:cs="Arial"/>
          <w:sz w:val="24"/>
          <w:szCs w:val="24"/>
        </w:rPr>
        <w:t>. [online] Whitbread.co.uk. Available at: https://www.whitbread.co.uk/ (Accessed 15 Oct. 2024).</w:t>
      </w:r>
    </w:p>
    <w:p w14:paraId="260286D3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Whitbread (2024) </w:t>
      </w:r>
      <w:r w:rsidRPr="007F4EC4">
        <w:rPr>
          <w:rFonts w:ascii="Arial" w:hAnsi="Arial" w:cs="Arial"/>
          <w:i/>
          <w:iCs/>
        </w:rPr>
        <w:t>Management</w:t>
      </w:r>
      <w:r w:rsidRPr="007F4EC4">
        <w:rPr>
          <w:rFonts w:ascii="Arial" w:hAnsi="Arial" w:cs="Arial"/>
        </w:rPr>
        <w:t xml:space="preserve">. [online] Whitbread PLC. </w:t>
      </w:r>
      <w:r>
        <w:rPr>
          <w:rFonts w:ascii="Arial" w:hAnsi="Arial" w:cs="Arial"/>
        </w:rPr>
        <w:t>(</w:t>
      </w:r>
      <w:r w:rsidRPr="007F4EC4">
        <w:rPr>
          <w:rFonts w:ascii="Arial" w:hAnsi="Arial" w:cs="Arial"/>
        </w:rPr>
        <w:t xml:space="preserve">Available </w:t>
      </w:r>
      <w:r>
        <w:rPr>
          <w:rFonts w:ascii="Arial" w:hAnsi="Arial" w:cs="Arial"/>
        </w:rPr>
        <w:t>Oct. 2024).</w:t>
      </w:r>
    </w:p>
    <w:p w14:paraId="49FB0B24" w14:textId="77777777" w:rsidR="00462000" w:rsidRPr="007F4EC4" w:rsidRDefault="00462000" w:rsidP="00EB40E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7F4EC4">
        <w:rPr>
          <w:rFonts w:ascii="Arial" w:hAnsi="Arial" w:cs="Arial"/>
        </w:rPr>
        <w:t xml:space="preserve">Whitbread PLC (2024) </w:t>
      </w:r>
      <w:r w:rsidRPr="007F4EC4">
        <w:rPr>
          <w:rFonts w:ascii="Arial" w:hAnsi="Arial" w:cs="Arial"/>
          <w:i/>
          <w:iCs/>
        </w:rPr>
        <w:t>Schools | Early Careers | Whitbread Careers</w:t>
      </w:r>
      <w:r w:rsidRPr="007F4EC4">
        <w:rPr>
          <w:rFonts w:ascii="Arial" w:hAnsi="Arial" w:cs="Arial"/>
        </w:rPr>
        <w:t>. [online] Whitbread Careers. Available at: https://www.whitbreadcareers.com/early-careers/schools/ (Accessed 16 Oct. 2024).</w:t>
      </w:r>
    </w:p>
    <w:p w14:paraId="75413699" w14:textId="77777777" w:rsidR="00DD5D5E" w:rsidRPr="007F4EC4" w:rsidRDefault="00DD5D5E" w:rsidP="00EB40E2">
      <w:pPr>
        <w:rPr>
          <w:rFonts w:ascii="Arial" w:hAnsi="Arial" w:cs="Arial"/>
          <w:sz w:val="24"/>
          <w:szCs w:val="24"/>
        </w:rPr>
      </w:pPr>
    </w:p>
    <w:sectPr w:rsidR="00DD5D5E" w:rsidRPr="007F4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886127"/>
    <w:multiLevelType w:val="hybridMultilevel"/>
    <w:tmpl w:val="CEB0E4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93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BC"/>
    <w:rsid w:val="000B3CE1"/>
    <w:rsid w:val="000B4CCC"/>
    <w:rsid w:val="0010428D"/>
    <w:rsid w:val="00104AD2"/>
    <w:rsid w:val="001301C1"/>
    <w:rsid w:val="001617D8"/>
    <w:rsid w:val="001734DD"/>
    <w:rsid w:val="00185FCF"/>
    <w:rsid w:val="00220136"/>
    <w:rsid w:val="0022771E"/>
    <w:rsid w:val="00275749"/>
    <w:rsid w:val="00284192"/>
    <w:rsid w:val="002C0E1E"/>
    <w:rsid w:val="002C6887"/>
    <w:rsid w:val="002F3849"/>
    <w:rsid w:val="003A0CA0"/>
    <w:rsid w:val="003C072D"/>
    <w:rsid w:val="003D51AF"/>
    <w:rsid w:val="003F418F"/>
    <w:rsid w:val="00462000"/>
    <w:rsid w:val="004C7C7B"/>
    <w:rsid w:val="005448BC"/>
    <w:rsid w:val="00567CBA"/>
    <w:rsid w:val="005760C6"/>
    <w:rsid w:val="00580512"/>
    <w:rsid w:val="005878E9"/>
    <w:rsid w:val="005C543D"/>
    <w:rsid w:val="00621328"/>
    <w:rsid w:val="00627FB1"/>
    <w:rsid w:val="006D7280"/>
    <w:rsid w:val="006D7488"/>
    <w:rsid w:val="007473E6"/>
    <w:rsid w:val="0076104D"/>
    <w:rsid w:val="007D6A46"/>
    <w:rsid w:val="007E6A39"/>
    <w:rsid w:val="007F4EC4"/>
    <w:rsid w:val="00857B3D"/>
    <w:rsid w:val="00880DA0"/>
    <w:rsid w:val="008A0D43"/>
    <w:rsid w:val="008B21AD"/>
    <w:rsid w:val="008D52E2"/>
    <w:rsid w:val="00901516"/>
    <w:rsid w:val="009063BC"/>
    <w:rsid w:val="0094121D"/>
    <w:rsid w:val="00945258"/>
    <w:rsid w:val="00952DCE"/>
    <w:rsid w:val="009632FB"/>
    <w:rsid w:val="009A3D4C"/>
    <w:rsid w:val="009E1441"/>
    <w:rsid w:val="00A577B4"/>
    <w:rsid w:val="00A70DB4"/>
    <w:rsid w:val="00A74E5F"/>
    <w:rsid w:val="00AB14B9"/>
    <w:rsid w:val="00AF0CD6"/>
    <w:rsid w:val="00B27E44"/>
    <w:rsid w:val="00B956AC"/>
    <w:rsid w:val="00C2262A"/>
    <w:rsid w:val="00CF48D4"/>
    <w:rsid w:val="00D44605"/>
    <w:rsid w:val="00DA6554"/>
    <w:rsid w:val="00DD5D5E"/>
    <w:rsid w:val="00E4456A"/>
    <w:rsid w:val="00E77166"/>
    <w:rsid w:val="00E81285"/>
    <w:rsid w:val="00EA63F5"/>
    <w:rsid w:val="00EB3686"/>
    <w:rsid w:val="00EB40E2"/>
    <w:rsid w:val="00EC444D"/>
    <w:rsid w:val="00EE5D3A"/>
    <w:rsid w:val="00F20343"/>
    <w:rsid w:val="00F720E7"/>
    <w:rsid w:val="00FA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19402"/>
  <w15:chartTrackingRefBased/>
  <w15:docId w15:val="{942C0F80-8C81-4519-8581-13278A5D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3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3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3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3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3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3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3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3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3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3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3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3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3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3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3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3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3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3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3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3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3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3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3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15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151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7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4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1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0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8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emerald.com/insight/search?q=Barbara%20Neuhofer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emerald.com/insight/publication/issn/0959-6119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doi.org/10.51178/jsr.v5i2.1919" TargetMode="External"/><Relationship Id="rId25" Type="http://schemas.openxmlformats.org/officeDocument/2006/relationships/hyperlink" Target="https://doi.org/10.1177/10963480231223152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www.emerald.com/insight/search?q=Ivana%20Rihov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doi.org/10.4324/9781003019503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youtube.com/watch?v=WI6_snOjlm0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emerald.com/insight/search?q=Krzysztof%20Celuc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doi.org/10.1108/IJCHM-07-2023-102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9</Pages>
  <Words>807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 </dc:creator>
  <cp:keywords/>
  <dc:description/>
  <cp:lastModifiedBy>   </cp:lastModifiedBy>
  <cp:revision>67</cp:revision>
  <dcterms:created xsi:type="dcterms:W3CDTF">2024-10-15T09:27:00Z</dcterms:created>
  <dcterms:modified xsi:type="dcterms:W3CDTF">2024-10-16T13:04:00Z</dcterms:modified>
</cp:coreProperties>
</file>