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591A9" w14:textId="77777777" w:rsidR="00777A78" w:rsidRDefault="00000000" w:rsidP="00777A78">
      <w:pPr>
        <w:pStyle w:val="NormalWeb"/>
        <w:spacing w:before="0" w:beforeAutospacing="0" w:after="0" w:afterAutospacing="0"/>
        <w:ind w:left="-180" w:right="-334"/>
      </w:pPr>
      <w:r>
        <w:rPr>
          <w:noProof/>
        </w:rPr>
        <w:drawing>
          <wp:inline distT="0" distB="0" distL="0" distR="0" wp14:anchorId="76DCB861" wp14:editId="0C9A4DAA">
            <wp:extent cx="1905000" cy="635000"/>
            <wp:effectExtent l="25400" t="25400" r="12700" b="1270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5000" cy="635000"/>
                    </a:xfrm>
                    <a:prstGeom prst="rect">
                      <a:avLst/>
                    </a:prstGeom>
                    <a:noFill/>
                    <a:ln w="19050">
                      <a:solidFill>
                        <a:srgbClr val="000000"/>
                      </a:solidFill>
                      <a:miter lim="800000"/>
                      <a:headEnd/>
                      <a:tailEnd/>
                    </a:ln>
                    <a:effectLst/>
                  </pic:spPr>
                </pic:pic>
              </a:graphicData>
            </a:graphic>
          </wp:inline>
        </w:drawing>
      </w:r>
    </w:p>
    <w:p w14:paraId="32D1F1FD" w14:textId="77777777" w:rsidR="00777A78" w:rsidRDefault="00777A78" w:rsidP="00777A78">
      <w:pPr>
        <w:pStyle w:val="NormalWeb"/>
        <w:spacing w:before="0" w:beforeAutospacing="0" w:after="0" w:afterAutospacing="0"/>
        <w:ind w:left="-180" w:right="-334"/>
      </w:pPr>
    </w:p>
    <w:p w14:paraId="3B3D3879" w14:textId="77777777" w:rsidR="00777A78" w:rsidRDefault="00777A78" w:rsidP="00777A78">
      <w:pPr>
        <w:pStyle w:val="NormalWeb"/>
        <w:spacing w:before="0" w:beforeAutospacing="0" w:after="0" w:afterAutospacing="0"/>
        <w:ind w:left="-180" w:right="-334"/>
      </w:pPr>
    </w:p>
    <w:p w14:paraId="36AC5153" w14:textId="77777777" w:rsidR="00777A78" w:rsidRDefault="00000000" w:rsidP="00777A7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BB8AF0D" w14:textId="77777777" w:rsidR="00777A78" w:rsidRPr="00230F35" w:rsidRDefault="00000000" w:rsidP="00777A7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7204DA7" w14:textId="77777777" w:rsidR="00777A78" w:rsidRPr="00230F35" w:rsidRDefault="00777A78" w:rsidP="00777A78">
      <w:pPr>
        <w:rPr>
          <w:rFonts w:cs="Arial"/>
          <w:sz w:val="28"/>
          <w:szCs w:val="28"/>
          <w:lang w:val="cy-GB"/>
        </w:rPr>
      </w:pPr>
    </w:p>
    <w:p w14:paraId="3D4FE7E5" w14:textId="77777777" w:rsidR="00777A78" w:rsidRDefault="00000000" w:rsidP="00777A78">
      <w:pPr>
        <w:pStyle w:val="Heading3"/>
        <w:jc w:val="center"/>
        <w:rPr>
          <w:lang w:val="cy-GB"/>
        </w:rPr>
      </w:pPr>
      <w:r>
        <w:rPr>
          <w:lang w:val="cy-GB"/>
        </w:rPr>
        <w:t>THIS SHEET MUST BE THE FIRST PAGE OF THE ASSIGNMENT YOU ARE SUBMITTING  (DO NOT SEND AS A SEPARATE FILE)</w:t>
      </w:r>
    </w:p>
    <w:p w14:paraId="3D800911" w14:textId="77777777" w:rsidR="00777A78" w:rsidRDefault="00777A78" w:rsidP="00777A7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A29B9" w14:paraId="420C3212" w14:textId="77777777" w:rsidTr="00C71A0A">
        <w:trPr>
          <w:trHeight w:val="614"/>
        </w:trPr>
        <w:tc>
          <w:tcPr>
            <w:tcW w:w="8856" w:type="dxa"/>
            <w:gridSpan w:val="5"/>
          </w:tcPr>
          <w:p w14:paraId="73E8B8F3"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A29B9" w14:paraId="645DD44E" w14:textId="77777777" w:rsidTr="00C71A0A">
        <w:trPr>
          <w:trHeight w:val="718"/>
        </w:trPr>
        <w:tc>
          <w:tcPr>
            <w:tcW w:w="8856" w:type="dxa"/>
            <w:gridSpan w:val="5"/>
          </w:tcPr>
          <w:p w14:paraId="68E9B6AD"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Helen Claire Astley</w:t>
            </w:r>
          </w:p>
          <w:p w14:paraId="6911F864" w14:textId="77777777" w:rsidR="00777A78" w:rsidRPr="00230F35" w:rsidRDefault="00777A78" w:rsidP="00C71A0A">
            <w:pPr>
              <w:pStyle w:val="NormalWeb"/>
              <w:spacing w:before="0" w:beforeAutospacing="0" w:after="0" w:afterAutospacing="0"/>
              <w:ind w:right="34"/>
              <w:rPr>
                <w:rFonts w:ascii="Arial" w:hAnsi="Arial" w:cs="Arial"/>
                <w:sz w:val="22"/>
                <w:szCs w:val="22"/>
              </w:rPr>
            </w:pPr>
          </w:p>
          <w:p w14:paraId="71730398"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2126960@student.uwtsd.ac.uk</w:t>
            </w:r>
          </w:p>
        </w:tc>
      </w:tr>
      <w:tr w:rsidR="002A29B9" w14:paraId="567E5580" w14:textId="77777777" w:rsidTr="00C71A0A">
        <w:trPr>
          <w:trHeight w:val="849"/>
        </w:trPr>
        <w:tc>
          <w:tcPr>
            <w:tcW w:w="4788" w:type="dxa"/>
          </w:tcPr>
          <w:p w14:paraId="7EA6985D" w14:textId="7AC9AE75"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D5012D">
              <w:rPr>
                <w:rFonts w:ascii="Arial" w:hAnsi="Arial" w:cs="Arial"/>
                <w:sz w:val="22"/>
                <w:szCs w:val="22"/>
              </w:rPr>
              <w:t>HPCA7027</w:t>
            </w:r>
          </w:p>
          <w:p w14:paraId="5830146E" w14:textId="77777777" w:rsidR="00777A78" w:rsidRPr="00230F35" w:rsidRDefault="00777A78" w:rsidP="00C71A0A">
            <w:pPr>
              <w:pStyle w:val="NormalWeb"/>
              <w:spacing w:before="0" w:beforeAutospacing="0" w:after="0" w:afterAutospacing="0"/>
              <w:ind w:right="34"/>
              <w:rPr>
                <w:rFonts w:ascii="Arial" w:hAnsi="Arial" w:cs="Arial"/>
                <w:sz w:val="22"/>
                <w:szCs w:val="22"/>
              </w:rPr>
            </w:pPr>
          </w:p>
          <w:p w14:paraId="478CA87C" w14:textId="185CA19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D5012D">
              <w:rPr>
                <w:rFonts w:ascii="Arial" w:hAnsi="Arial" w:cs="Arial"/>
                <w:sz w:val="22"/>
                <w:szCs w:val="22"/>
              </w:rPr>
              <w:t>Cosmology, Magic and Divination</w:t>
            </w:r>
          </w:p>
          <w:p w14:paraId="7A2885CB" w14:textId="77777777" w:rsidR="00777A78" w:rsidRPr="00230F35" w:rsidRDefault="00777A78" w:rsidP="00C71A0A">
            <w:pPr>
              <w:pStyle w:val="NormalWeb"/>
              <w:spacing w:before="0" w:beforeAutospacing="0" w:after="0" w:afterAutospacing="0"/>
              <w:ind w:right="34"/>
              <w:rPr>
                <w:rFonts w:ascii="Arial" w:hAnsi="Arial" w:cs="Arial"/>
                <w:sz w:val="22"/>
                <w:szCs w:val="22"/>
              </w:rPr>
            </w:pPr>
          </w:p>
        </w:tc>
        <w:tc>
          <w:tcPr>
            <w:tcW w:w="2266" w:type="dxa"/>
            <w:gridSpan w:val="3"/>
          </w:tcPr>
          <w:p w14:paraId="7FA1BA66"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A78CC6B" w14:textId="77777777" w:rsidR="00777A78" w:rsidRPr="00230F35" w:rsidRDefault="00000000" w:rsidP="00C71A0A">
            <w:pPr>
              <w:pStyle w:val="NormalWeb"/>
              <w:spacing w:before="0" w:beforeAutospacing="0" w:after="0" w:afterAutospacing="0"/>
              <w:ind w:right="34"/>
              <w:rPr>
                <w:rFonts w:ascii="Arial" w:hAnsi="Arial" w:cs="Arial"/>
                <w:sz w:val="22"/>
                <w:szCs w:val="22"/>
              </w:rPr>
            </w:pPr>
            <w:r>
              <w:rPr>
                <w:rFonts w:ascii="Arial" w:hAnsi="Arial" w:cs="Arial"/>
                <w:sz w:val="22"/>
                <w:szCs w:val="22"/>
              </w:rPr>
              <w:t>2126960</w:t>
            </w:r>
          </w:p>
        </w:tc>
        <w:tc>
          <w:tcPr>
            <w:tcW w:w="1802" w:type="dxa"/>
          </w:tcPr>
          <w:p w14:paraId="07471E55"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E63674A"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1D78B2">
              <w:rPr>
                <w:rFonts w:ascii="Arial" w:hAnsi="Arial" w:cs="Arial"/>
                <w:strike/>
                <w:sz w:val="22"/>
                <w:szCs w:val="22"/>
              </w:rPr>
              <w:t>Yes</w:t>
            </w:r>
            <w:r w:rsidRPr="00230F35">
              <w:rPr>
                <w:rFonts w:ascii="Arial" w:hAnsi="Arial" w:cs="Arial"/>
                <w:sz w:val="22"/>
                <w:szCs w:val="22"/>
              </w:rPr>
              <w:t>/No</w:t>
            </w:r>
          </w:p>
        </w:tc>
      </w:tr>
      <w:tr w:rsidR="002A29B9" w14:paraId="13490A0B" w14:textId="77777777" w:rsidTr="00C71A0A">
        <w:trPr>
          <w:trHeight w:val="1139"/>
        </w:trPr>
        <w:tc>
          <w:tcPr>
            <w:tcW w:w="8856" w:type="dxa"/>
            <w:gridSpan w:val="5"/>
          </w:tcPr>
          <w:p w14:paraId="53F4D134" w14:textId="45628BAA"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995B7F">
              <w:rPr>
                <w:rFonts w:ascii="Arial" w:hAnsi="Arial" w:cs="Arial"/>
                <w:sz w:val="22"/>
                <w:szCs w:val="22"/>
              </w:rPr>
              <w:t xml:space="preserve">A </w:t>
            </w:r>
            <w:proofErr w:type="gramStart"/>
            <w:r w:rsidR="00995B7F">
              <w:rPr>
                <w:rFonts w:ascii="Arial" w:hAnsi="Arial" w:cs="Arial"/>
                <w:sz w:val="22"/>
                <w:szCs w:val="22"/>
              </w:rPr>
              <w:t>4500 word</w:t>
            </w:r>
            <w:proofErr w:type="gramEnd"/>
            <w:r w:rsidR="00995B7F">
              <w:rPr>
                <w:rFonts w:ascii="Arial" w:hAnsi="Arial" w:cs="Arial"/>
                <w:sz w:val="22"/>
                <w:szCs w:val="22"/>
              </w:rPr>
              <w:t xml:space="preserve"> essay written on a topic within the subject area (Assignment 2)</w:t>
            </w:r>
          </w:p>
          <w:p w14:paraId="720A8D62" w14:textId="77777777" w:rsidR="00777A78" w:rsidRDefault="00777A78" w:rsidP="00C71A0A">
            <w:pPr>
              <w:pStyle w:val="NormalWeb"/>
              <w:spacing w:before="0" w:beforeAutospacing="0" w:after="0" w:afterAutospacing="0"/>
              <w:ind w:right="34"/>
              <w:rPr>
                <w:rFonts w:ascii="Arial" w:hAnsi="Arial" w:cs="Arial"/>
                <w:sz w:val="22"/>
                <w:szCs w:val="22"/>
              </w:rPr>
            </w:pPr>
          </w:p>
          <w:p w14:paraId="19DECC1C" w14:textId="1527FC04"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D5012D">
              <w:rPr>
                <w:rFonts w:ascii="Arial" w:hAnsi="Arial" w:cs="Arial"/>
                <w:sz w:val="22"/>
                <w:szCs w:val="22"/>
              </w:rPr>
              <w:t>2</w:t>
            </w:r>
            <w:r w:rsidR="00995B7F">
              <w:rPr>
                <w:rFonts w:ascii="Arial" w:hAnsi="Arial" w:cs="Arial"/>
                <w:sz w:val="22"/>
                <w:szCs w:val="22"/>
              </w:rPr>
              <w:t>4</w:t>
            </w:r>
            <w:r w:rsidR="00D5012D">
              <w:rPr>
                <w:rFonts w:ascii="Arial" w:hAnsi="Arial" w:cs="Arial"/>
                <w:sz w:val="22"/>
                <w:szCs w:val="22"/>
              </w:rPr>
              <w:t xml:space="preserve"> </w:t>
            </w:r>
            <w:r w:rsidR="00995B7F">
              <w:rPr>
                <w:rFonts w:ascii="Arial" w:hAnsi="Arial" w:cs="Arial"/>
                <w:sz w:val="22"/>
                <w:szCs w:val="22"/>
              </w:rPr>
              <w:t>April</w:t>
            </w:r>
            <w:r w:rsidR="00D5012D">
              <w:rPr>
                <w:rFonts w:ascii="Arial" w:hAnsi="Arial" w:cs="Arial"/>
                <w:sz w:val="22"/>
                <w:szCs w:val="22"/>
              </w:rPr>
              <w:t xml:space="preserve"> 2023</w:t>
            </w:r>
          </w:p>
        </w:tc>
      </w:tr>
      <w:tr w:rsidR="002A29B9" w14:paraId="1806B9F8" w14:textId="77777777" w:rsidTr="00C71A0A">
        <w:trPr>
          <w:trHeight w:val="978"/>
        </w:trPr>
        <w:tc>
          <w:tcPr>
            <w:tcW w:w="8856" w:type="dxa"/>
            <w:gridSpan w:val="5"/>
            <w:tcBorders>
              <w:bottom w:val="single" w:sz="4" w:space="0" w:color="000000"/>
            </w:tcBorders>
          </w:tcPr>
          <w:p w14:paraId="4560FA9F" w14:textId="2FD9480B" w:rsidR="00D5012D" w:rsidRDefault="00D5012D" w:rsidP="00D5012D">
            <w:pPr>
              <w:rPr>
                <w:rFonts w:cs="Arial"/>
                <w:sz w:val="22"/>
                <w:szCs w:val="22"/>
              </w:rPr>
            </w:pPr>
            <w:r>
              <w:rPr>
                <w:rFonts w:cs="Arial"/>
                <w:sz w:val="22"/>
                <w:szCs w:val="22"/>
              </w:rPr>
              <w:t>If your module has multiple submissions, please indicate which piece of work this is.</w:t>
            </w:r>
          </w:p>
          <w:p w14:paraId="347B726A" w14:textId="77777777" w:rsidR="00D5012D" w:rsidRDefault="00D5012D" w:rsidP="00D5012D">
            <w:pPr>
              <w:rPr>
                <w:rFonts w:cs="Arial"/>
                <w:sz w:val="22"/>
                <w:szCs w:val="22"/>
              </w:rPr>
            </w:pPr>
          </w:p>
          <w:p w14:paraId="7413007D" w14:textId="375EDBE0" w:rsidR="00777A78" w:rsidRPr="00D5012D" w:rsidRDefault="00D5012D" w:rsidP="00D5012D">
            <w:pPr>
              <w:pStyle w:val="NormalWeb"/>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00995B7F"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00995B7F"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995B7F" w:rsidRPr="00230F35">
              <w:rPr>
                <w:rFonts w:ascii="Arial" w:hAnsi="Arial" w:cs="Arial"/>
                <w:sz w:val="22"/>
                <w:szCs w:val="22"/>
              </w:rPr>
              <w:fldChar w:fldCharType="end"/>
            </w:r>
            <w:bookmarkEnd w:id="0"/>
            <w:r w:rsidRPr="00230F35">
              <w:rPr>
                <w:rFonts w:ascii="Arial" w:hAnsi="Arial" w:cs="Arial"/>
                <w:sz w:val="22"/>
                <w:szCs w:val="22"/>
              </w:rPr>
              <w:t xml:space="preserve">    2</w:t>
            </w:r>
            <w:proofErr w:type="gramStart"/>
            <w:r w:rsidRPr="00230F35">
              <w:rPr>
                <w:rFonts w:ascii="Arial" w:hAnsi="Arial" w:cs="Arial"/>
                <w:sz w:val="22"/>
                <w:szCs w:val="22"/>
                <w:vertAlign w:val="superscript"/>
              </w:rPr>
              <w:t>nd</w:t>
            </w:r>
            <w:r w:rsidRPr="00230F35">
              <w:rPr>
                <w:rFonts w:ascii="Arial" w:hAnsi="Arial" w:cs="Arial"/>
                <w:sz w:val="22"/>
                <w:szCs w:val="22"/>
              </w:rPr>
              <w:t xml:space="preserve">  </w:t>
            </w:r>
            <w:r w:rsidR="00995B7F" w:rsidRPr="0046157D">
              <w:rPr>
                <w:rFonts w:ascii="Wingdings 2" w:hAnsi="Wingdings 2" w:cs="Arial"/>
                <w:b/>
                <w:bCs/>
                <w:sz w:val="36"/>
                <w:szCs w:val="36"/>
              </w:rPr>
              <w:t>R</w:t>
            </w:r>
            <w:proofErr w:type="gramEnd"/>
            <w:r w:rsidR="00995B7F" w:rsidRPr="00230F35">
              <w:rPr>
                <w:rFonts w:ascii="Arial" w:hAnsi="Arial" w:cs="Arial"/>
                <w:sz w:val="22"/>
                <w:szCs w:val="22"/>
              </w:rPr>
              <w:t xml:space="preserve"> </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p>
        </w:tc>
      </w:tr>
      <w:tr w:rsidR="002A29B9" w14:paraId="3CEC08C8" w14:textId="77777777" w:rsidTr="00C71A0A">
        <w:trPr>
          <w:trHeight w:val="978"/>
        </w:trPr>
        <w:tc>
          <w:tcPr>
            <w:tcW w:w="8856" w:type="dxa"/>
            <w:gridSpan w:val="5"/>
            <w:shd w:val="clear" w:color="auto" w:fill="D9D9D9"/>
          </w:tcPr>
          <w:p w14:paraId="55190AA0" w14:textId="77777777" w:rsidR="00777A78" w:rsidRPr="00230F35"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CB98A6C" w14:textId="77777777" w:rsidR="00777A78" w:rsidRDefault="00000000" w:rsidP="00C71A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5001319" w14:textId="77777777" w:rsidR="00777A78" w:rsidRDefault="00000000" w:rsidP="00C71A0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46157D">
              <w:rPr>
                <w:rFonts w:ascii="Wingdings 2" w:hAnsi="Wingdings 2" w:cs="Tahoma"/>
                <w:b/>
                <w:sz w:val="36"/>
                <w:szCs w:val="36"/>
              </w:rPr>
              <w:t>R</w:t>
            </w:r>
          </w:p>
          <w:p w14:paraId="5EE972F5" w14:textId="77777777" w:rsidR="00777A78" w:rsidRPr="00230F35" w:rsidRDefault="00000000" w:rsidP="00C71A0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A29B9" w14:paraId="461140C0" w14:textId="77777777" w:rsidTr="00C71A0A">
        <w:trPr>
          <w:trHeight w:val="3972"/>
        </w:trPr>
        <w:tc>
          <w:tcPr>
            <w:tcW w:w="8856" w:type="dxa"/>
            <w:gridSpan w:val="5"/>
          </w:tcPr>
          <w:p w14:paraId="4619AA16" w14:textId="77777777" w:rsidR="00777A78" w:rsidRDefault="00777A78" w:rsidP="00C71A0A">
            <w:pPr>
              <w:rPr>
                <w:b/>
              </w:rPr>
            </w:pPr>
          </w:p>
          <w:p w14:paraId="619EE821" w14:textId="77777777" w:rsidR="00777A78" w:rsidRPr="00116CE6" w:rsidRDefault="00000000" w:rsidP="00C71A0A">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A29B9" w14:paraId="39F9A412" w14:textId="77777777" w:rsidTr="00C71A0A">
              <w:tc>
                <w:tcPr>
                  <w:tcW w:w="6970" w:type="dxa"/>
                </w:tcPr>
                <w:p w14:paraId="283C2789" w14:textId="77777777" w:rsidR="00777A78" w:rsidRPr="00116CE6" w:rsidRDefault="00777A78" w:rsidP="00C71A0A">
                  <w:pPr>
                    <w:rPr>
                      <w:sz w:val="20"/>
                      <w:szCs w:val="20"/>
                    </w:rPr>
                  </w:pPr>
                </w:p>
                <w:p w14:paraId="26C57BAD" w14:textId="77777777" w:rsidR="00777A78" w:rsidRPr="00116CE6" w:rsidRDefault="00000000" w:rsidP="00C71A0A">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01266B93" w14:textId="77777777" w:rsidR="00777A78" w:rsidRPr="00116CE6" w:rsidRDefault="00777A78" w:rsidP="00C71A0A">
                  <w:pPr>
                    <w:rPr>
                      <w:sz w:val="20"/>
                      <w:szCs w:val="20"/>
                    </w:rPr>
                  </w:pPr>
                </w:p>
              </w:tc>
            </w:tr>
            <w:tr w:rsidR="002A29B9" w14:paraId="142C29D9" w14:textId="77777777" w:rsidTr="00C71A0A">
              <w:tc>
                <w:tcPr>
                  <w:tcW w:w="6970" w:type="dxa"/>
                </w:tcPr>
                <w:p w14:paraId="39180CD3" w14:textId="77777777" w:rsidR="00777A78" w:rsidRPr="00116CE6" w:rsidRDefault="00777A78" w:rsidP="00C71A0A">
                  <w:pPr>
                    <w:rPr>
                      <w:sz w:val="20"/>
                      <w:szCs w:val="20"/>
                    </w:rPr>
                  </w:pPr>
                </w:p>
                <w:p w14:paraId="6AB0C820" w14:textId="77777777" w:rsidR="00777A78" w:rsidRPr="00116CE6" w:rsidRDefault="00000000" w:rsidP="00C71A0A">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1AFA6CC9" w14:textId="77777777" w:rsidR="00777A78" w:rsidRPr="00116CE6" w:rsidRDefault="00777A78" w:rsidP="00C71A0A">
                  <w:pPr>
                    <w:rPr>
                      <w:sz w:val="20"/>
                      <w:szCs w:val="20"/>
                    </w:rPr>
                  </w:pPr>
                </w:p>
              </w:tc>
            </w:tr>
            <w:tr w:rsidR="002A29B9" w14:paraId="3CDA0ECF" w14:textId="77777777" w:rsidTr="00C71A0A">
              <w:tc>
                <w:tcPr>
                  <w:tcW w:w="6970" w:type="dxa"/>
                </w:tcPr>
                <w:p w14:paraId="7D4E209A" w14:textId="77777777" w:rsidR="00777A78" w:rsidRPr="00116CE6" w:rsidRDefault="00777A78" w:rsidP="00C71A0A">
                  <w:pPr>
                    <w:rPr>
                      <w:sz w:val="20"/>
                      <w:szCs w:val="20"/>
                    </w:rPr>
                  </w:pPr>
                </w:p>
                <w:p w14:paraId="3945ABAE" w14:textId="77777777" w:rsidR="00777A78" w:rsidRPr="00116CE6" w:rsidRDefault="00000000" w:rsidP="00C71A0A">
                  <w:pPr>
                    <w:rPr>
                      <w:sz w:val="20"/>
                      <w:szCs w:val="20"/>
                    </w:rPr>
                  </w:pPr>
                  <w:r w:rsidRPr="00116CE6">
                    <w:rPr>
                      <w:sz w:val="20"/>
                      <w:szCs w:val="20"/>
                    </w:rPr>
                    <w:t>External Examiner’s mark</w:t>
                  </w:r>
                  <w:r>
                    <w:rPr>
                      <w:sz w:val="20"/>
                      <w:szCs w:val="20"/>
                    </w:rPr>
                    <w:t xml:space="preserve"> (if relevant)</w:t>
                  </w:r>
                </w:p>
              </w:tc>
              <w:tc>
                <w:tcPr>
                  <w:tcW w:w="1660" w:type="dxa"/>
                </w:tcPr>
                <w:p w14:paraId="40D8163E" w14:textId="77777777" w:rsidR="00777A78" w:rsidRPr="00116CE6" w:rsidRDefault="00777A78" w:rsidP="00C71A0A">
                  <w:pPr>
                    <w:rPr>
                      <w:sz w:val="20"/>
                      <w:szCs w:val="20"/>
                    </w:rPr>
                  </w:pPr>
                </w:p>
              </w:tc>
            </w:tr>
            <w:tr w:rsidR="002A29B9" w14:paraId="0C7DDA86" w14:textId="77777777" w:rsidTr="00C71A0A">
              <w:tc>
                <w:tcPr>
                  <w:tcW w:w="6970" w:type="dxa"/>
                </w:tcPr>
                <w:p w14:paraId="1476DD37" w14:textId="77777777" w:rsidR="00777A78" w:rsidRDefault="00777A78" w:rsidP="00C71A0A">
                  <w:pPr>
                    <w:rPr>
                      <w:sz w:val="20"/>
                      <w:szCs w:val="20"/>
                    </w:rPr>
                  </w:pPr>
                </w:p>
                <w:p w14:paraId="2F113B6E" w14:textId="77777777" w:rsidR="00777A78" w:rsidRPr="00022345" w:rsidRDefault="00000000" w:rsidP="00C71A0A">
                  <w:pPr>
                    <w:rPr>
                      <w:b/>
                      <w:sz w:val="20"/>
                      <w:szCs w:val="20"/>
                    </w:rPr>
                  </w:pPr>
                  <w:r w:rsidRPr="00022345">
                    <w:rPr>
                      <w:b/>
                      <w:sz w:val="20"/>
                      <w:szCs w:val="20"/>
                    </w:rPr>
                    <w:t>Final Mark</w:t>
                  </w:r>
                </w:p>
                <w:p w14:paraId="4321CA7F" w14:textId="77777777" w:rsidR="00777A78" w:rsidRPr="00116CE6" w:rsidRDefault="00777A78" w:rsidP="00C71A0A">
                  <w:pPr>
                    <w:rPr>
                      <w:sz w:val="20"/>
                      <w:szCs w:val="20"/>
                    </w:rPr>
                  </w:pPr>
                </w:p>
              </w:tc>
              <w:tc>
                <w:tcPr>
                  <w:tcW w:w="1660" w:type="dxa"/>
                </w:tcPr>
                <w:p w14:paraId="02623452" w14:textId="77777777" w:rsidR="00777A78" w:rsidRPr="00116CE6" w:rsidRDefault="00777A78" w:rsidP="00C71A0A">
                  <w:pPr>
                    <w:rPr>
                      <w:sz w:val="20"/>
                      <w:szCs w:val="20"/>
                    </w:rPr>
                  </w:pPr>
                </w:p>
              </w:tc>
            </w:tr>
          </w:tbl>
          <w:p w14:paraId="53350B04" w14:textId="77777777" w:rsidR="00777A78" w:rsidRDefault="00777A78" w:rsidP="00C71A0A">
            <w:pPr>
              <w:pStyle w:val="NormalWeb"/>
              <w:spacing w:before="0" w:beforeAutospacing="0" w:after="0" w:afterAutospacing="0"/>
              <w:ind w:left="142" w:right="34"/>
              <w:rPr>
                <w:rFonts w:ascii="Arial" w:hAnsi="Arial" w:cs="Arial"/>
                <w:b/>
                <w:sz w:val="22"/>
                <w:szCs w:val="22"/>
              </w:rPr>
            </w:pPr>
          </w:p>
          <w:p w14:paraId="34F47C19" w14:textId="77777777" w:rsidR="00777A78" w:rsidRPr="00230F35" w:rsidRDefault="00000000" w:rsidP="00C71A0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249ABF7" w14:textId="77777777" w:rsidR="00777A78" w:rsidRDefault="00777A78" w:rsidP="00C71A0A">
            <w:pPr>
              <w:pStyle w:val="NormalWeb"/>
              <w:spacing w:before="0" w:beforeAutospacing="0" w:after="0" w:afterAutospacing="0"/>
              <w:rPr>
                <w:rFonts w:ascii="Arial" w:hAnsi="Arial" w:cs="Arial"/>
                <w:b/>
                <w:sz w:val="22"/>
                <w:szCs w:val="22"/>
              </w:rPr>
            </w:pPr>
          </w:p>
          <w:p w14:paraId="7F56F73F" w14:textId="77777777" w:rsidR="00777A78" w:rsidRDefault="00777A78" w:rsidP="00C71A0A">
            <w:pPr>
              <w:pStyle w:val="NormalWeb"/>
              <w:spacing w:before="0" w:beforeAutospacing="0" w:after="0" w:afterAutospacing="0"/>
              <w:rPr>
                <w:rFonts w:ascii="Arial" w:hAnsi="Arial" w:cs="Arial"/>
                <w:b/>
                <w:sz w:val="22"/>
                <w:szCs w:val="22"/>
              </w:rPr>
            </w:pPr>
          </w:p>
          <w:p w14:paraId="465827E5" w14:textId="77777777" w:rsidR="00777A78" w:rsidRDefault="00777A78" w:rsidP="00C71A0A">
            <w:pPr>
              <w:pStyle w:val="NormalWeb"/>
              <w:spacing w:before="0" w:beforeAutospacing="0" w:after="0" w:afterAutospacing="0"/>
              <w:rPr>
                <w:rFonts w:ascii="Arial" w:hAnsi="Arial" w:cs="Arial"/>
                <w:b/>
                <w:sz w:val="22"/>
                <w:szCs w:val="22"/>
              </w:rPr>
            </w:pPr>
          </w:p>
          <w:p w14:paraId="3EFF4758" w14:textId="77777777" w:rsidR="00777A78" w:rsidRDefault="00777A78" w:rsidP="00C71A0A">
            <w:pPr>
              <w:pStyle w:val="NormalWeb"/>
              <w:spacing w:before="0" w:beforeAutospacing="0" w:after="0" w:afterAutospacing="0"/>
              <w:rPr>
                <w:rFonts w:ascii="Arial" w:hAnsi="Arial" w:cs="Arial"/>
                <w:b/>
                <w:sz w:val="22"/>
                <w:szCs w:val="22"/>
              </w:rPr>
            </w:pPr>
          </w:p>
          <w:p w14:paraId="6260DBED" w14:textId="77777777" w:rsidR="00777A78" w:rsidRDefault="00777A78" w:rsidP="00C71A0A">
            <w:pPr>
              <w:pStyle w:val="NormalWeb"/>
              <w:spacing w:before="0" w:beforeAutospacing="0" w:after="0" w:afterAutospacing="0"/>
              <w:rPr>
                <w:rFonts w:ascii="Arial" w:hAnsi="Arial" w:cs="Arial"/>
                <w:b/>
                <w:sz w:val="22"/>
                <w:szCs w:val="22"/>
              </w:rPr>
            </w:pPr>
          </w:p>
          <w:p w14:paraId="38E1EE96" w14:textId="77777777" w:rsidR="00777A78" w:rsidRPr="00230F35" w:rsidRDefault="00000000" w:rsidP="00C71A0A">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Pr="00230F35">
              <w:rPr>
                <w:rFonts w:ascii="Arial" w:hAnsi="Arial" w:cs="Arial"/>
                <w:b/>
                <w:sz w:val="22"/>
                <w:szCs w:val="22"/>
              </w:rPr>
              <w:t>arker 1 :</w:t>
            </w:r>
          </w:p>
          <w:p w14:paraId="4E8AC203" w14:textId="77777777" w:rsidR="00777A78" w:rsidRDefault="00000000" w:rsidP="00C71A0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C41DEE8" w14:textId="77777777" w:rsidR="00777A78" w:rsidRPr="00001C3B" w:rsidRDefault="00777A78" w:rsidP="00C71A0A">
            <w:pPr>
              <w:pStyle w:val="NormalWeb"/>
              <w:rPr>
                <w:rFonts w:ascii="Arial" w:hAnsi="Arial" w:cs="Arial"/>
                <w:sz w:val="22"/>
                <w:szCs w:val="22"/>
              </w:rPr>
            </w:pPr>
          </w:p>
        </w:tc>
      </w:tr>
      <w:tr w:rsidR="002A29B9" w14:paraId="36DEAF15" w14:textId="77777777" w:rsidTr="00C71A0A">
        <w:trPr>
          <w:trHeight w:val="492"/>
        </w:trPr>
        <w:tc>
          <w:tcPr>
            <w:tcW w:w="6768" w:type="dxa"/>
            <w:gridSpan w:val="3"/>
          </w:tcPr>
          <w:p w14:paraId="1EEDD0C1" w14:textId="77777777" w:rsidR="00777A78" w:rsidRPr="00230F35" w:rsidRDefault="00000000" w:rsidP="00C71A0A">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46E4F23" w14:textId="77777777" w:rsidR="00777A78" w:rsidRPr="00230F35" w:rsidRDefault="00000000" w:rsidP="00C71A0A">
            <w:pPr>
              <w:pStyle w:val="NormalWeb"/>
              <w:spacing w:after="0"/>
              <w:ind w:left="142" w:right="34"/>
              <w:rPr>
                <w:rFonts w:ascii="Arial" w:hAnsi="Arial" w:cs="Arial"/>
                <w:sz w:val="22"/>
                <w:szCs w:val="22"/>
              </w:rPr>
            </w:pPr>
            <w:r w:rsidRPr="00230F35">
              <w:rPr>
                <w:rFonts w:ascii="Arial" w:hAnsi="Arial" w:cs="Arial"/>
                <w:sz w:val="22"/>
                <w:szCs w:val="22"/>
              </w:rPr>
              <w:t>Date:</w:t>
            </w:r>
          </w:p>
        </w:tc>
      </w:tr>
      <w:tr w:rsidR="002A29B9" w14:paraId="3D20F1ED" w14:textId="77777777" w:rsidTr="00C71A0A">
        <w:tc>
          <w:tcPr>
            <w:tcW w:w="8856" w:type="dxa"/>
            <w:gridSpan w:val="5"/>
          </w:tcPr>
          <w:p w14:paraId="17EF8968" w14:textId="77777777" w:rsidR="00777A78" w:rsidRPr="00230F35" w:rsidRDefault="00777A78" w:rsidP="00C71A0A">
            <w:pPr>
              <w:pStyle w:val="NormalWeb"/>
              <w:spacing w:before="0" w:beforeAutospacing="0" w:after="0" w:afterAutospacing="0"/>
              <w:ind w:right="-334"/>
              <w:rPr>
                <w:rFonts w:ascii="Arial" w:hAnsi="Arial" w:cs="Arial"/>
                <w:bCs/>
                <w:i/>
                <w:sz w:val="22"/>
                <w:szCs w:val="22"/>
              </w:rPr>
            </w:pPr>
          </w:p>
          <w:p w14:paraId="5B7706EA" w14:textId="77777777" w:rsidR="00777A78" w:rsidRPr="00230F35" w:rsidRDefault="00000000" w:rsidP="00C71A0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0511854" w14:textId="77777777" w:rsidR="00777A78" w:rsidRPr="00230F35" w:rsidRDefault="00777A78" w:rsidP="00C71A0A">
            <w:pPr>
              <w:pStyle w:val="NormalWeb"/>
              <w:spacing w:before="0" w:beforeAutospacing="0" w:after="0" w:afterAutospacing="0"/>
              <w:ind w:right="-334"/>
              <w:rPr>
                <w:rFonts w:ascii="Arial" w:hAnsi="Arial" w:cs="Arial"/>
                <w:b/>
                <w:bCs/>
                <w:sz w:val="22"/>
                <w:szCs w:val="22"/>
              </w:rPr>
            </w:pPr>
          </w:p>
          <w:p w14:paraId="421EEF69"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7D35F05"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42F11CCE"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6EAEA7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6D30E88F"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856AB4A"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7FF5FABD"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1AA12218"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2A5A8E5"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184D192F" w14:textId="77777777" w:rsidR="00777A78" w:rsidRDefault="00777A78" w:rsidP="00C71A0A">
            <w:pPr>
              <w:pStyle w:val="NormalWeb"/>
              <w:spacing w:before="0" w:beforeAutospacing="0" w:after="0" w:afterAutospacing="0"/>
              <w:ind w:right="-334"/>
              <w:rPr>
                <w:rFonts w:ascii="Arial" w:hAnsi="Arial" w:cs="Arial"/>
                <w:bCs/>
                <w:sz w:val="22"/>
                <w:szCs w:val="22"/>
              </w:rPr>
            </w:pPr>
          </w:p>
          <w:p w14:paraId="60CBD832"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731D1E1"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1D4D64CE"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tc>
      </w:tr>
      <w:tr w:rsidR="002A29B9" w14:paraId="4EE4CA97" w14:textId="77777777" w:rsidTr="00C71A0A">
        <w:trPr>
          <w:trHeight w:val="720"/>
        </w:trPr>
        <w:tc>
          <w:tcPr>
            <w:tcW w:w="5211" w:type="dxa"/>
            <w:gridSpan w:val="2"/>
          </w:tcPr>
          <w:p w14:paraId="33EDE8B1"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9048EBD" w14:textId="77777777" w:rsidR="00777A78" w:rsidRPr="00230F35" w:rsidRDefault="00000000" w:rsidP="00C71A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A29B9" w14:paraId="372A7DC9" w14:textId="77777777" w:rsidTr="00C71A0A">
        <w:trPr>
          <w:trHeight w:val="720"/>
        </w:trPr>
        <w:tc>
          <w:tcPr>
            <w:tcW w:w="8856" w:type="dxa"/>
            <w:gridSpan w:val="5"/>
          </w:tcPr>
          <w:p w14:paraId="3A3CEC35" w14:textId="77777777" w:rsidR="00777A78" w:rsidRPr="00B34964" w:rsidRDefault="00000000" w:rsidP="00C71A0A">
            <w:pPr>
              <w:rPr>
                <w:rFonts w:cs="Arial"/>
                <w:b/>
                <w:sz w:val="22"/>
                <w:szCs w:val="22"/>
              </w:rPr>
            </w:pPr>
            <w:r w:rsidRPr="00B34964">
              <w:rPr>
                <w:rFonts w:cs="Arial"/>
                <w:b/>
                <w:sz w:val="22"/>
                <w:szCs w:val="22"/>
              </w:rPr>
              <w:t>External Examiner’s comments (if relevant)</w:t>
            </w:r>
          </w:p>
          <w:p w14:paraId="4E3E6F91"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4C4ADE00"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6F33750C"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241E3F67"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37731794"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55C5557"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5242DCDF"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6A2030EC"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7001CCBC" w14:textId="77777777" w:rsidR="00777A78" w:rsidRDefault="00777A78" w:rsidP="00C71A0A">
            <w:pPr>
              <w:pStyle w:val="NormalWeb"/>
              <w:spacing w:before="0" w:beforeAutospacing="0" w:after="0" w:afterAutospacing="0"/>
              <w:ind w:right="-334"/>
              <w:rPr>
                <w:rFonts w:ascii="Arial" w:hAnsi="Arial" w:cs="Arial"/>
                <w:bCs/>
                <w:sz w:val="22"/>
                <w:szCs w:val="22"/>
              </w:rPr>
            </w:pPr>
          </w:p>
          <w:p w14:paraId="101843EF"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p w14:paraId="0DF2D037" w14:textId="77777777" w:rsidR="00777A78" w:rsidRPr="00230F35" w:rsidRDefault="00777A78" w:rsidP="00C71A0A">
            <w:pPr>
              <w:pStyle w:val="NormalWeb"/>
              <w:spacing w:before="0" w:beforeAutospacing="0" w:after="0" w:afterAutospacing="0"/>
              <w:ind w:right="-334"/>
              <w:rPr>
                <w:rFonts w:ascii="Arial" w:hAnsi="Arial" w:cs="Arial"/>
                <w:bCs/>
                <w:sz w:val="22"/>
                <w:szCs w:val="22"/>
              </w:rPr>
            </w:pPr>
          </w:p>
        </w:tc>
      </w:tr>
      <w:tr w:rsidR="002A29B9" w14:paraId="2CF8D0F4" w14:textId="77777777" w:rsidTr="00C71A0A">
        <w:trPr>
          <w:trHeight w:val="720"/>
        </w:trPr>
        <w:tc>
          <w:tcPr>
            <w:tcW w:w="5211" w:type="dxa"/>
            <w:gridSpan w:val="2"/>
          </w:tcPr>
          <w:p w14:paraId="74285D83" w14:textId="77777777" w:rsidR="00777A78" w:rsidRPr="00230F35" w:rsidRDefault="00000000" w:rsidP="00C71A0A">
            <w:pPr>
              <w:rPr>
                <w:rFonts w:cs="Arial"/>
                <w:sz w:val="22"/>
                <w:szCs w:val="22"/>
              </w:rPr>
            </w:pPr>
            <w:r w:rsidRPr="00230F35">
              <w:rPr>
                <w:rFonts w:cs="Arial"/>
                <w:sz w:val="22"/>
                <w:szCs w:val="22"/>
              </w:rPr>
              <w:t>External Examiner’s Signature:</w:t>
            </w:r>
          </w:p>
        </w:tc>
        <w:tc>
          <w:tcPr>
            <w:tcW w:w="3645" w:type="dxa"/>
            <w:gridSpan w:val="3"/>
          </w:tcPr>
          <w:p w14:paraId="4B984E18" w14:textId="77777777" w:rsidR="00777A78" w:rsidRPr="00230F35" w:rsidRDefault="00000000" w:rsidP="00C71A0A">
            <w:pPr>
              <w:rPr>
                <w:rFonts w:cs="Arial"/>
                <w:sz w:val="22"/>
                <w:szCs w:val="22"/>
              </w:rPr>
            </w:pPr>
            <w:r w:rsidRPr="00230F35">
              <w:rPr>
                <w:rFonts w:cs="Arial"/>
                <w:sz w:val="22"/>
                <w:szCs w:val="22"/>
              </w:rPr>
              <w:t>Date:</w:t>
            </w:r>
          </w:p>
        </w:tc>
      </w:tr>
    </w:tbl>
    <w:p w14:paraId="6074D923" w14:textId="77777777" w:rsidR="00777A78" w:rsidRPr="00D67BF8" w:rsidRDefault="00777A78" w:rsidP="00777A78">
      <w:pPr>
        <w:pStyle w:val="NormalWeb"/>
        <w:spacing w:before="0" w:beforeAutospacing="0" w:after="0" w:afterAutospacing="0"/>
        <w:ind w:right="-334"/>
        <w:rPr>
          <w:rFonts w:ascii="Trebuchet MS" w:hAnsi="Trebuchet MS" w:cs="Tahoma"/>
          <w:bCs/>
          <w:sz w:val="24"/>
          <w:szCs w:val="24"/>
        </w:rPr>
      </w:pPr>
    </w:p>
    <w:p w14:paraId="7DBAEBE7" w14:textId="77777777" w:rsidR="004B09AE" w:rsidRDefault="004B09AE" w:rsidP="00A260E2">
      <w:pPr>
        <w:rPr>
          <w:rFonts w:ascii="Times New Roman" w:hAnsi="Times New Roman" w:cs="Times New Roman"/>
          <w:sz w:val="22"/>
          <w:szCs w:val="22"/>
        </w:rPr>
      </w:pPr>
    </w:p>
    <w:p w14:paraId="06F8F51B" w14:textId="77777777" w:rsidR="007736CD" w:rsidRDefault="007736CD" w:rsidP="00A260E2">
      <w:pPr>
        <w:ind w:firstLine="720"/>
        <w:rPr>
          <w:rFonts w:ascii="Times New Roman" w:hAnsi="Times New Roman" w:cs="Times New Roman"/>
          <w:sz w:val="22"/>
          <w:szCs w:val="22"/>
        </w:rPr>
        <w:sectPr w:rsidR="007736CD" w:rsidSect="003A319E">
          <w:headerReference w:type="even" r:id="rId9"/>
          <w:headerReference w:type="default" r:id="rId10"/>
          <w:footerReference w:type="even" r:id="rId11"/>
          <w:footerReference w:type="default" r:id="rId12"/>
          <w:headerReference w:type="first" r:id="rId13"/>
          <w:footerReference w:type="first" r:id="rId14"/>
          <w:pgSz w:w="11900" w:h="16840"/>
          <w:pgMar w:top="1008" w:right="1440" w:bottom="1440" w:left="1440" w:header="706" w:footer="706" w:gutter="0"/>
          <w:cols w:space="708"/>
          <w:titlePg/>
          <w:docGrid w:linePitch="360"/>
        </w:sectPr>
      </w:pPr>
    </w:p>
    <w:p w14:paraId="60777095"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lastRenderedPageBreak/>
        <w:t>Analyse the roles of, and relationship between, cosmology and divination in ancient Egypt</w:t>
      </w:r>
    </w:p>
    <w:p w14:paraId="6126EC47"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Word Count 4550</w:t>
      </w:r>
    </w:p>
    <w:p w14:paraId="2D434C11" w14:textId="77777777" w:rsidR="00167664" w:rsidRDefault="00167664" w:rsidP="00167664">
      <w:pPr>
        <w:rPr>
          <w:rFonts w:ascii="Times New Roman" w:hAnsi="Times New Roman" w:cs="Times New Roman"/>
          <w:sz w:val="22"/>
          <w:szCs w:val="22"/>
        </w:rPr>
      </w:pPr>
    </w:p>
    <w:p w14:paraId="09C9EDB6"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Introduction</w:t>
      </w:r>
    </w:p>
    <w:p w14:paraId="2A313DA0" w14:textId="77777777" w:rsidR="00CD3389" w:rsidRDefault="00CD3389" w:rsidP="00167664">
      <w:pPr>
        <w:rPr>
          <w:rFonts w:ascii="Times New Roman" w:hAnsi="Times New Roman" w:cs="Times New Roman"/>
          <w:sz w:val="22"/>
          <w:szCs w:val="22"/>
        </w:rPr>
      </w:pPr>
    </w:p>
    <w:p w14:paraId="22B1282D"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Two of the major impressions of ancient Egypt are colossal monuments and a continuity of religious and celestial imagery that endured throughout the Pharaonic Period (c. 3100 - 30 BCE) until its end during the beginning of the Christian era (c. 400 CE).  While there is cosmological continuity there is also a diversity of concepts both in the cosmology and cosmogony of Egypt.</w:t>
      </w:r>
      <w:r>
        <w:rPr>
          <w:rStyle w:val="FootnoteReference"/>
          <w:rFonts w:ascii="Times New Roman" w:hAnsi="Times New Roman" w:cs="Times New Roman"/>
          <w:sz w:val="22"/>
          <w:szCs w:val="22"/>
        </w:rPr>
        <w:footnoteReference w:id="1"/>
      </w:r>
      <w:r>
        <w:rPr>
          <w:rFonts w:ascii="Times New Roman" w:hAnsi="Times New Roman" w:cs="Times New Roman"/>
          <w:sz w:val="22"/>
          <w:szCs w:val="22"/>
        </w:rPr>
        <w:t xml:space="preserve">  The priests of ancient Egypt would have appeared to have favoured a spoken convention over a written dissemination of their religious beliefs.</w:t>
      </w:r>
      <w:r>
        <w:rPr>
          <w:rStyle w:val="FootnoteReference"/>
          <w:rFonts w:ascii="Times New Roman" w:hAnsi="Times New Roman" w:cs="Times New Roman"/>
          <w:sz w:val="22"/>
          <w:szCs w:val="22"/>
        </w:rPr>
        <w:footnoteReference w:id="2"/>
      </w:r>
      <w:r>
        <w:rPr>
          <w:rFonts w:ascii="Times New Roman" w:hAnsi="Times New Roman" w:cs="Times New Roman"/>
          <w:sz w:val="22"/>
          <w:szCs w:val="22"/>
        </w:rPr>
        <w:t xml:space="preserve">  Therefore there is no single source for any of these concepts, there are texts which are found in tombs, pyramids and coffins, which are the abode of the dead, and are consequently primarily funerary in nature and intended for the use of the deceased.  Another source of information is the writings of early authors and historians such as Herodotus (c. 484 - 425 BCE), Plutarch (c. 45 - 120 CE) and Diodorus Siculus (c. 80 - 20 CE) however this information can be distorted by time and subjective suppositions.</w:t>
      </w:r>
    </w:p>
    <w:p w14:paraId="015EFDA6" w14:textId="77777777" w:rsidR="00167664" w:rsidRDefault="00167664" w:rsidP="00CD3389">
      <w:pPr>
        <w:ind w:firstLine="720"/>
        <w:jc w:val="both"/>
        <w:rPr>
          <w:rFonts w:ascii="Times New Roman" w:hAnsi="Times New Roman" w:cs="Times New Roman"/>
          <w:sz w:val="22"/>
          <w:szCs w:val="22"/>
        </w:rPr>
      </w:pPr>
      <w:r>
        <w:rPr>
          <w:rFonts w:ascii="Times New Roman" w:hAnsi="Times New Roman" w:cs="Times New Roman"/>
          <w:sz w:val="22"/>
          <w:szCs w:val="22"/>
        </w:rPr>
        <w:t>The evidence for divination in Egypt is sparse, there is relatively little information and the publications on the subject are meagre compared to the published papers on divination in Mesopotamia.</w:t>
      </w:r>
      <w:r>
        <w:rPr>
          <w:rStyle w:val="FootnoteReference"/>
          <w:rFonts w:ascii="Times New Roman" w:hAnsi="Times New Roman" w:cs="Times New Roman"/>
          <w:sz w:val="22"/>
          <w:szCs w:val="22"/>
        </w:rPr>
        <w:footnoteReference w:id="3"/>
      </w:r>
      <w:r>
        <w:rPr>
          <w:rFonts w:ascii="Times New Roman" w:hAnsi="Times New Roman" w:cs="Times New Roman"/>
          <w:sz w:val="22"/>
          <w:szCs w:val="22"/>
        </w:rPr>
        <w:t xml:space="preserve">  T</w:t>
      </w:r>
      <w:r w:rsidRPr="004705BF">
        <w:rPr>
          <w:rFonts w:ascii="Times New Roman" w:hAnsi="Times New Roman" w:cs="Times New Roman"/>
          <w:sz w:val="22"/>
          <w:szCs w:val="22"/>
        </w:rPr>
        <w:t>he Greek historian Herodotus</w:t>
      </w:r>
      <w:r>
        <w:rPr>
          <w:rFonts w:ascii="Times New Roman" w:hAnsi="Times New Roman" w:cs="Times New Roman"/>
          <w:sz w:val="22"/>
          <w:szCs w:val="22"/>
        </w:rPr>
        <w:t xml:space="preserve"> said that the Egyptians:</w:t>
      </w:r>
    </w:p>
    <w:p w14:paraId="34357EBB" w14:textId="77777777" w:rsidR="00167664" w:rsidRDefault="00167664" w:rsidP="00167664">
      <w:pPr>
        <w:rPr>
          <w:rFonts w:ascii="Times New Roman" w:hAnsi="Times New Roman" w:cs="Times New Roman"/>
          <w:sz w:val="22"/>
          <w:szCs w:val="22"/>
        </w:rPr>
      </w:pPr>
    </w:p>
    <w:p w14:paraId="034B92F9" w14:textId="77777777" w:rsidR="00167664" w:rsidRDefault="00167664" w:rsidP="00167664">
      <w:pPr>
        <w:ind w:left="576"/>
        <w:jc w:val="both"/>
        <w:rPr>
          <w:rFonts w:ascii="Times New Roman" w:hAnsi="Times New Roman" w:cs="Times New Roman"/>
          <w:sz w:val="22"/>
          <w:szCs w:val="22"/>
        </w:rPr>
      </w:pPr>
      <w:r>
        <w:rPr>
          <w:rFonts w:ascii="Times New Roman" w:hAnsi="Times New Roman" w:cs="Times New Roman"/>
          <w:sz w:val="22"/>
          <w:szCs w:val="22"/>
        </w:rPr>
        <w:t>have made more use of omens and prognostics than any other nation; they keep written records of the observed results of any unusual phenomenon so that they come to expect a similar consequence to follow a similar occurrence in the future.</w:t>
      </w:r>
      <w:r>
        <w:rPr>
          <w:rStyle w:val="FootnoteReference"/>
          <w:rFonts w:ascii="Times New Roman" w:hAnsi="Times New Roman" w:cs="Times New Roman"/>
          <w:sz w:val="22"/>
          <w:szCs w:val="22"/>
        </w:rPr>
        <w:footnoteReference w:id="4"/>
      </w:r>
    </w:p>
    <w:p w14:paraId="0551FA91" w14:textId="77777777" w:rsidR="00167664" w:rsidRDefault="00167664" w:rsidP="00167664">
      <w:pPr>
        <w:rPr>
          <w:rFonts w:ascii="Times New Roman" w:hAnsi="Times New Roman" w:cs="Times New Roman"/>
          <w:sz w:val="22"/>
          <w:szCs w:val="22"/>
        </w:rPr>
      </w:pPr>
    </w:p>
    <w:p w14:paraId="35064CEE"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In the opinion of Luigi Prada, this was not an exaggeration as oneiromancy (dream divination)</w:t>
      </w:r>
      <w:r w:rsidRPr="004705BF">
        <w:rPr>
          <w:rFonts w:ascii="Times New Roman" w:hAnsi="Times New Roman" w:cs="Times New Roman"/>
          <w:sz w:val="22"/>
          <w:szCs w:val="22"/>
        </w:rPr>
        <w:t xml:space="preserve"> </w:t>
      </w:r>
      <w:r>
        <w:rPr>
          <w:rFonts w:ascii="Times New Roman" w:hAnsi="Times New Roman" w:cs="Times New Roman"/>
          <w:sz w:val="22"/>
          <w:szCs w:val="22"/>
        </w:rPr>
        <w:t xml:space="preserve">and </w:t>
      </w:r>
      <w:r w:rsidRPr="004705BF">
        <w:rPr>
          <w:rFonts w:ascii="Times New Roman" w:hAnsi="Times New Roman" w:cs="Times New Roman"/>
          <w:sz w:val="22"/>
          <w:szCs w:val="22"/>
        </w:rPr>
        <w:t xml:space="preserve">many other divinatory skills </w:t>
      </w:r>
      <w:r>
        <w:rPr>
          <w:rFonts w:ascii="Times New Roman" w:hAnsi="Times New Roman" w:cs="Times New Roman"/>
          <w:sz w:val="22"/>
          <w:szCs w:val="22"/>
        </w:rPr>
        <w:t>had been</w:t>
      </w:r>
      <w:r w:rsidRPr="004705BF">
        <w:rPr>
          <w:rFonts w:ascii="Times New Roman" w:hAnsi="Times New Roman" w:cs="Times New Roman"/>
          <w:sz w:val="22"/>
          <w:szCs w:val="22"/>
        </w:rPr>
        <w:t xml:space="preserve"> practised by the Egyptians </w:t>
      </w:r>
      <w:r>
        <w:rPr>
          <w:rFonts w:ascii="Times New Roman" w:hAnsi="Times New Roman" w:cs="Times New Roman"/>
          <w:sz w:val="22"/>
          <w:szCs w:val="22"/>
        </w:rPr>
        <w:t>during the Pharaonic Period while</w:t>
      </w:r>
      <w:r w:rsidRPr="004705BF">
        <w:rPr>
          <w:rFonts w:ascii="Times New Roman" w:hAnsi="Times New Roman" w:cs="Times New Roman"/>
          <w:sz w:val="22"/>
          <w:szCs w:val="22"/>
        </w:rPr>
        <w:t xml:space="preserve"> their quantity and popularity steadily </w:t>
      </w:r>
      <w:r>
        <w:rPr>
          <w:rFonts w:ascii="Times New Roman" w:hAnsi="Times New Roman" w:cs="Times New Roman"/>
          <w:sz w:val="22"/>
          <w:szCs w:val="22"/>
        </w:rPr>
        <w:t>rose</w:t>
      </w:r>
      <w:r w:rsidRPr="004705BF">
        <w:rPr>
          <w:rFonts w:ascii="Times New Roman" w:hAnsi="Times New Roman" w:cs="Times New Roman"/>
          <w:sz w:val="22"/>
          <w:szCs w:val="22"/>
        </w:rPr>
        <w:t xml:space="preserve"> </w:t>
      </w:r>
      <w:r>
        <w:rPr>
          <w:rFonts w:ascii="Times New Roman" w:hAnsi="Times New Roman" w:cs="Times New Roman"/>
          <w:sz w:val="22"/>
          <w:szCs w:val="22"/>
        </w:rPr>
        <w:t>during the</w:t>
      </w:r>
      <w:r w:rsidRPr="004705BF">
        <w:rPr>
          <w:rFonts w:ascii="Times New Roman" w:hAnsi="Times New Roman" w:cs="Times New Roman"/>
          <w:sz w:val="22"/>
          <w:szCs w:val="22"/>
        </w:rPr>
        <w:t xml:space="preserve"> Graeco-Roman </w:t>
      </w:r>
      <w:r>
        <w:rPr>
          <w:rFonts w:ascii="Times New Roman" w:hAnsi="Times New Roman" w:cs="Times New Roman"/>
          <w:sz w:val="22"/>
          <w:szCs w:val="22"/>
        </w:rPr>
        <w:t>period</w:t>
      </w:r>
      <w:r w:rsidRPr="004705BF">
        <w:rPr>
          <w:rFonts w:ascii="Times New Roman" w:hAnsi="Times New Roman" w:cs="Times New Roman"/>
          <w:sz w:val="22"/>
          <w:szCs w:val="22"/>
        </w:rPr>
        <w:t>.</w:t>
      </w:r>
      <w:r>
        <w:rPr>
          <w:rStyle w:val="FootnoteReference"/>
          <w:rFonts w:ascii="Times New Roman" w:hAnsi="Times New Roman" w:cs="Times New Roman"/>
          <w:sz w:val="22"/>
          <w:szCs w:val="22"/>
        </w:rPr>
        <w:footnoteReference w:id="5"/>
      </w:r>
      <w:r w:rsidRPr="004705BF">
        <w:rPr>
          <w:rFonts w:ascii="Times New Roman" w:hAnsi="Times New Roman" w:cs="Times New Roman"/>
          <w:sz w:val="22"/>
          <w:szCs w:val="22"/>
        </w:rPr>
        <w:t xml:space="preserve"> </w:t>
      </w:r>
      <w:r>
        <w:rPr>
          <w:rFonts w:ascii="Times New Roman" w:hAnsi="Times New Roman" w:cs="Times New Roman"/>
          <w:sz w:val="22"/>
          <w:szCs w:val="22"/>
        </w:rPr>
        <w:t xml:space="preserve"> Alexandra von Lieven has supplied the earliest evidence for Egyptian divination using texts from the Middle Kingdom (c. 1991 - 1786 BCE).</w:t>
      </w:r>
      <w:r>
        <w:rPr>
          <w:rStyle w:val="FootnoteReference"/>
          <w:rFonts w:ascii="Times New Roman" w:hAnsi="Times New Roman" w:cs="Times New Roman"/>
          <w:sz w:val="22"/>
          <w:szCs w:val="22"/>
        </w:rPr>
        <w:footnoteReference w:id="6"/>
      </w:r>
      <w:r>
        <w:rPr>
          <w:rFonts w:ascii="Times New Roman" w:hAnsi="Times New Roman" w:cs="Times New Roman"/>
          <w:sz w:val="22"/>
          <w:szCs w:val="22"/>
        </w:rPr>
        <w:t xml:space="preserve">  These texts take the form of kledonomancy (divination</w:t>
      </w:r>
      <w:r w:rsidRPr="00A46CBB">
        <w:rPr>
          <w:rFonts w:ascii="Times New Roman" w:hAnsi="Times New Roman" w:cs="Times New Roman"/>
          <w:sz w:val="22"/>
          <w:szCs w:val="22"/>
        </w:rPr>
        <w:t xml:space="preserve"> based on chance events</w:t>
      </w:r>
      <w:r>
        <w:rPr>
          <w:rFonts w:ascii="Times New Roman" w:hAnsi="Times New Roman" w:cs="Times New Roman"/>
          <w:sz w:val="22"/>
          <w:szCs w:val="22"/>
        </w:rPr>
        <w:t>, sounds or words) and hemerology (</w:t>
      </w:r>
      <w:r w:rsidRPr="00A46CBB">
        <w:rPr>
          <w:rFonts w:ascii="Times New Roman" w:hAnsi="Times New Roman" w:cs="Times New Roman"/>
          <w:sz w:val="22"/>
          <w:szCs w:val="22"/>
        </w:rPr>
        <w:t xml:space="preserve">the success or failure of actions </w:t>
      </w:r>
      <w:r>
        <w:rPr>
          <w:rFonts w:ascii="Times New Roman" w:hAnsi="Times New Roman" w:cs="Times New Roman"/>
          <w:sz w:val="22"/>
          <w:szCs w:val="22"/>
        </w:rPr>
        <w:t>connected to</w:t>
      </w:r>
      <w:r w:rsidRPr="00A46CBB">
        <w:rPr>
          <w:rFonts w:ascii="Times New Roman" w:hAnsi="Times New Roman" w:cs="Times New Roman"/>
          <w:sz w:val="22"/>
          <w:szCs w:val="22"/>
        </w:rPr>
        <w:t xml:space="preserve"> favourable or unfavourable days </w:t>
      </w:r>
      <w:r>
        <w:rPr>
          <w:rFonts w:ascii="Times New Roman" w:hAnsi="Times New Roman" w:cs="Times New Roman"/>
          <w:sz w:val="22"/>
          <w:szCs w:val="22"/>
        </w:rPr>
        <w:t xml:space="preserve">as </w:t>
      </w:r>
      <w:r w:rsidRPr="00A46CBB">
        <w:rPr>
          <w:rFonts w:ascii="Times New Roman" w:hAnsi="Times New Roman" w:cs="Times New Roman"/>
          <w:sz w:val="22"/>
          <w:szCs w:val="22"/>
        </w:rPr>
        <w:t>defined by the calendar</w:t>
      </w:r>
      <w:r>
        <w:rPr>
          <w:rFonts w:ascii="Times New Roman" w:hAnsi="Times New Roman" w:cs="Times New Roman"/>
          <w:sz w:val="22"/>
          <w:szCs w:val="22"/>
        </w:rPr>
        <w:t>).  For many years the main source of information on Egyptian dream divination was Papyrus Chester Beatty 3 (British Museum EA10683,3) from the 19</w:t>
      </w:r>
      <w:r w:rsidRPr="00723EB6">
        <w:rPr>
          <w:rFonts w:ascii="Times New Roman" w:hAnsi="Times New Roman" w:cs="Times New Roman"/>
          <w:sz w:val="22"/>
          <w:szCs w:val="22"/>
          <w:vertAlign w:val="superscript"/>
        </w:rPr>
        <w:t>th</w:t>
      </w:r>
      <w:r>
        <w:rPr>
          <w:rFonts w:ascii="Times New Roman" w:hAnsi="Times New Roman" w:cs="Times New Roman"/>
          <w:sz w:val="22"/>
          <w:szCs w:val="22"/>
        </w:rPr>
        <w:t xml:space="preserve"> Dynasty (c. 1320 - 1200 BCE).  This hieratic text would appear to have been a large composition in Kasia </w:t>
      </w:r>
      <w:proofErr w:type="spellStart"/>
      <w:r>
        <w:rPr>
          <w:rFonts w:ascii="Times New Roman" w:hAnsi="Times New Roman" w:cs="Times New Roman"/>
          <w:sz w:val="22"/>
          <w:szCs w:val="22"/>
        </w:rPr>
        <w:t>Szpakowska’s</w:t>
      </w:r>
      <w:proofErr w:type="spellEnd"/>
      <w:r>
        <w:rPr>
          <w:rFonts w:ascii="Times New Roman" w:hAnsi="Times New Roman" w:cs="Times New Roman"/>
          <w:sz w:val="22"/>
          <w:szCs w:val="22"/>
        </w:rPr>
        <w:t xml:space="preserve"> opinion as although only the middle portion has survived this was divided into three sections and contained 222 dream interpretations in the first section alone.</w:t>
      </w:r>
      <w:r>
        <w:rPr>
          <w:rStyle w:val="FootnoteReference"/>
          <w:rFonts w:ascii="Times New Roman" w:hAnsi="Times New Roman" w:cs="Times New Roman"/>
          <w:sz w:val="22"/>
          <w:szCs w:val="22"/>
        </w:rPr>
        <w:footnoteReference w:id="7"/>
      </w:r>
      <w:r>
        <w:rPr>
          <w:rFonts w:ascii="Times New Roman" w:hAnsi="Times New Roman" w:cs="Times New Roman"/>
          <w:sz w:val="22"/>
          <w:szCs w:val="22"/>
        </w:rPr>
        <w:t xml:space="preserve">  Prada has provided evidence of lecanomancy (using oil drops in a bowl of water) from the fragmentary papyrus CGT 54065 (Museo Egizio Turin) and brontoscopy (thunder divination) and </w:t>
      </w:r>
      <w:r>
        <w:rPr>
          <w:rFonts w:ascii="Times New Roman" w:hAnsi="Times New Roman" w:cs="Times New Roman"/>
          <w:sz w:val="22"/>
          <w:szCs w:val="22"/>
        </w:rPr>
        <w:lastRenderedPageBreak/>
        <w:t>other weather-related omens from papyrus CGT 54024 (Museo Egizio Turin).</w:t>
      </w:r>
      <w:r>
        <w:rPr>
          <w:rStyle w:val="FootnoteReference"/>
          <w:rFonts w:ascii="Times New Roman" w:hAnsi="Times New Roman" w:cs="Times New Roman"/>
          <w:sz w:val="22"/>
          <w:szCs w:val="22"/>
        </w:rPr>
        <w:footnoteReference w:id="8"/>
      </w:r>
      <w:r>
        <w:rPr>
          <w:rFonts w:ascii="Times New Roman" w:hAnsi="Times New Roman" w:cs="Times New Roman"/>
          <w:sz w:val="22"/>
          <w:szCs w:val="22"/>
        </w:rPr>
        <w:t xml:space="preserve">  According to Prada a</w:t>
      </w:r>
      <w:r w:rsidRPr="004705BF">
        <w:rPr>
          <w:rFonts w:ascii="Times New Roman" w:hAnsi="Times New Roman" w:cs="Times New Roman"/>
          <w:sz w:val="22"/>
          <w:szCs w:val="22"/>
        </w:rPr>
        <w:t>strology</w:t>
      </w:r>
      <w:r>
        <w:rPr>
          <w:rFonts w:ascii="Times New Roman" w:hAnsi="Times New Roman" w:cs="Times New Roman"/>
          <w:sz w:val="22"/>
          <w:szCs w:val="22"/>
        </w:rPr>
        <w:t xml:space="preserve"> was a</w:t>
      </w:r>
      <w:r w:rsidRPr="004705BF">
        <w:rPr>
          <w:rFonts w:ascii="Times New Roman" w:hAnsi="Times New Roman" w:cs="Times New Roman"/>
          <w:sz w:val="22"/>
          <w:szCs w:val="22"/>
        </w:rPr>
        <w:t xml:space="preserve"> comparatively late</w:t>
      </w:r>
      <w:r>
        <w:rPr>
          <w:rFonts w:ascii="Times New Roman" w:hAnsi="Times New Roman" w:cs="Times New Roman"/>
          <w:sz w:val="22"/>
          <w:szCs w:val="22"/>
        </w:rPr>
        <w:t xml:space="preserve"> arrival</w:t>
      </w:r>
      <w:r w:rsidRPr="004705BF">
        <w:rPr>
          <w:rFonts w:ascii="Times New Roman" w:hAnsi="Times New Roman" w:cs="Times New Roman"/>
          <w:sz w:val="22"/>
          <w:szCs w:val="22"/>
        </w:rPr>
        <w:t xml:space="preserve"> </w:t>
      </w:r>
      <w:r>
        <w:rPr>
          <w:rFonts w:ascii="Times New Roman" w:hAnsi="Times New Roman" w:cs="Times New Roman"/>
          <w:sz w:val="22"/>
          <w:szCs w:val="22"/>
        </w:rPr>
        <w:t>to</w:t>
      </w:r>
      <w:r w:rsidRPr="004705BF">
        <w:rPr>
          <w:rFonts w:ascii="Times New Roman" w:hAnsi="Times New Roman" w:cs="Times New Roman"/>
          <w:sz w:val="22"/>
          <w:szCs w:val="22"/>
        </w:rPr>
        <w:t xml:space="preserve"> </w:t>
      </w:r>
      <w:r>
        <w:rPr>
          <w:rFonts w:ascii="Times New Roman" w:hAnsi="Times New Roman" w:cs="Times New Roman"/>
          <w:sz w:val="22"/>
          <w:szCs w:val="22"/>
        </w:rPr>
        <w:t xml:space="preserve">the stage of </w:t>
      </w:r>
      <w:r w:rsidRPr="004705BF">
        <w:rPr>
          <w:rFonts w:ascii="Times New Roman" w:hAnsi="Times New Roman" w:cs="Times New Roman"/>
          <w:sz w:val="22"/>
          <w:szCs w:val="22"/>
        </w:rPr>
        <w:t>Egyptian divination</w:t>
      </w:r>
      <w:r>
        <w:rPr>
          <w:rFonts w:ascii="Times New Roman" w:hAnsi="Times New Roman" w:cs="Times New Roman"/>
          <w:sz w:val="22"/>
          <w:szCs w:val="22"/>
        </w:rPr>
        <w:t xml:space="preserve"> and followed increased Near East contacts during the Late Period (c. 525 - 332 BCE), particularly </w:t>
      </w:r>
      <w:r w:rsidRPr="004705BF">
        <w:rPr>
          <w:rFonts w:ascii="Times New Roman" w:hAnsi="Times New Roman" w:cs="Times New Roman"/>
          <w:sz w:val="22"/>
          <w:szCs w:val="22"/>
        </w:rPr>
        <w:t>after the Assyrian and Persian invasions of Egypt.</w:t>
      </w:r>
      <w:r>
        <w:rPr>
          <w:rStyle w:val="FootnoteReference"/>
          <w:rFonts w:ascii="Times New Roman" w:hAnsi="Times New Roman" w:cs="Times New Roman"/>
          <w:sz w:val="22"/>
          <w:szCs w:val="22"/>
        </w:rPr>
        <w:footnoteReference w:id="9"/>
      </w:r>
      <w:r w:rsidRPr="004705BF">
        <w:rPr>
          <w:rFonts w:ascii="Times New Roman" w:hAnsi="Times New Roman" w:cs="Times New Roman"/>
          <w:sz w:val="22"/>
          <w:szCs w:val="22"/>
        </w:rPr>
        <w:t xml:space="preserve"> </w:t>
      </w:r>
      <w:r>
        <w:rPr>
          <w:rFonts w:ascii="Times New Roman" w:hAnsi="Times New Roman" w:cs="Times New Roman"/>
          <w:sz w:val="22"/>
          <w:szCs w:val="22"/>
        </w:rPr>
        <w:t xml:space="preserve"> There is also a corpus of unpublished Demotic</w:t>
      </w:r>
      <w:r w:rsidRPr="004705BF">
        <w:rPr>
          <w:rFonts w:ascii="Times New Roman" w:hAnsi="Times New Roman" w:cs="Times New Roman"/>
          <w:sz w:val="22"/>
          <w:szCs w:val="22"/>
        </w:rPr>
        <w:t xml:space="preserve"> </w:t>
      </w:r>
      <w:r>
        <w:rPr>
          <w:rFonts w:ascii="Times New Roman" w:hAnsi="Times New Roman" w:cs="Times New Roman"/>
          <w:sz w:val="22"/>
          <w:szCs w:val="22"/>
        </w:rPr>
        <w:t xml:space="preserve">material from the </w:t>
      </w:r>
      <w:r w:rsidRPr="004705BF">
        <w:rPr>
          <w:rFonts w:ascii="Times New Roman" w:hAnsi="Times New Roman" w:cs="Times New Roman"/>
          <w:sz w:val="22"/>
          <w:szCs w:val="22"/>
        </w:rPr>
        <w:t xml:space="preserve">Graeco-Roman Period, </w:t>
      </w:r>
      <w:r>
        <w:rPr>
          <w:rFonts w:ascii="Times New Roman" w:hAnsi="Times New Roman" w:cs="Times New Roman"/>
          <w:sz w:val="22"/>
          <w:szCs w:val="22"/>
        </w:rPr>
        <w:t>which</w:t>
      </w:r>
      <w:r w:rsidRPr="004705BF">
        <w:rPr>
          <w:rFonts w:ascii="Times New Roman" w:hAnsi="Times New Roman" w:cs="Times New Roman"/>
          <w:sz w:val="22"/>
          <w:szCs w:val="22"/>
        </w:rPr>
        <w:t xml:space="preserve"> includes various types of documents related to astrology.</w:t>
      </w:r>
      <w:r>
        <w:rPr>
          <w:rStyle w:val="FootnoteReference"/>
          <w:rFonts w:ascii="Times New Roman" w:hAnsi="Times New Roman" w:cs="Times New Roman"/>
          <w:sz w:val="22"/>
          <w:szCs w:val="22"/>
        </w:rPr>
        <w:footnoteReference w:id="10"/>
      </w:r>
      <w:r>
        <w:rPr>
          <w:rFonts w:ascii="Times New Roman" w:hAnsi="Times New Roman" w:cs="Times New Roman"/>
          <w:sz w:val="22"/>
          <w:szCs w:val="22"/>
        </w:rPr>
        <w:t xml:space="preserve">  This essay will explore the roles of cosmology and divination in ancient Egypt and examine the relationship between them.</w:t>
      </w:r>
    </w:p>
    <w:p w14:paraId="4DC21AC8" w14:textId="77777777" w:rsidR="00167664" w:rsidRDefault="00167664" w:rsidP="00167664">
      <w:pPr>
        <w:rPr>
          <w:rFonts w:ascii="Times New Roman" w:hAnsi="Times New Roman" w:cs="Times New Roman"/>
          <w:sz w:val="22"/>
          <w:szCs w:val="22"/>
        </w:rPr>
      </w:pPr>
    </w:p>
    <w:p w14:paraId="2A8A592D"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Cosmology</w:t>
      </w:r>
    </w:p>
    <w:p w14:paraId="31A3D3C8" w14:textId="77777777" w:rsidR="00CD3389" w:rsidRDefault="00CD3389" w:rsidP="00167664">
      <w:pPr>
        <w:rPr>
          <w:rFonts w:ascii="Times New Roman" w:hAnsi="Times New Roman" w:cs="Times New Roman"/>
          <w:sz w:val="22"/>
          <w:szCs w:val="22"/>
        </w:rPr>
      </w:pPr>
    </w:p>
    <w:p w14:paraId="188BEA1E" w14:textId="77777777" w:rsidR="00167664" w:rsidRDefault="00167664" w:rsidP="00167664">
      <w:pPr>
        <w:ind w:firstLine="720"/>
        <w:rPr>
          <w:rFonts w:ascii="Times New Roman" w:hAnsi="Times New Roman" w:cs="Times New Roman"/>
          <w:sz w:val="22"/>
          <w:szCs w:val="22"/>
        </w:rPr>
      </w:pPr>
      <w:r>
        <w:rPr>
          <w:rFonts w:ascii="Times New Roman" w:hAnsi="Times New Roman" w:cs="Times New Roman"/>
          <w:sz w:val="22"/>
          <w:szCs w:val="22"/>
        </w:rPr>
        <w:t xml:space="preserve">The word ‘Cosmology’ was derived from a Greek root and basically could be understood as the rational and scientific mechanisms of the ‘cosmos’ according to Helge S. </w:t>
      </w:r>
      <w:proofErr w:type="spellStart"/>
      <w:r>
        <w:rPr>
          <w:rFonts w:ascii="Times New Roman" w:hAnsi="Times New Roman" w:cs="Times New Roman"/>
          <w:sz w:val="22"/>
          <w:szCs w:val="22"/>
        </w:rPr>
        <w:t>Kragh</w:t>
      </w:r>
      <w:proofErr w:type="spellEnd"/>
      <w:r>
        <w:rPr>
          <w:rFonts w:ascii="Times New Roman" w:hAnsi="Times New Roman" w:cs="Times New Roman"/>
          <w:sz w:val="22"/>
          <w:szCs w:val="22"/>
        </w:rPr>
        <w:t>.</w:t>
      </w:r>
      <w:r>
        <w:rPr>
          <w:rStyle w:val="FootnoteReference"/>
          <w:rFonts w:ascii="Times New Roman" w:hAnsi="Times New Roman" w:cs="Times New Roman"/>
          <w:sz w:val="22"/>
          <w:szCs w:val="22"/>
        </w:rPr>
        <w:footnoteReference w:id="11"/>
      </w:r>
      <w:r>
        <w:rPr>
          <w:rFonts w:ascii="Times New Roman" w:hAnsi="Times New Roman" w:cs="Times New Roman"/>
          <w:sz w:val="22"/>
          <w:szCs w:val="22"/>
        </w:rPr>
        <w:t xml:space="preserve">  The ancient Greeks saw the ‘cosmos’ as having ‘order’, ‘regular behaviour’ and ‘beauty’ while a more modern outlook would probably include scientific studies and astronomy.  </w:t>
      </w:r>
      <w:proofErr w:type="spellStart"/>
      <w:r>
        <w:rPr>
          <w:rFonts w:ascii="Times New Roman" w:hAnsi="Times New Roman" w:cs="Times New Roman"/>
          <w:sz w:val="22"/>
          <w:szCs w:val="22"/>
        </w:rPr>
        <w:t>Kragh</w:t>
      </w:r>
      <w:proofErr w:type="spellEnd"/>
      <w:r>
        <w:rPr>
          <w:rFonts w:ascii="Times New Roman" w:hAnsi="Times New Roman" w:cs="Times New Roman"/>
          <w:sz w:val="22"/>
          <w:szCs w:val="22"/>
        </w:rPr>
        <w:t xml:space="preserve"> considered that ‘</w:t>
      </w:r>
      <w:r w:rsidRPr="000402E5">
        <w:rPr>
          <w:rFonts w:ascii="Times New Roman" w:hAnsi="Times New Roman" w:cs="Times New Roman"/>
          <w:sz w:val="22"/>
          <w:szCs w:val="22"/>
        </w:rPr>
        <w:t>cosmology as a world view or an ideology cannot be cleanly separated from cosmology as a science</w:t>
      </w:r>
      <w:r>
        <w:rPr>
          <w:rFonts w:ascii="Times New Roman" w:hAnsi="Times New Roman" w:cs="Times New Roman"/>
          <w:sz w:val="22"/>
          <w:szCs w:val="22"/>
        </w:rPr>
        <w:t>’ and that the spiritual and theoretical areas are inseparably related to the scientific ones.</w:t>
      </w:r>
      <w:r>
        <w:rPr>
          <w:rStyle w:val="FootnoteReference"/>
          <w:rFonts w:ascii="Times New Roman" w:hAnsi="Times New Roman" w:cs="Times New Roman"/>
          <w:sz w:val="22"/>
          <w:szCs w:val="22"/>
        </w:rPr>
        <w:footnoteReference w:id="12"/>
      </w:r>
      <w:r>
        <w:rPr>
          <w:rFonts w:ascii="Times New Roman" w:hAnsi="Times New Roman" w:cs="Times New Roman"/>
          <w:sz w:val="22"/>
          <w:szCs w:val="22"/>
        </w:rPr>
        <w:t xml:space="preserve">  Mythology which was intertwined with cosmology and cosmogony is thought by </w:t>
      </w:r>
      <w:proofErr w:type="spellStart"/>
      <w:r>
        <w:rPr>
          <w:rFonts w:ascii="Times New Roman" w:hAnsi="Times New Roman" w:cs="Times New Roman"/>
          <w:sz w:val="22"/>
          <w:szCs w:val="22"/>
        </w:rPr>
        <w:t>Kragh</w:t>
      </w:r>
      <w:proofErr w:type="spellEnd"/>
      <w:r>
        <w:rPr>
          <w:rFonts w:ascii="Times New Roman" w:hAnsi="Times New Roman" w:cs="Times New Roman"/>
          <w:sz w:val="22"/>
          <w:szCs w:val="22"/>
        </w:rPr>
        <w:t xml:space="preserve"> to predate science and could be traced to the interest of early people in the physical world and celestial phenomena, before the establishment of reading and writing.</w:t>
      </w:r>
      <w:r>
        <w:rPr>
          <w:rStyle w:val="FootnoteReference"/>
          <w:rFonts w:ascii="Times New Roman" w:hAnsi="Times New Roman" w:cs="Times New Roman"/>
          <w:sz w:val="22"/>
          <w:szCs w:val="22"/>
        </w:rPr>
        <w:footnoteReference w:id="13"/>
      </w:r>
      <w:r>
        <w:rPr>
          <w:rFonts w:ascii="Times New Roman" w:hAnsi="Times New Roman" w:cs="Times New Roman"/>
          <w:sz w:val="22"/>
          <w:szCs w:val="22"/>
        </w:rPr>
        <w:t xml:space="preserve">  In Nicholas Campion’s opinion cosmology included not only the movements of the sky and planetary bodies but the stories, myths, deities and religious texts of people and therefore this interweaving affected the beliefs, culture and actions of people.</w:t>
      </w:r>
      <w:r>
        <w:rPr>
          <w:rStyle w:val="FootnoteReference"/>
          <w:rFonts w:ascii="Times New Roman" w:hAnsi="Times New Roman" w:cs="Times New Roman"/>
          <w:sz w:val="22"/>
          <w:szCs w:val="22"/>
        </w:rPr>
        <w:footnoteReference w:id="14"/>
      </w:r>
      <w:r>
        <w:rPr>
          <w:rFonts w:ascii="Times New Roman" w:hAnsi="Times New Roman" w:cs="Times New Roman"/>
          <w:sz w:val="22"/>
          <w:szCs w:val="22"/>
        </w:rPr>
        <w:t xml:space="preserve">  The Egyptians however appear to have had very little mathematical content in their astronomy, they used celestial observation but used it for the management of Egypt both in the political and religious sense.</w:t>
      </w:r>
      <w:r>
        <w:rPr>
          <w:rStyle w:val="FootnoteReference"/>
          <w:rFonts w:ascii="Times New Roman" w:hAnsi="Times New Roman" w:cs="Times New Roman"/>
          <w:sz w:val="22"/>
          <w:szCs w:val="22"/>
        </w:rPr>
        <w:footnoteReference w:id="15"/>
      </w:r>
      <w:r>
        <w:rPr>
          <w:rFonts w:ascii="Times New Roman" w:hAnsi="Times New Roman" w:cs="Times New Roman"/>
          <w:sz w:val="22"/>
          <w:szCs w:val="22"/>
        </w:rPr>
        <w:t xml:space="preserve">  The cosmos of the Egyptians could be said to have the ‘order’ and ‘regular behaviour’ that </w:t>
      </w:r>
      <w:proofErr w:type="spellStart"/>
      <w:r>
        <w:rPr>
          <w:rFonts w:ascii="Times New Roman" w:hAnsi="Times New Roman" w:cs="Times New Roman"/>
          <w:sz w:val="22"/>
          <w:szCs w:val="22"/>
        </w:rPr>
        <w:t>Kragh</w:t>
      </w:r>
      <w:proofErr w:type="spellEnd"/>
      <w:r>
        <w:rPr>
          <w:rFonts w:ascii="Times New Roman" w:hAnsi="Times New Roman" w:cs="Times New Roman"/>
          <w:sz w:val="22"/>
          <w:szCs w:val="22"/>
        </w:rPr>
        <w:t xml:space="preserve"> mentioned and the stories and myths of Campion but fundamentally the Egyptians would have seen the cosmos as alive and as a whole without the modern preconception of divisions.</w:t>
      </w:r>
    </w:p>
    <w:p w14:paraId="4AA14169" w14:textId="77777777" w:rsidR="00167664" w:rsidRDefault="00167664" w:rsidP="00167664">
      <w:pPr>
        <w:ind w:firstLine="720"/>
        <w:rPr>
          <w:rFonts w:ascii="Times New Roman" w:hAnsi="Times New Roman" w:cs="Times New Roman"/>
          <w:sz w:val="22"/>
          <w:szCs w:val="22"/>
        </w:rPr>
      </w:pPr>
    </w:p>
    <w:p w14:paraId="2757420C"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Pyramid Texts</w:t>
      </w:r>
    </w:p>
    <w:p w14:paraId="4D67010D" w14:textId="77777777" w:rsidR="00CD3389" w:rsidRDefault="00CD3389" w:rsidP="00167664">
      <w:pPr>
        <w:rPr>
          <w:rFonts w:ascii="Times New Roman" w:hAnsi="Times New Roman" w:cs="Times New Roman"/>
          <w:sz w:val="22"/>
          <w:szCs w:val="22"/>
        </w:rPr>
      </w:pPr>
    </w:p>
    <w:p w14:paraId="598D8539" w14:textId="77777777" w:rsidR="00167664" w:rsidRPr="00A531B7" w:rsidRDefault="00167664" w:rsidP="00CD3389">
      <w:pPr>
        <w:ind w:firstLine="720"/>
        <w:rPr>
          <w:rFonts w:ascii="Times New Roman" w:hAnsi="Times New Roman" w:cs="Times New Roman"/>
          <w:sz w:val="22"/>
          <w:szCs w:val="22"/>
        </w:rPr>
      </w:pPr>
      <w:r w:rsidRPr="00A531B7">
        <w:rPr>
          <w:rFonts w:ascii="Times New Roman" w:hAnsi="Times New Roman" w:cs="Times New Roman"/>
          <w:sz w:val="22"/>
          <w:szCs w:val="22"/>
        </w:rPr>
        <w:t>Although the sources for the cosmology of ancient Egypt are limited the world depicted was of universal balance with the human role in this cosmic unity being fundamentally involved and mystical.</w:t>
      </w:r>
      <w:r>
        <w:rPr>
          <w:rStyle w:val="FootnoteReference"/>
          <w:rFonts w:ascii="Times New Roman" w:hAnsi="Times New Roman" w:cs="Times New Roman"/>
          <w:sz w:val="22"/>
          <w:szCs w:val="22"/>
        </w:rPr>
        <w:footnoteReference w:id="16"/>
      </w:r>
      <w:r w:rsidRPr="00A531B7">
        <w:rPr>
          <w:rFonts w:ascii="Times New Roman" w:hAnsi="Times New Roman" w:cs="Times New Roman"/>
          <w:sz w:val="22"/>
          <w:szCs w:val="22"/>
        </w:rPr>
        <w:t xml:space="preserve">  The earliest texts are those inscribed on the inside walls of the pyramid and known now </w:t>
      </w:r>
      <w:r>
        <w:rPr>
          <w:rFonts w:ascii="Times New Roman" w:hAnsi="Times New Roman" w:cs="Times New Roman"/>
          <w:sz w:val="22"/>
          <w:szCs w:val="22"/>
        </w:rPr>
        <w:t xml:space="preserve">to Egyptologists </w:t>
      </w:r>
      <w:r w:rsidRPr="00A531B7">
        <w:rPr>
          <w:rFonts w:ascii="Times New Roman" w:hAnsi="Times New Roman" w:cs="Times New Roman"/>
          <w:sz w:val="22"/>
          <w:szCs w:val="22"/>
        </w:rPr>
        <w:t>as the ‘Pyramid Texts’.  These texts have been found inscribed inside the pyramids of six pharaohs and five queens over a period of approximately 200 years during dynasties 5 and 6 (c. 2450</w:t>
      </w:r>
      <w:r>
        <w:rPr>
          <w:rFonts w:ascii="Times New Roman" w:hAnsi="Times New Roman" w:cs="Times New Roman"/>
          <w:sz w:val="22"/>
          <w:szCs w:val="22"/>
        </w:rPr>
        <w:t xml:space="preserve"> </w:t>
      </w:r>
      <w:r w:rsidRPr="00A531B7">
        <w:rPr>
          <w:rFonts w:ascii="Times New Roman" w:hAnsi="Times New Roman" w:cs="Times New Roman"/>
          <w:sz w:val="22"/>
          <w:szCs w:val="22"/>
        </w:rPr>
        <w:t>-</w:t>
      </w:r>
      <w:r>
        <w:rPr>
          <w:rFonts w:ascii="Times New Roman" w:hAnsi="Times New Roman" w:cs="Times New Roman"/>
          <w:sz w:val="22"/>
          <w:szCs w:val="22"/>
        </w:rPr>
        <w:t xml:space="preserve"> </w:t>
      </w:r>
      <w:r w:rsidRPr="00A531B7">
        <w:rPr>
          <w:rFonts w:ascii="Times New Roman" w:hAnsi="Times New Roman" w:cs="Times New Roman"/>
          <w:sz w:val="22"/>
          <w:szCs w:val="22"/>
        </w:rPr>
        <w:t>2175 BCE).</w:t>
      </w:r>
      <w:r>
        <w:rPr>
          <w:rStyle w:val="FootnoteReference"/>
          <w:rFonts w:ascii="Times New Roman" w:hAnsi="Times New Roman" w:cs="Times New Roman"/>
          <w:sz w:val="22"/>
          <w:szCs w:val="22"/>
        </w:rPr>
        <w:footnoteReference w:id="17"/>
      </w:r>
      <w:r w:rsidRPr="00A531B7">
        <w:rPr>
          <w:rFonts w:ascii="Times New Roman" w:hAnsi="Times New Roman" w:cs="Times New Roman"/>
          <w:sz w:val="22"/>
          <w:szCs w:val="22"/>
        </w:rPr>
        <w:t xml:space="preserve">  The texts would have appeared to be designed to facilitate the transitional journey of the king or queen and their eventual transformation into an </w:t>
      </w:r>
      <w:r w:rsidRPr="00A531B7">
        <w:rPr>
          <w:rFonts w:ascii="Times New Roman" w:hAnsi="Times New Roman" w:cs="Times New Roman"/>
          <w:i/>
          <w:iCs/>
          <w:sz w:val="22"/>
          <w:szCs w:val="22"/>
        </w:rPr>
        <w:t>akh</w:t>
      </w:r>
      <w:r w:rsidRPr="00A531B7">
        <w:rPr>
          <w:rFonts w:ascii="Times New Roman" w:hAnsi="Times New Roman" w:cs="Times New Roman"/>
          <w:sz w:val="22"/>
          <w:szCs w:val="22"/>
        </w:rPr>
        <w:t xml:space="preserve"> (a successfully transitioned dead spirit).</w:t>
      </w:r>
      <w:r>
        <w:rPr>
          <w:rStyle w:val="FootnoteReference"/>
          <w:rFonts w:ascii="Times New Roman" w:hAnsi="Times New Roman" w:cs="Times New Roman"/>
          <w:sz w:val="22"/>
          <w:szCs w:val="22"/>
        </w:rPr>
        <w:footnoteReference w:id="18"/>
      </w:r>
      <w:r w:rsidRPr="00A531B7">
        <w:rPr>
          <w:rFonts w:ascii="Times New Roman" w:hAnsi="Times New Roman" w:cs="Times New Roman"/>
          <w:color w:val="FF0000"/>
          <w:sz w:val="22"/>
          <w:szCs w:val="22"/>
        </w:rPr>
        <w:t xml:space="preserve">  </w:t>
      </w:r>
      <w:r w:rsidRPr="00A531B7">
        <w:rPr>
          <w:rFonts w:ascii="Times New Roman" w:hAnsi="Times New Roman" w:cs="Times New Roman"/>
          <w:sz w:val="22"/>
          <w:szCs w:val="22"/>
        </w:rPr>
        <w:t xml:space="preserve">The dead were identified with several deities through the texts the most important of these being Osiris (connected with death and resurrection), Ra (the foremost sun god), Nut (a sky goddess) and Horus (a hawk god, linked to the living pharaoh and the sun).  It was through these texts the deceased would be able to join the gods in their daily cycle of cosmic resurrection.  For example, </w:t>
      </w:r>
      <w:r w:rsidRPr="00A531B7">
        <w:rPr>
          <w:rFonts w:ascii="Times New Roman" w:hAnsi="Times New Roman" w:cs="Times New Roman"/>
          <w:sz w:val="22"/>
          <w:szCs w:val="22"/>
        </w:rPr>
        <w:lastRenderedPageBreak/>
        <w:t>this passage from the pyramid of Unis (c. 2375</w:t>
      </w:r>
      <w:r>
        <w:rPr>
          <w:rFonts w:ascii="Times New Roman" w:hAnsi="Times New Roman" w:cs="Times New Roman"/>
          <w:sz w:val="22"/>
          <w:szCs w:val="22"/>
        </w:rPr>
        <w:t xml:space="preserve"> </w:t>
      </w:r>
      <w:r w:rsidRPr="00A531B7">
        <w:rPr>
          <w:rFonts w:ascii="Times New Roman" w:hAnsi="Times New Roman" w:cs="Times New Roman"/>
          <w:sz w:val="22"/>
          <w:szCs w:val="22"/>
        </w:rPr>
        <w:t>-</w:t>
      </w:r>
      <w:r>
        <w:rPr>
          <w:rFonts w:ascii="Times New Roman" w:hAnsi="Times New Roman" w:cs="Times New Roman"/>
          <w:sz w:val="22"/>
          <w:szCs w:val="22"/>
        </w:rPr>
        <w:t xml:space="preserve"> </w:t>
      </w:r>
      <w:r w:rsidRPr="00A531B7">
        <w:rPr>
          <w:rFonts w:ascii="Times New Roman" w:hAnsi="Times New Roman" w:cs="Times New Roman"/>
          <w:sz w:val="22"/>
          <w:szCs w:val="22"/>
        </w:rPr>
        <w:t>2345 BCE) had the deceased king leaving his Horus form as pharaoh behind him and being connected with the goddess Nut in the sky</w:t>
      </w:r>
      <w:r>
        <w:rPr>
          <w:rFonts w:ascii="Times New Roman" w:hAnsi="Times New Roman" w:cs="Times New Roman"/>
          <w:sz w:val="22"/>
          <w:szCs w:val="22"/>
        </w:rPr>
        <w:t xml:space="preserve"> as the ‘Lone Star’</w:t>
      </w:r>
      <w:r w:rsidRPr="00A531B7">
        <w:rPr>
          <w:rFonts w:ascii="Times New Roman" w:hAnsi="Times New Roman" w:cs="Times New Roman"/>
          <w:sz w:val="22"/>
          <w:szCs w:val="22"/>
        </w:rPr>
        <w:t>, but not joining the ‘ordinary’ akhs being overseen by the god Osiris:</w:t>
      </w:r>
    </w:p>
    <w:p w14:paraId="253CC4C2" w14:textId="77777777" w:rsidR="00167664" w:rsidRDefault="00167664" w:rsidP="00167664">
      <w:pPr>
        <w:rPr>
          <w:rFonts w:ascii="Times New Roman" w:hAnsi="Times New Roman" w:cs="Times New Roman"/>
          <w:sz w:val="22"/>
          <w:szCs w:val="22"/>
        </w:rPr>
      </w:pPr>
    </w:p>
    <w:p w14:paraId="27551348" w14:textId="77777777" w:rsidR="00167664" w:rsidRDefault="00167664" w:rsidP="00167664">
      <w:pPr>
        <w:ind w:left="576"/>
        <w:jc w:val="both"/>
        <w:rPr>
          <w:rFonts w:ascii="Times New Roman" w:hAnsi="Times New Roman" w:cs="Times New Roman"/>
          <w:sz w:val="22"/>
          <w:szCs w:val="22"/>
        </w:rPr>
      </w:pPr>
      <w:r>
        <w:rPr>
          <w:rFonts w:ascii="Times New Roman" w:hAnsi="Times New Roman" w:cs="Times New Roman"/>
          <w:sz w:val="22"/>
          <w:szCs w:val="22"/>
        </w:rPr>
        <w:t>This Unis has come to you, Nut; this Unis has come to you, Nut having left his father on earth, having left Horus behind him, having grown wings as a falcon, feathered as a hawk, his ba having fetched him, his magic having provided him.</w:t>
      </w:r>
    </w:p>
    <w:p w14:paraId="05D16B9B" w14:textId="77777777" w:rsidR="00167664" w:rsidRDefault="00167664" w:rsidP="00167664">
      <w:pPr>
        <w:ind w:left="576"/>
        <w:jc w:val="both"/>
        <w:rPr>
          <w:rFonts w:ascii="Times New Roman" w:hAnsi="Times New Roman" w:cs="Times New Roman"/>
          <w:sz w:val="22"/>
          <w:szCs w:val="22"/>
        </w:rPr>
      </w:pPr>
      <w:r>
        <w:rPr>
          <w:rFonts w:ascii="Times New Roman" w:hAnsi="Times New Roman" w:cs="Times New Roman"/>
          <w:sz w:val="22"/>
          <w:szCs w:val="22"/>
        </w:rPr>
        <w:t>(Unis), you shall part your place in the sky among the stars of the sky, for you are the lone star at Nut’s shoulder.  May you look upon Osiris’s head as he governs the akhs, while you yourself stand far from him: you are not of them, you will not be of them.</w:t>
      </w:r>
      <w:r>
        <w:rPr>
          <w:rStyle w:val="FootnoteReference"/>
          <w:rFonts w:ascii="Times New Roman" w:hAnsi="Times New Roman" w:cs="Times New Roman"/>
          <w:sz w:val="22"/>
          <w:szCs w:val="22"/>
        </w:rPr>
        <w:footnoteReference w:id="19"/>
      </w:r>
    </w:p>
    <w:p w14:paraId="4E19C07F" w14:textId="77777777" w:rsidR="00167664" w:rsidRDefault="00167664" w:rsidP="00167664">
      <w:pPr>
        <w:rPr>
          <w:rFonts w:ascii="Times New Roman" w:hAnsi="Times New Roman" w:cs="Times New Roman"/>
          <w:sz w:val="22"/>
          <w:szCs w:val="22"/>
        </w:rPr>
      </w:pPr>
    </w:p>
    <w:p w14:paraId="4CFAA1E6"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 xml:space="preserve">In </w:t>
      </w:r>
      <w:r w:rsidRPr="00F16B07">
        <w:rPr>
          <w:rFonts w:ascii="Times New Roman" w:hAnsi="Times New Roman" w:cs="Times New Roman"/>
          <w:sz w:val="22"/>
          <w:szCs w:val="22"/>
        </w:rPr>
        <w:t xml:space="preserve">Antonio J Morales’s opinion, these texts were originally sacred rituals that were </w:t>
      </w:r>
      <w:r>
        <w:rPr>
          <w:rFonts w:ascii="Times New Roman" w:hAnsi="Times New Roman" w:cs="Times New Roman"/>
          <w:sz w:val="22"/>
          <w:szCs w:val="22"/>
        </w:rPr>
        <w:t>acted out and recited</w:t>
      </w:r>
      <w:r w:rsidRPr="00F16B07">
        <w:rPr>
          <w:rFonts w:ascii="Times New Roman" w:hAnsi="Times New Roman" w:cs="Times New Roman"/>
          <w:sz w:val="22"/>
          <w:szCs w:val="22"/>
        </w:rPr>
        <w:t xml:space="preserve"> for the deceased and later they were </w:t>
      </w:r>
      <w:r>
        <w:rPr>
          <w:rFonts w:ascii="Times New Roman" w:hAnsi="Times New Roman" w:cs="Times New Roman"/>
          <w:sz w:val="22"/>
          <w:szCs w:val="22"/>
        </w:rPr>
        <w:t xml:space="preserve">transcribed and </w:t>
      </w:r>
      <w:r w:rsidRPr="00F16B07">
        <w:rPr>
          <w:rFonts w:ascii="Times New Roman" w:hAnsi="Times New Roman" w:cs="Times New Roman"/>
          <w:sz w:val="22"/>
          <w:szCs w:val="22"/>
        </w:rPr>
        <w:t>carved in stone.</w:t>
      </w:r>
      <w:r>
        <w:rPr>
          <w:rStyle w:val="FootnoteReference"/>
          <w:rFonts w:ascii="Times New Roman" w:hAnsi="Times New Roman" w:cs="Times New Roman"/>
          <w:sz w:val="22"/>
          <w:szCs w:val="22"/>
        </w:rPr>
        <w:footnoteReference w:id="20"/>
      </w:r>
      <w:r w:rsidRPr="00F16B07">
        <w:rPr>
          <w:rFonts w:ascii="Times New Roman" w:hAnsi="Times New Roman" w:cs="Times New Roman"/>
          <w:sz w:val="22"/>
          <w:szCs w:val="22"/>
        </w:rPr>
        <w:t xml:space="preserve">  </w:t>
      </w:r>
      <w:r>
        <w:rPr>
          <w:rFonts w:ascii="Times New Roman" w:hAnsi="Times New Roman" w:cs="Times New Roman"/>
          <w:sz w:val="22"/>
          <w:szCs w:val="22"/>
        </w:rPr>
        <w:t>This would appear to have been a reasonable supposition as the Pyramid Texts came with instructions on both actions and narration such as “cleansing the mouth with salt water’ and ‘recitation 4 times: Come, you have been invoked. Cool water; 2 pellets of natron’.</w:t>
      </w:r>
      <w:r>
        <w:rPr>
          <w:rStyle w:val="FootnoteReference"/>
          <w:rFonts w:ascii="Times New Roman" w:hAnsi="Times New Roman" w:cs="Times New Roman"/>
          <w:sz w:val="22"/>
          <w:szCs w:val="22"/>
        </w:rPr>
        <w:footnoteReference w:id="21"/>
      </w:r>
    </w:p>
    <w:p w14:paraId="4621E59F" w14:textId="77777777" w:rsidR="00167664" w:rsidRDefault="00167664" w:rsidP="00CD3389">
      <w:pPr>
        <w:ind w:firstLine="720"/>
        <w:rPr>
          <w:rFonts w:ascii="Times New Roman" w:hAnsi="Times New Roman" w:cs="Times New Roman"/>
          <w:sz w:val="22"/>
          <w:szCs w:val="22"/>
        </w:rPr>
      </w:pPr>
    </w:p>
    <w:p w14:paraId="1D72E246" w14:textId="77777777" w:rsidR="00167664" w:rsidRDefault="00167664" w:rsidP="00CD3389">
      <w:pPr>
        <w:rPr>
          <w:rFonts w:ascii="Times New Roman" w:hAnsi="Times New Roman" w:cs="Times New Roman"/>
          <w:sz w:val="22"/>
          <w:szCs w:val="22"/>
        </w:rPr>
      </w:pPr>
      <w:r>
        <w:rPr>
          <w:rFonts w:ascii="Times New Roman" w:hAnsi="Times New Roman" w:cs="Times New Roman"/>
          <w:sz w:val="22"/>
          <w:szCs w:val="22"/>
        </w:rPr>
        <w:t>Coffin Texts and Star Calendars</w:t>
      </w:r>
    </w:p>
    <w:p w14:paraId="18B97874" w14:textId="77777777" w:rsidR="00CD3389" w:rsidRPr="00F16B07" w:rsidRDefault="00CD3389" w:rsidP="00CD3389">
      <w:pPr>
        <w:rPr>
          <w:rFonts w:ascii="Times New Roman" w:hAnsi="Times New Roman" w:cs="Times New Roman"/>
          <w:sz w:val="22"/>
          <w:szCs w:val="22"/>
        </w:rPr>
      </w:pPr>
    </w:p>
    <w:p w14:paraId="5B5F6547"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A f</w:t>
      </w:r>
      <w:r w:rsidRPr="008C0006">
        <w:rPr>
          <w:rFonts w:ascii="Times New Roman" w:hAnsi="Times New Roman" w:cs="Times New Roman"/>
          <w:sz w:val="22"/>
          <w:szCs w:val="22"/>
        </w:rPr>
        <w:t>urther progression of the</w:t>
      </w:r>
      <w:r>
        <w:rPr>
          <w:rFonts w:ascii="Times New Roman" w:hAnsi="Times New Roman" w:cs="Times New Roman"/>
          <w:sz w:val="22"/>
          <w:szCs w:val="22"/>
        </w:rPr>
        <w:t>se</w:t>
      </w:r>
      <w:r w:rsidRPr="008C0006">
        <w:rPr>
          <w:rFonts w:ascii="Times New Roman" w:hAnsi="Times New Roman" w:cs="Times New Roman"/>
          <w:sz w:val="22"/>
          <w:szCs w:val="22"/>
        </w:rPr>
        <w:t xml:space="preserve"> texts </w:t>
      </w:r>
      <w:r>
        <w:rPr>
          <w:rFonts w:ascii="Times New Roman" w:hAnsi="Times New Roman" w:cs="Times New Roman"/>
          <w:sz w:val="22"/>
          <w:szCs w:val="22"/>
        </w:rPr>
        <w:t xml:space="preserve">occurred during the Middle Kingdom (c. 1991 - 1786 BCE) which </w:t>
      </w:r>
      <w:r w:rsidRPr="008C0006">
        <w:rPr>
          <w:rFonts w:ascii="Times New Roman" w:hAnsi="Times New Roman" w:cs="Times New Roman"/>
          <w:sz w:val="22"/>
          <w:szCs w:val="22"/>
        </w:rPr>
        <w:t xml:space="preserve">saw them being used for elite burials, not just royal ones, a modified version of the text being found written on coffins and </w:t>
      </w:r>
      <w:r>
        <w:rPr>
          <w:rFonts w:ascii="Times New Roman" w:hAnsi="Times New Roman" w:cs="Times New Roman"/>
          <w:sz w:val="22"/>
          <w:szCs w:val="22"/>
        </w:rPr>
        <w:t>other items and in this way the Pyramid Texts were superseded by the Coffin Texts</w:t>
      </w:r>
      <w:r w:rsidRPr="008C0006">
        <w:rPr>
          <w:rFonts w:ascii="Times New Roman" w:hAnsi="Times New Roman" w:cs="Times New Roman"/>
          <w:sz w:val="22"/>
          <w:szCs w:val="22"/>
        </w:rPr>
        <w:t>.</w:t>
      </w:r>
      <w:r>
        <w:rPr>
          <w:rStyle w:val="FootnoteReference"/>
          <w:rFonts w:ascii="Times New Roman" w:hAnsi="Times New Roman" w:cs="Times New Roman"/>
          <w:sz w:val="22"/>
          <w:szCs w:val="22"/>
        </w:rPr>
        <w:footnoteReference w:id="22"/>
      </w:r>
      <w:r w:rsidRPr="008C0006">
        <w:rPr>
          <w:rFonts w:ascii="Times New Roman" w:hAnsi="Times New Roman" w:cs="Times New Roman"/>
          <w:sz w:val="22"/>
          <w:szCs w:val="22"/>
        </w:rPr>
        <w:t xml:space="preserve">  </w:t>
      </w:r>
      <w:r>
        <w:rPr>
          <w:rFonts w:ascii="Times New Roman" w:hAnsi="Times New Roman" w:cs="Times New Roman"/>
          <w:sz w:val="22"/>
          <w:szCs w:val="22"/>
        </w:rPr>
        <w:t>The spells were intended to continue the basics of life, they also conferred protection against hostile creatures and gave admittance into the recurring path of the sun while spell 472 avoided the obligatory toil of the afterlife.</w:t>
      </w:r>
      <w:r>
        <w:rPr>
          <w:rStyle w:val="FootnoteReference"/>
          <w:rFonts w:ascii="Times New Roman" w:hAnsi="Times New Roman" w:cs="Times New Roman"/>
          <w:sz w:val="22"/>
          <w:szCs w:val="22"/>
        </w:rPr>
        <w:footnoteReference w:id="23"/>
      </w:r>
      <w:r>
        <w:rPr>
          <w:rFonts w:ascii="Times New Roman" w:hAnsi="Times New Roman" w:cs="Times New Roman"/>
          <w:sz w:val="22"/>
          <w:szCs w:val="22"/>
        </w:rPr>
        <w:t xml:space="preserve">  The personification of the goddess Nut now appeared in these coffins and it is explained by </w:t>
      </w:r>
      <w:r w:rsidRPr="0018393D">
        <w:rPr>
          <w:rFonts w:ascii="Times New Roman" w:hAnsi="Times New Roman" w:cs="Times New Roman"/>
          <w:sz w:val="22"/>
          <w:szCs w:val="22"/>
        </w:rPr>
        <w:t xml:space="preserve">Rune </w:t>
      </w:r>
      <w:proofErr w:type="spellStart"/>
      <w:r w:rsidRPr="0018393D">
        <w:rPr>
          <w:rFonts w:ascii="Times New Roman" w:hAnsi="Times New Roman" w:cs="Times New Roman"/>
          <w:sz w:val="22"/>
          <w:szCs w:val="22"/>
        </w:rPr>
        <w:t>Nyord</w:t>
      </w:r>
      <w:proofErr w:type="spellEnd"/>
      <w:r w:rsidRPr="0018393D">
        <w:rPr>
          <w:rFonts w:ascii="Times New Roman" w:hAnsi="Times New Roman" w:cs="Times New Roman"/>
          <w:sz w:val="22"/>
          <w:szCs w:val="22"/>
        </w:rPr>
        <w:t xml:space="preserve"> how the embodiment of Nut as the sky is now shown supporting the deceased in these Middle Kingdom Coffin Texts.</w:t>
      </w:r>
      <w:r>
        <w:rPr>
          <w:rStyle w:val="FootnoteReference"/>
          <w:rFonts w:ascii="Times New Roman" w:hAnsi="Times New Roman" w:cs="Times New Roman"/>
          <w:sz w:val="22"/>
          <w:szCs w:val="22"/>
        </w:rPr>
        <w:footnoteReference w:id="24"/>
      </w:r>
      <w:r w:rsidRPr="0018393D">
        <w:rPr>
          <w:rFonts w:ascii="Times New Roman" w:hAnsi="Times New Roman" w:cs="Times New Roman"/>
          <w:sz w:val="22"/>
          <w:szCs w:val="22"/>
        </w:rPr>
        <w:t xml:space="preserve">  </w:t>
      </w:r>
      <w:r>
        <w:rPr>
          <w:rFonts w:ascii="Times New Roman" w:hAnsi="Times New Roman" w:cs="Times New Roman"/>
          <w:sz w:val="22"/>
          <w:szCs w:val="22"/>
        </w:rPr>
        <w:t>Erik Hornung accorded the two versions of the Book of the Two Ways special importance in the corpus of Middle Kingdom Coffin Texts as ‘the earliest example of cosmography’ the ‘first real guide to the hereafter’.</w:t>
      </w:r>
      <w:r>
        <w:rPr>
          <w:rStyle w:val="FootnoteReference"/>
          <w:rFonts w:ascii="Times New Roman" w:hAnsi="Times New Roman" w:cs="Times New Roman"/>
          <w:sz w:val="22"/>
          <w:szCs w:val="22"/>
        </w:rPr>
        <w:footnoteReference w:id="25"/>
      </w:r>
      <w:r>
        <w:rPr>
          <w:rFonts w:ascii="Times New Roman" w:hAnsi="Times New Roman" w:cs="Times New Roman"/>
          <w:sz w:val="22"/>
          <w:szCs w:val="22"/>
        </w:rPr>
        <w:t xml:space="preserve">  In the analysis of the text by Leonard H. Lesko, he gives a brief summary of the textual story:</w:t>
      </w:r>
    </w:p>
    <w:p w14:paraId="75BD4A6D" w14:textId="77777777" w:rsidR="00167664" w:rsidRDefault="00167664" w:rsidP="00167664">
      <w:pPr>
        <w:rPr>
          <w:rFonts w:ascii="Times New Roman" w:hAnsi="Times New Roman" w:cs="Times New Roman"/>
          <w:sz w:val="22"/>
          <w:szCs w:val="22"/>
        </w:rPr>
      </w:pPr>
    </w:p>
    <w:p w14:paraId="79DD3E8A" w14:textId="77777777" w:rsidR="00167664" w:rsidRDefault="00167664" w:rsidP="00167664">
      <w:pPr>
        <w:ind w:left="576"/>
        <w:jc w:val="both"/>
        <w:rPr>
          <w:rFonts w:ascii="Times New Roman" w:hAnsi="Times New Roman" w:cs="Times New Roman"/>
          <w:sz w:val="22"/>
          <w:szCs w:val="22"/>
        </w:rPr>
      </w:pPr>
      <w:r w:rsidRPr="00110A26">
        <w:rPr>
          <w:rFonts w:ascii="Times New Roman" w:hAnsi="Times New Roman" w:cs="Times New Roman"/>
          <w:sz w:val="22"/>
          <w:szCs w:val="22"/>
        </w:rPr>
        <w:t xml:space="preserve">The upper path is blue and is apparently called a waterway; the lower is a black land way. </w:t>
      </w:r>
      <w:r>
        <w:rPr>
          <w:rFonts w:ascii="Times New Roman" w:hAnsi="Times New Roman" w:cs="Times New Roman"/>
          <w:sz w:val="22"/>
          <w:szCs w:val="22"/>
        </w:rPr>
        <w:t xml:space="preserve"> </w:t>
      </w:r>
      <w:r w:rsidRPr="00110A26">
        <w:rPr>
          <w:rFonts w:ascii="Times New Roman" w:hAnsi="Times New Roman" w:cs="Times New Roman"/>
          <w:sz w:val="22"/>
          <w:szCs w:val="22"/>
        </w:rPr>
        <w:t>Briefly, the texts that accompany the scenes are spells to enable the deceased to sail</w:t>
      </w:r>
      <w:r>
        <w:rPr>
          <w:rFonts w:ascii="Times New Roman" w:hAnsi="Times New Roman" w:cs="Times New Roman"/>
          <w:sz w:val="22"/>
          <w:szCs w:val="22"/>
        </w:rPr>
        <w:t xml:space="preserve"> </w:t>
      </w:r>
      <w:r w:rsidRPr="00110A26">
        <w:rPr>
          <w:rFonts w:ascii="Times New Roman" w:hAnsi="Times New Roman" w:cs="Times New Roman"/>
          <w:sz w:val="22"/>
          <w:szCs w:val="22"/>
        </w:rPr>
        <w:t>in a bark usually with Re, to pass by the doors</w:t>
      </w:r>
      <w:r>
        <w:rPr>
          <w:rFonts w:ascii="Times New Roman" w:hAnsi="Times New Roman" w:cs="Times New Roman"/>
          <w:sz w:val="22"/>
          <w:szCs w:val="22"/>
        </w:rPr>
        <w:t xml:space="preserve"> </w:t>
      </w:r>
      <w:r w:rsidRPr="00110A26">
        <w:rPr>
          <w:rFonts w:ascii="Times New Roman" w:hAnsi="Times New Roman" w:cs="Times New Roman"/>
          <w:sz w:val="22"/>
          <w:szCs w:val="22"/>
        </w:rPr>
        <w:t>and their demon keepers, to proceed on one or both of the ways, and to reach a goal at the mansion of Osiris or the "Field of Offerings."</w:t>
      </w:r>
      <w:r>
        <w:rPr>
          <w:rStyle w:val="FootnoteReference"/>
          <w:rFonts w:ascii="Times New Roman" w:hAnsi="Times New Roman" w:cs="Times New Roman"/>
          <w:sz w:val="22"/>
          <w:szCs w:val="22"/>
        </w:rPr>
        <w:footnoteReference w:id="26"/>
      </w:r>
    </w:p>
    <w:p w14:paraId="37B53995" w14:textId="77777777" w:rsidR="00167664" w:rsidRDefault="00167664" w:rsidP="00167664">
      <w:pPr>
        <w:rPr>
          <w:rFonts w:ascii="Times New Roman" w:hAnsi="Times New Roman" w:cs="Times New Roman"/>
          <w:sz w:val="22"/>
          <w:szCs w:val="22"/>
        </w:rPr>
      </w:pPr>
    </w:p>
    <w:p w14:paraId="3E6ECFF0"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The book does not begin in the West, as later books do, but in the East, therefore, starting at sunrise and Hornung has suggested that most of the story takes place in the sky.</w:t>
      </w:r>
      <w:r>
        <w:rPr>
          <w:rStyle w:val="FootnoteReference"/>
          <w:rFonts w:ascii="Times New Roman" w:hAnsi="Times New Roman" w:cs="Times New Roman"/>
          <w:sz w:val="22"/>
          <w:szCs w:val="22"/>
        </w:rPr>
        <w:footnoteReference w:id="27"/>
      </w:r>
      <w:r>
        <w:rPr>
          <w:rFonts w:ascii="Times New Roman" w:hAnsi="Times New Roman" w:cs="Times New Roman"/>
          <w:sz w:val="22"/>
          <w:szCs w:val="22"/>
        </w:rPr>
        <w:t xml:space="preserve">  Lesko agrees that </w:t>
      </w:r>
      <w:r>
        <w:rPr>
          <w:rFonts w:ascii="Times New Roman" w:hAnsi="Times New Roman" w:cs="Times New Roman"/>
          <w:sz w:val="22"/>
          <w:szCs w:val="22"/>
        </w:rPr>
        <w:lastRenderedPageBreak/>
        <w:t xml:space="preserve">the texts are solar orientated and the map in the coffins is a cosmological plan, he also notes that although only one of the eighteen published coffins is provenanced they all appear to come from Deir El </w:t>
      </w:r>
      <w:proofErr w:type="spellStart"/>
      <w:r>
        <w:rPr>
          <w:rFonts w:ascii="Times New Roman" w:hAnsi="Times New Roman" w:cs="Times New Roman"/>
          <w:sz w:val="22"/>
          <w:szCs w:val="22"/>
        </w:rPr>
        <w:t>Bersha</w:t>
      </w:r>
      <w:proofErr w:type="spellEnd"/>
      <w:r>
        <w:rPr>
          <w:rFonts w:ascii="Times New Roman" w:hAnsi="Times New Roman" w:cs="Times New Roman"/>
          <w:sz w:val="22"/>
          <w:szCs w:val="22"/>
        </w:rPr>
        <w:t xml:space="preserve"> during a narrow time period.</w:t>
      </w:r>
      <w:r>
        <w:rPr>
          <w:rStyle w:val="FootnoteReference"/>
          <w:rFonts w:ascii="Times New Roman" w:hAnsi="Times New Roman" w:cs="Times New Roman"/>
          <w:sz w:val="22"/>
          <w:szCs w:val="22"/>
        </w:rPr>
        <w:footnoteReference w:id="28"/>
      </w:r>
      <w:r>
        <w:rPr>
          <w:rFonts w:ascii="Times New Roman" w:hAnsi="Times New Roman" w:cs="Times New Roman"/>
          <w:sz w:val="22"/>
          <w:szCs w:val="22"/>
        </w:rPr>
        <w:t xml:space="preserve">  The Book of the Two Ways might therefore be a localised version of the newly appearing Coffin Texts that was created for the nomarchs of the Hare Nome in Middle Egypt.</w:t>
      </w:r>
      <w:r>
        <w:rPr>
          <w:rStyle w:val="FootnoteReference"/>
          <w:rFonts w:ascii="Times New Roman" w:hAnsi="Times New Roman" w:cs="Times New Roman"/>
          <w:sz w:val="22"/>
          <w:szCs w:val="22"/>
        </w:rPr>
        <w:footnoteReference w:id="29"/>
      </w:r>
      <w:r>
        <w:rPr>
          <w:rFonts w:ascii="Times New Roman" w:hAnsi="Times New Roman" w:cs="Times New Roman"/>
          <w:sz w:val="22"/>
          <w:szCs w:val="22"/>
        </w:rPr>
        <w:t xml:space="preserve">  Another type of coffin decoration was found in Asyut, these were ‘diagonal calendars’ or ‘star clocks’.  The star clocks were found inside coffin lids and six of them were described and analysed by A. Pogo who concluded that the ‘</w:t>
      </w:r>
      <w:proofErr w:type="spellStart"/>
      <w:r>
        <w:rPr>
          <w:rFonts w:ascii="Times New Roman" w:hAnsi="Times New Roman" w:cs="Times New Roman"/>
          <w:sz w:val="22"/>
          <w:szCs w:val="22"/>
        </w:rPr>
        <w:t>decanologues</w:t>
      </w:r>
      <w:proofErr w:type="spellEnd"/>
      <w:r>
        <w:rPr>
          <w:rFonts w:ascii="Times New Roman" w:hAnsi="Times New Roman" w:cs="Times New Roman"/>
          <w:sz w:val="22"/>
          <w:szCs w:val="22"/>
        </w:rPr>
        <w:t>’ of the later astronomical ceiling of the 18</w:t>
      </w:r>
      <w:r w:rsidRPr="00091C17">
        <w:rPr>
          <w:rFonts w:ascii="Times New Roman" w:hAnsi="Times New Roman" w:cs="Times New Roman"/>
          <w:sz w:val="22"/>
          <w:szCs w:val="22"/>
          <w:vertAlign w:val="superscript"/>
        </w:rPr>
        <w:t>th</w:t>
      </w:r>
      <w:r>
        <w:rPr>
          <w:rFonts w:ascii="Times New Roman" w:hAnsi="Times New Roman" w:cs="Times New Roman"/>
          <w:sz w:val="22"/>
          <w:szCs w:val="22"/>
        </w:rPr>
        <w:t xml:space="preserve"> and 19</w:t>
      </w:r>
      <w:r w:rsidRPr="00091C17">
        <w:rPr>
          <w:rFonts w:ascii="Times New Roman" w:hAnsi="Times New Roman" w:cs="Times New Roman"/>
          <w:sz w:val="22"/>
          <w:szCs w:val="22"/>
          <w:vertAlign w:val="superscript"/>
        </w:rPr>
        <w:t>th</w:t>
      </w:r>
      <w:r>
        <w:rPr>
          <w:rFonts w:ascii="Times New Roman" w:hAnsi="Times New Roman" w:cs="Times New Roman"/>
          <w:sz w:val="22"/>
          <w:szCs w:val="22"/>
        </w:rPr>
        <w:t xml:space="preserve"> dynasties were connected to the ‘upper or sunset row’ of the star clocks.</w:t>
      </w:r>
      <w:r>
        <w:rPr>
          <w:rStyle w:val="FootnoteReference"/>
          <w:rFonts w:ascii="Times New Roman" w:hAnsi="Times New Roman" w:cs="Times New Roman"/>
          <w:sz w:val="22"/>
          <w:szCs w:val="22"/>
        </w:rPr>
        <w:footnoteReference w:id="30"/>
      </w:r>
      <w:r>
        <w:rPr>
          <w:rFonts w:ascii="Times New Roman" w:hAnsi="Times New Roman" w:cs="Times New Roman"/>
          <w:sz w:val="22"/>
          <w:szCs w:val="22"/>
        </w:rPr>
        <w:t xml:space="preserve">  Pogo concluded that:</w:t>
      </w:r>
    </w:p>
    <w:p w14:paraId="3C2BF69D" w14:textId="77777777" w:rsidR="00167664" w:rsidRDefault="00167664" w:rsidP="00167664">
      <w:pPr>
        <w:rPr>
          <w:rFonts w:ascii="Times New Roman" w:hAnsi="Times New Roman" w:cs="Times New Roman"/>
          <w:sz w:val="22"/>
          <w:szCs w:val="22"/>
        </w:rPr>
      </w:pPr>
    </w:p>
    <w:p w14:paraId="7DA0C95C" w14:textId="77777777" w:rsidR="00167664" w:rsidRDefault="00167664" w:rsidP="00167664">
      <w:pPr>
        <w:ind w:left="576"/>
        <w:jc w:val="both"/>
        <w:rPr>
          <w:rFonts w:ascii="Times New Roman" w:hAnsi="Times New Roman" w:cs="Times New Roman"/>
          <w:sz w:val="22"/>
          <w:szCs w:val="22"/>
        </w:rPr>
      </w:pPr>
      <w:r w:rsidRPr="00091C17">
        <w:rPr>
          <w:rFonts w:ascii="Times New Roman" w:hAnsi="Times New Roman" w:cs="Times New Roman"/>
          <w:sz w:val="22"/>
          <w:szCs w:val="22"/>
        </w:rPr>
        <w:t>The division of the ceilings into two panels separated by a longitudinal inscription, the presence of the Ursa Major group in the centre of the northern panel, and of the Orion-Sirius group in the centre of the southern panel, result from the layout of diagonal calendars of the Asyut type. The meta-Sothic lists of the ceilings correspond to the astronomical divinities of the 36th column heading the diagonals of the terminal triangle of a complete calendar.</w:t>
      </w:r>
      <w:r>
        <w:rPr>
          <w:rStyle w:val="FootnoteReference"/>
          <w:rFonts w:ascii="Times New Roman" w:hAnsi="Times New Roman" w:cs="Times New Roman"/>
          <w:sz w:val="22"/>
          <w:szCs w:val="22"/>
        </w:rPr>
        <w:footnoteReference w:id="31"/>
      </w:r>
    </w:p>
    <w:p w14:paraId="1C59D6F2" w14:textId="77777777" w:rsidR="00167664" w:rsidRDefault="00167664" w:rsidP="00167664">
      <w:pPr>
        <w:ind w:left="576"/>
        <w:jc w:val="both"/>
        <w:rPr>
          <w:rFonts w:ascii="Times New Roman" w:hAnsi="Times New Roman" w:cs="Times New Roman"/>
          <w:sz w:val="22"/>
          <w:szCs w:val="22"/>
        </w:rPr>
      </w:pPr>
    </w:p>
    <w:p w14:paraId="3D97B398"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 xml:space="preserve">The stars were used by the Egyptians to measure the hours of the night from c. 2400 BCE but in Richard A. Parker’s opinion the Asyut star clocks confirmed the establishment of the twelve hours of the night </w:t>
      </w:r>
      <w:r>
        <w:rPr>
          <w:rStyle w:val="FootnoteReference"/>
          <w:rFonts w:ascii="Times New Roman" w:hAnsi="Times New Roman" w:cs="Times New Roman"/>
          <w:sz w:val="22"/>
          <w:szCs w:val="22"/>
        </w:rPr>
        <w:footnoteReference w:id="32"/>
      </w:r>
      <w:r w:rsidRPr="00D41DCB">
        <w:rPr>
          <w:rFonts w:ascii="Times New Roman" w:hAnsi="Times New Roman" w:cs="Times New Roman"/>
          <w:color w:val="FF0000"/>
          <w:sz w:val="22"/>
          <w:szCs w:val="22"/>
        </w:rPr>
        <w:t xml:space="preserve">  </w:t>
      </w:r>
      <w:r w:rsidRPr="00806075">
        <w:rPr>
          <w:rFonts w:ascii="Times New Roman" w:hAnsi="Times New Roman" w:cs="Times New Roman"/>
          <w:sz w:val="22"/>
          <w:szCs w:val="22"/>
        </w:rPr>
        <w:t xml:space="preserve">The Asyut type coffins which had increased to twelve in number by the time Parker was writing, are dated from c. 2160 - 1786 BCE </w:t>
      </w:r>
      <w:r>
        <w:rPr>
          <w:rFonts w:ascii="Times New Roman" w:hAnsi="Times New Roman" w:cs="Times New Roman"/>
          <w:sz w:val="22"/>
          <w:szCs w:val="22"/>
        </w:rPr>
        <w:t>and all contain a representation of the sky goddess Nut as part of their general plan</w:t>
      </w:r>
      <w:r w:rsidRPr="00D41DCB">
        <w:rPr>
          <w:rFonts w:ascii="Times New Roman" w:hAnsi="Times New Roman" w:cs="Times New Roman"/>
          <w:color w:val="FF0000"/>
          <w:sz w:val="22"/>
          <w:szCs w:val="22"/>
        </w:rPr>
        <w:t>.</w:t>
      </w:r>
      <w:r>
        <w:rPr>
          <w:rStyle w:val="FootnoteReference"/>
          <w:rFonts w:ascii="Times New Roman" w:hAnsi="Times New Roman" w:cs="Times New Roman"/>
          <w:sz w:val="22"/>
          <w:szCs w:val="22"/>
        </w:rPr>
        <w:footnoteReference w:id="33"/>
      </w:r>
      <w:r w:rsidRPr="00D41DCB">
        <w:rPr>
          <w:rFonts w:ascii="Times New Roman" w:hAnsi="Times New Roman" w:cs="Times New Roman"/>
          <w:color w:val="FF0000"/>
          <w:sz w:val="22"/>
          <w:szCs w:val="22"/>
        </w:rPr>
        <w:t xml:space="preserve">  </w:t>
      </w:r>
      <w:r w:rsidRPr="003F5F07">
        <w:rPr>
          <w:rFonts w:ascii="Times New Roman" w:hAnsi="Times New Roman" w:cs="Times New Roman"/>
          <w:sz w:val="22"/>
          <w:szCs w:val="22"/>
        </w:rPr>
        <w:t>While these star clocks were found in a funerary context and are somewhat degraded in nature it is clear that an extra 12 decans had been chosen after the original 36 which would have allowed the first column of the clock to become effective again after the five epagomenal days.</w:t>
      </w:r>
      <w:r>
        <w:rPr>
          <w:rStyle w:val="FootnoteReference"/>
          <w:rFonts w:ascii="Times New Roman" w:hAnsi="Times New Roman" w:cs="Times New Roman"/>
          <w:sz w:val="22"/>
          <w:szCs w:val="22"/>
        </w:rPr>
        <w:footnoteReference w:id="34"/>
      </w:r>
      <w:r>
        <w:rPr>
          <w:rFonts w:ascii="Times New Roman" w:hAnsi="Times New Roman" w:cs="Times New Roman"/>
          <w:sz w:val="22"/>
          <w:szCs w:val="22"/>
        </w:rPr>
        <w:t xml:space="preserve">  Inevitably the lack of a leap year in the Egyptian civil calendar would make a necessity of moving and creating decans to make any adjustments.</w:t>
      </w:r>
      <w:r>
        <w:rPr>
          <w:rStyle w:val="FootnoteReference"/>
          <w:rFonts w:ascii="Times New Roman" w:hAnsi="Times New Roman" w:cs="Times New Roman"/>
          <w:sz w:val="22"/>
          <w:szCs w:val="22"/>
        </w:rPr>
        <w:footnoteReference w:id="35"/>
      </w:r>
      <w:r>
        <w:rPr>
          <w:rFonts w:ascii="Times New Roman" w:hAnsi="Times New Roman" w:cs="Times New Roman"/>
          <w:color w:val="FF0000"/>
          <w:sz w:val="22"/>
          <w:szCs w:val="22"/>
        </w:rPr>
        <w:t xml:space="preserve">  </w:t>
      </w:r>
      <w:r w:rsidRPr="002B4B4D">
        <w:rPr>
          <w:rFonts w:ascii="Times New Roman" w:hAnsi="Times New Roman" w:cs="Times New Roman"/>
          <w:sz w:val="22"/>
          <w:szCs w:val="22"/>
        </w:rPr>
        <w:t>Otto E. Neugebauer and Richard A. Parker, cited by Parker, note that although there was some revision in the system up to the 12</w:t>
      </w:r>
      <w:r w:rsidRPr="002B4B4D">
        <w:rPr>
          <w:rFonts w:ascii="Times New Roman" w:hAnsi="Times New Roman" w:cs="Times New Roman"/>
          <w:sz w:val="22"/>
          <w:szCs w:val="22"/>
          <w:vertAlign w:val="superscript"/>
        </w:rPr>
        <w:t>th</w:t>
      </w:r>
      <w:r w:rsidRPr="002B4B4D">
        <w:rPr>
          <w:rFonts w:ascii="Times New Roman" w:hAnsi="Times New Roman" w:cs="Times New Roman"/>
          <w:sz w:val="22"/>
          <w:szCs w:val="22"/>
        </w:rPr>
        <w:t xml:space="preserve"> Dynasty (c. 1991 - 1786 BCE) the transit of stars was now being used for calculations instead of the rising, this has been confirmed by the later texts now known as the ‘Cosmology of Seti I and Rameses IV’.</w:t>
      </w:r>
      <w:r>
        <w:rPr>
          <w:rStyle w:val="FootnoteReference"/>
          <w:rFonts w:ascii="Times New Roman" w:hAnsi="Times New Roman" w:cs="Times New Roman"/>
          <w:sz w:val="22"/>
          <w:szCs w:val="22"/>
        </w:rPr>
        <w:footnoteReference w:id="36"/>
      </w:r>
      <w:r w:rsidRPr="002B4B4D">
        <w:rPr>
          <w:rFonts w:ascii="Times New Roman" w:hAnsi="Times New Roman" w:cs="Times New Roman"/>
          <w:sz w:val="22"/>
          <w:szCs w:val="22"/>
        </w:rPr>
        <w:t xml:space="preserve">  Associated with an illustration of the sky goddess Nut who is supported by the air god Shu as she bends over the earth ‘are numerous texts, many of which are purely mythological but a few of which represent the first astronomical thinking we have from the ancient Egyptians’.</w:t>
      </w:r>
      <w:r>
        <w:rPr>
          <w:rStyle w:val="FootnoteReference"/>
          <w:rFonts w:ascii="Times New Roman" w:hAnsi="Times New Roman" w:cs="Times New Roman"/>
          <w:sz w:val="22"/>
          <w:szCs w:val="22"/>
        </w:rPr>
        <w:footnoteReference w:id="37"/>
      </w:r>
      <w:r w:rsidRPr="00367900">
        <w:rPr>
          <w:rFonts w:ascii="Times New Roman" w:hAnsi="Times New Roman" w:cs="Times New Roman"/>
          <w:sz w:val="22"/>
          <w:szCs w:val="22"/>
        </w:rPr>
        <w:t xml:space="preserve">  </w:t>
      </w:r>
    </w:p>
    <w:p w14:paraId="7FD1921A" w14:textId="77777777" w:rsidR="00167664" w:rsidRDefault="00167664" w:rsidP="00CD3389">
      <w:pPr>
        <w:ind w:firstLine="720"/>
        <w:rPr>
          <w:rFonts w:ascii="Times New Roman" w:hAnsi="Times New Roman" w:cs="Times New Roman"/>
          <w:sz w:val="22"/>
          <w:szCs w:val="22"/>
        </w:rPr>
      </w:pPr>
    </w:p>
    <w:p w14:paraId="25DEDF04"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Zodiacs and Astronomical Ceilings</w:t>
      </w:r>
    </w:p>
    <w:p w14:paraId="12CBDF48" w14:textId="77777777" w:rsidR="00CD3389" w:rsidRDefault="00CD3389" w:rsidP="00167664">
      <w:pPr>
        <w:rPr>
          <w:rFonts w:ascii="Times New Roman" w:hAnsi="Times New Roman" w:cs="Times New Roman"/>
          <w:sz w:val="22"/>
          <w:szCs w:val="22"/>
        </w:rPr>
      </w:pPr>
    </w:p>
    <w:p w14:paraId="721E61C2" w14:textId="77777777" w:rsidR="00167664" w:rsidRDefault="00167664" w:rsidP="00CD3389">
      <w:pPr>
        <w:ind w:firstLine="720"/>
        <w:rPr>
          <w:rFonts w:ascii="Times New Roman" w:hAnsi="Times New Roman" w:cs="Times New Roman"/>
          <w:sz w:val="22"/>
          <w:szCs w:val="22"/>
        </w:rPr>
      </w:pPr>
      <w:r w:rsidRPr="00367900">
        <w:rPr>
          <w:rFonts w:ascii="Times New Roman" w:hAnsi="Times New Roman" w:cs="Times New Roman"/>
          <w:sz w:val="22"/>
          <w:szCs w:val="22"/>
        </w:rPr>
        <w:t xml:space="preserve">Later coffins </w:t>
      </w:r>
      <w:r>
        <w:rPr>
          <w:rFonts w:ascii="Times New Roman" w:hAnsi="Times New Roman" w:cs="Times New Roman"/>
          <w:sz w:val="22"/>
          <w:szCs w:val="22"/>
        </w:rPr>
        <w:t xml:space="preserve">have also been found with cosmological symbols on them.  </w:t>
      </w:r>
      <w:r w:rsidRPr="00CF591E">
        <w:rPr>
          <w:rFonts w:ascii="Times New Roman" w:hAnsi="Times New Roman" w:cs="Times New Roman"/>
          <w:sz w:val="22"/>
          <w:szCs w:val="22"/>
        </w:rPr>
        <w:t xml:space="preserve">The </w:t>
      </w:r>
      <w:proofErr w:type="spellStart"/>
      <w:r w:rsidRPr="00CF591E">
        <w:rPr>
          <w:rFonts w:ascii="Times New Roman" w:hAnsi="Times New Roman" w:cs="Times New Roman"/>
          <w:sz w:val="22"/>
          <w:szCs w:val="22"/>
        </w:rPr>
        <w:t>Sotor</w:t>
      </w:r>
      <w:proofErr w:type="spellEnd"/>
      <w:r w:rsidRPr="00CF591E">
        <w:rPr>
          <w:rFonts w:ascii="Times New Roman" w:hAnsi="Times New Roman" w:cs="Times New Roman"/>
          <w:sz w:val="22"/>
          <w:szCs w:val="22"/>
        </w:rPr>
        <w:t xml:space="preserve"> family group of coffins from Deir El Medina have been dated to c. 90 – 140 CE and Christina Riggs has </w:t>
      </w:r>
      <w:r w:rsidRPr="00CF591E">
        <w:rPr>
          <w:rFonts w:ascii="Times New Roman" w:hAnsi="Times New Roman" w:cs="Times New Roman"/>
          <w:sz w:val="22"/>
          <w:szCs w:val="22"/>
        </w:rPr>
        <w:lastRenderedPageBreak/>
        <w:t>identified a potential source of some of the decorations.</w:t>
      </w:r>
      <w:r>
        <w:rPr>
          <w:rStyle w:val="FootnoteReference"/>
          <w:rFonts w:ascii="Times New Roman" w:hAnsi="Times New Roman" w:cs="Times New Roman"/>
          <w:sz w:val="22"/>
          <w:szCs w:val="22"/>
        </w:rPr>
        <w:footnoteReference w:id="38"/>
      </w:r>
      <w:r w:rsidRPr="00CF591E">
        <w:rPr>
          <w:rFonts w:ascii="Times New Roman" w:hAnsi="Times New Roman" w:cs="Times New Roman"/>
          <w:sz w:val="22"/>
          <w:szCs w:val="22"/>
        </w:rPr>
        <w:t xml:space="preserve">  Three of the coffins are ‘corner-post coffins’ with an arched lid symbolizing the arch of the sky over the body and the corner posts being the supporting pillars at the four corners of the earth.</w:t>
      </w:r>
      <w:r>
        <w:rPr>
          <w:rStyle w:val="FootnoteReference"/>
          <w:rFonts w:ascii="Times New Roman" w:hAnsi="Times New Roman" w:cs="Times New Roman"/>
          <w:sz w:val="22"/>
          <w:szCs w:val="22"/>
        </w:rPr>
        <w:footnoteReference w:id="39"/>
      </w:r>
      <w:r w:rsidRPr="00CF591E">
        <w:rPr>
          <w:rFonts w:ascii="Times New Roman" w:hAnsi="Times New Roman" w:cs="Times New Roman"/>
          <w:sz w:val="22"/>
          <w:szCs w:val="22"/>
        </w:rPr>
        <w:t xml:space="preserve">  </w:t>
      </w:r>
      <w:r w:rsidRPr="00367900">
        <w:rPr>
          <w:rFonts w:ascii="Times New Roman" w:hAnsi="Times New Roman" w:cs="Times New Roman"/>
          <w:sz w:val="22"/>
          <w:szCs w:val="22"/>
        </w:rPr>
        <w:t xml:space="preserve">A depiction of the sky goddess Nut is in the lid </w:t>
      </w:r>
      <w:r>
        <w:rPr>
          <w:rFonts w:ascii="Times New Roman" w:hAnsi="Times New Roman" w:cs="Times New Roman"/>
          <w:sz w:val="22"/>
          <w:szCs w:val="22"/>
        </w:rPr>
        <w:t xml:space="preserve">and </w:t>
      </w:r>
      <w:r w:rsidRPr="00367900">
        <w:rPr>
          <w:rFonts w:ascii="Times New Roman" w:hAnsi="Times New Roman" w:cs="Times New Roman"/>
          <w:sz w:val="22"/>
          <w:szCs w:val="22"/>
        </w:rPr>
        <w:t>she is surrounded by 12 zodiac signs and the signs for the hours of the day and night</w:t>
      </w:r>
      <w:r>
        <w:rPr>
          <w:rFonts w:ascii="Times New Roman" w:hAnsi="Times New Roman" w:cs="Times New Roman"/>
          <w:sz w:val="22"/>
          <w:szCs w:val="22"/>
        </w:rPr>
        <w:t>, the four winds a represented at the end of each register and are oriented towards the centre</w:t>
      </w:r>
      <w:r w:rsidRPr="00367900">
        <w:rPr>
          <w:rFonts w:ascii="Times New Roman" w:hAnsi="Times New Roman" w:cs="Times New Roman"/>
          <w:sz w:val="22"/>
          <w:szCs w:val="22"/>
        </w:rPr>
        <w:t>.</w:t>
      </w:r>
      <w:r>
        <w:rPr>
          <w:rStyle w:val="FootnoteReference"/>
          <w:rFonts w:ascii="Times New Roman" w:hAnsi="Times New Roman" w:cs="Times New Roman"/>
          <w:sz w:val="22"/>
          <w:szCs w:val="22"/>
        </w:rPr>
        <w:footnoteReference w:id="40"/>
      </w:r>
      <w:r w:rsidRPr="00367900">
        <w:rPr>
          <w:rFonts w:ascii="Times New Roman" w:hAnsi="Times New Roman" w:cs="Times New Roman"/>
          <w:sz w:val="22"/>
          <w:szCs w:val="22"/>
        </w:rPr>
        <w:t xml:space="preserve">  </w:t>
      </w:r>
      <w:r>
        <w:rPr>
          <w:rFonts w:ascii="Times New Roman" w:hAnsi="Times New Roman" w:cs="Times New Roman"/>
          <w:sz w:val="22"/>
          <w:szCs w:val="22"/>
        </w:rPr>
        <w:t>The parallels that have been identified by Riggs on these coffins are with the Hathor temple at Deir El Medina that was used during the. Roman Period.  The cosmological parallels are the four winds and Sothis as a resting cow with a solar disc and star between her horns.</w:t>
      </w:r>
      <w:r>
        <w:rPr>
          <w:rStyle w:val="FootnoteReference"/>
          <w:rFonts w:ascii="Times New Roman" w:hAnsi="Times New Roman" w:cs="Times New Roman"/>
          <w:sz w:val="22"/>
          <w:szCs w:val="22"/>
        </w:rPr>
        <w:footnoteReference w:id="41"/>
      </w:r>
      <w:r>
        <w:rPr>
          <w:rFonts w:ascii="Times New Roman" w:hAnsi="Times New Roman" w:cs="Times New Roman"/>
          <w:sz w:val="22"/>
          <w:szCs w:val="22"/>
        </w:rPr>
        <w:t xml:space="preserve">  The use of the zodiacs and the winds could be seen as a localised use of the design by an elite family group.  There are several astronomical ceilings known, the earliest one that has been found is that of Senenmut (c. 1473 BCE) in TT353 (Theban Tomb at Deir El Bahri).  In Parker's opinion, part of the ceiling was copied from a much earlier star clock, the names of the decans are attended by stars and more deities and stars are added below the line of the 12</w:t>
      </w:r>
      <w:r w:rsidRPr="005B49A3">
        <w:rPr>
          <w:rFonts w:ascii="Times New Roman" w:hAnsi="Times New Roman" w:cs="Times New Roman"/>
          <w:sz w:val="22"/>
          <w:szCs w:val="22"/>
          <w:vertAlign w:val="superscript"/>
        </w:rPr>
        <w:t>th</w:t>
      </w:r>
      <w:r>
        <w:rPr>
          <w:rFonts w:ascii="Times New Roman" w:hAnsi="Times New Roman" w:cs="Times New Roman"/>
          <w:sz w:val="22"/>
          <w:szCs w:val="22"/>
        </w:rPr>
        <w:t xml:space="preserve"> hour.</w:t>
      </w:r>
      <w:r>
        <w:rPr>
          <w:rStyle w:val="FootnoteReference"/>
          <w:rFonts w:ascii="Times New Roman" w:hAnsi="Times New Roman" w:cs="Times New Roman"/>
          <w:sz w:val="22"/>
          <w:szCs w:val="22"/>
        </w:rPr>
        <w:footnoteReference w:id="42"/>
      </w:r>
      <w:r>
        <w:rPr>
          <w:rFonts w:ascii="Times New Roman" w:hAnsi="Times New Roman" w:cs="Times New Roman"/>
          <w:sz w:val="22"/>
          <w:szCs w:val="22"/>
        </w:rPr>
        <w:t xml:space="preserve">  The constellations of Orion, Sothis the ship and the sheep are also depicted.  To the left of the decans, there is also the addition of a mixture of decans and planets where a normal star clock would have the five epagomenal days.</w:t>
      </w:r>
      <w:r>
        <w:rPr>
          <w:rStyle w:val="FootnoteReference"/>
          <w:rFonts w:ascii="Times New Roman" w:hAnsi="Times New Roman" w:cs="Times New Roman"/>
          <w:sz w:val="22"/>
          <w:szCs w:val="22"/>
        </w:rPr>
        <w:footnoteReference w:id="43"/>
      </w:r>
      <w:r>
        <w:rPr>
          <w:rFonts w:ascii="Times New Roman" w:hAnsi="Times New Roman" w:cs="Times New Roman"/>
          <w:sz w:val="22"/>
          <w:szCs w:val="22"/>
        </w:rPr>
        <w:t xml:space="preserve">  The date that the planets were recognised is unknown and this is the first depiction of them that has been identified although the planet Mars has unaccountably been omitted.  The zodiac was a Babylonian import and did not appear in Egypt until Ptolemaic (c. 323 – 30 BCE) times Parker mentioned the destroyed zodiac at the temple of </w:t>
      </w:r>
      <w:proofErr w:type="spellStart"/>
      <w:r>
        <w:rPr>
          <w:rFonts w:ascii="Times New Roman" w:hAnsi="Times New Roman" w:cs="Times New Roman"/>
          <w:sz w:val="22"/>
          <w:szCs w:val="22"/>
        </w:rPr>
        <w:t>Esna</w:t>
      </w:r>
      <w:proofErr w:type="spellEnd"/>
      <w:r>
        <w:rPr>
          <w:rFonts w:ascii="Times New Roman" w:hAnsi="Times New Roman" w:cs="Times New Roman"/>
          <w:sz w:val="22"/>
          <w:szCs w:val="22"/>
        </w:rPr>
        <w:t xml:space="preserve"> and how the zodiac, decans, constellations and planets are combined.</w:t>
      </w:r>
      <w:r>
        <w:rPr>
          <w:rStyle w:val="FootnoteReference"/>
          <w:rFonts w:ascii="Times New Roman" w:hAnsi="Times New Roman" w:cs="Times New Roman"/>
          <w:sz w:val="22"/>
          <w:szCs w:val="22"/>
        </w:rPr>
        <w:footnoteReference w:id="44"/>
      </w:r>
      <w:r>
        <w:rPr>
          <w:rFonts w:ascii="Times New Roman" w:hAnsi="Times New Roman" w:cs="Times New Roman"/>
          <w:sz w:val="22"/>
          <w:szCs w:val="22"/>
        </w:rPr>
        <w:t xml:space="preserve">  Recently the ongoing cleaning work at the </w:t>
      </w:r>
      <w:proofErr w:type="spellStart"/>
      <w:r>
        <w:rPr>
          <w:rFonts w:ascii="Times New Roman" w:hAnsi="Times New Roman" w:cs="Times New Roman"/>
          <w:sz w:val="22"/>
          <w:szCs w:val="22"/>
        </w:rPr>
        <w:t>Esna</w:t>
      </w:r>
      <w:proofErr w:type="spellEnd"/>
      <w:r>
        <w:rPr>
          <w:rFonts w:ascii="Times New Roman" w:hAnsi="Times New Roman" w:cs="Times New Roman"/>
          <w:sz w:val="22"/>
          <w:szCs w:val="22"/>
        </w:rPr>
        <w:t xml:space="preserve"> temple has revealed a further zodiac under the soot and dirt.</w:t>
      </w:r>
      <w:r>
        <w:rPr>
          <w:rStyle w:val="FootnoteReference"/>
          <w:rFonts w:ascii="Times New Roman" w:hAnsi="Times New Roman" w:cs="Times New Roman"/>
          <w:sz w:val="22"/>
          <w:szCs w:val="22"/>
        </w:rPr>
        <w:footnoteReference w:id="45"/>
      </w:r>
      <w:r>
        <w:rPr>
          <w:rFonts w:ascii="Times New Roman" w:hAnsi="Times New Roman" w:cs="Times New Roman"/>
          <w:sz w:val="22"/>
          <w:szCs w:val="22"/>
        </w:rPr>
        <w:t xml:space="preserve">  The circular zodiac from the ceiling at Dendera (Louvre D38) and its linear counterpart on the Outer Hypostyle hall are considered to be of ‘considerable importance ‘ by Parker as ‘the circular zodiac locates constellations north or south of the ecliptic and the linear one locates them in specific signs’.</w:t>
      </w:r>
      <w:r>
        <w:rPr>
          <w:rStyle w:val="FootnoteReference"/>
          <w:rFonts w:ascii="Times New Roman" w:hAnsi="Times New Roman" w:cs="Times New Roman"/>
          <w:sz w:val="22"/>
          <w:szCs w:val="22"/>
        </w:rPr>
        <w:footnoteReference w:id="46"/>
      </w:r>
      <w:r>
        <w:rPr>
          <w:rFonts w:ascii="Times New Roman" w:hAnsi="Times New Roman" w:cs="Times New Roman"/>
          <w:sz w:val="22"/>
          <w:szCs w:val="22"/>
        </w:rPr>
        <w:t xml:space="preserve">  Astronomical cei</w:t>
      </w:r>
      <w:r w:rsidRPr="00F27280">
        <w:rPr>
          <w:rFonts w:ascii="Times New Roman" w:hAnsi="Times New Roman" w:cs="Times New Roman"/>
          <w:sz w:val="22"/>
          <w:szCs w:val="22"/>
        </w:rPr>
        <w:t xml:space="preserve">lings also appeared in the tombs of many of the Ramesside Pharaohs (c. 1320 - 1085 BCE), these not only depicted the decans but also the myth of Nut and Ra.  Alexander </w:t>
      </w:r>
      <w:proofErr w:type="spellStart"/>
      <w:r w:rsidRPr="00F27280">
        <w:rPr>
          <w:rFonts w:ascii="Times New Roman" w:hAnsi="Times New Roman" w:cs="Times New Roman"/>
          <w:sz w:val="22"/>
          <w:szCs w:val="22"/>
        </w:rPr>
        <w:t>Piankoff</w:t>
      </w:r>
      <w:proofErr w:type="spellEnd"/>
      <w:r w:rsidRPr="00F27280">
        <w:rPr>
          <w:rFonts w:ascii="Times New Roman" w:hAnsi="Times New Roman" w:cs="Times New Roman"/>
          <w:sz w:val="22"/>
          <w:szCs w:val="22"/>
        </w:rPr>
        <w:t xml:space="preserve"> argues that the myth of the sky goddess Nut giving birth to the god Ra as the sun ‘played an important part in the formation of the cosmogony of the Nile Valley’.</w:t>
      </w:r>
      <w:r>
        <w:rPr>
          <w:rStyle w:val="FootnoteReference"/>
          <w:rFonts w:ascii="Times New Roman" w:hAnsi="Times New Roman" w:cs="Times New Roman"/>
          <w:sz w:val="22"/>
          <w:szCs w:val="22"/>
        </w:rPr>
        <w:footnoteReference w:id="47"/>
      </w:r>
      <w:r w:rsidRPr="00F27280">
        <w:rPr>
          <w:rFonts w:ascii="Times New Roman" w:hAnsi="Times New Roman" w:cs="Times New Roman"/>
          <w:sz w:val="22"/>
          <w:szCs w:val="22"/>
        </w:rPr>
        <w:t xml:space="preserve">  The mother and father of Ra as the sun were Nut (the sky) and Geb (the earth), each day Nut swallowed Ra in the evening and gave birth to him in the morning.  Thus, continuing the daily cosmic renewal of the sun.  There is only one mention of the consumption of Ra in the Pyramid Texts, but the night time voyage of the sun is stated in numerous verses.</w:t>
      </w:r>
      <w:r>
        <w:rPr>
          <w:rStyle w:val="FootnoteReference"/>
          <w:rFonts w:ascii="Times New Roman" w:hAnsi="Times New Roman" w:cs="Times New Roman"/>
          <w:sz w:val="22"/>
          <w:szCs w:val="22"/>
        </w:rPr>
        <w:footnoteReference w:id="48"/>
      </w:r>
      <w:r w:rsidRPr="00F27280">
        <w:rPr>
          <w:rFonts w:ascii="Times New Roman" w:hAnsi="Times New Roman" w:cs="Times New Roman"/>
          <w:sz w:val="22"/>
          <w:szCs w:val="22"/>
        </w:rPr>
        <w:t xml:space="preserve">  </w:t>
      </w:r>
      <w:r>
        <w:rPr>
          <w:rFonts w:ascii="Times New Roman" w:hAnsi="Times New Roman" w:cs="Times New Roman"/>
          <w:sz w:val="22"/>
          <w:szCs w:val="22"/>
        </w:rPr>
        <w:t>Another Geb and Nut myth was told about their children the stars Geb was enraged when he found out that the stars have been swallowed by Nut but when he is told that they will be reborn his anger was placate</w:t>
      </w:r>
      <w:r w:rsidRPr="000C5913">
        <w:rPr>
          <w:rFonts w:ascii="Times New Roman" w:hAnsi="Times New Roman" w:cs="Times New Roman"/>
          <w:sz w:val="22"/>
          <w:szCs w:val="22"/>
        </w:rPr>
        <w:t>d.</w:t>
      </w:r>
      <w:r>
        <w:rPr>
          <w:rStyle w:val="FootnoteReference"/>
          <w:rFonts w:ascii="Times New Roman" w:hAnsi="Times New Roman" w:cs="Times New Roman"/>
          <w:sz w:val="22"/>
          <w:szCs w:val="22"/>
        </w:rPr>
        <w:footnoteReference w:id="49"/>
      </w:r>
      <w:r w:rsidRPr="000C5913">
        <w:rPr>
          <w:rFonts w:ascii="Times New Roman" w:hAnsi="Times New Roman" w:cs="Times New Roman"/>
          <w:sz w:val="22"/>
          <w:szCs w:val="22"/>
        </w:rPr>
        <w:t xml:space="preserve">  </w:t>
      </w:r>
      <w:r>
        <w:rPr>
          <w:rFonts w:ascii="Times New Roman" w:hAnsi="Times New Roman" w:cs="Times New Roman"/>
          <w:sz w:val="22"/>
          <w:szCs w:val="22"/>
        </w:rPr>
        <w:t>The tomb of Ramesses V and VI number KV9 (Kings Valley, Luxor) which was from the 20</w:t>
      </w:r>
      <w:r w:rsidRPr="0065288F">
        <w:rPr>
          <w:rFonts w:ascii="Times New Roman" w:hAnsi="Times New Roman" w:cs="Times New Roman"/>
          <w:sz w:val="22"/>
          <w:szCs w:val="22"/>
          <w:vertAlign w:val="superscript"/>
        </w:rPr>
        <w:t>th</w:t>
      </w:r>
      <w:r>
        <w:rPr>
          <w:rFonts w:ascii="Times New Roman" w:hAnsi="Times New Roman" w:cs="Times New Roman"/>
          <w:sz w:val="22"/>
          <w:szCs w:val="22"/>
        </w:rPr>
        <w:t xml:space="preserve"> Dynasty (c. 1186 – 1069) depicts Nut swallowing both the sun and the stars, they </w:t>
      </w:r>
      <w:r>
        <w:rPr>
          <w:rFonts w:ascii="Times New Roman" w:hAnsi="Times New Roman" w:cs="Times New Roman"/>
          <w:sz w:val="22"/>
          <w:szCs w:val="22"/>
        </w:rPr>
        <w:lastRenderedPageBreak/>
        <w:t xml:space="preserve">then are shown as they travel through her body and she then gives birth to the.  The texts promise that the deceased pharaoh will become one with Osiris, who is a son of Nut, or become an Osiris after travelling through the Amduat and will be received by the goddess Nut as his </w:t>
      </w:r>
      <w:r w:rsidRPr="00184EB8">
        <w:rPr>
          <w:rFonts w:ascii="Times New Roman" w:hAnsi="Times New Roman" w:cs="Times New Roman"/>
          <w:sz w:val="22"/>
          <w:szCs w:val="22"/>
        </w:rPr>
        <w:t>mother.</w:t>
      </w:r>
      <w:r>
        <w:rPr>
          <w:rStyle w:val="FootnoteReference"/>
          <w:rFonts w:ascii="Times New Roman" w:hAnsi="Times New Roman" w:cs="Times New Roman"/>
          <w:sz w:val="22"/>
          <w:szCs w:val="22"/>
        </w:rPr>
        <w:footnoteReference w:id="50"/>
      </w:r>
      <w:r w:rsidRPr="00184EB8">
        <w:rPr>
          <w:rFonts w:ascii="Times New Roman" w:hAnsi="Times New Roman" w:cs="Times New Roman"/>
          <w:sz w:val="22"/>
          <w:szCs w:val="22"/>
        </w:rPr>
        <w:t xml:space="preserve">  </w:t>
      </w:r>
    </w:p>
    <w:p w14:paraId="1299505B" w14:textId="77777777" w:rsidR="00167664" w:rsidRPr="00400DBF"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The Amduat and the Book of the Dead</w:t>
      </w:r>
    </w:p>
    <w:p w14:paraId="1EAC76B9" w14:textId="77777777" w:rsidR="00167664" w:rsidRPr="008C1E5D" w:rsidRDefault="00167664" w:rsidP="00CD3389">
      <w:pPr>
        <w:ind w:firstLine="720"/>
        <w:rPr>
          <w:rFonts w:ascii="Times New Roman" w:hAnsi="Times New Roman" w:cs="Calibri (Body)"/>
          <w:sz w:val="22"/>
        </w:rPr>
      </w:pPr>
      <w:r w:rsidRPr="009D1DFE">
        <w:rPr>
          <w:rFonts w:ascii="Times New Roman" w:hAnsi="Times New Roman" w:cs="Times New Roman"/>
          <w:sz w:val="22"/>
          <w:szCs w:val="22"/>
        </w:rPr>
        <w:t>The Coffin Texts were superseded by the Amduat and Book of the Dead, these took the form of instructions for navigating the twelve hours of the night.  Originally it appeared on the walls of tombs, later portions of it appeared on sarcophagi and gilded shrines during the 21</w:t>
      </w:r>
      <w:r w:rsidRPr="009D1DFE">
        <w:rPr>
          <w:rFonts w:ascii="Times New Roman" w:hAnsi="Times New Roman" w:cs="Times New Roman"/>
          <w:sz w:val="22"/>
          <w:szCs w:val="22"/>
          <w:vertAlign w:val="superscript"/>
        </w:rPr>
        <w:t>st</w:t>
      </w:r>
      <w:r w:rsidRPr="009D1DFE">
        <w:rPr>
          <w:rFonts w:ascii="Times New Roman" w:hAnsi="Times New Roman" w:cs="Times New Roman"/>
          <w:sz w:val="22"/>
          <w:szCs w:val="22"/>
        </w:rPr>
        <w:t xml:space="preserve"> Dynasty it started to be written on papyrus and the elite began to use it in their tombs.</w:t>
      </w:r>
      <w:r>
        <w:rPr>
          <w:rStyle w:val="FootnoteReference"/>
          <w:rFonts w:ascii="Times New Roman" w:hAnsi="Times New Roman" w:cs="Calibri (Body)"/>
          <w:sz w:val="22"/>
        </w:rPr>
        <w:footnoteReference w:id="51"/>
      </w:r>
      <w:r w:rsidRPr="009D1DFE">
        <w:rPr>
          <w:rFonts w:ascii="Times New Roman" w:hAnsi="Times New Roman" w:cs="Calibri (Body)"/>
          <w:sz w:val="22"/>
        </w:rPr>
        <w:t xml:space="preserve"> </w:t>
      </w:r>
      <w:r w:rsidRPr="009D1DFE">
        <w:rPr>
          <w:rFonts w:ascii="Times New Roman" w:hAnsi="Times New Roman" w:cs="Times New Roman"/>
          <w:sz w:val="22"/>
          <w:szCs w:val="22"/>
        </w:rPr>
        <w:t xml:space="preserve"> The cartouche-shaped burial chamber of the pharaoh Tuthmosis III (c. 1479 – 1424 BCE) has not only one of the best preserved but also one of the most complete copies of the Amduat around its walls.</w:t>
      </w:r>
      <w:r>
        <w:rPr>
          <w:rStyle w:val="FootnoteReference"/>
          <w:rFonts w:ascii="Times New Roman" w:hAnsi="Times New Roman" w:cs="Times New Roman"/>
          <w:sz w:val="22"/>
          <w:szCs w:val="22"/>
        </w:rPr>
        <w:footnoteReference w:id="52"/>
      </w:r>
      <w:r w:rsidRPr="009D1DFE">
        <w:rPr>
          <w:rFonts w:ascii="Times New Roman" w:hAnsi="Times New Roman" w:cs="Times New Roman"/>
          <w:sz w:val="22"/>
          <w:szCs w:val="22"/>
        </w:rPr>
        <w:t xml:space="preserve">  </w:t>
      </w:r>
      <w:proofErr w:type="spellStart"/>
      <w:r w:rsidRPr="009D1DFE">
        <w:rPr>
          <w:rFonts w:ascii="Times New Roman" w:hAnsi="Times New Roman" w:cs="Times New Roman"/>
          <w:sz w:val="22"/>
          <w:szCs w:val="22"/>
        </w:rPr>
        <w:t>Useramun</w:t>
      </w:r>
      <w:proofErr w:type="spellEnd"/>
      <w:r w:rsidRPr="009D1DFE">
        <w:rPr>
          <w:rFonts w:ascii="Times New Roman" w:hAnsi="Times New Roman" w:cs="Times New Roman"/>
          <w:sz w:val="22"/>
          <w:szCs w:val="22"/>
        </w:rPr>
        <w:t xml:space="preserve"> (TT61) who was the vizier of Tuthmosis III also has a complete Amduat in his tomb.</w:t>
      </w:r>
      <w:r>
        <w:rPr>
          <w:rStyle w:val="FootnoteReference"/>
          <w:rFonts w:ascii="Times New Roman" w:hAnsi="Times New Roman" w:cs="Calibri (Body)"/>
          <w:sz w:val="22"/>
        </w:rPr>
        <w:footnoteReference w:id="53"/>
      </w:r>
      <w:r w:rsidRPr="009D1DFE">
        <w:rPr>
          <w:rFonts w:ascii="Times New Roman" w:hAnsi="Times New Roman" w:cs="Times New Roman"/>
          <w:sz w:val="22"/>
          <w:szCs w:val="22"/>
        </w:rPr>
        <w:t xml:space="preserve">  The burial chamber which has a blue ceiling studded with gold stars has twelve hours in three registers illustrated with stick figures and black and red cursive hieroglyphs.  T</w:t>
      </w:r>
      <w:r w:rsidRPr="009D1DFE">
        <w:rPr>
          <w:rFonts w:ascii="Times New Roman" w:hAnsi="Times New Roman" w:cs="Calibri (Body)"/>
          <w:sz w:val="22"/>
        </w:rPr>
        <w:t>he tomb of Tuthmosis I (c. 1503 - 1491 C.E) KV38 contains the oldest known but fragmentary sections of the Amduat, Hornung has suggested that as there is a possibility of reburial of Tuthmosis I by Queen Hatshepsut (c. 1472 - 1457 BCE) the fragments could date to the earlier years of her reign.</w:t>
      </w:r>
      <w:r>
        <w:rPr>
          <w:rStyle w:val="FootnoteReference"/>
          <w:rFonts w:ascii="Times New Roman" w:hAnsi="Times New Roman" w:cs="Calibri (Body)"/>
          <w:sz w:val="22"/>
        </w:rPr>
        <w:footnoteReference w:id="54"/>
      </w:r>
      <w:r w:rsidRPr="009D1DFE">
        <w:rPr>
          <w:rFonts w:ascii="Times New Roman" w:hAnsi="Times New Roman" w:cs="Calibri (Body)"/>
          <w:sz w:val="22"/>
        </w:rPr>
        <w:t xml:space="preserve">  Hornung has written that Hartwig </w:t>
      </w:r>
      <w:proofErr w:type="spellStart"/>
      <w:r w:rsidRPr="009D1DFE">
        <w:rPr>
          <w:rFonts w:ascii="Times New Roman" w:hAnsi="Times New Roman" w:cs="Calibri (Body)"/>
          <w:sz w:val="22"/>
        </w:rPr>
        <w:t>Altenmüller</w:t>
      </w:r>
      <w:proofErr w:type="spellEnd"/>
      <w:r w:rsidRPr="009D1DFE">
        <w:rPr>
          <w:rFonts w:ascii="Times New Roman" w:hAnsi="Times New Roman" w:cs="Calibri (Body)"/>
          <w:sz w:val="22"/>
        </w:rPr>
        <w:t xml:space="preserve"> is of the opinion that there may have been ‘various stages of composition’ of the Amduat which might date its creation back into the Old Kingdom (c 2660 - 2190 BCE).</w:t>
      </w:r>
      <w:r>
        <w:rPr>
          <w:rStyle w:val="FootnoteReference"/>
          <w:rFonts w:ascii="Times New Roman" w:hAnsi="Times New Roman" w:cs="Calibri (Body)"/>
          <w:sz w:val="22"/>
        </w:rPr>
        <w:footnoteReference w:id="55"/>
      </w:r>
      <w:r w:rsidRPr="009D1DFE">
        <w:rPr>
          <w:rFonts w:ascii="Times New Roman" w:hAnsi="Times New Roman" w:cs="Calibri (Body)"/>
          <w:sz w:val="22"/>
        </w:rPr>
        <w:t xml:space="preserve">  However, Hornung argues that due to the complexity of the images that this is unlikely and dates it to the start of the New Kingdom.</w:t>
      </w:r>
      <w:r>
        <w:rPr>
          <w:rStyle w:val="FootnoteReference"/>
          <w:rFonts w:ascii="Times New Roman" w:hAnsi="Times New Roman" w:cs="Calibri (Body)"/>
          <w:sz w:val="22"/>
        </w:rPr>
        <w:footnoteReference w:id="56"/>
      </w:r>
      <w:r w:rsidRPr="009D1DFE">
        <w:rPr>
          <w:rFonts w:ascii="Times New Roman" w:hAnsi="Times New Roman" w:cs="Calibri (Body)"/>
          <w:sz w:val="22"/>
        </w:rPr>
        <w:t xml:space="preserve">  Edward F. </w:t>
      </w:r>
      <w:proofErr w:type="spellStart"/>
      <w:r w:rsidRPr="009D1DFE">
        <w:rPr>
          <w:rFonts w:ascii="Times New Roman" w:hAnsi="Times New Roman" w:cs="Calibri (Body)"/>
          <w:sz w:val="22"/>
        </w:rPr>
        <w:t>Wente</w:t>
      </w:r>
      <w:proofErr w:type="spellEnd"/>
      <w:r w:rsidRPr="009D1DFE">
        <w:rPr>
          <w:rFonts w:ascii="Times New Roman" w:hAnsi="Times New Roman" w:cs="Calibri (Body)"/>
          <w:sz w:val="22"/>
        </w:rPr>
        <w:t xml:space="preserve"> disagrees with this view and dates its creation to the Middle Kingdom or First Intermediate Period (c. 2181 – 1991).</w:t>
      </w:r>
      <w:r>
        <w:rPr>
          <w:rStyle w:val="FootnoteReference"/>
          <w:rFonts w:ascii="Times New Roman" w:hAnsi="Times New Roman" w:cs="Calibri (Body)"/>
          <w:sz w:val="22"/>
        </w:rPr>
        <w:footnoteReference w:id="57"/>
      </w:r>
      <w:r w:rsidRPr="009D1DFE">
        <w:rPr>
          <w:rFonts w:ascii="Times New Roman" w:hAnsi="Times New Roman" w:cs="Calibri (Body)"/>
          <w:sz w:val="22"/>
        </w:rPr>
        <w:t xml:space="preserve">  </w:t>
      </w:r>
      <w:proofErr w:type="spellStart"/>
      <w:r w:rsidRPr="009D1DFE">
        <w:rPr>
          <w:rFonts w:ascii="Times New Roman" w:hAnsi="Times New Roman" w:cs="Calibri (Body)"/>
          <w:sz w:val="22"/>
        </w:rPr>
        <w:t>Wente</w:t>
      </w:r>
      <w:proofErr w:type="spellEnd"/>
      <w:r w:rsidRPr="009D1DFE">
        <w:rPr>
          <w:rFonts w:ascii="Times New Roman" w:hAnsi="Times New Roman" w:cs="Calibri (Body)"/>
          <w:sz w:val="22"/>
        </w:rPr>
        <w:t xml:space="preserve"> </w:t>
      </w:r>
      <w:r>
        <w:rPr>
          <w:rFonts w:ascii="Times New Roman" w:hAnsi="Times New Roman" w:cs="Calibri (Body)"/>
          <w:sz w:val="22"/>
        </w:rPr>
        <w:t>has suggested</w:t>
      </w:r>
      <w:r w:rsidRPr="009D1DFE">
        <w:rPr>
          <w:rFonts w:ascii="Times New Roman" w:hAnsi="Times New Roman" w:cs="Calibri (Body)"/>
          <w:sz w:val="22"/>
        </w:rPr>
        <w:t xml:space="preserve"> that the Amduat </w:t>
      </w:r>
      <w:r>
        <w:rPr>
          <w:rFonts w:ascii="Times New Roman" w:hAnsi="Times New Roman" w:cs="Calibri (Body)"/>
          <w:sz w:val="22"/>
        </w:rPr>
        <w:t>was</w:t>
      </w:r>
      <w:r w:rsidRPr="009D1DFE">
        <w:rPr>
          <w:rFonts w:ascii="Times New Roman" w:hAnsi="Times New Roman" w:cs="Calibri (Body)"/>
          <w:sz w:val="22"/>
        </w:rPr>
        <w:t xml:space="preserve"> </w:t>
      </w:r>
      <w:r>
        <w:rPr>
          <w:rFonts w:ascii="Times New Roman" w:hAnsi="Times New Roman" w:cs="Calibri (Body)"/>
          <w:sz w:val="22"/>
        </w:rPr>
        <w:t xml:space="preserve">not </w:t>
      </w:r>
      <w:r w:rsidRPr="009D1DFE">
        <w:rPr>
          <w:rFonts w:ascii="Times New Roman" w:hAnsi="Times New Roman" w:cs="Calibri (Body)"/>
          <w:sz w:val="22"/>
        </w:rPr>
        <w:t xml:space="preserve">originally a purely royally inspired text, </w:t>
      </w:r>
      <w:r>
        <w:rPr>
          <w:rFonts w:ascii="Times New Roman" w:hAnsi="Times New Roman" w:cs="Calibri (Body)"/>
          <w:sz w:val="22"/>
        </w:rPr>
        <w:t>and disagrees with the view of</w:t>
      </w:r>
      <w:r w:rsidRPr="009D1DFE">
        <w:rPr>
          <w:rFonts w:ascii="Times New Roman" w:hAnsi="Times New Roman" w:cs="Calibri (Body)"/>
          <w:sz w:val="22"/>
        </w:rPr>
        <w:t xml:space="preserve"> Jan Assmann who </w:t>
      </w:r>
      <w:r>
        <w:rPr>
          <w:rFonts w:ascii="Times New Roman" w:hAnsi="Times New Roman" w:cs="Calibri (Body)"/>
          <w:sz w:val="22"/>
        </w:rPr>
        <w:t>has suggested that it is</w:t>
      </w:r>
      <w:r w:rsidRPr="009D1DFE">
        <w:rPr>
          <w:rFonts w:ascii="Times New Roman" w:hAnsi="Times New Roman" w:cs="Calibri (Body)"/>
          <w:sz w:val="22"/>
        </w:rPr>
        <w:t>.</w:t>
      </w:r>
      <w:r>
        <w:rPr>
          <w:rStyle w:val="FootnoteReference"/>
          <w:rFonts w:ascii="Times New Roman" w:hAnsi="Times New Roman" w:cs="Calibri (Body)"/>
          <w:sz w:val="22"/>
        </w:rPr>
        <w:footnoteReference w:id="58"/>
      </w:r>
      <w:r w:rsidRPr="009D1DFE">
        <w:rPr>
          <w:rFonts w:ascii="Times New Roman" w:hAnsi="Times New Roman" w:cs="Calibri (Body)"/>
          <w:sz w:val="22"/>
        </w:rPr>
        <w:t xml:space="preserve">  Up until </w:t>
      </w:r>
      <w:r>
        <w:rPr>
          <w:rFonts w:ascii="Times New Roman" w:hAnsi="Times New Roman" w:cs="Calibri (Body)"/>
          <w:sz w:val="22"/>
        </w:rPr>
        <w:t xml:space="preserve">the death of </w:t>
      </w:r>
      <w:r w:rsidRPr="009D1DFE">
        <w:rPr>
          <w:rFonts w:ascii="Times New Roman" w:hAnsi="Times New Roman" w:cs="Calibri (Body)"/>
          <w:sz w:val="22"/>
        </w:rPr>
        <w:t xml:space="preserve">Ramesses III most of the pharaohs after Tuthmosis, I used most or large parts of the Amduat in their tombs, an exception being the pharaohs from the Amarna period (c. 1352 - 1332 BCE). </w:t>
      </w:r>
      <w:r>
        <w:rPr>
          <w:rFonts w:ascii="Times New Roman" w:hAnsi="Times New Roman" w:cs="Calibri (Body)"/>
          <w:sz w:val="22"/>
        </w:rPr>
        <w:t xml:space="preserve"> </w:t>
      </w:r>
      <w:r w:rsidRPr="008C1E5D">
        <w:rPr>
          <w:rFonts w:ascii="Times New Roman" w:hAnsi="Times New Roman" w:cs="Calibri (Body)"/>
          <w:sz w:val="22"/>
        </w:rPr>
        <w:t>Stephen Quirke has suggested that the sun gods' journey through the twelve hours of the Amduat could correspond with the continuous travelling of the pharaoh through the length and breadth of Egypt, with his military cohort and trusted advisors.</w:t>
      </w:r>
      <w:r>
        <w:rPr>
          <w:rStyle w:val="FootnoteReference"/>
          <w:rFonts w:ascii="Times New Roman" w:hAnsi="Times New Roman" w:cs="Calibri (Body)"/>
          <w:sz w:val="22"/>
        </w:rPr>
        <w:footnoteReference w:id="59"/>
      </w:r>
      <w:r w:rsidRPr="008C1E5D">
        <w:rPr>
          <w:rFonts w:ascii="Times New Roman" w:hAnsi="Times New Roman" w:cs="Calibri (Body)"/>
          <w:sz w:val="22"/>
        </w:rPr>
        <w:t xml:space="preserve">  Quirke has equated the sections of the Amduat with the pharaoh travelling by boat on the Nile and having to overcome enemies, wild animals, the desert and river obstructions with the help of an entourage much as the sun god and the deceased travel through the night time hours.</w:t>
      </w:r>
      <w:r>
        <w:rPr>
          <w:rStyle w:val="FootnoteReference"/>
          <w:rFonts w:ascii="Times New Roman" w:hAnsi="Times New Roman" w:cs="Calibri (Body)"/>
          <w:sz w:val="22"/>
        </w:rPr>
        <w:footnoteReference w:id="60"/>
      </w:r>
      <w:r w:rsidRPr="008C1E5D">
        <w:rPr>
          <w:rFonts w:ascii="Times New Roman" w:hAnsi="Times New Roman" w:cs="Calibri (Body)"/>
          <w:sz w:val="22"/>
        </w:rPr>
        <w:t xml:space="preserve">  After the pharaoh has overcome all the night time dangers he then joins Osiris and is reborn with the sun god which Dodson and Ikram explain is vital to the dawning of the new day, the continuity of ma’at in Egypt, the world and by extension the cosmos.</w:t>
      </w:r>
      <w:r>
        <w:rPr>
          <w:rStyle w:val="FootnoteReference"/>
          <w:rFonts w:ascii="Times New Roman" w:hAnsi="Times New Roman" w:cs="Calibri (Body)"/>
          <w:sz w:val="22"/>
        </w:rPr>
        <w:footnoteReference w:id="61"/>
      </w:r>
    </w:p>
    <w:p w14:paraId="59534B81" w14:textId="77777777" w:rsidR="00167664" w:rsidRDefault="00167664" w:rsidP="00CD3389">
      <w:pPr>
        <w:ind w:firstLine="720"/>
        <w:rPr>
          <w:rFonts w:ascii="Times New Roman" w:hAnsi="Times New Roman" w:cs="Times New Roman"/>
          <w:sz w:val="22"/>
          <w:szCs w:val="22"/>
        </w:rPr>
      </w:pPr>
    </w:p>
    <w:p w14:paraId="6B848BD2" w14:textId="77777777" w:rsidR="00167664" w:rsidRDefault="00167664" w:rsidP="00167664">
      <w:pPr>
        <w:rPr>
          <w:rFonts w:ascii="Times New Roman" w:hAnsi="Times New Roman" w:cs="Times New Roman"/>
          <w:sz w:val="22"/>
          <w:szCs w:val="22"/>
        </w:rPr>
      </w:pPr>
      <w:r>
        <w:rPr>
          <w:rFonts w:ascii="Times New Roman" w:hAnsi="Times New Roman" w:cs="Times New Roman"/>
          <w:sz w:val="22"/>
          <w:szCs w:val="22"/>
        </w:rPr>
        <w:t>Divination</w:t>
      </w:r>
    </w:p>
    <w:p w14:paraId="0CA70A5B" w14:textId="77777777" w:rsidR="00CD3389" w:rsidRDefault="00CD3389" w:rsidP="00167664">
      <w:pPr>
        <w:rPr>
          <w:rFonts w:ascii="Times New Roman" w:hAnsi="Times New Roman" w:cs="Times New Roman"/>
          <w:sz w:val="22"/>
          <w:szCs w:val="22"/>
        </w:rPr>
      </w:pPr>
    </w:p>
    <w:p w14:paraId="56F4F013"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 xml:space="preserve">The writer, Roman statesman and philosopher Cicero (106-43 BCE) in his text </w:t>
      </w:r>
      <w:r w:rsidRPr="00A417D1">
        <w:rPr>
          <w:rFonts w:ascii="Times New Roman" w:hAnsi="Times New Roman" w:cs="Times New Roman"/>
          <w:i/>
          <w:iCs/>
          <w:sz w:val="22"/>
          <w:szCs w:val="22"/>
        </w:rPr>
        <w:t>De Divinatione</w:t>
      </w:r>
      <w:r>
        <w:rPr>
          <w:rFonts w:ascii="Times New Roman" w:hAnsi="Times New Roman" w:cs="Times New Roman"/>
          <w:sz w:val="22"/>
          <w:szCs w:val="22"/>
        </w:rPr>
        <w:t xml:space="preserve"> gave an overview of divination and its origins:</w:t>
      </w:r>
    </w:p>
    <w:p w14:paraId="0DAADB40" w14:textId="77777777" w:rsidR="00167664" w:rsidRDefault="00167664" w:rsidP="00167664">
      <w:pPr>
        <w:rPr>
          <w:rFonts w:ascii="Times New Roman" w:hAnsi="Times New Roman" w:cs="Times New Roman"/>
          <w:sz w:val="22"/>
          <w:szCs w:val="22"/>
        </w:rPr>
      </w:pPr>
    </w:p>
    <w:p w14:paraId="6EA9F1A0" w14:textId="77777777" w:rsidR="00167664" w:rsidRDefault="00167664" w:rsidP="00167664">
      <w:pPr>
        <w:ind w:left="576"/>
        <w:jc w:val="both"/>
        <w:rPr>
          <w:rFonts w:ascii="Times New Roman" w:hAnsi="Times New Roman" w:cs="Times New Roman"/>
          <w:sz w:val="22"/>
          <w:szCs w:val="22"/>
        </w:rPr>
      </w:pPr>
      <w:r w:rsidRPr="009669DE">
        <w:rPr>
          <w:rFonts w:ascii="Times New Roman" w:hAnsi="Times New Roman" w:cs="Times New Roman"/>
          <w:sz w:val="22"/>
          <w:szCs w:val="22"/>
        </w:rPr>
        <w:lastRenderedPageBreak/>
        <w:t>There is an ancient belief, handed down to us even from mythical times and firmly established by the general agreement of the Roman people and of all nations, that divination of some kind exists among men; this the Greeks call μα</w:t>
      </w:r>
      <w:proofErr w:type="spellStart"/>
      <w:r w:rsidRPr="009669DE">
        <w:rPr>
          <w:rFonts w:ascii="Times New Roman" w:hAnsi="Times New Roman" w:cs="Times New Roman"/>
          <w:sz w:val="22"/>
          <w:szCs w:val="22"/>
        </w:rPr>
        <w:t>ντική</w:t>
      </w:r>
      <w:proofErr w:type="spellEnd"/>
      <w:r w:rsidRPr="009669DE">
        <w:rPr>
          <w:rFonts w:ascii="Times New Roman" w:hAnsi="Times New Roman" w:cs="Times New Roman"/>
          <w:sz w:val="22"/>
          <w:szCs w:val="22"/>
        </w:rPr>
        <w:t xml:space="preserve"> —that is, the foresight and knowledge of future events.</w:t>
      </w:r>
      <w:r>
        <w:rPr>
          <w:rStyle w:val="FootnoteReference"/>
          <w:rFonts w:ascii="Times New Roman" w:hAnsi="Times New Roman" w:cs="Times New Roman"/>
          <w:sz w:val="22"/>
          <w:szCs w:val="22"/>
        </w:rPr>
        <w:footnoteReference w:id="62"/>
      </w:r>
    </w:p>
    <w:p w14:paraId="08A77CFE" w14:textId="77777777" w:rsidR="00167664" w:rsidRDefault="00167664" w:rsidP="00167664">
      <w:pPr>
        <w:rPr>
          <w:rFonts w:ascii="Times New Roman" w:hAnsi="Times New Roman" w:cs="Times New Roman"/>
          <w:sz w:val="22"/>
          <w:szCs w:val="22"/>
        </w:rPr>
      </w:pPr>
    </w:p>
    <w:p w14:paraId="1C72C51D" w14:textId="77777777" w:rsidR="00167664" w:rsidRPr="00A531B7"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Cicero used the conversation with his brother Marcus to expand on the various types of divination that they were about to discuss firstly Marcus said ‘t</w:t>
      </w:r>
      <w:r w:rsidRPr="009B10AE">
        <w:rPr>
          <w:rFonts w:ascii="Times New Roman" w:hAnsi="Times New Roman" w:cs="Times New Roman"/>
          <w:sz w:val="22"/>
          <w:szCs w:val="22"/>
        </w:rPr>
        <w:t>here are two kinds of divination: the first is dependent on art, the other on nature</w:t>
      </w:r>
      <w:r>
        <w:rPr>
          <w:rFonts w:ascii="Times New Roman" w:hAnsi="Times New Roman" w:cs="Times New Roman"/>
          <w:sz w:val="22"/>
          <w:szCs w:val="22"/>
        </w:rPr>
        <w:t>’</w:t>
      </w:r>
      <w:r w:rsidRPr="009B10AE">
        <w:rPr>
          <w:rFonts w:ascii="Times New Roman" w:hAnsi="Times New Roman" w:cs="Times New Roman"/>
          <w:sz w:val="22"/>
          <w:szCs w:val="22"/>
        </w:rPr>
        <w:t>.</w:t>
      </w:r>
      <w:r>
        <w:rPr>
          <w:rStyle w:val="FootnoteReference"/>
          <w:rFonts w:ascii="Times New Roman" w:hAnsi="Times New Roman" w:cs="Times New Roman"/>
          <w:sz w:val="22"/>
          <w:szCs w:val="22"/>
        </w:rPr>
        <w:footnoteReference w:id="63"/>
      </w:r>
      <w:r>
        <w:rPr>
          <w:rFonts w:ascii="Times New Roman" w:hAnsi="Times New Roman" w:cs="Times New Roman"/>
          <w:sz w:val="22"/>
          <w:szCs w:val="22"/>
        </w:rPr>
        <w:t xml:space="preserve">  Marcus then defined what was to be considered under each heading the types to be considered under art were as follows ‘</w:t>
      </w:r>
      <w:r w:rsidRPr="002B4D17">
        <w:rPr>
          <w:rFonts w:ascii="Times New Roman" w:hAnsi="Times New Roman" w:cs="Times New Roman"/>
          <w:sz w:val="22"/>
          <w:szCs w:val="22"/>
        </w:rPr>
        <w:t>the prophecies of soothsayers, or of interpreters of prodigies and lightnings, or of augurs, or of astrologers, or of oracles</w:t>
      </w:r>
      <w:r>
        <w:rPr>
          <w:rFonts w:ascii="Times New Roman" w:hAnsi="Times New Roman" w:cs="Times New Roman"/>
          <w:sz w:val="22"/>
          <w:szCs w:val="22"/>
        </w:rPr>
        <w:t>’.</w:t>
      </w:r>
      <w:r>
        <w:rPr>
          <w:rStyle w:val="FootnoteReference"/>
          <w:rFonts w:ascii="Times New Roman" w:hAnsi="Times New Roman" w:cs="Times New Roman"/>
          <w:sz w:val="22"/>
          <w:szCs w:val="22"/>
        </w:rPr>
        <w:footnoteReference w:id="64"/>
      </w:r>
      <w:r>
        <w:rPr>
          <w:rFonts w:ascii="Times New Roman" w:hAnsi="Times New Roman" w:cs="Times New Roman"/>
          <w:sz w:val="22"/>
          <w:szCs w:val="22"/>
        </w:rPr>
        <w:t xml:space="preserve">  While only two were classed under natural</w:t>
      </w:r>
      <w:r w:rsidRPr="002B4D17">
        <w:rPr>
          <w:rFonts w:ascii="Times New Roman" w:hAnsi="Times New Roman" w:cs="Times New Roman"/>
          <w:sz w:val="22"/>
          <w:szCs w:val="22"/>
        </w:rPr>
        <w:t xml:space="preserve"> means of divinatio</w:t>
      </w:r>
      <w:r>
        <w:rPr>
          <w:rFonts w:ascii="Times New Roman" w:hAnsi="Times New Roman" w:cs="Times New Roman"/>
          <w:sz w:val="22"/>
          <w:szCs w:val="22"/>
        </w:rPr>
        <w:t>n, these were ‘</w:t>
      </w:r>
      <w:r w:rsidRPr="002B4D17">
        <w:rPr>
          <w:rFonts w:ascii="Times New Roman" w:hAnsi="Times New Roman" w:cs="Times New Roman"/>
          <w:sz w:val="22"/>
          <w:szCs w:val="22"/>
        </w:rPr>
        <w:t>the forewarnings of dreams, or of frenzy</w:t>
      </w:r>
      <w:r>
        <w:rPr>
          <w:rFonts w:ascii="Times New Roman" w:hAnsi="Times New Roman" w:cs="Times New Roman"/>
          <w:sz w:val="22"/>
          <w:szCs w:val="22"/>
        </w:rPr>
        <w:t>’.</w:t>
      </w:r>
      <w:r>
        <w:rPr>
          <w:rStyle w:val="FootnoteReference"/>
          <w:rFonts w:ascii="Times New Roman" w:hAnsi="Times New Roman" w:cs="Times New Roman"/>
          <w:sz w:val="22"/>
          <w:szCs w:val="22"/>
        </w:rPr>
        <w:footnoteReference w:id="65"/>
      </w:r>
      <w:r>
        <w:rPr>
          <w:rFonts w:ascii="Times New Roman" w:hAnsi="Times New Roman" w:cs="Times New Roman"/>
          <w:sz w:val="22"/>
          <w:szCs w:val="22"/>
        </w:rPr>
        <w:t xml:space="preserve">  Although there are star calendars and the Egyptians watched the sky to time their religious festivals there is no proof that the constellations or any other cosmic occurrence provided a divinatory role. </w:t>
      </w:r>
      <w:r>
        <w:rPr>
          <w:rStyle w:val="FootnoteReference"/>
          <w:rFonts w:ascii="Times New Roman" w:hAnsi="Times New Roman" w:cs="Times New Roman"/>
          <w:sz w:val="22"/>
          <w:szCs w:val="22"/>
        </w:rPr>
        <w:footnoteReference w:id="66"/>
      </w:r>
      <w:r>
        <w:rPr>
          <w:rFonts w:ascii="Times New Roman" w:hAnsi="Times New Roman" w:cs="Times New Roman"/>
          <w:sz w:val="22"/>
          <w:szCs w:val="22"/>
        </w:rPr>
        <w:t xml:space="preserve">  The Egyptian religion was polytheistic, they worshipped 'a world of gods' but there was a structure to this apparent chaos.  Jan Assmann proposed a three-part model for this structure.</w:t>
      </w:r>
      <w:r>
        <w:rPr>
          <w:rStyle w:val="FootnoteReference"/>
          <w:rFonts w:ascii="Times New Roman" w:hAnsi="Times New Roman" w:cs="Times New Roman"/>
          <w:sz w:val="22"/>
          <w:szCs w:val="22"/>
        </w:rPr>
        <w:footnoteReference w:id="67"/>
      </w:r>
      <w:r>
        <w:rPr>
          <w:rFonts w:ascii="Times New Roman" w:hAnsi="Times New Roman" w:cs="Times New Roman"/>
          <w:sz w:val="22"/>
          <w:szCs w:val="22"/>
        </w:rPr>
        <w:t xml:space="preserve">  Firstly the language and structure of myths placed the gods in a family system and a dynamic relationship not only with each other but the world of Egypt as a whole.  The second part was the daily cosmic order that functioned through the combined action of the celestial bodies.  Lastly, the state organisation assigned the temples and cities to the gods as divine rulers, with the pharaoh as their power and human substitute in Egypt.</w:t>
      </w:r>
      <w:r>
        <w:rPr>
          <w:rStyle w:val="FootnoteReference"/>
          <w:rFonts w:ascii="Times New Roman" w:hAnsi="Times New Roman" w:cs="Times New Roman"/>
          <w:sz w:val="22"/>
          <w:szCs w:val="22"/>
        </w:rPr>
        <w:footnoteReference w:id="68"/>
      </w:r>
      <w:r>
        <w:rPr>
          <w:rFonts w:ascii="Times New Roman" w:hAnsi="Times New Roman" w:cs="Times New Roman"/>
          <w:sz w:val="22"/>
          <w:szCs w:val="22"/>
        </w:rPr>
        <w:t xml:space="preserve">  While Egypt was a cosmological society Assmann claimed it was not a divinatory one, unlike Mesopotamia, Rome and the ancient Chinese cultures.</w:t>
      </w:r>
      <w:r>
        <w:rPr>
          <w:rStyle w:val="FootnoteReference"/>
          <w:rFonts w:ascii="Times New Roman" w:hAnsi="Times New Roman" w:cs="Times New Roman"/>
          <w:sz w:val="22"/>
          <w:szCs w:val="22"/>
        </w:rPr>
        <w:footnoteReference w:id="69"/>
      </w:r>
      <w:r>
        <w:rPr>
          <w:rFonts w:ascii="Times New Roman" w:hAnsi="Times New Roman" w:cs="Times New Roman"/>
          <w:sz w:val="22"/>
          <w:szCs w:val="22"/>
        </w:rPr>
        <w:t xml:space="preserve">  So while carrying out observation and ritual performance the cosmos was not observed for the signs of the will of the gods, such as earthquakes, rainbows and eclipses.  The observation of recurring astrological events which were then used as a basis for divination was the exception to this as, unlike the Babylonians who used omens before any action the Egyptians used the observance of the stars to time their regular rituals.</w:t>
      </w:r>
      <w:r>
        <w:rPr>
          <w:rStyle w:val="FootnoteReference"/>
          <w:rFonts w:ascii="Times New Roman" w:hAnsi="Times New Roman" w:cs="Times New Roman"/>
          <w:sz w:val="22"/>
          <w:szCs w:val="22"/>
        </w:rPr>
        <w:footnoteReference w:id="70"/>
      </w:r>
      <w:r>
        <w:rPr>
          <w:rFonts w:ascii="Times New Roman" w:hAnsi="Times New Roman" w:cs="Times New Roman"/>
          <w:sz w:val="22"/>
          <w:szCs w:val="22"/>
        </w:rPr>
        <w:t xml:space="preserve">  The Egyptian world was full of consistency, repetition and predictability, such as the rising and setting of the sun, the imperishable stars, and the flooding of the Nile.  Against this backdrop the gods re-enacted the daily drama of the cosmic process, this was designed to keep the balance of the cosmos and the pharaoh also had his part to play in keeping ma’at in Egypt.</w:t>
      </w:r>
      <w:r>
        <w:rPr>
          <w:rStyle w:val="FootnoteReference"/>
          <w:rFonts w:ascii="Times New Roman" w:hAnsi="Times New Roman" w:cs="Times New Roman"/>
          <w:sz w:val="22"/>
          <w:szCs w:val="22"/>
        </w:rPr>
        <w:footnoteReference w:id="71"/>
      </w:r>
      <w:r>
        <w:rPr>
          <w:rFonts w:ascii="Times New Roman" w:hAnsi="Times New Roman" w:cs="Times New Roman"/>
          <w:sz w:val="22"/>
          <w:szCs w:val="22"/>
        </w:rPr>
        <w:t xml:space="preserve">  Divination began to appear during the 20</w:t>
      </w:r>
      <w:r w:rsidRPr="0022135E">
        <w:rPr>
          <w:rFonts w:ascii="Times New Roman" w:hAnsi="Times New Roman" w:cs="Times New Roman"/>
          <w:sz w:val="22"/>
          <w:szCs w:val="22"/>
          <w:vertAlign w:val="superscript"/>
        </w:rPr>
        <w:t>th</w:t>
      </w:r>
      <w:r>
        <w:rPr>
          <w:rFonts w:ascii="Times New Roman" w:hAnsi="Times New Roman" w:cs="Times New Roman"/>
          <w:sz w:val="22"/>
          <w:szCs w:val="22"/>
        </w:rPr>
        <w:t xml:space="preserve"> Dynasty and the rule of Ramesses III the priesthood of Amun-Ra appeared to exercise state control and oracular consultation began to appear with the use of dreams, the flight of birds, winds and stars.</w:t>
      </w:r>
      <w:r>
        <w:rPr>
          <w:rStyle w:val="FootnoteReference"/>
          <w:rFonts w:ascii="Times New Roman" w:hAnsi="Times New Roman" w:cs="Times New Roman"/>
          <w:sz w:val="22"/>
          <w:szCs w:val="22"/>
        </w:rPr>
        <w:footnoteReference w:id="72"/>
      </w:r>
      <w:r>
        <w:rPr>
          <w:rFonts w:ascii="Times New Roman" w:hAnsi="Times New Roman" w:cs="Times New Roman"/>
          <w:sz w:val="22"/>
          <w:szCs w:val="22"/>
        </w:rPr>
        <w:t xml:space="preserve">  Oracles were often given by the Egyptian gods at public festival processions as well as at temples, ostraca were used or papyrus strips that had both sides of a simple question.</w:t>
      </w:r>
      <w:r>
        <w:rPr>
          <w:rStyle w:val="FootnoteReference"/>
          <w:rFonts w:ascii="Times New Roman" w:hAnsi="Times New Roman" w:cs="Times New Roman"/>
          <w:sz w:val="22"/>
          <w:szCs w:val="22"/>
        </w:rPr>
        <w:footnoteReference w:id="73"/>
      </w:r>
      <w:r>
        <w:rPr>
          <w:rFonts w:ascii="Times New Roman" w:hAnsi="Times New Roman" w:cs="Times New Roman"/>
          <w:sz w:val="22"/>
          <w:szCs w:val="22"/>
        </w:rPr>
        <w:t xml:space="preserve">  A rare example of such a question that was written on papyrus and is now in the Boston Museum of Fine Arts follows, it was addressed to an obscure deity of </w:t>
      </w:r>
      <w:proofErr w:type="spellStart"/>
      <w:r>
        <w:rPr>
          <w:rFonts w:ascii="Times New Roman" w:hAnsi="Times New Roman" w:cs="Times New Roman"/>
          <w:sz w:val="22"/>
          <w:szCs w:val="22"/>
        </w:rPr>
        <w:t>el</w:t>
      </w:r>
      <w:proofErr w:type="spellEnd"/>
      <w:r>
        <w:rPr>
          <w:rFonts w:ascii="Times New Roman" w:hAnsi="Times New Roman" w:cs="Times New Roman"/>
          <w:sz w:val="22"/>
          <w:szCs w:val="22"/>
        </w:rPr>
        <w:t>-Hiba and has been dated to the 21</w:t>
      </w:r>
      <w:r w:rsidRPr="00F44475">
        <w:rPr>
          <w:rFonts w:ascii="Times New Roman" w:hAnsi="Times New Roman" w:cs="Times New Roman"/>
          <w:sz w:val="22"/>
          <w:szCs w:val="22"/>
          <w:vertAlign w:val="superscript"/>
        </w:rPr>
        <w:t>st</w:t>
      </w:r>
      <w:r>
        <w:rPr>
          <w:rFonts w:ascii="Times New Roman" w:hAnsi="Times New Roman" w:cs="Times New Roman"/>
          <w:sz w:val="22"/>
          <w:szCs w:val="22"/>
        </w:rPr>
        <w:t xml:space="preserve"> Dynasty</w:t>
      </w:r>
    </w:p>
    <w:p w14:paraId="7A009CC8" w14:textId="77777777" w:rsidR="00167664" w:rsidRDefault="00167664" w:rsidP="00167664">
      <w:pPr>
        <w:ind w:firstLine="720"/>
        <w:rPr>
          <w:rFonts w:ascii="Times New Roman" w:hAnsi="Times New Roman" w:cs="Times New Roman"/>
          <w:sz w:val="22"/>
          <w:szCs w:val="22"/>
        </w:rPr>
      </w:pPr>
    </w:p>
    <w:p w14:paraId="048BAE27" w14:textId="77777777" w:rsidR="00167664" w:rsidRPr="00F44475" w:rsidRDefault="00167664" w:rsidP="00167664">
      <w:pPr>
        <w:ind w:firstLine="576"/>
        <w:jc w:val="both"/>
        <w:rPr>
          <w:rFonts w:ascii="Times New Roman" w:hAnsi="Times New Roman" w:cs="Times New Roman"/>
          <w:sz w:val="22"/>
          <w:szCs w:val="22"/>
        </w:rPr>
      </w:pPr>
      <w:r w:rsidRPr="00F44475">
        <w:rPr>
          <w:rFonts w:ascii="Times New Roman" w:hAnsi="Times New Roman" w:cs="Times New Roman"/>
          <w:sz w:val="22"/>
          <w:szCs w:val="22"/>
        </w:rPr>
        <w:t>Petition A:</w:t>
      </w:r>
    </w:p>
    <w:p w14:paraId="7DA4CDA1" w14:textId="77777777" w:rsidR="00167664" w:rsidRDefault="00167664" w:rsidP="00167664">
      <w:pPr>
        <w:ind w:left="576"/>
        <w:jc w:val="both"/>
        <w:rPr>
          <w:rFonts w:ascii="Times New Roman" w:hAnsi="Times New Roman" w:cs="Times New Roman"/>
          <w:sz w:val="22"/>
          <w:szCs w:val="22"/>
        </w:rPr>
      </w:pPr>
      <w:r w:rsidRPr="00F44475">
        <w:rPr>
          <w:rFonts w:ascii="Times New Roman" w:hAnsi="Times New Roman" w:cs="Times New Roman"/>
          <w:sz w:val="22"/>
          <w:szCs w:val="22"/>
        </w:rPr>
        <w:t xml:space="preserve">Horus-of-the-Camp, my good lord! Concerning this cow of which </w:t>
      </w:r>
      <w:proofErr w:type="spellStart"/>
      <w:r w:rsidRPr="00F44475">
        <w:rPr>
          <w:rFonts w:ascii="Times New Roman" w:hAnsi="Times New Roman" w:cs="Times New Roman"/>
          <w:sz w:val="22"/>
          <w:szCs w:val="22"/>
        </w:rPr>
        <w:t>Teuhrai</w:t>
      </w:r>
      <w:proofErr w:type="spellEnd"/>
      <w:r w:rsidRPr="00F44475">
        <w:rPr>
          <w:rFonts w:ascii="Times New Roman" w:hAnsi="Times New Roman" w:cs="Times New Roman"/>
          <w:sz w:val="22"/>
          <w:szCs w:val="22"/>
        </w:rPr>
        <w:t xml:space="preserve"> said</w:t>
      </w:r>
      <w:r>
        <w:rPr>
          <w:rFonts w:ascii="Times New Roman" w:hAnsi="Times New Roman" w:cs="Times New Roman"/>
          <w:sz w:val="22"/>
          <w:szCs w:val="22"/>
        </w:rPr>
        <w:t>:</w:t>
      </w:r>
      <w:r w:rsidRPr="00F44475">
        <w:rPr>
          <w:rFonts w:ascii="Times New Roman" w:hAnsi="Times New Roman" w:cs="Times New Roman"/>
          <w:sz w:val="22"/>
          <w:szCs w:val="22"/>
        </w:rPr>
        <w:t xml:space="preserve"> '</w:t>
      </w:r>
      <w:proofErr w:type="spellStart"/>
      <w:r w:rsidRPr="00F44475">
        <w:rPr>
          <w:rFonts w:ascii="Times New Roman" w:hAnsi="Times New Roman" w:cs="Times New Roman"/>
          <w:sz w:val="22"/>
          <w:szCs w:val="22"/>
        </w:rPr>
        <w:t>Karsasi</w:t>
      </w:r>
      <w:proofErr w:type="spellEnd"/>
      <w:r w:rsidRPr="00F44475">
        <w:rPr>
          <w:rFonts w:ascii="Times New Roman" w:hAnsi="Times New Roman" w:cs="Times New Roman"/>
          <w:sz w:val="22"/>
          <w:szCs w:val="22"/>
        </w:rPr>
        <w:t xml:space="preserve"> son of </w:t>
      </w:r>
      <w:proofErr w:type="spellStart"/>
      <w:r w:rsidRPr="00F44475">
        <w:rPr>
          <w:rFonts w:ascii="Times New Roman" w:hAnsi="Times New Roman" w:cs="Times New Roman"/>
          <w:sz w:val="22"/>
          <w:szCs w:val="22"/>
        </w:rPr>
        <w:t>Hartenu</w:t>
      </w:r>
      <w:proofErr w:type="spellEnd"/>
      <w:r w:rsidRPr="00F44475">
        <w:rPr>
          <w:rFonts w:ascii="Times New Roman" w:hAnsi="Times New Roman" w:cs="Times New Roman"/>
          <w:sz w:val="22"/>
          <w:szCs w:val="22"/>
        </w:rPr>
        <w:t xml:space="preserve"> gave it to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in return for its price, and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paid him the first instalment</w:t>
      </w:r>
      <w:r>
        <w:rPr>
          <w:rFonts w:ascii="Times New Roman" w:hAnsi="Times New Roman" w:cs="Times New Roman"/>
          <w:sz w:val="22"/>
          <w:szCs w:val="22"/>
        </w:rPr>
        <w:t xml:space="preserve"> </w:t>
      </w:r>
      <w:r w:rsidRPr="00F44475">
        <w:rPr>
          <w:rFonts w:ascii="Times New Roman" w:hAnsi="Times New Roman" w:cs="Times New Roman"/>
          <w:sz w:val="22"/>
          <w:szCs w:val="22"/>
        </w:rPr>
        <w:lastRenderedPageBreak/>
        <w:t>of its price, and (he) withheld the remainder'. You say: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is right! He completed the payment of the price for this cow of </w:t>
      </w:r>
      <w:proofErr w:type="spellStart"/>
      <w:r w:rsidRPr="00F44475">
        <w:rPr>
          <w:rFonts w:ascii="Times New Roman" w:hAnsi="Times New Roman" w:cs="Times New Roman"/>
          <w:sz w:val="22"/>
          <w:szCs w:val="22"/>
        </w:rPr>
        <w:t>Karsasi</w:t>
      </w:r>
      <w:proofErr w:type="spellEnd"/>
      <w:r w:rsidRPr="00F44475">
        <w:rPr>
          <w:rFonts w:ascii="Times New Roman" w:hAnsi="Times New Roman" w:cs="Times New Roman"/>
          <w:sz w:val="22"/>
          <w:szCs w:val="22"/>
        </w:rPr>
        <w:t xml:space="preserve"> to him'.</w:t>
      </w:r>
    </w:p>
    <w:p w14:paraId="367193EC" w14:textId="77777777" w:rsidR="00167664" w:rsidRPr="00F44475" w:rsidRDefault="00167664" w:rsidP="00167664">
      <w:pPr>
        <w:ind w:firstLine="720"/>
        <w:rPr>
          <w:rFonts w:ascii="Times New Roman" w:hAnsi="Times New Roman" w:cs="Times New Roman"/>
          <w:sz w:val="22"/>
          <w:szCs w:val="22"/>
        </w:rPr>
      </w:pPr>
    </w:p>
    <w:p w14:paraId="3E449715" w14:textId="77777777" w:rsidR="00167664" w:rsidRPr="00F44475" w:rsidRDefault="00167664" w:rsidP="00167664">
      <w:pPr>
        <w:ind w:firstLine="576"/>
        <w:jc w:val="both"/>
        <w:rPr>
          <w:rFonts w:ascii="Times New Roman" w:hAnsi="Times New Roman" w:cs="Times New Roman"/>
          <w:sz w:val="22"/>
          <w:szCs w:val="22"/>
        </w:rPr>
      </w:pPr>
      <w:r w:rsidRPr="00F44475">
        <w:rPr>
          <w:rFonts w:ascii="Times New Roman" w:hAnsi="Times New Roman" w:cs="Times New Roman"/>
          <w:sz w:val="22"/>
          <w:szCs w:val="22"/>
        </w:rPr>
        <w:t>Petition B</w:t>
      </w:r>
    </w:p>
    <w:p w14:paraId="6864CC01" w14:textId="77777777" w:rsidR="00167664" w:rsidRDefault="00167664" w:rsidP="00167664">
      <w:pPr>
        <w:ind w:left="576"/>
        <w:jc w:val="both"/>
        <w:rPr>
          <w:rFonts w:ascii="Times New Roman" w:hAnsi="Times New Roman" w:cs="Times New Roman"/>
          <w:sz w:val="22"/>
          <w:szCs w:val="22"/>
        </w:rPr>
      </w:pPr>
      <w:r w:rsidRPr="00F44475">
        <w:rPr>
          <w:rFonts w:ascii="Times New Roman" w:hAnsi="Times New Roman" w:cs="Times New Roman"/>
          <w:sz w:val="22"/>
          <w:szCs w:val="22"/>
        </w:rPr>
        <w:t xml:space="preserve">Horus-of-the-Camp, my good lord! Concerning this cow of which </w:t>
      </w:r>
      <w:proofErr w:type="spellStart"/>
      <w:r w:rsidRPr="00F44475">
        <w:rPr>
          <w:rFonts w:ascii="Times New Roman" w:hAnsi="Times New Roman" w:cs="Times New Roman"/>
          <w:sz w:val="22"/>
          <w:szCs w:val="22"/>
        </w:rPr>
        <w:t>Teuhrai</w:t>
      </w:r>
      <w:proofErr w:type="spellEnd"/>
      <w:r w:rsidRPr="00F44475">
        <w:rPr>
          <w:rFonts w:ascii="Times New Roman" w:hAnsi="Times New Roman" w:cs="Times New Roman"/>
          <w:sz w:val="22"/>
          <w:szCs w:val="22"/>
        </w:rPr>
        <w:t xml:space="preserve"> said: '</w:t>
      </w:r>
      <w:proofErr w:type="spellStart"/>
      <w:r w:rsidRPr="00F44475">
        <w:rPr>
          <w:rFonts w:ascii="Times New Roman" w:hAnsi="Times New Roman" w:cs="Times New Roman"/>
          <w:sz w:val="22"/>
          <w:szCs w:val="22"/>
        </w:rPr>
        <w:t>Karsasi</w:t>
      </w:r>
      <w:proofErr w:type="spellEnd"/>
      <w:r w:rsidRPr="00F44475">
        <w:rPr>
          <w:rFonts w:ascii="Times New Roman" w:hAnsi="Times New Roman" w:cs="Times New Roman"/>
          <w:sz w:val="22"/>
          <w:szCs w:val="22"/>
        </w:rPr>
        <w:t xml:space="preserve"> son of </w:t>
      </w:r>
      <w:proofErr w:type="spellStart"/>
      <w:r w:rsidRPr="00F44475">
        <w:rPr>
          <w:rFonts w:ascii="Times New Roman" w:hAnsi="Times New Roman" w:cs="Times New Roman"/>
          <w:sz w:val="22"/>
          <w:szCs w:val="22"/>
        </w:rPr>
        <w:t>Hartenu</w:t>
      </w:r>
      <w:proofErr w:type="spellEnd"/>
      <w:r w:rsidRPr="00F44475">
        <w:rPr>
          <w:rFonts w:ascii="Times New Roman" w:hAnsi="Times New Roman" w:cs="Times New Roman"/>
          <w:sz w:val="22"/>
          <w:szCs w:val="22"/>
        </w:rPr>
        <w:t xml:space="preserve"> gave it to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in return for its price, and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paid its price likewise (sc. in part)'. You say: '</w:t>
      </w:r>
      <w:proofErr w:type="spellStart"/>
      <w:r w:rsidRPr="00F44475">
        <w:rPr>
          <w:rFonts w:ascii="Times New Roman" w:hAnsi="Times New Roman" w:cs="Times New Roman"/>
          <w:sz w:val="22"/>
          <w:szCs w:val="22"/>
        </w:rPr>
        <w:t>Karsasi</w:t>
      </w:r>
      <w:proofErr w:type="spellEnd"/>
      <w:r w:rsidRPr="00F44475">
        <w:rPr>
          <w:rFonts w:ascii="Times New Roman" w:hAnsi="Times New Roman" w:cs="Times New Roman"/>
          <w:sz w:val="22"/>
          <w:szCs w:val="22"/>
        </w:rPr>
        <w:t xml:space="preserve"> is right! </w:t>
      </w:r>
      <w:proofErr w:type="spellStart"/>
      <w:r w:rsidRPr="00F44475">
        <w:rPr>
          <w:rFonts w:ascii="Times New Roman" w:hAnsi="Times New Roman" w:cs="Times New Roman"/>
          <w:sz w:val="22"/>
          <w:szCs w:val="22"/>
        </w:rPr>
        <w:t>Pameshem</w:t>
      </w:r>
      <w:proofErr w:type="spellEnd"/>
      <w:r w:rsidRPr="00F44475">
        <w:rPr>
          <w:rFonts w:ascii="Times New Roman" w:hAnsi="Times New Roman" w:cs="Times New Roman"/>
          <w:sz w:val="22"/>
          <w:szCs w:val="22"/>
        </w:rPr>
        <w:t xml:space="preserve"> did not pay him the (full) price in return for his cow'.</w:t>
      </w:r>
      <w:r>
        <w:rPr>
          <w:rStyle w:val="FootnoteReference"/>
          <w:rFonts w:ascii="Times New Roman" w:hAnsi="Times New Roman" w:cs="Times New Roman"/>
          <w:sz w:val="22"/>
          <w:szCs w:val="22"/>
        </w:rPr>
        <w:footnoteReference w:id="74"/>
      </w:r>
    </w:p>
    <w:p w14:paraId="7DF33839" w14:textId="77777777" w:rsidR="00167664" w:rsidRDefault="00167664" w:rsidP="00167664">
      <w:pPr>
        <w:ind w:left="576"/>
        <w:jc w:val="both"/>
        <w:rPr>
          <w:rFonts w:ascii="Times New Roman" w:hAnsi="Times New Roman" w:cs="Times New Roman"/>
          <w:sz w:val="22"/>
          <w:szCs w:val="22"/>
        </w:rPr>
      </w:pPr>
    </w:p>
    <w:p w14:paraId="76C0D831" w14:textId="77777777" w:rsidR="00167664"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The god would then return the answer through the intermediary of the priest, usually, it would seem by choosing one question and discarding the other.</w:t>
      </w:r>
      <w:r>
        <w:rPr>
          <w:rStyle w:val="FootnoteReference"/>
          <w:rFonts w:ascii="Times New Roman" w:hAnsi="Times New Roman" w:cs="Times New Roman"/>
          <w:sz w:val="22"/>
          <w:szCs w:val="22"/>
        </w:rPr>
        <w:footnoteReference w:id="75"/>
      </w:r>
      <w:r>
        <w:rPr>
          <w:rFonts w:ascii="Times New Roman" w:hAnsi="Times New Roman" w:cs="Times New Roman"/>
          <w:sz w:val="22"/>
          <w:szCs w:val="22"/>
        </w:rPr>
        <w:t xml:space="preserve">  The Egyptians did not appear to have developed a complex astrological system for divination but there were Egyptian priests described as ‘hour watchers’ and the heavens were watched for the timing of religious ritual, but there is no proof that these priests tried to interpret the heavens.</w:t>
      </w:r>
      <w:r>
        <w:rPr>
          <w:rStyle w:val="FootnoteReference"/>
          <w:rFonts w:ascii="Times New Roman" w:hAnsi="Times New Roman" w:cs="Times New Roman"/>
          <w:sz w:val="22"/>
          <w:szCs w:val="22"/>
        </w:rPr>
        <w:footnoteReference w:id="76"/>
      </w:r>
      <w:r>
        <w:rPr>
          <w:rFonts w:ascii="Times New Roman" w:hAnsi="Times New Roman" w:cs="Times New Roman"/>
          <w:sz w:val="22"/>
          <w:szCs w:val="22"/>
        </w:rPr>
        <w:t xml:space="preserve">  The earliest possible account of an astronomer is from the statue of </w:t>
      </w:r>
      <w:proofErr w:type="spellStart"/>
      <w:r>
        <w:rPr>
          <w:rFonts w:ascii="Times New Roman" w:hAnsi="Times New Roman" w:cs="Times New Roman"/>
          <w:sz w:val="22"/>
          <w:szCs w:val="22"/>
        </w:rPr>
        <w:t>Harkhebi</w:t>
      </w:r>
      <w:proofErr w:type="spellEnd"/>
      <w:r>
        <w:rPr>
          <w:rFonts w:ascii="Times New Roman" w:hAnsi="Times New Roman" w:cs="Times New Roman"/>
          <w:sz w:val="22"/>
          <w:szCs w:val="22"/>
        </w:rPr>
        <w:t xml:space="preserve"> who is a priest of Selket (the scorpion goddess), he appears to have lived during the second or third century BCE and lists his duties:</w:t>
      </w:r>
    </w:p>
    <w:p w14:paraId="5F32C8CF" w14:textId="77777777" w:rsidR="00167664" w:rsidRDefault="00167664" w:rsidP="00167664">
      <w:pPr>
        <w:rPr>
          <w:rFonts w:ascii="Times New Roman" w:hAnsi="Times New Roman" w:cs="Times New Roman"/>
          <w:sz w:val="22"/>
          <w:szCs w:val="22"/>
        </w:rPr>
      </w:pPr>
    </w:p>
    <w:p w14:paraId="3A4E9487" w14:textId="77777777" w:rsidR="00167664" w:rsidRPr="006A3920" w:rsidRDefault="00167664" w:rsidP="00167664">
      <w:pPr>
        <w:ind w:left="576"/>
        <w:jc w:val="both"/>
        <w:rPr>
          <w:rFonts w:ascii="Times New Roman" w:hAnsi="Times New Roman" w:cs="Times New Roman"/>
          <w:sz w:val="22"/>
          <w:szCs w:val="22"/>
        </w:rPr>
      </w:pPr>
      <w:r w:rsidRPr="006A3920">
        <w:rPr>
          <w:rFonts w:ascii="Times New Roman" w:hAnsi="Times New Roman" w:cs="Times New Roman"/>
          <w:sz w:val="22"/>
          <w:szCs w:val="22"/>
        </w:rPr>
        <w:t>Hereditary prince and count, sole companion, wise in the sacred w</w:t>
      </w:r>
      <w:r>
        <w:rPr>
          <w:rFonts w:ascii="Times New Roman" w:hAnsi="Times New Roman" w:cs="Times New Roman"/>
          <w:sz w:val="22"/>
          <w:szCs w:val="22"/>
        </w:rPr>
        <w:t>ritings, who observes</w:t>
      </w:r>
      <w:r w:rsidRPr="006A3920">
        <w:rPr>
          <w:rFonts w:ascii="Times New Roman" w:hAnsi="Times New Roman" w:cs="Times New Roman"/>
          <w:sz w:val="22"/>
          <w:szCs w:val="22"/>
        </w:rPr>
        <w:t xml:space="preserve"> everything observable in heaven and earth, clear-eyed in observing t</w:t>
      </w:r>
      <w:r>
        <w:rPr>
          <w:rFonts w:ascii="Times New Roman" w:hAnsi="Times New Roman" w:cs="Times New Roman"/>
          <w:sz w:val="22"/>
          <w:szCs w:val="22"/>
        </w:rPr>
        <w:t>he stars, among which</w:t>
      </w:r>
      <w:r w:rsidRPr="006A3920">
        <w:rPr>
          <w:rFonts w:ascii="Times New Roman" w:hAnsi="Times New Roman" w:cs="Times New Roman"/>
          <w:sz w:val="22"/>
          <w:szCs w:val="22"/>
        </w:rPr>
        <w:t xml:space="preserve"> there is no erring; who announces rising and setting at their times, </w:t>
      </w:r>
      <w:r>
        <w:rPr>
          <w:rFonts w:ascii="Times New Roman" w:hAnsi="Times New Roman" w:cs="Times New Roman"/>
          <w:sz w:val="22"/>
          <w:szCs w:val="22"/>
        </w:rPr>
        <w:t>with the gods who foretell</w:t>
      </w:r>
      <w:r w:rsidRPr="006A3920">
        <w:rPr>
          <w:rFonts w:ascii="Times New Roman" w:hAnsi="Times New Roman" w:cs="Times New Roman"/>
          <w:sz w:val="22"/>
          <w:szCs w:val="22"/>
        </w:rPr>
        <w:t xml:space="preserve"> the future, for which he purified himself in their days when Akh (deca</w:t>
      </w:r>
      <w:r>
        <w:rPr>
          <w:rFonts w:ascii="Times New Roman" w:hAnsi="Times New Roman" w:cs="Times New Roman"/>
          <w:sz w:val="22"/>
          <w:szCs w:val="22"/>
        </w:rPr>
        <w:t>n) rose helically beside</w:t>
      </w:r>
      <w:r w:rsidRPr="006A3920">
        <w:rPr>
          <w:rFonts w:ascii="Times New Roman" w:hAnsi="Times New Roman" w:cs="Times New Roman"/>
          <w:sz w:val="22"/>
          <w:szCs w:val="22"/>
        </w:rPr>
        <w:t xml:space="preserve"> </w:t>
      </w:r>
      <w:proofErr w:type="spellStart"/>
      <w:r w:rsidRPr="006A3920">
        <w:rPr>
          <w:rFonts w:ascii="Times New Roman" w:hAnsi="Times New Roman" w:cs="Times New Roman"/>
          <w:sz w:val="22"/>
          <w:szCs w:val="22"/>
        </w:rPr>
        <w:t>Benu</w:t>
      </w:r>
      <w:proofErr w:type="spellEnd"/>
      <w:r w:rsidRPr="006A3920">
        <w:rPr>
          <w:rFonts w:ascii="Times New Roman" w:hAnsi="Times New Roman" w:cs="Times New Roman"/>
          <w:sz w:val="22"/>
          <w:szCs w:val="22"/>
        </w:rPr>
        <w:t xml:space="preserve"> (Venus) from earth and he contented the lands with his utteran</w:t>
      </w:r>
      <w:r>
        <w:rPr>
          <w:rFonts w:ascii="Times New Roman" w:hAnsi="Times New Roman" w:cs="Times New Roman"/>
          <w:sz w:val="22"/>
          <w:szCs w:val="22"/>
        </w:rPr>
        <w:t>ces; who observes the</w:t>
      </w:r>
      <w:r w:rsidRPr="006A3920">
        <w:rPr>
          <w:rFonts w:ascii="Times New Roman" w:hAnsi="Times New Roman" w:cs="Times New Roman"/>
          <w:sz w:val="22"/>
          <w:szCs w:val="22"/>
        </w:rPr>
        <w:t xml:space="preserve"> culmination of every star in the sky, who knows the heliacal risings of </w:t>
      </w:r>
      <w:r>
        <w:rPr>
          <w:rFonts w:ascii="Times New Roman" w:hAnsi="Times New Roman" w:cs="Times New Roman"/>
          <w:sz w:val="22"/>
          <w:szCs w:val="22"/>
        </w:rPr>
        <w:t xml:space="preserve">every … in a good year, </w:t>
      </w:r>
      <w:r w:rsidRPr="006A3920">
        <w:rPr>
          <w:rFonts w:ascii="Times New Roman" w:hAnsi="Times New Roman" w:cs="Times New Roman"/>
          <w:sz w:val="22"/>
          <w:szCs w:val="22"/>
        </w:rPr>
        <w:t>and who foretells the heliacal rising of</w:t>
      </w:r>
      <w:r>
        <w:rPr>
          <w:rFonts w:ascii="Times New Roman" w:hAnsi="Times New Roman" w:cs="Times New Roman"/>
          <w:sz w:val="22"/>
          <w:szCs w:val="22"/>
        </w:rPr>
        <w:t xml:space="preserve"> </w:t>
      </w:r>
      <w:r w:rsidRPr="006A3920">
        <w:rPr>
          <w:rFonts w:ascii="Times New Roman" w:hAnsi="Times New Roman" w:cs="Times New Roman"/>
          <w:sz w:val="22"/>
          <w:szCs w:val="22"/>
        </w:rPr>
        <w:t>Sothis at the beginning of the year.</w:t>
      </w:r>
      <w:r>
        <w:rPr>
          <w:rFonts w:ascii="Times New Roman" w:hAnsi="Times New Roman" w:cs="Times New Roman"/>
          <w:sz w:val="22"/>
          <w:szCs w:val="22"/>
        </w:rPr>
        <w:t xml:space="preserve">  He observes her (Sothis)</w:t>
      </w:r>
    </w:p>
    <w:p w14:paraId="73A4C506" w14:textId="77777777" w:rsidR="00167664" w:rsidRDefault="00167664" w:rsidP="00167664">
      <w:pPr>
        <w:ind w:left="576"/>
        <w:jc w:val="both"/>
        <w:rPr>
          <w:rFonts w:ascii="Times New Roman" w:hAnsi="Times New Roman" w:cs="Times New Roman"/>
          <w:sz w:val="22"/>
          <w:szCs w:val="22"/>
        </w:rPr>
      </w:pPr>
      <w:r w:rsidRPr="006A3920">
        <w:rPr>
          <w:rFonts w:ascii="Times New Roman" w:hAnsi="Times New Roman" w:cs="Times New Roman"/>
          <w:sz w:val="22"/>
          <w:szCs w:val="22"/>
        </w:rPr>
        <w:t xml:space="preserve">on the day of her first festival, knowledgeable in her course at the times </w:t>
      </w:r>
      <w:r>
        <w:rPr>
          <w:rFonts w:ascii="Times New Roman" w:hAnsi="Times New Roman" w:cs="Times New Roman"/>
          <w:sz w:val="22"/>
          <w:szCs w:val="22"/>
        </w:rPr>
        <w:t xml:space="preserve">of designating therein, </w:t>
      </w:r>
      <w:r w:rsidRPr="006A3920">
        <w:rPr>
          <w:rFonts w:ascii="Times New Roman" w:hAnsi="Times New Roman" w:cs="Times New Roman"/>
          <w:sz w:val="22"/>
          <w:szCs w:val="22"/>
        </w:rPr>
        <w:t xml:space="preserve">observing what she does daily, all she has foretold is in his charge; </w:t>
      </w:r>
      <w:r>
        <w:rPr>
          <w:rFonts w:ascii="Times New Roman" w:hAnsi="Times New Roman" w:cs="Times New Roman"/>
          <w:sz w:val="22"/>
          <w:szCs w:val="22"/>
        </w:rPr>
        <w:t>knowing the northing and</w:t>
      </w:r>
      <w:r w:rsidRPr="006A3920">
        <w:rPr>
          <w:rFonts w:ascii="Times New Roman" w:hAnsi="Times New Roman" w:cs="Times New Roman"/>
          <w:sz w:val="22"/>
          <w:szCs w:val="22"/>
        </w:rPr>
        <w:t xml:space="preserve"> southing of the sun, announcing all its wonders (</w:t>
      </w:r>
      <w:proofErr w:type="spellStart"/>
      <w:r w:rsidRPr="006A3920">
        <w:rPr>
          <w:rFonts w:ascii="Times New Roman" w:hAnsi="Times New Roman" w:cs="Times New Roman"/>
          <w:sz w:val="22"/>
          <w:szCs w:val="22"/>
        </w:rPr>
        <w:t>omina</w:t>
      </w:r>
      <w:proofErr w:type="spellEnd"/>
      <w:r w:rsidRPr="006A3920">
        <w:rPr>
          <w:rFonts w:ascii="Times New Roman" w:hAnsi="Times New Roman" w:cs="Times New Roman"/>
          <w:sz w:val="22"/>
          <w:szCs w:val="22"/>
        </w:rPr>
        <w:t xml:space="preserve">?) and appointing </w:t>
      </w:r>
      <w:r>
        <w:rPr>
          <w:rFonts w:ascii="Times New Roman" w:hAnsi="Times New Roman" w:cs="Times New Roman"/>
          <w:sz w:val="22"/>
          <w:szCs w:val="22"/>
        </w:rPr>
        <w:t xml:space="preserve">for them a time (?), </w:t>
      </w:r>
      <w:r w:rsidRPr="006A3920">
        <w:rPr>
          <w:rFonts w:ascii="Times New Roman" w:hAnsi="Times New Roman" w:cs="Times New Roman"/>
          <w:sz w:val="22"/>
          <w:szCs w:val="22"/>
        </w:rPr>
        <w:t xml:space="preserve">he declares when they have occurred, coming at their times; who divides </w:t>
      </w:r>
      <w:r>
        <w:rPr>
          <w:rFonts w:ascii="Times New Roman" w:hAnsi="Times New Roman" w:cs="Times New Roman"/>
          <w:sz w:val="22"/>
          <w:szCs w:val="22"/>
        </w:rPr>
        <w:t xml:space="preserve">the hours for the two </w:t>
      </w:r>
      <w:r w:rsidRPr="006A3920">
        <w:rPr>
          <w:rFonts w:ascii="Times New Roman" w:hAnsi="Times New Roman" w:cs="Times New Roman"/>
          <w:sz w:val="22"/>
          <w:szCs w:val="22"/>
        </w:rPr>
        <w:t>times (day and night) without going into error at night</w:t>
      </w:r>
      <w:r>
        <w:rPr>
          <w:rFonts w:ascii="Times New Roman" w:hAnsi="Times New Roman" w:cs="Times New Roman"/>
          <w:sz w:val="22"/>
          <w:szCs w:val="22"/>
        </w:rPr>
        <w:t>…</w:t>
      </w:r>
      <w:r w:rsidRPr="006A3920">
        <w:rPr>
          <w:rFonts w:ascii="Times New Roman" w:hAnsi="Times New Roman" w:cs="Times New Roman"/>
          <w:sz w:val="22"/>
          <w:szCs w:val="22"/>
        </w:rPr>
        <w:t xml:space="preserve">; knowledgeable </w:t>
      </w:r>
      <w:r>
        <w:rPr>
          <w:rFonts w:ascii="Times New Roman" w:hAnsi="Times New Roman" w:cs="Times New Roman"/>
          <w:sz w:val="22"/>
          <w:szCs w:val="22"/>
        </w:rPr>
        <w:t xml:space="preserve">in everything which </w:t>
      </w:r>
      <w:r w:rsidRPr="006A3920">
        <w:rPr>
          <w:rFonts w:ascii="Times New Roman" w:hAnsi="Times New Roman" w:cs="Times New Roman"/>
          <w:sz w:val="22"/>
          <w:szCs w:val="22"/>
        </w:rPr>
        <w:t>is seen in the sky, for which he has waited, skilled with respect to their c</w:t>
      </w:r>
      <w:r>
        <w:rPr>
          <w:rFonts w:ascii="Times New Roman" w:hAnsi="Times New Roman" w:cs="Times New Roman"/>
          <w:sz w:val="22"/>
          <w:szCs w:val="22"/>
        </w:rPr>
        <w:t>onjunction(s) and their</w:t>
      </w:r>
      <w:r w:rsidRPr="006A3920">
        <w:rPr>
          <w:rFonts w:ascii="Times New Roman" w:hAnsi="Times New Roman" w:cs="Times New Roman"/>
          <w:sz w:val="22"/>
          <w:szCs w:val="22"/>
        </w:rPr>
        <w:t xml:space="preserve"> regular movement(s); wh</w:t>
      </w:r>
      <w:r>
        <w:rPr>
          <w:rFonts w:ascii="Times New Roman" w:hAnsi="Times New Roman" w:cs="Times New Roman"/>
          <w:sz w:val="22"/>
          <w:szCs w:val="22"/>
        </w:rPr>
        <w:t>o does not disclose (anything) at all concerning his report after judgement, discreet with all has seen.</w:t>
      </w:r>
      <w:r>
        <w:rPr>
          <w:rStyle w:val="FootnoteReference"/>
          <w:rFonts w:ascii="Times New Roman" w:hAnsi="Times New Roman" w:cs="Times New Roman"/>
          <w:sz w:val="22"/>
          <w:szCs w:val="22"/>
        </w:rPr>
        <w:footnoteReference w:id="77"/>
      </w:r>
    </w:p>
    <w:p w14:paraId="13276A0C" w14:textId="77777777" w:rsidR="00167664" w:rsidRDefault="00167664" w:rsidP="00167664">
      <w:pPr>
        <w:ind w:left="576"/>
        <w:jc w:val="both"/>
        <w:rPr>
          <w:rFonts w:ascii="Times New Roman" w:hAnsi="Times New Roman" w:cs="Times New Roman"/>
          <w:sz w:val="22"/>
          <w:szCs w:val="22"/>
        </w:rPr>
      </w:pPr>
    </w:p>
    <w:p w14:paraId="6A1C135E" w14:textId="77777777" w:rsidR="00167664" w:rsidRDefault="00167664" w:rsidP="00CD3389">
      <w:pPr>
        <w:ind w:firstLine="720"/>
        <w:jc w:val="both"/>
        <w:rPr>
          <w:rFonts w:ascii="Times New Roman" w:hAnsi="Times New Roman" w:cs="Times New Roman"/>
          <w:sz w:val="22"/>
          <w:szCs w:val="22"/>
        </w:rPr>
      </w:pPr>
      <w:proofErr w:type="spellStart"/>
      <w:r>
        <w:rPr>
          <w:rFonts w:ascii="Times New Roman" w:hAnsi="Times New Roman" w:cs="Times New Roman"/>
          <w:sz w:val="22"/>
          <w:szCs w:val="22"/>
        </w:rPr>
        <w:t>Harkhebi</w:t>
      </w:r>
      <w:proofErr w:type="spellEnd"/>
      <w:r>
        <w:rPr>
          <w:rFonts w:ascii="Times New Roman" w:hAnsi="Times New Roman" w:cs="Times New Roman"/>
          <w:sz w:val="22"/>
          <w:szCs w:val="22"/>
        </w:rPr>
        <w:t xml:space="preserve"> was a close advisor of the king and would appear to have both religious and political functions, he needed to purify himself at the correct time, as a priest would need to do.  He had to observe the rising of Sothis at the beginning of both the New Year and the start of the inundation, but his job does not include predicting random omens.</w:t>
      </w:r>
    </w:p>
    <w:p w14:paraId="521FE227" w14:textId="77777777" w:rsidR="00167664" w:rsidRDefault="00167664" w:rsidP="00167664">
      <w:pPr>
        <w:jc w:val="both"/>
        <w:rPr>
          <w:rFonts w:ascii="Times New Roman" w:hAnsi="Times New Roman" w:cs="Times New Roman"/>
          <w:sz w:val="22"/>
          <w:szCs w:val="22"/>
        </w:rPr>
      </w:pPr>
    </w:p>
    <w:p w14:paraId="2C33C650" w14:textId="77777777" w:rsidR="00167664" w:rsidRDefault="00167664" w:rsidP="00167664">
      <w:pPr>
        <w:jc w:val="both"/>
        <w:rPr>
          <w:rFonts w:ascii="Times New Roman" w:hAnsi="Times New Roman" w:cs="Times New Roman"/>
          <w:sz w:val="22"/>
          <w:szCs w:val="22"/>
        </w:rPr>
      </w:pPr>
      <w:r>
        <w:rPr>
          <w:rFonts w:ascii="Times New Roman" w:hAnsi="Times New Roman" w:cs="Times New Roman"/>
          <w:sz w:val="22"/>
          <w:szCs w:val="22"/>
        </w:rPr>
        <w:t>Conclusion</w:t>
      </w:r>
    </w:p>
    <w:p w14:paraId="790E5BE5" w14:textId="77777777" w:rsidR="00CD3389" w:rsidRDefault="00CD3389" w:rsidP="00167664">
      <w:pPr>
        <w:jc w:val="both"/>
        <w:rPr>
          <w:rFonts w:ascii="Times New Roman" w:hAnsi="Times New Roman" w:cs="Times New Roman"/>
          <w:sz w:val="22"/>
          <w:szCs w:val="22"/>
        </w:rPr>
      </w:pPr>
    </w:p>
    <w:p w14:paraId="1A99483B" w14:textId="594BC43A" w:rsidR="00CE7CC7" w:rsidRDefault="00167664" w:rsidP="00CD3389">
      <w:pPr>
        <w:ind w:firstLine="720"/>
        <w:rPr>
          <w:rFonts w:ascii="Times New Roman" w:hAnsi="Times New Roman" w:cs="Times New Roman"/>
          <w:sz w:val="22"/>
          <w:szCs w:val="22"/>
        </w:rPr>
      </w:pPr>
      <w:r>
        <w:rPr>
          <w:rFonts w:ascii="Times New Roman" w:hAnsi="Times New Roman" w:cs="Times New Roman"/>
          <w:sz w:val="22"/>
          <w:szCs w:val="22"/>
        </w:rPr>
        <w:t xml:space="preserve">There appears to be no single reliable source for cosmology or cosmogony in Egypt, it might be thought that each area developed its own local cosmology from a broader countrywide base.  Most of the primary sources for cosmological beliefs and practices are funerary in nature, localised and limited, such as the coffins from Asyut.  One of the other sources for information is authors or historians but the disadvantage of this information is that is not of the time period, the author is usually of a much later period.  Certain types of divination would have appeared to be popular but the available texts are scarce and again quite localised.  The earliest information is from the Middle Kingdom and much of the later papyri are still awaiting translation and publication.  Dream divination </w:t>
      </w:r>
      <w:r>
        <w:rPr>
          <w:rFonts w:ascii="Times New Roman" w:hAnsi="Times New Roman" w:cs="Times New Roman"/>
          <w:sz w:val="22"/>
          <w:szCs w:val="22"/>
        </w:rPr>
        <w:lastRenderedPageBreak/>
        <w:t>would have seemed to be popular and astrology was a later addition after prolonged contact with Mesopotamia.  The cosmology of Egypt that started with the Pyramid Texts was carried through in different forms to the end of the Pharaonic period.  The sun and stars were very important to the running of life on earth and the pharaoh and later the elite put tremendous effort into becoming part of the cosmos and the running of daily life after death.  The sun and the stars are a constant theme running through the decoration of tombs, temples and coffins, as are balance and time.  Until the New Kingdom there seems little evidence for divination and in particular astrology, most divination seems to be oracular in nature and localised, but that could be just the nature of the evidence that has be</w:t>
      </w:r>
    </w:p>
    <w:p w14:paraId="30A831A7" w14:textId="3F859C93" w:rsidR="00CD3389" w:rsidRDefault="00CD3389">
      <w:pPr>
        <w:rPr>
          <w:rFonts w:ascii="Times New Roman" w:hAnsi="Times New Roman" w:cs="Times New Roman"/>
          <w:sz w:val="22"/>
          <w:szCs w:val="22"/>
        </w:rPr>
      </w:pPr>
      <w:r>
        <w:rPr>
          <w:rFonts w:ascii="Times New Roman" w:hAnsi="Times New Roman" w:cs="Times New Roman"/>
          <w:sz w:val="22"/>
          <w:szCs w:val="22"/>
        </w:rPr>
        <w:br w:type="page"/>
      </w:r>
    </w:p>
    <w:p w14:paraId="6F4FFBB8" w14:textId="77777777" w:rsidR="00CD3389" w:rsidRDefault="00CD3389" w:rsidP="00CD3389">
      <w:pPr>
        <w:rPr>
          <w:rFonts w:ascii="Times New Roman" w:hAnsi="Times New Roman" w:cs="Times New Roman"/>
          <w:sz w:val="22"/>
          <w:szCs w:val="22"/>
        </w:rPr>
      </w:pPr>
      <w:r>
        <w:rPr>
          <w:rFonts w:ascii="Times New Roman" w:hAnsi="Times New Roman" w:cs="Times New Roman"/>
          <w:sz w:val="22"/>
          <w:szCs w:val="22"/>
        </w:rPr>
        <w:lastRenderedPageBreak/>
        <w:t>Primary Sources</w:t>
      </w:r>
    </w:p>
    <w:p w14:paraId="6A78A2B9" w14:textId="77777777" w:rsidR="00CD3389" w:rsidRDefault="00CD3389" w:rsidP="00CD3389">
      <w:pPr>
        <w:rPr>
          <w:rFonts w:ascii="Times New Roman" w:hAnsi="Times New Roman" w:cs="Times New Roman"/>
          <w:sz w:val="22"/>
          <w:szCs w:val="22"/>
        </w:rPr>
      </w:pPr>
    </w:p>
    <w:p w14:paraId="31078E2A" w14:textId="77777777" w:rsidR="00CD3389" w:rsidRPr="00CD3389" w:rsidRDefault="00CD3389" w:rsidP="00CD3389">
      <w:pPr>
        <w:ind w:left="720" w:hanging="720"/>
        <w:rPr>
          <w:rFonts w:ascii="Times New Roman" w:hAnsi="Times New Roman" w:cs="Times New Roman"/>
          <w:sz w:val="22"/>
          <w:szCs w:val="22"/>
          <w:lang w:eastAsia="en-GB"/>
        </w:rPr>
      </w:pPr>
      <w:r w:rsidRPr="00CD3389">
        <w:rPr>
          <w:rFonts w:ascii="Times New Roman" w:hAnsi="Times New Roman" w:cs="Times New Roman"/>
          <w:sz w:val="22"/>
          <w:szCs w:val="22"/>
          <w:lang w:eastAsia="en-GB"/>
        </w:rPr>
        <w:t xml:space="preserve">Allen, James P., trans., </w:t>
      </w:r>
      <w:r w:rsidRPr="00CD3389">
        <w:rPr>
          <w:rFonts w:ascii="Times New Roman" w:hAnsi="Times New Roman" w:cs="Times New Roman"/>
          <w:i/>
          <w:iCs/>
          <w:sz w:val="22"/>
          <w:szCs w:val="22"/>
          <w:lang w:eastAsia="en-GB"/>
        </w:rPr>
        <w:t>The Ancient Egyptian Pyramid Texts</w:t>
      </w:r>
      <w:r w:rsidRPr="00CD3389">
        <w:rPr>
          <w:rFonts w:ascii="Times New Roman" w:hAnsi="Times New Roman" w:cs="Times New Roman"/>
          <w:sz w:val="22"/>
          <w:szCs w:val="22"/>
          <w:lang w:eastAsia="en-GB"/>
        </w:rPr>
        <w:t xml:space="preserve">, ed. by Peter Der </w:t>
      </w:r>
      <w:proofErr w:type="spellStart"/>
      <w:r w:rsidRPr="00CD3389">
        <w:rPr>
          <w:rFonts w:ascii="Times New Roman" w:hAnsi="Times New Roman" w:cs="Times New Roman"/>
          <w:sz w:val="22"/>
          <w:szCs w:val="22"/>
          <w:lang w:eastAsia="en-GB"/>
        </w:rPr>
        <w:t>Manuelian</w:t>
      </w:r>
      <w:proofErr w:type="spellEnd"/>
      <w:r w:rsidRPr="00CD3389">
        <w:rPr>
          <w:rFonts w:ascii="Times New Roman" w:hAnsi="Times New Roman" w:cs="Times New Roman"/>
          <w:sz w:val="22"/>
          <w:szCs w:val="22"/>
          <w:lang w:eastAsia="en-GB"/>
        </w:rPr>
        <w:t xml:space="preserve"> (Atlanta: Society of Biblical Literature, 2005)</w:t>
      </w:r>
    </w:p>
    <w:p w14:paraId="09E5BDDF" w14:textId="77777777" w:rsidR="00CD3389" w:rsidRPr="00CD3389" w:rsidRDefault="00CD3389" w:rsidP="00CD3389">
      <w:pPr>
        <w:rPr>
          <w:rFonts w:ascii="Times New Roman" w:hAnsi="Times New Roman" w:cs="Times New Roman"/>
          <w:sz w:val="22"/>
          <w:szCs w:val="22"/>
        </w:rPr>
      </w:pPr>
    </w:p>
    <w:p w14:paraId="4DB1DAF8" w14:textId="77777777" w:rsidR="00CD3389" w:rsidRPr="00CD3389" w:rsidRDefault="00CD3389" w:rsidP="00CD3389">
      <w:pPr>
        <w:ind w:left="720" w:hanging="720"/>
        <w:rPr>
          <w:rFonts w:ascii="Times New Roman" w:hAnsi="Times New Roman" w:cs="Times New Roman"/>
          <w:sz w:val="22"/>
          <w:szCs w:val="22"/>
        </w:rPr>
      </w:pPr>
      <w:r w:rsidRPr="00CD3389">
        <w:rPr>
          <w:rFonts w:ascii="Times New Roman" w:hAnsi="Times New Roman" w:cs="Times New Roman"/>
          <w:sz w:val="22"/>
          <w:szCs w:val="22"/>
        </w:rPr>
        <w:t xml:space="preserve">Cicero, </w:t>
      </w:r>
      <w:r w:rsidRPr="00CD3389">
        <w:rPr>
          <w:rFonts w:ascii="Times New Roman" w:hAnsi="Times New Roman" w:cs="Times New Roman"/>
          <w:i/>
          <w:iCs/>
          <w:sz w:val="22"/>
          <w:szCs w:val="22"/>
        </w:rPr>
        <w:t>De Divinatione</w:t>
      </w:r>
      <w:r w:rsidRPr="00CD3389">
        <w:rPr>
          <w:rFonts w:ascii="Times New Roman" w:hAnsi="Times New Roman" w:cs="Times New Roman"/>
          <w:sz w:val="22"/>
          <w:szCs w:val="22"/>
        </w:rPr>
        <w:t xml:space="preserve">, in </w:t>
      </w:r>
      <w:r w:rsidRPr="00CD3389">
        <w:rPr>
          <w:rFonts w:ascii="Times New Roman" w:hAnsi="Times New Roman" w:cs="Times New Roman"/>
          <w:i/>
          <w:iCs/>
          <w:color w:val="333333"/>
          <w:sz w:val="22"/>
          <w:szCs w:val="22"/>
        </w:rPr>
        <w:t xml:space="preserve">On Old Age. On Friendship. On Divination, </w:t>
      </w:r>
      <w:r w:rsidRPr="00CD3389">
        <w:rPr>
          <w:rStyle w:val="translators"/>
          <w:rFonts w:ascii="Times New Roman" w:hAnsi="Times New Roman" w:cs="Times New Roman"/>
          <w:color w:val="333333"/>
          <w:sz w:val="22"/>
          <w:szCs w:val="22"/>
        </w:rPr>
        <w:t>trans. by</w:t>
      </w:r>
      <w:r w:rsidRPr="00CD3389">
        <w:rPr>
          <w:rStyle w:val="apple-converted-space"/>
          <w:rFonts w:ascii="Times New Roman" w:hAnsi="Times New Roman" w:cs="Times New Roman"/>
          <w:color w:val="333333"/>
          <w:sz w:val="22"/>
          <w:szCs w:val="22"/>
        </w:rPr>
        <w:t xml:space="preserve"> </w:t>
      </w:r>
      <w:r w:rsidRPr="00CD3389">
        <w:rPr>
          <w:rStyle w:val="contributorname"/>
          <w:rFonts w:ascii="Times New Roman" w:hAnsi="Times New Roman" w:cs="Times New Roman"/>
          <w:color w:val="333333"/>
          <w:sz w:val="22"/>
          <w:szCs w:val="22"/>
        </w:rPr>
        <w:t>W. A. Falconer</w:t>
      </w:r>
      <w:r w:rsidRPr="00CD3389">
        <w:rPr>
          <w:rStyle w:val="translators"/>
          <w:rFonts w:ascii="Times New Roman" w:hAnsi="Times New Roman" w:cs="Times New Roman"/>
          <w:color w:val="333333"/>
          <w:sz w:val="22"/>
          <w:szCs w:val="22"/>
        </w:rPr>
        <w:t>,</w:t>
      </w:r>
      <w:r w:rsidRPr="00CD3389">
        <w:rPr>
          <w:rStyle w:val="apple-converted-space"/>
          <w:rFonts w:ascii="Times New Roman" w:hAnsi="Times New Roman" w:cs="Times New Roman"/>
          <w:color w:val="333333"/>
          <w:sz w:val="22"/>
          <w:szCs w:val="22"/>
        </w:rPr>
        <w:t xml:space="preserve"> </w:t>
      </w:r>
      <w:r w:rsidRPr="00CD3389">
        <w:rPr>
          <w:rFonts w:ascii="Times New Roman" w:hAnsi="Times New Roman" w:cs="Times New Roman"/>
          <w:color w:val="333333"/>
          <w:sz w:val="22"/>
          <w:szCs w:val="22"/>
          <w:shd w:val="clear" w:color="auto" w:fill="FFFFFF"/>
        </w:rPr>
        <w:t>Loeb Classical Library 154 (Cambridge, MA: Harvard University Press, 1923)</w:t>
      </w:r>
    </w:p>
    <w:p w14:paraId="3B2A3675" w14:textId="77777777" w:rsidR="00CD3389" w:rsidRPr="00CD3389" w:rsidRDefault="00CD3389" w:rsidP="00CD3389">
      <w:pPr>
        <w:rPr>
          <w:rFonts w:ascii="Times New Roman" w:hAnsi="Times New Roman" w:cs="Times New Roman"/>
          <w:sz w:val="22"/>
          <w:szCs w:val="22"/>
        </w:rPr>
      </w:pPr>
    </w:p>
    <w:p w14:paraId="5D780297" w14:textId="77777777" w:rsidR="00CD3389" w:rsidRPr="00CD3389" w:rsidRDefault="00CD3389" w:rsidP="00CD3389">
      <w:pPr>
        <w:ind w:left="720" w:hanging="720"/>
        <w:rPr>
          <w:rFonts w:ascii="Times New Roman" w:hAnsi="Times New Roman" w:cs="Times New Roman"/>
          <w:sz w:val="22"/>
          <w:szCs w:val="22"/>
        </w:rPr>
      </w:pPr>
      <w:r w:rsidRPr="00CD3389">
        <w:rPr>
          <w:rFonts w:ascii="Times New Roman" w:hAnsi="Times New Roman" w:cs="Times New Roman"/>
          <w:sz w:val="22"/>
          <w:szCs w:val="22"/>
        </w:rPr>
        <w:t xml:space="preserve">Herodotus, </w:t>
      </w:r>
      <w:r w:rsidRPr="00CD3389">
        <w:rPr>
          <w:rFonts w:ascii="Times New Roman" w:hAnsi="Times New Roman" w:cs="Times New Roman"/>
          <w:i/>
          <w:iCs/>
          <w:sz w:val="22"/>
          <w:szCs w:val="22"/>
        </w:rPr>
        <w:t>The Histories</w:t>
      </w:r>
      <w:r w:rsidRPr="00CD3389">
        <w:rPr>
          <w:rFonts w:ascii="Times New Roman" w:hAnsi="Times New Roman" w:cs="Times New Roman"/>
          <w:sz w:val="22"/>
          <w:szCs w:val="22"/>
        </w:rPr>
        <w:t xml:space="preserve">, trans. by Aubrey de </w:t>
      </w:r>
      <w:proofErr w:type="spellStart"/>
      <w:r w:rsidRPr="00CD3389">
        <w:rPr>
          <w:rFonts w:ascii="Times New Roman" w:hAnsi="Times New Roman" w:cs="Times New Roman"/>
          <w:sz w:val="22"/>
          <w:szCs w:val="22"/>
        </w:rPr>
        <w:t>Sélincourt</w:t>
      </w:r>
      <w:proofErr w:type="spellEnd"/>
      <w:r w:rsidRPr="00CD3389">
        <w:rPr>
          <w:rFonts w:ascii="Times New Roman" w:hAnsi="Times New Roman" w:cs="Times New Roman"/>
          <w:sz w:val="22"/>
          <w:szCs w:val="22"/>
        </w:rPr>
        <w:t xml:space="preserve">. Revised by John </w:t>
      </w:r>
      <w:proofErr w:type="spellStart"/>
      <w:r w:rsidRPr="00CD3389">
        <w:rPr>
          <w:rFonts w:ascii="Times New Roman" w:hAnsi="Times New Roman" w:cs="Times New Roman"/>
          <w:sz w:val="22"/>
          <w:szCs w:val="22"/>
        </w:rPr>
        <w:t>Marincola</w:t>
      </w:r>
      <w:proofErr w:type="spellEnd"/>
      <w:r w:rsidRPr="00CD3389">
        <w:rPr>
          <w:rFonts w:ascii="Times New Roman" w:hAnsi="Times New Roman" w:cs="Times New Roman"/>
          <w:sz w:val="22"/>
          <w:szCs w:val="22"/>
        </w:rPr>
        <w:t>. (London: Penguin Books, 1996)</w:t>
      </w:r>
    </w:p>
    <w:p w14:paraId="60083DC2" w14:textId="77777777" w:rsidR="00CD3389" w:rsidRPr="00CD3389" w:rsidRDefault="00CD3389" w:rsidP="00CD3389">
      <w:pPr>
        <w:rPr>
          <w:rFonts w:ascii="Times New Roman" w:hAnsi="Times New Roman" w:cs="Times New Roman"/>
          <w:sz w:val="22"/>
          <w:szCs w:val="22"/>
        </w:rPr>
      </w:pPr>
    </w:p>
    <w:p w14:paraId="373632B0" w14:textId="77777777" w:rsidR="00CD3389" w:rsidRDefault="00CD3389" w:rsidP="00CD3389">
      <w:pPr>
        <w:rPr>
          <w:rFonts w:ascii="Times New Roman" w:hAnsi="Times New Roman" w:cs="Times New Roman"/>
          <w:sz w:val="22"/>
          <w:szCs w:val="22"/>
        </w:rPr>
      </w:pPr>
      <w:r>
        <w:rPr>
          <w:rFonts w:ascii="Times New Roman" w:hAnsi="Times New Roman" w:cs="Times New Roman"/>
          <w:sz w:val="22"/>
          <w:szCs w:val="22"/>
        </w:rPr>
        <w:t>Secondary Sources</w:t>
      </w:r>
    </w:p>
    <w:p w14:paraId="35436367" w14:textId="77777777" w:rsidR="00CD3389" w:rsidRDefault="00CD3389" w:rsidP="00CD3389">
      <w:pPr>
        <w:rPr>
          <w:rFonts w:ascii="Times New Roman" w:hAnsi="Times New Roman" w:cs="Times New Roman"/>
          <w:sz w:val="22"/>
          <w:szCs w:val="22"/>
        </w:rPr>
      </w:pPr>
    </w:p>
    <w:p w14:paraId="75493B9C" w14:textId="77777777" w:rsidR="00CD3389"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Allen, James P., ‘Egyptian Cosmology and Cosmogony’, in </w:t>
      </w:r>
      <w:r w:rsidRPr="00180271">
        <w:rPr>
          <w:rFonts w:ascii="Times New Roman" w:hAnsi="Times New Roman" w:cs="Times New Roman"/>
          <w:i/>
          <w:iCs/>
          <w:sz w:val="22"/>
          <w:szCs w:val="22"/>
        </w:rPr>
        <w:t>Handbook of Archaeoastronomy and Ethnoastronomy</w:t>
      </w:r>
      <w:r w:rsidRPr="00180271">
        <w:rPr>
          <w:rFonts w:ascii="Times New Roman" w:hAnsi="Times New Roman" w:cs="Times New Roman"/>
          <w:sz w:val="22"/>
          <w:szCs w:val="22"/>
        </w:rPr>
        <w:t>, ed. by Clive L. N. Ruggles (New York: Springer, 2015), pp. 1471-1475</w:t>
      </w:r>
    </w:p>
    <w:p w14:paraId="1580BDAB" w14:textId="77777777" w:rsidR="00CD3389" w:rsidRPr="00180271" w:rsidRDefault="00CD3389" w:rsidP="00CD3389">
      <w:pPr>
        <w:ind w:left="720" w:hanging="720"/>
        <w:rPr>
          <w:rFonts w:ascii="Times New Roman" w:hAnsi="Times New Roman" w:cs="Times New Roman"/>
          <w:sz w:val="22"/>
          <w:szCs w:val="22"/>
        </w:rPr>
      </w:pPr>
    </w:p>
    <w:p w14:paraId="06F9157A" w14:textId="77777777" w:rsidR="00CD3389" w:rsidRPr="00180271"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Assmann, Jan, </w:t>
      </w:r>
      <w:r w:rsidRPr="00180271">
        <w:rPr>
          <w:rFonts w:ascii="Times New Roman" w:hAnsi="Times New Roman" w:cs="Times New Roman"/>
          <w:i/>
          <w:iCs/>
          <w:sz w:val="22"/>
          <w:szCs w:val="22"/>
        </w:rPr>
        <w:t>The Mind of Egypt: History and Meaning in the Time of the Pharaohs</w:t>
      </w:r>
      <w:r w:rsidRPr="00180271">
        <w:rPr>
          <w:rFonts w:ascii="Times New Roman" w:hAnsi="Times New Roman" w:cs="Times New Roman"/>
          <w:sz w:val="22"/>
          <w:szCs w:val="22"/>
        </w:rPr>
        <w:t>, trans. by Andrew Jenkins (New York: Metropolitan Books 2002)</w:t>
      </w:r>
    </w:p>
    <w:p w14:paraId="1CB9A052" w14:textId="77777777" w:rsidR="00CD3389" w:rsidRDefault="00CD3389" w:rsidP="00CD3389">
      <w:pPr>
        <w:ind w:hanging="720"/>
        <w:rPr>
          <w:rFonts w:ascii="Times New Roman" w:hAnsi="Times New Roman" w:cs="Times New Roman"/>
          <w:sz w:val="22"/>
          <w:szCs w:val="22"/>
        </w:rPr>
      </w:pPr>
    </w:p>
    <w:p w14:paraId="184829B5" w14:textId="77777777" w:rsidR="00CD3389"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Campion, Nicholas, </w:t>
      </w:r>
      <w:r w:rsidRPr="00180271">
        <w:rPr>
          <w:rFonts w:ascii="Times New Roman" w:hAnsi="Times New Roman" w:cs="Times New Roman"/>
          <w:i/>
          <w:iCs/>
          <w:sz w:val="22"/>
          <w:szCs w:val="22"/>
        </w:rPr>
        <w:t>A History of Western Astrology: Volume 1: The Ancient World</w:t>
      </w:r>
      <w:r w:rsidRPr="00180271">
        <w:rPr>
          <w:rFonts w:ascii="Times New Roman" w:hAnsi="Times New Roman" w:cs="Times New Roman"/>
          <w:sz w:val="22"/>
          <w:szCs w:val="22"/>
        </w:rPr>
        <w:t>. (London, Bloomsbury Academic, 2008)</w:t>
      </w:r>
    </w:p>
    <w:p w14:paraId="2374B5E9" w14:textId="77777777" w:rsidR="00CD3389" w:rsidRPr="00180271" w:rsidRDefault="00CD3389" w:rsidP="00CD3389">
      <w:pPr>
        <w:ind w:left="720" w:hanging="720"/>
        <w:rPr>
          <w:rFonts w:ascii="Times New Roman" w:hAnsi="Times New Roman" w:cs="Times New Roman"/>
          <w:sz w:val="22"/>
          <w:szCs w:val="22"/>
        </w:rPr>
      </w:pPr>
    </w:p>
    <w:p w14:paraId="4F73651D" w14:textId="77777777" w:rsidR="00CD3389"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Campion, Nicholas, </w:t>
      </w:r>
      <w:r w:rsidRPr="00180271">
        <w:rPr>
          <w:rFonts w:ascii="Times New Roman" w:hAnsi="Times New Roman" w:cs="Times New Roman"/>
          <w:i/>
          <w:iCs/>
          <w:sz w:val="22"/>
          <w:szCs w:val="22"/>
        </w:rPr>
        <w:t>Astrology and Cosmology in the World’s Religions</w:t>
      </w:r>
      <w:r w:rsidRPr="00180271">
        <w:rPr>
          <w:rFonts w:ascii="Times New Roman" w:hAnsi="Times New Roman" w:cs="Times New Roman"/>
          <w:sz w:val="22"/>
          <w:szCs w:val="22"/>
        </w:rPr>
        <w:t xml:space="preserve"> (New York: New York University Press, 2012)</w:t>
      </w:r>
    </w:p>
    <w:p w14:paraId="18FAEF97" w14:textId="77777777" w:rsidR="00CD3389" w:rsidRDefault="00CD3389" w:rsidP="00CD3389">
      <w:pPr>
        <w:ind w:left="720" w:hanging="720"/>
        <w:rPr>
          <w:rFonts w:ascii="Times New Roman" w:hAnsi="Times New Roman" w:cs="Times New Roman"/>
          <w:sz w:val="22"/>
          <w:szCs w:val="22"/>
        </w:rPr>
      </w:pPr>
    </w:p>
    <w:p w14:paraId="6DC63677" w14:textId="77777777" w:rsidR="00CD3389" w:rsidRPr="00180271" w:rsidRDefault="00CD3389" w:rsidP="00CD3389">
      <w:pPr>
        <w:pStyle w:val="FootnoteText"/>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Dodson, Aidan and </w:t>
      </w:r>
      <w:proofErr w:type="spellStart"/>
      <w:r w:rsidRPr="00180271">
        <w:rPr>
          <w:rFonts w:ascii="Times New Roman" w:hAnsi="Times New Roman" w:cs="Times New Roman"/>
          <w:sz w:val="22"/>
          <w:szCs w:val="22"/>
        </w:rPr>
        <w:t>Salima</w:t>
      </w:r>
      <w:proofErr w:type="spellEnd"/>
      <w:r w:rsidRPr="00180271">
        <w:rPr>
          <w:rFonts w:ascii="Times New Roman" w:hAnsi="Times New Roman" w:cs="Times New Roman"/>
          <w:sz w:val="22"/>
          <w:szCs w:val="22"/>
        </w:rPr>
        <w:t xml:space="preserve"> Ikram, </w:t>
      </w:r>
      <w:r w:rsidRPr="00180271">
        <w:rPr>
          <w:rFonts w:ascii="Times New Roman" w:hAnsi="Times New Roman" w:cs="Times New Roman"/>
          <w:i/>
          <w:iCs/>
          <w:sz w:val="22"/>
          <w:szCs w:val="22"/>
        </w:rPr>
        <w:t>The Tomb in Ancient Egypt</w:t>
      </w:r>
      <w:r w:rsidRPr="00180271">
        <w:rPr>
          <w:rFonts w:ascii="Times New Roman" w:hAnsi="Times New Roman" w:cs="Times New Roman"/>
          <w:sz w:val="22"/>
          <w:szCs w:val="22"/>
        </w:rPr>
        <w:t xml:space="preserve"> (London: Thames &amp; Hudson Ltd., 2008)</w:t>
      </w:r>
    </w:p>
    <w:p w14:paraId="566DBD86" w14:textId="77777777" w:rsidR="00CD3389" w:rsidRDefault="00CD3389" w:rsidP="0089529E">
      <w:pPr>
        <w:rPr>
          <w:rFonts w:ascii="Times New Roman" w:hAnsi="Times New Roman" w:cs="Times New Roman"/>
          <w:sz w:val="22"/>
          <w:szCs w:val="22"/>
        </w:rPr>
      </w:pPr>
    </w:p>
    <w:p w14:paraId="4B0CB138" w14:textId="77777777" w:rsidR="00CD3389" w:rsidRPr="00180271"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Hollis, Susan Tower, ‘Women of Ancient Egypt and the Sky Goddess Nut’, </w:t>
      </w:r>
      <w:r w:rsidRPr="00180271">
        <w:rPr>
          <w:rFonts w:ascii="Times New Roman" w:hAnsi="Times New Roman" w:cs="Times New Roman"/>
          <w:i/>
          <w:iCs/>
          <w:sz w:val="22"/>
          <w:szCs w:val="22"/>
        </w:rPr>
        <w:t>The Journal of American Folklore</w:t>
      </w:r>
      <w:r w:rsidRPr="00180271">
        <w:rPr>
          <w:rFonts w:ascii="Times New Roman" w:hAnsi="Times New Roman" w:cs="Times New Roman"/>
          <w:sz w:val="22"/>
          <w:szCs w:val="22"/>
        </w:rPr>
        <w:t xml:space="preserve"> 100.398 (1987), 496-503</w:t>
      </w:r>
    </w:p>
    <w:p w14:paraId="742795CB" w14:textId="77777777" w:rsidR="00CD3389" w:rsidRDefault="00CD3389" w:rsidP="0089529E">
      <w:pPr>
        <w:rPr>
          <w:rFonts w:ascii="Times New Roman" w:hAnsi="Times New Roman" w:cs="Times New Roman"/>
          <w:sz w:val="22"/>
          <w:szCs w:val="22"/>
        </w:rPr>
      </w:pPr>
    </w:p>
    <w:p w14:paraId="2DAA8EC0" w14:textId="77777777" w:rsidR="00CD3389" w:rsidRPr="00180271"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Hollis, Susan Tower, </w:t>
      </w:r>
      <w:r w:rsidRPr="00180271">
        <w:rPr>
          <w:rFonts w:ascii="Times New Roman" w:hAnsi="Times New Roman" w:cs="Times New Roman"/>
          <w:i/>
          <w:iCs/>
          <w:sz w:val="22"/>
          <w:szCs w:val="22"/>
        </w:rPr>
        <w:t>Five Egyptian Goddesses: Their Possible Beginnings, Actions, and Relationships in the Third Millennium B.C.E</w:t>
      </w:r>
      <w:r w:rsidRPr="00180271">
        <w:rPr>
          <w:rFonts w:ascii="Times New Roman" w:hAnsi="Times New Roman" w:cs="Times New Roman"/>
          <w:sz w:val="22"/>
          <w:szCs w:val="22"/>
        </w:rPr>
        <w:t>, (London: Bloomsbury Publishing Ltd, 2020)</w:t>
      </w:r>
    </w:p>
    <w:p w14:paraId="033314ED" w14:textId="77777777" w:rsidR="00CD3389" w:rsidRDefault="00CD3389" w:rsidP="00CD3389">
      <w:pPr>
        <w:ind w:left="720" w:hanging="720"/>
        <w:rPr>
          <w:rFonts w:ascii="Times New Roman" w:hAnsi="Times New Roman" w:cs="Times New Roman"/>
          <w:sz w:val="22"/>
          <w:szCs w:val="22"/>
        </w:rPr>
      </w:pPr>
    </w:p>
    <w:p w14:paraId="59B66BEA"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Hornung, Eric, </w:t>
      </w:r>
      <w:r w:rsidRPr="00180271">
        <w:rPr>
          <w:rFonts w:ascii="Times New Roman" w:hAnsi="Times New Roman" w:cs="Times New Roman"/>
          <w:i/>
          <w:iCs/>
          <w:sz w:val="22"/>
          <w:szCs w:val="22"/>
        </w:rPr>
        <w:t>The Ancient Egyptian Books of The Afterlife</w:t>
      </w:r>
      <w:r w:rsidRPr="00180271">
        <w:rPr>
          <w:rFonts w:ascii="Times New Roman" w:hAnsi="Times New Roman" w:cs="Times New Roman"/>
          <w:sz w:val="22"/>
          <w:szCs w:val="22"/>
        </w:rPr>
        <w:t>, trans. by David Lorton (Ithaca: Cornell University Press, 1999)</w:t>
      </w:r>
    </w:p>
    <w:p w14:paraId="0987BE26" w14:textId="77777777" w:rsidR="00CD3389" w:rsidRPr="00180271" w:rsidRDefault="00CD3389" w:rsidP="0089529E">
      <w:pPr>
        <w:rPr>
          <w:rFonts w:ascii="Times New Roman" w:hAnsi="Times New Roman" w:cs="Times New Roman"/>
          <w:sz w:val="22"/>
          <w:szCs w:val="22"/>
        </w:rPr>
      </w:pPr>
    </w:p>
    <w:p w14:paraId="37967B64" w14:textId="77777777" w:rsidR="00CD3389" w:rsidRDefault="00CD3389" w:rsidP="00CD3389">
      <w:pPr>
        <w:ind w:left="720" w:hanging="720"/>
        <w:rPr>
          <w:rFonts w:ascii="Times New Roman" w:hAnsi="Times New Roman" w:cs="Times New Roman"/>
          <w:sz w:val="22"/>
          <w:szCs w:val="22"/>
        </w:rPr>
      </w:pPr>
      <w:proofErr w:type="spellStart"/>
      <w:r w:rsidRPr="00180271">
        <w:rPr>
          <w:rFonts w:ascii="Times New Roman" w:hAnsi="Times New Roman" w:cs="Times New Roman"/>
          <w:sz w:val="22"/>
          <w:szCs w:val="22"/>
        </w:rPr>
        <w:t>Kragh</w:t>
      </w:r>
      <w:proofErr w:type="spellEnd"/>
      <w:r w:rsidRPr="00180271">
        <w:rPr>
          <w:rFonts w:ascii="Times New Roman" w:hAnsi="Times New Roman" w:cs="Times New Roman"/>
          <w:sz w:val="22"/>
          <w:szCs w:val="22"/>
        </w:rPr>
        <w:t xml:space="preserve">, Helge S., </w:t>
      </w:r>
      <w:r w:rsidRPr="00180271">
        <w:rPr>
          <w:rFonts w:ascii="Times New Roman" w:hAnsi="Times New Roman" w:cs="Times New Roman"/>
          <w:i/>
          <w:iCs/>
          <w:sz w:val="22"/>
          <w:szCs w:val="22"/>
        </w:rPr>
        <w:t>Conceptions of Cosmos: From Myths to the Accelerating Universe: A History of Cosmology</w:t>
      </w:r>
      <w:r w:rsidRPr="00180271">
        <w:rPr>
          <w:rFonts w:ascii="Times New Roman" w:hAnsi="Times New Roman" w:cs="Times New Roman"/>
          <w:sz w:val="22"/>
          <w:szCs w:val="22"/>
        </w:rPr>
        <w:t xml:space="preserve"> (Oxford: Oxford University Press, 2006)</w:t>
      </w:r>
    </w:p>
    <w:p w14:paraId="23087F06" w14:textId="77777777" w:rsidR="00CD3389" w:rsidRPr="00180271" w:rsidRDefault="00CD3389" w:rsidP="00CD3389">
      <w:pPr>
        <w:ind w:left="720" w:hanging="720"/>
        <w:rPr>
          <w:rFonts w:ascii="Times New Roman" w:hAnsi="Times New Roman" w:cs="Times New Roman"/>
          <w:sz w:val="22"/>
          <w:szCs w:val="22"/>
        </w:rPr>
      </w:pPr>
    </w:p>
    <w:p w14:paraId="17FDDEE7"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Lesko, Leonard H., ‘Some Observations on the Composition of the Book of Two Ways’, </w:t>
      </w:r>
      <w:r w:rsidRPr="00180271">
        <w:rPr>
          <w:rFonts w:ascii="Times New Roman" w:hAnsi="Times New Roman" w:cs="Times New Roman"/>
          <w:i/>
          <w:iCs/>
          <w:sz w:val="22"/>
          <w:szCs w:val="22"/>
        </w:rPr>
        <w:t>Journal of</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the American Oriental Society</w:t>
      </w:r>
      <w:r w:rsidRPr="00180271">
        <w:rPr>
          <w:rFonts w:ascii="Times New Roman" w:hAnsi="Times New Roman" w:cs="Times New Roman"/>
          <w:sz w:val="22"/>
          <w:szCs w:val="22"/>
        </w:rPr>
        <w:t>, 92.1 (1971), pp. 30-43</w:t>
      </w:r>
    </w:p>
    <w:p w14:paraId="015CEF9B" w14:textId="77777777" w:rsidR="00CD3389" w:rsidRPr="00180271" w:rsidRDefault="00CD3389" w:rsidP="0089529E">
      <w:pPr>
        <w:ind w:left="720" w:hanging="720"/>
        <w:rPr>
          <w:rFonts w:ascii="Times New Roman" w:hAnsi="Times New Roman" w:cs="Times New Roman"/>
          <w:sz w:val="22"/>
          <w:szCs w:val="22"/>
        </w:rPr>
      </w:pPr>
    </w:p>
    <w:p w14:paraId="6560BCD0" w14:textId="77777777" w:rsidR="00CD3389"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Lieven, Alexandra von, ‘Divination in </w:t>
      </w:r>
      <w:proofErr w:type="spellStart"/>
      <w:r w:rsidRPr="00180271">
        <w:rPr>
          <w:rFonts w:ascii="Times New Roman" w:hAnsi="Times New Roman" w:cs="Times New Roman"/>
          <w:sz w:val="22"/>
          <w:szCs w:val="22"/>
        </w:rPr>
        <w:t>Ägypten</w:t>
      </w:r>
      <w:proofErr w:type="spellEnd"/>
      <w:r w:rsidRPr="00180271">
        <w:rPr>
          <w:rFonts w:ascii="Times New Roman" w:hAnsi="Times New Roman" w:cs="Times New Roman"/>
          <w:sz w:val="22"/>
          <w:szCs w:val="22"/>
        </w:rPr>
        <w:t xml:space="preserve">’, </w:t>
      </w:r>
      <w:proofErr w:type="spellStart"/>
      <w:r w:rsidRPr="00180271">
        <w:rPr>
          <w:rFonts w:ascii="Times New Roman" w:hAnsi="Times New Roman" w:cs="Times New Roman"/>
          <w:i/>
          <w:iCs/>
          <w:sz w:val="22"/>
          <w:szCs w:val="22"/>
        </w:rPr>
        <w:t>Altorientalische</w:t>
      </w:r>
      <w:proofErr w:type="spellEnd"/>
      <w:r w:rsidRPr="00180271">
        <w:rPr>
          <w:rFonts w:ascii="Times New Roman" w:hAnsi="Times New Roman" w:cs="Times New Roman"/>
          <w:i/>
          <w:iCs/>
          <w:sz w:val="22"/>
          <w:szCs w:val="22"/>
        </w:rPr>
        <w:t xml:space="preserve"> </w:t>
      </w:r>
      <w:proofErr w:type="spellStart"/>
      <w:r w:rsidRPr="00180271">
        <w:rPr>
          <w:rFonts w:ascii="Times New Roman" w:hAnsi="Times New Roman" w:cs="Times New Roman"/>
          <w:i/>
          <w:iCs/>
          <w:sz w:val="22"/>
          <w:szCs w:val="22"/>
        </w:rPr>
        <w:t>Forschungen</w:t>
      </w:r>
      <w:proofErr w:type="spellEnd"/>
      <w:r w:rsidRPr="00180271">
        <w:rPr>
          <w:rFonts w:ascii="Times New Roman" w:hAnsi="Times New Roman" w:cs="Times New Roman"/>
          <w:i/>
          <w:iCs/>
          <w:sz w:val="22"/>
          <w:szCs w:val="22"/>
        </w:rPr>
        <w:t>,</w:t>
      </w:r>
      <w:r w:rsidRPr="00180271">
        <w:rPr>
          <w:rFonts w:ascii="Times New Roman" w:hAnsi="Times New Roman" w:cs="Times New Roman"/>
          <w:sz w:val="22"/>
          <w:szCs w:val="22"/>
        </w:rPr>
        <w:t xml:space="preserve"> 26.1 (1999), 77-126</w:t>
      </w:r>
    </w:p>
    <w:p w14:paraId="4B38578C" w14:textId="77777777" w:rsidR="00CD3389" w:rsidRPr="00180271" w:rsidRDefault="00CD3389" w:rsidP="00CD3389">
      <w:pPr>
        <w:ind w:left="720" w:hanging="720"/>
        <w:rPr>
          <w:rFonts w:ascii="Times New Roman" w:hAnsi="Times New Roman" w:cs="Times New Roman"/>
          <w:sz w:val="22"/>
          <w:szCs w:val="22"/>
        </w:rPr>
      </w:pPr>
    </w:p>
    <w:p w14:paraId="4B836EF3" w14:textId="77777777" w:rsidR="00CD3389" w:rsidRPr="00180271" w:rsidRDefault="00CD3389" w:rsidP="00CD3389">
      <w:pPr>
        <w:ind w:left="720" w:hanging="720"/>
        <w:rPr>
          <w:rFonts w:ascii="Times New Roman" w:hAnsi="Times New Roman" w:cs="Times New Roman"/>
          <w:sz w:val="22"/>
          <w:szCs w:val="22"/>
        </w:rPr>
      </w:pPr>
      <w:r w:rsidRPr="00180271">
        <w:rPr>
          <w:rFonts w:ascii="Times New Roman" w:hAnsi="Times New Roman" w:cs="Times New Roman"/>
          <w:sz w:val="22"/>
          <w:szCs w:val="22"/>
        </w:rPr>
        <w:t>Morales, Antonio J., ‘</w:t>
      </w:r>
      <w:r w:rsidRPr="00180271">
        <w:rPr>
          <w:rFonts w:ascii="Times New Roman" w:hAnsi="Times New Roman" w:cs="Times New Roman"/>
          <w:sz w:val="22"/>
          <w:szCs w:val="22"/>
          <w:shd w:val="clear" w:color="auto" w:fill="FAFAFA"/>
        </w:rPr>
        <w:t xml:space="preserve">From Voice to Papyrus to Wall: </w:t>
      </w:r>
      <w:proofErr w:type="spellStart"/>
      <w:r w:rsidRPr="00180271">
        <w:rPr>
          <w:rFonts w:ascii="Times New Roman" w:hAnsi="Times New Roman" w:cs="Times New Roman"/>
          <w:sz w:val="22"/>
          <w:szCs w:val="22"/>
          <w:shd w:val="clear" w:color="auto" w:fill="FAFAFA"/>
        </w:rPr>
        <w:t>Verschriftung</w:t>
      </w:r>
      <w:proofErr w:type="spellEnd"/>
      <w:r w:rsidRPr="00180271">
        <w:rPr>
          <w:rFonts w:ascii="Times New Roman" w:hAnsi="Times New Roman" w:cs="Times New Roman"/>
          <w:sz w:val="22"/>
          <w:szCs w:val="22"/>
          <w:shd w:val="clear" w:color="auto" w:fill="FAFAFA"/>
        </w:rPr>
        <w:t xml:space="preserve"> and </w:t>
      </w:r>
      <w:proofErr w:type="spellStart"/>
      <w:r w:rsidRPr="00180271">
        <w:rPr>
          <w:rFonts w:ascii="Times New Roman" w:hAnsi="Times New Roman" w:cs="Times New Roman"/>
          <w:sz w:val="22"/>
          <w:szCs w:val="22"/>
          <w:shd w:val="clear" w:color="auto" w:fill="FAFAFA"/>
        </w:rPr>
        <w:t>Verschriftlichung</w:t>
      </w:r>
      <w:proofErr w:type="spellEnd"/>
      <w:r w:rsidRPr="00180271">
        <w:rPr>
          <w:rFonts w:ascii="Times New Roman" w:hAnsi="Times New Roman" w:cs="Times New Roman"/>
          <w:sz w:val="22"/>
          <w:szCs w:val="22"/>
          <w:shd w:val="clear" w:color="auto" w:fill="FAFAFA"/>
        </w:rPr>
        <w:t xml:space="preserve"> in the Old Kingdom Pyramid Texts’, in </w:t>
      </w:r>
      <w:r w:rsidRPr="00180271">
        <w:rPr>
          <w:rFonts w:ascii="Times New Roman" w:hAnsi="Times New Roman" w:cs="Times New Roman"/>
          <w:i/>
          <w:iCs/>
          <w:sz w:val="22"/>
          <w:szCs w:val="22"/>
        </w:rPr>
        <w:t>Understanding Material Text Cultures a Multidisciplinary View</w:t>
      </w:r>
      <w:r w:rsidRPr="00180271">
        <w:rPr>
          <w:rFonts w:ascii="Times New Roman" w:hAnsi="Times New Roman" w:cs="Times New Roman"/>
          <w:sz w:val="22"/>
          <w:szCs w:val="22"/>
          <w:shd w:val="clear" w:color="auto" w:fill="FFFFFF"/>
        </w:rPr>
        <w:t xml:space="preserve">, ed. Markus </w:t>
      </w:r>
      <w:proofErr w:type="spellStart"/>
      <w:r w:rsidRPr="00180271">
        <w:rPr>
          <w:rFonts w:ascii="Times New Roman" w:hAnsi="Times New Roman" w:cs="Times New Roman"/>
          <w:sz w:val="22"/>
          <w:szCs w:val="22"/>
          <w:shd w:val="clear" w:color="auto" w:fill="FFFFFF"/>
        </w:rPr>
        <w:t>Hilgert</w:t>
      </w:r>
      <w:proofErr w:type="spellEnd"/>
      <w:r w:rsidRPr="00180271">
        <w:rPr>
          <w:rFonts w:ascii="Times New Roman" w:hAnsi="Times New Roman" w:cs="Times New Roman"/>
          <w:sz w:val="22"/>
          <w:szCs w:val="22"/>
          <w:shd w:val="clear" w:color="auto" w:fill="FFFFFF"/>
        </w:rPr>
        <w:t>, (Berlin: De Gruyter, 2016), pp. 69-130</w:t>
      </w:r>
    </w:p>
    <w:p w14:paraId="0C4438FF" w14:textId="77777777" w:rsidR="00CD3389" w:rsidRPr="00180271" w:rsidRDefault="00CD3389" w:rsidP="00CD3389">
      <w:pPr>
        <w:ind w:left="720" w:hanging="720"/>
        <w:rPr>
          <w:rFonts w:ascii="Times New Roman" w:hAnsi="Times New Roman" w:cs="Times New Roman"/>
          <w:sz w:val="22"/>
          <w:szCs w:val="22"/>
        </w:rPr>
      </w:pPr>
    </w:p>
    <w:p w14:paraId="304B4483" w14:textId="77777777" w:rsidR="00CD3389" w:rsidRPr="00180271" w:rsidRDefault="00CD3389" w:rsidP="0089529E">
      <w:pPr>
        <w:ind w:left="720" w:hanging="720"/>
        <w:rPr>
          <w:rFonts w:ascii="Times New Roman" w:eastAsia="Times New Roman" w:hAnsi="Times New Roman" w:cs="Times New Roman"/>
          <w:sz w:val="22"/>
          <w:szCs w:val="22"/>
          <w:lang w:eastAsia="en-GB"/>
        </w:rPr>
      </w:pPr>
      <w:r w:rsidRPr="00180271">
        <w:rPr>
          <w:rFonts w:ascii="Times New Roman" w:hAnsi="Times New Roman" w:cs="Times New Roman"/>
          <w:sz w:val="22"/>
          <w:szCs w:val="22"/>
        </w:rPr>
        <w:t xml:space="preserve">Neugebauer Otto E. and Richard. A. </w:t>
      </w:r>
      <w:r w:rsidRPr="00180271">
        <w:rPr>
          <w:rFonts w:ascii="Times New Roman" w:hAnsi="Times New Roman" w:cs="Times New Roman"/>
          <w:i/>
          <w:iCs/>
          <w:sz w:val="22"/>
          <w:szCs w:val="22"/>
        </w:rPr>
        <w:t>Parker, Egyptian Astronomical Texts I: The Early Decans</w:t>
      </w:r>
      <w:r w:rsidRPr="00180271">
        <w:rPr>
          <w:rFonts w:ascii="Times New Roman" w:hAnsi="Times New Roman" w:cs="Times New Roman"/>
          <w:sz w:val="22"/>
          <w:szCs w:val="22"/>
        </w:rPr>
        <w:t xml:space="preserve"> (Providence (R.I): Brown University Press 1964), Chapter 2, cited in Richard. A. Parker, ‘Ancient Egyptian Astronomy’, in </w:t>
      </w:r>
      <w:r w:rsidRPr="00180271">
        <w:rPr>
          <w:rFonts w:ascii="Times New Roman" w:hAnsi="Times New Roman" w:cs="Times New Roman"/>
          <w:i/>
          <w:iCs/>
          <w:sz w:val="22"/>
          <w:szCs w:val="22"/>
        </w:rPr>
        <w:t xml:space="preserve">The Place of Astronomy in the Ancient World: </w:t>
      </w:r>
      <w:r w:rsidRPr="00180271">
        <w:rPr>
          <w:rFonts w:ascii="Times New Roman" w:eastAsia="Times New Roman" w:hAnsi="Times New Roman" w:cs="Times New Roman"/>
          <w:i/>
          <w:iCs/>
          <w:sz w:val="22"/>
          <w:szCs w:val="22"/>
          <w:lang w:eastAsia="en-GB"/>
        </w:rPr>
        <w:t>Philosophical Transactions of the Royal Society of London. Series A, Mathematical and Physical Sciences</w:t>
      </w:r>
      <w:r w:rsidRPr="00180271">
        <w:rPr>
          <w:rFonts w:ascii="Times New Roman" w:eastAsia="Times New Roman" w:hAnsi="Times New Roman" w:cs="Times New Roman"/>
          <w:sz w:val="22"/>
          <w:szCs w:val="22"/>
          <w:lang w:eastAsia="en-GB"/>
        </w:rPr>
        <w:t xml:space="preserve"> 276.1257, ed. F.R. Hodson (Oxford: Oxford University Press for the Royal Society, 1975)</w:t>
      </w:r>
    </w:p>
    <w:p w14:paraId="52902011" w14:textId="77777777" w:rsidR="00CD3389" w:rsidRPr="00180271" w:rsidRDefault="00CD3389" w:rsidP="0089529E">
      <w:pPr>
        <w:rPr>
          <w:rFonts w:ascii="Times New Roman" w:hAnsi="Times New Roman" w:cs="Times New Roman"/>
          <w:sz w:val="22"/>
          <w:szCs w:val="22"/>
        </w:rPr>
      </w:pPr>
    </w:p>
    <w:p w14:paraId="7E2B1B24" w14:textId="77777777" w:rsidR="00CD3389" w:rsidRPr="00180271" w:rsidRDefault="00CD3389" w:rsidP="0089529E">
      <w:pPr>
        <w:ind w:left="720" w:hanging="720"/>
        <w:rPr>
          <w:rFonts w:ascii="Times New Roman" w:hAnsi="Times New Roman" w:cs="Times New Roman"/>
          <w:sz w:val="22"/>
          <w:szCs w:val="22"/>
        </w:rPr>
      </w:pPr>
      <w:proofErr w:type="spellStart"/>
      <w:r w:rsidRPr="00180271">
        <w:rPr>
          <w:rFonts w:ascii="Times New Roman" w:hAnsi="Times New Roman" w:cs="Times New Roman"/>
          <w:sz w:val="22"/>
          <w:szCs w:val="22"/>
        </w:rPr>
        <w:t>Noegel</w:t>
      </w:r>
      <w:proofErr w:type="spellEnd"/>
      <w:r w:rsidRPr="00180271">
        <w:rPr>
          <w:rFonts w:ascii="Times New Roman" w:hAnsi="Times New Roman" w:cs="Times New Roman"/>
          <w:sz w:val="22"/>
          <w:szCs w:val="22"/>
        </w:rPr>
        <w:t xml:space="preserve">, Scott B., ‘“Sign, Sign, everywhere a Sign”: Script, Power, and Interpretation in the Ancient Near East’, in </w:t>
      </w:r>
      <w:r w:rsidRPr="00180271">
        <w:rPr>
          <w:rFonts w:ascii="Times New Roman" w:hAnsi="Times New Roman" w:cs="Times New Roman"/>
          <w:i/>
          <w:iCs/>
          <w:sz w:val="22"/>
          <w:szCs w:val="22"/>
        </w:rPr>
        <w:t>Divination and Interpretation of Signs in the Ancient World. Chicago III</w:t>
      </w:r>
      <w:r w:rsidRPr="00180271">
        <w:rPr>
          <w:rFonts w:ascii="Times New Roman" w:hAnsi="Times New Roman" w:cs="Times New Roman"/>
          <w:sz w:val="22"/>
          <w:szCs w:val="22"/>
        </w:rPr>
        <w:t>, ed. by Annus Amar (Chicago: Oriental Institute of the University of Chicago, 2010), pp. 143-162</w:t>
      </w:r>
    </w:p>
    <w:p w14:paraId="56BD34A7" w14:textId="77777777" w:rsidR="00CD3389" w:rsidRDefault="00CD3389" w:rsidP="0089529E">
      <w:pPr>
        <w:rPr>
          <w:rFonts w:ascii="Times New Roman" w:hAnsi="Times New Roman" w:cs="Times New Roman"/>
          <w:sz w:val="22"/>
          <w:szCs w:val="22"/>
        </w:rPr>
      </w:pPr>
    </w:p>
    <w:p w14:paraId="3399DF2F" w14:textId="77777777" w:rsidR="00CD3389" w:rsidRPr="00180271" w:rsidRDefault="00CD3389" w:rsidP="0089529E">
      <w:pPr>
        <w:pStyle w:val="FootnoteText"/>
        <w:ind w:left="720" w:hanging="720"/>
        <w:rPr>
          <w:rFonts w:ascii="Times New Roman" w:hAnsi="Times New Roman" w:cs="Times New Roman"/>
          <w:sz w:val="22"/>
          <w:szCs w:val="22"/>
        </w:rPr>
      </w:pPr>
      <w:proofErr w:type="spellStart"/>
      <w:r w:rsidRPr="00180271">
        <w:rPr>
          <w:rFonts w:ascii="Times New Roman" w:hAnsi="Times New Roman" w:cs="Times New Roman"/>
          <w:sz w:val="22"/>
          <w:szCs w:val="22"/>
        </w:rPr>
        <w:t>Nyord</w:t>
      </w:r>
      <w:proofErr w:type="spellEnd"/>
      <w:r w:rsidRPr="00180271">
        <w:rPr>
          <w:rFonts w:ascii="Times New Roman" w:hAnsi="Times New Roman" w:cs="Times New Roman"/>
          <w:sz w:val="22"/>
          <w:szCs w:val="22"/>
        </w:rPr>
        <w:t xml:space="preserve">, Rune, </w:t>
      </w:r>
      <w:r w:rsidRPr="00180271">
        <w:rPr>
          <w:rFonts w:ascii="Times New Roman" w:hAnsi="Times New Roman" w:cs="Times New Roman"/>
          <w:i/>
          <w:iCs/>
          <w:sz w:val="22"/>
          <w:szCs w:val="22"/>
        </w:rPr>
        <w:t>Breathing Flesh: Conceptions of the Body in the Ancient Egyptian Coffin Texts</w:t>
      </w:r>
      <w:r w:rsidRPr="00180271">
        <w:rPr>
          <w:rFonts w:ascii="Times New Roman" w:hAnsi="Times New Roman" w:cs="Times New Roman"/>
          <w:sz w:val="22"/>
          <w:szCs w:val="22"/>
        </w:rPr>
        <w:t xml:space="preserve"> (Copenhagen: Museum </w:t>
      </w:r>
      <w:proofErr w:type="spellStart"/>
      <w:r w:rsidRPr="00180271">
        <w:rPr>
          <w:rFonts w:ascii="Times New Roman" w:hAnsi="Times New Roman" w:cs="Times New Roman"/>
          <w:sz w:val="22"/>
          <w:szCs w:val="22"/>
        </w:rPr>
        <w:t>Tusculanum</w:t>
      </w:r>
      <w:proofErr w:type="spellEnd"/>
      <w:r w:rsidRPr="00180271">
        <w:rPr>
          <w:rFonts w:ascii="Times New Roman" w:hAnsi="Times New Roman" w:cs="Times New Roman"/>
          <w:sz w:val="22"/>
          <w:szCs w:val="22"/>
        </w:rPr>
        <w:t xml:space="preserve"> Press, 2009)</w:t>
      </w:r>
    </w:p>
    <w:p w14:paraId="608D1205" w14:textId="77777777" w:rsidR="00CD3389" w:rsidRDefault="00CD3389" w:rsidP="0089529E">
      <w:pPr>
        <w:ind w:left="720" w:hanging="720"/>
        <w:rPr>
          <w:rFonts w:ascii="Times New Roman" w:hAnsi="Times New Roman" w:cs="Times New Roman"/>
          <w:sz w:val="22"/>
          <w:szCs w:val="22"/>
        </w:rPr>
      </w:pPr>
    </w:p>
    <w:p w14:paraId="1EF92A54"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Pogo, A., Calendars on Coffin Lids from Asyut (Second Half of the Third Millennium), </w:t>
      </w:r>
      <w:r w:rsidRPr="00180271">
        <w:rPr>
          <w:rFonts w:ascii="Times New Roman" w:hAnsi="Times New Roman" w:cs="Times New Roman"/>
          <w:i/>
          <w:iCs/>
          <w:sz w:val="22"/>
          <w:szCs w:val="22"/>
        </w:rPr>
        <w:t>Isis</w:t>
      </w:r>
      <w:r w:rsidRPr="00180271">
        <w:rPr>
          <w:rFonts w:ascii="Times New Roman" w:hAnsi="Times New Roman" w:cs="Times New Roman"/>
          <w:sz w:val="22"/>
          <w:szCs w:val="22"/>
        </w:rPr>
        <w:t>, 17.1 (1932), pp. 6-24</w:t>
      </w:r>
    </w:p>
    <w:p w14:paraId="57D98A31" w14:textId="77777777" w:rsidR="00CD3389" w:rsidRDefault="00CD3389" w:rsidP="0089529E">
      <w:pPr>
        <w:ind w:hanging="720"/>
        <w:rPr>
          <w:rFonts w:ascii="Times New Roman" w:hAnsi="Times New Roman" w:cs="Times New Roman"/>
          <w:sz w:val="22"/>
          <w:szCs w:val="22"/>
        </w:rPr>
      </w:pPr>
    </w:p>
    <w:p w14:paraId="4F97640C"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sz w:val="22"/>
          <w:szCs w:val="22"/>
        </w:rPr>
        <w:t xml:space="preserve">Parker, Richard A., ‘Ancient Egyptian Astronomy’, in </w:t>
      </w:r>
      <w:r w:rsidRPr="00180271">
        <w:rPr>
          <w:rFonts w:ascii="Times New Roman" w:hAnsi="Times New Roman"/>
          <w:i/>
          <w:iCs/>
          <w:sz w:val="22"/>
          <w:szCs w:val="22"/>
        </w:rPr>
        <w:t>The Place of Astronomy in the Ancient World:</w:t>
      </w:r>
      <w:r w:rsidRPr="00180271">
        <w:rPr>
          <w:rFonts w:ascii="Times New Roman" w:hAnsi="Times New Roman"/>
          <w:sz w:val="22"/>
          <w:szCs w:val="22"/>
        </w:rPr>
        <w:t xml:space="preserve"> </w:t>
      </w:r>
      <w:r w:rsidRPr="00180271">
        <w:rPr>
          <w:rFonts w:ascii="Times New Roman" w:eastAsia="Times New Roman" w:hAnsi="Times New Roman"/>
          <w:i/>
          <w:iCs/>
          <w:sz w:val="22"/>
          <w:szCs w:val="22"/>
          <w:lang w:eastAsia="en-GB"/>
        </w:rPr>
        <w:t>Philosophical Transactions of the Royal Society of London. Series A, Mathematical and Physical Sciences</w:t>
      </w:r>
      <w:r w:rsidRPr="00180271">
        <w:rPr>
          <w:rFonts w:ascii="Times New Roman" w:eastAsia="Times New Roman" w:hAnsi="Times New Roman"/>
          <w:sz w:val="22"/>
          <w:szCs w:val="22"/>
          <w:lang w:eastAsia="en-GB"/>
        </w:rPr>
        <w:t xml:space="preserve"> </w:t>
      </w:r>
      <w:r w:rsidRPr="00180271">
        <w:rPr>
          <w:rFonts w:ascii="Times New Roman" w:eastAsia="Times New Roman" w:hAnsi="Times New Roman"/>
          <w:i/>
          <w:iCs/>
          <w:sz w:val="22"/>
          <w:szCs w:val="22"/>
          <w:lang w:eastAsia="en-GB"/>
        </w:rPr>
        <w:t xml:space="preserve">276.1257, </w:t>
      </w:r>
      <w:r w:rsidRPr="00180271">
        <w:rPr>
          <w:rFonts w:ascii="Times New Roman" w:eastAsia="Times New Roman" w:hAnsi="Times New Roman"/>
          <w:sz w:val="22"/>
          <w:szCs w:val="22"/>
          <w:lang w:eastAsia="en-GB"/>
        </w:rPr>
        <w:t>ed. F.R. Hodson (Oxford: Oxford University Press for the Royal Society, 1975), pp. 51-65</w:t>
      </w:r>
    </w:p>
    <w:p w14:paraId="7DFDE2B1" w14:textId="77777777" w:rsidR="00CD3389" w:rsidRDefault="00CD3389" w:rsidP="0089529E">
      <w:pPr>
        <w:ind w:left="720" w:hanging="720"/>
        <w:rPr>
          <w:rFonts w:ascii="Times New Roman" w:hAnsi="Times New Roman" w:cs="Times New Roman"/>
          <w:sz w:val="22"/>
          <w:szCs w:val="22"/>
        </w:rPr>
      </w:pPr>
    </w:p>
    <w:p w14:paraId="0FEE9A36" w14:textId="77777777" w:rsidR="00CD3389"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Prada, Luigi, ‘Dreams, Rising Stars, and Falling Geckos: Divination in Ancient Egypt’, </w:t>
      </w:r>
      <w:r w:rsidRPr="00180271">
        <w:rPr>
          <w:rFonts w:ascii="Times New Roman" w:hAnsi="Times New Roman" w:cs="Times New Roman"/>
          <w:i/>
          <w:iCs/>
          <w:sz w:val="22"/>
          <w:szCs w:val="22"/>
        </w:rPr>
        <w:t>Egyptian</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Archaeology</w:t>
      </w:r>
      <w:r w:rsidRPr="00180271">
        <w:rPr>
          <w:rFonts w:ascii="Times New Roman" w:hAnsi="Times New Roman" w:cs="Times New Roman"/>
          <w:sz w:val="22"/>
          <w:szCs w:val="22"/>
        </w:rPr>
        <w:t>, 51 (2017), 4-9</w:t>
      </w:r>
    </w:p>
    <w:p w14:paraId="4F9ED179" w14:textId="77777777" w:rsidR="00CD3389" w:rsidRPr="00180271" w:rsidRDefault="00CD3389" w:rsidP="0089529E">
      <w:pPr>
        <w:ind w:left="720" w:hanging="720"/>
        <w:rPr>
          <w:rFonts w:ascii="Times New Roman" w:hAnsi="Times New Roman" w:cs="Times New Roman"/>
          <w:sz w:val="22"/>
          <w:szCs w:val="22"/>
        </w:rPr>
      </w:pPr>
    </w:p>
    <w:p w14:paraId="1AD6F037" w14:textId="77777777" w:rsidR="00CD3389" w:rsidRPr="00180271" w:rsidRDefault="00CD3389" w:rsidP="0089529E">
      <w:pPr>
        <w:ind w:left="720" w:hanging="720"/>
        <w:rPr>
          <w:rStyle w:val="Emphasis"/>
          <w:rFonts w:ascii="Times New Roman" w:hAnsi="Times New Roman" w:cs="Times New Roman"/>
          <w:i w:val="0"/>
          <w:iCs w:val="0"/>
          <w:sz w:val="22"/>
          <w:szCs w:val="22"/>
        </w:rPr>
      </w:pPr>
      <w:r w:rsidRPr="00180271">
        <w:rPr>
          <w:rFonts w:ascii="Times New Roman" w:hAnsi="Times New Roman" w:cs="Times New Roman"/>
          <w:sz w:val="22"/>
          <w:szCs w:val="22"/>
        </w:rPr>
        <w:t xml:space="preserve">Riggs, Christina, ‘Archaism and Artistic Sources in Roman Egypt: The Coffins of the </w:t>
      </w:r>
      <w:proofErr w:type="spellStart"/>
      <w:r w:rsidRPr="00180271">
        <w:rPr>
          <w:rFonts w:ascii="Times New Roman" w:hAnsi="Times New Roman" w:cs="Times New Roman"/>
          <w:sz w:val="22"/>
          <w:szCs w:val="22"/>
        </w:rPr>
        <w:t>Sotor</w:t>
      </w:r>
      <w:proofErr w:type="spellEnd"/>
      <w:r w:rsidRPr="00180271">
        <w:rPr>
          <w:rFonts w:ascii="Times New Roman" w:hAnsi="Times New Roman" w:cs="Times New Roman"/>
          <w:sz w:val="22"/>
          <w:szCs w:val="22"/>
        </w:rPr>
        <w:t xml:space="preserve"> family and the Temple of Deir </w:t>
      </w:r>
      <w:proofErr w:type="spellStart"/>
      <w:r w:rsidRPr="00180271">
        <w:rPr>
          <w:rFonts w:ascii="Times New Roman" w:hAnsi="Times New Roman" w:cs="Times New Roman"/>
          <w:sz w:val="22"/>
          <w:szCs w:val="22"/>
        </w:rPr>
        <w:t>el</w:t>
      </w:r>
      <w:proofErr w:type="spellEnd"/>
      <w:r w:rsidRPr="00180271">
        <w:rPr>
          <w:rFonts w:ascii="Times New Roman" w:hAnsi="Times New Roman" w:cs="Times New Roman"/>
          <w:sz w:val="22"/>
          <w:szCs w:val="22"/>
        </w:rPr>
        <w:t xml:space="preserve">-Medina’, </w:t>
      </w:r>
      <w:r w:rsidRPr="00180271">
        <w:rPr>
          <w:rFonts w:ascii="Times New Roman" w:hAnsi="Times New Roman" w:cs="Times New Roman"/>
          <w:i/>
          <w:iCs/>
          <w:sz w:val="22"/>
          <w:szCs w:val="22"/>
          <w:shd w:val="clear" w:color="auto" w:fill="FFFFFF"/>
        </w:rPr>
        <w:t>Le</w:t>
      </w:r>
      <w:r w:rsidRPr="00180271">
        <w:rPr>
          <w:rStyle w:val="apple-converted-space"/>
          <w:rFonts w:ascii="Times New Roman" w:hAnsi="Times New Roman" w:cs="Times New Roman"/>
          <w:sz w:val="22"/>
          <w:szCs w:val="22"/>
          <w:shd w:val="clear" w:color="auto" w:fill="FFFFFF"/>
        </w:rPr>
        <w:t> </w:t>
      </w:r>
      <w:r w:rsidRPr="00180271">
        <w:rPr>
          <w:rStyle w:val="Emphasis"/>
          <w:rFonts w:ascii="Times New Roman" w:hAnsi="Times New Roman" w:cs="Times New Roman"/>
          <w:sz w:val="22"/>
          <w:szCs w:val="22"/>
        </w:rPr>
        <w:t xml:space="preserve">Bulletin de </w:t>
      </w:r>
      <w:proofErr w:type="spellStart"/>
      <w:r w:rsidRPr="00180271">
        <w:rPr>
          <w:rStyle w:val="Emphasis"/>
          <w:rFonts w:ascii="Times New Roman" w:hAnsi="Times New Roman" w:cs="Times New Roman"/>
          <w:sz w:val="22"/>
          <w:szCs w:val="22"/>
        </w:rPr>
        <w:t>l'Institut</w:t>
      </w:r>
      <w:proofErr w:type="spellEnd"/>
      <w:r w:rsidRPr="00180271">
        <w:rPr>
          <w:rStyle w:val="Emphasis"/>
          <w:rFonts w:ascii="Times New Roman" w:hAnsi="Times New Roman" w:cs="Times New Roman"/>
          <w:sz w:val="22"/>
          <w:szCs w:val="22"/>
        </w:rPr>
        <w:t xml:space="preserve"> </w:t>
      </w:r>
      <w:proofErr w:type="spellStart"/>
      <w:r w:rsidRPr="00180271">
        <w:rPr>
          <w:rStyle w:val="Emphasis"/>
          <w:rFonts w:ascii="Times New Roman" w:hAnsi="Times New Roman" w:cs="Times New Roman"/>
          <w:sz w:val="22"/>
          <w:szCs w:val="22"/>
        </w:rPr>
        <w:t>Français</w:t>
      </w:r>
      <w:proofErr w:type="spellEnd"/>
      <w:r w:rsidRPr="00180271">
        <w:rPr>
          <w:rStyle w:val="Emphasis"/>
          <w:rFonts w:ascii="Times New Roman" w:hAnsi="Times New Roman" w:cs="Times New Roman"/>
          <w:sz w:val="22"/>
          <w:szCs w:val="22"/>
        </w:rPr>
        <w:t xml:space="preserve"> </w:t>
      </w:r>
      <w:proofErr w:type="spellStart"/>
      <w:r w:rsidRPr="00180271">
        <w:rPr>
          <w:rStyle w:val="Emphasis"/>
          <w:rFonts w:ascii="Times New Roman" w:hAnsi="Times New Roman" w:cs="Times New Roman"/>
          <w:sz w:val="22"/>
          <w:szCs w:val="22"/>
        </w:rPr>
        <w:t>d'archéologie</w:t>
      </w:r>
      <w:proofErr w:type="spellEnd"/>
      <w:r w:rsidRPr="00180271">
        <w:rPr>
          <w:rStyle w:val="Emphasis"/>
          <w:rFonts w:ascii="Times New Roman" w:hAnsi="Times New Roman" w:cs="Times New Roman"/>
          <w:sz w:val="22"/>
          <w:szCs w:val="22"/>
        </w:rPr>
        <w:t xml:space="preserve"> </w:t>
      </w:r>
      <w:proofErr w:type="spellStart"/>
      <w:r w:rsidRPr="00180271">
        <w:rPr>
          <w:rStyle w:val="Emphasis"/>
          <w:rFonts w:ascii="Times New Roman" w:hAnsi="Times New Roman" w:cs="Times New Roman"/>
          <w:sz w:val="22"/>
          <w:szCs w:val="22"/>
        </w:rPr>
        <w:t>orientale</w:t>
      </w:r>
      <w:proofErr w:type="spellEnd"/>
      <w:r w:rsidRPr="00180271">
        <w:rPr>
          <w:rStyle w:val="Emphasis"/>
          <w:rFonts w:ascii="Times New Roman" w:hAnsi="Times New Roman" w:cs="Times New Roman"/>
          <w:sz w:val="22"/>
          <w:szCs w:val="22"/>
        </w:rPr>
        <w:t xml:space="preserve"> </w:t>
      </w:r>
      <w:r w:rsidRPr="00180271">
        <w:rPr>
          <w:rStyle w:val="Emphasis"/>
          <w:rFonts w:ascii="Times New Roman" w:hAnsi="Times New Roman" w:cs="Times New Roman"/>
          <w:i w:val="0"/>
          <w:iCs w:val="0"/>
          <w:sz w:val="22"/>
          <w:szCs w:val="22"/>
        </w:rPr>
        <w:t>106 (2006),</w:t>
      </w:r>
      <w:r w:rsidRPr="00180271">
        <w:rPr>
          <w:rStyle w:val="Emphasis"/>
          <w:rFonts w:ascii="Times New Roman" w:hAnsi="Times New Roman" w:cs="Times New Roman"/>
          <w:sz w:val="22"/>
          <w:szCs w:val="22"/>
        </w:rPr>
        <w:t xml:space="preserve"> 315-332</w:t>
      </w:r>
    </w:p>
    <w:p w14:paraId="42CA3EFA" w14:textId="3B452203" w:rsidR="00CD3389" w:rsidRDefault="00CD3389" w:rsidP="0089529E">
      <w:pPr>
        <w:rPr>
          <w:rFonts w:ascii="Times New Roman" w:hAnsi="Times New Roman" w:cs="Times New Roman"/>
          <w:sz w:val="22"/>
          <w:szCs w:val="22"/>
        </w:rPr>
      </w:pPr>
    </w:p>
    <w:p w14:paraId="63DEE438" w14:textId="77777777" w:rsidR="00CD3389" w:rsidRPr="00180271" w:rsidRDefault="00CD3389" w:rsidP="0089529E">
      <w:pPr>
        <w:ind w:left="720" w:hanging="720"/>
        <w:rPr>
          <w:rFonts w:ascii="Times New Roman" w:hAnsi="Times New Roman" w:cs="Times New Roman"/>
          <w:sz w:val="22"/>
          <w:szCs w:val="22"/>
        </w:rPr>
      </w:pPr>
      <w:proofErr w:type="spellStart"/>
      <w:r w:rsidRPr="00180271">
        <w:rPr>
          <w:rFonts w:ascii="Times New Roman" w:hAnsi="Times New Roman" w:cs="Times New Roman"/>
          <w:sz w:val="22"/>
          <w:szCs w:val="22"/>
        </w:rPr>
        <w:t>Ryholt</w:t>
      </w:r>
      <w:proofErr w:type="spellEnd"/>
      <w:r w:rsidRPr="00180271">
        <w:rPr>
          <w:rFonts w:ascii="Times New Roman" w:hAnsi="Times New Roman" w:cs="Times New Roman"/>
          <w:sz w:val="22"/>
          <w:szCs w:val="22"/>
        </w:rPr>
        <w:t xml:space="preserve">, Kim, ‘A Pair of Oracle Petitions Addressed to Horus-of-the-Camp’ </w:t>
      </w:r>
      <w:r w:rsidRPr="00180271">
        <w:rPr>
          <w:rFonts w:ascii="Times New Roman" w:hAnsi="Times New Roman" w:cs="Times New Roman"/>
          <w:i/>
          <w:iCs/>
          <w:sz w:val="22"/>
          <w:szCs w:val="22"/>
        </w:rPr>
        <w:t>The Journal of Egyptian</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Archaeology</w:t>
      </w:r>
      <w:r w:rsidRPr="00180271">
        <w:rPr>
          <w:rFonts w:ascii="Times New Roman" w:hAnsi="Times New Roman" w:cs="Times New Roman"/>
          <w:sz w:val="22"/>
          <w:szCs w:val="22"/>
        </w:rPr>
        <w:t>, 79 (1993), 189-198</w:t>
      </w:r>
    </w:p>
    <w:p w14:paraId="3125BAC7" w14:textId="77777777" w:rsidR="00CD3389" w:rsidRDefault="00CD3389" w:rsidP="0089529E">
      <w:pPr>
        <w:rPr>
          <w:rFonts w:ascii="Times New Roman" w:hAnsi="Times New Roman" w:cs="Times New Roman"/>
          <w:sz w:val="22"/>
          <w:szCs w:val="22"/>
        </w:rPr>
      </w:pPr>
    </w:p>
    <w:p w14:paraId="0F7B29C1"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Starr, Michelle, ‘Complete Depiction of The Zodiac Found in Ancient Egyptian Temple’, </w:t>
      </w:r>
      <w:r w:rsidRPr="00180271">
        <w:rPr>
          <w:rFonts w:ascii="Times New Roman" w:hAnsi="Times New Roman" w:cs="Times New Roman"/>
          <w:i/>
          <w:iCs/>
          <w:sz w:val="22"/>
          <w:szCs w:val="22"/>
        </w:rPr>
        <w:t>Science</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Alert</w:t>
      </w:r>
      <w:r w:rsidRPr="00180271">
        <w:rPr>
          <w:rFonts w:ascii="Times New Roman" w:hAnsi="Times New Roman" w:cs="Times New Roman"/>
          <w:sz w:val="22"/>
          <w:szCs w:val="22"/>
        </w:rPr>
        <w:t xml:space="preserve">, 24 March 2023. </w:t>
      </w:r>
      <w:hyperlink r:id="rId15" w:history="1">
        <w:r w:rsidRPr="00180271">
          <w:rPr>
            <w:rStyle w:val="Hyperlink"/>
            <w:rFonts w:ascii="Times New Roman" w:hAnsi="Times New Roman" w:cs="Times New Roman"/>
            <w:sz w:val="22"/>
            <w:szCs w:val="22"/>
          </w:rPr>
          <w:t>https://www.sciencealert.com/complete-depiction-of-the-zodiac-found-in-ancient-egyptian-temple</w:t>
        </w:r>
      </w:hyperlink>
      <w:r w:rsidRPr="00180271">
        <w:rPr>
          <w:rFonts w:ascii="Times New Roman" w:hAnsi="Times New Roman" w:cs="Times New Roman"/>
          <w:sz w:val="22"/>
          <w:szCs w:val="22"/>
        </w:rPr>
        <w:t xml:space="preserve"> [accessed 23 April 2023]</w:t>
      </w:r>
    </w:p>
    <w:p w14:paraId="5504ED4F" w14:textId="77777777" w:rsidR="00CD3389" w:rsidRPr="00180271" w:rsidRDefault="00CD3389" w:rsidP="0089529E">
      <w:pPr>
        <w:ind w:left="720" w:hanging="720"/>
        <w:rPr>
          <w:rFonts w:ascii="Times New Roman" w:hAnsi="Times New Roman" w:cs="Times New Roman"/>
          <w:sz w:val="22"/>
          <w:szCs w:val="22"/>
        </w:rPr>
      </w:pPr>
    </w:p>
    <w:p w14:paraId="3910CB1D" w14:textId="77777777"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Szpakowska, Kasia, 'Dream Interpretation in the Ramesside Age', in </w:t>
      </w:r>
      <w:r w:rsidRPr="00180271">
        <w:rPr>
          <w:rFonts w:ascii="Times New Roman" w:hAnsi="Times New Roman" w:cs="Times New Roman"/>
          <w:i/>
          <w:iCs/>
          <w:sz w:val="22"/>
          <w:szCs w:val="22"/>
        </w:rPr>
        <w:t>Ramesside Studies in Honour of</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K. A. Kitchen,</w:t>
      </w:r>
      <w:r w:rsidRPr="00180271">
        <w:rPr>
          <w:rFonts w:ascii="Times New Roman" w:hAnsi="Times New Roman" w:cs="Times New Roman"/>
          <w:sz w:val="22"/>
          <w:szCs w:val="22"/>
        </w:rPr>
        <w:t xml:space="preserve"> eds. by Mark Collier and Steven Snape (Bolton: Rutherford Press, 2011), pp. 509-17</w:t>
      </w:r>
    </w:p>
    <w:p w14:paraId="27FCD43A" w14:textId="77777777" w:rsidR="00CD3389" w:rsidRPr="00180271" w:rsidRDefault="00CD3389" w:rsidP="0089529E">
      <w:pPr>
        <w:rPr>
          <w:rFonts w:ascii="Times New Roman" w:hAnsi="Times New Roman" w:cs="Times New Roman"/>
          <w:sz w:val="22"/>
          <w:szCs w:val="22"/>
        </w:rPr>
      </w:pPr>
    </w:p>
    <w:p w14:paraId="5E15375C" w14:textId="44060FEE" w:rsidR="00CD3389" w:rsidRPr="00180271" w:rsidRDefault="00CD3389" w:rsidP="0089529E">
      <w:pPr>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Taylor John H., ‘Theban Coffins from the Twenty-Second to the Twenty- Sixth Dynasty: Dating and Synthesis of Development’, in </w:t>
      </w:r>
      <w:r w:rsidRPr="00180271">
        <w:rPr>
          <w:rFonts w:ascii="Times New Roman" w:hAnsi="Times New Roman" w:cs="Times New Roman"/>
          <w:i/>
          <w:iCs/>
          <w:sz w:val="22"/>
          <w:szCs w:val="22"/>
        </w:rPr>
        <w:t>The Theban Necropolis: Past, Present and Future</w:t>
      </w:r>
      <w:r w:rsidRPr="00180271">
        <w:rPr>
          <w:rFonts w:ascii="Times New Roman" w:hAnsi="Times New Roman" w:cs="Times New Roman"/>
          <w:sz w:val="22"/>
          <w:szCs w:val="22"/>
        </w:rPr>
        <w:t>, eds. by Nigel. Strudwick and John. H. Taylor, (London: British Museum Press, 2003), pp. 95-121.</w:t>
      </w:r>
    </w:p>
    <w:p w14:paraId="57ADEA9A" w14:textId="77777777" w:rsidR="00CD3389" w:rsidRPr="00180271" w:rsidRDefault="00CD3389" w:rsidP="0089529E">
      <w:pPr>
        <w:rPr>
          <w:rFonts w:ascii="Times New Roman" w:hAnsi="Times New Roman" w:cs="Times New Roman"/>
          <w:sz w:val="22"/>
          <w:szCs w:val="22"/>
        </w:rPr>
      </w:pPr>
    </w:p>
    <w:p w14:paraId="460E0D4E" w14:textId="77777777" w:rsidR="00CD3389" w:rsidRPr="00180271" w:rsidRDefault="00CD3389" w:rsidP="0089529E">
      <w:pPr>
        <w:ind w:left="720" w:hanging="720"/>
        <w:rPr>
          <w:rFonts w:ascii="Times New Roman" w:hAnsi="Times New Roman" w:cs="Times New Roman"/>
          <w:sz w:val="22"/>
          <w:szCs w:val="22"/>
        </w:rPr>
      </w:pPr>
      <w:proofErr w:type="spellStart"/>
      <w:r w:rsidRPr="00180271">
        <w:rPr>
          <w:rFonts w:ascii="Times New Roman" w:hAnsi="Times New Roman" w:cs="Times New Roman"/>
          <w:sz w:val="22"/>
          <w:szCs w:val="22"/>
        </w:rPr>
        <w:t>Piankoff</w:t>
      </w:r>
      <w:proofErr w:type="spellEnd"/>
      <w:r w:rsidRPr="00180271">
        <w:rPr>
          <w:rFonts w:ascii="Times New Roman" w:hAnsi="Times New Roman" w:cs="Times New Roman"/>
          <w:sz w:val="22"/>
          <w:szCs w:val="22"/>
        </w:rPr>
        <w:t xml:space="preserve">, Alexander, ‘The Sky-Goddess Nut and the Night Journey of the Sun’, </w:t>
      </w:r>
      <w:r w:rsidRPr="00180271">
        <w:rPr>
          <w:rFonts w:ascii="Times New Roman" w:hAnsi="Times New Roman" w:cs="Times New Roman"/>
          <w:i/>
          <w:iCs/>
          <w:sz w:val="22"/>
          <w:szCs w:val="22"/>
        </w:rPr>
        <w:t>The Journal of</w:t>
      </w:r>
      <w:r w:rsidRPr="00180271">
        <w:rPr>
          <w:rFonts w:ascii="Times New Roman" w:hAnsi="Times New Roman" w:cs="Times New Roman"/>
          <w:sz w:val="22"/>
          <w:szCs w:val="22"/>
        </w:rPr>
        <w:t xml:space="preserve"> </w:t>
      </w:r>
      <w:r w:rsidRPr="00180271">
        <w:rPr>
          <w:rFonts w:ascii="Times New Roman" w:hAnsi="Times New Roman" w:cs="Times New Roman"/>
          <w:i/>
          <w:iCs/>
          <w:sz w:val="22"/>
          <w:szCs w:val="22"/>
        </w:rPr>
        <w:t>Egyptian Archaeology</w:t>
      </w:r>
      <w:r w:rsidRPr="00180271">
        <w:rPr>
          <w:rFonts w:ascii="Times New Roman" w:hAnsi="Times New Roman" w:cs="Times New Roman"/>
          <w:sz w:val="22"/>
          <w:szCs w:val="22"/>
        </w:rPr>
        <w:t xml:space="preserve"> 20.1/2 (1934), 57-61</w:t>
      </w:r>
    </w:p>
    <w:p w14:paraId="242150BD" w14:textId="77777777" w:rsidR="00CD3389" w:rsidRPr="00180271" w:rsidRDefault="00CD3389" w:rsidP="0089529E">
      <w:pPr>
        <w:rPr>
          <w:rFonts w:ascii="Times New Roman" w:hAnsi="Times New Roman" w:cs="Times New Roman"/>
          <w:sz w:val="22"/>
          <w:szCs w:val="22"/>
        </w:rPr>
      </w:pPr>
    </w:p>
    <w:p w14:paraId="2D232F9D" w14:textId="77777777" w:rsidR="00CD3389" w:rsidRPr="00050462" w:rsidRDefault="00CD3389" w:rsidP="0089529E">
      <w:pPr>
        <w:pStyle w:val="FootnoteText"/>
        <w:ind w:left="720" w:hanging="720"/>
        <w:rPr>
          <w:rFonts w:ascii="Times New Roman" w:hAnsi="Times New Roman" w:cs="Times New Roman"/>
          <w:sz w:val="22"/>
          <w:szCs w:val="22"/>
        </w:rPr>
      </w:pPr>
      <w:r w:rsidRPr="00180271">
        <w:rPr>
          <w:rFonts w:ascii="Times New Roman" w:hAnsi="Times New Roman" w:cs="Times New Roman"/>
          <w:sz w:val="22"/>
          <w:szCs w:val="22"/>
        </w:rPr>
        <w:t xml:space="preserve">Steven Quirke, </w:t>
      </w:r>
      <w:r w:rsidRPr="00180271">
        <w:rPr>
          <w:rFonts w:ascii="Times New Roman" w:hAnsi="Times New Roman" w:cs="Times New Roman"/>
          <w:i/>
          <w:iCs/>
          <w:sz w:val="22"/>
          <w:szCs w:val="22"/>
        </w:rPr>
        <w:t>The Cult of Ra: Sun-worship In Ancient Egypt</w:t>
      </w:r>
      <w:r w:rsidRPr="00180271">
        <w:rPr>
          <w:rFonts w:ascii="Times New Roman" w:hAnsi="Times New Roman" w:cs="Times New Roman"/>
          <w:sz w:val="22"/>
          <w:szCs w:val="22"/>
        </w:rPr>
        <w:t xml:space="preserve"> (London: Thames &amp; Hudson Ltd., 2001)</w:t>
      </w:r>
    </w:p>
    <w:p w14:paraId="39E6626B" w14:textId="77777777" w:rsidR="00CD3389" w:rsidRDefault="00CD3389" w:rsidP="0089529E">
      <w:pPr>
        <w:rPr>
          <w:rFonts w:ascii="Times New Roman" w:hAnsi="Times New Roman" w:cs="Times New Roman"/>
          <w:sz w:val="22"/>
          <w:szCs w:val="22"/>
        </w:rPr>
      </w:pPr>
    </w:p>
    <w:p w14:paraId="03D48321" w14:textId="379DF0C8" w:rsidR="00CD3389" w:rsidRPr="0089529E" w:rsidRDefault="00CD3389" w:rsidP="0089529E">
      <w:pPr>
        <w:pStyle w:val="NormalWeb"/>
        <w:shd w:val="clear" w:color="auto" w:fill="FFFFFF"/>
        <w:ind w:left="720" w:hanging="720"/>
        <w:rPr>
          <w:rFonts w:ascii="Times New Roman" w:hAnsi="Times New Roman"/>
          <w:color w:val="auto"/>
          <w:sz w:val="22"/>
          <w:szCs w:val="22"/>
        </w:rPr>
      </w:pPr>
      <w:proofErr w:type="spellStart"/>
      <w:r w:rsidRPr="00180271">
        <w:rPr>
          <w:rFonts w:ascii="Times New Roman" w:hAnsi="Times New Roman"/>
          <w:sz w:val="22"/>
          <w:szCs w:val="22"/>
        </w:rPr>
        <w:t>Wente</w:t>
      </w:r>
      <w:proofErr w:type="spellEnd"/>
      <w:r w:rsidRPr="00180271">
        <w:rPr>
          <w:rFonts w:ascii="Times New Roman" w:hAnsi="Times New Roman"/>
          <w:sz w:val="22"/>
          <w:szCs w:val="22"/>
        </w:rPr>
        <w:t>, Edward F., ‘</w:t>
      </w:r>
      <w:r w:rsidRPr="00180271">
        <w:rPr>
          <w:rFonts w:ascii="Times New Roman" w:hAnsi="Times New Roman"/>
          <w:color w:val="auto"/>
          <w:sz w:val="22"/>
          <w:szCs w:val="22"/>
        </w:rPr>
        <w:t xml:space="preserve">Mysticism in Pharaonic Egypt?’, </w:t>
      </w:r>
      <w:r w:rsidRPr="00180271">
        <w:rPr>
          <w:rFonts w:ascii="Times New Roman" w:hAnsi="Times New Roman"/>
          <w:i/>
          <w:iCs/>
          <w:color w:val="auto"/>
          <w:sz w:val="22"/>
          <w:szCs w:val="22"/>
        </w:rPr>
        <w:t>Journal of Near Eastern Studies</w:t>
      </w:r>
      <w:r w:rsidRPr="00180271">
        <w:rPr>
          <w:rFonts w:ascii="Times New Roman" w:hAnsi="Times New Roman"/>
          <w:color w:val="auto"/>
          <w:sz w:val="22"/>
          <w:szCs w:val="22"/>
        </w:rPr>
        <w:t>, Vol. 41, No. 3 (1982), 161- 179</w:t>
      </w:r>
    </w:p>
    <w:sectPr w:rsidR="00CD3389" w:rsidRPr="0089529E" w:rsidSect="000C690B">
      <w:headerReference w:type="default" r:id="rId16"/>
      <w:footerReference w:type="default" r:id="rId17"/>
      <w:pgSz w:w="11900" w:h="16840"/>
      <w:pgMar w:top="1008"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0F01A" w14:textId="77777777" w:rsidR="00973350" w:rsidRDefault="00973350">
      <w:r>
        <w:separator/>
      </w:r>
    </w:p>
  </w:endnote>
  <w:endnote w:type="continuationSeparator" w:id="0">
    <w:p w14:paraId="23545E31" w14:textId="77777777" w:rsidR="00973350" w:rsidRDefault="0097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alibri (Body)">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636106"/>
      <w:docPartObj>
        <w:docPartGallery w:val="Page Numbers (Bottom of Page)"/>
        <w:docPartUnique/>
      </w:docPartObj>
    </w:sdtPr>
    <w:sdtContent>
      <w:p w14:paraId="296B3DBE" w14:textId="77777777" w:rsidR="004B09AE" w:rsidRDefault="00000000" w:rsidP="007736C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3144B">
          <w:rPr>
            <w:rStyle w:val="PageNumber"/>
            <w:noProof/>
          </w:rPr>
          <w:t>1</w:t>
        </w:r>
        <w:r>
          <w:rPr>
            <w:rStyle w:val="PageNumber"/>
          </w:rPr>
          <w:fldChar w:fldCharType="end"/>
        </w:r>
      </w:p>
    </w:sdtContent>
  </w:sdt>
  <w:p w14:paraId="122C59A0" w14:textId="77777777" w:rsidR="004B09AE" w:rsidRDefault="004B0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EE5C" w14:textId="77777777" w:rsidR="000C690B" w:rsidRDefault="000C69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C13E" w14:textId="77777777" w:rsidR="000C690B" w:rsidRDefault="000C69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1BADD" w14:textId="77777777" w:rsidR="007736CD" w:rsidRDefault="00773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CF270" w14:textId="77777777" w:rsidR="00973350" w:rsidRDefault="00973350" w:rsidP="004B09AE">
      <w:r>
        <w:separator/>
      </w:r>
    </w:p>
  </w:footnote>
  <w:footnote w:type="continuationSeparator" w:id="0">
    <w:p w14:paraId="6F9EE8A8" w14:textId="77777777" w:rsidR="00973350" w:rsidRDefault="00973350" w:rsidP="004B09AE">
      <w:r>
        <w:continuationSeparator/>
      </w:r>
    </w:p>
  </w:footnote>
  <w:footnote w:id="1">
    <w:p w14:paraId="4AB3C4C1" w14:textId="77777777" w:rsidR="00167664" w:rsidRPr="00CD3389" w:rsidRDefault="00167664" w:rsidP="00CD3389">
      <w:pPr>
        <w:rPr>
          <w:rFonts w:ascii="Times New Roman" w:hAnsi="Times New Roman" w:cs="Times New Roman"/>
          <w:sz w:val="22"/>
          <w:szCs w:val="22"/>
        </w:rPr>
      </w:pPr>
      <w:r w:rsidRPr="00963268">
        <w:rPr>
          <w:rStyle w:val="FootnoteReference"/>
          <w:rFonts w:cs="Arial"/>
          <w:sz w:val="22"/>
          <w:szCs w:val="22"/>
        </w:rPr>
        <w:footnoteRef/>
      </w:r>
      <w:r w:rsidRPr="00963268">
        <w:rPr>
          <w:rFonts w:cs="Arial"/>
          <w:sz w:val="22"/>
          <w:szCs w:val="22"/>
        </w:rPr>
        <w:t xml:space="preserve"> </w:t>
      </w:r>
      <w:r w:rsidRPr="00CD3389">
        <w:rPr>
          <w:rFonts w:ascii="Times New Roman" w:hAnsi="Times New Roman" w:cs="Times New Roman"/>
          <w:sz w:val="22"/>
          <w:szCs w:val="22"/>
        </w:rPr>
        <w:t xml:space="preserve">James P. Allen, ‘Egyptian Cosmology and Cosmogony’, in </w:t>
      </w:r>
      <w:r w:rsidRPr="00CD3389">
        <w:rPr>
          <w:rFonts w:ascii="Times New Roman" w:hAnsi="Times New Roman" w:cs="Times New Roman"/>
          <w:i/>
          <w:iCs/>
          <w:sz w:val="22"/>
          <w:szCs w:val="22"/>
        </w:rPr>
        <w:t>Handbook of Archaeoastronomy and Ethnoastronomy</w:t>
      </w:r>
      <w:r w:rsidRPr="00CD3389">
        <w:rPr>
          <w:rFonts w:ascii="Times New Roman" w:hAnsi="Times New Roman" w:cs="Times New Roman"/>
          <w:sz w:val="22"/>
          <w:szCs w:val="22"/>
        </w:rPr>
        <w:t>, ed. by Clive L. N. Ruggles (New York: Springer, 2015), pp 1471-1475 (p. 1471).</w:t>
      </w:r>
    </w:p>
  </w:footnote>
  <w:footnote w:id="2">
    <w:p w14:paraId="6D8FF83A" w14:textId="77777777" w:rsidR="00167664" w:rsidRPr="00CD3389" w:rsidRDefault="00167664" w:rsidP="00CD3389">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Nicholas Campion, </w:t>
      </w:r>
      <w:r w:rsidRPr="00CD3389">
        <w:rPr>
          <w:rFonts w:ascii="Times New Roman" w:hAnsi="Times New Roman" w:cs="Times New Roman"/>
          <w:i/>
          <w:iCs/>
          <w:sz w:val="22"/>
          <w:szCs w:val="22"/>
        </w:rPr>
        <w:t>A History of Western Astrology: Volume 1: The Ancient World</w:t>
      </w:r>
      <w:r w:rsidRPr="00CD3389">
        <w:rPr>
          <w:rFonts w:ascii="Times New Roman" w:hAnsi="Times New Roman" w:cs="Times New Roman"/>
          <w:sz w:val="22"/>
          <w:szCs w:val="22"/>
        </w:rPr>
        <w:t>. (London, Bloomsbury Academic, 2008), p. 87.</w:t>
      </w:r>
    </w:p>
  </w:footnote>
  <w:footnote w:id="3">
    <w:p w14:paraId="4732BA49" w14:textId="77777777" w:rsidR="00167664" w:rsidRPr="00CD3389" w:rsidRDefault="00167664" w:rsidP="00CD3389">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Scott B. </w:t>
      </w:r>
      <w:proofErr w:type="spellStart"/>
      <w:r w:rsidRPr="00CD3389">
        <w:rPr>
          <w:rFonts w:ascii="Times New Roman" w:hAnsi="Times New Roman" w:cs="Times New Roman"/>
          <w:sz w:val="22"/>
          <w:szCs w:val="22"/>
        </w:rPr>
        <w:t>Noegel</w:t>
      </w:r>
      <w:proofErr w:type="spellEnd"/>
      <w:r w:rsidRPr="00CD3389">
        <w:rPr>
          <w:rFonts w:ascii="Times New Roman" w:hAnsi="Times New Roman" w:cs="Times New Roman"/>
          <w:sz w:val="22"/>
          <w:szCs w:val="22"/>
        </w:rPr>
        <w:t xml:space="preserve">, '"Sign, Sign, </w:t>
      </w:r>
      <w:proofErr w:type="gramStart"/>
      <w:r w:rsidRPr="00CD3389">
        <w:rPr>
          <w:rFonts w:ascii="Times New Roman" w:hAnsi="Times New Roman" w:cs="Times New Roman"/>
          <w:sz w:val="22"/>
          <w:szCs w:val="22"/>
        </w:rPr>
        <w:t>Everywhere</w:t>
      </w:r>
      <w:proofErr w:type="gramEnd"/>
      <w:r w:rsidRPr="00CD3389">
        <w:rPr>
          <w:rFonts w:ascii="Times New Roman" w:hAnsi="Times New Roman" w:cs="Times New Roman"/>
          <w:sz w:val="22"/>
          <w:szCs w:val="22"/>
        </w:rPr>
        <w:t xml:space="preserve"> a Sign": Script, Power, and Interpretation in the Ancient Near East', in </w:t>
      </w:r>
      <w:r w:rsidRPr="00CD3389">
        <w:rPr>
          <w:rFonts w:ascii="Times New Roman" w:hAnsi="Times New Roman" w:cs="Times New Roman"/>
          <w:i/>
          <w:iCs/>
          <w:sz w:val="22"/>
          <w:szCs w:val="22"/>
        </w:rPr>
        <w:t>Divination and Interpretation of Signs in the Ancient World. Chicago III</w:t>
      </w:r>
      <w:r w:rsidRPr="00CD3389">
        <w:rPr>
          <w:rFonts w:ascii="Times New Roman" w:hAnsi="Times New Roman" w:cs="Times New Roman"/>
          <w:sz w:val="22"/>
          <w:szCs w:val="22"/>
        </w:rPr>
        <w:t>, ed. by Annus Amar (Chicago: Oriental Institute of the University of Chicago, 2010), pp. 143-162 (p. 143).</w:t>
      </w:r>
    </w:p>
  </w:footnote>
  <w:footnote w:id="4">
    <w:p w14:paraId="00216E0C" w14:textId="77777777" w:rsidR="00167664" w:rsidRPr="00CD3389" w:rsidRDefault="00167664" w:rsidP="00CD3389">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Herodotus, </w:t>
      </w:r>
      <w:r w:rsidRPr="00CD3389">
        <w:rPr>
          <w:rFonts w:ascii="Times New Roman" w:hAnsi="Times New Roman" w:cs="Times New Roman"/>
          <w:i/>
          <w:iCs/>
          <w:sz w:val="22"/>
          <w:szCs w:val="22"/>
        </w:rPr>
        <w:t>The Histories</w:t>
      </w:r>
      <w:r w:rsidRPr="00CD3389">
        <w:rPr>
          <w:rFonts w:ascii="Times New Roman" w:hAnsi="Times New Roman" w:cs="Times New Roman"/>
          <w:sz w:val="22"/>
          <w:szCs w:val="22"/>
        </w:rPr>
        <w:t xml:space="preserve">, trans. by Aubrey de </w:t>
      </w:r>
      <w:proofErr w:type="spellStart"/>
      <w:r w:rsidRPr="00CD3389">
        <w:rPr>
          <w:rFonts w:ascii="Times New Roman" w:hAnsi="Times New Roman" w:cs="Times New Roman"/>
          <w:sz w:val="22"/>
          <w:szCs w:val="22"/>
        </w:rPr>
        <w:t>Sélincourt</w:t>
      </w:r>
      <w:proofErr w:type="spellEnd"/>
      <w:r w:rsidRPr="00CD3389">
        <w:rPr>
          <w:rFonts w:ascii="Times New Roman" w:hAnsi="Times New Roman" w:cs="Times New Roman"/>
          <w:sz w:val="22"/>
          <w:szCs w:val="22"/>
        </w:rPr>
        <w:t xml:space="preserve">. Revised by John </w:t>
      </w:r>
      <w:proofErr w:type="spellStart"/>
      <w:r w:rsidRPr="00CD3389">
        <w:rPr>
          <w:rFonts w:ascii="Times New Roman" w:hAnsi="Times New Roman" w:cs="Times New Roman"/>
          <w:sz w:val="22"/>
          <w:szCs w:val="22"/>
        </w:rPr>
        <w:t>Marincola</w:t>
      </w:r>
      <w:proofErr w:type="spellEnd"/>
      <w:r w:rsidRPr="00CD3389">
        <w:rPr>
          <w:rFonts w:ascii="Times New Roman" w:hAnsi="Times New Roman" w:cs="Times New Roman"/>
          <w:sz w:val="22"/>
          <w:szCs w:val="22"/>
        </w:rPr>
        <w:t>. (London: Penguin Books, 1996), Book II. 82, p. 114.</w:t>
      </w:r>
    </w:p>
  </w:footnote>
  <w:footnote w:id="5">
    <w:p w14:paraId="1D876893" w14:textId="77777777" w:rsidR="00167664" w:rsidRPr="00CD3389" w:rsidRDefault="00167664" w:rsidP="00CD3389">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Luigi Prada, ‘Dreams, Rising Stars, and Falling Geckos: Divination in Ancient Egypt’, Egyptian Archaeology, 51 (2017), 4-9 (pp. 6-7).</w:t>
      </w:r>
    </w:p>
  </w:footnote>
  <w:footnote w:id="6">
    <w:p w14:paraId="6EC39B4E" w14:textId="77777777" w:rsidR="00167664" w:rsidRPr="00CD3389" w:rsidRDefault="00167664" w:rsidP="00CD3389">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Alexandra von Lieven, ‘Divination in </w:t>
      </w:r>
      <w:proofErr w:type="spellStart"/>
      <w:r w:rsidRPr="00CD3389">
        <w:rPr>
          <w:rFonts w:ascii="Times New Roman" w:hAnsi="Times New Roman" w:cs="Times New Roman"/>
          <w:sz w:val="22"/>
          <w:szCs w:val="22"/>
        </w:rPr>
        <w:t>Ägypten</w:t>
      </w:r>
      <w:proofErr w:type="spellEnd"/>
      <w:r w:rsidRPr="00CD3389">
        <w:rPr>
          <w:rFonts w:ascii="Times New Roman" w:hAnsi="Times New Roman" w:cs="Times New Roman"/>
          <w:sz w:val="22"/>
          <w:szCs w:val="22"/>
        </w:rPr>
        <w:t xml:space="preserve">’, </w:t>
      </w:r>
      <w:proofErr w:type="spellStart"/>
      <w:r w:rsidRPr="00CD3389">
        <w:rPr>
          <w:rFonts w:ascii="Times New Roman" w:hAnsi="Times New Roman" w:cs="Times New Roman"/>
          <w:i/>
          <w:iCs/>
          <w:sz w:val="22"/>
          <w:szCs w:val="22"/>
        </w:rPr>
        <w:t>Altorientalische</w:t>
      </w:r>
      <w:proofErr w:type="spellEnd"/>
      <w:r w:rsidRPr="00CD3389">
        <w:rPr>
          <w:rFonts w:ascii="Times New Roman" w:hAnsi="Times New Roman" w:cs="Times New Roman"/>
          <w:i/>
          <w:iCs/>
          <w:sz w:val="22"/>
          <w:szCs w:val="22"/>
        </w:rPr>
        <w:t xml:space="preserve"> </w:t>
      </w:r>
      <w:proofErr w:type="spellStart"/>
      <w:r w:rsidRPr="00CD3389">
        <w:rPr>
          <w:rFonts w:ascii="Times New Roman" w:hAnsi="Times New Roman" w:cs="Times New Roman"/>
          <w:i/>
          <w:iCs/>
          <w:sz w:val="22"/>
          <w:szCs w:val="22"/>
        </w:rPr>
        <w:t>Forschungen</w:t>
      </w:r>
      <w:proofErr w:type="spellEnd"/>
      <w:r w:rsidRPr="00CD3389">
        <w:rPr>
          <w:rFonts w:ascii="Times New Roman" w:hAnsi="Times New Roman" w:cs="Times New Roman"/>
          <w:i/>
          <w:iCs/>
          <w:sz w:val="22"/>
          <w:szCs w:val="22"/>
        </w:rPr>
        <w:t>,</w:t>
      </w:r>
      <w:r w:rsidRPr="00CD3389">
        <w:rPr>
          <w:rFonts w:ascii="Times New Roman" w:hAnsi="Times New Roman" w:cs="Times New Roman"/>
          <w:sz w:val="22"/>
          <w:szCs w:val="22"/>
        </w:rPr>
        <w:t xml:space="preserve"> 26.1 (1999), 77-126 (p.116).</w:t>
      </w:r>
    </w:p>
  </w:footnote>
  <w:footnote w:id="7">
    <w:p w14:paraId="6129E7A2" w14:textId="77777777" w:rsidR="00167664" w:rsidRPr="00CD3389" w:rsidRDefault="00167664" w:rsidP="00CD3389">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Kasia Szpakowska, 'Dream Interpretation in the Ramesside Age', in </w:t>
      </w:r>
      <w:r w:rsidRPr="00CD3389">
        <w:rPr>
          <w:rFonts w:ascii="Times New Roman" w:hAnsi="Times New Roman" w:cs="Times New Roman"/>
          <w:i/>
          <w:iCs/>
          <w:sz w:val="22"/>
          <w:szCs w:val="22"/>
        </w:rPr>
        <w:t>Ramesside Studies in Honour of</w:t>
      </w:r>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K. A. Kitchen,</w:t>
      </w:r>
      <w:r w:rsidRPr="00CD3389">
        <w:rPr>
          <w:rFonts w:ascii="Times New Roman" w:hAnsi="Times New Roman" w:cs="Times New Roman"/>
          <w:sz w:val="22"/>
          <w:szCs w:val="22"/>
        </w:rPr>
        <w:t xml:space="preserve"> eds. by Mark Collier and Steven Snape (Bolton: Rutherford Press, 2011), pp. 509-17 (p. 510).</w:t>
      </w:r>
    </w:p>
    <w:p w14:paraId="1FA82C10" w14:textId="77777777" w:rsidR="00167664" w:rsidRDefault="00167664" w:rsidP="00167664">
      <w:pPr>
        <w:pStyle w:val="FootnoteText"/>
      </w:pPr>
    </w:p>
  </w:footnote>
  <w:footnote w:id="8">
    <w:p w14:paraId="11AF1F1B"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Prada, ‘Dreams, Rising Stars, and Falling Geckos’, p. 7.</w:t>
      </w:r>
    </w:p>
  </w:footnote>
  <w:footnote w:id="9">
    <w:p w14:paraId="0649189E"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Prada, ‘Dreams, Rising Stars, and Falling Geckos’, p. 7.</w:t>
      </w:r>
    </w:p>
  </w:footnote>
  <w:footnote w:id="10">
    <w:p w14:paraId="3D4215A7"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Prada, ‘Dreams, Rising Stars, and Falling Geckos’, p. 7.</w:t>
      </w:r>
    </w:p>
  </w:footnote>
  <w:footnote w:id="11">
    <w:p w14:paraId="2B45809C"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Helge S. </w:t>
      </w:r>
      <w:proofErr w:type="spellStart"/>
      <w:r w:rsidRPr="00CD3389">
        <w:rPr>
          <w:rFonts w:ascii="Times New Roman" w:hAnsi="Times New Roman" w:cs="Times New Roman"/>
          <w:sz w:val="22"/>
          <w:szCs w:val="22"/>
        </w:rPr>
        <w:t>Kragh</w:t>
      </w:r>
      <w:proofErr w:type="spellEnd"/>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Conceptions of Cosmos: From Myths to the Accelerating Universe: A History of Cosmology</w:t>
      </w:r>
      <w:r w:rsidRPr="00CD3389">
        <w:rPr>
          <w:rFonts w:ascii="Times New Roman" w:hAnsi="Times New Roman" w:cs="Times New Roman"/>
          <w:sz w:val="22"/>
          <w:szCs w:val="22"/>
        </w:rPr>
        <w:t xml:space="preserve"> (Oxford: Oxford University Press, 2006), pp. 1-2.</w:t>
      </w:r>
    </w:p>
  </w:footnote>
  <w:footnote w:id="12">
    <w:p w14:paraId="2463AB74"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proofErr w:type="spellStart"/>
      <w:r w:rsidRPr="00CD3389">
        <w:rPr>
          <w:rFonts w:ascii="Times New Roman" w:hAnsi="Times New Roman" w:cs="Times New Roman"/>
          <w:sz w:val="22"/>
          <w:szCs w:val="22"/>
        </w:rPr>
        <w:t>Kragh</w:t>
      </w:r>
      <w:proofErr w:type="spellEnd"/>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Conceptions of Cosmos</w:t>
      </w:r>
      <w:r w:rsidRPr="00CD3389">
        <w:rPr>
          <w:rFonts w:ascii="Times New Roman" w:hAnsi="Times New Roman" w:cs="Times New Roman"/>
          <w:sz w:val="22"/>
          <w:szCs w:val="22"/>
        </w:rPr>
        <w:t>, p. 2.</w:t>
      </w:r>
    </w:p>
  </w:footnote>
  <w:footnote w:id="13">
    <w:p w14:paraId="1EB53F42"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proofErr w:type="spellStart"/>
      <w:r w:rsidRPr="00CD3389">
        <w:rPr>
          <w:rFonts w:ascii="Times New Roman" w:hAnsi="Times New Roman" w:cs="Times New Roman"/>
          <w:sz w:val="22"/>
          <w:szCs w:val="22"/>
        </w:rPr>
        <w:t>Kragh</w:t>
      </w:r>
      <w:proofErr w:type="spellEnd"/>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Conceptions of Cosmos</w:t>
      </w:r>
      <w:r w:rsidRPr="00CD3389">
        <w:rPr>
          <w:rFonts w:ascii="Times New Roman" w:hAnsi="Times New Roman" w:cs="Times New Roman"/>
          <w:sz w:val="22"/>
          <w:szCs w:val="22"/>
        </w:rPr>
        <w:t>, pp. 6-8.</w:t>
      </w:r>
    </w:p>
  </w:footnote>
  <w:footnote w:id="14">
    <w:p w14:paraId="2A4890B5"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Nicholas Campion, </w:t>
      </w:r>
      <w:r w:rsidRPr="00CD3389">
        <w:rPr>
          <w:rFonts w:ascii="Times New Roman" w:hAnsi="Times New Roman" w:cs="Times New Roman"/>
          <w:i/>
          <w:iCs/>
          <w:sz w:val="22"/>
          <w:szCs w:val="22"/>
        </w:rPr>
        <w:t>Astrology and Cosmology in the World’s Religions</w:t>
      </w:r>
      <w:r w:rsidRPr="00CD3389">
        <w:rPr>
          <w:rFonts w:ascii="Times New Roman" w:hAnsi="Times New Roman" w:cs="Times New Roman"/>
          <w:sz w:val="22"/>
          <w:szCs w:val="22"/>
        </w:rPr>
        <w:t xml:space="preserve"> (New York: New York University Press, 2012), pp. 1-3.</w:t>
      </w:r>
    </w:p>
  </w:footnote>
  <w:footnote w:id="15">
    <w:p w14:paraId="3CE43F67"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Campion, </w:t>
      </w:r>
      <w:r w:rsidRPr="00CD3389">
        <w:rPr>
          <w:rFonts w:ascii="Times New Roman" w:hAnsi="Times New Roman" w:cs="Times New Roman"/>
          <w:i/>
          <w:iCs/>
          <w:sz w:val="22"/>
          <w:szCs w:val="22"/>
        </w:rPr>
        <w:t xml:space="preserve">A History of Western Astrology: Volume 1, </w:t>
      </w:r>
      <w:r w:rsidRPr="00CD3389">
        <w:rPr>
          <w:rFonts w:ascii="Times New Roman" w:hAnsi="Times New Roman" w:cs="Times New Roman"/>
          <w:sz w:val="22"/>
          <w:szCs w:val="22"/>
        </w:rPr>
        <w:t>p. 88.</w:t>
      </w:r>
    </w:p>
  </w:footnote>
  <w:footnote w:id="16">
    <w:p w14:paraId="1B612F7B"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Campion, </w:t>
      </w:r>
      <w:r w:rsidRPr="00CD3389">
        <w:rPr>
          <w:rFonts w:ascii="Times New Roman" w:hAnsi="Times New Roman" w:cs="Times New Roman"/>
          <w:i/>
          <w:iCs/>
          <w:sz w:val="22"/>
          <w:szCs w:val="22"/>
        </w:rPr>
        <w:t xml:space="preserve">A History of Western Astrology: Volume 1, </w:t>
      </w:r>
      <w:r w:rsidRPr="00CD3389">
        <w:rPr>
          <w:rFonts w:ascii="Times New Roman" w:hAnsi="Times New Roman" w:cs="Times New Roman"/>
          <w:sz w:val="22"/>
          <w:szCs w:val="22"/>
        </w:rPr>
        <w:t>p. 89.</w:t>
      </w:r>
    </w:p>
  </w:footnote>
  <w:footnote w:id="17">
    <w:p w14:paraId="7A674C1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Susan Tower Hollis, </w:t>
      </w:r>
      <w:r w:rsidRPr="00CD3389">
        <w:rPr>
          <w:rFonts w:ascii="Times New Roman" w:hAnsi="Times New Roman" w:cs="Times New Roman"/>
          <w:i/>
          <w:iCs/>
          <w:sz w:val="22"/>
          <w:szCs w:val="22"/>
        </w:rPr>
        <w:t>Five Egyptian Goddesses: Their Possible Beginnings, Actions, and Relationships in the Third Millennium B.C.E</w:t>
      </w:r>
      <w:r w:rsidRPr="00CD3389">
        <w:rPr>
          <w:rFonts w:ascii="Times New Roman" w:hAnsi="Times New Roman" w:cs="Times New Roman"/>
          <w:sz w:val="22"/>
          <w:szCs w:val="22"/>
        </w:rPr>
        <w:t>, (London: Bloomsbury Publishing Ltd, 2020), p. 1.</w:t>
      </w:r>
    </w:p>
  </w:footnote>
  <w:footnote w:id="18">
    <w:p w14:paraId="67DECFFE"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Hollis, </w:t>
      </w:r>
      <w:r w:rsidRPr="00CD3389">
        <w:rPr>
          <w:rFonts w:ascii="Times New Roman" w:hAnsi="Times New Roman" w:cs="Times New Roman"/>
          <w:i/>
          <w:iCs/>
          <w:sz w:val="22"/>
          <w:szCs w:val="22"/>
        </w:rPr>
        <w:t>Five Egyptian Goddesses</w:t>
      </w:r>
      <w:r w:rsidRPr="00CD3389">
        <w:rPr>
          <w:rFonts w:ascii="Times New Roman" w:hAnsi="Times New Roman" w:cs="Times New Roman"/>
          <w:sz w:val="22"/>
          <w:szCs w:val="22"/>
        </w:rPr>
        <w:t>, p. 2.</w:t>
      </w:r>
    </w:p>
  </w:footnote>
  <w:footnote w:id="19">
    <w:p w14:paraId="69DE219B"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r w:rsidRPr="00CD3389">
        <w:rPr>
          <w:rFonts w:ascii="Times New Roman" w:hAnsi="Times New Roman" w:cs="Times New Roman"/>
          <w:sz w:val="22"/>
          <w:szCs w:val="22"/>
          <w:lang w:eastAsia="en-GB"/>
        </w:rPr>
        <w:t xml:space="preserve">James P. Allen, trans., </w:t>
      </w:r>
      <w:r w:rsidRPr="00CD3389">
        <w:rPr>
          <w:rFonts w:ascii="Times New Roman" w:hAnsi="Times New Roman" w:cs="Times New Roman"/>
          <w:i/>
          <w:iCs/>
          <w:sz w:val="22"/>
          <w:szCs w:val="22"/>
          <w:lang w:eastAsia="en-GB"/>
        </w:rPr>
        <w:t>The Ancient Egyptian Pyramid Texts</w:t>
      </w:r>
      <w:r w:rsidRPr="00CD3389">
        <w:rPr>
          <w:rFonts w:ascii="Times New Roman" w:hAnsi="Times New Roman" w:cs="Times New Roman"/>
          <w:sz w:val="22"/>
          <w:szCs w:val="22"/>
          <w:lang w:eastAsia="en-GB"/>
        </w:rPr>
        <w:t xml:space="preserve">, ed. by Peter Der </w:t>
      </w:r>
      <w:proofErr w:type="spellStart"/>
      <w:r w:rsidRPr="00CD3389">
        <w:rPr>
          <w:rFonts w:ascii="Times New Roman" w:hAnsi="Times New Roman" w:cs="Times New Roman"/>
          <w:sz w:val="22"/>
          <w:szCs w:val="22"/>
          <w:lang w:eastAsia="en-GB"/>
        </w:rPr>
        <w:t>Manuelian</w:t>
      </w:r>
      <w:proofErr w:type="spellEnd"/>
      <w:r w:rsidRPr="00CD3389">
        <w:rPr>
          <w:rFonts w:ascii="Times New Roman" w:hAnsi="Times New Roman" w:cs="Times New Roman"/>
          <w:sz w:val="22"/>
          <w:szCs w:val="22"/>
          <w:lang w:eastAsia="en-GB"/>
        </w:rPr>
        <w:t xml:space="preserve"> (Atlanta: Society of Biblical Literature, 2005), W156 PT245 p. 40.</w:t>
      </w:r>
    </w:p>
  </w:footnote>
  <w:footnote w:id="20">
    <w:p w14:paraId="09BC2B73"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Antonio J Morales, ‘</w:t>
      </w:r>
      <w:r w:rsidRPr="00CD3389">
        <w:rPr>
          <w:rFonts w:ascii="Times New Roman" w:hAnsi="Times New Roman" w:cs="Times New Roman"/>
          <w:color w:val="2B3545"/>
          <w:sz w:val="22"/>
          <w:szCs w:val="22"/>
          <w:shd w:val="clear" w:color="auto" w:fill="FAFAFA"/>
        </w:rPr>
        <w:t xml:space="preserve">From Voice to Papyrus to Wall: </w:t>
      </w:r>
      <w:proofErr w:type="spellStart"/>
      <w:r w:rsidRPr="00CD3389">
        <w:rPr>
          <w:rFonts w:ascii="Times New Roman" w:hAnsi="Times New Roman" w:cs="Times New Roman"/>
          <w:color w:val="2B3545"/>
          <w:sz w:val="22"/>
          <w:szCs w:val="22"/>
          <w:shd w:val="clear" w:color="auto" w:fill="FAFAFA"/>
        </w:rPr>
        <w:t>Verschriftung</w:t>
      </w:r>
      <w:proofErr w:type="spellEnd"/>
      <w:r w:rsidRPr="00CD3389">
        <w:rPr>
          <w:rFonts w:ascii="Times New Roman" w:hAnsi="Times New Roman" w:cs="Times New Roman"/>
          <w:color w:val="2B3545"/>
          <w:sz w:val="22"/>
          <w:szCs w:val="22"/>
          <w:shd w:val="clear" w:color="auto" w:fill="FAFAFA"/>
        </w:rPr>
        <w:t xml:space="preserve"> and </w:t>
      </w:r>
      <w:proofErr w:type="spellStart"/>
      <w:r w:rsidRPr="00CD3389">
        <w:rPr>
          <w:rFonts w:ascii="Times New Roman" w:hAnsi="Times New Roman" w:cs="Times New Roman"/>
          <w:color w:val="2B3545"/>
          <w:sz w:val="22"/>
          <w:szCs w:val="22"/>
          <w:shd w:val="clear" w:color="auto" w:fill="FAFAFA"/>
        </w:rPr>
        <w:t>Verschriftlichung</w:t>
      </w:r>
      <w:proofErr w:type="spellEnd"/>
      <w:r w:rsidRPr="00CD3389">
        <w:rPr>
          <w:rFonts w:ascii="Times New Roman" w:hAnsi="Times New Roman" w:cs="Times New Roman"/>
          <w:color w:val="2B3545"/>
          <w:sz w:val="22"/>
          <w:szCs w:val="22"/>
          <w:shd w:val="clear" w:color="auto" w:fill="FAFAFA"/>
        </w:rPr>
        <w:t xml:space="preserve"> in the Old Kingdom Pyramid Texts’, in </w:t>
      </w:r>
      <w:r w:rsidRPr="00CD3389">
        <w:rPr>
          <w:rFonts w:ascii="Times New Roman" w:hAnsi="Times New Roman" w:cs="Times New Roman"/>
          <w:i/>
          <w:iCs/>
          <w:color w:val="2B3545"/>
          <w:sz w:val="22"/>
          <w:szCs w:val="22"/>
        </w:rPr>
        <w:t>Understanding Material Text Cultures a Multidisciplinary View</w:t>
      </w:r>
      <w:r w:rsidRPr="00CD3389">
        <w:rPr>
          <w:rFonts w:ascii="Times New Roman" w:hAnsi="Times New Roman" w:cs="Times New Roman"/>
          <w:color w:val="2B3545"/>
          <w:sz w:val="22"/>
          <w:szCs w:val="22"/>
          <w:shd w:val="clear" w:color="auto" w:fill="FFFFFF"/>
        </w:rPr>
        <w:t xml:space="preserve">, ed. Markus </w:t>
      </w:r>
      <w:proofErr w:type="spellStart"/>
      <w:r w:rsidRPr="00CD3389">
        <w:rPr>
          <w:rFonts w:ascii="Times New Roman" w:hAnsi="Times New Roman" w:cs="Times New Roman"/>
          <w:color w:val="2B3545"/>
          <w:sz w:val="22"/>
          <w:szCs w:val="22"/>
          <w:shd w:val="clear" w:color="auto" w:fill="FFFFFF"/>
        </w:rPr>
        <w:t>Hilgert</w:t>
      </w:r>
      <w:proofErr w:type="spellEnd"/>
      <w:r w:rsidRPr="00CD3389">
        <w:rPr>
          <w:rFonts w:ascii="Times New Roman" w:hAnsi="Times New Roman" w:cs="Times New Roman"/>
          <w:color w:val="2B3545"/>
          <w:sz w:val="22"/>
          <w:szCs w:val="22"/>
          <w:shd w:val="clear" w:color="auto" w:fill="FFFFFF"/>
        </w:rPr>
        <w:t>, (Berlin: De Gruyter, 2016), pp. 69-130 (p. 70).</w:t>
      </w:r>
    </w:p>
  </w:footnote>
  <w:footnote w:id="21">
    <w:p w14:paraId="12DBA31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r w:rsidRPr="00CD3389">
        <w:rPr>
          <w:rFonts w:ascii="Times New Roman" w:hAnsi="Times New Roman" w:cs="Times New Roman"/>
          <w:sz w:val="22"/>
          <w:szCs w:val="22"/>
          <w:lang w:eastAsia="en-GB"/>
        </w:rPr>
        <w:t xml:space="preserve">Allen, </w:t>
      </w:r>
      <w:r w:rsidRPr="00CD3389">
        <w:rPr>
          <w:rFonts w:ascii="Times New Roman" w:hAnsi="Times New Roman" w:cs="Times New Roman"/>
          <w:i/>
          <w:iCs/>
          <w:sz w:val="22"/>
          <w:szCs w:val="22"/>
          <w:lang w:eastAsia="en-GB"/>
        </w:rPr>
        <w:t>The Ancient Egyptian Pyramid Texts,</w:t>
      </w:r>
      <w:r w:rsidRPr="00CD3389">
        <w:rPr>
          <w:rFonts w:ascii="Times New Roman" w:hAnsi="Times New Roman" w:cs="Times New Roman"/>
          <w:sz w:val="22"/>
          <w:szCs w:val="22"/>
          <w:lang w:eastAsia="en-GB"/>
        </w:rPr>
        <w:t xml:space="preserve"> W21 PT62 p.19.</w:t>
      </w:r>
    </w:p>
  </w:footnote>
  <w:footnote w:id="22">
    <w:p w14:paraId="0F0C4156" w14:textId="77777777" w:rsidR="00167664" w:rsidRPr="00CD3389" w:rsidRDefault="00167664" w:rsidP="00167664">
      <w:pPr>
        <w:ind w:left="720" w:hanging="720"/>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Eric Hornung, </w:t>
      </w:r>
      <w:r w:rsidRPr="00CD3389">
        <w:rPr>
          <w:rFonts w:ascii="Times New Roman" w:hAnsi="Times New Roman" w:cs="Times New Roman"/>
          <w:i/>
          <w:iCs/>
          <w:sz w:val="22"/>
          <w:szCs w:val="22"/>
        </w:rPr>
        <w:t>The Ancient Egyptian Books of The Afterlife</w:t>
      </w:r>
      <w:r w:rsidRPr="00CD3389">
        <w:rPr>
          <w:rFonts w:ascii="Times New Roman" w:hAnsi="Times New Roman" w:cs="Times New Roman"/>
          <w:sz w:val="22"/>
          <w:szCs w:val="22"/>
        </w:rPr>
        <w:t>, trans. by David Lorton (Ithaca: Cornell University Press, 1999), p. 7.</w:t>
      </w:r>
    </w:p>
  </w:footnote>
  <w:footnote w:id="23">
    <w:p w14:paraId="64333883"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Hornung, </w:t>
      </w:r>
      <w:r w:rsidRPr="00CD3389">
        <w:rPr>
          <w:rFonts w:ascii="Times New Roman" w:hAnsi="Times New Roman" w:cs="Times New Roman"/>
          <w:i/>
          <w:iCs/>
          <w:sz w:val="22"/>
          <w:szCs w:val="22"/>
        </w:rPr>
        <w:t xml:space="preserve">The Ancient Egyptian Books of The Afterlife, </w:t>
      </w:r>
      <w:r w:rsidRPr="00CD3389">
        <w:rPr>
          <w:rFonts w:ascii="Times New Roman" w:hAnsi="Times New Roman" w:cs="Times New Roman"/>
          <w:sz w:val="22"/>
          <w:szCs w:val="22"/>
        </w:rPr>
        <w:t>p. 9.</w:t>
      </w:r>
    </w:p>
  </w:footnote>
  <w:footnote w:id="24">
    <w:p w14:paraId="1C0BE33E"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Rune </w:t>
      </w:r>
      <w:proofErr w:type="spellStart"/>
      <w:r w:rsidRPr="00CD3389">
        <w:rPr>
          <w:rFonts w:ascii="Times New Roman" w:hAnsi="Times New Roman" w:cs="Times New Roman"/>
          <w:sz w:val="22"/>
          <w:szCs w:val="22"/>
        </w:rPr>
        <w:t>Nyord</w:t>
      </w:r>
      <w:proofErr w:type="spellEnd"/>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Breathing Flesh: Conceptions of the Body in the Ancient Egyptian Coffin Texts</w:t>
      </w:r>
      <w:r w:rsidRPr="00CD3389">
        <w:rPr>
          <w:rFonts w:ascii="Times New Roman" w:hAnsi="Times New Roman" w:cs="Times New Roman"/>
          <w:sz w:val="22"/>
          <w:szCs w:val="22"/>
        </w:rPr>
        <w:t xml:space="preserve"> (Copenhagen: Museum </w:t>
      </w:r>
      <w:proofErr w:type="spellStart"/>
      <w:r w:rsidRPr="00CD3389">
        <w:rPr>
          <w:rFonts w:ascii="Times New Roman" w:hAnsi="Times New Roman" w:cs="Times New Roman"/>
          <w:sz w:val="22"/>
          <w:szCs w:val="22"/>
        </w:rPr>
        <w:t>Tusculanum</w:t>
      </w:r>
      <w:proofErr w:type="spellEnd"/>
      <w:r w:rsidRPr="00CD3389">
        <w:rPr>
          <w:rFonts w:ascii="Times New Roman" w:hAnsi="Times New Roman" w:cs="Times New Roman"/>
          <w:sz w:val="22"/>
          <w:szCs w:val="22"/>
        </w:rPr>
        <w:t xml:space="preserve"> Press, 2009), pp. 254-258.</w:t>
      </w:r>
    </w:p>
  </w:footnote>
  <w:footnote w:id="25">
    <w:p w14:paraId="0F197959"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Hornung, </w:t>
      </w:r>
      <w:r w:rsidRPr="00CD3389">
        <w:rPr>
          <w:rFonts w:ascii="Times New Roman" w:hAnsi="Times New Roman" w:cs="Times New Roman"/>
          <w:i/>
          <w:iCs/>
          <w:sz w:val="22"/>
          <w:szCs w:val="22"/>
        </w:rPr>
        <w:t xml:space="preserve">The Ancient Egyptian Books of The Afterlife, </w:t>
      </w:r>
      <w:r w:rsidRPr="00CD3389">
        <w:rPr>
          <w:rFonts w:ascii="Times New Roman" w:hAnsi="Times New Roman" w:cs="Times New Roman"/>
          <w:sz w:val="22"/>
          <w:szCs w:val="22"/>
        </w:rPr>
        <w:t>p. 11.</w:t>
      </w:r>
    </w:p>
  </w:footnote>
  <w:footnote w:id="26">
    <w:p w14:paraId="5F510B2B"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Leonard H. Lesko, ‘Some Observations on the Composition of the Book of Two Ways’, </w:t>
      </w:r>
      <w:r w:rsidRPr="00CD3389">
        <w:rPr>
          <w:rFonts w:ascii="Times New Roman" w:hAnsi="Times New Roman" w:cs="Times New Roman"/>
          <w:i/>
          <w:iCs/>
          <w:sz w:val="22"/>
          <w:szCs w:val="22"/>
        </w:rPr>
        <w:t>Journal of</w:t>
      </w:r>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the American Oriental Society</w:t>
      </w:r>
      <w:r w:rsidRPr="00CD3389">
        <w:rPr>
          <w:rFonts w:ascii="Times New Roman" w:hAnsi="Times New Roman" w:cs="Times New Roman"/>
          <w:sz w:val="22"/>
          <w:szCs w:val="22"/>
        </w:rPr>
        <w:t>, 92.1 (1971), pp. 30-43 (p. 30).</w:t>
      </w:r>
    </w:p>
  </w:footnote>
  <w:footnote w:id="27">
    <w:p w14:paraId="43266788"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Hornung, </w:t>
      </w:r>
      <w:r w:rsidRPr="00CD3389">
        <w:rPr>
          <w:rFonts w:ascii="Times New Roman" w:hAnsi="Times New Roman" w:cs="Times New Roman"/>
          <w:i/>
          <w:iCs/>
          <w:sz w:val="22"/>
          <w:szCs w:val="22"/>
        </w:rPr>
        <w:t xml:space="preserve">The Ancient Egyptian Books of The Afterlife, </w:t>
      </w:r>
      <w:r w:rsidRPr="00CD3389">
        <w:rPr>
          <w:rFonts w:ascii="Times New Roman" w:hAnsi="Times New Roman" w:cs="Times New Roman"/>
          <w:sz w:val="22"/>
          <w:szCs w:val="22"/>
        </w:rPr>
        <w:t>p. 11.</w:t>
      </w:r>
    </w:p>
  </w:footnote>
  <w:footnote w:id="28">
    <w:p w14:paraId="335EB05D"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Lesko, Some Observations, p. 42.</w:t>
      </w:r>
    </w:p>
  </w:footnote>
  <w:footnote w:id="29">
    <w:p w14:paraId="52A09F19"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Hornung, </w:t>
      </w:r>
      <w:r w:rsidRPr="00CD3389">
        <w:rPr>
          <w:rFonts w:ascii="Times New Roman" w:hAnsi="Times New Roman" w:cs="Times New Roman"/>
          <w:i/>
          <w:iCs/>
          <w:sz w:val="22"/>
          <w:szCs w:val="22"/>
        </w:rPr>
        <w:t xml:space="preserve">The Ancient Egyptian Books of The Afterlife, </w:t>
      </w:r>
      <w:r w:rsidRPr="00CD3389">
        <w:rPr>
          <w:rFonts w:ascii="Times New Roman" w:hAnsi="Times New Roman" w:cs="Times New Roman"/>
          <w:sz w:val="22"/>
          <w:szCs w:val="22"/>
        </w:rPr>
        <w:t>p. 11.</w:t>
      </w:r>
    </w:p>
  </w:footnote>
  <w:footnote w:id="30">
    <w:p w14:paraId="77046E93"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 Pogo, Calendars on Coffin Lids from Asyut (Second Half of the Third Millennium), </w:t>
      </w:r>
      <w:r w:rsidRPr="00CD3389">
        <w:rPr>
          <w:rFonts w:ascii="Times New Roman" w:hAnsi="Times New Roman" w:cs="Times New Roman"/>
          <w:i/>
          <w:iCs/>
          <w:sz w:val="22"/>
          <w:szCs w:val="22"/>
        </w:rPr>
        <w:t>Isis</w:t>
      </w:r>
      <w:r w:rsidRPr="00CD3389">
        <w:rPr>
          <w:rFonts w:ascii="Times New Roman" w:hAnsi="Times New Roman" w:cs="Times New Roman"/>
          <w:sz w:val="22"/>
          <w:szCs w:val="22"/>
        </w:rPr>
        <w:t>, 17.1 (1932), pp. 6-24 (p. 6).</w:t>
      </w:r>
    </w:p>
  </w:footnote>
  <w:footnote w:id="31">
    <w:p w14:paraId="0012FE35"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Pogo, Calendars on Coffin Lids from Asyut, p.6.</w:t>
      </w:r>
    </w:p>
  </w:footnote>
  <w:footnote w:id="32">
    <w:p w14:paraId="73AEF405" w14:textId="77777777" w:rsidR="00167664" w:rsidRPr="00CD3389" w:rsidRDefault="00167664" w:rsidP="00167664">
      <w:pPr>
        <w:pStyle w:val="NormalWeb"/>
        <w:shd w:val="clear" w:color="auto" w:fill="FFFFFF"/>
        <w:spacing w:before="0" w:beforeAutospacing="0" w:after="0" w:afterAutospacing="0"/>
        <w:rPr>
          <w:rFonts w:ascii="Times New Roman" w:eastAsia="Times New Roman" w:hAnsi="Times New Roman"/>
          <w:color w:val="auto"/>
          <w:sz w:val="22"/>
          <w:szCs w:val="22"/>
          <w:lang w:eastAsia="en-GB"/>
        </w:rPr>
      </w:pPr>
      <w:r w:rsidRPr="00CD3389">
        <w:rPr>
          <w:rStyle w:val="FootnoteReference"/>
          <w:rFonts w:ascii="Times New Roman" w:hAnsi="Times New Roman"/>
          <w:sz w:val="22"/>
          <w:szCs w:val="22"/>
        </w:rPr>
        <w:footnoteRef/>
      </w:r>
      <w:r w:rsidRPr="00CD3389">
        <w:rPr>
          <w:rFonts w:ascii="Times New Roman" w:hAnsi="Times New Roman"/>
          <w:sz w:val="22"/>
          <w:szCs w:val="22"/>
        </w:rPr>
        <w:t xml:space="preserve"> Richard A. Parker, ‘Ancient Egyptian Astronomy’, in </w:t>
      </w:r>
      <w:r w:rsidRPr="00CD3389">
        <w:rPr>
          <w:rFonts w:ascii="Times New Roman" w:hAnsi="Times New Roman"/>
          <w:i/>
          <w:iCs/>
          <w:sz w:val="22"/>
          <w:szCs w:val="22"/>
        </w:rPr>
        <w:t>The Place of Astronomy in the Ancient World:</w:t>
      </w:r>
      <w:r w:rsidRPr="00CD3389">
        <w:rPr>
          <w:rFonts w:ascii="Times New Roman" w:hAnsi="Times New Roman"/>
          <w:sz w:val="22"/>
          <w:szCs w:val="22"/>
        </w:rPr>
        <w:t xml:space="preserve"> </w:t>
      </w:r>
      <w:r w:rsidRPr="00CD3389">
        <w:rPr>
          <w:rFonts w:ascii="Times New Roman" w:eastAsia="Times New Roman" w:hAnsi="Times New Roman"/>
          <w:i/>
          <w:iCs/>
          <w:color w:val="auto"/>
          <w:sz w:val="22"/>
          <w:szCs w:val="22"/>
          <w:lang w:eastAsia="en-GB"/>
        </w:rPr>
        <w:t>Philosophical Transactions of the Royal Society of London. Series A, Mathematical and Physical Sciences</w:t>
      </w:r>
      <w:r w:rsidRPr="00CD3389">
        <w:rPr>
          <w:rFonts w:ascii="Times New Roman" w:eastAsia="Times New Roman" w:hAnsi="Times New Roman"/>
          <w:color w:val="auto"/>
          <w:sz w:val="22"/>
          <w:szCs w:val="22"/>
          <w:lang w:eastAsia="en-GB"/>
        </w:rPr>
        <w:t xml:space="preserve"> </w:t>
      </w:r>
      <w:r w:rsidRPr="00CD3389">
        <w:rPr>
          <w:rFonts w:ascii="Times New Roman" w:eastAsia="Times New Roman" w:hAnsi="Times New Roman"/>
          <w:i/>
          <w:iCs/>
          <w:color w:val="auto"/>
          <w:sz w:val="22"/>
          <w:szCs w:val="22"/>
          <w:lang w:eastAsia="en-GB"/>
        </w:rPr>
        <w:t xml:space="preserve">276.1257, </w:t>
      </w:r>
      <w:r w:rsidRPr="00CD3389">
        <w:rPr>
          <w:rFonts w:ascii="Times New Roman" w:eastAsia="Times New Roman" w:hAnsi="Times New Roman"/>
          <w:color w:val="auto"/>
          <w:sz w:val="22"/>
          <w:szCs w:val="22"/>
          <w:lang w:eastAsia="en-GB"/>
        </w:rPr>
        <w:t>ed. F.R. Hodson (Oxford: Oxford University Press for the Royal Society, 1975), pp. 51-65</w:t>
      </w:r>
      <w:r w:rsidRPr="00CD3389">
        <w:rPr>
          <w:rFonts w:ascii="Times New Roman" w:hAnsi="Times New Roman"/>
          <w:sz w:val="22"/>
          <w:szCs w:val="22"/>
        </w:rPr>
        <w:t xml:space="preserve"> (p. 53).</w:t>
      </w:r>
    </w:p>
  </w:footnote>
  <w:footnote w:id="33">
    <w:p w14:paraId="19D44993"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59.</w:t>
      </w:r>
    </w:p>
  </w:footnote>
  <w:footnote w:id="34">
    <w:p w14:paraId="001740EE"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55.</w:t>
      </w:r>
    </w:p>
  </w:footnote>
  <w:footnote w:id="35">
    <w:p w14:paraId="1722AA9A"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55.</w:t>
      </w:r>
    </w:p>
  </w:footnote>
  <w:footnote w:id="36">
    <w:p w14:paraId="27F79C02" w14:textId="77777777" w:rsidR="00167664" w:rsidRPr="00CD3389" w:rsidRDefault="00167664" w:rsidP="00167664">
      <w:pPr>
        <w:pStyle w:val="NormalWeb"/>
        <w:shd w:val="clear" w:color="auto" w:fill="FFFFFF"/>
        <w:spacing w:before="0" w:beforeAutospacing="0" w:after="0" w:afterAutospacing="0"/>
        <w:rPr>
          <w:rFonts w:ascii="Times New Roman" w:eastAsia="Times New Roman" w:hAnsi="Times New Roman"/>
          <w:color w:val="auto"/>
          <w:sz w:val="22"/>
          <w:szCs w:val="22"/>
          <w:lang w:eastAsia="en-GB"/>
        </w:rPr>
      </w:pPr>
      <w:r w:rsidRPr="00CD3389">
        <w:rPr>
          <w:rStyle w:val="FootnoteReference"/>
          <w:rFonts w:ascii="Times New Roman" w:hAnsi="Times New Roman"/>
          <w:sz w:val="22"/>
          <w:szCs w:val="22"/>
        </w:rPr>
        <w:footnoteRef/>
      </w:r>
      <w:r w:rsidRPr="00CD3389">
        <w:rPr>
          <w:rFonts w:ascii="Times New Roman" w:hAnsi="Times New Roman"/>
          <w:sz w:val="22"/>
          <w:szCs w:val="22"/>
        </w:rPr>
        <w:t xml:space="preserve"> Otto. E. Neugebauer and Richard. A. Parker, Egyptian Astronomical Texts I: The Early Decans (Providence (R.I): Brown University Press 1964), Chapter 2, cited in Richard. A. Parker, ‘Ancient Egyptian Astronomy’, in </w:t>
      </w:r>
      <w:r w:rsidRPr="00CD3389">
        <w:rPr>
          <w:rFonts w:ascii="Times New Roman" w:hAnsi="Times New Roman"/>
          <w:i/>
          <w:iCs/>
          <w:sz w:val="22"/>
          <w:szCs w:val="22"/>
        </w:rPr>
        <w:t>The Place of Astronomy in the Ancient World:</w:t>
      </w:r>
      <w:r w:rsidRPr="00CD3389">
        <w:rPr>
          <w:rFonts w:ascii="Times New Roman" w:hAnsi="Times New Roman"/>
          <w:sz w:val="22"/>
          <w:szCs w:val="22"/>
        </w:rPr>
        <w:t xml:space="preserve"> </w:t>
      </w:r>
      <w:r w:rsidRPr="00CD3389">
        <w:rPr>
          <w:rFonts w:ascii="Times New Roman" w:eastAsia="Times New Roman" w:hAnsi="Times New Roman"/>
          <w:i/>
          <w:iCs/>
          <w:color w:val="auto"/>
          <w:sz w:val="22"/>
          <w:szCs w:val="22"/>
          <w:lang w:eastAsia="en-GB"/>
        </w:rPr>
        <w:t>Philosophical Transactions of the Royal Society of London. Series A, Mathematical and Physical Sciences</w:t>
      </w:r>
      <w:r w:rsidRPr="00CD3389">
        <w:rPr>
          <w:rFonts w:ascii="Times New Roman" w:eastAsia="Times New Roman" w:hAnsi="Times New Roman"/>
          <w:color w:val="auto"/>
          <w:sz w:val="22"/>
          <w:szCs w:val="22"/>
          <w:lang w:eastAsia="en-GB"/>
        </w:rPr>
        <w:t xml:space="preserve"> </w:t>
      </w:r>
      <w:r w:rsidRPr="00CD3389">
        <w:rPr>
          <w:rFonts w:ascii="Times New Roman" w:eastAsia="Times New Roman" w:hAnsi="Times New Roman"/>
          <w:i/>
          <w:iCs/>
          <w:color w:val="auto"/>
          <w:sz w:val="22"/>
          <w:szCs w:val="22"/>
          <w:lang w:eastAsia="en-GB"/>
        </w:rPr>
        <w:t xml:space="preserve">276.1257, </w:t>
      </w:r>
      <w:r w:rsidRPr="00CD3389">
        <w:rPr>
          <w:rFonts w:ascii="Times New Roman" w:eastAsia="Times New Roman" w:hAnsi="Times New Roman"/>
          <w:color w:val="auto"/>
          <w:sz w:val="22"/>
          <w:szCs w:val="22"/>
          <w:lang w:eastAsia="en-GB"/>
        </w:rPr>
        <w:t>ed. F.R. Hodson (Oxford: Oxford University Press for the Royal Society, 1975), pp. 51-65</w:t>
      </w:r>
      <w:r w:rsidRPr="00CD3389">
        <w:rPr>
          <w:rFonts w:ascii="Times New Roman" w:hAnsi="Times New Roman"/>
          <w:sz w:val="22"/>
          <w:szCs w:val="22"/>
        </w:rPr>
        <w:t xml:space="preserve"> (p. 55).</w:t>
      </w:r>
    </w:p>
  </w:footnote>
  <w:footnote w:id="37">
    <w:p w14:paraId="6128B37D"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55.</w:t>
      </w:r>
    </w:p>
  </w:footnote>
  <w:footnote w:id="38">
    <w:p w14:paraId="717AA3F7" w14:textId="77777777" w:rsidR="00167664" w:rsidRPr="00CD3389" w:rsidRDefault="00167664" w:rsidP="00167664">
      <w:pPr>
        <w:pStyle w:val="FootnoteText"/>
        <w:rPr>
          <w:rFonts w:ascii="Times New Roman" w:hAnsi="Times New Roman" w:cs="Times New Roman"/>
          <w:i/>
          <w:iCs/>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Christina Riggs, ‘Archaism and Artistic Sources in Roman Egypt: The Coffins of the </w:t>
      </w:r>
      <w:proofErr w:type="spellStart"/>
      <w:r w:rsidRPr="00CD3389">
        <w:rPr>
          <w:rFonts w:ascii="Times New Roman" w:hAnsi="Times New Roman" w:cs="Times New Roman"/>
          <w:sz w:val="22"/>
          <w:szCs w:val="22"/>
        </w:rPr>
        <w:t>Sotor</w:t>
      </w:r>
      <w:proofErr w:type="spellEnd"/>
      <w:r w:rsidRPr="00CD3389">
        <w:rPr>
          <w:rFonts w:ascii="Times New Roman" w:hAnsi="Times New Roman" w:cs="Times New Roman"/>
          <w:sz w:val="22"/>
          <w:szCs w:val="22"/>
        </w:rPr>
        <w:t xml:space="preserve"> family and the Temple of Deir </w:t>
      </w:r>
      <w:proofErr w:type="spellStart"/>
      <w:r w:rsidRPr="00CD3389">
        <w:rPr>
          <w:rFonts w:ascii="Times New Roman" w:hAnsi="Times New Roman" w:cs="Times New Roman"/>
          <w:sz w:val="22"/>
          <w:szCs w:val="22"/>
        </w:rPr>
        <w:t>el</w:t>
      </w:r>
      <w:proofErr w:type="spellEnd"/>
      <w:r w:rsidRPr="00CD3389">
        <w:rPr>
          <w:rFonts w:ascii="Times New Roman" w:hAnsi="Times New Roman" w:cs="Times New Roman"/>
          <w:sz w:val="22"/>
          <w:szCs w:val="22"/>
        </w:rPr>
        <w:t xml:space="preserve">-Medina’, </w:t>
      </w:r>
      <w:r w:rsidRPr="00CD3389">
        <w:rPr>
          <w:rFonts w:ascii="Times New Roman" w:hAnsi="Times New Roman" w:cs="Times New Roman"/>
          <w:i/>
          <w:iCs/>
          <w:sz w:val="22"/>
          <w:szCs w:val="22"/>
          <w:shd w:val="clear" w:color="auto" w:fill="FFFFFF"/>
        </w:rPr>
        <w:t>Le</w:t>
      </w:r>
      <w:r w:rsidRPr="00CD3389">
        <w:rPr>
          <w:rStyle w:val="apple-converted-space"/>
          <w:rFonts w:ascii="Times New Roman" w:hAnsi="Times New Roman" w:cs="Times New Roman"/>
          <w:i/>
          <w:iCs/>
          <w:sz w:val="22"/>
          <w:szCs w:val="22"/>
          <w:shd w:val="clear" w:color="auto" w:fill="FFFFFF"/>
        </w:rPr>
        <w:t> </w:t>
      </w:r>
      <w:r w:rsidRPr="00CD3389">
        <w:rPr>
          <w:rStyle w:val="Emphasis"/>
          <w:rFonts w:ascii="Times New Roman" w:hAnsi="Times New Roman" w:cs="Times New Roman"/>
          <w:sz w:val="22"/>
          <w:szCs w:val="22"/>
        </w:rPr>
        <w:t xml:space="preserve">Bulletin de </w:t>
      </w:r>
      <w:proofErr w:type="spellStart"/>
      <w:r w:rsidRPr="00CD3389">
        <w:rPr>
          <w:rStyle w:val="Emphasis"/>
          <w:rFonts w:ascii="Times New Roman" w:hAnsi="Times New Roman" w:cs="Times New Roman"/>
          <w:sz w:val="22"/>
          <w:szCs w:val="22"/>
        </w:rPr>
        <w:t>l'Institut</w:t>
      </w:r>
      <w:proofErr w:type="spellEnd"/>
      <w:r w:rsidRPr="00CD3389">
        <w:rPr>
          <w:rStyle w:val="Emphasis"/>
          <w:rFonts w:ascii="Times New Roman" w:hAnsi="Times New Roman" w:cs="Times New Roman"/>
          <w:sz w:val="22"/>
          <w:szCs w:val="22"/>
        </w:rPr>
        <w:t xml:space="preserve"> </w:t>
      </w:r>
      <w:proofErr w:type="spellStart"/>
      <w:r w:rsidRPr="00CD3389">
        <w:rPr>
          <w:rStyle w:val="Emphasis"/>
          <w:rFonts w:ascii="Times New Roman" w:hAnsi="Times New Roman" w:cs="Times New Roman"/>
          <w:sz w:val="22"/>
          <w:szCs w:val="22"/>
        </w:rPr>
        <w:t>Français</w:t>
      </w:r>
      <w:proofErr w:type="spellEnd"/>
      <w:r w:rsidRPr="00CD3389">
        <w:rPr>
          <w:rStyle w:val="Emphasis"/>
          <w:rFonts w:ascii="Times New Roman" w:hAnsi="Times New Roman" w:cs="Times New Roman"/>
          <w:sz w:val="22"/>
          <w:szCs w:val="22"/>
        </w:rPr>
        <w:t xml:space="preserve"> </w:t>
      </w:r>
      <w:proofErr w:type="spellStart"/>
      <w:r w:rsidRPr="00CD3389">
        <w:rPr>
          <w:rStyle w:val="Emphasis"/>
          <w:rFonts w:ascii="Times New Roman" w:hAnsi="Times New Roman" w:cs="Times New Roman"/>
          <w:sz w:val="22"/>
          <w:szCs w:val="22"/>
        </w:rPr>
        <w:t>d'archéologie</w:t>
      </w:r>
      <w:proofErr w:type="spellEnd"/>
      <w:r w:rsidRPr="00CD3389">
        <w:rPr>
          <w:rStyle w:val="Emphasis"/>
          <w:rFonts w:ascii="Times New Roman" w:hAnsi="Times New Roman" w:cs="Times New Roman"/>
          <w:sz w:val="22"/>
          <w:szCs w:val="22"/>
        </w:rPr>
        <w:t xml:space="preserve"> </w:t>
      </w:r>
      <w:proofErr w:type="spellStart"/>
      <w:r w:rsidRPr="00CD3389">
        <w:rPr>
          <w:rStyle w:val="Emphasis"/>
          <w:rFonts w:ascii="Times New Roman" w:hAnsi="Times New Roman" w:cs="Times New Roman"/>
          <w:sz w:val="22"/>
          <w:szCs w:val="22"/>
        </w:rPr>
        <w:t>orientale</w:t>
      </w:r>
      <w:proofErr w:type="spellEnd"/>
      <w:r w:rsidRPr="00CD3389">
        <w:rPr>
          <w:rStyle w:val="Emphasis"/>
          <w:rFonts w:ascii="Times New Roman" w:hAnsi="Times New Roman" w:cs="Times New Roman"/>
          <w:sz w:val="22"/>
          <w:szCs w:val="22"/>
        </w:rPr>
        <w:t xml:space="preserve"> </w:t>
      </w:r>
      <w:r w:rsidRPr="00CD3389">
        <w:rPr>
          <w:rStyle w:val="Emphasis"/>
          <w:rFonts w:ascii="Times New Roman" w:hAnsi="Times New Roman" w:cs="Times New Roman"/>
          <w:i w:val="0"/>
          <w:iCs w:val="0"/>
          <w:sz w:val="22"/>
          <w:szCs w:val="22"/>
        </w:rPr>
        <w:t>106 (2006),</w:t>
      </w:r>
      <w:r w:rsidRPr="00CD3389">
        <w:rPr>
          <w:rStyle w:val="Emphasis"/>
          <w:rFonts w:ascii="Times New Roman" w:hAnsi="Times New Roman" w:cs="Times New Roman"/>
          <w:sz w:val="22"/>
          <w:szCs w:val="22"/>
        </w:rPr>
        <w:t xml:space="preserve"> </w:t>
      </w:r>
      <w:r w:rsidRPr="00CD3389">
        <w:rPr>
          <w:rStyle w:val="Emphasis"/>
          <w:rFonts w:ascii="Times New Roman" w:hAnsi="Times New Roman" w:cs="Times New Roman"/>
          <w:i w:val="0"/>
          <w:iCs w:val="0"/>
          <w:sz w:val="22"/>
          <w:szCs w:val="22"/>
        </w:rPr>
        <w:t>315-332 (p. 317).</w:t>
      </w:r>
    </w:p>
  </w:footnote>
  <w:footnote w:id="39">
    <w:p w14:paraId="08F1279B"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John. H. Taylor, 'Theban Coffins from the Twenty-Second to the Twenty-Sixth Dynasty: Dating and Synthesis of Development', in </w:t>
      </w:r>
      <w:r w:rsidRPr="00CD3389">
        <w:rPr>
          <w:rFonts w:ascii="Times New Roman" w:hAnsi="Times New Roman" w:cs="Times New Roman"/>
          <w:i/>
          <w:iCs/>
          <w:sz w:val="22"/>
          <w:szCs w:val="22"/>
        </w:rPr>
        <w:t>The Theban Necropolis: Past, Present and Future</w:t>
      </w:r>
      <w:r w:rsidRPr="00CD3389">
        <w:rPr>
          <w:rFonts w:ascii="Times New Roman" w:hAnsi="Times New Roman" w:cs="Times New Roman"/>
          <w:sz w:val="22"/>
          <w:szCs w:val="22"/>
        </w:rPr>
        <w:t>, eds. by Nigel. Strudwick and John. H. Taylor, (London: British Museum Press, 2003), pp. 95-121 (pp. 117-119).</w:t>
      </w:r>
    </w:p>
  </w:footnote>
  <w:footnote w:id="40">
    <w:p w14:paraId="268915F0"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Riggs, ‘Archaism and Artistic Sources in Roman Egypt’, p. 317.</w:t>
      </w:r>
    </w:p>
  </w:footnote>
  <w:footnote w:id="41">
    <w:p w14:paraId="741B6D9A"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Riggs, ‘Archaism and Artistic Sources in Roman Egypt’, p. 326-327.</w:t>
      </w:r>
    </w:p>
  </w:footnote>
  <w:footnote w:id="42">
    <w:p w14:paraId="5B48AFD8"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59.</w:t>
      </w:r>
    </w:p>
  </w:footnote>
  <w:footnote w:id="43">
    <w:p w14:paraId="0E8ED7E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59.</w:t>
      </w:r>
    </w:p>
  </w:footnote>
  <w:footnote w:id="44">
    <w:p w14:paraId="18FD51A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61.</w:t>
      </w:r>
    </w:p>
  </w:footnote>
  <w:footnote w:id="45">
    <w:p w14:paraId="4931FE88"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Michelle Starr, ‘Complete Depiction of The Zodiac Found in Ancient Egyptian Temple’, </w:t>
      </w:r>
      <w:r w:rsidRPr="00CD3389">
        <w:rPr>
          <w:rFonts w:ascii="Times New Roman" w:hAnsi="Times New Roman" w:cs="Times New Roman"/>
          <w:i/>
          <w:iCs/>
          <w:sz w:val="22"/>
          <w:szCs w:val="22"/>
        </w:rPr>
        <w:t>Science</w:t>
      </w:r>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Alert</w:t>
      </w:r>
      <w:r w:rsidRPr="00CD3389">
        <w:rPr>
          <w:rFonts w:ascii="Times New Roman" w:hAnsi="Times New Roman" w:cs="Times New Roman"/>
          <w:sz w:val="22"/>
          <w:szCs w:val="22"/>
        </w:rPr>
        <w:t xml:space="preserve">, 24 March 2023. </w:t>
      </w:r>
      <w:hyperlink r:id="rId1" w:history="1">
        <w:r w:rsidRPr="00CD3389">
          <w:rPr>
            <w:rStyle w:val="Hyperlink"/>
            <w:rFonts w:ascii="Times New Roman" w:hAnsi="Times New Roman" w:cs="Times New Roman"/>
            <w:sz w:val="22"/>
            <w:szCs w:val="22"/>
          </w:rPr>
          <w:t>https://www.sciencealert.com/complete-depiction-of-the-zodiac-found-in-ancient-egyptian-temple</w:t>
        </w:r>
      </w:hyperlink>
      <w:r w:rsidRPr="00CD3389">
        <w:rPr>
          <w:rFonts w:ascii="Times New Roman" w:hAnsi="Times New Roman" w:cs="Times New Roman"/>
          <w:sz w:val="22"/>
          <w:szCs w:val="22"/>
        </w:rPr>
        <w:t xml:space="preserve"> [accessed 23 April 2023].</w:t>
      </w:r>
    </w:p>
  </w:footnote>
  <w:footnote w:id="46">
    <w:p w14:paraId="1DFE8E3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63.</w:t>
      </w:r>
    </w:p>
  </w:footnote>
  <w:footnote w:id="47">
    <w:p w14:paraId="49A2692F"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Alexander </w:t>
      </w:r>
      <w:proofErr w:type="spellStart"/>
      <w:r w:rsidRPr="00CD3389">
        <w:rPr>
          <w:rFonts w:ascii="Times New Roman" w:hAnsi="Times New Roman" w:cs="Times New Roman"/>
          <w:sz w:val="22"/>
          <w:szCs w:val="22"/>
        </w:rPr>
        <w:t>Piankoff</w:t>
      </w:r>
      <w:proofErr w:type="spellEnd"/>
      <w:r w:rsidRPr="00CD3389">
        <w:rPr>
          <w:rFonts w:ascii="Times New Roman" w:hAnsi="Times New Roman" w:cs="Times New Roman"/>
          <w:sz w:val="22"/>
          <w:szCs w:val="22"/>
        </w:rPr>
        <w:t xml:space="preserve">, ‘The Sky-Goddess Nut and the Night Journey of the Sun’, </w:t>
      </w:r>
      <w:r w:rsidRPr="00CD3389">
        <w:rPr>
          <w:rFonts w:ascii="Times New Roman" w:hAnsi="Times New Roman" w:cs="Times New Roman"/>
          <w:i/>
          <w:iCs/>
          <w:sz w:val="22"/>
          <w:szCs w:val="22"/>
        </w:rPr>
        <w:t>The Journal of</w:t>
      </w:r>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Egyptian Archaeology</w:t>
      </w:r>
      <w:r w:rsidRPr="00CD3389">
        <w:rPr>
          <w:rFonts w:ascii="Times New Roman" w:hAnsi="Times New Roman" w:cs="Times New Roman"/>
          <w:sz w:val="22"/>
          <w:szCs w:val="22"/>
        </w:rPr>
        <w:t xml:space="preserve"> 20.1/2 (1934), 57-61 (p. 57).</w:t>
      </w:r>
    </w:p>
  </w:footnote>
  <w:footnote w:id="48">
    <w:p w14:paraId="76AA196C"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proofErr w:type="spellStart"/>
      <w:r w:rsidRPr="00CD3389">
        <w:rPr>
          <w:rFonts w:ascii="Times New Roman" w:hAnsi="Times New Roman" w:cs="Times New Roman"/>
          <w:sz w:val="22"/>
          <w:szCs w:val="22"/>
        </w:rPr>
        <w:t>Piankoff</w:t>
      </w:r>
      <w:proofErr w:type="spellEnd"/>
      <w:r w:rsidRPr="00CD3389">
        <w:rPr>
          <w:rFonts w:ascii="Times New Roman" w:hAnsi="Times New Roman" w:cs="Times New Roman"/>
          <w:sz w:val="22"/>
          <w:szCs w:val="22"/>
        </w:rPr>
        <w:t>, ‘The Sky-Goddess Nut and the Night Journey of the Sun’, p. 58.</w:t>
      </w:r>
    </w:p>
  </w:footnote>
  <w:footnote w:id="49">
    <w:p w14:paraId="769E2CE8" w14:textId="77777777" w:rsidR="00167664" w:rsidRPr="00CD3389" w:rsidRDefault="00167664" w:rsidP="00167664">
      <w:pPr>
        <w:ind w:left="720" w:hanging="720"/>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Hollis, Susan Tower, ‘Women of Ancient Egypt and the Sky Goddess Nut’, </w:t>
      </w:r>
      <w:r w:rsidRPr="00CD3389">
        <w:rPr>
          <w:rFonts w:ascii="Times New Roman" w:hAnsi="Times New Roman" w:cs="Times New Roman"/>
          <w:i/>
          <w:iCs/>
          <w:sz w:val="22"/>
          <w:szCs w:val="22"/>
        </w:rPr>
        <w:t>The Journal of American Folklore</w:t>
      </w:r>
      <w:r w:rsidRPr="00CD3389">
        <w:rPr>
          <w:rFonts w:ascii="Times New Roman" w:hAnsi="Times New Roman" w:cs="Times New Roman"/>
          <w:sz w:val="22"/>
          <w:szCs w:val="22"/>
        </w:rPr>
        <w:t xml:space="preserve"> 100.398 (1987), 496-503 (pp. 497-498).</w:t>
      </w:r>
    </w:p>
  </w:footnote>
  <w:footnote w:id="50">
    <w:p w14:paraId="2D2DB70B" w14:textId="77777777" w:rsidR="00167664" w:rsidRPr="0068538D" w:rsidRDefault="00167664" w:rsidP="00CD3389">
      <w:pPr>
        <w:pStyle w:val="FootnoteText"/>
        <w:rPr>
          <w:rFonts w:ascii="Times New Roman" w:hAnsi="Times New Roman" w:cs="Times New Roman"/>
          <w:sz w:val="22"/>
          <w:szCs w:val="22"/>
        </w:rPr>
      </w:pPr>
      <w:r w:rsidRPr="0068538D">
        <w:rPr>
          <w:rStyle w:val="FootnoteReference"/>
          <w:rFonts w:ascii="Times New Roman" w:hAnsi="Times New Roman" w:cs="Times New Roman"/>
          <w:sz w:val="22"/>
          <w:szCs w:val="22"/>
        </w:rPr>
        <w:footnoteRef/>
      </w:r>
      <w:r w:rsidRPr="0068538D">
        <w:rPr>
          <w:rFonts w:ascii="Times New Roman" w:hAnsi="Times New Roman" w:cs="Times New Roman"/>
          <w:sz w:val="22"/>
          <w:szCs w:val="22"/>
        </w:rPr>
        <w:t xml:space="preserve"> Hollis, ‘Women of Ancient Egypt and the Sky Goddess Nut’, p. 497.</w:t>
      </w:r>
    </w:p>
  </w:footnote>
  <w:footnote w:id="51">
    <w:p w14:paraId="4DD3F717" w14:textId="77777777" w:rsidR="00167664" w:rsidRPr="00050462" w:rsidRDefault="00167664" w:rsidP="00CD3389">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The Ancient Egyptian Books of The Afterlife</w:t>
      </w:r>
      <w:r w:rsidRPr="00050462">
        <w:rPr>
          <w:rFonts w:ascii="Times New Roman" w:hAnsi="Times New Roman" w:cs="Times New Roman"/>
          <w:sz w:val="22"/>
          <w:szCs w:val="22"/>
        </w:rPr>
        <w:t>, p. 30.</w:t>
      </w:r>
    </w:p>
  </w:footnote>
  <w:footnote w:id="52">
    <w:p w14:paraId="57BAFBE1" w14:textId="77777777" w:rsidR="00167664" w:rsidRPr="00050462" w:rsidRDefault="00167664" w:rsidP="00CD3389">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 xml:space="preserve">The Ancient Egyptian Books of The Afterlife, </w:t>
      </w:r>
      <w:r w:rsidRPr="00050462">
        <w:rPr>
          <w:rFonts w:ascii="Times New Roman" w:hAnsi="Times New Roman" w:cs="Times New Roman"/>
          <w:sz w:val="22"/>
          <w:szCs w:val="22"/>
        </w:rPr>
        <w:t>p. 28.</w:t>
      </w:r>
    </w:p>
  </w:footnote>
  <w:footnote w:id="53">
    <w:p w14:paraId="3B5DCE5D" w14:textId="77777777" w:rsidR="00167664" w:rsidRPr="00050462" w:rsidRDefault="00167664" w:rsidP="00CD3389">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The Ancient Egyptian Books of The Afterlife</w:t>
      </w:r>
      <w:r w:rsidRPr="00050462">
        <w:rPr>
          <w:rFonts w:ascii="Times New Roman" w:hAnsi="Times New Roman" w:cs="Times New Roman"/>
          <w:sz w:val="22"/>
          <w:szCs w:val="22"/>
        </w:rPr>
        <w:t>, p. 28.</w:t>
      </w:r>
    </w:p>
  </w:footnote>
  <w:footnote w:id="54">
    <w:p w14:paraId="18C2A7A5" w14:textId="77777777" w:rsidR="00167664" w:rsidRPr="00050462" w:rsidRDefault="00167664" w:rsidP="00CD3389">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The Ancient Egyptian Books of The Afterlife</w:t>
      </w:r>
      <w:r w:rsidRPr="00050462">
        <w:rPr>
          <w:rFonts w:ascii="Times New Roman" w:hAnsi="Times New Roman" w:cs="Times New Roman"/>
          <w:sz w:val="22"/>
          <w:szCs w:val="22"/>
        </w:rPr>
        <w:t>, p. 27.</w:t>
      </w:r>
    </w:p>
  </w:footnote>
  <w:footnote w:id="55">
    <w:p w14:paraId="7EA620F5" w14:textId="77777777" w:rsidR="00167664" w:rsidRPr="00050462" w:rsidRDefault="00167664" w:rsidP="00CD3389">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The Ancient Egyptian Books of The Afterlife</w:t>
      </w:r>
      <w:r w:rsidRPr="00050462">
        <w:rPr>
          <w:rFonts w:ascii="Times New Roman" w:hAnsi="Times New Roman" w:cs="Times New Roman"/>
          <w:sz w:val="22"/>
          <w:szCs w:val="22"/>
        </w:rPr>
        <w:t>, p. 27.</w:t>
      </w:r>
    </w:p>
  </w:footnote>
  <w:footnote w:id="56">
    <w:p w14:paraId="464B43CD" w14:textId="77777777" w:rsidR="00167664" w:rsidRPr="00050462" w:rsidRDefault="00167664" w:rsidP="00CD3389">
      <w:pPr>
        <w:pStyle w:val="FootnoteText"/>
        <w:ind w:left="720" w:hanging="720"/>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Hornung, </w:t>
      </w:r>
      <w:r w:rsidRPr="00050462">
        <w:rPr>
          <w:rFonts w:ascii="Times New Roman" w:hAnsi="Times New Roman" w:cs="Times New Roman"/>
          <w:i/>
          <w:iCs/>
          <w:sz w:val="22"/>
          <w:szCs w:val="22"/>
        </w:rPr>
        <w:t>The Ancient Egyptian Books of The Afterlife</w:t>
      </w:r>
      <w:r w:rsidRPr="00050462">
        <w:rPr>
          <w:rFonts w:ascii="Times New Roman" w:hAnsi="Times New Roman" w:cs="Times New Roman"/>
          <w:sz w:val="22"/>
          <w:szCs w:val="22"/>
        </w:rPr>
        <w:t>, p. 28.</w:t>
      </w:r>
    </w:p>
  </w:footnote>
  <w:footnote w:id="57">
    <w:p w14:paraId="5074DF6C" w14:textId="77777777" w:rsidR="00167664" w:rsidRPr="00050462" w:rsidRDefault="00167664" w:rsidP="00CD3389">
      <w:pPr>
        <w:pStyle w:val="NormalWeb"/>
        <w:shd w:val="clear" w:color="auto" w:fill="FFFFFF"/>
        <w:spacing w:before="0" w:beforeAutospacing="0" w:after="0" w:afterAutospacing="0"/>
        <w:ind w:left="720" w:hanging="720"/>
        <w:rPr>
          <w:rFonts w:ascii="Times New Roman" w:hAnsi="Times New Roman"/>
          <w:color w:val="auto"/>
          <w:sz w:val="22"/>
          <w:szCs w:val="22"/>
        </w:rPr>
      </w:pPr>
      <w:r w:rsidRPr="00050462">
        <w:rPr>
          <w:rStyle w:val="FootnoteReference"/>
          <w:rFonts w:ascii="Times New Roman" w:hAnsi="Times New Roman"/>
          <w:sz w:val="22"/>
          <w:szCs w:val="22"/>
        </w:rPr>
        <w:footnoteRef/>
      </w:r>
      <w:r w:rsidRPr="00050462">
        <w:rPr>
          <w:rFonts w:ascii="Times New Roman" w:hAnsi="Times New Roman"/>
          <w:sz w:val="22"/>
          <w:szCs w:val="22"/>
        </w:rPr>
        <w:t xml:space="preserve"> </w:t>
      </w:r>
      <w:r>
        <w:rPr>
          <w:rFonts w:ascii="Times New Roman" w:hAnsi="Times New Roman"/>
          <w:sz w:val="22"/>
          <w:szCs w:val="22"/>
        </w:rPr>
        <w:t xml:space="preserve">Edward F. </w:t>
      </w:r>
      <w:proofErr w:type="spellStart"/>
      <w:r w:rsidRPr="00A23D33">
        <w:rPr>
          <w:rFonts w:ascii="Times New Roman" w:hAnsi="Times New Roman"/>
          <w:sz w:val="22"/>
          <w:szCs w:val="22"/>
        </w:rPr>
        <w:t>Wente</w:t>
      </w:r>
      <w:proofErr w:type="spellEnd"/>
      <w:r w:rsidRPr="00A23D33">
        <w:rPr>
          <w:rFonts w:ascii="Times New Roman" w:hAnsi="Times New Roman"/>
          <w:sz w:val="22"/>
          <w:szCs w:val="22"/>
        </w:rPr>
        <w:t>, ‘</w:t>
      </w:r>
      <w:r w:rsidRPr="00A23D33">
        <w:rPr>
          <w:rFonts w:ascii="Times New Roman" w:hAnsi="Times New Roman"/>
          <w:color w:val="auto"/>
          <w:sz w:val="22"/>
          <w:szCs w:val="22"/>
        </w:rPr>
        <w:t xml:space="preserve">Mysticism in Pharaonic Egypt?’, </w:t>
      </w:r>
      <w:r w:rsidRPr="00A23D33">
        <w:rPr>
          <w:rFonts w:ascii="Times New Roman" w:hAnsi="Times New Roman"/>
          <w:i/>
          <w:iCs/>
          <w:color w:val="auto"/>
          <w:sz w:val="22"/>
          <w:szCs w:val="22"/>
        </w:rPr>
        <w:t>Journal of Near Eastern Studies</w:t>
      </w:r>
      <w:r w:rsidRPr="00A23D33">
        <w:rPr>
          <w:rFonts w:ascii="Times New Roman" w:hAnsi="Times New Roman"/>
          <w:color w:val="auto"/>
          <w:sz w:val="22"/>
          <w:szCs w:val="22"/>
        </w:rPr>
        <w:t>, Vol. 41, No. 3 (1982), 161- 179</w:t>
      </w:r>
      <w:r>
        <w:rPr>
          <w:rFonts w:ascii="Times New Roman" w:hAnsi="Times New Roman"/>
          <w:color w:val="auto"/>
          <w:sz w:val="22"/>
          <w:szCs w:val="22"/>
        </w:rPr>
        <w:t>, (p.176).</w:t>
      </w:r>
    </w:p>
  </w:footnote>
  <w:footnote w:id="58">
    <w:p w14:paraId="2EAC04CF" w14:textId="77777777" w:rsidR="00167664" w:rsidRPr="00050462" w:rsidRDefault="00167664" w:rsidP="00CD3389">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w:t>
      </w:r>
      <w:proofErr w:type="spellStart"/>
      <w:r w:rsidRPr="00050462">
        <w:rPr>
          <w:rFonts w:ascii="Times New Roman" w:hAnsi="Times New Roman" w:cs="Times New Roman"/>
          <w:sz w:val="22"/>
          <w:szCs w:val="22"/>
        </w:rPr>
        <w:t>Wente</w:t>
      </w:r>
      <w:proofErr w:type="spellEnd"/>
      <w:r w:rsidRPr="00050462">
        <w:rPr>
          <w:rFonts w:ascii="Times New Roman" w:hAnsi="Times New Roman" w:cs="Times New Roman"/>
          <w:sz w:val="22"/>
          <w:szCs w:val="22"/>
        </w:rPr>
        <w:t>, ‘Mysticism in Pharaonic Egypt?’, p.176.</w:t>
      </w:r>
    </w:p>
  </w:footnote>
  <w:footnote w:id="59">
    <w:p w14:paraId="1841331F" w14:textId="77777777" w:rsidR="00167664" w:rsidRPr="00050462" w:rsidRDefault="00167664" w:rsidP="00CD3389">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Steven Quirke, </w:t>
      </w:r>
      <w:r w:rsidRPr="00050462">
        <w:rPr>
          <w:rFonts w:ascii="Times New Roman" w:hAnsi="Times New Roman" w:cs="Times New Roman"/>
          <w:i/>
          <w:iCs/>
          <w:sz w:val="22"/>
          <w:szCs w:val="22"/>
        </w:rPr>
        <w:t>The Cult of Ra: Sun-worship In Ancient Egypt</w:t>
      </w:r>
      <w:r w:rsidRPr="00050462">
        <w:rPr>
          <w:rFonts w:ascii="Times New Roman" w:hAnsi="Times New Roman" w:cs="Times New Roman"/>
          <w:sz w:val="22"/>
          <w:szCs w:val="22"/>
        </w:rPr>
        <w:t xml:space="preserve"> (London: Thames &amp; Hudson Ltd., 2001), pp. 44-45.</w:t>
      </w:r>
    </w:p>
  </w:footnote>
  <w:footnote w:id="60">
    <w:p w14:paraId="1852EF66" w14:textId="77777777" w:rsidR="00167664" w:rsidRPr="00050462" w:rsidRDefault="00167664" w:rsidP="00CD3389">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Quirke, </w:t>
      </w:r>
      <w:r w:rsidRPr="00050462">
        <w:rPr>
          <w:rFonts w:ascii="Times New Roman" w:hAnsi="Times New Roman" w:cs="Times New Roman"/>
          <w:i/>
          <w:iCs/>
          <w:sz w:val="22"/>
          <w:szCs w:val="22"/>
        </w:rPr>
        <w:t>The Cult of Ra</w:t>
      </w:r>
      <w:r w:rsidRPr="00050462">
        <w:rPr>
          <w:rFonts w:ascii="Times New Roman" w:hAnsi="Times New Roman" w:cs="Times New Roman"/>
          <w:sz w:val="22"/>
          <w:szCs w:val="22"/>
        </w:rPr>
        <w:t>, p. 45.</w:t>
      </w:r>
    </w:p>
  </w:footnote>
  <w:footnote w:id="61">
    <w:p w14:paraId="4494346B" w14:textId="397CBACD" w:rsidR="00167664" w:rsidRPr="00050462" w:rsidRDefault="00167664" w:rsidP="00CD3389">
      <w:pPr>
        <w:pStyle w:val="FootnoteText"/>
        <w:rPr>
          <w:rFonts w:ascii="Times New Roman" w:hAnsi="Times New Roman" w:cs="Times New Roman"/>
          <w:sz w:val="22"/>
          <w:szCs w:val="22"/>
        </w:rPr>
      </w:pPr>
      <w:r w:rsidRPr="00050462">
        <w:rPr>
          <w:rStyle w:val="FootnoteReference"/>
          <w:rFonts w:ascii="Times New Roman" w:hAnsi="Times New Roman" w:cs="Times New Roman"/>
          <w:sz w:val="22"/>
          <w:szCs w:val="22"/>
        </w:rPr>
        <w:footnoteRef/>
      </w:r>
      <w:r w:rsidRPr="00050462">
        <w:rPr>
          <w:rFonts w:ascii="Times New Roman" w:hAnsi="Times New Roman" w:cs="Times New Roman"/>
          <w:sz w:val="22"/>
          <w:szCs w:val="22"/>
        </w:rPr>
        <w:t xml:space="preserve"> Aidan Dodson and </w:t>
      </w:r>
      <w:proofErr w:type="spellStart"/>
      <w:r w:rsidRPr="00050462">
        <w:rPr>
          <w:rFonts w:ascii="Times New Roman" w:hAnsi="Times New Roman" w:cs="Times New Roman"/>
          <w:sz w:val="22"/>
          <w:szCs w:val="22"/>
        </w:rPr>
        <w:t>Salima</w:t>
      </w:r>
      <w:proofErr w:type="spellEnd"/>
      <w:r w:rsidRPr="00050462">
        <w:rPr>
          <w:rFonts w:ascii="Times New Roman" w:hAnsi="Times New Roman" w:cs="Times New Roman"/>
          <w:sz w:val="22"/>
          <w:szCs w:val="22"/>
        </w:rPr>
        <w:t xml:space="preserve"> Ikram, </w:t>
      </w:r>
      <w:r w:rsidRPr="00050462">
        <w:rPr>
          <w:rFonts w:ascii="Times New Roman" w:hAnsi="Times New Roman" w:cs="Times New Roman"/>
          <w:i/>
          <w:iCs/>
          <w:sz w:val="22"/>
          <w:szCs w:val="22"/>
        </w:rPr>
        <w:t>The Tomb in Ancient Egypt</w:t>
      </w:r>
      <w:r w:rsidRPr="00050462">
        <w:rPr>
          <w:rFonts w:ascii="Times New Roman" w:hAnsi="Times New Roman" w:cs="Times New Roman"/>
          <w:sz w:val="22"/>
          <w:szCs w:val="22"/>
        </w:rPr>
        <w:t xml:space="preserve"> (London: Thames &amp; Hudson Ltd., 2008) p. 22</w:t>
      </w:r>
      <w:r>
        <w:rPr>
          <w:rFonts w:ascii="Times New Roman" w:hAnsi="Times New Roman" w:cs="Times New Roman"/>
          <w:sz w:val="22"/>
          <w:szCs w:val="22"/>
        </w:rPr>
        <w:t>5</w:t>
      </w:r>
      <w:r w:rsidRPr="00050462">
        <w:rPr>
          <w:rFonts w:ascii="Times New Roman" w:hAnsi="Times New Roman" w:cs="Times New Roman"/>
          <w:sz w:val="22"/>
          <w:szCs w:val="22"/>
        </w:rPr>
        <w:t>.</w:t>
      </w:r>
    </w:p>
  </w:footnote>
  <w:footnote w:id="62">
    <w:p w14:paraId="04ABBCAC" w14:textId="77777777" w:rsidR="00167664" w:rsidRPr="00CD3389" w:rsidRDefault="00167664" w:rsidP="00167664">
      <w:pPr>
        <w:ind w:left="720" w:hanging="720"/>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Cicero, </w:t>
      </w:r>
      <w:r w:rsidRPr="00CD3389">
        <w:rPr>
          <w:rFonts w:ascii="Times New Roman" w:hAnsi="Times New Roman" w:cs="Times New Roman"/>
          <w:i/>
          <w:iCs/>
          <w:sz w:val="22"/>
          <w:szCs w:val="22"/>
        </w:rPr>
        <w:t>De Divinatione</w:t>
      </w:r>
      <w:r w:rsidRPr="00CD3389">
        <w:rPr>
          <w:rFonts w:ascii="Times New Roman" w:hAnsi="Times New Roman" w:cs="Times New Roman"/>
          <w:sz w:val="22"/>
          <w:szCs w:val="22"/>
        </w:rPr>
        <w:t xml:space="preserve">, in </w:t>
      </w:r>
      <w:r w:rsidRPr="00CD3389">
        <w:rPr>
          <w:rFonts w:ascii="Times New Roman" w:hAnsi="Times New Roman" w:cs="Times New Roman"/>
          <w:i/>
          <w:iCs/>
          <w:color w:val="333333"/>
          <w:sz w:val="22"/>
          <w:szCs w:val="22"/>
        </w:rPr>
        <w:t xml:space="preserve">On Old Age. On Friendship. On Divination, </w:t>
      </w:r>
      <w:r w:rsidRPr="00CD3389">
        <w:rPr>
          <w:rStyle w:val="translators"/>
          <w:rFonts w:ascii="Times New Roman" w:hAnsi="Times New Roman" w:cs="Times New Roman"/>
          <w:color w:val="333333"/>
          <w:sz w:val="22"/>
          <w:szCs w:val="22"/>
        </w:rPr>
        <w:t>trans. by</w:t>
      </w:r>
      <w:r w:rsidRPr="00CD3389">
        <w:rPr>
          <w:rStyle w:val="apple-converted-space"/>
          <w:rFonts w:ascii="Times New Roman" w:hAnsi="Times New Roman" w:cs="Times New Roman"/>
          <w:color w:val="333333"/>
          <w:sz w:val="22"/>
          <w:szCs w:val="22"/>
        </w:rPr>
        <w:t xml:space="preserve"> </w:t>
      </w:r>
      <w:r w:rsidRPr="00CD3389">
        <w:rPr>
          <w:rStyle w:val="contributorname"/>
          <w:rFonts w:ascii="Times New Roman" w:hAnsi="Times New Roman" w:cs="Times New Roman"/>
          <w:color w:val="333333"/>
          <w:sz w:val="22"/>
          <w:szCs w:val="22"/>
        </w:rPr>
        <w:t>W. A. Falconer</w:t>
      </w:r>
      <w:r w:rsidRPr="00CD3389">
        <w:rPr>
          <w:rStyle w:val="translators"/>
          <w:rFonts w:ascii="Times New Roman" w:hAnsi="Times New Roman" w:cs="Times New Roman"/>
          <w:color w:val="333333"/>
          <w:sz w:val="22"/>
          <w:szCs w:val="22"/>
        </w:rPr>
        <w:t>,</w:t>
      </w:r>
      <w:r w:rsidRPr="00CD3389">
        <w:rPr>
          <w:rStyle w:val="apple-converted-space"/>
          <w:rFonts w:ascii="Times New Roman" w:hAnsi="Times New Roman" w:cs="Times New Roman"/>
          <w:color w:val="333333"/>
          <w:sz w:val="22"/>
          <w:szCs w:val="22"/>
        </w:rPr>
        <w:t xml:space="preserve"> </w:t>
      </w:r>
      <w:r w:rsidRPr="00CD3389">
        <w:rPr>
          <w:rFonts w:ascii="Times New Roman" w:hAnsi="Times New Roman" w:cs="Times New Roman"/>
          <w:color w:val="333333"/>
          <w:sz w:val="22"/>
          <w:szCs w:val="22"/>
          <w:shd w:val="clear" w:color="auto" w:fill="FFFFFF"/>
        </w:rPr>
        <w:t>Loeb Classical Library 154 (Cambridge, MA: Harvard University Press, 1923), I. I. 1 p. 223.</w:t>
      </w:r>
    </w:p>
  </w:footnote>
  <w:footnote w:id="63">
    <w:p w14:paraId="4B71D71E"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Cicero, </w:t>
      </w:r>
      <w:r w:rsidRPr="00CD3389">
        <w:rPr>
          <w:rFonts w:ascii="Times New Roman" w:hAnsi="Times New Roman" w:cs="Times New Roman"/>
          <w:i/>
          <w:iCs/>
          <w:sz w:val="22"/>
          <w:szCs w:val="22"/>
        </w:rPr>
        <w:t>De Divinatione</w:t>
      </w:r>
      <w:r w:rsidRPr="00CD3389">
        <w:rPr>
          <w:rFonts w:ascii="Times New Roman" w:hAnsi="Times New Roman" w:cs="Times New Roman"/>
          <w:sz w:val="22"/>
          <w:szCs w:val="22"/>
        </w:rPr>
        <w:t>, I. VI. 11-12 p. 235.</w:t>
      </w:r>
    </w:p>
  </w:footnote>
  <w:footnote w:id="64">
    <w:p w14:paraId="6956826C"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Cicero, </w:t>
      </w:r>
      <w:r w:rsidRPr="00CD3389">
        <w:rPr>
          <w:rFonts w:ascii="Times New Roman" w:hAnsi="Times New Roman" w:cs="Times New Roman"/>
          <w:i/>
          <w:iCs/>
          <w:sz w:val="22"/>
          <w:szCs w:val="22"/>
        </w:rPr>
        <w:t>De Divinatione</w:t>
      </w:r>
      <w:r w:rsidRPr="00CD3389">
        <w:rPr>
          <w:rFonts w:ascii="Times New Roman" w:hAnsi="Times New Roman" w:cs="Times New Roman"/>
          <w:sz w:val="22"/>
          <w:szCs w:val="22"/>
        </w:rPr>
        <w:t>, I. VI. 12 p. 235.</w:t>
      </w:r>
    </w:p>
  </w:footnote>
  <w:footnote w:id="65">
    <w:p w14:paraId="36D651FC"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Cicero, </w:t>
      </w:r>
      <w:r w:rsidRPr="00CD3389">
        <w:rPr>
          <w:rFonts w:ascii="Times New Roman" w:hAnsi="Times New Roman" w:cs="Times New Roman"/>
          <w:i/>
          <w:iCs/>
          <w:sz w:val="22"/>
          <w:szCs w:val="22"/>
        </w:rPr>
        <w:t>De Divinatione</w:t>
      </w:r>
      <w:r w:rsidRPr="00CD3389">
        <w:rPr>
          <w:rFonts w:ascii="Times New Roman" w:hAnsi="Times New Roman" w:cs="Times New Roman"/>
          <w:sz w:val="22"/>
          <w:szCs w:val="22"/>
        </w:rPr>
        <w:t>, I. VI. 12 p. 235.</w:t>
      </w:r>
    </w:p>
  </w:footnote>
  <w:footnote w:id="66">
    <w:p w14:paraId="571407D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Campion, </w:t>
      </w:r>
      <w:r w:rsidRPr="00CD3389">
        <w:rPr>
          <w:rFonts w:ascii="Times New Roman" w:hAnsi="Times New Roman" w:cs="Times New Roman"/>
          <w:i/>
          <w:iCs/>
          <w:sz w:val="22"/>
          <w:szCs w:val="22"/>
        </w:rPr>
        <w:t xml:space="preserve">A History of Western Astrology: Volume 1, </w:t>
      </w:r>
      <w:r w:rsidRPr="00CD3389">
        <w:rPr>
          <w:rFonts w:ascii="Times New Roman" w:hAnsi="Times New Roman" w:cs="Times New Roman"/>
          <w:sz w:val="22"/>
          <w:szCs w:val="22"/>
        </w:rPr>
        <w:t>p. 101.</w:t>
      </w:r>
    </w:p>
  </w:footnote>
  <w:footnote w:id="67">
    <w:p w14:paraId="367D8E09" w14:textId="77777777" w:rsidR="00167664" w:rsidRPr="00CD3389" w:rsidRDefault="00167664" w:rsidP="00167664">
      <w:pPr>
        <w:ind w:left="720" w:hanging="720"/>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Jan Assmann, </w:t>
      </w:r>
      <w:r w:rsidRPr="00CD3389">
        <w:rPr>
          <w:rFonts w:ascii="Times New Roman" w:hAnsi="Times New Roman" w:cs="Times New Roman"/>
          <w:i/>
          <w:iCs/>
          <w:sz w:val="22"/>
          <w:szCs w:val="22"/>
        </w:rPr>
        <w:t>The Mind of Egypt: History and Meaning in the Time of the Pharaohs</w:t>
      </w:r>
      <w:r w:rsidRPr="00CD3389">
        <w:rPr>
          <w:rFonts w:ascii="Times New Roman" w:hAnsi="Times New Roman" w:cs="Times New Roman"/>
          <w:sz w:val="22"/>
          <w:szCs w:val="22"/>
        </w:rPr>
        <w:t>, trans. by Andrew Jenkins (New York: Metropolitan Books 2002), pp. 204-205.</w:t>
      </w:r>
    </w:p>
  </w:footnote>
  <w:footnote w:id="68">
    <w:p w14:paraId="09BEBB53"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Assmann, </w:t>
      </w:r>
      <w:r w:rsidRPr="00CD3389">
        <w:rPr>
          <w:rFonts w:ascii="Times New Roman" w:hAnsi="Times New Roman" w:cs="Times New Roman"/>
          <w:i/>
          <w:iCs/>
          <w:sz w:val="22"/>
          <w:szCs w:val="22"/>
        </w:rPr>
        <w:t>The Mind of Egypt</w:t>
      </w:r>
      <w:r w:rsidRPr="00CD3389">
        <w:rPr>
          <w:rFonts w:ascii="Times New Roman" w:hAnsi="Times New Roman" w:cs="Times New Roman"/>
          <w:sz w:val="22"/>
          <w:szCs w:val="22"/>
        </w:rPr>
        <w:t>, p. 205.</w:t>
      </w:r>
    </w:p>
  </w:footnote>
  <w:footnote w:id="69">
    <w:p w14:paraId="752520A3"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Assmann, </w:t>
      </w:r>
      <w:r w:rsidRPr="00CD3389">
        <w:rPr>
          <w:rFonts w:ascii="Times New Roman" w:hAnsi="Times New Roman" w:cs="Times New Roman"/>
          <w:i/>
          <w:iCs/>
          <w:sz w:val="22"/>
          <w:szCs w:val="22"/>
        </w:rPr>
        <w:t>The Mind of Egypt</w:t>
      </w:r>
      <w:r w:rsidRPr="00CD3389">
        <w:rPr>
          <w:rFonts w:ascii="Times New Roman" w:hAnsi="Times New Roman" w:cs="Times New Roman"/>
          <w:sz w:val="22"/>
          <w:szCs w:val="22"/>
        </w:rPr>
        <w:t>, p. 205.</w:t>
      </w:r>
    </w:p>
  </w:footnote>
  <w:footnote w:id="70">
    <w:p w14:paraId="2C6203FA"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Assmann, </w:t>
      </w:r>
      <w:r w:rsidRPr="00CD3389">
        <w:rPr>
          <w:rFonts w:ascii="Times New Roman" w:hAnsi="Times New Roman" w:cs="Times New Roman"/>
          <w:i/>
          <w:iCs/>
          <w:sz w:val="22"/>
          <w:szCs w:val="22"/>
        </w:rPr>
        <w:t>The Mind of Egypt</w:t>
      </w:r>
      <w:r w:rsidRPr="00CD3389">
        <w:rPr>
          <w:rFonts w:ascii="Times New Roman" w:hAnsi="Times New Roman" w:cs="Times New Roman"/>
          <w:sz w:val="22"/>
          <w:szCs w:val="22"/>
        </w:rPr>
        <w:t>, p. 454</w:t>
      </w:r>
    </w:p>
  </w:footnote>
  <w:footnote w:id="71">
    <w:p w14:paraId="473F63EA"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Assmann, </w:t>
      </w:r>
      <w:r w:rsidRPr="00CD3389">
        <w:rPr>
          <w:rFonts w:ascii="Times New Roman" w:hAnsi="Times New Roman" w:cs="Times New Roman"/>
          <w:i/>
          <w:iCs/>
          <w:sz w:val="22"/>
          <w:szCs w:val="22"/>
        </w:rPr>
        <w:t>The Mind of Egypt</w:t>
      </w:r>
      <w:r w:rsidRPr="00CD3389">
        <w:rPr>
          <w:rFonts w:ascii="Times New Roman" w:hAnsi="Times New Roman" w:cs="Times New Roman"/>
          <w:sz w:val="22"/>
          <w:szCs w:val="22"/>
        </w:rPr>
        <w:t>, p. 206.</w:t>
      </w:r>
    </w:p>
  </w:footnote>
  <w:footnote w:id="72">
    <w:p w14:paraId="65E8D688"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Assmann, </w:t>
      </w:r>
      <w:r w:rsidRPr="00CD3389">
        <w:rPr>
          <w:rFonts w:ascii="Times New Roman" w:hAnsi="Times New Roman" w:cs="Times New Roman"/>
          <w:i/>
          <w:iCs/>
          <w:sz w:val="22"/>
          <w:szCs w:val="22"/>
        </w:rPr>
        <w:t>The Mind of Egypt</w:t>
      </w:r>
      <w:r w:rsidRPr="00CD3389">
        <w:rPr>
          <w:rFonts w:ascii="Times New Roman" w:hAnsi="Times New Roman" w:cs="Times New Roman"/>
          <w:sz w:val="22"/>
          <w:szCs w:val="22"/>
        </w:rPr>
        <w:t>, p. 301.</w:t>
      </w:r>
    </w:p>
  </w:footnote>
  <w:footnote w:id="73">
    <w:p w14:paraId="307B0709"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von Lieven, ‘Divination in </w:t>
      </w:r>
      <w:proofErr w:type="spellStart"/>
      <w:r w:rsidRPr="00CD3389">
        <w:rPr>
          <w:rFonts w:ascii="Times New Roman" w:hAnsi="Times New Roman" w:cs="Times New Roman"/>
          <w:sz w:val="22"/>
          <w:szCs w:val="22"/>
        </w:rPr>
        <w:t>Ägypten</w:t>
      </w:r>
      <w:proofErr w:type="spellEnd"/>
      <w:r w:rsidRPr="00CD3389">
        <w:rPr>
          <w:rFonts w:ascii="Times New Roman" w:hAnsi="Times New Roman" w:cs="Times New Roman"/>
          <w:sz w:val="22"/>
          <w:szCs w:val="22"/>
        </w:rPr>
        <w:t>’, p. 80</w:t>
      </w:r>
    </w:p>
  </w:footnote>
  <w:footnote w:id="74">
    <w:p w14:paraId="7AC99FC2" w14:textId="77777777" w:rsidR="00167664" w:rsidRPr="00CD3389" w:rsidRDefault="00167664" w:rsidP="00167664">
      <w:pPr>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Kim </w:t>
      </w:r>
      <w:proofErr w:type="spellStart"/>
      <w:r w:rsidRPr="00CD3389">
        <w:rPr>
          <w:rFonts w:ascii="Times New Roman" w:hAnsi="Times New Roman" w:cs="Times New Roman"/>
          <w:sz w:val="22"/>
          <w:szCs w:val="22"/>
        </w:rPr>
        <w:t>Ryholt</w:t>
      </w:r>
      <w:proofErr w:type="spellEnd"/>
      <w:r w:rsidRPr="00CD3389">
        <w:rPr>
          <w:rFonts w:ascii="Times New Roman" w:hAnsi="Times New Roman" w:cs="Times New Roman"/>
          <w:sz w:val="22"/>
          <w:szCs w:val="22"/>
        </w:rPr>
        <w:t xml:space="preserve">, ‘A Pair of Oracle Petitions Addressed to Horus-of-the-Camp’ </w:t>
      </w:r>
      <w:r w:rsidRPr="00CD3389">
        <w:rPr>
          <w:rFonts w:ascii="Times New Roman" w:hAnsi="Times New Roman" w:cs="Times New Roman"/>
          <w:i/>
          <w:iCs/>
          <w:sz w:val="22"/>
          <w:szCs w:val="22"/>
        </w:rPr>
        <w:t>The Journal of Egyptian</w:t>
      </w:r>
      <w:r w:rsidRPr="00CD3389">
        <w:rPr>
          <w:rFonts w:ascii="Times New Roman" w:hAnsi="Times New Roman" w:cs="Times New Roman"/>
          <w:sz w:val="22"/>
          <w:szCs w:val="22"/>
        </w:rPr>
        <w:t xml:space="preserve"> </w:t>
      </w:r>
      <w:r w:rsidRPr="00CD3389">
        <w:rPr>
          <w:rFonts w:ascii="Times New Roman" w:hAnsi="Times New Roman" w:cs="Times New Roman"/>
          <w:i/>
          <w:iCs/>
          <w:sz w:val="22"/>
          <w:szCs w:val="22"/>
        </w:rPr>
        <w:t>Archaeology</w:t>
      </w:r>
      <w:r w:rsidRPr="00CD3389">
        <w:rPr>
          <w:rFonts w:ascii="Times New Roman" w:hAnsi="Times New Roman" w:cs="Times New Roman"/>
          <w:sz w:val="22"/>
          <w:szCs w:val="22"/>
        </w:rPr>
        <w:t>, 79 (1993), 189-198 (p. 193).</w:t>
      </w:r>
    </w:p>
  </w:footnote>
  <w:footnote w:id="75">
    <w:p w14:paraId="2402DE39"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w:t>
      </w:r>
      <w:proofErr w:type="spellStart"/>
      <w:r w:rsidRPr="00CD3389">
        <w:rPr>
          <w:rFonts w:ascii="Times New Roman" w:hAnsi="Times New Roman" w:cs="Times New Roman"/>
          <w:sz w:val="22"/>
          <w:szCs w:val="22"/>
        </w:rPr>
        <w:t>Ryholt</w:t>
      </w:r>
      <w:proofErr w:type="spellEnd"/>
      <w:r w:rsidRPr="00CD3389">
        <w:rPr>
          <w:rFonts w:ascii="Times New Roman" w:hAnsi="Times New Roman" w:cs="Times New Roman"/>
          <w:sz w:val="22"/>
          <w:szCs w:val="22"/>
        </w:rPr>
        <w:t>, ‘A Pair of Oracle Petitions, p. 195.</w:t>
      </w:r>
    </w:p>
  </w:footnote>
  <w:footnote w:id="76">
    <w:p w14:paraId="1D13F738"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Campion, </w:t>
      </w:r>
      <w:r w:rsidRPr="00CD3389">
        <w:rPr>
          <w:rFonts w:ascii="Times New Roman" w:hAnsi="Times New Roman" w:cs="Times New Roman"/>
          <w:i/>
          <w:iCs/>
          <w:sz w:val="22"/>
          <w:szCs w:val="22"/>
        </w:rPr>
        <w:t xml:space="preserve">A History of Western Astrology: Volume 1, </w:t>
      </w:r>
      <w:r w:rsidRPr="00CD3389">
        <w:rPr>
          <w:rFonts w:ascii="Times New Roman" w:hAnsi="Times New Roman" w:cs="Times New Roman"/>
          <w:sz w:val="22"/>
          <w:szCs w:val="22"/>
        </w:rPr>
        <w:t>p. 103.</w:t>
      </w:r>
    </w:p>
  </w:footnote>
  <w:footnote w:id="77">
    <w:p w14:paraId="21FFCFE6" w14:textId="77777777" w:rsidR="00167664" w:rsidRPr="00CD3389" w:rsidRDefault="00167664" w:rsidP="00167664">
      <w:pPr>
        <w:pStyle w:val="FootnoteText"/>
        <w:rPr>
          <w:rFonts w:ascii="Times New Roman" w:hAnsi="Times New Roman" w:cs="Times New Roman"/>
          <w:sz w:val="22"/>
          <w:szCs w:val="22"/>
        </w:rPr>
      </w:pPr>
      <w:r w:rsidRPr="00CD3389">
        <w:rPr>
          <w:rStyle w:val="FootnoteReference"/>
          <w:rFonts w:ascii="Times New Roman" w:hAnsi="Times New Roman" w:cs="Times New Roman"/>
          <w:sz w:val="22"/>
          <w:szCs w:val="22"/>
        </w:rPr>
        <w:footnoteRef/>
      </w:r>
      <w:r w:rsidRPr="00CD3389">
        <w:rPr>
          <w:rFonts w:ascii="Times New Roman" w:hAnsi="Times New Roman" w:cs="Times New Roman"/>
          <w:sz w:val="22"/>
          <w:szCs w:val="22"/>
        </w:rPr>
        <w:t xml:space="preserve"> Parker, ‘Ancient Egyptian Astronomy’, p. 52.</w:t>
      </w:r>
    </w:p>
    <w:p w14:paraId="6DD77901" w14:textId="77777777" w:rsidR="00167664" w:rsidRPr="00CD3389" w:rsidRDefault="00167664" w:rsidP="00167664">
      <w:pPr>
        <w:pStyle w:val="FootnoteText"/>
        <w:rPr>
          <w:rFonts w:ascii="Times New Roman" w:hAnsi="Times New Roman" w:cs="Times New Roman"/>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6899170"/>
      <w:docPartObj>
        <w:docPartGallery w:val="Page Numbers (Top of Page)"/>
        <w:docPartUnique/>
      </w:docPartObj>
    </w:sdtPr>
    <w:sdtContent>
      <w:p w14:paraId="0AA80925" w14:textId="77777777" w:rsidR="003A319E" w:rsidRDefault="003A319E" w:rsidP="000C690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738809" w14:textId="77777777" w:rsidR="003A319E" w:rsidRDefault="003A319E" w:rsidP="003A31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5F73" w14:textId="77777777" w:rsidR="003A319E" w:rsidRDefault="003A319E" w:rsidP="003A319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AE17F" w14:textId="77777777" w:rsidR="003A319E" w:rsidRDefault="003A319E" w:rsidP="000C690B">
    <w:pPr>
      <w:pStyle w:val="Header"/>
      <w:tabs>
        <w:tab w:val="clear" w:pos="4680"/>
        <w:tab w:val="clear" w:pos="9360"/>
        <w:tab w:val="left" w:pos="486"/>
      </w:tabs>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8686019"/>
      <w:docPartObj>
        <w:docPartGallery w:val="Page Numbers (Top of Page)"/>
        <w:docPartUnique/>
      </w:docPartObj>
    </w:sdtPr>
    <w:sdtContent>
      <w:p w14:paraId="77F6E53C" w14:textId="77777777" w:rsidR="000C690B" w:rsidRDefault="000C690B" w:rsidP="003827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C53092" w14:textId="77777777" w:rsidR="000C690B" w:rsidRDefault="000C690B" w:rsidP="000C690B">
    <w:pPr>
      <w:pStyle w:val="Header"/>
      <w:ind w:right="360"/>
    </w:pPr>
    <w:r>
      <w:t>Helen Astley 2126960</w:t>
    </w:r>
  </w:p>
  <w:p w14:paraId="08E541F6" w14:textId="77777777" w:rsidR="003A319E" w:rsidRDefault="003A319E" w:rsidP="003A31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B76"/>
    <w:multiLevelType w:val="multilevel"/>
    <w:tmpl w:val="6DEE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C21E1"/>
    <w:multiLevelType w:val="hybridMultilevel"/>
    <w:tmpl w:val="F6BC2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34355329">
    <w:abstractNumId w:val="0"/>
  </w:num>
  <w:num w:numId="2" w16cid:durableId="366684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9AE"/>
    <w:rsid w:val="000016EB"/>
    <w:rsid w:val="00001A5B"/>
    <w:rsid w:val="00001C3B"/>
    <w:rsid w:val="00007B44"/>
    <w:rsid w:val="00022345"/>
    <w:rsid w:val="00031717"/>
    <w:rsid w:val="00032FBF"/>
    <w:rsid w:val="000438E1"/>
    <w:rsid w:val="00046BD1"/>
    <w:rsid w:val="00050462"/>
    <w:rsid w:val="00056883"/>
    <w:rsid w:val="00060906"/>
    <w:rsid w:val="00066DA0"/>
    <w:rsid w:val="000734F6"/>
    <w:rsid w:val="000739F7"/>
    <w:rsid w:val="00073BA0"/>
    <w:rsid w:val="000804D1"/>
    <w:rsid w:val="00081087"/>
    <w:rsid w:val="00090391"/>
    <w:rsid w:val="00095266"/>
    <w:rsid w:val="000A21CB"/>
    <w:rsid w:val="000A5FC9"/>
    <w:rsid w:val="000B79BE"/>
    <w:rsid w:val="000C1731"/>
    <w:rsid w:val="000C57FE"/>
    <w:rsid w:val="000C690B"/>
    <w:rsid w:val="000C7FC7"/>
    <w:rsid w:val="000D041D"/>
    <w:rsid w:val="000D6887"/>
    <w:rsid w:val="000E4E65"/>
    <w:rsid w:val="000F797A"/>
    <w:rsid w:val="00102778"/>
    <w:rsid w:val="00106DEB"/>
    <w:rsid w:val="00112004"/>
    <w:rsid w:val="00114C09"/>
    <w:rsid w:val="00116CE6"/>
    <w:rsid w:val="0012222B"/>
    <w:rsid w:val="0013144B"/>
    <w:rsid w:val="0013164D"/>
    <w:rsid w:val="001352AD"/>
    <w:rsid w:val="00136823"/>
    <w:rsid w:val="00137BDF"/>
    <w:rsid w:val="00151E32"/>
    <w:rsid w:val="00164B54"/>
    <w:rsid w:val="001670E0"/>
    <w:rsid w:val="00167664"/>
    <w:rsid w:val="00174352"/>
    <w:rsid w:val="00180178"/>
    <w:rsid w:val="00182271"/>
    <w:rsid w:val="00184EE7"/>
    <w:rsid w:val="001900E3"/>
    <w:rsid w:val="00191B68"/>
    <w:rsid w:val="00193875"/>
    <w:rsid w:val="00194C54"/>
    <w:rsid w:val="001A79D2"/>
    <w:rsid w:val="001B006A"/>
    <w:rsid w:val="001C4131"/>
    <w:rsid w:val="001C4313"/>
    <w:rsid w:val="001C4D70"/>
    <w:rsid w:val="001D1AD3"/>
    <w:rsid w:val="001D3940"/>
    <w:rsid w:val="001D78B2"/>
    <w:rsid w:val="001E375D"/>
    <w:rsid w:val="001E5A61"/>
    <w:rsid w:val="001F71D0"/>
    <w:rsid w:val="001F7E78"/>
    <w:rsid w:val="002015BE"/>
    <w:rsid w:val="0021065B"/>
    <w:rsid w:val="00220DFA"/>
    <w:rsid w:val="00220F09"/>
    <w:rsid w:val="0022527B"/>
    <w:rsid w:val="00230F35"/>
    <w:rsid w:val="002338DC"/>
    <w:rsid w:val="00235FF2"/>
    <w:rsid w:val="00236C47"/>
    <w:rsid w:val="00244459"/>
    <w:rsid w:val="002448BE"/>
    <w:rsid w:val="00245D96"/>
    <w:rsid w:val="00253523"/>
    <w:rsid w:val="002554B2"/>
    <w:rsid w:val="002A29B9"/>
    <w:rsid w:val="002A3701"/>
    <w:rsid w:val="002A7746"/>
    <w:rsid w:val="002B17D9"/>
    <w:rsid w:val="002B7809"/>
    <w:rsid w:val="002C3735"/>
    <w:rsid w:val="002C7924"/>
    <w:rsid w:val="002D1D92"/>
    <w:rsid w:val="002D2D72"/>
    <w:rsid w:val="002D562A"/>
    <w:rsid w:val="002F193F"/>
    <w:rsid w:val="002F5224"/>
    <w:rsid w:val="002F6E82"/>
    <w:rsid w:val="00302D55"/>
    <w:rsid w:val="00314A0D"/>
    <w:rsid w:val="0033011A"/>
    <w:rsid w:val="003301E1"/>
    <w:rsid w:val="003446E6"/>
    <w:rsid w:val="003556AE"/>
    <w:rsid w:val="003560B4"/>
    <w:rsid w:val="00360819"/>
    <w:rsid w:val="00376D01"/>
    <w:rsid w:val="0038277E"/>
    <w:rsid w:val="00391224"/>
    <w:rsid w:val="00391E6B"/>
    <w:rsid w:val="003A319E"/>
    <w:rsid w:val="003A6B9A"/>
    <w:rsid w:val="003A765F"/>
    <w:rsid w:val="003D0271"/>
    <w:rsid w:val="003D4458"/>
    <w:rsid w:val="003D72DB"/>
    <w:rsid w:val="003E0241"/>
    <w:rsid w:val="003E64FB"/>
    <w:rsid w:val="003F0A3F"/>
    <w:rsid w:val="00405338"/>
    <w:rsid w:val="00406515"/>
    <w:rsid w:val="00407808"/>
    <w:rsid w:val="004128A1"/>
    <w:rsid w:val="00412A2B"/>
    <w:rsid w:val="00424722"/>
    <w:rsid w:val="00454857"/>
    <w:rsid w:val="0046157D"/>
    <w:rsid w:val="00462B35"/>
    <w:rsid w:val="00465EF8"/>
    <w:rsid w:val="0046719E"/>
    <w:rsid w:val="004706E7"/>
    <w:rsid w:val="00472363"/>
    <w:rsid w:val="0048583A"/>
    <w:rsid w:val="004926A8"/>
    <w:rsid w:val="004B09AE"/>
    <w:rsid w:val="004B7172"/>
    <w:rsid w:val="004C24D5"/>
    <w:rsid w:val="004C277B"/>
    <w:rsid w:val="004C7DE5"/>
    <w:rsid w:val="004E16B3"/>
    <w:rsid w:val="004E4517"/>
    <w:rsid w:val="004E4DAB"/>
    <w:rsid w:val="004F3717"/>
    <w:rsid w:val="004F4FBD"/>
    <w:rsid w:val="00505257"/>
    <w:rsid w:val="00507F1D"/>
    <w:rsid w:val="00510C53"/>
    <w:rsid w:val="00513AF6"/>
    <w:rsid w:val="00550592"/>
    <w:rsid w:val="00550DE5"/>
    <w:rsid w:val="00556EC1"/>
    <w:rsid w:val="00560844"/>
    <w:rsid w:val="00575B90"/>
    <w:rsid w:val="0058033A"/>
    <w:rsid w:val="00582BEF"/>
    <w:rsid w:val="00593A84"/>
    <w:rsid w:val="005979EE"/>
    <w:rsid w:val="005A1D60"/>
    <w:rsid w:val="005A3F37"/>
    <w:rsid w:val="005B4853"/>
    <w:rsid w:val="005C1F7B"/>
    <w:rsid w:val="005E2508"/>
    <w:rsid w:val="005E375A"/>
    <w:rsid w:val="00635330"/>
    <w:rsid w:val="00640F9E"/>
    <w:rsid w:val="00647961"/>
    <w:rsid w:val="00651914"/>
    <w:rsid w:val="00651C03"/>
    <w:rsid w:val="00651CFB"/>
    <w:rsid w:val="00652C13"/>
    <w:rsid w:val="00655ADA"/>
    <w:rsid w:val="00670E2F"/>
    <w:rsid w:val="00673065"/>
    <w:rsid w:val="006864BE"/>
    <w:rsid w:val="00690FD3"/>
    <w:rsid w:val="006928B8"/>
    <w:rsid w:val="006931E0"/>
    <w:rsid w:val="00696117"/>
    <w:rsid w:val="006C6565"/>
    <w:rsid w:val="006D0D38"/>
    <w:rsid w:val="006D13AF"/>
    <w:rsid w:val="006E139E"/>
    <w:rsid w:val="006E3147"/>
    <w:rsid w:val="006F56E0"/>
    <w:rsid w:val="00704F9C"/>
    <w:rsid w:val="007100FC"/>
    <w:rsid w:val="00713D84"/>
    <w:rsid w:val="0071529C"/>
    <w:rsid w:val="00727B2A"/>
    <w:rsid w:val="007308F4"/>
    <w:rsid w:val="00732796"/>
    <w:rsid w:val="0073290F"/>
    <w:rsid w:val="00750F7F"/>
    <w:rsid w:val="0075625A"/>
    <w:rsid w:val="007736CD"/>
    <w:rsid w:val="007736E5"/>
    <w:rsid w:val="0077487B"/>
    <w:rsid w:val="00776044"/>
    <w:rsid w:val="00776CEA"/>
    <w:rsid w:val="00777A78"/>
    <w:rsid w:val="00783424"/>
    <w:rsid w:val="0078529E"/>
    <w:rsid w:val="00793245"/>
    <w:rsid w:val="007933DE"/>
    <w:rsid w:val="007956EE"/>
    <w:rsid w:val="007A045A"/>
    <w:rsid w:val="007A7EE2"/>
    <w:rsid w:val="007B3854"/>
    <w:rsid w:val="007D357F"/>
    <w:rsid w:val="007D7F2C"/>
    <w:rsid w:val="007E355D"/>
    <w:rsid w:val="007E6955"/>
    <w:rsid w:val="007F3B09"/>
    <w:rsid w:val="007F4E9D"/>
    <w:rsid w:val="007F5C3D"/>
    <w:rsid w:val="007F75F6"/>
    <w:rsid w:val="007F76AA"/>
    <w:rsid w:val="007F7708"/>
    <w:rsid w:val="008077F5"/>
    <w:rsid w:val="0081366B"/>
    <w:rsid w:val="00830298"/>
    <w:rsid w:val="00834EE5"/>
    <w:rsid w:val="008360FB"/>
    <w:rsid w:val="00842FD0"/>
    <w:rsid w:val="008439A9"/>
    <w:rsid w:val="008502E0"/>
    <w:rsid w:val="0085204A"/>
    <w:rsid w:val="00852A0D"/>
    <w:rsid w:val="00867A0D"/>
    <w:rsid w:val="008814D5"/>
    <w:rsid w:val="00882836"/>
    <w:rsid w:val="008917EB"/>
    <w:rsid w:val="0089529E"/>
    <w:rsid w:val="008B5342"/>
    <w:rsid w:val="008B5874"/>
    <w:rsid w:val="008B793F"/>
    <w:rsid w:val="008C23D3"/>
    <w:rsid w:val="008D5607"/>
    <w:rsid w:val="008D5B12"/>
    <w:rsid w:val="008D636E"/>
    <w:rsid w:val="008E3FB6"/>
    <w:rsid w:val="008E48DD"/>
    <w:rsid w:val="008F003E"/>
    <w:rsid w:val="008F59FE"/>
    <w:rsid w:val="008F7B50"/>
    <w:rsid w:val="00902BBA"/>
    <w:rsid w:val="00904DA9"/>
    <w:rsid w:val="00911A57"/>
    <w:rsid w:val="00923901"/>
    <w:rsid w:val="009332D7"/>
    <w:rsid w:val="0093405E"/>
    <w:rsid w:val="00936739"/>
    <w:rsid w:val="0094008E"/>
    <w:rsid w:val="009409B9"/>
    <w:rsid w:val="0094183F"/>
    <w:rsid w:val="00944439"/>
    <w:rsid w:val="00945316"/>
    <w:rsid w:val="0095644A"/>
    <w:rsid w:val="0096579F"/>
    <w:rsid w:val="009661C6"/>
    <w:rsid w:val="00973350"/>
    <w:rsid w:val="00973468"/>
    <w:rsid w:val="0097592D"/>
    <w:rsid w:val="00986996"/>
    <w:rsid w:val="0099181C"/>
    <w:rsid w:val="00995B7F"/>
    <w:rsid w:val="009B25E7"/>
    <w:rsid w:val="009C5E47"/>
    <w:rsid w:val="009D2758"/>
    <w:rsid w:val="009D6340"/>
    <w:rsid w:val="009E7FAC"/>
    <w:rsid w:val="009F4183"/>
    <w:rsid w:val="00A00385"/>
    <w:rsid w:val="00A00B81"/>
    <w:rsid w:val="00A016C9"/>
    <w:rsid w:val="00A067E1"/>
    <w:rsid w:val="00A12C39"/>
    <w:rsid w:val="00A260E2"/>
    <w:rsid w:val="00A32607"/>
    <w:rsid w:val="00A36584"/>
    <w:rsid w:val="00A37087"/>
    <w:rsid w:val="00A437C7"/>
    <w:rsid w:val="00A6560D"/>
    <w:rsid w:val="00A71FDA"/>
    <w:rsid w:val="00A7362E"/>
    <w:rsid w:val="00A83C9C"/>
    <w:rsid w:val="00A96F78"/>
    <w:rsid w:val="00AA232E"/>
    <w:rsid w:val="00AA6844"/>
    <w:rsid w:val="00AA686C"/>
    <w:rsid w:val="00AA79B3"/>
    <w:rsid w:val="00AB1A9F"/>
    <w:rsid w:val="00AD63B1"/>
    <w:rsid w:val="00AD7DE7"/>
    <w:rsid w:val="00AE2EDA"/>
    <w:rsid w:val="00AE6D11"/>
    <w:rsid w:val="00AF1347"/>
    <w:rsid w:val="00AF6095"/>
    <w:rsid w:val="00AF6C44"/>
    <w:rsid w:val="00B04242"/>
    <w:rsid w:val="00B1563A"/>
    <w:rsid w:val="00B16650"/>
    <w:rsid w:val="00B23A8A"/>
    <w:rsid w:val="00B30244"/>
    <w:rsid w:val="00B337BC"/>
    <w:rsid w:val="00B34629"/>
    <w:rsid w:val="00B34964"/>
    <w:rsid w:val="00B41296"/>
    <w:rsid w:val="00B414D2"/>
    <w:rsid w:val="00B46D6A"/>
    <w:rsid w:val="00B52E55"/>
    <w:rsid w:val="00B5431F"/>
    <w:rsid w:val="00B6459E"/>
    <w:rsid w:val="00B654F2"/>
    <w:rsid w:val="00B7069A"/>
    <w:rsid w:val="00B74676"/>
    <w:rsid w:val="00B80240"/>
    <w:rsid w:val="00B8147D"/>
    <w:rsid w:val="00B8330C"/>
    <w:rsid w:val="00B83921"/>
    <w:rsid w:val="00B83A99"/>
    <w:rsid w:val="00B90609"/>
    <w:rsid w:val="00BA47B6"/>
    <w:rsid w:val="00BA568C"/>
    <w:rsid w:val="00BA7284"/>
    <w:rsid w:val="00BB04DF"/>
    <w:rsid w:val="00BD5AAD"/>
    <w:rsid w:val="00BE026A"/>
    <w:rsid w:val="00BE71BE"/>
    <w:rsid w:val="00BE764A"/>
    <w:rsid w:val="00BF5BF5"/>
    <w:rsid w:val="00BF6802"/>
    <w:rsid w:val="00C01899"/>
    <w:rsid w:val="00C021E1"/>
    <w:rsid w:val="00C13539"/>
    <w:rsid w:val="00C14F20"/>
    <w:rsid w:val="00C222BE"/>
    <w:rsid w:val="00C23D86"/>
    <w:rsid w:val="00C4156B"/>
    <w:rsid w:val="00C43CFB"/>
    <w:rsid w:val="00C501D6"/>
    <w:rsid w:val="00C5649E"/>
    <w:rsid w:val="00C71A0A"/>
    <w:rsid w:val="00C72251"/>
    <w:rsid w:val="00C77828"/>
    <w:rsid w:val="00C823CD"/>
    <w:rsid w:val="00C87918"/>
    <w:rsid w:val="00C95633"/>
    <w:rsid w:val="00C95F68"/>
    <w:rsid w:val="00CA2AC8"/>
    <w:rsid w:val="00CA584E"/>
    <w:rsid w:val="00CB0400"/>
    <w:rsid w:val="00CB161E"/>
    <w:rsid w:val="00CB4FCE"/>
    <w:rsid w:val="00CC5F36"/>
    <w:rsid w:val="00CD27B8"/>
    <w:rsid w:val="00CD2ED3"/>
    <w:rsid w:val="00CD3389"/>
    <w:rsid w:val="00CD4400"/>
    <w:rsid w:val="00CE422C"/>
    <w:rsid w:val="00CE7BB9"/>
    <w:rsid w:val="00CE7CC7"/>
    <w:rsid w:val="00CF07D0"/>
    <w:rsid w:val="00CF4E8A"/>
    <w:rsid w:val="00CF71B8"/>
    <w:rsid w:val="00D1135F"/>
    <w:rsid w:val="00D143DD"/>
    <w:rsid w:val="00D242B1"/>
    <w:rsid w:val="00D24496"/>
    <w:rsid w:val="00D27FBB"/>
    <w:rsid w:val="00D361A7"/>
    <w:rsid w:val="00D431D0"/>
    <w:rsid w:val="00D4557D"/>
    <w:rsid w:val="00D5012D"/>
    <w:rsid w:val="00D506A4"/>
    <w:rsid w:val="00D506C5"/>
    <w:rsid w:val="00D52B1A"/>
    <w:rsid w:val="00D56192"/>
    <w:rsid w:val="00D636E8"/>
    <w:rsid w:val="00D65BFA"/>
    <w:rsid w:val="00D65E6F"/>
    <w:rsid w:val="00D67BF8"/>
    <w:rsid w:val="00D76F1D"/>
    <w:rsid w:val="00D97921"/>
    <w:rsid w:val="00DB0C99"/>
    <w:rsid w:val="00DB45E4"/>
    <w:rsid w:val="00DB757D"/>
    <w:rsid w:val="00DC155E"/>
    <w:rsid w:val="00DD2238"/>
    <w:rsid w:val="00DE0C7F"/>
    <w:rsid w:val="00DF2E04"/>
    <w:rsid w:val="00DF31D7"/>
    <w:rsid w:val="00DF5F80"/>
    <w:rsid w:val="00E16141"/>
    <w:rsid w:val="00E46DF9"/>
    <w:rsid w:val="00E52A30"/>
    <w:rsid w:val="00E63743"/>
    <w:rsid w:val="00E65927"/>
    <w:rsid w:val="00E71AE5"/>
    <w:rsid w:val="00E850A8"/>
    <w:rsid w:val="00E92591"/>
    <w:rsid w:val="00E92689"/>
    <w:rsid w:val="00EA1145"/>
    <w:rsid w:val="00EA57AF"/>
    <w:rsid w:val="00EC44AC"/>
    <w:rsid w:val="00ED15A0"/>
    <w:rsid w:val="00ED2C8F"/>
    <w:rsid w:val="00ED4576"/>
    <w:rsid w:val="00EF03C8"/>
    <w:rsid w:val="00F05CEB"/>
    <w:rsid w:val="00F076E0"/>
    <w:rsid w:val="00F12049"/>
    <w:rsid w:val="00F163B9"/>
    <w:rsid w:val="00F32D09"/>
    <w:rsid w:val="00F35550"/>
    <w:rsid w:val="00F449D7"/>
    <w:rsid w:val="00F54DE6"/>
    <w:rsid w:val="00F56049"/>
    <w:rsid w:val="00F56FA8"/>
    <w:rsid w:val="00F61E64"/>
    <w:rsid w:val="00F6642D"/>
    <w:rsid w:val="00F66EBD"/>
    <w:rsid w:val="00F737E0"/>
    <w:rsid w:val="00F751FC"/>
    <w:rsid w:val="00F773D5"/>
    <w:rsid w:val="00F779F7"/>
    <w:rsid w:val="00F9063B"/>
    <w:rsid w:val="00F90746"/>
    <w:rsid w:val="00F95CA5"/>
    <w:rsid w:val="00F961CE"/>
    <w:rsid w:val="00FA3AE2"/>
    <w:rsid w:val="00FB2A26"/>
    <w:rsid w:val="00FC0A5E"/>
    <w:rsid w:val="00FD29F1"/>
    <w:rsid w:val="00FE43D4"/>
    <w:rsid w:val="00FF1ABF"/>
    <w:rsid w:val="00FF2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E1A2B"/>
  <w15:chartTrackingRefBased/>
  <w15:docId w15:val="{7D4AB942-9407-CF4D-A51C-CCFEA6B9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777A7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B09AE"/>
    <w:pPr>
      <w:tabs>
        <w:tab w:val="center" w:pos="4680"/>
        <w:tab w:val="right" w:pos="9360"/>
      </w:tabs>
    </w:pPr>
  </w:style>
  <w:style w:type="character" w:customStyle="1" w:styleId="FooterChar">
    <w:name w:val="Footer Char"/>
    <w:basedOn w:val="DefaultParagraphFont"/>
    <w:link w:val="Footer"/>
    <w:uiPriority w:val="99"/>
    <w:rsid w:val="004B09AE"/>
  </w:style>
  <w:style w:type="character" w:styleId="PageNumber">
    <w:name w:val="page number"/>
    <w:basedOn w:val="DefaultParagraphFont"/>
    <w:uiPriority w:val="99"/>
    <w:semiHidden/>
    <w:unhideWhenUsed/>
    <w:rsid w:val="004B09AE"/>
  </w:style>
  <w:style w:type="paragraph" w:styleId="NoSpacing">
    <w:name w:val="No Spacing"/>
    <w:link w:val="NoSpacingChar"/>
    <w:uiPriority w:val="1"/>
    <w:qFormat/>
    <w:rsid w:val="004B09AE"/>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4B09AE"/>
    <w:rPr>
      <w:rFonts w:asciiTheme="minorHAnsi" w:eastAsiaTheme="minorEastAsia" w:hAnsiTheme="minorHAnsi" w:cstheme="minorBidi"/>
      <w:sz w:val="22"/>
      <w:szCs w:val="22"/>
      <w:lang w:val="en-US" w:eastAsia="zh-CN"/>
    </w:rPr>
  </w:style>
  <w:style w:type="character" w:customStyle="1" w:styleId="Heading3Char">
    <w:name w:val="Heading 3 Char"/>
    <w:basedOn w:val="DefaultParagraphFont"/>
    <w:link w:val="Heading3"/>
    <w:rsid w:val="00777A78"/>
    <w:rPr>
      <w:rFonts w:ascii="Tahoma" w:eastAsia="SimSun" w:hAnsi="Tahoma" w:cs="Tahoma"/>
      <w:b/>
      <w:bCs/>
      <w:sz w:val="20"/>
      <w:szCs w:val="20"/>
      <w:lang w:eastAsia="zh-CN"/>
    </w:rPr>
  </w:style>
  <w:style w:type="paragraph" w:styleId="NormalWeb">
    <w:name w:val="Normal (Web)"/>
    <w:basedOn w:val="Normal"/>
    <w:uiPriority w:val="99"/>
    <w:qFormat/>
    <w:rsid w:val="00777A78"/>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B5431F"/>
    <w:pPr>
      <w:tabs>
        <w:tab w:val="center" w:pos="4680"/>
        <w:tab w:val="right" w:pos="9360"/>
      </w:tabs>
    </w:pPr>
  </w:style>
  <w:style w:type="character" w:customStyle="1" w:styleId="HeaderChar">
    <w:name w:val="Header Char"/>
    <w:basedOn w:val="DefaultParagraphFont"/>
    <w:link w:val="Header"/>
    <w:uiPriority w:val="99"/>
    <w:rsid w:val="00B5431F"/>
  </w:style>
  <w:style w:type="paragraph" w:styleId="FootnoteText">
    <w:name w:val="footnote text"/>
    <w:basedOn w:val="Normal"/>
    <w:link w:val="FootnoteTextChar"/>
    <w:uiPriority w:val="99"/>
    <w:unhideWhenUsed/>
    <w:rsid w:val="00FD29F1"/>
    <w:rPr>
      <w:sz w:val="20"/>
      <w:szCs w:val="20"/>
    </w:rPr>
  </w:style>
  <w:style w:type="character" w:customStyle="1" w:styleId="FootnoteTextChar">
    <w:name w:val="Footnote Text Char"/>
    <w:basedOn w:val="DefaultParagraphFont"/>
    <w:link w:val="FootnoteText"/>
    <w:uiPriority w:val="99"/>
    <w:rsid w:val="00FD29F1"/>
    <w:rPr>
      <w:sz w:val="20"/>
      <w:szCs w:val="20"/>
    </w:rPr>
  </w:style>
  <w:style w:type="character" w:styleId="FootnoteReference">
    <w:name w:val="footnote reference"/>
    <w:basedOn w:val="DefaultParagraphFont"/>
    <w:uiPriority w:val="99"/>
    <w:semiHidden/>
    <w:unhideWhenUsed/>
    <w:rsid w:val="00FD29F1"/>
    <w:rPr>
      <w:vertAlign w:val="superscript"/>
    </w:rPr>
  </w:style>
  <w:style w:type="character" w:styleId="Hyperlink">
    <w:name w:val="Hyperlink"/>
    <w:basedOn w:val="DefaultParagraphFont"/>
    <w:uiPriority w:val="99"/>
    <w:unhideWhenUsed/>
    <w:rsid w:val="00151E32"/>
    <w:rPr>
      <w:color w:val="0563C1" w:themeColor="hyperlink"/>
      <w:u w:val="single"/>
    </w:rPr>
  </w:style>
  <w:style w:type="character" w:styleId="UnresolvedMention">
    <w:name w:val="Unresolved Mention"/>
    <w:basedOn w:val="DefaultParagraphFont"/>
    <w:uiPriority w:val="99"/>
    <w:semiHidden/>
    <w:unhideWhenUsed/>
    <w:rsid w:val="00151E32"/>
    <w:rPr>
      <w:color w:val="605E5C"/>
      <w:shd w:val="clear" w:color="auto" w:fill="E1DFDD"/>
    </w:rPr>
  </w:style>
  <w:style w:type="character" w:styleId="FollowedHyperlink">
    <w:name w:val="FollowedHyperlink"/>
    <w:basedOn w:val="DefaultParagraphFont"/>
    <w:uiPriority w:val="99"/>
    <w:semiHidden/>
    <w:unhideWhenUsed/>
    <w:rsid w:val="00D97921"/>
    <w:rPr>
      <w:color w:val="954F72" w:themeColor="followedHyperlink"/>
      <w:u w:val="single"/>
    </w:rPr>
  </w:style>
  <w:style w:type="character" w:customStyle="1" w:styleId="apple-converted-space">
    <w:name w:val="apple-converted-space"/>
    <w:basedOn w:val="DefaultParagraphFont"/>
    <w:rsid w:val="00D242B1"/>
  </w:style>
  <w:style w:type="paragraph" w:styleId="Revision">
    <w:name w:val="Revision"/>
    <w:hidden/>
    <w:uiPriority w:val="99"/>
    <w:semiHidden/>
    <w:rsid w:val="00BA47B6"/>
  </w:style>
  <w:style w:type="character" w:customStyle="1" w:styleId="bibliographicauthorname">
    <w:name w:val="bibliographicauthorname"/>
    <w:basedOn w:val="DefaultParagraphFont"/>
    <w:rsid w:val="00F35550"/>
  </w:style>
  <w:style w:type="character" w:customStyle="1" w:styleId="translators">
    <w:name w:val="translators"/>
    <w:basedOn w:val="DefaultParagraphFont"/>
    <w:rsid w:val="00F35550"/>
  </w:style>
  <w:style w:type="character" w:customStyle="1" w:styleId="contributorname">
    <w:name w:val="contributorname"/>
    <w:basedOn w:val="DefaultParagraphFont"/>
    <w:rsid w:val="00F35550"/>
  </w:style>
  <w:style w:type="paragraph" w:styleId="ListParagraph">
    <w:name w:val="List Paragraph"/>
    <w:basedOn w:val="Normal"/>
    <w:uiPriority w:val="34"/>
    <w:qFormat/>
    <w:rsid w:val="006864BE"/>
    <w:pPr>
      <w:ind w:left="720"/>
      <w:contextualSpacing/>
    </w:pPr>
  </w:style>
  <w:style w:type="character" w:styleId="Emphasis">
    <w:name w:val="Emphasis"/>
    <w:basedOn w:val="DefaultParagraphFont"/>
    <w:uiPriority w:val="20"/>
    <w:qFormat/>
    <w:rsid w:val="001676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758934">
      <w:bodyDiv w:val="1"/>
      <w:marLeft w:val="0"/>
      <w:marRight w:val="0"/>
      <w:marTop w:val="0"/>
      <w:marBottom w:val="0"/>
      <w:divBdr>
        <w:top w:val="none" w:sz="0" w:space="0" w:color="auto"/>
        <w:left w:val="none" w:sz="0" w:space="0" w:color="auto"/>
        <w:bottom w:val="none" w:sz="0" w:space="0" w:color="auto"/>
        <w:right w:val="none" w:sz="0" w:space="0" w:color="auto"/>
      </w:divBdr>
      <w:divsChild>
        <w:div w:id="2038040975">
          <w:marLeft w:val="0"/>
          <w:marRight w:val="0"/>
          <w:marTop w:val="0"/>
          <w:marBottom w:val="0"/>
          <w:divBdr>
            <w:top w:val="none" w:sz="0" w:space="0" w:color="auto"/>
            <w:left w:val="none" w:sz="0" w:space="0" w:color="auto"/>
            <w:bottom w:val="none" w:sz="0" w:space="0" w:color="auto"/>
            <w:right w:val="none" w:sz="0" w:space="0" w:color="auto"/>
          </w:divBdr>
          <w:divsChild>
            <w:div w:id="1908221577">
              <w:marLeft w:val="0"/>
              <w:marRight w:val="0"/>
              <w:marTop w:val="0"/>
              <w:marBottom w:val="0"/>
              <w:divBdr>
                <w:top w:val="none" w:sz="0" w:space="0" w:color="auto"/>
                <w:left w:val="none" w:sz="0" w:space="0" w:color="auto"/>
                <w:bottom w:val="none" w:sz="0" w:space="0" w:color="auto"/>
                <w:right w:val="none" w:sz="0" w:space="0" w:color="auto"/>
              </w:divBdr>
              <w:divsChild>
                <w:div w:id="190337136">
                  <w:marLeft w:val="0"/>
                  <w:marRight w:val="0"/>
                  <w:marTop w:val="0"/>
                  <w:marBottom w:val="0"/>
                  <w:divBdr>
                    <w:top w:val="none" w:sz="0" w:space="0" w:color="auto"/>
                    <w:left w:val="none" w:sz="0" w:space="0" w:color="auto"/>
                    <w:bottom w:val="none" w:sz="0" w:space="0" w:color="auto"/>
                    <w:right w:val="none" w:sz="0" w:space="0" w:color="auto"/>
                  </w:divBdr>
                  <w:divsChild>
                    <w:div w:id="121519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734193">
      <w:bodyDiv w:val="1"/>
      <w:marLeft w:val="0"/>
      <w:marRight w:val="0"/>
      <w:marTop w:val="0"/>
      <w:marBottom w:val="0"/>
      <w:divBdr>
        <w:top w:val="none" w:sz="0" w:space="0" w:color="auto"/>
        <w:left w:val="none" w:sz="0" w:space="0" w:color="auto"/>
        <w:bottom w:val="none" w:sz="0" w:space="0" w:color="auto"/>
        <w:right w:val="none" w:sz="0" w:space="0" w:color="auto"/>
      </w:divBdr>
      <w:divsChild>
        <w:div w:id="1555971599">
          <w:marLeft w:val="0"/>
          <w:marRight w:val="0"/>
          <w:marTop w:val="0"/>
          <w:marBottom w:val="0"/>
          <w:divBdr>
            <w:top w:val="none" w:sz="0" w:space="0" w:color="auto"/>
            <w:left w:val="none" w:sz="0" w:space="0" w:color="auto"/>
            <w:bottom w:val="none" w:sz="0" w:space="0" w:color="auto"/>
            <w:right w:val="none" w:sz="0" w:space="0" w:color="auto"/>
          </w:divBdr>
          <w:divsChild>
            <w:div w:id="291524596">
              <w:marLeft w:val="0"/>
              <w:marRight w:val="0"/>
              <w:marTop w:val="0"/>
              <w:marBottom w:val="0"/>
              <w:divBdr>
                <w:top w:val="none" w:sz="0" w:space="0" w:color="auto"/>
                <w:left w:val="none" w:sz="0" w:space="0" w:color="auto"/>
                <w:bottom w:val="none" w:sz="0" w:space="0" w:color="auto"/>
                <w:right w:val="none" w:sz="0" w:space="0" w:color="auto"/>
              </w:divBdr>
              <w:divsChild>
                <w:div w:id="1166628553">
                  <w:marLeft w:val="0"/>
                  <w:marRight w:val="0"/>
                  <w:marTop w:val="0"/>
                  <w:marBottom w:val="0"/>
                  <w:divBdr>
                    <w:top w:val="none" w:sz="0" w:space="0" w:color="auto"/>
                    <w:left w:val="none" w:sz="0" w:space="0" w:color="auto"/>
                    <w:bottom w:val="none" w:sz="0" w:space="0" w:color="auto"/>
                    <w:right w:val="none" w:sz="0" w:space="0" w:color="auto"/>
                  </w:divBdr>
                  <w:divsChild>
                    <w:div w:id="173986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ciencealert.com/complete-depiction-of-the-zodiac-found-in-ancient-egyptian-temple"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sciencealert.com/complete-depiction-of-the-zodiac-found-in-ancient-egyptian-te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68C9A-61DD-3144-8791-C8C916BB2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TotalTime>
  <Pages>13</Pages>
  <Words>4972</Words>
  <Characters>28341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astley</dc:creator>
  <cp:lastModifiedBy>helen astley</cp:lastModifiedBy>
  <cp:revision>91</cp:revision>
  <dcterms:created xsi:type="dcterms:W3CDTF">2023-02-25T13:46:00Z</dcterms:created>
  <dcterms:modified xsi:type="dcterms:W3CDTF">2023-04-24T22:56:00Z</dcterms:modified>
</cp:coreProperties>
</file>