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3D6B7" w14:textId="77777777" w:rsidR="00A54114" w:rsidRPr="00F0580C" w:rsidRDefault="000D10C4">
      <w:pPr>
        <w:spacing w:after="261"/>
        <w:rPr>
          <w:b/>
          <w:bCs/>
          <w:color w:val="45B0E1" w:themeColor="accent1" w:themeTint="99"/>
        </w:rPr>
      </w:pPr>
      <w:r w:rsidRPr="00F0580C">
        <w:rPr>
          <w:b/>
          <w:bCs/>
          <w:color w:val="45B0E1" w:themeColor="accent1" w:themeTint="99"/>
        </w:rPr>
        <w:t xml:space="preserve">Psychology in Health and Social Care </w:t>
      </w:r>
      <w:r w:rsidRPr="00F0580C">
        <w:rPr>
          <w:rFonts w:cs="Arial"/>
          <w:b/>
          <w:bCs/>
          <w:color w:val="45B0E1" w:themeColor="accent1" w:themeTint="99"/>
        </w:rPr>
        <w:t xml:space="preserve"> </w:t>
      </w:r>
    </w:p>
    <w:p w14:paraId="1D011D7F" w14:textId="77777777" w:rsidR="00A54114" w:rsidRPr="00F0580C" w:rsidRDefault="000D10C4">
      <w:pPr>
        <w:spacing w:after="252"/>
        <w:ind w:left="3307"/>
        <w:rPr>
          <w:b/>
          <w:bCs/>
          <w:color w:val="45B0E1" w:themeColor="accent1" w:themeTint="99"/>
        </w:rPr>
      </w:pPr>
      <w:r w:rsidRPr="00F0580C">
        <w:rPr>
          <w:b/>
          <w:bCs/>
          <w:color w:val="45B0E1" w:themeColor="accent1" w:themeTint="99"/>
        </w:rPr>
        <w:t xml:space="preserve">Module code: LCHS4010 </w:t>
      </w:r>
      <w:r w:rsidRPr="00F0580C">
        <w:rPr>
          <w:rFonts w:cs="Arial"/>
          <w:b/>
          <w:bCs/>
          <w:color w:val="45B0E1" w:themeColor="accent1" w:themeTint="99"/>
        </w:rPr>
        <w:t xml:space="preserve"> </w:t>
      </w:r>
    </w:p>
    <w:p w14:paraId="4ED56402" w14:textId="77777777" w:rsidR="00A54114" w:rsidRPr="00F0580C" w:rsidRDefault="000D10C4">
      <w:pPr>
        <w:spacing w:after="266"/>
        <w:ind w:left="2081"/>
        <w:rPr>
          <w:b/>
          <w:bCs/>
          <w:color w:val="45B0E1" w:themeColor="accent1" w:themeTint="99"/>
          <w:u w:val="single"/>
        </w:rPr>
      </w:pPr>
      <w:r w:rsidRPr="00F0580C">
        <w:rPr>
          <w:b/>
          <w:bCs/>
          <w:color w:val="45B0E1" w:themeColor="accent1" w:themeTint="99"/>
        </w:rPr>
        <w:t xml:space="preserve">Assessment 2: </w:t>
      </w:r>
      <w:r w:rsidRPr="00F0580C">
        <w:rPr>
          <w:b/>
          <w:bCs/>
          <w:color w:val="45B0E1" w:themeColor="accent1" w:themeTint="99"/>
          <w:u w:val="single"/>
        </w:rPr>
        <w:t xml:space="preserve">Annotated Bibliography and Report </w:t>
      </w:r>
      <w:r w:rsidRPr="00F0580C">
        <w:rPr>
          <w:rFonts w:cs="Arial"/>
          <w:b/>
          <w:bCs/>
          <w:color w:val="45B0E1" w:themeColor="accent1" w:themeTint="99"/>
          <w:u w:val="single"/>
        </w:rPr>
        <w:t xml:space="preserve"> </w:t>
      </w:r>
    </w:p>
    <w:p w14:paraId="6B6A7684" w14:textId="77777777" w:rsidR="00A54114" w:rsidRPr="00F0580C" w:rsidRDefault="000D10C4">
      <w:pPr>
        <w:spacing w:after="261"/>
        <w:ind w:left="3242"/>
        <w:rPr>
          <w:b/>
          <w:bCs/>
          <w:color w:val="45B0E1" w:themeColor="accent1" w:themeTint="99"/>
        </w:rPr>
      </w:pPr>
      <w:r w:rsidRPr="00F0580C">
        <w:rPr>
          <w:b/>
          <w:bCs/>
          <w:color w:val="45B0E1" w:themeColor="accent1" w:themeTint="99"/>
        </w:rPr>
        <w:t xml:space="preserve">Student Name: Paola Diaz </w:t>
      </w:r>
      <w:r w:rsidRPr="00F0580C">
        <w:rPr>
          <w:rFonts w:cs="Arial"/>
          <w:b/>
          <w:bCs/>
          <w:color w:val="45B0E1" w:themeColor="accent1" w:themeTint="99"/>
        </w:rPr>
        <w:t xml:space="preserve"> </w:t>
      </w:r>
    </w:p>
    <w:p w14:paraId="6E51A554" w14:textId="77777777" w:rsidR="00A54114" w:rsidRPr="00F0580C" w:rsidRDefault="000D10C4">
      <w:pPr>
        <w:spacing w:after="262"/>
        <w:ind w:left="3527"/>
        <w:rPr>
          <w:b/>
          <w:bCs/>
          <w:color w:val="45B0E1" w:themeColor="accent1" w:themeTint="99"/>
        </w:rPr>
      </w:pPr>
      <w:r w:rsidRPr="00F0580C">
        <w:rPr>
          <w:b/>
          <w:bCs/>
          <w:color w:val="45B0E1" w:themeColor="accent1" w:themeTint="99"/>
        </w:rPr>
        <w:t xml:space="preserve">Student ID :2438263 </w:t>
      </w:r>
      <w:r w:rsidRPr="00F0580C">
        <w:rPr>
          <w:rFonts w:cs="Arial"/>
          <w:b/>
          <w:bCs/>
          <w:color w:val="45B0E1" w:themeColor="accent1" w:themeTint="99"/>
        </w:rPr>
        <w:t xml:space="preserve"> </w:t>
      </w:r>
    </w:p>
    <w:p w14:paraId="4D407FA0" w14:textId="77777777" w:rsidR="00A54114" w:rsidRPr="00F0580C" w:rsidRDefault="000D10C4">
      <w:pPr>
        <w:spacing w:after="276"/>
        <w:ind w:left="3512"/>
        <w:rPr>
          <w:b/>
          <w:bCs/>
          <w:color w:val="45B0E1" w:themeColor="accent1" w:themeTint="99"/>
        </w:rPr>
      </w:pPr>
      <w:r w:rsidRPr="00F0580C">
        <w:rPr>
          <w:b/>
          <w:bCs/>
          <w:color w:val="45B0E1" w:themeColor="accent1" w:themeTint="99"/>
        </w:rPr>
        <w:t xml:space="preserve">Lecturer: Farah Wiita </w:t>
      </w:r>
      <w:r w:rsidRPr="00F0580C">
        <w:rPr>
          <w:rFonts w:cs="Arial"/>
          <w:b/>
          <w:bCs/>
          <w:color w:val="45B0E1" w:themeColor="accent1" w:themeTint="99"/>
        </w:rPr>
        <w:t xml:space="preserve"> </w:t>
      </w:r>
    </w:p>
    <w:p w14:paraId="3E6CFD8F" w14:textId="1DFBF36F" w:rsidR="00A54114" w:rsidRDefault="000D10C4">
      <w:pPr>
        <w:tabs>
          <w:tab w:val="center" w:pos="4526"/>
          <w:tab w:val="center" w:pos="8989"/>
        </w:tabs>
        <w:spacing w:after="73" w:line="259" w:lineRule="auto"/>
        <w:ind w:left="0" w:firstLine="0"/>
      </w:pPr>
      <w:r w:rsidRPr="00F0580C">
        <w:rPr>
          <w:rFonts w:ascii="Calibri" w:eastAsia="Calibri" w:hAnsi="Calibri" w:cs="Calibri"/>
          <w:b/>
          <w:bCs/>
          <w:color w:val="45B0E1" w:themeColor="accent1" w:themeTint="99"/>
        </w:rPr>
        <w:tab/>
      </w:r>
      <w:r w:rsidRPr="00F0580C">
        <w:rPr>
          <w:b/>
          <w:bCs/>
          <w:color w:val="45B0E1" w:themeColor="accent1" w:themeTint="99"/>
        </w:rPr>
        <w:t xml:space="preserve">Submission date: 21 April </w:t>
      </w:r>
      <w:r w:rsidR="00653CB2" w:rsidRPr="00F0580C">
        <w:rPr>
          <w:b/>
          <w:bCs/>
          <w:color w:val="45B0E1" w:themeColor="accent1" w:themeTint="99"/>
        </w:rPr>
        <w:t xml:space="preserve">2026 </w:t>
      </w:r>
      <w:r w:rsidR="00653CB2">
        <w:rPr>
          <w:rFonts w:cs="Arial"/>
        </w:rPr>
        <w:tab/>
      </w:r>
      <w:r>
        <w:rPr>
          <w:rFonts w:cs="Arial"/>
        </w:rPr>
        <w:t xml:space="preserve"> </w:t>
      </w:r>
      <w:r>
        <w:br w:type="page"/>
      </w:r>
    </w:p>
    <w:p w14:paraId="55436D96" w14:textId="272218B2" w:rsidR="00D0146C" w:rsidRPr="0018673A" w:rsidRDefault="0018673A">
      <w:pPr>
        <w:ind w:left="-5"/>
        <w:rPr>
          <w:b/>
          <w:bCs/>
          <w:color w:val="45B0E1" w:themeColor="accent1" w:themeTint="99"/>
        </w:rPr>
      </w:pPr>
      <w:r>
        <w:lastRenderedPageBreak/>
        <w:t xml:space="preserve">                                                       </w:t>
      </w:r>
      <w:r w:rsidR="001E2A8E" w:rsidRPr="0018673A">
        <w:rPr>
          <w:b/>
          <w:bCs/>
          <w:color w:val="45B0E1" w:themeColor="accent1" w:themeTint="99"/>
        </w:rPr>
        <w:t>INTRODUCTION</w:t>
      </w:r>
    </w:p>
    <w:p w14:paraId="6937E99E" w14:textId="74D75600" w:rsidR="001E2A8E" w:rsidRDefault="00102E81">
      <w:pPr>
        <w:ind w:left="-5"/>
      </w:pPr>
      <w:r>
        <w:t xml:space="preserve">This </w:t>
      </w:r>
      <w:r w:rsidR="00FB2CF4">
        <w:t>assignment</w:t>
      </w:r>
      <w:r>
        <w:t xml:space="preserve"> I </w:t>
      </w:r>
      <w:r w:rsidR="00FB2CF4">
        <w:t>am going</w:t>
      </w:r>
      <w:r>
        <w:t xml:space="preserve"> to show four </w:t>
      </w:r>
      <w:r w:rsidR="00FB2CF4">
        <w:t>different</w:t>
      </w:r>
      <w:r w:rsidR="000243AA">
        <w:t xml:space="preserve"> theories psychological</w:t>
      </w:r>
      <w:r w:rsidR="00E30AE4">
        <w:t xml:space="preserve"> and how help this to </w:t>
      </w:r>
      <w:r w:rsidR="00FB2CF4">
        <w:t>understand</w:t>
      </w:r>
      <w:r w:rsidR="00E30AE4">
        <w:t xml:space="preserve"> adults </w:t>
      </w:r>
      <w:r w:rsidR="00961840" w:rsidRPr="004A426C">
        <w:t xml:space="preserve">and help professional how </w:t>
      </w:r>
      <w:r w:rsidR="004A426C" w:rsidRPr="004A426C">
        <w:t xml:space="preserve">give a good care </w:t>
      </w:r>
    </w:p>
    <w:p w14:paraId="1FE0A78D" w14:textId="7E924D2C" w:rsidR="004A426C" w:rsidRDefault="00AB458D">
      <w:pPr>
        <w:ind w:left="-5"/>
      </w:pPr>
      <w:r>
        <w:t xml:space="preserve">I will present for </w:t>
      </w:r>
      <w:r w:rsidR="001721BD">
        <w:t>an annot</w:t>
      </w:r>
      <w:r w:rsidR="00F46300">
        <w:t>at</w:t>
      </w:r>
      <w:r w:rsidR="001721BD">
        <w:t xml:space="preserve">ed </w:t>
      </w:r>
      <w:r w:rsidR="00FB2CF4">
        <w:t>bibliography</w:t>
      </w:r>
      <w:r w:rsidR="001721BD">
        <w:t xml:space="preserve"> </w:t>
      </w:r>
      <w:r w:rsidR="00755D87">
        <w:t xml:space="preserve">based on four </w:t>
      </w:r>
      <w:r w:rsidR="008E4613">
        <w:t>theories</w:t>
      </w:r>
      <w:r w:rsidR="005757EE">
        <w:t>:</w:t>
      </w:r>
      <w:r w:rsidR="00755D87">
        <w:t xml:space="preserve"> Erikso</w:t>
      </w:r>
      <w:r w:rsidR="00D14015">
        <w:t xml:space="preserve">n’s Psychosocial </w:t>
      </w:r>
      <w:r w:rsidR="005757EE">
        <w:t>theory, Maslow</w:t>
      </w:r>
      <w:r w:rsidR="00F07BDB">
        <w:t xml:space="preserve"> </w:t>
      </w:r>
      <w:r w:rsidR="005757EE">
        <w:t>theory, lev</w:t>
      </w:r>
      <w:r w:rsidR="00F07BDB">
        <w:t xml:space="preserve"> </w:t>
      </w:r>
      <w:r w:rsidR="00060BDE">
        <w:t>Vygotsky, jean</w:t>
      </w:r>
      <w:r w:rsidR="00F07BDB">
        <w:t xml:space="preserve"> </w:t>
      </w:r>
      <w:r w:rsidR="00060BDE">
        <w:t>Piaget</w:t>
      </w:r>
      <w:r w:rsidR="00075A1D">
        <w:t xml:space="preserve"> for each theory I will explain</w:t>
      </w:r>
      <w:r w:rsidR="00476D37">
        <w:t xml:space="preserve"> </w:t>
      </w:r>
      <w:r w:rsidR="005757EE">
        <w:t>ideas, comment</w:t>
      </w:r>
      <w:r w:rsidR="00476D37">
        <w:t xml:space="preserve"> </w:t>
      </w:r>
    </w:p>
    <w:p w14:paraId="796FD3BC" w14:textId="4B1DA9A5" w:rsidR="00476D37" w:rsidRDefault="00060BDE">
      <w:pPr>
        <w:ind w:left="-5"/>
      </w:pPr>
      <w:r>
        <w:t>Second,</w:t>
      </w:r>
      <w:r w:rsidR="00B309D4">
        <w:t xml:space="preserve"> I will do Eri</w:t>
      </w:r>
      <w:r w:rsidR="0069617F">
        <w:t xml:space="preserve">kson’s Psychosocial Theory </w:t>
      </w:r>
      <w:r w:rsidR="00685BBF">
        <w:t>and explain how it can be used in health and social care</w:t>
      </w:r>
      <w:r w:rsidR="00861F59">
        <w:t>.</w:t>
      </w:r>
    </w:p>
    <w:p w14:paraId="7CBE490B" w14:textId="129D26E9" w:rsidR="00861F59" w:rsidRDefault="00861F59">
      <w:pPr>
        <w:ind w:left="-5"/>
      </w:pPr>
      <w:r>
        <w:t xml:space="preserve">I will put example to show how this theory works </w:t>
      </w:r>
      <w:r w:rsidR="00204C1E">
        <w:t>also discuss the challenges</w:t>
      </w:r>
      <w:r w:rsidR="00FB2CF4">
        <w:t>.</w:t>
      </w:r>
    </w:p>
    <w:p w14:paraId="29224068" w14:textId="5CA3E6DB" w:rsidR="008E4613" w:rsidRPr="004A426C" w:rsidRDefault="008E4613">
      <w:pPr>
        <w:ind w:left="-5"/>
      </w:pPr>
      <w:r>
        <w:t xml:space="preserve">This </w:t>
      </w:r>
      <w:r w:rsidR="0018673A">
        <w:t>assignment</w:t>
      </w:r>
      <w:r>
        <w:t xml:space="preserve"> </w:t>
      </w:r>
      <w:r w:rsidR="0018673A">
        <w:t>shows</w:t>
      </w:r>
      <w:r>
        <w:t xml:space="preserve"> how </w:t>
      </w:r>
      <w:r w:rsidR="0018673A">
        <w:t>understanding</w:t>
      </w:r>
      <w:r w:rsidR="00F218E6">
        <w:t xml:space="preserve"> </w:t>
      </w:r>
      <w:r w:rsidR="0018673A">
        <w:t>psychology</w:t>
      </w:r>
      <w:r w:rsidR="00F218E6">
        <w:t xml:space="preserve"> can help give </w:t>
      </w:r>
      <w:r w:rsidR="0018673A">
        <w:t>better</w:t>
      </w:r>
      <w:r w:rsidR="00F218E6">
        <w:t xml:space="preserve"> care </w:t>
      </w:r>
      <w:r w:rsidR="0018673A">
        <w:t>to improve with orders people.</w:t>
      </w:r>
    </w:p>
    <w:p w14:paraId="45AD7B10" w14:textId="77777777" w:rsidR="00D0146C" w:rsidRDefault="00D0146C">
      <w:pPr>
        <w:ind w:left="-5"/>
      </w:pPr>
    </w:p>
    <w:p w14:paraId="41420C03" w14:textId="77777777" w:rsidR="00D0146C" w:rsidRDefault="00D0146C">
      <w:pPr>
        <w:ind w:left="-5"/>
      </w:pPr>
    </w:p>
    <w:p w14:paraId="76482805" w14:textId="2B56F000" w:rsidR="00A54114" w:rsidRDefault="000D10C4">
      <w:pPr>
        <w:ind w:left="-5"/>
      </w:pPr>
      <w:r>
        <w:t xml:space="preserve">Annotated Bibliography </w:t>
      </w:r>
      <w:r>
        <w:rPr>
          <w:rFonts w:cs="Arial"/>
        </w:rPr>
        <w:t xml:space="preserve"> </w:t>
      </w:r>
    </w:p>
    <w:p w14:paraId="2418FB35" w14:textId="23A8E495" w:rsidR="00E327BD" w:rsidRPr="004A660A" w:rsidRDefault="000D10C4" w:rsidP="00904F70">
      <w:pPr>
        <w:spacing w:after="233"/>
        <w:ind w:left="-5"/>
        <w:rPr>
          <w:color w:val="45B0E1" w:themeColor="accent1" w:themeTint="99"/>
          <w:u w:val="single"/>
        </w:rPr>
      </w:pPr>
      <w:r w:rsidRPr="004A660A">
        <w:rPr>
          <w:color w:val="45B0E1" w:themeColor="accent1" w:themeTint="99"/>
          <w:u w:val="single"/>
        </w:rPr>
        <w:t xml:space="preserve">Source 1: Erikson’s Psychosocial Theory </w:t>
      </w:r>
    </w:p>
    <w:p w14:paraId="69BA9415" w14:textId="03F425EF" w:rsidR="00283FFA" w:rsidRDefault="00283FFA" w:rsidP="00283FFA">
      <w:pPr>
        <w:pStyle w:val="ListParagraph"/>
        <w:spacing w:after="233"/>
        <w:ind w:left="345" w:firstLine="0"/>
      </w:pPr>
      <w:r>
        <w:t xml:space="preserve">Erikson, E.H. (1950) </w:t>
      </w:r>
      <w:r w:rsidRPr="00B1104B">
        <w:rPr>
          <w:i/>
          <w:iCs/>
        </w:rPr>
        <w:t>Childhood and society. New York</w:t>
      </w:r>
      <w:r>
        <w:t xml:space="preserve">: W.W. Norton &amp; Company.  </w:t>
      </w:r>
    </w:p>
    <w:p w14:paraId="781B40DA" w14:textId="77777777" w:rsidR="00904F70" w:rsidRPr="00904F70" w:rsidRDefault="00904F70" w:rsidP="00904F70">
      <w:pPr>
        <w:spacing w:after="233"/>
        <w:ind w:left="-5"/>
        <w:rPr>
          <w:rFonts w:cs="Arial"/>
        </w:rPr>
      </w:pPr>
    </w:p>
    <w:p w14:paraId="730F9857" w14:textId="77777777" w:rsidR="00A54114" w:rsidRDefault="000D10C4">
      <w:pPr>
        <w:spacing w:after="130" w:line="259" w:lineRule="auto"/>
        <w:ind w:left="15" w:firstLine="0"/>
      </w:pPr>
      <w:r>
        <w:rPr>
          <w:rFonts w:ascii="Aptos" w:eastAsia="Aptos" w:hAnsi="Aptos" w:cs="Aptos"/>
          <w:sz w:val="24"/>
        </w:rPr>
        <w:t xml:space="preserve"> </w:t>
      </w:r>
      <w:r>
        <w:rPr>
          <w:rFonts w:cs="Arial"/>
        </w:rPr>
        <w:t xml:space="preserve"> </w:t>
      </w:r>
    </w:p>
    <w:p w14:paraId="2A3729A6" w14:textId="77777777" w:rsidR="003B0E3E" w:rsidRDefault="003B0E3E" w:rsidP="00C21B14">
      <w:pPr>
        <w:ind w:left="-15" w:firstLine="0"/>
      </w:pPr>
    </w:p>
    <w:p w14:paraId="385437B1" w14:textId="1E0B1527" w:rsidR="00A54114" w:rsidRDefault="000D10C4" w:rsidP="00C21B14">
      <w:pPr>
        <w:ind w:left="-15" w:firstLine="0"/>
      </w:pPr>
      <w:r>
        <w:t xml:space="preserve">According to Erikson (1950) psychosocial development occurs in stages throughout the lifespan.  </w:t>
      </w:r>
      <w:r>
        <w:rPr>
          <w:rFonts w:cs="Arial"/>
        </w:rPr>
        <w:t xml:space="preserve"> </w:t>
      </w:r>
    </w:p>
    <w:p w14:paraId="11E96555" w14:textId="77777777" w:rsidR="00A54114" w:rsidRDefault="000D10C4">
      <w:pPr>
        <w:ind w:left="-5"/>
      </w:pPr>
      <w:r>
        <w:t xml:space="preserve">In later adulthood, individuals experience the stage of integrity versus despair, </w:t>
      </w:r>
      <w:r>
        <w:rPr>
          <w:rFonts w:cs="Arial"/>
        </w:rPr>
        <w:t xml:space="preserve"> </w:t>
      </w:r>
    </w:p>
    <w:p w14:paraId="41E13429" w14:textId="77777777" w:rsidR="00A54114" w:rsidRDefault="000D10C4">
      <w:pPr>
        <w:ind w:left="-5"/>
      </w:pPr>
      <w:r>
        <w:t xml:space="preserve">Where they reflect on their lives. If they are feeling satisfied and confident with their achievement  </w:t>
      </w:r>
      <w:r>
        <w:rPr>
          <w:rFonts w:cs="Arial"/>
        </w:rPr>
        <w:t xml:space="preserve"> </w:t>
      </w:r>
    </w:p>
    <w:p w14:paraId="779AF144" w14:textId="77777777" w:rsidR="00A54114" w:rsidRDefault="000D10C4">
      <w:pPr>
        <w:ind w:left="-5"/>
      </w:pPr>
      <w:r>
        <w:t xml:space="preserve">They develop a sense of integrity, whereas feelings of regret may lead to despair  </w:t>
      </w:r>
      <w:r>
        <w:rPr>
          <w:rFonts w:cs="Arial"/>
        </w:rPr>
        <w:t xml:space="preserve"> </w:t>
      </w:r>
    </w:p>
    <w:p w14:paraId="0E26BEE2" w14:textId="77777777" w:rsidR="00A54114" w:rsidRDefault="000D10C4">
      <w:pPr>
        <w:ind w:left="-5"/>
      </w:pPr>
      <w:r>
        <w:t xml:space="preserve">According to Erikson (1950) reflecting on life experiences is important for emotional wellbeing in older adults. This theory can be applied in Health and social Care settings  </w:t>
      </w:r>
      <w:r>
        <w:rPr>
          <w:rFonts w:cs="Arial"/>
        </w:rPr>
        <w:t xml:space="preserve"> </w:t>
      </w:r>
    </w:p>
    <w:p w14:paraId="7F759D45" w14:textId="6CE4304E" w:rsidR="00A54114" w:rsidRDefault="000D10C4">
      <w:pPr>
        <w:ind w:left="-5"/>
      </w:pPr>
      <w:r>
        <w:t xml:space="preserve">This theory is particularly important in understanding the emotional experiences of older </w:t>
      </w:r>
      <w:r w:rsidR="00CC7B6E">
        <w:t>adults</w:t>
      </w:r>
      <w:r>
        <w:t xml:space="preserve"> in care homes, as many individuals reflect on their past and evaluate their life achievement. This reflection can influence their mental health. </w:t>
      </w:r>
      <w:r>
        <w:rPr>
          <w:rFonts w:cs="Arial"/>
        </w:rPr>
        <w:t xml:space="preserve"> </w:t>
      </w:r>
    </w:p>
    <w:p w14:paraId="5E1F509B" w14:textId="77777777" w:rsidR="00A54114" w:rsidRPr="004A660A" w:rsidRDefault="000D10C4">
      <w:pPr>
        <w:spacing w:after="216"/>
        <w:ind w:left="-5"/>
        <w:rPr>
          <w:rFonts w:cs="Arial"/>
          <w:color w:val="45B0E1" w:themeColor="accent1" w:themeTint="99"/>
          <w:u w:val="single"/>
        </w:rPr>
      </w:pPr>
      <w:r w:rsidRPr="004A660A">
        <w:rPr>
          <w:color w:val="45B0E1" w:themeColor="accent1" w:themeTint="99"/>
          <w:u w:val="single"/>
        </w:rPr>
        <w:t xml:space="preserve">Source 2: Maslow’s Hierarchy of Needs </w:t>
      </w:r>
      <w:r w:rsidRPr="004A660A">
        <w:rPr>
          <w:rFonts w:cs="Arial"/>
          <w:color w:val="45B0E1" w:themeColor="accent1" w:themeTint="99"/>
          <w:u w:val="single"/>
        </w:rPr>
        <w:t xml:space="preserve"> </w:t>
      </w:r>
    </w:p>
    <w:p w14:paraId="6CA1127E" w14:textId="13331E4A" w:rsidR="00554F4D" w:rsidRDefault="00554F4D" w:rsidP="007138E8">
      <w:pPr>
        <w:spacing w:after="73" w:line="259" w:lineRule="auto"/>
        <w:ind w:left="561" w:firstLine="0"/>
      </w:pPr>
      <w:r>
        <w:t>Maslow, A.H. (</w:t>
      </w:r>
      <w:r w:rsidR="004F5DE5">
        <w:t xml:space="preserve">1943) </w:t>
      </w:r>
      <w:r>
        <w:t xml:space="preserve">A theory of human motivation’, </w:t>
      </w:r>
      <w:r w:rsidRPr="00710FA5">
        <w:rPr>
          <w:i/>
          <w:iCs/>
        </w:rPr>
        <w:t>Psychological Review</w:t>
      </w:r>
      <w:r>
        <w:t xml:space="preserve">, 50(4), pp. </w:t>
      </w:r>
      <w:r>
        <w:rPr>
          <w:rFonts w:cs="Arial"/>
        </w:rPr>
        <w:t xml:space="preserve"> </w:t>
      </w:r>
    </w:p>
    <w:p w14:paraId="7A4F6B39" w14:textId="77777777" w:rsidR="00554F4D" w:rsidRDefault="00554F4D" w:rsidP="00554F4D">
      <w:pPr>
        <w:spacing w:after="272"/>
        <w:ind w:left="746"/>
      </w:pPr>
      <w:r>
        <w:t xml:space="preserve">370–396. </w:t>
      </w:r>
      <w:r>
        <w:rPr>
          <w:rFonts w:cs="Arial"/>
        </w:rPr>
        <w:t xml:space="preserve"> </w:t>
      </w:r>
    </w:p>
    <w:p w14:paraId="30724789" w14:textId="2D8C6789" w:rsidR="00AC7C66" w:rsidRPr="00436F48" w:rsidRDefault="00F00C39" w:rsidP="00966375">
      <w:pPr>
        <w:spacing w:after="119" w:line="276" w:lineRule="auto"/>
        <w:ind w:left="2687" w:firstLine="0"/>
        <w:rPr>
          <w:rFonts w:cs="Arial"/>
          <w:szCs w:val="22"/>
        </w:rPr>
      </w:pPr>
      <w:r>
        <w:rPr>
          <w:rFonts w:ascii="Aptos" w:eastAsia="Aptos" w:hAnsi="Aptos" w:cs="Aptos"/>
          <w:sz w:val="24"/>
        </w:rPr>
        <w:t xml:space="preserve"> </w:t>
      </w:r>
      <w:r w:rsidR="00385366">
        <w:rPr>
          <w:rFonts w:ascii="Aptos" w:eastAsia="Aptos" w:hAnsi="Aptos" w:cs="Aptos"/>
          <w:sz w:val="24"/>
        </w:rPr>
        <w:t xml:space="preserve"> </w:t>
      </w:r>
      <w:r w:rsidR="00F96B69" w:rsidRPr="00436F48">
        <w:rPr>
          <w:rFonts w:eastAsia="Aptos" w:cs="Arial"/>
          <w:szCs w:val="22"/>
        </w:rPr>
        <w:t>According to</w:t>
      </w:r>
      <w:r w:rsidR="00AC7C66" w:rsidRPr="00436F48">
        <w:rPr>
          <w:rFonts w:eastAsia="Aptos" w:cs="Arial"/>
          <w:szCs w:val="22"/>
        </w:rPr>
        <w:t xml:space="preserve"> Maslow (1943) proposed that human behavior is motivated by a hierarchy of needs. These needs are often </w:t>
      </w:r>
      <w:r w:rsidR="00AC7C66" w:rsidRPr="00436F48">
        <w:rPr>
          <w:rFonts w:eastAsia="Aptos" w:cs="Arial"/>
          <w:szCs w:val="22"/>
        </w:rPr>
        <w:lastRenderedPageBreak/>
        <w:t xml:space="preserve">represented as a pyramid, starting with basic physiological needs such as food and shelter, followed by safety needs, love and belonging, esteem, and finally self-actualization. According to Maslow, individuals must satisfy lower-level needs before they can focus on higher-level psychological needs. This theory suggests that wellbeing depends on whether these needs are met. </w:t>
      </w:r>
      <w:r w:rsidR="00AC7C66" w:rsidRPr="00436F48">
        <w:rPr>
          <w:rFonts w:cs="Arial"/>
          <w:szCs w:val="22"/>
        </w:rPr>
        <w:t xml:space="preserve"> </w:t>
      </w:r>
    </w:p>
    <w:p w14:paraId="4B2AEB53" w14:textId="77777777" w:rsidR="0037463C" w:rsidRDefault="0037463C">
      <w:pPr>
        <w:ind w:left="-5"/>
        <w:rPr>
          <w:rFonts w:ascii="Aptos" w:eastAsia="Aptos" w:hAnsi="Aptos" w:cs="Aptos"/>
          <w:sz w:val="24"/>
        </w:rPr>
      </w:pPr>
    </w:p>
    <w:p w14:paraId="69CFEC49" w14:textId="488E316D" w:rsidR="0080142F" w:rsidRDefault="0080142F" w:rsidP="00543C1F">
      <w:pPr>
        <w:pStyle w:val="ListParagraph"/>
        <w:spacing w:after="216"/>
        <w:ind w:left="345" w:firstLine="0"/>
      </w:pPr>
    </w:p>
    <w:p w14:paraId="0B88A0E8" w14:textId="60DE4C88" w:rsidR="00A54114" w:rsidRDefault="000D10C4">
      <w:pPr>
        <w:ind w:left="-5"/>
      </w:pPr>
      <w:r>
        <w:t xml:space="preserve">Maslow’s theory is highly relevant in health and social care settings, particularly when supporting older adults. It highlights the importance of meeting basic physical needs before addressing emotional and psychological wellbeing. For example, care homes must ensure that residents feel safe, comfortable, and socially connected. However, the theory has limitations, as not all individuals experience needs in the same order, and personal circumstances may affect how needs are </w:t>
      </w:r>
      <w:r w:rsidR="00904F70">
        <w:t>prioritized</w:t>
      </w:r>
      <w:r>
        <w:t xml:space="preserve">. </w:t>
      </w:r>
      <w:r>
        <w:rPr>
          <w:rFonts w:cs="Arial"/>
        </w:rPr>
        <w:t xml:space="preserve"> </w:t>
      </w:r>
    </w:p>
    <w:p w14:paraId="13918A93" w14:textId="77777777" w:rsidR="00A54114" w:rsidRDefault="000D10C4">
      <w:pPr>
        <w:ind w:left="-5"/>
      </w:pPr>
      <w:r>
        <w:t xml:space="preserve">. </w:t>
      </w:r>
      <w:r>
        <w:rPr>
          <w:rFonts w:cs="Arial"/>
        </w:rPr>
        <w:t xml:space="preserve"> </w:t>
      </w:r>
    </w:p>
    <w:p w14:paraId="517DD5E9" w14:textId="77777777" w:rsidR="00A54114" w:rsidRPr="004A660A" w:rsidRDefault="000D10C4">
      <w:pPr>
        <w:ind w:left="-5"/>
        <w:rPr>
          <w:color w:val="45B0E1" w:themeColor="accent1" w:themeTint="99"/>
          <w:u w:val="single"/>
        </w:rPr>
      </w:pPr>
      <w:r w:rsidRPr="004A660A">
        <w:rPr>
          <w:color w:val="45B0E1" w:themeColor="accent1" w:themeTint="99"/>
          <w:u w:val="single"/>
        </w:rPr>
        <w:t xml:space="preserve">Source 3: Lev Vygotsky </w:t>
      </w:r>
      <w:r w:rsidRPr="004A660A">
        <w:rPr>
          <w:rFonts w:cs="Arial"/>
          <w:color w:val="45B0E1" w:themeColor="accent1" w:themeTint="99"/>
          <w:u w:val="single"/>
        </w:rPr>
        <w:t xml:space="preserve"> </w:t>
      </w:r>
    </w:p>
    <w:p w14:paraId="506D44DB" w14:textId="77777777" w:rsidR="00806DB4" w:rsidRDefault="00806DB4" w:rsidP="00A1525B">
      <w:pPr>
        <w:spacing w:after="199" w:line="370" w:lineRule="auto"/>
        <w:ind w:left="561" w:firstLine="0"/>
      </w:pPr>
      <w:r>
        <w:t xml:space="preserve">Vygotsky, L.S. (1978) </w:t>
      </w:r>
      <w:r w:rsidRPr="00D61645">
        <w:rPr>
          <w:i/>
          <w:iCs/>
        </w:rPr>
        <w:t>Mind in society: The development of higher psychological processes.</w:t>
      </w:r>
      <w:r>
        <w:t xml:space="preserve"> Cambridge, MA: Harvard University Press. </w:t>
      </w:r>
      <w:r>
        <w:rPr>
          <w:rFonts w:cs="Arial"/>
        </w:rPr>
        <w:t xml:space="preserve"> </w:t>
      </w:r>
    </w:p>
    <w:p w14:paraId="2B6EB722" w14:textId="77777777" w:rsidR="00804CF7" w:rsidRDefault="00804CF7">
      <w:pPr>
        <w:ind w:left="-5"/>
        <w:rPr>
          <w:rFonts w:cs="Arial"/>
        </w:rPr>
      </w:pPr>
    </w:p>
    <w:p w14:paraId="63842170" w14:textId="3E7F0EFC" w:rsidR="00A54114" w:rsidRDefault="000D10C4">
      <w:pPr>
        <w:spacing w:after="172" w:line="259" w:lineRule="auto"/>
        <w:ind w:left="15" w:firstLine="0"/>
      </w:pPr>
      <w:r>
        <w:t xml:space="preserve"> </w:t>
      </w:r>
      <w:r>
        <w:rPr>
          <w:rFonts w:cs="Arial"/>
        </w:rPr>
        <w:t xml:space="preserve"> </w:t>
      </w:r>
    </w:p>
    <w:p w14:paraId="5F039EB3" w14:textId="77777777" w:rsidR="00A54114" w:rsidRDefault="000D10C4">
      <w:pPr>
        <w:ind w:left="-5"/>
      </w:pPr>
      <w:r>
        <w:t xml:space="preserve">According to Vygotsky (1978), cognitive development is strongly influenced by social interaction and cultural context. He introduced the concept of the Zone of Proximal Development (ZPD), which describes the difference between what a person can do independently and what they can achieve with support. According to Vygotsky (1978), learning occurs through interaction with others, particularly with more knowledgeable individuals such as caregivers or peers. </w:t>
      </w:r>
      <w:r>
        <w:rPr>
          <w:rFonts w:cs="Arial"/>
        </w:rPr>
        <w:t xml:space="preserve"> </w:t>
      </w:r>
    </w:p>
    <w:p w14:paraId="28EC3124" w14:textId="77777777" w:rsidR="00A54114" w:rsidRDefault="000D10C4">
      <w:pPr>
        <w:spacing w:after="155" w:line="275" w:lineRule="auto"/>
        <w:ind w:left="5" w:right="114" w:hanging="20"/>
        <w:jc w:val="both"/>
      </w:pPr>
      <w:r>
        <w:t xml:space="preserve">In my opinion, this theory is very useful in health and social care because it highlights the importance of social interaction in maintaining wellbeing. According to Vygotsky (1978), support from others can improve both cognitive and emotional development. This is especially important for older adults, who may feel isolated. Encouraging social interaction and group activities can improve their quality of life. However, in practice, applying this theory can be difficult due to limited staff and time in care settings. </w:t>
      </w:r>
      <w:r>
        <w:rPr>
          <w:rFonts w:cs="Arial"/>
        </w:rPr>
        <w:t xml:space="preserve"> </w:t>
      </w:r>
    </w:p>
    <w:p w14:paraId="0825EC14" w14:textId="77777777" w:rsidR="00A54114" w:rsidRDefault="000D10C4">
      <w:pPr>
        <w:spacing w:after="177" w:line="259" w:lineRule="auto"/>
        <w:ind w:left="15" w:firstLine="0"/>
      </w:pPr>
      <w:r>
        <w:t xml:space="preserve"> </w:t>
      </w:r>
      <w:r>
        <w:rPr>
          <w:rFonts w:cs="Arial"/>
        </w:rPr>
        <w:t xml:space="preserve"> </w:t>
      </w:r>
    </w:p>
    <w:p w14:paraId="31DE5F02" w14:textId="77777777" w:rsidR="00A54114" w:rsidRPr="004A660A" w:rsidRDefault="000D10C4">
      <w:pPr>
        <w:spacing w:after="228"/>
        <w:ind w:left="-5"/>
        <w:rPr>
          <w:color w:val="45B0E1" w:themeColor="accent1" w:themeTint="99"/>
          <w:u w:val="single"/>
        </w:rPr>
      </w:pPr>
      <w:r w:rsidRPr="004A660A">
        <w:rPr>
          <w:color w:val="45B0E1" w:themeColor="accent1" w:themeTint="99"/>
          <w:u w:val="single"/>
        </w:rPr>
        <w:t xml:space="preserve">Source 4: Jean Piaget  </w:t>
      </w:r>
      <w:r w:rsidRPr="004A660A">
        <w:rPr>
          <w:rFonts w:cs="Arial"/>
          <w:color w:val="45B0E1" w:themeColor="accent1" w:themeTint="99"/>
          <w:u w:val="single"/>
        </w:rPr>
        <w:t xml:space="preserve"> </w:t>
      </w:r>
    </w:p>
    <w:p w14:paraId="71D2FD1E" w14:textId="77777777" w:rsidR="0061615E" w:rsidRDefault="0061615E">
      <w:pPr>
        <w:spacing w:after="228"/>
        <w:ind w:left="-5"/>
        <w:rPr>
          <w:rFonts w:cs="Arial"/>
        </w:rPr>
      </w:pPr>
    </w:p>
    <w:p w14:paraId="3AEF9BDB" w14:textId="73A09076" w:rsidR="00A54114" w:rsidRDefault="000D10C4">
      <w:pPr>
        <w:spacing w:after="126" w:line="259" w:lineRule="auto"/>
        <w:ind w:left="15" w:firstLine="0"/>
      </w:pPr>
      <w:r>
        <w:rPr>
          <w:rFonts w:ascii="Aptos" w:eastAsia="Aptos" w:hAnsi="Aptos" w:cs="Aptos"/>
          <w:sz w:val="24"/>
        </w:rPr>
        <w:t xml:space="preserve"> </w:t>
      </w:r>
      <w:r>
        <w:rPr>
          <w:rFonts w:cs="Arial"/>
        </w:rPr>
        <w:t xml:space="preserve"> </w:t>
      </w:r>
    </w:p>
    <w:p w14:paraId="09763D1C" w14:textId="4C9B5ABE" w:rsidR="00F95CF2" w:rsidRDefault="000D10C4" w:rsidP="003F15DF">
      <w:pPr>
        <w:spacing w:line="372" w:lineRule="auto"/>
        <w:ind w:left="561" w:firstLine="0"/>
      </w:pPr>
      <w:r>
        <w:lastRenderedPageBreak/>
        <w:t xml:space="preserve">According to Piaget (1952), cognitive </w:t>
      </w:r>
      <w:r w:rsidR="004F0D25">
        <w:t>development</w:t>
      </w:r>
      <w:r w:rsidR="00F95CF2" w:rsidRPr="00F95CF2">
        <w:t xml:space="preserve"> </w:t>
      </w:r>
      <w:r w:rsidR="00F95CF2">
        <w:t xml:space="preserve">Piaget, J. (1952) </w:t>
      </w:r>
      <w:r w:rsidR="00F95CF2" w:rsidRPr="00AB7873">
        <w:rPr>
          <w:i/>
          <w:iCs/>
        </w:rPr>
        <w:t>The origins of intelligence in children.</w:t>
      </w:r>
      <w:r w:rsidR="00F95CF2">
        <w:t xml:space="preserve"> New York: International Universities Press. </w:t>
      </w:r>
      <w:r w:rsidR="00F95CF2">
        <w:rPr>
          <w:rFonts w:cs="Arial"/>
        </w:rPr>
        <w:t xml:space="preserve"> </w:t>
      </w:r>
    </w:p>
    <w:p w14:paraId="153AE904" w14:textId="37AFA61A" w:rsidR="00A54114" w:rsidRDefault="000D10C4">
      <w:pPr>
        <w:ind w:left="-5"/>
      </w:pPr>
      <w:r>
        <w:t xml:space="preserve">occurs in stages, including sensorimotor, preoperational, concrete operational and formal operational stages. He believed that individuals actively construct knowledge through interaction with their environment. According to Piaget (1952), cognitive ability develops over time and affects how individuals understand and process information. </w:t>
      </w:r>
      <w:r>
        <w:rPr>
          <w:rFonts w:cs="Arial"/>
        </w:rPr>
        <w:t xml:space="preserve"> </w:t>
      </w:r>
    </w:p>
    <w:p w14:paraId="100A0ABC" w14:textId="77777777" w:rsidR="00A54114" w:rsidRDefault="000D10C4">
      <w:pPr>
        <w:spacing w:after="177" w:line="259" w:lineRule="auto"/>
        <w:ind w:left="15" w:firstLine="0"/>
      </w:pPr>
      <w:r>
        <w:t xml:space="preserve"> </w:t>
      </w:r>
      <w:r>
        <w:rPr>
          <w:rFonts w:cs="Arial"/>
        </w:rPr>
        <w:t xml:space="preserve"> </w:t>
      </w:r>
    </w:p>
    <w:p w14:paraId="6C4A7E53" w14:textId="77777777" w:rsidR="00A54114" w:rsidRDefault="000D10C4">
      <w:pPr>
        <w:ind w:left="-5"/>
      </w:pPr>
      <w:r>
        <w:t xml:space="preserve">Although Piaget’s theory mainly focuses on children, I think it is still useful in health and social care. According to Piaget (1952), cognitive ability influences how people understand information, which is important when supporting older adults with cognitive decline. This can help professionals adapt communication and care strategies. However, the theory does not fully consider emotional and social factors, which are also important in later life. </w:t>
      </w:r>
      <w:r>
        <w:rPr>
          <w:rFonts w:cs="Arial"/>
        </w:rPr>
        <w:t xml:space="preserve"> </w:t>
      </w:r>
      <w:r>
        <w:br w:type="page"/>
      </w:r>
    </w:p>
    <w:p w14:paraId="00DD208E" w14:textId="77777777" w:rsidR="00A54114" w:rsidRDefault="000D10C4">
      <w:pPr>
        <w:spacing w:after="177" w:line="259" w:lineRule="auto"/>
        <w:ind w:left="15" w:firstLine="0"/>
      </w:pPr>
      <w:r>
        <w:lastRenderedPageBreak/>
        <w:t xml:space="preserve"> </w:t>
      </w:r>
      <w:r>
        <w:rPr>
          <w:rFonts w:cs="Arial"/>
        </w:rPr>
        <w:t xml:space="preserve"> </w:t>
      </w:r>
    </w:p>
    <w:p w14:paraId="3E36985D" w14:textId="5F6F07A9" w:rsidR="00A54114" w:rsidRDefault="000D10C4">
      <w:pPr>
        <w:spacing w:after="267"/>
        <w:ind w:left="-5"/>
      </w:pPr>
      <w:r>
        <w:t xml:space="preserve">  </w:t>
      </w:r>
      <w:r>
        <w:rPr>
          <w:rFonts w:cs="Arial"/>
        </w:rPr>
        <w:t xml:space="preserve"> </w:t>
      </w:r>
    </w:p>
    <w:p w14:paraId="4F800B24" w14:textId="1106132B" w:rsidR="00A54114" w:rsidRPr="000542DF" w:rsidRDefault="000D10C4">
      <w:pPr>
        <w:spacing w:after="262" w:line="259" w:lineRule="auto"/>
        <w:ind w:left="15" w:firstLine="0"/>
        <w:rPr>
          <w:color w:val="45B0E1" w:themeColor="accent1" w:themeTint="99"/>
          <w:u w:val="single"/>
        </w:rPr>
      </w:pPr>
      <w:r>
        <w:t xml:space="preserve"> </w:t>
      </w:r>
      <w:r w:rsidR="00A5178E">
        <w:t xml:space="preserve">                              </w:t>
      </w:r>
      <w:r w:rsidR="00A5178E" w:rsidRPr="000542DF">
        <w:rPr>
          <w:color w:val="45B0E1" w:themeColor="accent1" w:themeTint="99"/>
          <w:u w:val="single"/>
        </w:rPr>
        <w:t xml:space="preserve">PART </w:t>
      </w:r>
      <w:r w:rsidR="00A80AF8" w:rsidRPr="000542DF">
        <w:rPr>
          <w:color w:val="45B0E1" w:themeColor="accent1" w:themeTint="99"/>
          <w:u w:val="single"/>
        </w:rPr>
        <w:t>B:</w:t>
      </w:r>
      <w:r w:rsidR="00A5178E" w:rsidRPr="000542DF">
        <w:rPr>
          <w:color w:val="45B0E1" w:themeColor="accent1" w:themeTint="99"/>
          <w:u w:val="single"/>
        </w:rPr>
        <w:t xml:space="preserve"> Short </w:t>
      </w:r>
      <w:r w:rsidR="000542DF" w:rsidRPr="000542DF">
        <w:rPr>
          <w:color w:val="45B0E1" w:themeColor="accent1" w:themeTint="99"/>
          <w:u w:val="single"/>
        </w:rPr>
        <w:t>report on</w:t>
      </w:r>
      <w:r w:rsidR="0065187B" w:rsidRPr="000542DF">
        <w:rPr>
          <w:color w:val="45B0E1" w:themeColor="accent1" w:themeTint="99"/>
          <w:u w:val="single"/>
        </w:rPr>
        <w:t xml:space="preserve"> </w:t>
      </w:r>
      <w:r w:rsidR="0065187B" w:rsidRPr="000542DF">
        <w:rPr>
          <w:rFonts w:cs="Arial"/>
          <w:color w:val="45B0E1" w:themeColor="accent1" w:themeTint="99"/>
          <w:u w:val="single"/>
        </w:rPr>
        <w:t>Erikson’s</w:t>
      </w:r>
      <w:r w:rsidR="00BB418B" w:rsidRPr="000542DF">
        <w:rPr>
          <w:color w:val="45B0E1" w:themeColor="accent1" w:themeTint="99"/>
          <w:u w:val="single"/>
        </w:rPr>
        <w:t xml:space="preserve"> Psychosocial Theory</w:t>
      </w:r>
    </w:p>
    <w:p w14:paraId="7E3843D5" w14:textId="05D2CF2C" w:rsidR="00A54114" w:rsidRDefault="00A54114">
      <w:pPr>
        <w:spacing w:after="266"/>
        <w:ind w:left="-5"/>
      </w:pPr>
    </w:p>
    <w:p w14:paraId="4F8F47D3" w14:textId="19E568D9" w:rsidR="00A54114" w:rsidRDefault="000D10C4">
      <w:pPr>
        <w:spacing w:line="358" w:lineRule="auto"/>
        <w:ind w:left="-5"/>
      </w:pPr>
      <w:r>
        <w:t xml:space="preserve">The psychological wellbeing of older adults is an important aspect of health and social care. As individuals age, they may experience emotional and social challenges, particularly in residential care setting. According to Erikson (1950), individuals go </w:t>
      </w:r>
      <w:r w:rsidR="008C5EE7">
        <w:t>through</w:t>
      </w:r>
      <w:r>
        <w:t xml:space="preserve"> different stages of development throughout </w:t>
      </w:r>
      <w:r w:rsidR="002A3705">
        <w:t>their</w:t>
      </w:r>
      <w:r>
        <w:t xml:space="preserve"> lifespan. This report will focus on Erikson’s psychosocial theory and how it can be applied to improve the wellbeing of older people  </w:t>
      </w:r>
      <w:r>
        <w:rPr>
          <w:rFonts w:cs="Arial"/>
        </w:rPr>
        <w:t xml:space="preserve"> </w:t>
      </w:r>
    </w:p>
    <w:p w14:paraId="46C356D3" w14:textId="77777777" w:rsidR="00A54114" w:rsidRDefault="000D10C4">
      <w:pPr>
        <w:spacing w:line="363" w:lineRule="auto"/>
        <w:ind w:left="-5"/>
      </w:pPr>
      <w:r>
        <w:t xml:space="preserve">The ageing population is increasing globally, which makes it essential for health and social care professionals to understand the psychological needs of older adults. Supporting emotional wellbeing is just as important as physical care in improving quality of life. </w:t>
      </w:r>
      <w:r>
        <w:rPr>
          <w:rFonts w:cs="Arial"/>
        </w:rPr>
        <w:t xml:space="preserve"> </w:t>
      </w:r>
    </w:p>
    <w:p w14:paraId="4EE6A914" w14:textId="77777777" w:rsidR="00A54114" w:rsidRDefault="000D10C4">
      <w:pPr>
        <w:spacing w:after="261"/>
        <w:ind w:left="-5"/>
      </w:pPr>
      <w:r>
        <w:t xml:space="preserve">Theory explanation  </w:t>
      </w:r>
      <w:r>
        <w:rPr>
          <w:rFonts w:cs="Arial"/>
        </w:rPr>
        <w:t xml:space="preserve"> </w:t>
      </w:r>
    </w:p>
    <w:p w14:paraId="01F14899" w14:textId="4366141C" w:rsidR="00A54114" w:rsidRDefault="000D10C4">
      <w:pPr>
        <w:spacing w:line="362" w:lineRule="auto"/>
        <w:ind w:left="-5"/>
      </w:pPr>
      <w:r>
        <w:t xml:space="preserve">According to Erikson (1950), the final stage of psychosocial development in integrity versus despair. In this stage, older adults reflect on their life experiences. If they feel satisfied with their achievement, they develop a sense of integrity. However, if they experience regret, they may develop </w:t>
      </w:r>
      <w:r w:rsidR="00894955">
        <w:t>feelings</w:t>
      </w:r>
      <w:r>
        <w:t xml:space="preserve"> of despair, which can negatively affect their emotional wellbeing. </w:t>
      </w:r>
      <w:r>
        <w:rPr>
          <w:rFonts w:cs="Arial"/>
        </w:rPr>
        <w:t xml:space="preserve"> </w:t>
      </w:r>
    </w:p>
    <w:p w14:paraId="207AD161" w14:textId="77777777" w:rsidR="00A54114" w:rsidRDefault="000D10C4">
      <w:pPr>
        <w:spacing w:line="363" w:lineRule="auto"/>
        <w:ind w:left="-5"/>
      </w:pPr>
      <w:r>
        <w:t xml:space="preserve">This stage is significant because it can determine how individuals feel about their life. Positive reflection can lead to greater life satisfaction, while negative reflection may contribute Furthermore, this stage highlights the importance of emotional reflection and acceptance. Older adults who achieve a sense of integrity are more likely to experience peace and satisfaction, while those who experience despair may struggle with negative emotions to feelings of depression or anxiety </w:t>
      </w:r>
      <w:r>
        <w:rPr>
          <w:rFonts w:cs="Arial"/>
        </w:rPr>
        <w:t xml:space="preserve"> </w:t>
      </w:r>
    </w:p>
    <w:p w14:paraId="22BF27C5" w14:textId="77777777" w:rsidR="00A54114" w:rsidRDefault="000D10C4">
      <w:pPr>
        <w:spacing w:after="262" w:line="259" w:lineRule="auto"/>
        <w:ind w:left="15" w:firstLine="0"/>
      </w:pPr>
      <w:r>
        <w:t xml:space="preserve"> </w:t>
      </w:r>
      <w:r>
        <w:rPr>
          <w:rFonts w:cs="Arial"/>
        </w:rPr>
        <w:t xml:space="preserve"> </w:t>
      </w:r>
    </w:p>
    <w:p w14:paraId="1A657D85" w14:textId="77777777" w:rsidR="00A54114" w:rsidRDefault="000D10C4">
      <w:pPr>
        <w:spacing w:after="272"/>
        <w:ind w:left="-5"/>
      </w:pPr>
      <w:r>
        <w:t xml:space="preserve">3) Application in Health and Social Care  </w:t>
      </w:r>
      <w:r>
        <w:rPr>
          <w:rFonts w:cs="Arial"/>
        </w:rPr>
        <w:t xml:space="preserve"> </w:t>
      </w:r>
    </w:p>
    <w:p w14:paraId="428D1FB3" w14:textId="77777777" w:rsidR="00A54114" w:rsidRDefault="000D10C4">
      <w:pPr>
        <w:spacing w:line="358" w:lineRule="auto"/>
        <w:ind w:left="-5"/>
      </w:pPr>
      <w:r>
        <w:t xml:space="preserve">This theory can be applied in health and social care setting by supporting older adults to reflect on their life experience. Care professionals can encourage residents to share their memories, talk about their achievements, and participate in activities such as storytelling or reminiscence therapy. This can help individuals feel valued and improve their emotional wellbeing. </w:t>
      </w:r>
      <w:r>
        <w:rPr>
          <w:rFonts w:cs="Arial"/>
        </w:rPr>
        <w:t xml:space="preserve"> </w:t>
      </w:r>
    </w:p>
    <w:p w14:paraId="3B05DB56" w14:textId="77777777" w:rsidR="00A54114" w:rsidRDefault="000D10C4">
      <w:pPr>
        <w:spacing w:line="365" w:lineRule="auto"/>
        <w:ind w:left="-5"/>
      </w:pPr>
      <w:r>
        <w:lastRenderedPageBreak/>
        <w:t xml:space="preserve">This approach can also reduce feelings of isolation and improve communication between resident and care staff, creating a more supportive environment  </w:t>
      </w:r>
      <w:r>
        <w:rPr>
          <w:rFonts w:cs="Arial"/>
        </w:rPr>
        <w:t xml:space="preserve"> </w:t>
      </w:r>
    </w:p>
    <w:p w14:paraId="6ABC4CC1" w14:textId="77777777" w:rsidR="00A54114" w:rsidRDefault="000D10C4">
      <w:pPr>
        <w:spacing w:line="363" w:lineRule="auto"/>
        <w:ind w:left="-5"/>
      </w:pPr>
      <w:r>
        <w:t xml:space="preserve">In addition, involving family member care workers can create opportunities for social interaction, which can further support emotional wellbeing. Activities such as group discussions and memory-sharing sessions can help residents feel connected and valued. </w:t>
      </w:r>
      <w:r>
        <w:rPr>
          <w:rFonts w:cs="Arial"/>
        </w:rPr>
        <w:t xml:space="preserve"> </w:t>
      </w:r>
    </w:p>
    <w:p w14:paraId="54D97223" w14:textId="384AD740" w:rsidR="00A54114" w:rsidRDefault="000D10C4">
      <w:pPr>
        <w:spacing w:line="358" w:lineRule="auto"/>
        <w:ind w:left="-5"/>
      </w:pPr>
      <w:r>
        <w:t xml:space="preserve">Also, it is important for care workers to understand that every person is different. Everyone has their own life experiences, so support should be adapted to meet their needs. This can help improve their </w:t>
      </w:r>
      <w:r w:rsidR="00BF2C61">
        <w:t>well-being</w:t>
      </w:r>
      <w:r>
        <w:t xml:space="preserve"> and make them feel more comfortable. </w:t>
      </w:r>
      <w:r>
        <w:rPr>
          <w:rFonts w:cs="Arial"/>
        </w:rPr>
        <w:t xml:space="preserve"> </w:t>
      </w:r>
    </w:p>
    <w:p w14:paraId="34FC8361" w14:textId="77777777" w:rsidR="00A54114" w:rsidRDefault="000D10C4">
      <w:pPr>
        <w:spacing w:after="266"/>
        <w:ind w:left="-5"/>
      </w:pPr>
      <w:r>
        <w:t xml:space="preserve">4) Real life example  </w:t>
      </w:r>
      <w:r>
        <w:rPr>
          <w:rFonts w:cs="Arial"/>
        </w:rPr>
        <w:t xml:space="preserve"> </w:t>
      </w:r>
    </w:p>
    <w:p w14:paraId="5648F1D6" w14:textId="06BA6C41" w:rsidR="00A54114" w:rsidRDefault="000D10C4">
      <w:pPr>
        <w:spacing w:line="361" w:lineRule="auto"/>
        <w:ind w:left="-5"/>
      </w:pPr>
      <w:r>
        <w:t xml:space="preserve">For example, an older adult living in a care home may feel lonely and disconnected. A care worker can encourage them to talk about their past experiences, </w:t>
      </w:r>
      <w:r w:rsidR="00A859E5">
        <w:t>achievements</w:t>
      </w:r>
      <w:r>
        <w:t xml:space="preserve">, and important life events. This can help the individual feel more positive and develop a sense of purpose, improving their overall wellbeing. </w:t>
      </w:r>
      <w:r>
        <w:rPr>
          <w:rFonts w:cs="Arial"/>
        </w:rPr>
        <w:t xml:space="preserve"> </w:t>
      </w:r>
    </w:p>
    <w:p w14:paraId="4772712A" w14:textId="77777777" w:rsidR="00A54114" w:rsidRDefault="000D10C4">
      <w:pPr>
        <w:spacing w:line="365" w:lineRule="auto"/>
        <w:ind w:left="-5"/>
      </w:pPr>
      <w:r>
        <w:t xml:space="preserve">For instance, regular conversations can help build trust between the resident and the care worker. </w:t>
      </w:r>
      <w:r>
        <w:rPr>
          <w:rFonts w:cs="Arial"/>
        </w:rPr>
        <w:t xml:space="preserve"> </w:t>
      </w:r>
    </w:p>
    <w:p w14:paraId="0C6C2A9C" w14:textId="77777777" w:rsidR="00A54114" w:rsidRDefault="000D10C4">
      <w:pPr>
        <w:spacing w:line="358" w:lineRule="auto"/>
        <w:ind w:left="-5"/>
      </w:pPr>
      <w:r>
        <w:t xml:space="preserve">For instance, the individual may initially feel isolated and unwilling to communicate with others. Over time, with support from care staff, they may begin to share their experiences and feel more included in the care home environment. </w:t>
      </w:r>
      <w:r>
        <w:rPr>
          <w:rFonts w:cs="Arial"/>
        </w:rPr>
        <w:t xml:space="preserve"> </w:t>
      </w:r>
    </w:p>
    <w:p w14:paraId="2CAB47B0" w14:textId="77777777" w:rsidR="00A54114" w:rsidRDefault="000D10C4">
      <w:pPr>
        <w:spacing w:line="365" w:lineRule="auto"/>
        <w:ind w:left="-5"/>
      </w:pPr>
      <w:r>
        <w:t xml:space="preserve">This improvement can also encourage the individual to participate more in social activities within the care home, further enhancing their quality of life </w:t>
      </w:r>
      <w:r>
        <w:rPr>
          <w:rFonts w:cs="Arial"/>
        </w:rPr>
        <w:t xml:space="preserve"> </w:t>
      </w:r>
    </w:p>
    <w:p w14:paraId="41E9FA70" w14:textId="77777777" w:rsidR="00A54114" w:rsidRDefault="000D10C4">
      <w:pPr>
        <w:spacing w:after="262" w:line="259" w:lineRule="auto"/>
        <w:ind w:left="15" w:firstLine="0"/>
      </w:pPr>
      <w:r>
        <w:t xml:space="preserve"> </w:t>
      </w:r>
      <w:r>
        <w:rPr>
          <w:rFonts w:cs="Arial"/>
        </w:rPr>
        <w:t xml:space="preserve"> </w:t>
      </w:r>
    </w:p>
    <w:p w14:paraId="483969D0" w14:textId="77777777" w:rsidR="00A54114" w:rsidRDefault="000D10C4">
      <w:pPr>
        <w:spacing w:after="261"/>
        <w:ind w:left="-5"/>
      </w:pPr>
      <w:r>
        <w:t xml:space="preserve">5) Challenge  </w:t>
      </w:r>
      <w:r>
        <w:rPr>
          <w:rFonts w:cs="Arial"/>
        </w:rPr>
        <w:t xml:space="preserve"> </w:t>
      </w:r>
    </w:p>
    <w:p w14:paraId="5D9D2335" w14:textId="77777777" w:rsidR="00A54114" w:rsidRDefault="000D10C4">
      <w:pPr>
        <w:spacing w:line="363" w:lineRule="auto"/>
        <w:ind w:left="-5"/>
      </w:pPr>
      <w:r>
        <w:t xml:space="preserve">One challenge is that some orders adults may not feel comfortable discussing their past, especially if they had negative life experiences. Additionally, care staff may not always have enough time to provide individual emotional support to each resident. </w:t>
      </w:r>
      <w:r>
        <w:rPr>
          <w:rFonts w:cs="Arial"/>
        </w:rPr>
        <w:t xml:space="preserve"> </w:t>
      </w:r>
    </w:p>
    <w:p w14:paraId="705C8F81" w14:textId="77777777" w:rsidR="00A54114" w:rsidRDefault="000D10C4">
      <w:pPr>
        <w:spacing w:after="261"/>
        <w:ind w:left="-5"/>
      </w:pPr>
      <w:r>
        <w:t xml:space="preserve">This can make it difficult to fully apply the theory in practice. </w:t>
      </w:r>
      <w:r>
        <w:rPr>
          <w:rFonts w:cs="Arial"/>
        </w:rPr>
        <w:t xml:space="preserve"> </w:t>
      </w:r>
    </w:p>
    <w:p w14:paraId="29FA2D3E" w14:textId="73C8BD7A" w:rsidR="00A54114" w:rsidRDefault="000D10C4">
      <w:pPr>
        <w:spacing w:line="363" w:lineRule="auto"/>
        <w:ind w:left="-5"/>
      </w:pPr>
      <w:r>
        <w:t xml:space="preserve">Another challenge is that some care environments may not have enough resources to provide </w:t>
      </w:r>
      <w:r w:rsidR="00026D30">
        <w:t>personalized</w:t>
      </w:r>
      <w:r>
        <w:t xml:space="preserve"> support. This can limit the effectiveness of applying psychological theories in practice. </w:t>
      </w:r>
      <w:r>
        <w:rPr>
          <w:rFonts w:cs="Arial"/>
        </w:rPr>
        <w:t xml:space="preserve"> </w:t>
      </w:r>
    </w:p>
    <w:p w14:paraId="7DA67438" w14:textId="77777777" w:rsidR="00A54114" w:rsidRDefault="000D10C4">
      <w:pPr>
        <w:spacing w:after="261"/>
        <w:ind w:left="-5"/>
      </w:pPr>
      <w:r>
        <w:t xml:space="preserve">6)Solution </w:t>
      </w:r>
      <w:r>
        <w:rPr>
          <w:rFonts w:cs="Arial"/>
        </w:rPr>
        <w:t xml:space="preserve"> </w:t>
      </w:r>
    </w:p>
    <w:p w14:paraId="75C57A3B" w14:textId="366A5FD9" w:rsidR="00A54114" w:rsidRDefault="000D10C4">
      <w:pPr>
        <w:spacing w:after="66" w:line="361" w:lineRule="auto"/>
        <w:ind w:left="5" w:right="114" w:hanging="20"/>
        <w:jc w:val="both"/>
      </w:pPr>
      <w:r>
        <w:lastRenderedPageBreak/>
        <w:t xml:space="preserve">To address this challenge, care homes can introduce structured activities such as group discussions and reminiscence sessions. Staff training is also important to help care professionals develop the skills needed to support </w:t>
      </w:r>
      <w:r w:rsidR="00401893">
        <w:t>residents</w:t>
      </w:r>
      <w:r>
        <w:t xml:space="preserve"> effectively. Additionally, creating a supportive and comfortable environment can encourage older adults to share their experiences Providing additional training for staff and increasing awareness of psychological approaches can help improve the quality of care. This ensures that residents receive appropriate emotional support.</w:t>
      </w:r>
      <w:r>
        <w:rPr>
          <w:rFonts w:ascii="Aptos" w:eastAsia="Aptos" w:hAnsi="Aptos" w:cs="Aptos"/>
          <w:sz w:val="24"/>
        </w:rPr>
        <w:t xml:space="preserve"> </w:t>
      </w:r>
      <w:r>
        <w:t>To address this issue, care staff can use simple communication techniques and visual aids to support residents with cognitive difficulties. This ensures that all individuals can benefit from emotional support, regardless of their condition.</w:t>
      </w:r>
      <w:r>
        <w:rPr>
          <w:rFonts w:ascii="Aptos" w:eastAsia="Aptos" w:hAnsi="Aptos" w:cs="Aptos"/>
          <w:sz w:val="24"/>
        </w:rPr>
        <w:t xml:space="preserve"> </w:t>
      </w:r>
      <w:r>
        <w:t>To deal with this, care workers can use simple ways of communicating, such as speaking clearly or using pictures. This can help older adults understand better and feel more confident when sharing their thoughts.</w:t>
      </w:r>
      <w:r>
        <w:rPr>
          <w:rFonts w:ascii="Aptos" w:eastAsia="Aptos" w:hAnsi="Aptos" w:cs="Aptos"/>
          <w:sz w:val="24"/>
        </w:rPr>
        <w:t xml:space="preserve"> </w:t>
      </w:r>
      <w:r>
        <w:rPr>
          <w:rFonts w:cs="Arial"/>
        </w:rPr>
        <w:t xml:space="preserve"> </w:t>
      </w:r>
    </w:p>
    <w:p w14:paraId="33EF2D3C" w14:textId="77777777" w:rsidR="00A54114" w:rsidRDefault="000D10C4">
      <w:pPr>
        <w:spacing w:after="262" w:line="259" w:lineRule="auto"/>
        <w:ind w:left="15" w:firstLine="0"/>
      </w:pPr>
      <w:r>
        <w:t xml:space="preserve"> </w:t>
      </w:r>
      <w:r>
        <w:rPr>
          <w:rFonts w:cs="Arial"/>
        </w:rPr>
        <w:t xml:space="preserve"> </w:t>
      </w:r>
    </w:p>
    <w:p w14:paraId="79A71DC0" w14:textId="77777777" w:rsidR="00A54114" w:rsidRDefault="000D10C4">
      <w:pPr>
        <w:spacing w:after="262"/>
        <w:ind w:left="-5"/>
      </w:pPr>
      <w:r>
        <w:t xml:space="preserve">7)conclusion  </w:t>
      </w:r>
      <w:r>
        <w:rPr>
          <w:rFonts w:cs="Arial"/>
        </w:rPr>
        <w:t xml:space="preserve"> </w:t>
      </w:r>
    </w:p>
    <w:p w14:paraId="1B2D4F7B" w14:textId="77777777" w:rsidR="00A54114" w:rsidRDefault="000D10C4">
      <w:pPr>
        <w:spacing w:line="362" w:lineRule="auto"/>
        <w:ind w:left="-5"/>
      </w:pPr>
      <w:r>
        <w:t xml:space="preserve"> Erikson’s psychosocial theory provides a useful framework for understanding the emotional needs of older adults. Applying this theory in health and social care settings can improve wellbeing by supporting individuals to reflect on their life experiences. However, some challenges may arise, which require appropriate strategies to address them effectively. </w:t>
      </w:r>
      <w:r>
        <w:rPr>
          <w:rFonts w:cs="Arial"/>
        </w:rPr>
        <w:t xml:space="preserve"> </w:t>
      </w:r>
    </w:p>
    <w:p w14:paraId="344ED769" w14:textId="77777777" w:rsidR="00A54114" w:rsidRDefault="000D10C4">
      <w:pPr>
        <w:spacing w:after="116" w:line="364" w:lineRule="auto"/>
        <w:ind w:left="-5"/>
      </w:pPr>
      <w:r>
        <w:t>Also, understanding psychological theories can help care workers give better support to older adults. It helps them understand how people feel and what they need emotionally. This can improve the relationship between staff and residents and make the care environment more positive. This shows how important it is to focus on both emotional and psychological support in care settings.</w:t>
      </w:r>
      <w:r>
        <w:rPr>
          <w:rFonts w:ascii="Aptos" w:eastAsia="Aptos" w:hAnsi="Aptos" w:cs="Aptos"/>
          <w:sz w:val="24"/>
        </w:rPr>
        <w:t xml:space="preserve"> </w:t>
      </w:r>
      <w:r>
        <w:t xml:space="preserve">This helps improve the overall quality of care for older adults. </w:t>
      </w:r>
      <w:r>
        <w:rPr>
          <w:rFonts w:cs="Arial"/>
        </w:rPr>
        <w:t xml:space="preserve"> </w:t>
      </w:r>
    </w:p>
    <w:p w14:paraId="4FAA93B0" w14:textId="77777777" w:rsidR="00A54114" w:rsidRDefault="000D10C4">
      <w:pPr>
        <w:spacing w:after="35" w:line="259" w:lineRule="auto"/>
        <w:ind w:left="15" w:firstLine="0"/>
      </w:pPr>
      <w:r>
        <w:t xml:space="preserve"> </w:t>
      </w:r>
      <w:r>
        <w:rPr>
          <w:rFonts w:cs="Arial"/>
        </w:rPr>
        <w:t xml:space="preserve"> </w:t>
      </w:r>
      <w:r>
        <w:rPr>
          <w:rFonts w:cs="Arial"/>
        </w:rPr>
        <w:tab/>
      </w:r>
      <w:r>
        <w:t xml:space="preserve"> </w:t>
      </w:r>
      <w:r>
        <w:rPr>
          <w:rFonts w:cs="Arial"/>
        </w:rPr>
        <w:t xml:space="preserve"> </w:t>
      </w:r>
    </w:p>
    <w:p w14:paraId="5DF097C9" w14:textId="77777777" w:rsidR="00A54114" w:rsidRDefault="000D10C4">
      <w:pPr>
        <w:spacing w:after="240" w:line="259" w:lineRule="auto"/>
        <w:ind w:left="15" w:firstLine="0"/>
      </w:pPr>
      <w:r>
        <w:rPr>
          <w:rFonts w:ascii="Aptos" w:eastAsia="Aptos" w:hAnsi="Aptos" w:cs="Aptos"/>
          <w:sz w:val="24"/>
        </w:rPr>
        <w:t xml:space="preserve"> </w:t>
      </w:r>
      <w:r>
        <w:rPr>
          <w:rFonts w:cs="Arial"/>
        </w:rPr>
        <w:t xml:space="preserve"> </w:t>
      </w:r>
    </w:p>
    <w:p w14:paraId="694B4B90" w14:textId="77777777" w:rsidR="004D51D5" w:rsidRDefault="004D51D5">
      <w:pPr>
        <w:spacing w:after="321"/>
        <w:ind w:left="-5"/>
        <w:rPr>
          <w:rFonts w:cs="Arial"/>
        </w:rPr>
      </w:pPr>
    </w:p>
    <w:p w14:paraId="50140166" w14:textId="77777777" w:rsidR="004D51D5" w:rsidRDefault="004D51D5">
      <w:pPr>
        <w:spacing w:after="160" w:line="278" w:lineRule="auto"/>
        <w:ind w:left="0" w:firstLine="0"/>
        <w:rPr>
          <w:rFonts w:cs="Arial"/>
        </w:rPr>
      </w:pPr>
      <w:r>
        <w:rPr>
          <w:rFonts w:cs="Arial"/>
        </w:rPr>
        <w:br w:type="page"/>
      </w:r>
    </w:p>
    <w:p w14:paraId="018A655D" w14:textId="22C93BB1" w:rsidR="007A0E2B" w:rsidRDefault="007A0E2B">
      <w:pPr>
        <w:spacing w:after="321"/>
        <w:ind w:left="-5"/>
        <w:rPr>
          <w:rFonts w:cs="Arial"/>
        </w:rPr>
      </w:pPr>
      <w:r>
        <w:rPr>
          <w:rFonts w:cs="Arial"/>
        </w:rPr>
        <w:lastRenderedPageBreak/>
        <w:t>R</w:t>
      </w:r>
      <w:r w:rsidR="00860888">
        <w:rPr>
          <w:rFonts w:cs="Arial"/>
        </w:rPr>
        <w:t>efer</w:t>
      </w:r>
      <w:r w:rsidR="00C62FB9">
        <w:rPr>
          <w:rFonts w:cs="Arial"/>
        </w:rPr>
        <w:t>enc</w:t>
      </w:r>
      <w:r w:rsidR="001C7007">
        <w:rPr>
          <w:rFonts w:cs="Arial"/>
        </w:rPr>
        <w:t>es</w:t>
      </w:r>
    </w:p>
    <w:p w14:paraId="5F5D9A8D" w14:textId="01C3F97F" w:rsidR="00033205" w:rsidRPr="007825F7" w:rsidRDefault="00033205" w:rsidP="007825F7">
      <w:pPr>
        <w:pStyle w:val="ListParagraph"/>
        <w:numPr>
          <w:ilvl w:val="0"/>
          <w:numId w:val="5"/>
        </w:numPr>
        <w:spacing w:after="321"/>
        <w:rPr>
          <w:rFonts w:cs="Arial"/>
        </w:rPr>
      </w:pPr>
      <w:r w:rsidRPr="007825F7">
        <w:rPr>
          <w:rFonts w:cs="Arial"/>
        </w:rPr>
        <w:t xml:space="preserve">Simply Psychology (2025) </w:t>
      </w:r>
      <w:r w:rsidRPr="000C574B">
        <w:rPr>
          <w:rFonts w:cs="Arial"/>
          <w:i/>
          <w:iCs/>
        </w:rPr>
        <w:t>Erik Erikson’s Stages of Psychosocial Development</w:t>
      </w:r>
      <w:r w:rsidRPr="007825F7">
        <w:rPr>
          <w:rFonts w:cs="Arial"/>
        </w:rPr>
        <w:t>. Available at: https://www.simplypsychology.org/erik-erikson.html</w:t>
      </w:r>
      <w:r w:rsidRPr="007825F7">
        <w:rPr>
          <w:rFonts w:ascii="Segoe UI Symbol" w:hAnsi="Segoe UI Symbol" w:cs="Segoe UI Symbol"/>
        </w:rPr>
        <w:t>⁠</w:t>
      </w:r>
      <w:r w:rsidRPr="007825F7">
        <w:rPr>
          <w:rFonts w:cs="Arial"/>
        </w:rPr>
        <w:t>� (Accessed: 21 April 2026).</w:t>
      </w:r>
    </w:p>
    <w:p w14:paraId="0014BCBA" w14:textId="77777777" w:rsidR="000C7AEC" w:rsidRDefault="000C7AEC" w:rsidP="0009591A">
      <w:pPr>
        <w:pStyle w:val="ListParagraph"/>
        <w:spacing w:after="321"/>
        <w:ind w:left="770" w:firstLine="0"/>
        <w:rPr>
          <w:rFonts w:cs="Arial"/>
        </w:rPr>
      </w:pPr>
    </w:p>
    <w:p w14:paraId="24FEF275" w14:textId="44760E70" w:rsidR="00033205" w:rsidRPr="00BB050D" w:rsidRDefault="00033205" w:rsidP="00BB050D">
      <w:pPr>
        <w:pStyle w:val="ListParagraph"/>
        <w:numPr>
          <w:ilvl w:val="0"/>
          <w:numId w:val="5"/>
        </w:numPr>
        <w:spacing w:after="321"/>
        <w:rPr>
          <w:rFonts w:cs="Arial"/>
        </w:rPr>
      </w:pPr>
      <w:r w:rsidRPr="00BB050D">
        <w:rPr>
          <w:rFonts w:cs="Arial"/>
        </w:rPr>
        <w:t xml:space="preserve">Simply Psychology (2026) </w:t>
      </w:r>
      <w:r w:rsidRPr="001645F3">
        <w:rPr>
          <w:rFonts w:cs="Arial"/>
          <w:i/>
          <w:iCs/>
        </w:rPr>
        <w:t>Maslow’s Hierarchy of Needs</w:t>
      </w:r>
      <w:r w:rsidRPr="00BB050D">
        <w:rPr>
          <w:rFonts w:cs="Arial"/>
        </w:rPr>
        <w:t>. Available at: https://www.simplypsychology.org/maslow.html</w:t>
      </w:r>
      <w:r w:rsidRPr="00BB050D">
        <w:rPr>
          <w:rFonts w:ascii="Segoe UI Symbol" w:hAnsi="Segoe UI Symbol" w:cs="Segoe UI Symbol"/>
        </w:rPr>
        <w:t>⁠</w:t>
      </w:r>
      <w:r w:rsidRPr="00BB050D">
        <w:rPr>
          <w:rFonts w:cs="Arial"/>
        </w:rPr>
        <w:t>� (Accessed: 21 April 2026)</w:t>
      </w:r>
    </w:p>
    <w:p w14:paraId="1A1C648B" w14:textId="77777777" w:rsidR="00EA3D02" w:rsidRPr="00310098" w:rsidRDefault="00EA3D02" w:rsidP="00E42B55">
      <w:pPr>
        <w:spacing w:after="321"/>
        <w:ind w:left="0" w:firstLine="0"/>
        <w:rPr>
          <w:rFonts w:cs="Arial"/>
        </w:rPr>
      </w:pPr>
    </w:p>
    <w:p w14:paraId="3E8F0BB4" w14:textId="77777777" w:rsidR="005337E0" w:rsidRDefault="005337E0" w:rsidP="00E42B55">
      <w:pPr>
        <w:spacing w:after="321"/>
        <w:ind w:left="0" w:firstLine="0"/>
        <w:rPr>
          <w:rFonts w:cs="Arial"/>
        </w:rPr>
      </w:pPr>
    </w:p>
    <w:p w14:paraId="63A8472C" w14:textId="4B9C199A" w:rsidR="00033205" w:rsidRPr="001825AD" w:rsidRDefault="00033205" w:rsidP="001825AD">
      <w:pPr>
        <w:pStyle w:val="ListParagraph"/>
        <w:numPr>
          <w:ilvl w:val="0"/>
          <w:numId w:val="5"/>
        </w:numPr>
        <w:spacing w:after="321"/>
        <w:rPr>
          <w:rFonts w:cs="Arial"/>
        </w:rPr>
      </w:pPr>
      <w:r w:rsidRPr="001825AD">
        <w:rPr>
          <w:rFonts w:cs="Arial"/>
        </w:rPr>
        <w:t xml:space="preserve">Simply Psychology (2025) </w:t>
      </w:r>
      <w:r w:rsidRPr="007B4386">
        <w:rPr>
          <w:rFonts w:cs="Arial"/>
          <w:i/>
          <w:iCs/>
        </w:rPr>
        <w:t>Lev Vygotsky’s Sociocultural Theory</w:t>
      </w:r>
      <w:r w:rsidRPr="001825AD">
        <w:rPr>
          <w:rFonts w:cs="Arial"/>
        </w:rPr>
        <w:t>. Available at: https://www.simplypsychology.org/vygotsky.html</w:t>
      </w:r>
      <w:r w:rsidRPr="001825AD">
        <w:rPr>
          <w:rFonts w:ascii="Segoe UI Symbol" w:hAnsi="Segoe UI Symbol" w:cs="Segoe UI Symbol"/>
        </w:rPr>
        <w:t>⁠</w:t>
      </w:r>
      <w:r w:rsidRPr="001825AD">
        <w:rPr>
          <w:rFonts w:cs="Arial"/>
        </w:rPr>
        <w:t>� (Accessed: 21 April 2026).</w:t>
      </w:r>
    </w:p>
    <w:p w14:paraId="21A6D955" w14:textId="77777777" w:rsidR="004A4676" w:rsidRDefault="004A4676" w:rsidP="009B0FB8">
      <w:pPr>
        <w:pStyle w:val="ListParagraph"/>
        <w:spacing w:after="321"/>
        <w:ind w:left="770" w:firstLine="0"/>
        <w:rPr>
          <w:rFonts w:cs="Arial"/>
        </w:rPr>
      </w:pPr>
    </w:p>
    <w:p w14:paraId="71FBD37B" w14:textId="741696DF" w:rsidR="00A54114" w:rsidRDefault="00033205" w:rsidP="00A86454">
      <w:pPr>
        <w:pStyle w:val="ListParagraph"/>
        <w:numPr>
          <w:ilvl w:val="0"/>
          <w:numId w:val="5"/>
        </w:numPr>
        <w:spacing w:after="321"/>
      </w:pPr>
      <w:r w:rsidRPr="00A86454">
        <w:rPr>
          <w:rFonts w:cs="Arial"/>
        </w:rPr>
        <w:t xml:space="preserve">Simply Psychology (2025) </w:t>
      </w:r>
      <w:r w:rsidRPr="007D69C8">
        <w:rPr>
          <w:rFonts w:cs="Arial"/>
          <w:i/>
          <w:iCs/>
        </w:rPr>
        <w:t>Jean Piaget’s Theory of Cognitive Development</w:t>
      </w:r>
      <w:r w:rsidRPr="00A86454">
        <w:rPr>
          <w:rFonts w:cs="Arial"/>
        </w:rPr>
        <w:t>. Available at: https://www.simplypsychology.org/piaget.html</w:t>
      </w:r>
      <w:r w:rsidRPr="00A86454">
        <w:rPr>
          <w:rFonts w:ascii="Segoe UI Symbol" w:hAnsi="Segoe UI Symbol" w:cs="Segoe UI Symbol"/>
        </w:rPr>
        <w:t>⁠</w:t>
      </w:r>
      <w:r w:rsidRPr="00A86454">
        <w:rPr>
          <w:rFonts w:cs="Arial"/>
        </w:rPr>
        <w:t>� (Accessed: 21 April 2026).</w:t>
      </w:r>
    </w:p>
    <w:p w14:paraId="6A128F53" w14:textId="77777777" w:rsidR="00A54114" w:rsidRDefault="000D10C4">
      <w:pPr>
        <w:spacing w:after="267" w:line="259" w:lineRule="auto"/>
        <w:ind w:left="15" w:firstLine="0"/>
      </w:pPr>
      <w:r>
        <w:t xml:space="preserve"> </w:t>
      </w:r>
      <w:r>
        <w:rPr>
          <w:rFonts w:cs="Arial"/>
        </w:rPr>
        <w:t xml:space="preserve"> </w:t>
      </w:r>
    </w:p>
    <w:p w14:paraId="651154BE" w14:textId="77777777" w:rsidR="00A54114" w:rsidRDefault="000D10C4">
      <w:pPr>
        <w:spacing w:after="0" w:line="259" w:lineRule="auto"/>
        <w:ind w:left="15" w:firstLine="0"/>
      </w:pPr>
      <w:r>
        <w:t xml:space="preserve"> </w:t>
      </w:r>
      <w:r>
        <w:rPr>
          <w:rFonts w:cs="Arial"/>
        </w:rPr>
        <w:t xml:space="preserve"> </w:t>
      </w:r>
    </w:p>
    <w:p w14:paraId="64ECE4F2" w14:textId="77777777" w:rsidR="00A54114" w:rsidRDefault="000D10C4">
      <w:pPr>
        <w:spacing w:after="267" w:line="259" w:lineRule="auto"/>
        <w:ind w:left="15" w:firstLine="0"/>
        <w:jc w:val="both"/>
      </w:pPr>
      <w:r>
        <w:t xml:space="preserve"> </w:t>
      </w:r>
      <w:r>
        <w:rPr>
          <w:rFonts w:cs="Arial"/>
        </w:rPr>
        <w:t xml:space="preserve"> </w:t>
      </w:r>
    </w:p>
    <w:p w14:paraId="6F1815A4" w14:textId="77777777" w:rsidR="00A54114" w:rsidRDefault="000D10C4">
      <w:pPr>
        <w:spacing w:after="0" w:line="259" w:lineRule="auto"/>
        <w:ind w:left="15" w:firstLine="0"/>
        <w:jc w:val="both"/>
      </w:pPr>
      <w:r>
        <w:t xml:space="preserve"> </w:t>
      </w:r>
      <w:r>
        <w:rPr>
          <w:rFonts w:cs="Arial"/>
        </w:rPr>
        <w:t xml:space="preserve"> </w:t>
      </w:r>
    </w:p>
    <w:sectPr w:rsidR="00A54114">
      <w:pgSz w:w="11905" w:h="16840"/>
      <w:pgMar w:top="1485" w:right="1476" w:bottom="1509"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D39C7"/>
    <w:multiLevelType w:val="hybridMultilevel"/>
    <w:tmpl w:val="FFFFFFFF"/>
    <w:lvl w:ilvl="0" w:tplc="686A280C">
      <w:start w:val="1"/>
      <w:numFmt w:val="bullet"/>
      <w:lvlText w:val="•"/>
      <w:lvlJc w:val="left"/>
      <w:pPr>
        <w:ind w:left="5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30EBBB6">
      <w:start w:val="1"/>
      <w:numFmt w:val="bullet"/>
      <w:lvlText w:val="o"/>
      <w:lvlJc w:val="left"/>
      <w:pPr>
        <w:ind w:left="12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822B1C">
      <w:start w:val="1"/>
      <w:numFmt w:val="bullet"/>
      <w:lvlText w:val="▪"/>
      <w:lvlJc w:val="left"/>
      <w:pPr>
        <w:ind w:left="2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764A9F8">
      <w:start w:val="1"/>
      <w:numFmt w:val="bullet"/>
      <w:lvlText w:val="•"/>
      <w:lvlJc w:val="left"/>
      <w:pPr>
        <w:ind w:left="2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79C1C90">
      <w:start w:val="1"/>
      <w:numFmt w:val="bullet"/>
      <w:lvlText w:val="o"/>
      <w:lvlJc w:val="left"/>
      <w:pPr>
        <w:ind w:left="3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66A03E4">
      <w:start w:val="1"/>
      <w:numFmt w:val="bullet"/>
      <w:lvlText w:val="▪"/>
      <w:lvlJc w:val="left"/>
      <w:pPr>
        <w:ind w:left="4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C6BF5A">
      <w:start w:val="1"/>
      <w:numFmt w:val="bullet"/>
      <w:lvlText w:val="•"/>
      <w:lvlJc w:val="left"/>
      <w:pPr>
        <w:ind w:left="4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27E40E6">
      <w:start w:val="1"/>
      <w:numFmt w:val="bullet"/>
      <w:lvlText w:val="o"/>
      <w:lvlJc w:val="left"/>
      <w:pPr>
        <w:ind w:left="5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B1EC212">
      <w:start w:val="1"/>
      <w:numFmt w:val="bullet"/>
      <w:lvlText w:val="▪"/>
      <w:lvlJc w:val="left"/>
      <w:pPr>
        <w:ind w:left="6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5FE7412"/>
    <w:multiLevelType w:val="hybridMultilevel"/>
    <w:tmpl w:val="9A620A42"/>
    <w:lvl w:ilvl="0" w:tplc="FFFFFFFF">
      <w:numFmt w:val="bullet"/>
      <w:lvlText w:val="•"/>
      <w:lvlJc w:val="left"/>
      <w:pPr>
        <w:ind w:left="345" w:hanging="360"/>
      </w:pPr>
      <w:rPr>
        <w:rFonts w:ascii="Arial" w:eastAsia="Arial" w:hAnsi="Arial" w:cs="Arial"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2" w15:restartNumberingAfterBreak="0">
    <w:nsid w:val="1D7541B4"/>
    <w:multiLevelType w:val="hybridMultilevel"/>
    <w:tmpl w:val="5310FC6A"/>
    <w:lvl w:ilvl="0" w:tplc="FFFFFFFF">
      <w:numFmt w:val="bullet"/>
      <w:lvlText w:val="•"/>
      <w:lvlJc w:val="left"/>
      <w:pPr>
        <w:ind w:left="345" w:hanging="360"/>
      </w:pPr>
      <w:rPr>
        <w:rFonts w:ascii="Arial" w:eastAsia="Arial" w:hAnsi="Arial" w:cs="Arial"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3" w15:restartNumberingAfterBreak="0">
    <w:nsid w:val="265828D0"/>
    <w:multiLevelType w:val="hybridMultilevel"/>
    <w:tmpl w:val="96A490CE"/>
    <w:lvl w:ilvl="0" w:tplc="FFFFFFFF">
      <w:numFmt w:val="bullet"/>
      <w:lvlText w:val="•"/>
      <w:lvlJc w:val="left"/>
      <w:pPr>
        <w:ind w:left="345" w:hanging="360"/>
      </w:pPr>
      <w:rPr>
        <w:rFonts w:ascii="Arial" w:eastAsia="Arial" w:hAnsi="Arial" w:cs="Arial"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4" w15:restartNumberingAfterBreak="0">
    <w:nsid w:val="2B4A03E5"/>
    <w:multiLevelType w:val="hybridMultilevel"/>
    <w:tmpl w:val="3CB6934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282178505">
    <w:abstractNumId w:val="0"/>
  </w:num>
  <w:num w:numId="2" w16cid:durableId="1492024746">
    <w:abstractNumId w:val="2"/>
  </w:num>
  <w:num w:numId="3" w16cid:durableId="1849756830">
    <w:abstractNumId w:val="3"/>
  </w:num>
  <w:num w:numId="4" w16cid:durableId="668101437">
    <w:abstractNumId w:val="1"/>
  </w:num>
  <w:num w:numId="5" w16cid:durableId="1437401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114"/>
    <w:rsid w:val="000243AA"/>
    <w:rsid w:val="00026D30"/>
    <w:rsid w:val="00033205"/>
    <w:rsid w:val="000542DF"/>
    <w:rsid w:val="00060BDE"/>
    <w:rsid w:val="00075A1D"/>
    <w:rsid w:val="0009591A"/>
    <w:rsid w:val="000C574B"/>
    <w:rsid w:val="000C7AEC"/>
    <w:rsid w:val="000D10C4"/>
    <w:rsid w:val="00102E81"/>
    <w:rsid w:val="00145CD5"/>
    <w:rsid w:val="001519AA"/>
    <w:rsid w:val="001559D2"/>
    <w:rsid w:val="001645F3"/>
    <w:rsid w:val="001721BD"/>
    <w:rsid w:val="001825AD"/>
    <w:rsid w:val="001850B9"/>
    <w:rsid w:val="0018673A"/>
    <w:rsid w:val="001C4C0B"/>
    <w:rsid w:val="001C7007"/>
    <w:rsid w:val="001E2A8E"/>
    <w:rsid w:val="00204C1E"/>
    <w:rsid w:val="00216AA4"/>
    <w:rsid w:val="002315C5"/>
    <w:rsid w:val="00231D9C"/>
    <w:rsid w:val="002500A5"/>
    <w:rsid w:val="002825D2"/>
    <w:rsid w:val="00283FFA"/>
    <w:rsid w:val="002A3705"/>
    <w:rsid w:val="002E74E8"/>
    <w:rsid w:val="00310098"/>
    <w:rsid w:val="003410D5"/>
    <w:rsid w:val="0037463C"/>
    <w:rsid w:val="00385366"/>
    <w:rsid w:val="00386CF7"/>
    <w:rsid w:val="003B0E3E"/>
    <w:rsid w:val="003F15DF"/>
    <w:rsid w:val="00401893"/>
    <w:rsid w:val="00420046"/>
    <w:rsid w:val="00436F48"/>
    <w:rsid w:val="00475B30"/>
    <w:rsid w:val="00476D37"/>
    <w:rsid w:val="0048597F"/>
    <w:rsid w:val="004A426C"/>
    <w:rsid w:val="004A4676"/>
    <w:rsid w:val="004A660A"/>
    <w:rsid w:val="004D3383"/>
    <w:rsid w:val="004D51D5"/>
    <w:rsid w:val="004F0D25"/>
    <w:rsid w:val="004F5DE5"/>
    <w:rsid w:val="005337E0"/>
    <w:rsid w:val="00543C1F"/>
    <w:rsid w:val="00545ACE"/>
    <w:rsid w:val="00554F4D"/>
    <w:rsid w:val="005757EE"/>
    <w:rsid w:val="00595D35"/>
    <w:rsid w:val="005D5998"/>
    <w:rsid w:val="00605114"/>
    <w:rsid w:val="0061615E"/>
    <w:rsid w:val="006459E6"/>
    <w:rsid w:val="0065187B"/>
    <w:rsid w:val="00653CB2"/>
    <w:rsid w:val="0066612F"/>
    <w:rsid w:val="0067309A"/>
    <w:rsid w:val="00685BBF"/>
    <w:rsid w:val="0069617F"/>
    <w:rsid w:val="006A4927"/>
    <w:rsid w:val="006E624C"/>
    <w:rsid w:val="007034E7"/>
    <w:rsid w:val="00710FA5"/>
    <w:rsid w:val="007138E8"/>
    <w:rsid w:val="0074126B"/>
    <w:rsid w:val="00755D87"/>
    <w:rsid w:val="007774ED"/>
    <w:rsid w:val="007825F7"/>
    <w:rsid w:val="007A0E2B"/>
    <w:rsid w:val="007B4386"/>
    <w:rsid w:val="007D69C8"/>
    <w:rsid w:val="0080142F"/>
    <w:rsid w:val="00804CF7"/>
    <w:rsid w:val="00806DB4"/>
    <w:rsid w:val="00860888"/>
    <w:rsid w:val="00861F59"/>
    <w:rsid w:val="00866A1C"/>
    <w:rsid w:val="008719C7"/>
    <w:rsid w:val="00894955"/>
    <w:rsid w:val="008B409B"/>
    <w:rsid w:val="008C5EE7"/>
    <w:rsid w:val="008C60BE"/>
    <w:rsid w:val="008D415D"/>
    <w:rsid w:val="008E4613"/>
    <w:rsid w:val="00901F3A"/>
    <w:rsid w:val="00904F70"/>
    <w:rsid w:val="0091700E"/>
    <w:rsid w:val="00961840"/>
    <w:rsid w:val="00966375"/>
    <w:rsid w:val="00997662"/>
    <w:rsid w:val="009B0FB8"/>
    <w:rsid w:val="009C17C2"/>
    <w:rsid w:val="009E327B"/>
    <w:rsid w:val="00A0092E"/>
    <w:rsid w:val="00A0582C"/>
    <w:rsid w:val="00A05AE6"/>
    <w:rsid w:val="00A10F9C"/>
    <w:rsid w:val="00A1525B"/>
    <w:rsid w:val="00A5178E"/>
    <w:rsid w:val="00A54114"/>
    <w:rsid w:val="00A80AF8"/>
    <w:rsid w:val="00A859E5"/>
    <w:rsid w:val="00A86454"/>
    <w:rsid w:val="00AB458D"/>
    <w:rsid w:val="00AB7873"/>
    <w:rsid w:val="00AC7C66"/>
    <w:rsid w:val="00AF1519"/>
    <w:rsid w:val="00B1104B"/>
    <w:rsid w:val="00B309D4"/>
    <w:rsid w:val="00B30B91"/>
    <w:rsid w:val="00B31B3F"/>
    <w:rsid w:val="00B93C8A"/>
    <w:rsid w:val="00BB050D"/>
    <w:rsid w:val="00BB418B"/>
    <w:rsid w:val="00BF2C61"/>
    <w:rsid w:val="00C21B14"/>
    <w:rsid w:val="00C24EF9"/>
    <w:rsid w:val="00C62FB9"/>
    <w:rsid w:val="00C91A69"/>
    <w:rsid w:val="00CA3924"/>
    <w:rsid w:val="00CC7B6E"/>
    <w:rsid w:val="00D0146C"/>
    <w:rsid w:val="00D136B8"/>
    <w:rsid w:val="00D14015"/>
    <w:rsid w:val="00D16679"/>
    <w:rsid w:val="00D270CE"/>
    <w:rsid w:val="00D61645"/>
    <w:rsid w:val="00DB5BFB"/>
    <w:rsid w:val="00E30AE4"/>
    <w:rsid w:val="00E327BD"/>
    <w:rsid w:val="00E34B12"/>
    <w:rsid w:val="00E42B55"/>
    <w:rsid w:val="00E62946"/>
    <w:rsid w:val="00E70442"/>
    <w:rsid w:val="00E9179E"/>
    <w:rsid w:val="00EA3D02"/>
    <w:rsid w:val="00EB5789"/>
    <w:rsid w:val="00EB68C2"/>
    <w:rsid w:val="00EE2818"/>
    <w:rsid w:val="00F00C39"/>
    <w:rsid w:val="00F0580C"/>
    <w:rsid w:val="00F07BDB"/>
    <w:rsid w:val="00F218E6"/>
    <w:rsid w:val="00F33DD0"/>
    <w:rsid w:val="00F46300"/>
    <w:rsid w:val="00F80EE8"/>
    <w:rsid w:val="00F95CF2"/>
    <w:rsid w:val="00F96B69"/>
    <w:rsid w:val="00F97726"/>
    <w:rsid w:val="00FB2CF4"/>
    <w:rsid w:val="00FC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624F"/>
  <w15:docId w15:val="{18A24808-C762-B049-B684-717A46B40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2" w:line="265" w:lineRule="auto"/>
      <w:ind w:left="2697" w:hanging="10"/>
    </w:pPr>
    <w:rPr>
      <w:rFonts w:ascii="Arial" w:eastAsia="Arial" w:hAnsi="Arial"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9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42bf2f4eb36a5c51fff00c2e43bd1471">
  <xsd:schema xmlns:xsd="http://www.w3.org/2001/XMLSchema" xmlns:xs="http://www.w3.org/2001/XMLSchema" xmlns:p="http://schemas.microsoft.com/office/2006/metadata/properties" xmlns:ns3="aff4f36f-8ef1-4cda-9937-423737be097f" targetNamespace="http://schemas.microsoft.com/office/2006/metadata/properties" ma:root="true" ma:fieldsID="1d5687b81e351c39eec89f408fd3399b"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C3AC02-4A37-4C0E-8D03-7E782305DA9D}">
  <ds:schemaRefs>
    <ds:schemaRef ds:uri="http://schemas.microsoft.com/office/2006/metadata/properties"/>
    <ds:schemaRef ds:uri="http://schemas.microsoft.com/office/infopath/2007/PartnerControls"/>
    <ds:schemaRef ds:uri="aff4f36f-8ef1-4cda-9937-423737be097f"/>
  </ds:schemaRefs>
</ds:datastoreItem>
</file>

<file path=customXml/itemProps2.xml><?xml version="1.0" encoding="utf-8"?>
<ds:datastoreItem xmlns:ds="http://schemas.openxmlformats.org/officeDocument/2006/customXml" ds:itemID="{5635B27C-50D7-4A3F-A466-4EDD00AA25E4}">
  <ds:schemaRefs>
    <ds:schemaRef ds:uri="http://schemas.microsoft.com/sharepoint/v3/contenttype/forms"/>
  </ds:schemaRefs>
</ds:datastoreItem>
</file>

<file path=customXml/itemProps3.xml><?xml version="1.0" encoding="utf-8"?>
<ds:datastoreItem xmlns:ds="http://schemas.openxmlformats.org/officeDocument/2006/customXml" ds:itemID="{2FD03E7D-E1A2-4A89-9148-3328B020E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1764</Words>
  <Characters>10060</Characters>
  <Application>Microsoft Office Word</Application>
  <DocSecurity>0</DocSecurity>
  <Lines>83</Lines>
  <Paragraphs>23</Paragraphs>
  <ScaleCrop>false</ScaleCrop>
  <Company/>
  <LinksUpToDate>false</LinksUpToDate>
  <CharactersWithSpaces>11801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Paola Magaly Diaz Tasiguano (2438263)</dc:creator>
  <cp:keywords/>
  <cp:lastModifiedBy>paola diaz</cp:lastModifiedBy>
  <cp:revision>2</cp:revision>
  <dcterms:created xsi:type="dcterms:W3CDTF">2026-04-21T07:02:00Z</dcterms:created>
  <dcterms:modified xsi:type="dcterms:W3CDTF">2026-04-21T07:02:00Z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