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07AF94A0" w:rsidR="007A09B2" w:rsidRDefault="007A09B2" w:rsidP="6C3061FB">
      <w:pPr>
        <w:pBdr>
          <w:top w:val="nil"/>
          <w:left w:val="nil"/>
          <w:bottom w:val="nil"/>
          <w:right w:val="nil"/>
          <w:between w:val="nil"/>
        </w:pBdr>
        <w:spacing w:line="360" w:lineRule="auto"/>
        <w:rPr>
          <w:rFonts w:ascii="Times New Roman" w:eastAsia="Times New Roman" w:hAnsi="Times New Roman" w:cs="Times New Roman"/>
          <w:b/>
          <w:bCs/>
          <w:color w:val="000000"/>
          <w:sz w:val="24"/>
          <w:szCs w:val="24"/>
        </w:rPr>
      </w:pPr>
    </w:p>
    <w:p w14:paraId="0A37501D" w14:textId="77777777" w:rsidR="007A09B2" w:rsidRDefault="007A09B2">
      <w:pPr>
        <w:spacing w:line="360" w:lineRule="auto"/>
        <w:jc w:val="center"/>
        <w:rPr>
          <w:rFonts w:ascii="Times New Roman" w:eastAsia="Times New Roman" w:hAnsi="Times New Roman" w:cs="Times New Roman"/>
          <w:b/>
          <w:sz w:val="36"/>
          <w:szCs w:val="36"/>
        </w:rPr>
      </w:pPr>
    </w:p>
    <w:p w14:paraId="02EB378F" w14:textId="77777777" w:rsidR="007A09B2" w:rsidRDefault="007A09B2" w:rsidP="00B6648E">
      <w:pPr>
        <w:spacing w:line="360" w:lineRule="auto"/>
        <w:rPr>
          <w:rFonts w:ascii="Times New Roman" w:eastAsia="Times New Roman" w:hAnsi="Times New Roman" w:cs="Times New Roman"/>
          <w:b/>
          <w:sz w:val="36"/>
          <w:szCs w:val="36"/>
        </w:rPr>
      </w:pPr>
    </w:p>
    <w:p w14:paraId="41C8F396" w14:textId="77777777" w:rsidR="007A09B2" w:rsidRDefault="007A09B2" w:rsidP="00B6648E">
      <w:pPr>
        <w:spacing w:line="360" w:lineRule="auto"/>
        <w:rPr>
          <w:rFonts w:ascii="Times New Roman" w:eastAsia="Times New Roman" w:hAnsi="Times New Roman" w:cs="Times New Roman"/>
          <w:b/>
          <w:sz w:val="36"/>
          <w:szCs w:val="36"/>
        </w:rPr>
      </w:pPr>
    </w:p>
    <w:p w14:paraId="6A4FD9EC" w14:textId="77777777" w:rsidR="007A09B2" w:rsidRPr="007B2168" w:rsidRDefault="00566828">
      <w:pPr>
        <w:spacing w:line="360" w:lineRule="auto"/>
        <w:jc w:val="center"/>
        <w:rPr>
          <w:rFonts w:asciiTheme="majorHAnsi" w:eastAsia="Times New Roman" w:hAnsiTheme="majorHAnsi" w:cstheme="majorHAnsi"/>
          <w:b/>
          <w:sz w:val="36"/>
          <w:szCs w:val="36"/>
        </w:rPr>
      </w:pPr>
      <w:r w:rsidRPr="007B2168">
        <w:rPr>
          <w:rFonts w:asciiTheme="majorHAnsi" w:eastAsia="Times New Roman" w:hAnsiTheme="majorHAnsi" w:cstheme="majorHAnsi"/>
          <w:b/>
          <w:sz w:val="36"/>
          <w:szCs w:val="36"/>
        </w:rPr>
        <w:t>MODULE NAME: MANAGING PEOPLE</w:t>
      </w:r>
    </w:p>
    <w:p w14:paraId="37356E2B" w14:textId="77777777" w:rsidR="007A09B2" w:rsidRPr="007B2168" w:rsidRDefault="00566828">
      <w:pPr>
        <w:spacing w:line="360" w:lineRule="auto"/>
        <w:jc w:val="center"/>
        <w:rPr>
          <w:rFonts w:asciiTheme="majorHAnsi" w:eastAsia="Times New Roman" w:hAnsiTheme="majorHAnsi" w:cstheme="majorHAnsi"/>
          <w:b/>
          <w:sz w:val="36"/>
          <w:szCs w:val="36"/>
        </w:rPr>
      </w:pPr>
      <w:r w:rsidRPr="007B2168">
        <w:rPr>
          <w:rFonts w:asciiTheme="majorHAnsi" w:eastAsia="Times New Roman" w:hAnsiTheme="majorHAnsi" w:cstheme="majorHAnsi"/>
          <w:b/>
          <w:sz w:val="36"/>
          <w:szCs w:val="36"/>
        </w:rPr>
        <w:t>MODULE CODE: LCMB7011</w:t>
      </w:r>
    </w:p>
    <w:p w14:paraId="72A3D3EC" w14:textId="77777777" w:rsidR="007A09B2" w:rsidRPr="00B6648E" w:rsidRDefault="007A09B2">
      <w:pPr>
        <w:spacing w:line="360" w:lineRule="auto"/>
        <w:jc w:val="center"/>
        <w:rPr>
          <w:rFonts w:asciiTheme="majorHAnsi" w:eastAsia="Times New Roman" w:hAnsiTheme="majorHAnsi" w:cstheme="majorHAnsi"/>
          <w:b/>
          <w:sz w:val="28"/>
          <w:szCs w:val="28"/>
        </w:rPr>
      </w:pPr>
    </w:p>
    <w:p w14:paraId="0D0B940D" w14:textId="53743D2B" w:rsidR="007A09B2" w:rsidRPr="00B6648E" w:rsidRDefault="00566828" w:rsidP="001F3921">
      <w:pPr>
        <w:spacing w:line="600" w:lineRule="auto"/>
        <w:jc w:val="center"/>
        <w:rPr>
          <w:rFonts w:asciiTheme="majorHAnsi" w:eastAsia="Times New Roman" w:hAnsiTheme="majorHAnsi" w:cstheme="majorHAnsi"/>
          <w:sz w:val="28"/>
          <w:szCs w:val="28"/>
        </w:rPr>
      </w:pPr>
      <w:r w:rsidRPr="00B6648E">
        <w:rPr>
          <w:rFonts w:asciiTheme="majorHAnsi" w:eastAsia="Times New Roman" w:hAnsiTheme="majorHAnsi" w:cstheme="majorHAnsi"/>
          <w:sz w:val="28"/>
          <w:szCs w:val="28"/>
        </w:rPr>
        <w:t>Student Name:</w:t>
      </w:r>
      <w:r w:rsidR="005F5B51" w:rsidRPr="00B6648E">
        <w:rPr>
          <w:rFonts w:asciiTheme="majorHAnsi" w:eastAsia="Times New Roman" w:hAnsiTheme="majorHAnsi" w:cstheme="majorHAnsi"/>
          <w:sz w:val="28"/>
          <w:szCs w:val="28"/>
        </w:rPr>
        <w:t xml:space="preserve"> </w:t>
      </w:r>
      <w:r w:rsidR="007B2168" w:rsidRPr="00B6648E">
        <w:rPr>
          <w:rFonts w:asciiTheme="majorHAnsi" w:eastAsia="Times New Roman" w:hAnsiTheme="majorHAnsi" w:cstheme="majorHAnsi"/>
          <w:sz w:val="28"/>
          <w:szCs w:val="28"/>
        </w:rPr>
        <w:t>Lakshmi Durga Surishetti</w:t>
      </w:r>
    </w:p>
    <w:p w14:paraId="0E27B00A" w14:textId="6E1BD735" w:rsidR="007A09B2" w:rsidRPr="00B6648E" w:rsidRDefault="00566828" w:rsidP="001F3921">
      <w:pPr>
        <w:spacing w:line="600" w:lineRule="auto"/>
        <w:jc w:val="center"/>
        <w:rPr>
          <w:rFonts w:asciiTheme="majorHAnsi" w:eastAsia="Times New Roman" w:hAnsiTheme="majorHAnsi" w:cstheme="majorHAnsi"/>
          <w:sz w:val="28"/>
          <w:szCs w:val="28"/>
        </w:rPr>
      </w:pPr>
      <w:r w:rsidRPr="00B6648E">
        <w:rPr>
          <w:rFonts w:asciiTheme="majorHAnsi" w:eastAsia="Times New Roman" w:hAnsiTheme="majorHAnsi" w:cstheme="majorHAnsi"/>
          <w:sz w:val="28"/>
          <w:szCs w:val="28"/>
        </w:rPr>
        <w:t>Student ID:</w:t>
      </w:r>
      <w:r w:rsidR="007B2168" w:rsidRPr="00B6648E">
        <w:rPr>
          <w:rFonts w:asciiTheme="majorHAnsi" w:eastAsia="Times New Roman" w:hAnsiTheme="majorHAnsi" w:cstheme="majorHAnsi"/>
          <w:sz w:val="28"/>
          <w:szCs w:val="28"/>
        </w:rPr>
        <w:t xml:space="preserve"> 2228190</w:t>
      </w:r>
    </w:p>
    <w:p w14:paraId="7D943F42" w14:textId="77777777" w:rsidR="001F3921" w:rsidRPr="00B6648E" w:rsidRDefault="007B2168" w:rsidP="001F3921">
      <w:pPr>
        <w:spacing w:line="600" w:lineRule="auto"/>
        <w:jc w:val="center"/>
        <w:rPr>
          <w:rFonts w:asciiTheme="majorHAnsi" w:hAnsiTheme="majorHAnsi" w:cstheme="majorHAnsi"/>
          <w:sz w:val="28"/>
          <w:szCs w:val="28"/>
        </w:rPr>
      </w:pPr>
      <w:r w:rsidRPr="00B6648E">
        <w:rPr>
          <w:rFonts w:asciiTheme="majorHAnsi" w:hAnsiTheme="majorHAnsi" w:cstheme="majorHAnsi"/>
          <w:sz w:val="28"/>
          <w:szCs w:val="28"/>
        </w:rPr>
        <w:t xml:space="preserve">Lecturer: </w:t>
      </w:r>
      <w:r w:rsidR="001F3921" w:rsidRPr="00B6648E">
        <w:rPr>
          <w:rFonts w:asciiTheme="majorHAnsi" w:hAnsiTheme="majorHAnsi" w:cstheme="majorHAnsi"/>
          <w:sz w:val="28"/>
          <w:szCs w:val="28"/>
        </w:rPr>
        <w:t>Rexon Nting</w:t>
      </w:r>
    </w:p>
    <w:p w14:paraId="7FA1127D" w14:textId="77777777" w:rsidR="001F3921" w:rsidRPr="00B6648E" w:rsidRDefault="001F3921" w:rsidP="001F3921">
      <w:pPr>
        <w:spacing w:line="600" w:lineRule="auto"/>
        <w:jc w:val="center"/>
        <w:rPr>
          <w:rFonts w:asciiTheme="majorHAnsi" w:hAnsiTheme="majorHAnsi" w:cstheme="majorHAnsi"/>
          <w:sz w:val="28"/>
          <w:szCs w:val="28"/>
        </w:rPr>
      </w:pPr>
      <w:r w:rsidRPr="00B6648E">
        <w:rPr>
          <w:rFonts w:asciiTheme="majorHAnsi" w:hAnsiTheme="majorHAnsi" w:cstheme="majorHAnsi"/>
          <w:sz w:val="28"/>
          <w:szCs w:val="28"/>
        </w:rPr>
        <w:t>Date of Submission: 21 Aug 2023</w:t>
      </w:r>
    </w:p>
    <w:p w14:paraId="3101716D" w14:textId="1162353D" w:rsidR="007A09B2" w:rsidRDefault="00566828" w:rsidP="001F3921">
      <w:pPr>
        <w:spacing w:line="600" w:lineRule="auto"/>
        <w:jc w:val="center"/>
        <w:rPr>
          <w:rFonts w:ascii="Times New Roman" w:eastAsia="Times New Roman" w:hAnsi="Times New Roman" w:cs="Times New Roman"/>
          <w:b/>
          <w:sz w:val="24"/>
          <w:szCs w:val="24"/>
        </w:rPr>
      </w:pPr>
      <w:r>
        <w:br w:type="page"/>
      </w:r>
    </w:p>
    <w:bookmarkStart w:id="0" w:name="_heading=h.gjdgxs" w:colFirst="0" w:colLast="0" w:displacedByCustomXml="next"/>
    <w:bookmarkEnd w:id="0" w:displacedByCustomXml="next"/>
    <w:sdt>
      <w:sdtPr>
        <w:rPr>
          <w:rFonts w:ascii="Arial" w:eastAsia="Arial" w:hAnsi="Arial" w:cs="Arial"/>
          <w:b w:val="0"/>
          <w:bCs w:val="0"/>
          <w:color w:val="auto"/>
          <w:sz w:val="22"/>
          <w:szCs w:val="22"/>
          <w:lang w:val="en" w:eastAsia="en-IN"/>
        </w:rPr>
        <w:id w:val="1826648632"/>
        <w:docPartObj>
          <w:docPartGallery w:val="Table of Contents"/>
          <w:docPartUnique/>
        </w:docPartObj>
      </w:sdtPr>
      <w:sdtEndPr/>
      <w:sdtContent>
        <w:p w14:paraId="22E0FC93" w14:textId="77777777" w:rsidR="006962FD" w:rsidRPr="006962FD" w:rsidRDefault="00566828" w:rsidP="006962FD">
          <w:pPr>
            <w:pStyle w:val="TOCHeading"/>
            <w:jc w:val="center"/>
            <w:rPr>
              <w:rFonts w:ascii="Times New Roman" w:hAnsi="Times New Roman" w:cs="Times New Roman"/>
              <w:color w:val="000000" w:themeColor="text1"/>
            </w:rPr>
          </w:pPr>
          <w:r w:rsidRPr="006962FD">
            <w:rPr>
              <w:rFonts w:ascii="Times New Roman" w:hAnsi="Times New Roman" w:cs="Times New Roman"/>
              <w:color w:val="000000" w:themeColor="text1"/>
            </w:rPr>
            <w:t>Table of Contents</w:t>
          </w:r>
        </w:p>
        <w:p w14:paraId="487BB5BA" w14:textId="3216D135" w:rsidR="006962FD" w:rsidRPr="006962FD" w:rsidRDefault="00B91125" w:rsidP="0BC558BA">
          <w:pPr>
            <w:pStyle w:val="TOC1"/>
            <w:tabs>
              <w:tab w:val="right" w:leader="dot" w:pos="9360"/>
            </w:tabs>
            <w:spacing w:line="360" w:lineRule="auto"/>
            <w:rPr>
              <w:rStyle w:val="Hyperlink"/>
              <w:noProof/>
              <w:lang w:val="en-IN"/>
            </w:rPr>
          </w:pPr>
          <w:r>
            <w:fldChar w:fldCharType="begin"/>
          </w:r>
          <w:r w:rsidR="00221964">
            <w:instrText>TOC \o "1-3" \h \z \u</w:instrText>
          </w:r>
          <w:r>
            <w:fldChar w:fldCharType="separate"/>
          </w:r>
          <w:hyperlink w:anchor="_Toc687277565">
            <w:r w:rsidR="0BC558BA" w:rsidRPr="0BC558BA">
              <w:rPr>
                <w:rStyle w:val="Hyperlink"/>
              </w:rPr>
              <w:t>Introduction</w:t>
            </w:r>
            <w:r w:rsidR="00221964">
              <w:tab/>
            </w:r>
            <w:r w:rsidR="00221964">
              <w:fldChar w:fldCharType="begin"/>
            </w:r>
            <w:r w:rsidR="00221964">
              <w:instrText>PAGEREF _Toc687277565 \h</w:instrText>
            </w:r>
            <w:r w:rsidR="00221964">
              <w:fldChar w:fldCharType="separate"/>
            </w:r>
            <w:r w:rsidR="0BC558BA" w:rsidRPr="0BC558BA">
              <w:rPr>
                <w:rStyle w:val="Hyperlink"/>
              </w:rPr>
              <w:t>2</w:t>
            </w:r>
            <w:r w:rsidR="00221964">
              <w:fldChar w:fldCharType="end"/>
            </w:r>
          </w:hyperlink>
        </w:p>
        <w:p w14:paraId="4A4EAB24" w14:textId="0D80E4F9" w:rsidR="006962FD" w:rsidRPr="006962FD" w:rsidRDefault="005C53AD" w:rsidP="0BC558BA">
          <w:pPr>
            <w:pStyle w:val="TOC1"/>
            <w:tabs>
              <w:tab w:val="right" w:leader="dot" w:pos="9360"/>
            </w:tabs>
            <w:spacing w:line="360" w:lineRule="auto"/>
            <w:rPr>
              <w:rStyle w:val="Hyperlink"/>
              <w:noProof/>
              <w:lang w:val="en-IN"/>
            </w:rPr>
          </w:pPr>
          <w:hyperlink w:anchor="_Toc2142747506">
            <w:r w:rsidR="0BC558BA" w:rsidRPr="0BC558BA">
              <w:rPr>
                <w:rStyle w:val="Hyperlink"/>
              </w:rPr>
              <w:t>Analysis</w:t>
            </w:r>
            <w:r w:rsidR="00B91125">
              <w:tab/>
            </w:r>
            <w:r w:rsidR="00B91125">
              <w:fldChar w:fldCharType="begin"/>
            </w:r>
            <w:r w:rsidR="00B91125">
              <w:instrText>PAGEREF _Toc2142747506 \h</w:instrText>
            </w:r>
            <w:r w:rsidR="00B91125">
              <w:fldChar w:fldCharType="separate"/>
            </w:r>
            <w:r w:rsidR="0BC558BA" w:rsidRPr="0BC558BA">
              <w:rPr>
                <w:rStyle w:val="Hyperlink"/>
              </w:rPr>
              <w:t>4</w:t>
            </w:r>
            <w:r w:rsidR="00B91125">
              <w:fldChar w:fldCharType="end"/>
            </w:r>
          </w:hyperlink>
        </w:p>
        <w:p w14:paraId="616CAFBA" w14:textId="50C9551F" w:rsidR="006962FD" w:rsidRPr="006962FD" w:rsidRDefault="005C53AD" w:rsidP="0BC558BA">
          <w:pPr>
            <w:pStyle w:val="TOC2"/>
            <w:tabs>
              <w:tab w:val="right" w:leader="dot" w:pos="9360"/>
            </w:tabs>
            <w:spacing w:line="360" w:lineRule="auto"/>
            <w:rPr>
              <w:rStyle w:val="Hyperlink"/>
              <w:noProof/>
              <w:lang w:val="en-IN"/>
            </w:rPr>
          </w:pPr>
          <w:hyperlink w:anchor="_Toc1568344126">
            <w:r w:rsidR="0BC558BA" w:rsidRPr="0BC558BA">
              <w:rPr>
                <w:rStyle w:val="Hyperlink"/>
              </w:rPr>
              <w:t>Model (PESTLE)</w:t>
            </w:r>
            <w:r w:rsidR="00B91125">
              <w:tab/>
            </w:r>
            <w:r w:rsidR="00B91125">
              <w:fldChar w:fldCharType="begin"/>
            </w:r>
            <w:r w:rsidR="00B91125">
              <w:instrText>PAGEREF _Toc1568344126 \h</w:instrText>
            </w:r>
            <w:r w:rsidR="00B91125">
              <w:fldChar w:fldCharType="separate"/>
            </w:r>
            <w:r w:rsidR="0BC558BA" w:rsidRPr="0BC558BA">
              <w:rPr>
                <w:rStyle w:val="Hyperlink"/>
              </w:rPr>
              <w:t>4</w:t>
            </w:r>
            <w:r w:rsidR="00B91125">
              <w:fldChar w:fldCharType="end"/>
            </w:r>
          </w:hyperlink>
        </w:p>
        <w:p w14:paraId="70C50D47" w14:textId="151548A7" w:rsidR="006962FD" w:rsidRPr="006962FD" w:rsidRDefault="005C53AD" w:rsidP="0BC558BA">
          <w:pPr>
            <w:pStyle w:val="TOC2"/>
            <w:tabs>
              <w:tab w:val="right" w:leader="dot" w:pos="9360"/>
            </w:tabs>
            <w:spacing w:line="360" w:lineRule="auto"/>
            <w:rPr>
              <w:rStyle w:val="Hyperlink"/>
              <w:noProof/>
              <w:lang w:val="en-IN"/>
            </w:rPr>
          </w:pPr>
          <w:hyperlink w:anchor="_Toc207408688">
            <w:r w:rsidR="0BC558BA" w:rsidRPr="0BC558BA">
              <w:rPr>
                <w:rStyle w:val="Hyperlink"/>
              </w:rPr>
              <w:t>Analyse "fire and rehire" tactics within the UK labour market</w:t>
            </w:r>
            <w:r w:rsidR="00B91125">
              <w:tab/>
            </w:r>
            <w:r w:rsidR="00B91125">
              <w:fldChar w:fldCharType="begin"/>
            </w:r>
            <w:r w:rsidR="00B91125">
              <w:instrText>PAGEREF _Toc207408688 \h</w:instrText>
            </w:r>
            <w:r w:rsidR="00B91125">
              <w:fldChar w:fldCharType="separate"/>
            </w:r>
            <w:r w:rsidR="0BC558BA" w:rsidRPr="0BC558BA">
              <w:rPr>
                <w:rStyle w:val="Hyperlink"/>
              </w:rPr>
              <w:t>6</w:t>
            </w:r>
            <w:r w:rsidR="00B91125">
              <w:fldChar w:fldCharType="end"/>
            </w:r>
          </w:hyperlink>
        </w:p>
        <w:p w14:paraId="22D01DA7" w14:textId="2A48A111" w:rsidR="006962FD" w:rsidRPr="006962FD" w:rsidRDefault="005C53AD" w:rsidP="0BC558BA">
          <w:pPr>
            <w:pStyle w:val="TOC2"/>
            <w:tabs>
              <w:tab w:val="right" w:leader="dot" w:pos="9360"/>
            </w:tabs>
            <w:spacing w:line="360" w:lineRule="auto"/>
            <w:rPr>
              <w:rStyle w:val="Hyperlink"/>
              <w:noProof/>
              <w:lang w:val="en-IN"/>
            </w:rPr>
          </w:pPr>
          <w:hyperlink w:anchor="_Toc2105356886">
            <w:r w:rsidR="0BC558BA" w:rsidRPr="0BC558BA">
              <w:rPr>
                <w:rStyle w:val="Hyperlink"/>
              </w:rPr>
              <w:t>Evaluate the approach taken by different organisations</w:t>
            </w:r>
            <w:r w:rsidR="00B91125">
              <w:tab/>
            </w:r>
            <w:r w:rsidR="00B91125">
              <w:fldChar w:fldCharType="begin"/>
            </w:r>
            <w:r w:rsidR="00B91125">
              <w:instrText>PAGEREF _Toc2105356886 \h</w:instrText>
            </w:r>
            <w:r w:rsidR="00B91125">
              <w:fldChar w:fldCharType="separate"/>
            </w:r>
            <w:r w:rsidR="0BC558BA" w:rsidRPr="0BC558BA">
              <w:rPr>
                <w:rStyle w:val="Hyperlink"/>
              </w:rPr>
              <w:t>7</w:t>
            </w:r>
            <w:r w:rsidR="00B91125">
              <w:fldChar w:fldCharType="end"/>
            </w:r>
          </w:hyperlink>
        </w:p>
        <w:p w14:paraId="3292906D" w14:textId="56F5C2A8" w:rsidR="006962FD" w:rsidRPr="006962FD" w:rsidRDefault="005C53AD" w:rsidP="0BC558BA">
          <w:pPr>
            <w:pStyle w:val="TOC2"/>
            <w:tabs>
              <w:tab w:val="right" w:leader="dot" w:pos="9360"/>
            </w:tabs>
            <w:spacing w:line="360" w:lineRule="auto"/>
            <w:rPr>
              <w:rStyle w:val="Hyperlink"/>
              <w:noProof/>
              <w:lang w:val="en-IN"/>
            </w:rPr>
          </w:pPr>
          <w:hyperlink w:anchor="_Toc1050268110">
            <w:r w:rsidR="0BC558BA" w:rsidRPr="0BC558BA">
              <w:rPr>
                <w:rStyle w:val="Hyperlink"/>
              </w:rPr>
              <w:t>Harvard HRM Model</w:t>
            </w:r>
            <w:r w:rsidR="00B91125">
              <w:tab/>
            </w:r>
            <w:r w:rsidR="00B91125">
              <w:fldChar w:fldCharType="begin"/>
            </w:r>
            <w:r w:rsidR="00B91125">
              <w:instrText>PAGEREF _Toc1050268110 \h</w:instrText>
            </w:r>
            <w:r w:rsidR="00B91125">
              <w:fldChar w:fldCharType="separate"/>
            </w:r>
            <w:r w:rsidR="0BC558BA" w:rsidRPr="0BC558BA">
              <w:rPr>
                <w:rStyle w:val="Hyperlink"/>
              </w:rPr>
              <w:t>9</w:t>
            </w:r>
            <w:r w:rsidR="00B91125">
              <w:fldChar w:fldCharType="end"/>
            </w:r>
          </w:hyperlink>
        </w:p>
        <w:p w14:paraId="3C08C750" w14:textId="15F65F8F" w:rsidR="006962FD" w:rsidRPr="006962FD" w:rsidRDefault="005C53AD" w:rsidP="0BC558BA">
          <w:pPr>
            <w:pStyle w:val="TOC2"/>
            <w:tabs>
              <w:tab w:val="right" w:leader="dot" w:pos="9360"/>
            </w:tabs>
            <w:spacing w:line="360" w:lineRule="auto"/>
            <w:rPr>
              <w:rStyle w:val="Hyperlink"/>
              <w:noProof/>
              <w:lang w:val="en-IN"/>
            </w:rPr>
          </w:pPr>
          <w:hyperlink w:anchor="_Toc1582768932">
            <w:r w:rsidR="0BC558BA" w:rsidRPr="0BC558BA">
              <w:rPr>
                <w:rStyle w:val="Hyperlink"/>
              </w:rPr>
              <w:t>Legal implications of changing contractual employment terms</w:t>
            </w:r>
            <w:r w:rsidR="00B91125">
              <w:tab/>
            </w:r>
            <w:r w:rsidR="00B91125">
              <w:fldChar w:fldCharType="begin"/>
            </w:r>
            <w:r w:rsidR="00B91125">
              <w:instrText>PAGEREF _Toc1582768932 \h</w:instrText>
            </w:r>
            <w:r w:rsidR="00B91125">
              <w:fldChar w:fldCharType="separate"/>
            </w:r>
            <w:r w:rsidR="0BC558BA" w:rsidRPr="0BC558BA">
              <w:rPr>
                <w:rStyle w:val="Hyperlink"/>
              </w:rPr>
              <w:t>11</w:t>
            </w:r>
            <w:r w:rsidR="00B91125">
              <w:fldChar w:fldCharType="end"/>
            </w:r>
          </w:hyperlink>
        </w:p>
        <w:p w14:paraId="057D85A9" w14:textId="1EF293C2" w:rsidR="006962FD" w:rsidRPr="006962FD" w:rsidRDefault="005C53AD" w:rsidP="0BC558BA">
          <w:pPr>
            <w:pStyle w:val="TOC2"/>
            <w:tabs>
              <w:tab w:val="right" w:leader="dot" w:pos="9360"/>
            </w:tabs>
            <w:spacing w:line="360" w:lineRule="auto"/>
            <w:rPr>
              <w:rStyle w:val="Hyperlink"/>
              <w:noProof/>
              <w:lang w:val="en-IN"/>
            </w:rPr>
          </w:pPr>
          <w:hyperlink w:anchor="_Toc182706537">
            <w:r w:rsidR="0BC558BA" w:rsidRPr="0BC558BA">
              <w:rPr>
                <w:rStyle w:val="Hyperlink"/>
              </w:rPr>
              <w:t>Evaluate the potential impact on employee engagement</w:t>
            </w:r>
            <w:r w:rsidR="00B91125">
              <w:tab/>
            </w:r>
            <w:r w:rsidR="00B91125">
              <w:fldChar w:fldCharType="begin"/>
            </w:r>
            <w:r w:rsidR="00B91125">
              <w:instrText>PAGEREF _Toc182706537 \h</w:instrText>
            </w:r>
            <w:r w:rsidR="00B91125">
              <w:fldChar w:fldCharType="separate"/>
            </w:r>
            <w:r w:rsidR="0BC558BA" w:rsidRPr="0BC558BA">
              <w:rPr>
                <w:rStyle w:val="Hyperlink"/>
              </w:rPr>
              <w:t>12</w:t>
            </w:r>
            <w:r w:rsidR="00B91125">
              <w:fldChar w:fldCharType="end"/>
            </w:r>
          </w:hyperlink>
        </w:p>
        <w:p w14:paraId="7D9D5C9F" w14:textId="1FE85494" w:rsidR="006962FD" w:rsidRPr="006962FD" w:rsidRDefault="005C53AD" w:rsidP="0BC558BA">
          <w:pPr>
            <w:pStyle w:val="TOC2"/>
            <w:tabs>
              <w:tab w:val="right" w:leader="dot" w:pos="9360"/>
            </w:tabs>
            <w:spacing w:line="360" w:lineRule="auto"/>
            <w:rPr>
              <w:rStyle w:val="Hyperlink"/>
              <w:noProof/>
              <w:lang w:val="en-IN"/>
            </w:rPr>
          </w:pPr>
          <w:hyperlink w:anchor="_Toc1657854036">
            <w:r w:rsidR="0BC558BA" w:rsidRPr="0BC558BA">
              <w:rPr>
                <w:rStyle w:val="Hyperlink"/>
              </w:rPr>
              <w:t>Evaluates HR involvement in this issue</w:t>
            </w:r>
            <w:r w:rsidR="00B91125">
              <w:tab/>
            </w:r>
            <w:r w:rsidR="00B91125">
              <w:fldChar w:fldCharType="begin"/>
            </w:r>
            <w:r w:rsidR="00B91125">
              <w:instrText>PAGEREF _Toc1657854036 \h</w:instrText>
            </w:r>
            <w:r w:rsidR="00B91125">
              <w:fldChar w:fldCharType="separate"/>
            </w:r>
            <w:r w:rsidR="0BC558BA" w:rsidRPr="0BC558BA">
              <w:rPr>
                <w:rStyle w:val="Hyperlink"/>
              </w:rPr>
              <w:t>16</w:t>
            </w:r>
            <w:r w:rsidR="00B91125">
              <w:fldChar w:fldCharType="end"/>
            </w:r>
          </w:hyperlink>
        </w:p>
        <w:p w14:paraId="62606E4D" w14:textId="19598EB7" w:rsidR="006962FD" w:rsidRPr="006962FD" w:rsidRDefault="005C53AD" w:rsidP="0BC558BA">
          <w:pPr>
            <w:pStyle w:val="TOC1"/>
            <w:tabs>
              <w:tab w:val="right" w:leader="dot" w:pos="9360"/>
            </w:tabs>
            <w:spacing w:line="360" w:lineRule="auto"/>
            <w:rPr>
              <w:rStyle w:val="Hyperlink"/>
              <w:noProof/>
              <w:lang w:val="en-IN"/>
            </w:rPr>
          </w:pPr>
          <w:hyperlink w:anchor="_Toc2134917607">
            <w:r w:rsidR="0BC558BA" w:rsidRPr="0BC558BA">
              <w:rPr>
                <w:rStyle w:val="Hyperlink"/>
              </w:rPr>
              <w:t>Recommendation</w:t>
            </w:r>
            <w:r w:rsidR="00B91125">
              <w:tab/>
            </w:r>
            <w:r w:rsidR="00B91125">
              <w:fldChar w:fldCharType="begin"/>
            </w:r>
            <w:r w:rsidR="00B91125">
              <w:instrText>PAGEREF _Toc2134917607 \h</w:instrText>
            </w:r>
            <w:r w:rsidR="00B91125">
              <w:fldChar w:fldCharType="separate"/>
            </w:r>
            <w:r w:rsidR="0BC558BA" w:rsidRPr="0BC558BA">
              <w:rPr>
                <w:rStyle w:val="Hyperlink"/>
              </w:rPr>
              <w:t>18</w:t>
            </w:r>
            <w:r w:rsidR="00B91125">
              <w:fldChar w:fldCharType="end"/>
            </w:r>
          </w:hyperlink>
        </w:p>
        <w:p w14:paraId="0A372655" w14:textId="6830BD93" w:rsidR="006962FD" w:rsidRPr="006962FD" w:rsidRDefault="005C53AD" w:rsidP="0BC558BA">
          <w:pPr>
            <w:pStyle w:val="TOC1"/>
            <w:tabs>
              <w:tab w:val="right" w:leader="dot" w:pos="9360"/>
            </w:tabs>
            <w:spacing w:line="360" w:lineRule="auto"/>
            <w:rPr>
              <w:rStyle w:val="Hyperlink"/>
              <w:noProof/>
              <w:lang w:val="en-IN"/>
            </w:rPr>
          </w:pPr>
          <w:hyperlink w:anchor="_Toc1737735168">
            <w:r w:rsidR="0BC558BA" w:rsidRPr="0BC558BA">
              <w:rPr>
                <w:rStyle w:val="Hyperlink"/>
              </w:rPr>
              <w:t>Conclusion</w:t>
            </w:r>
            <w:r w:rsidR="00B91125">
              <w:tab/>
            </w:r>
            <w:r w:rsidR="00B91125">
              <w:fldChar w:fldCharType="begin"/>
            </w:r>
            <w:r w:rsidR="00B91125">
              <w:instrText>PAGEREF _Toc1737735168 \h</w:instrText>
            </w:r>
            <w:r w:rsidR="00B91125">
              <w:fldChar w:fldCharType="separate"/>
            </w:r>
            <w:r w:rsidR="0BC558BA" w:rsidRPr="0BC558BA">
              <w:rPr>
                <w:rStyle w:val="Hyperlink"/>
              </w:rPr>
              <w:t>19</w:t>
            </w:r>
            <w:r w:rsidR="00B91125">
              <w:fldChar w:fldCharType="end"/>
            </w:r>
          </w:hyperlink>
        </w:p>
        <w:p w14:paraId="628D5649" w14:textId="098C5581" w:rsidR="006962FD" w:rsidRPr="006962FD" w:rsidRDefault="005C53AD" w:rsidP="5A3A0A66">
          <w:pPr>
            <w:pStyle w:val="TOC1"/>
            <w:tabs>
              <w:tab w:val="right" w:leader="dot" w:pos="9360"/>
            </w:tabs>
            <w:spacing w:line="360" w:lineRule="auto"/>
            <w:rPr>
              <w:rStyle w:val="Hyperlink"/>
              <w:noProof/>
              <w:lang w:val="en-IN"/>
            </w:rPr>
          </w:pPr>
          <w:hyperlink w:anchor="_Toc1018620285">
            <w:r w:rsidR="0BC558BA" w:rsidRPr="0BC558BA">
              <w:rPr>
                <w:rStyle w:val="Hyperlink"/>
              </w:rPr>
              <w:t>Reference List</w:t>
            </w:r>
            <w:r w:rsidR="00B91125">
              <w:tab/>
            </w:r>
            <w:r w:rsidR="00B91125">
              <w:fldChar w:fldCharType="begin"/>
            </w:r>
            <w:r w:rsidR="00B91125">
              <w:instrText>PAGEREF _Toc1018620285 \h</w:instrText>
            </w:r>
            <w:r w:rsidR="00B91125">
              <w:fldChar w:fldCharType="separate"/>
            </w:r>
            <w:r w:rsidR="0BC558BA" w:rsidRPr="0BC558BA">
              <w:rPr>
                <w:rStyle w:val="Hyperlink"/>
              </w:rPr>
              <w:t>19</w:t>
            </w:r>
            <w:r w:rsidR="00B91125">
              <w:fldChar w:fldCharType="end"/>
            </w:r>
          </w:hyperlink>
          <w:r w:rsidR="00B91125">
            <w:fldChar w:fldCharType="end"/>
          </w:r>
        </w:p>
      </w:sdtContent>
    </w:sdt>
    <w:p w14:paraId="60061E4C" w14:textId="77777777" w:rsidR="006962FD" w:rsidRDefault="006962FD" w:rsidP="006962FD">
      <w:pPr>
        <w:spacing w:line="360" w:lineRule="auto"/>
        <w:jc w:val="both"/>
      </w:pPr>
    </w:p>
    <w:p w14:paraId="44EAFD9C" w14:textId="77777777" w:rsidR="00AD500C" w:rsidRDefault="00AD500C">
      <w:pPr>
        <w:pStyle w:val="Heading1"/>
      </w:pPr>
    </w:p>
    <w:p w14:paraId="4B94D5A5" w14:textId="77777777" w:rsidR="00AD500C" w:rsidRDefault="00566828">
      <w:pPr>
        <w:rPr>
          <w:rFonts w:ascii="Times New Roman" w:hAnsi="Times New Roman"/>
          <w:b/>
          <w:color w:val="000000" w:themeColor="text1"/>
          <w:sz w:val="28"/>
          <w:szCs w:val="40"/>
        </w:rPr>
      </w:pPr>
      <w:r>
        <w:br w:type="page"/>
      </w:r>
    </w:p>
    <w:p w14:paraId="3E7A9F1C" w14:textId="77777777" w:rsidR="007A09B2" w:rsidRDefault="00566828">
      <w:pPr>
        <w:pStyle w:val="Heading1"/>
      </w:pPr>
      <w:bookmarkStart w:id="1" w:name="_Toc687277565"/>
      <w:r>
        <w:lastRenderedPageBreak/>
        <w:t>Introduction</w:t>
      </w:r>
      <w:bookmarkEnd w:id="1"/>
    </w:p>
    <w:p w14:paraId="5F5925D1" w14:textId="1AF1BADF" w:rsidR="002612C4" w:rsidRDefault="00566828">
      <w:pPr>
        <w:pBdr>
          <w:top w:val="nil"/>
          <w:left w:val="nil"/>
          <w:bottom w:val="nil"/>
          <w:right w:val="nil"/>
          <w:between w:val="nil"/>
        </w:pBdr>
        <w:spacing w:line="360" w:lineRule="auto"/>
        <w:jc w:val="both"/>
        <w:rPr>
          <w:rFonts w:ascii="Times New Roman" w:eastAsia="Times New Roman" w:hAnsi="Times New Roman" w:cs="Times New Roman"/>
          <w:color w:val="171A22"/>
          <w:sz w:val="24"/>
          <w:szCs w:val="24"/>
          <w:shd w:val="clear" w:color="auto" w:fill="FFFFFF"/>
          <w:lang w:bidi="te-IN"/>
        </w:rPr>
      </w:pPr>
      <w:r w:rsidRPr="00221964">
        <w:rPr>
          <w:rFonts w:ascii="Times New Roman" w:eastAsia="Times New Roman" w:hAnsi="Times New Roman" w:cs="Times New Roman"/>
          <w:color w:val="000000"/>
          <w:sz w:val="24"/>
          <w:szCs w:val="24"/>
        </w:rPr>
        <w:t xml:space="preserve">The comprehensive engagement of the long-running disruption between </w:t>
      </w:r>
      <w:r w:rsidRPr="5A3A0A66">
        <w:rPr>
          <w:rFonts w:ascii="Times New Roman" w:eastAsia="Times New Roman" w:hAnsi="Times New Roman" w:cs="Times New Roman"/>
          <w:color w:val="000000"/>
          <w:sz w:val="24"/>
          <w:szCs w:val="24"/>
        </w:rPr>
        <w:t>“British Gas” and “its boiler engineers”</w:t>
      </w:r>
      <w:r w:rsidRPr="5A3A0A66">
        <w:rPr>
          <w:rFonts w:ascii="Times New Roman" w:eastAsia="Times New Roman" w:hAnsi="Times New Roman" w:cs="Times New Roman"/>
          <w:i/>
          <w:iCs/>
          <w:color w:val="000000"/>
          <w:sz w:val="24"/>
          <w:szCs w:val="24"/>
        </w:rPr>
        <w:t xml:space="preserve"> </w:t>
      </w:r>
      <w:r w:rsidRPr="00221964">
        <w:rPr>
          <w:rFonts w:ascii="Times New Roman" w:eastAsia="Times New Roman" w:hAnsi="Times New Roman" w:cs="Times New Roman"/>
          <w:color w:val="000000"/>
          <w:sz w:val="24"/>
          <w:szCs w:val="24"/>
        </w:rPr>
        <w:t xml:space="preserve">can be engaged by changing their perspectives on their employment measurements. It can also be determined that the engineers might have been enhanced to conduct the working long hours without additional remunerations </w:t>
      </w:r>
      <w:r w:rsidR="00D47EE4" w:rsidRPr="00221964">
        <w:rPr>
          <w:rFonts w:ascii="Times New Roman" w:eastAsia="Times New Roman" w:hAnsi="Times New Roman" w:cs="Times New Roman"/>
          <w:color w:val="000000"/>
          <w:sz w:val="24"/>
          <w:szCs w:val="24"/>
        </w:rPr>
        <w:t>recognizing</w:t>
      </w:r>
      <w:r w:rsidRPr="00221964">
        <w:rPr>
          <w:rFonts w:ascii="Times New Roman" w:eastAsia="Times New Roman" w:hAnsi="Times New Roman" w:cs="Times New Roman"/>
          <w:color w:val="000000"/>
          <w:sz w:val="24"/>
          <w:szCs w:val="24"/>
        </w:rPr>
        <w:t xml:space="preserve"> to effect endowed by the </w:t>
      </w:r>
      <w:r w:rsidRPr="5A3A0A66">
        <w:rPr>
          <w:rFonts w:ascii="Times New Roman" w:eastAsia="Times New Roman" w:hAnsi="Times New Roman" w:cs="Times New Roman"/>
          <w:color w:val="000000"/>
          <w:sz w:val="24"/>
          <w:szCs w:val="24"/>
        </w:rPr>
        <w:t xml:space="preserve">“GMB trade union”. </w:t>
      </w:r>
      <w:r w:rsidRPr="00221964">
        <w:rPr>
          <w:rFonts w:ascii="Times New Roman" w:eastAsia="Times New Roman" w:hAnsi="Times New Roman" w:cs="Times New Roman"/>
          <w:color w:val="000000"/>
          <w:sz w:val="24"/>
          <w:szCs w:val="24"/>
        </w:rPr>
        <w:t xml:space="preserve">The analytical procurement of the </w:t>
      </w:r>
      <w:r w:rsidRPr="5A3A0A66">
        <w:rPr>
          <w:rFonts w:ascii="Times New Roman" w:eastAsia="Times New Roman" w:hAnsi="Times New Roman" w:cs="Times New Roman"/>
          <w:color w:val="000000"/>
          <w:sz w:val="24"/>
          <w:szCs w:val="24"/>
        </w:rPr>
        <w:t>“fire and rehire”</w:t>
      </w:r>
      <w:r w:rsidRPr="5A3A0A66">
        <w:rPr>
          <w:rFonts w:ascii="Times New Roman" w:eastAsia="Times New Roman" w:hAnsi="Times New Roman" w:cs="Times New Roman"/>
          <w:i/>
          <w:iCs/>
          <w:color w:val="000000"/>
          <w:sz w:val="24"/>
          <w:szCs w:val="24"/>
        </w:rPr>
        <w:t xml:space="preserve"> </w:t>
      </w:r>
      <w:r w:rsidRPr="00221964">
        <w:rPr>
          <w:rFonts w:ascii="Times New Roman" w:eastAsia="Times New Roman" w:hAnsi="Times New Roman" w:cs="Times New Roman"/>
          <w:color w:val="000000"/>
          <w:sz w:val="24"/>
          <w:szCs w:val="24"/>
        </w:rPr>
        <w:t>strategy by “British Gas”</w:t>
      </w:r>
      <w:r w:rsidRPr="5A3A0A66">
        <w:rPr>
          <w:rFonts w:ascii="Times New Roman" w:eastAsia="Times New Roman" w:hAnsi="Times New Roman" w:cs="Times New Roman"/>
          <w:i/>
          <w:iCs/>
          <w:color w:val="000000"/>
          <w:sz w:val="24"/>
          <w:szCs w:val="24"/>
        </w:rPr>
        <w:t xml:space="preserve"> </w:t>
      </w:r>
      <w:r w:rsidRPr="00221964">
        <w:rPr>
          <w:rFonts w:ascii="Times New Roman" w:eastAsia="Times New Roman" w:hAnsi="Times New Roman" w:cs="Times New Roman"/>
          <w:color w:val="000000"/>
          <w:sz w:val="24"/>
          <w:szCs w:val="24"/>
        </w:rPr>
        <w:t xml:space="preserve">would have encouraged dismissing the acceptance of the new measures (Eleni. </w:t>
      </w:r>
      <w:r w:rsidR="008E11EC" w:rsidRPr="00221964">
        <w:rPr>
          <w:rFonts w:ascii="Times New Roman" w:eastAsia="Times New Roman" w:hAnsi="Times New Roman" w:cs="Times New Roman"/>
          <w:color w:val="000000"/>
          <w:sz w:val="24"/>
          <w:szCs w:val="24"/>
        </w:rPr>
        <w:t>L</w:t>
      </w:r>
      <w:r w:rsidRPr="00221964">
        <w:rPr>
          <w:rFonts w:ascii="Times New Roman" w:eastAsia="Times New Roman" w:hAnsi="Times New Roman" w:cs="Times New Roman"/>
          <w:color w:val="000000"/>
          <w:sz w:val="24"/>
          <w:szCs w:val="24"/>
        </w:rPr>
        <w:t xml:space="preserve">azaraki, 2021). </w:t>
      </w:r>
      <w:r w:rsidR="00610022" w:rsidRPr="5A3A0A66">
        <w:rPr>
          <w:rFonts w:ascii="Times New Roman" w:eastAsia="Times New Roman" w:hAnsi="Times New Roman" w:cs="Times New Roman"/>
          <w:color w:val="171A22"/>
          <w:sz w:val="24"/>
          <w:szCs w:val="24"/>
          <w:shd w:val="clear" w:color="auto" w:fill="FFFFFF"/>
          <w:lang w:bidi="te-IN"/>
        </w:rPr>
        <w:t xml:space="preserve">"Fire and rehire" is a controversial employment practice that has become increasingly popular in recent years in the United Kingdom labour market. This practice has been adopted by an increasing number of employers and has sparked heated discussions between policy makers, employees, and business executives. As the workplace continues to develop, it is essential to consider the various aspects of this practice, including its impact, legal considerations, and wider socio-economic implications. This article seeks to elucidate the intricacies of this practice and provide insight into the reasons behind its adoption, as well as its effects on the </w:t>
      </w:r>
      <w:r w:rsidR="002612C4" w:rsidRPr="5A3A0A66">
        <w:rPr>
          <w:rFonts w:ascii="Times New Roman" w:eastAsia="Times New Roman" w:hAnsi="Times New Roman" w:cs="Times New Roman"/>
          <w:color w:val="171A22"/>
          <w:sz w:val="24"/>
          <w:szCs w:val="24"/>
          <w:shd w:val="clear" w:color="auto" w:fill="FFFFFF"/>
          <w:lang w:bidi="te-IN"/>
        </w:rPr>
        <w:t>workforce.</w:t>
      </w:r>
    </w:p>
    <w:p w14:paraId="51DE11C1" w14:textId="77777777" w:rsidR="002612C4" w:rsidRDefault="002612C4">
      <w:pPr>
        <w:pBdr>
          <w:top w:val="nil"/>
          <w:left w:val="nil"/>
          <w:bottom w:val="nil"/>
          <w:right w:val="nil"/>
          <w:between w:val="nil"/>
        </w:pBdr>
        <w:spacing w:line="360" w:lineRule="auto"/>
        <w:jc w:val="both"/>
        <w:rPr>
          <w:rFonts w:ascii="Times New Roman" w:eastAsia="Times New Roman" w:hAnsi="Times New Roman" w:cs="Times New Roman"/>
          <w:color w:val="171A22"/>
          <w:sz w:val="24"/>
          <w:szCs w:val="24"/>
          <w:shd w:val="clear" w:color="auto" w:fill="FFFFFF"/>
          <w:lang w:bidi="te-IN"/>
        </w:rPr>
      </w:pPr>
    </w:p>
    <w:p w14:paraId="4297A982" w14:textId="3C14A7AC" w:rsidR="007A09B2" w:rsidRDefault="002612C4">
      <w:pPr>
        <w:pBdr>
          <w:top w:val="nil"/>
          <w:left w:val="nil"/>
          <w:bottom w:val="nil"/>
          <w:right w:val="nil"/>
          <w:between w:val="nil"/>
        </w:pBdr>
        <w:spacing w:line="360" w:lineRule="auto"/>
        <w:jc w:val="both"/>
        <w:rPr>
          <w:rFonts w:ascii="Times New Roman" w:eastAsia="Times New Roman" w:hAnsi="Times New Roman" w:cs="Times New Roman"/>
          <w:color w:val="171A22"/>
          <w:sz w:val="24"/>
          <w:szCs w:val="24"/>
          <w:shd w:val="clear" w:color="auto" w:fill="FFFFFF"/>
          <w:lang w:bidi="te-IN"/>
        </w:rPr>
      </w:pPr>
      <w:r w:rsidRPr="00B91125">
        <w:rPr>
          <w:rFonts w:ascii="Times New Roman" w:eastAsia="Times New Roman" w:hAnsi="Times New Roman" w:cs="Times New Roman"/>
          <w:color w:val="171A22"/>
          <w:sz w:val="24"/>
          <w:szCs w:val="24"/>
          <w:shd w:val="clear" w:color="auto" w:fill="FFFFFF"/>
          <w:lang w:bidi="te-IN"/>
        </w:rPr>
        <w:t xml:space="preserve">The practice of fire and rehire has been the subject of heated discussions and has attracted widespread public attention, particularly within the British Gas sector. This labor strategy involves the termination of contracts and the subsequent rehiring of employees on less </w:t>
      </w:r>
      <w:r w:rsidR="00D47EE4" w:rsidRPr="00B91125">
        <w:rPr>
          <w:rFonts w:ascii="Times New Roman" w:eastAsia="Times New Roman" w:hAnsi="Times New Roman" w:cs="Times New Roman"/>
          <w:color w:val="171A22"/>
          <w:sz w:val="24"/>
          <w:szCs w:val="24"/>
          <w:shd w:val="clear" w:color="auto" w:fill="FFFFFF"/>
          <w:lang w:bidi="te-IN"/>
        </w:rPr>
        <w:t>favorable</w:t>
      </w:r>
      <w:r w:rsidRPr="00B91125">
        <w:rPr>
          <w:rFonts w:ascii="Times New Roman" w:eastAsia="Times New Roman" w:hAnsi="Times New Roman" w:cs="Times New Roman"/>
          <w:color w:val="171A22"/>
          <w:sz w:val="24"/>
          <w:szCs w:val="24"/>
          <w:shd w:val="clear" w:color="auto" w:fill="FFFFFF"/>
          <w:lang w:bidi="te-IN"/>
        </w:rPr>
        <w:t xml:space="preserve"> terms. This has become a major topic of discussion in the context of workers' rights, business practices, and economic morality. The British Gas case serves as a stark example of the conflict between business interests and the well-being of employees, and sheds light on the wider consequences of such practices in the current job market. In this article, we will explore the motivations behind fire and rehire, the reactions from stakeholders, and the possible long-term effects of the practice on both the company and its workforce. Our goal is to provide an in-depth analysis of the issues posed by fire and reinstatement tactics and their wider societal implications.</w:t>
      </w:r>
    </w:p>
    <w:p w14:paraId="2FBD8BAC" w14:textId="1C527CD2" w:rsidR="00833758" w:rsidRPr="00542C63" w:rsidRDefault="0083375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BC558BA">
        <w:rPr>
          <w:rFonts w:ascii="Times New Roman" w:eastAsia="Times New Roman" w:hAnsi="Times New Roman" w:cs="Times New Roman"/>
          <w:color w:val="171A22"/>
          <w:sz w:val="24"/>
          <w:szCs w:val="24"/>
          <w:shd w:val="clear" w:color="auto" w:fill="FFFFFF"/>
          <w:lang w:bidi="te-IN"/>
        </w:rPr>
        <w:t xml:space="preserve">In today's ever-changing job market, changes to contract terms can have big legal implications for employers and employees alike. To avoid conflicts and protect everyone's rights, it's important to understand the legal aspects of changing employment terms. In this article, we'll </w:t>
      </w:r>
      <w:r w:rsidRPr="0BC558BA">
        <w:rPr>
          <w:rFonts w:ascii="Times New Roman" w:eastAsia="Times New Roman" w:hAnsi="Times New Roman" w:cs="Times New Roman"/>
          <w:color w:val="171A22"/>
          <w:sz w:val="24"/>
          <w:szCs w:val="24"/>
          <w:shd w:val="clear" w:color="auto" w:fill="FFFFFF"/>
          <w:lang w:bidi="te-IN"/>
        </w:rPr>
        <w:lastRenderedPageBreak/>
        <w:t>look at the various legal issues that come up when it comes to changing employment terms. We'll look at what laws and precedents are in place to help protect both employers and employees' interests in this complex process.</w:t>
      </w:r>
    </w:p>
    <w:p w14:paraId="79B66ACA" w14:textId="77777777" w:rsidR="007A09B2" w:rsidRDefault="00566828">
      <w:pPr>
        <w:pStyle w:val="Heading1"/>
      </w:pPr>
      <w:bookmarkStart w:id="2" w:name="_heading=h.30j0zll" w:colFirst="0" w:colLast="0"/>
      <w:bookmarkStart w:id="3" w:name="_Toc2142747506"/>
      <w:bookmarkEnd w:id="2"/>
      <w:r>
        <w:t>Analysis</w:t>
      </w:r>
      <w:bookmarkEnd w:id="3"/>
    </w:p>
    <w:p w14:paraId="2A676534" w14:textId="77777777" w:rsidR="007A09B2" w:rsidRDefault="00566828">
      <w:pPr>
        <w:pStyle w:val="Heading2"/>
      </w:pPr>
      <w:bookmarkStart w:id="4" w:name="_heading=h.1fob9te" w:colFirst="0" w:colLast="0"/>
      <w:bookmarkStart w:id="5" w:name="_Toc1568344126"/>
      <w:bookmarkEnd w:id="4"/>
      <w:r>
        <w:t>Model (PESTLE)</w:t>
      </w:r>
      <w:bookmarkEnd w:id="5"/>
    </w:p>
    <w:p w14:paraId="7B5C75BF"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Pestle analysis is a tool or method utilised to examine the external macro-environmental aspects that can influence an organisation's business. Here's a short study of British Gas:</w:t>
      </w:r>
    </w:p>
    <w:p w14:paraId="3DEEC669" w14:textId="77777777" w:rsidR="007A09B2" w:rsidRDefault="007A09B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84E8A" w14:paraId="53C3D9B7" w14:textId="77777777">
        <w:tc>
          <w:tcPr>
            <w:tcW w:w="4680" w:type="dxa"/>
            <w:shd w:val="clear" w:color="auto" w:fill="auto"/>
            <w:tcMar>
              <w:top w:w="100" w:type="dxa"/>
              <w:left w:w="100" w:type="dxa"/>
              <w:bottom w:w="100" w:type="dxa"/>
              <w:right w:w="100" w:type="dxa"/>
            </w:tcMar>
          </w:tcPr>
          <w:p w14:paraId="66B2979F"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w:t>
            </w:r>
          </w:p>
        </w:tc>
        <w:tc>
          <w:tcPr>
            <w:tcW w:w="4680" w:type="dxa"/>
            <w:shd w:val="clear" w:color="auto" w:fill="auto"/>
            <w:tcMar>
              <w:top w:w="100" w:type="dxa"/>
              <w:left w:w="100" w:type="dxa"/>
              <w:bottom w:w="100" w:type="dxa"/>
              <w:right w:w="100" w:type="dxa"/>
            </w:tcMar>
          </w:tcPr>
          <w:p w14:paraId="588E3E19"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 guidelines and rules in the energy sector, such as environmental regulations and support, can influence British Gas's operations and market dynamics.</w:t>
            </w:r>
          </w:p>
          <w:p w14:paraId="652AC293" w14:textId="77777777"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Political strength in the UK provides a facilitative business environment for British Gas. Any political fluctuation may guide to delays and impact its investment findings.</w:t>
            </w:r>
          </w:p>
        </w:tc>
      </w:tr>
      <w:tr w:rsidR="00A84E8A" w14:paraId="61E73172" w14:textId="77777777">
        <w:tc>
          <w:tcPr>
            <w:tcW w:w="4680" w:type="dxa"/>
            <w:shd w:val="clear" w:color="auto" w:fill="auto"/>
            <w:tcMar>
              <w:top w:w="100" w:type="dxa"/>
              <w:left w:w="100" w:type="dxa"/>
              <w:bottom w:w="100" w:type="dxa"/>
              <w:right w:w="100" w:type="dxa"/>
            </w:tcMar>
          </w:tcPr>
          <w:p w14:paraId="5E906780"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Economic</w:t>
            </w:r>
          </w:p>
        </w:tc>
        <w:tc>
          <w:tcPr>
            <w:tcW w:w="4680" w:type="dxa"/>
            <w:shd w:val="clear" w:color="auto" w:fill="auto"/>
            <w:tcMar>
              <w:top w:w="100" w:type="dxa"/>
              <w:left w:w="100" w:type="dxa"/>
              <w:bottom w:w="100" w:type="dxa"/>
              <w:right w:w="100" w:type="dxa"/>
            </w:tcMar>
          </w:tcPr>
          <w:p w14:paraId="47E83753"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Economic requirements, including inflation, interest rates, and financial development, can impact energy consumption practices and consumer spending on utilities like British Gas.</w:t>
            </w:r>
          </w:p>
          <w:p w14:paraId="41A720DB" w14:textId="77777777" w:rsidR="007A09B2" w:rsidRDefault="00566828">
            <w:pPr>
              <w:spacing w:line="360" w:lineRule="auto"/>
              <w:jc w:val="both"/>
              <w:rPr>
                <w:rFonts w:ascii="Times New Roman" w:eastAsia="Times New Roman" w:hAnsi="Times New Roman" w:cs="Times New Roman"/>
                <w:sz w:val="24"/>
                <w:szCs w:val="24"/>
              </w:rPr>
            </w:pPr>
            <w:r>
              <w:rPr>
                <w:rFonts w:ascii="Times" w:eastAsia="Times" w:hAnsi="Times" w:cs="Times"/>
                <w:sz w:val="24"/>
                <w:szCs w:val="24"/>
              </w:rPr>
              <w:t>Changes in oil, gas, and electricity costs can greatly affect British Gas's profitability, as these costs can affect the price of energy production and supply.</w:t>
            </w:r>
          </w:p>
        </w:tc>
      </w:tr>
      <w:tr w:rsidR="00A84E8A" w14:paraId="7850566F" w14:textId="77777777">
        <w:tc>
          <w:tcPr>
            <w:tcW w:w="4680" w:type="dxa"/>
            <w:shd w:val="clear" w:color="auto" w:fill="auto"/>
            <w:tcMar>
              <w:top w:w="100" w:type="dxa"/>
              <w:left w:w="100" w:type="dxa"/>
              <w:bottom w:w="100" w:type="dxa"/>
              <w:right w:w="100" w:type="dxa"/>
            </w:tcMar>
          </w:tcPr>
          <w:p w14:paraId="353DCF36"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Social</w:t>
            </w:r>
          </w:p>
        </w:tc>
        <w:tc>
          <w:tcPr>
            <w:tcW w:w="4680" w:type="dxa"/>
            <w:shd w:val="clear" w:color="auto" w:fill="auto"/>
            <w:tcMar>
              <w:top w:w="100" w:type="dxa"/>
              <w:left w:w="100" w:type="dxa"/>
              <w:bottom w:w="100" w:type="dxa"/>
              <w:right w:w="100" w:type="dxa"/>
            </w:tcMar>
          </w:tcPr>
          <w:p w14:paraId="15599859"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 aspects like altering customer choices for tolerable and renewable energy sources can shape British Gas's trade strategies and product offerings (</w:t>
            </w:r>
            <w:r>
              <w:rPr>
                <w:rFonts w:ascii="Times New Roman" w:eastAsia="Times New Roman" w:hAnsi="Times New Roman" w:cs="Times New Roman"/>
                <w:color w:val="222222"/>
                <w:sz w:val="24"/>
                <w:szCs w:val="24"/>
                <w:highlight w:val="white"/>
              </w:rPr>
              <w:t>Widarni, 2020</w:t>
            </w:r>
            <w:r>
              <w:rPr>
                <w:rFonts w:ascii="Times New Roman" w:eastAsia="Times New Roman" w:hAnsi="Times New Roman" w:cs="Times New Roman"/>
                <w:color w:val="000000"/>
                <w:sz w:val="24"/>
                <w:szCs w:val="24"/>
              </w:rPr>
              <w:t>).</w:t>
            </w:r>
          </w:p>
          <w:p w14:paraId="28651F6A" w14:textId="77777777"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Transformations in demographics, such as ageing people or urbanisation movements, may affect energy consumption practices and need adjustments in British Gas's benefit offerings.</w:t>
            </w:r>
          </w:p>
        </w:tc>
      </w:tr>
      <w:tr w:rsidR="00A84E8A" w14:paraId="715A2691" w14:textId="77777777">
        <w:tc>
          <w:tcPr>
            <w:tcW w:w="4680" w:type="dxa"/>
            <w:shd w:val="clear" w:color="auto" w:fill="auto"/>
            <w:tcMar>
              <w:top w:w="100" w:type="dxa"/>
              <w:left w:w="100" w:type="dxa"/>
              <w:bottom w:w="100" w:type="dxa"/>
              <w:right w:w="100" w:type="dxa"/>
            </w:tcMar>
          </w:tcPr>
          <w:p w14:paraId="2DC74601"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Technological</w:t>
            </w:r>
          </w:p>
        </w:tc>
        <w:tc>
          <w:tcPr>
            <w:tcW w:w="4680" w:type="dxa"/>
            <w:shd w:val="clear" w:color="auto" w:fill="auto"/>
            <w:tcMar>
              <w:top w:w="100" w:type="dxa"/>
              <w:left w:w="100" w:type="dxa"/>
              <w:bottom w:w="100" w:type="dxa"/>
              <w:right w:w="100" w:type="dxa"/>
            </w:tcMar>
          </w:tcPr>
          <w:p w14:paraId="72D0AA7B"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Improvements in technology influence the energy initiative, such as smart meters, IoT devices, and renewable energy keys, which British Gas may require to adapt to or invest in.</w:t>
            </w:r>
          </w:p>
          <w:p w14:paraId="2BCEC015" w14:textId="77777777" w:rsidR="007A09B2" w:rsidRDefault="00566828">
            <w:pPr>
              <w:spacing w:line="360" w:lineRule="auto"/>
              <w:jc w:val="both"/>
              <w:rPr>
                <w:rFonts w:ascii="Times New Roman" w:eastAsia="Times New Roman" w:hAnsi="Times New Roman" w:cs="Times New Roman"/>
                <w:sz w:val="24"/>
                <w:szCs w:val="24"/>
              </w:rPr>
            </w:pPr>
            <w:r>
              <w:rPr>
                <w:rFonts w:ascii="Times" w:eastAsia="Times" w:hAnsi="Times" w:cs="Times"/>
                <w:sz w:val="24"/>
                <w:szCs w:val="24"/>
              </w:rPr>
              <w:t>Adopting digital technologies can improve consumer understanding and optimise internal procedures, improving efficiency and competitive benefit for British Gas.</w:t>
            </w:r>
          </w:p>
        </w:tc>
      </w:tr>
      <w:tr w:rsidR="00A84E8A" w14:paraId="494BC304" w14:textId="77777777">
        <w:tc>
          <w:tcPr>
            <w:tcW w:w="4680" w:type="dxa"/>
            <w:shd w:val="clear" w:color="auto" w:fill="auto"/>
            <w:tcMar>
              <w:top w:w="100" w:type="dxa"/>
              <w:left w:w="100" w:type="dxa"/>
              <w:bottom w:w="100" w:type="dxa"/>
              <w:right w:w="100" w:type="dxa"/>
            </w:tcMar>
          </w:tcPr>
          <w:p w14:paraId="06D9B8F3"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Legal</w:t>
            </w:r>
          </w:p>
        </w:tc>
        <w:tc>
          <w:tcPr>
            <w:tcW w:w="4680" w:type="dxa"/>
            <w:shd w:val="clear" w:color="auto" w:fill="auto"/>
            <w:tcMar>
              <w:top w:w="100" w:type="dxa"/>
              <w:left w:w="100" w:type="dxa"/>
              <w:bottom w:w="100" w:type="dxa"/>
              <w:right w:w="100" w:type="dxa"/>
            </w:tcMar>
          </w:tcPr>
          <w:p w14:paraId="50848A2C"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 factors contain different restrictions, contracts, and submission conditions that British Gas must stick to, including safety measures and environmental laws.</w:t>
            </w:r>
          </w:p>
          <w:p w14:paraId="5B8E4AF3" w14:textId="77777777"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Work regulations and laws may impact how British Gas operates its workforce, including labour agreements, working hours, and worker ownership.</w:t>
            </w:r>
          </w:p>
        </w:tc>
      </w:tr>
      <w:tr w:rsidR="00A84E8A" w14:paraId="39D54141" w14:textId="77777777">
        <w:tc>
          <w:tcPr>
            <w:tcW w:w="4680" w:type="dxa"/>
            <w:shd w:val="clear" w:color="auto" w:fill="auto"/>
            <w:tcMar>
              <w:top w:w="100" w:type="dxa"/>
              <w:left w:w="100" w:type="dxa"/>
              <w:bottom w:w="100" w:type="dxa"/>
              <w:right w:w="100" w:type="dxa"/>
            </w:tcMar>
          </w:tcPr>
          <w:p w14:paraId="56633A1C"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Environmental</w:t>
            </w:r>
          </w:p>
        </w:tc>
        <w:tc>
          <w:tcPr>
            <w:tcW w:w="4680" w:type="dxa"/>
            <w:shd w:val="clear" w:color="auto" w:fill="auto"/>
            <w:tcMar>
              <w:top w:w="100" w:type="dxa"/>
              <w:left w:w="100" w:type="dxa"/>
              <w:bottom w:w="100" w:type="dxa"/>
              <w:right w:w="100" w:type="dxa"/>
            </w:tcMar>
          </w:tcPr>
          <w:p w14:paraId="449851ED" w14:textId="77777777"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problems with environmental sustainability may affect the market for neat energy solutions, involving British Gas's positioning in the market (</w:t>
            </w:r>
            <w:r>
              <w:rPr>
                <w:rFonts w:ascii="Times New Roman" w:eastAsia="Times New Roman" w:hAnsi="Times New Roman" w:cs="Times New Roman"/>
                <w:color w:val="222222"/>
                <w:sz w:val="24"/>
                <w:szCs w:val="24"/>
                <w:highlight w:val="white"/>
              </w:rPr>
              <w:t>Pym, 2021</w:t>
            </w:r>
            <w:r>
              <w:rPr>
                <w:rFonts w:ascii="Times New Roman" w:eastAsia="Times New Roman" w:hAnsi="Times New Roman" w:cs="Times New Roman"/>
                <w:color w:val="000000"/>
                <w:sz w:val="24"/>
                <w:szCs w:val="24"/>
              </w:rPr>
              <w:t>).</w:t>
            </w:r>
          </w:p>
          <w:p w14:paraId="6BDE637D" w14:textId="77777777"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Providing efficient use of aids, such as water and natural gas, is very important for British Gas to minimise its environmental footprint and enhance sustainability.</w:t>
            </w:r>
          </w:p>
        </w:tc>
      </w:tr>
    </w:tbl>
    <w:p w14:paraId="3656B9AB" w14:textId="77777777" w:rsidR="007A09B2" w:rsidRDefault="007A09B2">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5AE184F2" w14:textId="77777777" w:rsidR="007A09B2" w:rsidRDefault="00566828" w:rsidP="00AD500C">
      <w:pPr>
        <w:pStyle w:val="Heading2"/>
      </w:pPr>
      <w:bookmarkStart w:id="6" w:name="_Toc207408688"/>
      <w:r>
        <w:t>Analyse "fire and rehire" tactics within the UK labour market</w:t>
      </w:r>
      <w:bookmarkEnd w:id="6"/>
    </w:p>
    <w:p w14:paraId="2DB3700C"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"Fire and rehire" tactics, also comprehended as "dismissal and re-engagement," guide to a controversial employment approach where employers remove the current arrangements of their workers and then rehire them on new phrases and situations, often with less advantageous terms than their earlier contracts (</w:t>
      </w:r>
      <w:r>
        <w:rPr>
          <w:rFonts w:ascii="Times" w:eastAsia="Times" w:hAnsi="Times" w:cs="Times"/>
          <w:color w:val="222222"/>
          <w:sz w:val="24"/>
          <w:szCs w:val="24"/>
        </w:rPr>
        <w:t>Cockbain, 2022</w:t>
      </w:r>
      <w:r>
        <w:rPr>
          <w:rFonts w:ascii="Times" w:eastAsia="Times" w:hAnsi="Times" w:cs="Times"/>
          <w:sz w:val="24"/>
          <w:szCs w:val="24"/>
        </w:rPr>
        <w:t>). This approach has garnered significant awareness and objection within the UK labour market, as it can guide problems related to job safety, worker morale, and industrial connections. Here's a thorough study of the "fire and rehire" method within the UK labour market:</w:t>
      </w:r>
    </w:p>
    <w:p w14:paraId="6ABB6FC9"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1. Background and Prevalence:</w:t>
      </w:r>
    </w:p>
    <w:p w14:paraId="65F674D2"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"Fire and rehire" tactics have been used by employers in diverse industries, including retail, hospitality, transport, and manufacturing. The method achieved importance during the COVID-19 pandemic as some companies aimed to cut prices and adjust to altering financial conditions. It has been extremely aggressive when used to decrease employee salaries, advantages, or working hours.</w:t>
      </w:r>
    </w:p>
    <w:p w14:paraId="0A69E4BC"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2. Impact on Job Security:</w:t>
      </w:r>
    </w:p>
    <w:p w14:paraId="42932C6C"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Using "fire and rehire" tactics can create job insecurity among workers (</w:t>
      </w:r>
      <w:r>
        <w:rPr>
          <w:rFonts w:ascii="Times" w:eastAsia="Times" w:hAnsi="Times" w:cs="Times"/>
          <w:color w:val="222222"/>
          <w:sz w:val="24"/>
          <w:szCs w:val="24"/>
        </w:rPr>
        <w:t>Shackleton, 2022</w:t>
      </w:r>
      <w:r>
        <w:rPr>
          <w:rFonts w:ascii="Times" w:eastAsia="Times" w:hAnsi="Times" w:cs="Times"/>
          <w:sz w:val="24"/>
          <w:szCs w:val="24"/>
        </w:rPr>
        <w:t>). Understanding that their arrangements can be removed and replaced with small advantageous terms at any time can guide stress and anxiety among employees, affecting their entire well-being and productivity.</w:t>
      </w:r>
    </w:p>
    <w:p w14:paraId="60249BD6"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3. Employee Morale and Engagement:</w:t>
      </w:r>
    </w:p>
    <w:p w14:paraId="0CA2D277"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"Fire and rehire" methods can have a damaging impact on worker morale and concentration. When workers feel undervalued or unfairly treated, their inspiration and dedication to their work may decrease. This, in turn, can lead to decreased productivity and harm the organisation's overall implementation.</w:t>
      </w:r>
    </w:p>
    <w:p w14:paraId="0A7F637F"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4. Industrial Relations and Trust:</w:t>
      </w:r>
    </w:p>
    <w:p w14:paraId="24AAD695"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Such tactics can corrupt trust between employers and workers, directing to strained industrial connections. Workers may feel betrayed by the organisation and its administration, guiding research in communication and collaboration (</w:t>
      </w:r>
      <w:r>
        <w:rPr>
          <w:rFonts w:ascii="Times" w:eastAsia="Times" w:hAnsi="Times" w:cs="Times"/>
          <w:color w:val="222222"/>
          <w:sz w:val="24"/>
          <w:szCs w:val="24"/>
        </w:rPr>
        <w:t xml:space="preserve">Dagilyte </w:t>
      </w:r>
      <w:r>
        <w:rPr>
          <w:rFonts w:ascii="Times" w:eastAsia="Times" w:hAnsi="Times" w:cs="Times"/>
          <w:i/>
          <w:color w:val="222222"/>
          <w:sz w:val="24"/>
          <w:szCs w:val="24"/>
        </w:rPr>
        <w:t>et al</w:t>
      </w:r>
      <w:r>
        <w:rPr>
          <w:rFonts w:ascii="Times" w:eastAsia="Times" w:hAnsi="Times" w:cs="Times"/>
          <w:color w:val="222222"/>
          <w:sz w:val="24"/>
          <w:szCs w:val="24"/>
        </w:rPr>
        <w:t>., 2022</w:t>
      </w:r>
      <w:r>
        <w:rPr>
          <w:rFonts w:ascii="Times" w:eastAsia="Times" w:hAnsi="Times" w:cs="Times"/>
          <w:sz w:val="24"/>
          <w:szCs w:val="24"/>
        </w:rPr>
        <w:t>). This can result in improved disputes, strikes, and different industrial activities.</w:t>
      </w:r>
    </w:p>
    <w:p w14:paraId="4A281BE5"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5. Legal and Ethical Concerns:</w:t>
      </w:r>
    </w:p>
    <w:p w14:paraId="53C252C1"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While "fire and rehire" is not explicitly prohibited, it has presented moral problems. Analysts argue that it is an exploitative method that takes benefit of employees' exposure, particularly during tough financial times. The method has encountered scrutiny from business unions, labour ownership groups, and politicians.</w:t>
      </w:r>
    </w:p>
    <w:p w14:paraId="263D9F82"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6. Impact on Productivity and Quality of Work:</w:t>
      </w:r>
    </w:p>
    <w:p w14:paraId="6D4A38EC"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Executing "fire and rehire" tactics can negatively affect productivity and work grade. Workers who feel underestimated or demotivated may be less determined in their jobs, reducing overall efficiency and service grade.</w:t>
      </w:r>
    </w:p>
    <w:p w14:paraId="0EC043EA"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7. Reputation and Brand Image:</w:t>
      </w:r>
    </w:p>
    <w:p w14:paraId="04233D26"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Embracing "fire and rehire" tactics can damage an organisation's importance and brand image (</w:t>
      </w:r>
      <w:r>
        <w:rPr>
          <w:rFonts w:ascii="Times" w:eastAsia="Times" w:hAnsi="Times" w:cs="Times"/>
          <w:color w:val="222222"/>
          <w:sz w:val="24"/>
          <w:szCs w:val="24"/>
        </w:rPr>
        <w:t>Dobbins, 2022</w:t>
      </w:r>
      <w:r>
        <w:rPr>
          <w:rFonts w:ascii="Times" w:eastAsia="Times" w:hAnsi="Times" w:cs="Times"/>
          <w:sz w:val="24"/>
          <w:szCs w:val="24"/>
        </w:rPr>
        <w:t>). General backlash and adverse media coverage can hurt customer perception of the organisation, potentially reducing consumer loyalty and deals.</w:t>
      </w:r>
    </w:p>
    <w:p w14:paraId="7DDB2F78"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8. Alternatives and Mitigation:</w:t>
      </w:r>
    </w:p>
    <w:p w14:paraId="0D402404"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Employers encountering financial challenges may consider alternative cost-cutting efforts, such as quick layoffs, decreased operating hours, or voluntary salary deductions. Transparent contact and consultation with workers can also assist in locating mutually satisfactory resolutions.</w:t>
      </w:r>
    </w:p>
    <w:p w14:paraId="3E0D1B63" w14:textId="77777777"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9. Legislative and Regulatory Response:</w:t>
      </w:r>
    </w:p>
    <w:p w14:paraId="6F846219" w14:textId="77777777"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Due to the controversy encompassing "fire and rehire" tactics, there have existed calls for legislative activity to specify or ban the procedure. Some politicians and labour liberties supporters have submitted legal reforms to deliver greater security for employees encountering such tactics.</w:t>
      </w:r>
    </w:p>
    <w:p w14:paraId="0C4624A7" w14:textId="77777777" w:rsidR="007A09B2" w:rsidRDefault="00566828" w:rsidP="00AD500C">
      <w:pPr>
        <w:pStyle w:val="Heading2"/>
      </w:pPr>
      <w:bookmarkStart w:id="7" w:name="_Toc2105356886"/>
      <w:r>
        <w:t>Evaluate the approach taken by different organisations</w:t>
      </w:r>
      <w:bookmarkEnd w:id="7"/>
    </w:p>
    <w:p w14:paraId="7F9F8381"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The direction taken by additional organisations concerns their procedures, approaches, and methods to comprehend how effectively they reach their objectives and respond to internal and external issues. Here, we'll examine the evaluation methodology and key elements to evaluate when considering association procedures.</w:t>
      </w:r>
    </w:p>
    <w:p w14:paraId="37ACAB2C"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 Mission and Vision:</w:t>
      </w:r>
    </w:p>
    <w:p w14:paraId="47493C5F"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Organisations' goals and vision ideas explain their intention and future aspirations (Yadav </w:t>
      </w:r>
      <w:r>
        <w:rPr>
          <w:rFonts w:ascii="Times" w:eastAsia="Times" w:hAnsi="Times" w:cs="Times"/>
          <w:i/>
          <w:color w:val="222222"/>
          <w:sz w:val="24"/>
          <w:szCs w:val="24"/>
        </w:rPr>
        <w:t>et al</w:t>
      </w:r>
      <w:r>
        <w:rPr>
          <w:rFonts w:ascii="Times" w:eastAsia="Times" w:hAnsi="Times" w:cs="Times"/>
          <w:color w:val="222222"/>
          <w:sz w:val="24"/>
          <w:szCs w:val="24"/>
        </w:rPr>
        <w:t>., 2020). Considering the alignment between their method and this information helps decide if they are operating towards their planned goals.</w:t>
      </w:r>
    </w:p>
    <w:p w14:paraId="1607A8EF"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2. Strategic Planning:</w:t>
      </w:r>
    </w:p>
    <w:p w14:paraId="0F489EEB" w14:textId="7E7F64BC" w:rsidR="00C77918"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Evaluating the strategic planning method concerns institutions setting objectives, allocating resources, and developing action plans. A well-defined and complete strategic plan demonstrates a considerate method to reaching success.</w:t>
      </w:r>
    </w:p>
    <w:p w14:paraId="7E9C0789"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3. Leadership and Culture:</w:t>
      </w:r>
    </w:p>
    <w:p w14:paraId="3E216BE5"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The leadership style and organisational culture affect an association's method (Escrig-Olmedo </w:t>
      </w:r>
      <w:r>
        <w:rPr>
          <w:rFonts w:ascii="Times" w:eastAsia="Times" w:hAnsi="Times" w:cs="Times"/>
          <w:i/>
          <w:color w:val="222222"/>
          <w:sz w:val="24"/>
          <w:szCs w:val="24"/>
        </w:rPr>
        <w:t>et al</w:t>
      </w:r>
      <w:r>
        <w:rPr>
          <w:rFonts w:ascii="Times" w:eastAsia="Times" w:hAnsi="Times" w:cs="Times"/>
          <w:color w:val="222222"/>
          <w:sz w:val="24"/>
          <w:szCs w:val="24"/>
        </w:rPr>
        <w:t>., 2019). Directors who promote invention, teamwork, and worker empowerment promote more practical methods.</w:t>
      </w:r>
    </w:p>
    <w:p w14:paraId="275A1A58"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4. Customer Focus:</w:t>
      </w:r>
    </w:p>
    <w:p w14:paraId="47EB2C9C"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Successful associations prioritise consumer demands and satisfaction. Considering how consumer feedback is combined into decision-making procedures demonstrates the organisation's adherence to fulfilling consumer expectations.</w:t>
      </w:r>
    </w:p>
    <w:p w14:paraId="44D3DC90"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5. Employee Engagement:</w:t>
      </w:r>
    </w:p>
    <w:p w14:paraId="49AFE38C"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High grades of employee attention contribute to an adequate method. Companies that sponsor worker growth, deliver an approving work environment, and value worker input tend to gain better outcomes.</w:t>
      </w:r>
    </w:p>
    <w:p w14:paraId="7E8E3FCA"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6. Operational Efficiency:</w:t>
      </w:r>
    </w:p>
    <w:p w14:paraId="3C00C642"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Efficient operations contribute to a company’s overall strategy. Assessing strategies, expense management, and productivity levels benefits comprehending how well a company conducts its methods.</w:t>
      </w:r>
    </w:p>
    <w:p w14:paraId="53BF9324"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7. Innovation and Adaptability:</w:t>
      </w:r>
    </w:p>
    <w:p w14:paraId="53E50446"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Communities that adopt innovation and adaptability tend to succeed in dynamic circumstances (Karademir, 2020). Considering their method of analysis, growth, and response to market differences delivers an understanding of their capacity to remain competitive.</w:t>
      </w:r>
    </w:p>
    <w:p w14:paraId="127CD5FF"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8. Corporate Social Responsibility (CSR):</w:t>
      </w:r>
    </w:p>
    <w:p w14:paraId="538D4AFC"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Assessing an organisation's CSR initiatives showcases its dedication to sustainability and moral methods, reflecting a socially accountable method.</w:t>
      </w:r>
    </w:p>
    <w:p w14:paraId="3D954EC3"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9. Financial Performance:</w:t>
      </w:r>
    </w:p>
    <w:p w14:paraId="0DA46D98"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Economic metrics, such as earnings increase, earnings margins, and return on asset, demonstrate how sufficient an organisation's strategy is in developing economic success.</w:t>
      </w:r>
    </w:p>
    <w:p w14:paraId="66CAB2CD"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10. Risk Management:</w:t>
      </w:r>
    </w:p>
    <w:p w14:paraId="0B87ABD5" w14:textId="58EC3C6F" w:rsidR="00C77918"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Assessing how a company determines, sets, and mitigates threats indicates its capacity to address delays proactively.</w:t>
      </w:r>
    </w:p>
    <w:p w14:paraId="55DDD940" w14:textId="489B5E91"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11. Stakeholder Engagement:</w:t>
      </w:r>
    </w:p>
    <w:p w14:paraId="37B0302B"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Organisations that employ stakeholders, including shareholders, consumers, suppliers, and communities, can have a more inclusive and holistic strategy.</w:t>
      </w:r>
    </w:p>
    <w:p w14:paraId="27346F0E"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12. Market Position and Competitiveness:</w:t>
      </w:r>
    </w:p>
    <w:p w14:paraId="2E2A2306"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Exploring an organisation's market status, market stake, and competitive benefit emphasises the significance of its strategy in positioning itself in the enterprise.</w:t>
      </w:r>
    </w:p>
    <w:p w14:paraId="50EFAA86" w14:textId="77777777"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13. Learning and Improvement:</w:t>
      </w:r>
    </w:p>
    <w:p w14:paraId="16FE9F1C"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A learning-oriented practice highlights continued progress and transformation based on feedback and bits of knowledge.</w:t>
      </w:r>
    </w:p>
    <w:p w14:paraId="78E395A7" w14:textId="44030928"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color w:val="222222"/>
          <w:sz w:val="24"/>
          <w:szCs w:val="24"/>
        </w:rPr>
        <w:t xml:space="preserve">Recognising that each association works in a special context is necessary, and corresponding methods should believe industry-specific nuances, company size, market requirements, and overall goals. Furthermore, an adequate evaluation may apply qualitative and quantitative data, such as economic reports, consumer feedback, worker surveys, and implementation metrics. Considering the path additional </w:t>
      </w:r>
      <w:r w:rsidR="006266BB">
        <w:rPr>
          <w:rFonts w:ascii="Times" w:eastAsia="Times" w:hAnsi="Times" w:cs="Times"/>
          <w:color w:val="222222"/>
          <w:sz w:val="24"/>
          <w:szCs w:val="24"/>
        </w:rPr>
        <w:t>organizations</w:t>
      </w:r>
      <w:r>
        <w:rPr>
          <w:rFonts w:ascii="Times" w:eastAsia="Times" w:hAnsi="Times" w:cs="Times"/>
          <w:color w:val="222222"/>
          <w:sz w:val="24"/>
          <w:szCs w:val="24"/>
        </w:rPr>
        <w:t xml:space="preserve"> take concerns a complete review of their methods, culture, consumer focus, worker engagement, operational efficiency, and innovation. A well-rounded evaluation delivers a useful understanding of an </w:t>
      </w:r>
      <w:r w:rsidR="006266BB">
        <w:rPr>
          <w:rFonts w:ascii="Times" w:eastAsia="Times" w:hAnsi="Times" w:cs="Times"/>
          <w:color w:val="222222"/>
          <w:sz w:val="24"/>
          <w:szCs w:val="24"/>
        </w:rPr>
        <w:t>organizations’</w:t>
      </w:r>
      <w:r>
        <w:rPr>
          <w:rFonts w:ascii="Times" w:eastAsia="Times" w:hAnsi="Times" w:cs="Times"/>
          <w:color w:val="222222"/>
          <w:sz w:val="24"/>
          <w:szCs w:val="24"/>
        </w:rPr>
        <w:t xml:space="preserve"> significance, positioning, and possibility for sustainable success.</w:t>
      </w:r>
    </w:p>
    <w:p w14:paraId="5D2B6DD8" w14:textId="77777777" w:rsidR="007A09B2" w:rsidRDefault="00566828">
      <w:pPr>
        <w:pStyle w:val="Heading2"/>
      </w:pPr>
      <w:bookmarkStart w:id="8" w:name="_heading=h.3znysh7" w:colFirst="0" w:colLast="0"/>
      <w:bookmarkStart w:id="9" w:name="_Toc1050268110"/>
      <w:bookmarkEnd w:id="8"/>
      <w:r>
        <w:t>Harvard HRM Model</w:t>
      </w:r>
      <w:bookmarkEnd w:id="9"/>
    </w:p>
    <w:p w14:paraId="6271F8C7" w14:textId="142A33DA"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The Harvard Model is a human resource management approach that highlights aligning HR procedures with a company's overall method. Using this model to comprehend British Gas would apply to study how the </w:t>
      </w:r>
      <w:r w:rsidR="00DF2126">
        <w:rPr>
          <w:rFonts w:ascii="Times New Roman" w:eastAsia="Times New Roman" w:hAnsi="Times New Roman" w:cs="Times New Roman"/>
          <w:color w:val="222222"/>
          <w:sz w:val="24"/>
          <w:szCs w:val="24"/>
          <w:highlight w:val="white"/>
        </w:rPr>
        <w:t>organization’s</w:t>
      </w:r>
      <w:r>
        <w:rPr>
          <w:rFonts w:ascii="Times New Roman" w:eastAsia="Times New Roman" w:hAnsi="Times New Roman" w:cs="Times New Roman"/>
          <w:color w:val="222222"/>
          <w:sz w:val="24"/>
          <w:szCs w:val="24"/>
          <w:highlight w:val="white"/>
        </w:rPr>
        <w:t xml:space="preserve"> HR approaches and procedures align with its business goals. </w:t>
      </w:r>
      <w:r>
        <w:rPr>
          <w:rFonts w:ascii="Times New Roman" w:eastAsia="Times New Roman" w:hAnsi="Times New Roman" w:cs="Times New Roman"/>
          <w:color w:val="222222"/>
          <w:sz w:val="24"/>
          <w:szCs w:val="24"/>
        </w:rPr>
        <w:t xml:space="preserve">In the case of British Gas, the model would evaluate how the </w:t>
      </w:r>
      <w:r w:rsidR="00DF2126">
        <w:rPr>
          <w:rFonts w:ascii="Times New Roman" w:eastAsia="Times New Roman" w:hAnsi="Times New Roman" w:cs="Times New Roman"/>
          <w:color w:val="222222"/>
          <w:sz w:val="24"/>
          <w:szCs w:val="24"/>
        </w:rPr>
        <w:t>organizations’</w:t>
      </w:r>
      <w:r>
        <w:rPr>
          <w:rFonts w:ascii="Times New Roman" w:eastAsia="Times New Roman" w:hAnsi="Times New Roman" w:cs="Times New Roman"/>
          <w:color w:val="222222"/>
          <w:sz w:val="24"/>
          <w:szCs w:val="24"/>
        </w:rPr>
        <w:t xml:space="preserve"> HR method sustains its mission and concept (</w:t>
      </w:r>
      <w:r>
        <w:rPr>
          <w:rFonts w:ascii="Times New Roman" w:eastAsia="Times New Roman" w:hAnsi="Times New Roman" w:cs="Times New Roman"/>
          <w:color w:val="000000"/>
          <w:sz w:val="24"/>
          <w:szCs w:val="24"/>
        </w:rPr>
        <w:t xml:space="preserve">Eleni. </w:t>
      </w:r>
      <w:r w:rsidR="008E11EC">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azaraki, 2021</w:t>
      </w:r>
      <w:r>
        <w:rPr>
          <w:rFonts w:ascii="Times New Roman" w:eastAsia="Times New Roman" w:hAnsi="Times New Roman" w:cs="Times New Roman"/>
          <w:color w:val="222222"/>
          <w:sz w:val="24"/>
          <w:szCs w:val="24"/>
        </w:rPr>
        <w:t>). This could include considering factors like employee recruitment, training, implementation management, and rewards strategies to ensure they align with the organisation's long-term plans.</w:t>
      </w:r>
    </w:p>
    <w:p w14:paraId="6BCCE98D" w14:textId="7EFEA704" w:rsidR="007A09B2" w:rsidRPr="00CE6E67" w:rsidRDefault="007A09B2" w:rsidP="00CE6E67">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317C41B2" w14:textId="77777777" w:rsidR="007A09B2" w:rsidRDefault="00566828">
      <w:pPr>
        <w:pBdr>
          <w:top w:val="nil"/>
          <w:left w:val="nil"/>
          <w:bottom w:val="nil"/>
          <w:right w:val="nil"/>
          <w:between w:val="nil"/>
        </w:pBdr>
        <w:shd w:val="clear" w:color="auto" w:fill="FFFFFF"/>
        <w:spacing w:line="360" w:lineRule="auto"/>
        <w:jc w:val="both"/>
        <w:rPr>
          <w:rFonts w:ascii="Times" w:eastAsia="Times" w:hAnsi="Times" w:cs="Times"/>
          <w:color w:val="222222"/>
          <w:sz w:val="24"/>
          <w:szCs w:val="24"/>
          <w:highlight w:val="white"/>
        </w:rPr>
      </w:pPr>
      <w:r>
        <w:rPr>
          <w:rFonts w:ascii="Times New Roman" w:eastAsia="Times New Roman" w:hAnsi="Times New Roman" w:cs="Times New Roman"/>
          <w:color w:val="222222"/>
          <w:sz w:val="24"/>
          <w:szCs w:val="24"/>
        </w:rPr>
        <w:t xml:space="preserve">For example, British Gas may highlight recruiting and keeping skilled engineers and mechanics to preserve a competitive benefit in the energy services market. The HR method may also teach employees to adjust to new technologies and consumer service strategies to meet altering customer needs. Also, the Harvard Model would examine how British Gas promotes a positive work atmosphere and encourages employee engagement. It may study communication channels, possibilities for employee involvement, and award programs to ensure employees are inspired and dedicated to the organisation's success. </w:t>
      </w:r>
      <w:r>
        <w:rPr>
          <w:rFonts w:ascii="Times" w:eastAsia="Times" w:hAnsi="Times" w:cs="Times"/>
          <w:color w:val="222222"/>
          <w:sz w:val="24"/>
          <w:szCs w:val="24"/>
          <w:highlight w:val="white"/>
        </w:rPr>
        <w:t>In the Harvard HRM model, long-term consequences direct the effects and consequences of human resource management techniques on the association over a comprehensive period. This concerns considering how HR strategies, procedures, and techniques contribute to the accomplishment of the association's long-term goals, mission, and concept. Approving long-term effects include improved employee engagement, enhanced corporate performance, improved productivity, and a better sustainable competitive benefit. On the other hand, opposing long-term outcomes may occur from inadequate HR practices, high turnover, reduced morale, and possible damage to the organisation's importance and general success in the long run.</w:t>
      </w:r>
    </w:p>
    <w:p w14:paraId="17F8092B" w14:textId="77777777" w:rsidR="007A09B2" w:rsidRDefault="00566828">
      <w:pPr>
        <w:pBdr>
          <w:top w:val="nil"/>
          <w:left w:val="nil"/>
          <w:bottom w:val="nil"/>
          <w:right w:val="nil"/>
          <w:between w:val="nil"/>
        </w:pBdr>
        <w:shd w:val="clear" w:color="auto" w:fill="FFFFFF"/>
        <w:spacing w:line="360" w:lineRule="auto"/>
        <w:jc w:val="both"/>
        <w:rPr>
          <w:rFonts w:ascii="Times" w:eastAsia="Times" w:hAnsi="Times" w:cs="Times"/>
          <w:color w:val="222222"/>
          <w:sz w:val="24"/>
          <w:szCs w:val="24"/>
          <w:highlight w:val="white"/>
        </w:rPr>
      </w:pPr>
      <w:r>
        <w:rPr>
          <w:rFonts w:ascii="Times" w:eastAsia="Times" w:hAnsi="Times" w:cs="Times"/>
          <w:color w:val="222222"/>
          <w:sz w:val="24"/>
          <w:szCs w:val="24"/>
          <w:highlight w:val="white"/>
        </w:rPr>
        <w:t>The hrm outcomes signify these things:</w:t>
      </w:r>
    </w:p>
    <w:p w14:paraId="0B334EB2"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1. Commitment:</w:t>
      </w:r>
      <w:r>
        <w:rPr>
          <w:rFonts w:ascii="Times" w:eastAsia="Times" w:hAnsi="Times" w:cs="Times"/>
          <w:color w:val="222222"/>
          <w:sz w:val="24"/>
          <w:szCs w:val="24"/>
        </w:rPr>
        <w:t xml:space="preserve"> By involving workers in decision-making procedures and promoting a culture of inclusivity and open communication, British Gas can improve worker dedication and commitment.</w:t>
      </w:r>
    </w:p>
    <w:p w14:paraId="3294CBFE" w14:textId="76E8D12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2. Competence: </w:t>
      </w:r>
      <w:r w:rsidR="00476EA0">
        <w:rPr>
          <w:rFonts w:ascii="Times" w:eastAsia="Times" w:hAnsi="Times" w:cs="Times"/>
          <w:color w:val="222222"/>
          <w:sz w:val="24"/>
          <w:szCs w:val="24"/>
        </w:rPr>
        <w:t>Emphasizing</w:t>
      </w:r>
      <w:r>
        <w:rPr>
          <w:rFonts w:ascii="Times" w:eastAsia="Times" w:hAnsi="Times" w:cs="Times"/>
          <w:color w:val="222222"/>
          <w:sz w:val="24"/>
          <w:szCs w:val="24"/>
        </w:rPr>
        <w:t xml:space="preserve"> skill growth, training, and career improvement possibilities can lead to a better qualified and qualified workforce, which completely affects the </w:t>
      </w:r>
      <w:r w:rsidR="00476EA0">
        <w:rPr>
          <w:rFonts w:ascii="Times" w:eastAsia="Times" w:hAnsi="Times" w:cs="Times"/>
          <w:color w:val="222222"/>
          <w:sz w:val="24"/>
          <w:szCs w:val="24"/>
        </w:rPr>
        <w:t>organization’s</w:t>
      </w:r>
      <w:r>
        <w:rPr>
          <w:rFonts w:ascii="Times" w:eastAsia="Times" w:hAnsi="Times" w:cs="Times"/>
          <w:color w:val="222222"/>
          <w:sz w:val="24"/>
          <w:szCs w:val="24"/>
        </w:rPr>
        <w:t xml:space="preserve"> performance.</w:t>
      </w:r>
    </w:p>
    <w:p w14:paraId="495C3BE0"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3. Congruence: </w:t>
      </w:r>
      <w:r>
        <w:rPr>
          <w:rFonts w:ascii="Times" w:eastAsia="Times" w:hAnsi="Times" w:cs="Times"/>
          <w:color w:val="222222"/>
          <w:sz w:val="24"/>
          <w:szCs w:val="24"/>
        </w:rPr>
        <w:t>The Harvard Model encourages consistency and alignment between HR policies, strategies, and administrative goals. Ensuring HR procedures align with British Gas' strategic approach can improve overall significance.</w:t>
      </w:r>
    </w:p>
    <w:p w14:paraId="6FBE8AE0" w14:textId="77777777"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4. Cost-effectiveness: </w:t>
      </w:r>
      <w:r>
        <w:rPr>
          <w:rFonts w:ascii="Times" w:eastAsia="Times" w:hAnsi="Times" w:cs="Times"/>
          <w:color w:val="222222"/>
          <w:sz w:val="24"/>
          <w:szCs w:val="24"/>
        </w:rPr>
        <w:t>Using HR methods that optimise aid allocation, such as sufficient talent control and retention methods, British Gas can decrease turnover expenses and enhance cost-effectiveness.</w:t>
      </w:r>
    </w:p>
    <w:p w14:paraId="761666A5" w14:textId="77777777" w:rsidR="007A09B2" w:rsidRDefault="00566828">
      <w:pPr>
        <w:shd w:val="clear" w:color="auto" w:fill="FFFFFF"/>
        <w:spacing w:line="360" w:lineRule="auto"/>
        <w:jc w:val="both"/>
        <w:rPr>
          <w:rFonts w:ascii="Times" w:eastAsia="Times" w:hAnsi="Times" w:cs="Times"/>
          <w:color w:val="222222"/>
          <w:sz w:val="24"/>
          <w:szCs w:val="24"/>
          <w:highlight w:val="white"/>
        </w:rPr>
      </w:pPr>
      <w:r>
        <w:rPr>
          <w:rFonts w:ascii="Times" w:eastAsia="Times" w:hAnsi="Times" w:cs="Times"/>
          <w:b/>
          <w:color w:val="222222"/>
          <w:sz w:val="24"/>
          <w:szCs w:val="24"/>
        </w:rPr>
        <w:t>5. Collaboration:</w:t>
      </w:r>
      <w:r>
        <w:rPr>
          <w:rFonts w:ascii="Times" w:eastAsia="Times" w:hAnsi="Times" w:cs="Times"/>
          <w:color w:val="222222"/>
          <w:sz w:val="24"/>
          <w:szCs w:val="24"/>
        </w:rPr>
        <w:t xml:space="preserve"> Fostering teamwork and collaboration among workers can encourage a cooperative work environment, guiding to increased productivity and invention.</w:t>
      </w:r>
    </w:p>
    <w:p w14:paraId="3A38BEE9" w14:textId="77777777" w:rsidR="007A09B2" w:rsidRDefault="00566828" w:rsidP="006962FD">
      <w:pPr>
        <w:pStyle w:val="Heading2"/>
      </w:pPr>
      <w:bookmarkStart w:id="10" w:name="_heading=h.2et92p0" w:colFirst="0" w:colLast="0"/>
      <w:bookmarkStart w:id="11" w:name="_Toc1582768932"/>
      <w:bookmarkEnd w:id="10"/>
      <w:r>
        <w:t>Legal implications of changing contractual employment terms</w:t>
      </w:r>
      <w:bookmarkEnd w:id="11"/>
    </w:p>
    <w:p w14:paraId="756F2132"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0B1642">
        <w:rPr>
          <w:rFonts w:ascii="Times New Roman" w:eastAsia="Times New Roman" w:hAnsi="Times New Roman" w:cs="Times New Roman"/>
          <w:bCs/>
          <w:iCs/>
          <w:sz w:val="24"/>
          <w:szCs w:val="24"/>
        </w:rPr>
        <w:t>"fire and rehire"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procedure would have been illustrated by involving British Gas boiler engineers, raising good-sized confinement and ethical concerns, particularly associated with unfair dismissal and changes to legitimate employment terms. The implications of the analytical movements can have extensive consequences for employers and workers, demanding proper consideration of labour legal procedures and regulations (</w:t>
      </w:r>
      <w:r>
        <w:rPr>
          <w:rFonts w:ascii="Times New Roman" w:eastAsia="Times New Roman" w:hAnsi="Times New Roman" w:cs="Times New Roman"/>
          <w:color w:val="222222"/>
          <w:sz w:val="24"/>
          <w:szCs w:val="24"/>
          <w:highlight w:val="white"/>
        </w:rPr>
        <w:t xml:space="preserve">Chapman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w:t>
      </w:r>
    </w:p>
    <w:p w14:paraId="312A5F8E" w14:textId="77777777" w:rsidR="007A09B2" w:rsidRDefault="00566828">
      <w:pPr>
        <w:numPr>
          <w:ilvl w:val="0"/>
          <w:numId w:val="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Unfair Dismissal</w:t>
      </w:r>
    </w:p>
    <w:p w14:paraId="7EA9F6A6"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Unfair dismissal is a prominent issue in </w:t>
      </w:r>
      <w:r w:rsidRPr="000B1642">
        <w:rPr>
          <w:rFonts w:ascii="Times New Roman" w:eastAsia="Times New Roman" w:hAnsi="Times New Roman" w:cs="Times New Roman"/>
          <w:bCs/>
          <w:iCs/>
          <w:sz w:val="24"/>
          <w:szCs w:val="24"/>
        </w:rPr>
        <w:t>"fire and rehire" instances</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Employees have the proper protection against unfair dismissal, which can be represented that they can be disregarded for legitimate and proper reasons (</w:t>
      </w:r>
      <w:r>
        <w:rPr>
          <w:rFonts w:ascii="Times New Roman" w:eastAsia="Times New Roman" w:hAnsi="Times New Roman" w:cs="Times New Roman"/>
          <w:color w:val="222222"/>
          <w:sz w:val="24"/>
          <w:szCs w:val="24"/>
          <w:highlight w:val="white"/>
        </w:rPr>
        <w:t xml:space="preserve">Iweka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By leveraging the analytical engagement of many jurisdictions, employers might have been estimated to demonstrate that they might have a remarkable preference for dismissal, such as misconduct, lack of capability, redundancy, and standard reason. </w:t>
      </w:r>
    </w:p>
    <w:p w14:paraId="7701DB7E" w14:textId="77777777" w:rsidR="007A09B2" w:rsidRDefault="00566828">
      <w:pPr>
        <w:numPr>
          <w:ilvl w:val="0"/>
          <w:numId w:val="1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Changes to Legitimate Terms</w:t>
      </w:r>
    </w:p>
    <w:p w14:paraId="3292967B"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determined that an employer desires to exchange contractual terms, significantly the comprehensive procedure that should be inadequate engagement to employees that they need to observe proper methods and has been enhanced to desiring for the understanding of the employees involved. The consequence estimation of individuals assessing modifications can have emerged superior engagement may include a breach of contract and may desire to result in legal claims (</w:t>
      </w:r>
      <w:r>
        <w:rPr>
          <w:rFonts w:ascii="Times New Roman" w:eastAsia="Times New Roman" w:hAnsi="Times New Roman" w:cs="Times New Roman"/>
          <w:color w:val="222222"/>
          <w:sz w:val="24"/>
          <w:szCs w:val="24"/>
          <w:highlight w:val="white"/>
        </w:rPr>
        <w:t xml:space="preserve">Waller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 analytical engagement of employees might have the accurate observation to pursue legal recourse for their concerns.</w:t>
      </w:r>
    </w:p>
    <w:p w14:paraId="21734AAC" w14:textId="77777777" w:rsidR="007A09B2" w:rsidRDefault="00566828">
      <w:pPr>
        <w:numPr>
          <w:ilvl w:val="0"/>
          <w:numId w:val="1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Collective Consultation</w:t>
      </w:r>
    </w:p>
    <w:p w14:paraId="6735F787"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comprehensive illustration of the business changes influences a team of employees; administrators may be obligated to consult collectively. This involves informing and consulting with employee representatives and trade alliances about the proposed changes (</w:t>
      </w:r>
      <w:r>
        <w:rPr>
          <w:rFonts w:ascii="Times New Roman" w:eastAsia="Times New Roman" w:hAnsi="Times New Roman" w:cs="Times New Roman"/>
          <w:color w:val="222222"/>
          <w:sz w:val="24"/>
          <w:szCs w:val="24"/>
          <w:highlight w:val="white"/>
        </w:rPr>
        <w:t xml:space="preserve">Farrukh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This can be determined by failing to engage with these requirements can affect the dismissals and modifications to legitimate representations as unfair and unlawful.</w:t>
      </w:r>
    </w:p>
    <w:p w14:paraId="03C871CF" w14:textId="77777777" w:rsidR="008C698C" w:rsidRDefault="008C698C">
      <w:pPr>
        <w:spacing w:line="360" w:lineRule="auto"/>
        <w:jc w:val="both"/>
        <w:rPr>
          <w:rFonts w:ascii="Times New Roman" w:eastAsia="Times New Roman" w:hAnsi="Times New Roman" w:cs="Times New Roman"/>
          <w:sz w:val="24"/>
          <w:szCs w:val="24"/>
        </w:rPr>
      </w:pPr>
    </w:p>
    <w:p w14:paraId="37F2E8DE" w14:textId="77777777" w:rsidR="008C698C" w:rsidRDefault="008C698C">
      <w:pPr>
        <w:spacing w:line="360" w:lineRule="auto"/>
        <w:jc w:val="both"/>
        <w:rPr>
          <w:rFonts w:ascii="Times New Roman" w:eastAsia="Times New Roman" w:hAnsi="Times New Roman" w:cs="Times New Roman"/>
          <w:sz w:val="24"/>
          <w:szCs w:val="24"/>
        </w:rPr>
      </w:pPr>
    </w:p>
    <w:p w14:paraId="348995E7" w14:textId="77777777" w:rsidR="007A09B2" w:rsidRDefault="00566828">
      <w:pPr>
        <w:numPr>
          <w:ilvl w:val="0"/>
          <w:numId w:val="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Constructive Dismissal</w:t>
      </w:r>
    </w:p>
    <w:p w14:paraId="5B769D4B"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procedure of </w:t>
      </w:r>
      <w:r w:rsidRPr="000B1642">
        <w:rPr>
          <w:rFonts w:ascii="Times New Roman" w:eastAsia="Times New Roman" w:hAnsi="Times New Roman" w:cs="Times New Roman"/>
          <w:bCs/>
          <w:iCs/>
          <w:sz w:val="24"/>
          <w:szCs w:val="24"/>
        </w:rPr>
        <w:t xml:space="preserve">"fire and rehire" </w:t>
      </w:r>
      <w:r>
        <w:rPr>
          <w:rFonts w:ascii="Times New Roman" w:eastAsia="Times New Roman" w:hAnsi="Times New Roman" w:cs="Times New Roman"/>
          <w:sz w:val="24"/>
          <w:szCs w:val="24"/>
        </w:rPr>
        <w:t>can encourage to engage in positive dismissal. Constructive dismissal occurs an employee relinquishes due to a necessary violation of assurance by the comprehensive way of the employer (</w:t>
      </w:r>
      <w:r>
        <w:rPr>
          <w:rFonts w:ascii="Times New Roman" w:eastAsia="Times New Roman" w:hAnsi="Times New Roman" w:cs="Times New Roman"/>
          <w:color w:val="222222"/>
          <w:sz w:val="24"/>
          <w:szCs w:val="24"/>
          <w:highlight w:val="white"/>
        </w:rPr>
        <w:t>Pattnaik and Jena, 2020)</w:t>
      </w:r>
      <w:r>
        <w:rPr>
          <w:rFonts w:ascii="Times New Roman" w:eastAsia="Times New Roman" w:hAnsi="Times New Roman" w:cs="Times New Roman"/>
          <w:sz w:val="24"/>
          <w:szCs w:val="24"/>
        </w:rPr>
        <w:t>. It can also be recognised that employees can demonstrate that the assessed modifications had been significant and destructive. They may transmit constructive dismissal to relinquish due to the unacceptable working conditions.</w:t>
      </w:r>
    </w:p>
    <w:p w14:paraId="3037AB23" w14:textId="77777777" w:rsidR="007A09B2" w:rsidRDefault="00566828">
      <w:pPr>
        <w:numPr>
          <w:ilvl w:val="0"/>
          <w:numId w:val="1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 Compliance and Treatments</w:t>
      </w:r>
    </w:p>
    <w:p w14:paraId="5384F93E"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comprehensive engagement of employees' trust might have needed to be more adequately estimated to changes in their legitimate terms may also desire illegal procedures. This perception can involve offering preferences to appropriate labour authorities and employment commitment. The analytical appearance of the treatment for unfair dismissal may organise reestablishment and balance depending on the precise circumstances of the approaches (</w:t>
      </w:r>
      <w:r>
        <w:rPr>
          <w:rFonts w:ascii="Times New Roman" w:eastAsia="Times New Roman" w:hAnsi="Times New Roman" w:cs="Times New Roman"/>
          <w:color w:val="222222"/>
          <w:sz w:val="24"/>
          <w:szCs w:val="24"/>
          <w:highlight w:val="white"/>
        </w:rPr>
        <w:t>Hosseini and Sabokro, 2022)</w:t>
      </w:r>
      <w:r>
        <w:rPr>
          <w:rFonts w:ascii="Times New Roman" w:eastAsia="Times New Roman" w:hAnsi="Times New Roman" w:cs="Times New Roman"/>
          <w:sz w:val="24"/>
          <w:szCs w:val="24"/>
        </w:rPr>
        <w:t>.</w:t>
      </w:r>
    </w:p>
    <w:p w14:paraId="3372ED46"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Overall, the</w:t>
      </w:r>
      <w:r>
        <w:rPr>
          <w:rFonts w:ascii="Times New Roman" w:eastAsia="Times New Roman" w:hAnsi="Times New Roman" w:cs="Times New Roman"/>
          <w:b/>
          <w:i/>
          <w:sz w:val="24"/>
          <w:szCs w:val="24"/>
        </w:rPr>
        <w:t xml:space="preserve"> </w:t>
      </w:r>
      <w:r w:rsidRPr="000B1642">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approach would have been illustrated by the </w:t>
      </w:r>
      <w:r w:rsidRPr="000B1642">
        <w:rPr>
          <w:rFonts w:ascii="Times New Roman" w:eastAsia="Times New Roman" w:hAnsi="Times New Roman" w:cs="Times New Roman"/>
          <w:bCs/>
          <w:iCs/>
          <w:sz w:val="24"/>
          <w:szCs w:val="24"/>
        </w:rPr>
        <w:t>"British Gas boiler engineer</w:t>
      </w:r>
      <w:r>
        <w:rPr>
          <w:rFonts w:ascii="Times New Roman" w:eastAsia="Times New Roman" w:hAnsi="Times New Roman" w:cs="Times New Roman"/>
          <w:sz w:val="24"/>
          <w:szCs w:val="24"/>
        </w:rPr>
        <w:t>, " emphasising the perception between labour laws, legitimate obligations, and ethical considerations. Employers must navigate these factors to determine legal practices and preserve a better relationship. Reestablishing unfair dismissals and inappropriate changes to legitimate procedures might not have criminal implications but can influence an organisation's reputation and employee confidence.</w:t>
      </w:r>
    </w:p>
    <w:p w14:paraId="0BEE0BD9" w14:textId="77777777" w:rsidR="007A09B2" w:rsidRDefault="00566828" w:rsidP="006962FD">
      <w:pPr>
        <w:pStyle w:val="Heading2"/>
      </w:pPr>
      <w:bookmarkStart w:id="12" w:name="_Toc182706537"/>
      <w:r>
        <w:t>Evaluate the potential impact on employee engagement</w:t>
      </w:r>
      <w:bookmarkEnd w:id="12"/>
    </w:p>
    <w:p w14:paraId="4B5CDD0D"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Positive Impact</w:t>
      </w:r>
    </w:p>
    <w:p w14:paraId="2E93D83D" w14:textId="77777777" w:rsidR="008C698C"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appearance of the analytical estimation applied by British Gas involving the controversial </w:t>
      </w:r>
      <w:r w:rsidRPr="000B1642">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approach for boiler engineers has increased concerns about unfair dismissals and their effect on employee engagement. It can also be recognised by the comprehensive measurement of the desire for the positive influence of employee engagement (</w:t>
      </w:r>
      <w:r>
        <w:rPr>
          <w:rFonts w:ascii="Times New Roman" w:eastAsia="Times New Roman" w:hAnsi="Times New Roman" w:cs="Times New Roman"/>
          <w:color w:val="222222"/>
          <w:sz w:val="24"/>
          <w:szCs w:val="24"/>
        </w:rPr>
        <w:t xml:space="preserve">Usman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w:t>
      </w:r>
    </w:p>
    <w:p w14:paraId="1422C881" w14:textId="77777777" w:rsidR="008C698C" w:rsidRDefault="008C698C">
      <w:pPr>
        <w:spacing w:line="360" w:lineRule="auto"/>
        <w:jc w:val="both"/>
        <w:rPr>
          <w:rFonts w:ascii="Times New Roman" w:eastAsia="Times New Roman" w:hAnsi="Times New Roman" w:cs="Times New Roman"/>
          <w:sz w:val="24"/>
          <w:szCs w:val="24"/>
        </w:rPr>
      </w:pPr>
    </w:p>
    <w:p w14:paraId="6763DA78" w14:textId="78DB679C"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2B412A" w14:textId="77777777" w:rsidR="007A09B2" w:rsidRDefault="00566828">
      <w:pPr>
        <w:numPr>
          <w:ilvl w:val="0"/>
          <w:numId w:val="2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Efficiency and Skill Enhancement</w:t>
      </w:r>
    </w:p>
    <w:p w14:paraId="6A7046F3"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procurement by estimating changes to work arrangements and terms, </w:t>
      </w:r>
      <w:r w:rsidRPr="000B1642">
        <w:rPr>
          <w:rFonts w:ascii="Times New Roman" w:eastAsia="Times New Roman" w:hAnsi="Times New Roman" w:cs="Times New Roman"/>
          <w:bCs/>
          <w:iCs/>
          <w:sz w:val="24"/>
          <w:szCs w:val="24"/>
        </w:rPr>
        <w:t>“British Gas”</w:t>
      </w:r>
      <w:r>
        <w:rPr>
          <w:rFonts w:ascii="Times New Roman" w:eastAsia="Times New Roman" w:hAnsi="Times New Roman" w:cs="Times New Roman"/>
          <w:sz w:val="24"/>
          <w:szCs w:val="24"/>
        </w:rPr>
        <w:t xml:space="preserve"> might have been enhanced to desire operational effectiveness and increase the procedure of their workforce. It can also be determined with a more streamlined employment structure,</w:t>
      </w:r>
      <w:r w:rsidR="008E11EC">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engineers might discover their working environment in a more specialised and targeted capacity. This procedure might have been demonstrated to conduct a higher experience of job satisfaction that employees would have the possibility to depend on preferences leading to accelerated engagement (</w:t>
      </w:r>
      <w:r>
        <w:rPr>
          <w:rFonts w:ascii="Times New Roman" w:eastAsia="Times New Roman" w:hAnsi="Times New Roman" w:cs="Times New Roman"/>
          <w:color w:val="222222"/>
          <w:sz w:val="24"/>
          <w:szCs w:val="24"/>
        </w:rPr>
        <w:t>Shrotryia and Dhanda, 2019)</w:t>
      </w:r>
      <w:r>
        <w:rPr>
          <w:rFonts w:ascii="Times New Roman" w:eastAsia="Times New Roman" w:hAnsi="Times New Roman" w:cs="Times New Roman"/>
          <w:sz w:val="24"/>
          <w:szCs w:val="24"/>
        </w:rPr>
        <w:t>. The comprehensive engagement of engineers might encounter prominent stimulation to operate well measured as well as they desire the positive impact of their proficiency on the company's success.</w:t>
      </w:r>
    </w:p>
    <w:p w14:paraId="03FD9DF4" w14:textId="77777777" w:rsidR="007A09B2" w:rsidRDefault="00566828">
      <w:pPr>
        <w:numPr>
          <w:ilvl w:val="0"/>
          <w:numId w:val="1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Clarity and Communication</w:t>
      </w:r>
    </w:p>
    <w:p w14:paraId="37FC0AC5"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new assurances and terms would have been engaged to accelerate a clearer conversation between </w:t>
      </w:r>
      <w:r w:rsidRPr="000B1642">
        <w:rPr>
          <w:rFonts w:ascii="Times New Roman" w:eastAsia="Times New Roman" w:hAnsi="Times New Roman" w:cs="Times New Roman"/>
          <w:bCs/>
          <w:iCs/>
          <w:sz w:val="24"/>
          <w:szCs w:val="24"/>
        </w:rPr>
        <w:t>“British Gas”</w:t>
      </w:r>
      <w:r>
        <w:rPr>
          <w:rFonts w:ascii="Times New Roman" w:eastAsia="Times New Roman" w:hAnsi="Times New Roman" w:cs="Times New Roman"/>
          <w:sz w:val="24"/>
          <w:szCs w:val="24"/>
        </w:rPr>
        <w:t xml:space="preserve"> and its workforce. It can be recognised by the comprehensive way the establishment communicates, engaging the circumstances for these measurements, and providing a prominent framework for business enterprise that will affect employees, which can lead to a higher perception of the company's targets and direction (</w:t>
      </w:r>
      <w:r>
        <w:rPr>
          <w:rFonts w:ascii="Times New Roman" w:eastAsia="Times New Roman" w:hAnsi="Times New Roman" w:cs="Times New Roman"/>
          <w:color w:val="222222"/>
          <w:sz w:val="24"/>
          <w:szCs w:val="24"/>
        </w:rPr>
        <w:t xml:space="preserve">Safari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2019)</w:t>
      </w:r>
      <w:r>
        <w:rPr>
          <w:rFonts w:ascii="Times New Roman" w:eastAsia="Times New Roman" w:hAnsi="Times New Roman" w:cs="Times New Roman"/>
          <w:sz w:val="24"/>
          <w:szCs w:val="24"/>
        </w:rPr>
        <w:t>. The clarity in communication fosters trust, and personalised might have been demonstrated to conduct discover a prominent leadership style that would be greater in business enhancement to experience engagement and commitment to the company's goals.</w:t>
      </w:r>
    </w:p>
    <w:p w14:paraId="4520A14D" w14:textId="77777777" w:rsidR="007A09B2" w:rsidRDefault="00566828">
      <w:pPr>
        <w:numPr>
          <w:ilvl w:val="0"/>
          <w:numId w:val="1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 for Development</w:t>
      </w:r>
    </w:p>
    <w:p w14:paraId="337BEA33"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analytical presence of the development in rearrangement could obtain possibilities for expert growth and development. This can be demonstrated by a continued emphasis on particular ability measures; employees may have access to targeted training programs, credentials, and ability enhancement workshops. These opportunities can enhance their confidence, job satisfaction, and motivation to contribute effectively to the company's success (</w:t>
      </w:r>
      <w:r>
        <w:rPr>
          <w:rFonts w:ascii="Times New Roman" w:eastAsia="Times New Roman" w:hAnsi="Times New Roman" w:cs="Times New Roman"/>
          <w:color w:val="222222"/>
          <w:sz w:val="24"/>
          <w:szCs w:val="24"/>
        </w:rPr>
        <w:t xml:space="preserve">Massaro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The perception of a corporation invested in their enlargement can significantly influence employees' engagement presence.</w:t>
      </w:r>
    </w:p>
    <w:p w14:paraId="370A3370" w14:textId="77777777" w:rsidR="007A09B2" w:rsidRDefault="00566828">
      <w:pPr>
        <w:numPr>
          <w:ilvl w:val="0"/>
          <w:numId w:val="1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Enhanced Team Conflict</w:t>
      </w:r>
    </w:p>
    <w:p w14:paraId="1C05CCD1"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capability enhancement of the team confliction to changes in employment terms might have been demonstrated to estimate better conflict teams. This can be reliable by enhancing personalised enrollments with comparable assurances and terms. It promotes cohesion and frequent motivation among enterprise workers; this cohesion could result in stronger collaboration, knowledge-sharing, and problem-solving (</w:t>
      </w:r>
      <w:r>
        <w:rPr>
          <w:rFonts w:ascii="Times New Roman" w:eastAsia="Times New Roman" w:hAnsi="Times New Roman" w:cs="Times New Roman"/>
          <w:color w:val="222222"/>
          <w:sz w:val="24"/>
          <w:szCs w:val="24"/>
        </w:rPr>
        <w:t xml:space="preserve">Zhang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xml:space="preserve">. It can be determined that employees' experience and consistency of collaboration and relationship to the enterprise heighten, occurring in higher engagement efficiency. The analytical engagement of these potential influences demonstrates it's indispensable to recognise the procedure changes that might have been conducted.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has stimulated a proper response due to concerns about job security, fairness, and ethical considerations. Employee engagement is a multifaceted thought influenced utilising various factors and possible engagements that may not completely navigate the inadequate consequences and perceptions associated with the changes (</w:t>
      </w:r>
      <w:r>
        <w:rPr>
          <w:rFonts w:ascii="Times New Roman" w:eastAsia="Times New Roman" w:hAnsi="Times New Roman" w:cs="Times New Roman"/>
          <w:color w:val="222222"/>
          <w:sz w:val="24"/>
          <w:szCs w:val="24"/>
        </w:rPr>
        <w:t xml:space="preserve">Drosos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w:t>
      </w:r>
    </w:p>
    <w:p w14:paraId="704F6333"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Overall, the positive impact of </w:t>
      </w:r>
      <w:r w:rsidRPr="00C72009">
        <w:rPr>
          <w:rFonts w:ascii="Times New Roman" w:eastAsia="Times New Roman" w:hAnsi="Times New Roman" w:cs="Times New Roman"/>
          <w:bCs/>
          <w:iCs/>
          <w:sz w:val="24"/>
          <w:szCs w:val="24"/>
        </w:rPr>
        <w:t>“British Gas’s” "fire and rehire"</w:t>
      </w:r>
      <w:r>
        <w:rPr>
          <w:rFonts w:ascii="Times New Roman" w:eastAsia="Times New Roman" w:hAnsi="Times New Roman" w:cs="Times New Roman"/>
          <w:sz w:val="24"/>
          <w:szCs w:val="24"/>
        </w:rPr>
        <w:t xml:space="preserve"> strategy on worker engagement is a complicated difficulty with both adequate and terrible implications. The comprehensive engagement of improvements, high communication, increased opportunities, and team conflicts can effectively influence employees' engagement levels. This involvement can be reliable by enlarging measures associated with the concerns related to job security, fairness, and ethical considerations that have occurred from these changes (</w:t>
      </w:r>
      <w:r>
        <w:rPr>
          <w:rFonts w:ascii="Times New Roman" w:eastAsia="Times New Roman" w:hAnsi="Times New Roman" w:cs="Times New Roman"/>
          <w:color w:val="222222"/>
          <w:sz w:val="24"/>
          <w:szCs w:val="24"/>
        </w:rPr>
        <w:t>Salvioni and Almici, 2020)</w:t>
      </w:r>
      <w:r>
        <w:rPr>
          <w:rFonts w:ascii="Times New Roman" w:eastAsia="Times New Roman" w:hAnsi="Times New Roman" w:cs="Times New Roman"/>
          <w:sz w:val="24"/>
          <w:szCs w:val="24"/>
        </w:rPr>
        <w:t>. Enterprises must approach such decisions carefully, considering the long-term developments in their workforce's confidence, commitment, and personalised well-being.</w:t>
      </w:r>
    </w:p>
    <w:p w14:paraId="1931BDFF"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Negative Impact</w:t>
      </w:r>
    </w:p>
    <w:p w14:paraId="4628918E"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implication of the </w:t>
      </w:r>
      <w:r w:rsidRPr="00C72009">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strategy by utilising </w:t>
      </w:r>
      <w:r w:rsidRPr="00C72009">
        <w:rPr>
          <w:rFonts w:ascii="Times New Roman" w:eastAsia="Times New Roman" w:hAnsi="Times New Roman" w:cs="Times New Roman"/>
          <w:bCs/>
          <w:i/>
          <w:sz w:val="24"/>
          <w:szCs w:val="24"/>
        </w:rPr>
        <w:t>“British Gas”</w:t>
      </w:r>
      <w:r w:rsidRPr="00C72009">
        <w:rPr>
          <w:rFonts w:ascii="Times New Roman" w:eastAsia="Times New Roman" w:hAnsi="Times New Roman" w:cs="Times New Roman"/>
          <w:bCs/>
          <w:sz w:val="24"/>
          <w:szCs w:val="24"/>
        </w:rPr>
        <w:t>,</w:t>
      </w:r>
      <w:r>
        <w:rPr>
          <w:rFonts w:ascii="Times New Roman" w:eastAsia="Times New Roman" w:hAnsi="Times New Roman" w:cs="Times New Roman"/>
          <w:sz w:val="24"/>
          <w:szCs w:val="24"/>
        </w:rPr>
        <w:t xml:space="preserve"> particularly regarding boiler engineers, has determined a more comprehensive awareness due to its inadequate impact on worker engagement (</w:t>
      </w:r>
      <w:r>
        <w:rPr>
          <w:rFonts w:ascii="Times New Roman" w:eastAsia="Times New Roman" w:hAnsi="Times New Roman" w:cs="Times New Roman"/>
          <w:color w:val="222222"/>
          <w:sz w:val="24"/>
          <w:szCs w:val="24"/>
        </w:rPr>
        <w:t>Pham and Paillé, 2020)</w:t>
      </w:r>
      <w:r>
        <w:rPr>
          <w:rFonts w:ascii="Times New Roman" w:eastAsia="Times New Roman" w:hAnsi="Times New Roman" w:cs="Times New Roman"/>
          <w:sz w:val="24"/>
          <w:szCs w:val="24"/>
        </w:rPr>
        <w:t xml:space="preserve">. This approach includes removing existing employment assurances and providing new procedures with limited terms and conditions. </w:t>
      </w:r>
    </w:p>
    <w:p w14:paraId="71B7AB58" w14:textId="77777777" w:rsidR="007A09B2" w:rsidRDefault="00566828">
      <w:pPr>
        <w:numPr>
          <w:ilvl w:val="0"/>
          <w:numId w:val="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Erosion of Trust and Loyalty</w:t>
      </w:r>
    </w:p>
    <w:p w14:paraId="1122C452"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procedure of the </w:t>
      </w:r>
      <w:r w:rsidRPr="00C72009">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strategy might have been demonstrated to conduct the deterioration of belief between employees and the company. It can be a concern that personalised engagement might have recognised their company by accommodating and discarding their existing contracts without immense explanation, creating a feeling of disloyalty (</w:t>
      </w:r>
      <w:r>
        <w:rPr>
          <w:rFonts w:ascii="Times New Roman" w:eastAsia="Times New Roman" w:hAnsi="Times New Roman" w:cs="Times New Roman"/>
          <w:color w:val="222222"/>
          <w:sz w:val="24"/>
          <w:szCs w:val="24"/>
        </w:rPr>
        <w:t>Li, Rees, and Branine, 2019)</w:t>
      </w:r>
      <w:r>
        <w:rPr>
          <w:rFonts w:ascii="Times New Roman" w:eastAsia="Times New Roman" w:hAnsi="Times New Roman" w:cs="Times New Roman"/>
          <w:sz w:val="24"/>
          <w:szCs w:val="24"/>
        </w:rPr>
        <w:t>. This deterioration of belief contributes to a reduction in loyalty to the organisation's direction, which can be prevented and diminishes worker engagement. The analytical procedures of employees' feelings might have engaged in their commitment and dedication to be significantly invested in their work.</w:t>
      </w:r>
    </w:p>
    <w:p w14:paraId="2D14D3D1" w14:textId="77777777" w:rsidR="007A09B2" w:rsidRDefault="00566828">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Increased Stress and Apprehension</w:t>
      </w:r>
    </w:p>
    <w:p w14:paraId="48F63689"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uncertainty surrounding possible job loss due to </w:t>
      </w:r>
      <w:r w:rsidRPr="00C72009">
        <w:rPr>
          <w:rFonts w:ascii="Times New Roman" w:eastAsia="Times New Roman" w:hAnsi="Times New Roman" w:cs="Times New Roman"/>
          <w:bCs/>
          <w:iCs/>
          <w:sz w:val="24"/>
          <w:szCs w:val="24"/>
        </w:rPr>
        <w:t>“mass dismissals”</w:t>
      </w:r>
      <w:r>
        <w:rPr>
          <w:rFonts w:ascii="Times New Roman" w:eastAsia="Times New Roman" w:hAnsi="Times New Roman" w:cs="Times New Roman"/>
          <w:sz w:val="24"/>
          <w:szCs w:val="24"/>
        </w:rPr>
        <w:t xml:space="preserve"> creates heightened employee stress and anxiety. The concern of decreasing their well-being establishments and determining financial instability can negatively impact their intellectual well-being. The comprehensive measurement of the workers fascinated with job security concerns that would be less probable to be engaged in their work tasks. This distraction inhibits their ability to focus, innovate, and collaborate, diminishing intermediate productivity (</w:t>
      </w:r>
      <w:r>
        <w:rPr>
          <w:rFonts w:ascii="Times New Roman" w:eastAsia="Times New Roman" w:hAnsi="Times New Roman" w:cs="Times New Roman"/>
          <w:color w:val="222222"/>
          <w:sz w:val="24"/>
          <w:szCs w:val="24"/>
        </w:rPr>
        <w:t>Nantee and Sureeyatanapas, 2021)</w:t>
      </w:r>
      <w:r>
        <w:rPr>
          <w:rFonts w:ascii="Times New Roman" w:eastAsia="Times New Roman" w:hAnsi="Times New Roman" w:cs="Times New Roman"/>
          <w:sz w:val="24"/>
          <w:szCs w:val="24"/>
        </w:rPr>
        <w:t>.</w:t>
      </w:r>
    </w:p>
    <w:p w14:paraId="701D9983" w14:textId="77777777" w:rsidR="007A09B2" w:rsidRDefault="00566828">
      <w:pPr>
        <w:numPr>
          <w:ilvl w:val="0"/>
          <w:numId w:val="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Deterioration of Work-Life Balance</w:t>
      </w:r>
    </w:p>
    <w:p w14:paraId="1FA18B21"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disruption influenced by the deterioration of work-life balance would have been demonstrated by utilising the </w:t>
      </w:r>
      <w:r w:rsidRPr="009D120B">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strategy disrupts the work-life resilience of influenced employees. The analytical engagement of the establishment demanded to transform to new terms and conditions and the requirement to explore employment preference, impairing their personalised engagements (</w:t>
      </w:r>
      <w:r>
        <w:rPr>
          <w:rFonts w:ascii="Times New Roman" w:eastAsia="Times New Roman" w:hAnsi="Times New Roman" w:cs="Times New Roman"/>
          <w:color w:val="222222"/>
          <w:sz w:val="24"/>
          <w:szCs w:val="24"/>
        </w:rPr>
        <w:t xml:space="preserve">Tennison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It can also be determined that the perception of employees' confidence level can decrease, leading to reduced engagement levels. The work-life balance can demonstrate this diminishes their personalised dynamics, making it challenging to remain influenced and committed to their positions.</w:t>
      </w:r>
    </w:p>
    <w:p w14:paraId="13A512F2" w14:textId="77777777" w:rsidR="009D120B" w:rsidRDefault="009D120B">
      <w:pPr>
        <w:spacing w:line="360" w:lineRule="auto"/>
        <w:jc w:val="both"/>
        <w:rPr>
          <w:rFonts w:ascii="Times New Roman" w:eastAsia="Times New Roman" w:hAnsi="Times New Roman" w:cs="Times New Roman"/>
          <w:sz w:val="24"/>
          <w:szCs w:val="24"/>
        </w:rPr>
      </w:pPr>
    </w:p>
    <w:p w14:paraId="79B1BBF3" w14:textId="77777777" w:rsidR="007A09B2" w:rsidRDefault="00566828">
      <w:pPr>
        <w:numPr>
          <w:ilvl w:val="0"/>
          <w:numId w:val="1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Decreasing Employee Express and Autonomy</w:t>
      </w:r>
    </w:p>
    <w:p w14:paraId="6D20A5F8"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implications of the </w:t>
      </w:r>
      <w:r>
        <w:rPr>
          <w:rFonts w:ascii="Times New Roman" w:eastAsia="Times New Roman" w:hAnsi="Times New Roman" w:cs="Times New Roman"/>
          <w:b/>
          <w:i/>
          <w:sz w:val="24"/>
          <w:szCs w:val="24"/>
        </w:rPr>
        <w:t>“Mass dismissals”</w:t>
      </w:r>
      <w:r>
        <w:rPr>
          <w:rFonts w:ascii="Times New Roman" w:eastAsia="Times New Roman" w:hAnsi="Times New Roman" w:cs="Times New Roman"/>
          <w:sz w:val="24"/>
          <w:szCs w:val="24"/>
        </w:rPr>
        <w:t xml:space="preserve"> through the procedure of  </w:t>
      </w:r>
      <w:r w:rsidRPr="009D120B">
        <w:rPr>
          <w:rFonts w:ascii="Times New Roman" w:eastAsia="Times New Roman" w:hAnsi="Times New Roman" w:cs="Times New Roman"/>
          <w:bCs/>
          <w:i/>
          <w:sz w:val="24"/>
          <w:szCs w:val="24"/>
        </w:rPr>
        <w:t>"fire and rehire"</w:t>
      </w:r>
      <w:r>
        <w:rPr>
          <w:rFonts w:ascii="Times New Roman" w:eastAsia="Times New Roman" w:hAnsi="Times New Roman" w:cs="Times New Roman"/>
          <w:sz w:val="24"/>
          <w:szCs w:val="24"/>
        </w:rPr>
        <w:t xml:space="preserve"> reduce the representative and autonomy of employees. It can be recognised by the analytical engagement of the entire employment preferences that would have been assembled involving the team of workers in conversations and negotiations; it transmits a tremendous engagement that employee entry might have been disregarded. This leads to a diminished consistency of possession and preferences (</w:t>
      </w:r>
      <w:r>
        <w:rPr>
          <w:rFonts w:ascii="Times New Roman" w:eastAsia="Times New Roman" w:hAnsi="Times New Roman" w:cs="Times New Roman"/>
          <w:color w:val="222222"/>
          <w:sz w:val="24"/>
          <w:szCs w:val="24"/>
        </w:rPr>
        <w:t>Chege and Wang, 2020)</w:t>
      </w:r>
      <w:r>
        <w:rPr>
          <w:rFonts w:ascii="Times New Roman" w:eastAsia="Times New Roman" w:hAnsi="Times New Roman" w:cs="Times New Roman"/>
          <w:sz w:val="24"/>
          <w:szCs w:val="24"/>
        </w:rPr>
        <w:t>.</w:t>
      </w:r>
    </w:p>
    <w:p w14:paraId="70312D0D"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Overall, the </w:t>
      </w:r>
      <w:r w:rsidRPr="00281ACF">
        <w:rPr>
          <w:rFonts w:ascii="Times New Roman" w:eastAsia="Times New Roman" w:hAnsi="Times New Roman" w:cs="Times New Roman"/>
          <w:bCs/>
          <w:iCs/>
          <w:sz w:val="24"/>
          <w:szCs w:val="24"/>
        </w:rPr>
        <w:t>"fire and rehire"</w:t>
      </w:r>
      <w:r>
        <w:rPr>
          <w:rFonts w:ascii="Times New Roman" w:eastAsia="Times New Roman" w:hAnsi="Times New Roman" w:cs="Times New Roman"/>
          <w:sz w:val="24"/>
          <w:szCs w:val="24"/>
        </w:rPr>
        <w:t xml:space="preserve"> method would have been assumed with the resource of </w:t>
      </w:r>
      <w:r w:rsidRPr="00281ACF">
        <w:rPr>
          <w:rFonts w:ascii="Times New Roman" w:eastAsia="Times New Roman" w:hAnsi="Times New Roman" w:cs="Times New Roman"/>
          <w:bCs/>
          <w:iCs/>
          <w:sz w:val="24"/>
          <w:szCs w:val="24"/>
        </w:rPr>
        <w:t>“British Gas”</w:t>
      </w:r>
      <w:r>
        <w:rPr>
          <w:rFonts w:ascii="Times New Roman" w:eastAsia="Times New Roman" w:hAnsi="Times New Roman" w:cs="Times New Roman"/>
          <w:sz w:val="24"/>
          <w:szCs w:val="24"/>
        </w:rPr>
        <w:t xml:space="preserve"> in the context of boiler engineers has delivered an extremely inadequate effect on worker engagement. The deterioration of trust strengthened stress and apprehension, disruption of work-life balance, and the reduction of workers' representatives contribute to a reduction in the dedication and motivation of workers (</w:t>
      </w:r>
      <w:r>
        <w:rPr>
          <w:rFonts w:ascii="Times New Roman" w:eastAsia="Times New Roman" w:hAnsi="Times New Roman" w:cs="Times New Roman"/>
          <w:color w:val="222222"/>
          <w:sz w:val="24"/>
          <w:szCs w:val="24"/>
        </w:rPr>
        <w:t>Pham, Tučková, and Jabbour, 2019)</w:t>
      </w:r>
      <w:r>
        <w:rPr>
          <w:rFonts w:ascii="Times New Roman" w:eastAsia="Times New Roman" w:hAnsi="Times New Roman" w:cs="Times New Roman"/>
          <w:sz w:val="24"/>
          <w:szCs w:val="24"/>
        </w:rPr>
        <w:t xml:space="preserve">. The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company might have to apprehend that legitimate procedure, open communication, and recognition of worker well-being would have been crucial for preserving an excessive engagement presence and fostering an effective and profitable work environment.</w:t>
      </w:r>
    </w:p>
    <w:p w14:paraId="76A50F72" w14:textId="77777777" w:rsidR="007A09B2" w:rsidRDefault="00566828" w:rsidP="006962FD">
      <w:pPr>
        <w:pStyle w:val="Heading2"/>
      </w:pPr>
      <w:bookmarkStart w:id="13" w:name="_Toc1657854036"/>
      <w:r>
        <w:t>Evaluates HR involvement in this issue</w:t>
      </w:r>
      <w:bookmarkEnd w:id="13"/>
    </w:p>
    <w:p w14:paraId="51BB9E2F"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involvement in the case of "fire and rehire" tactics within the UK labour market is essential, as it instantly affects workers' well-being, industrial concerns, and administrative importance. </w:t>
      </w:r>
    </w:p>
    <w:p w14:paraId="11419EC0"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Policy Development and Compliance:</w:t>
      </w:r>
    </w:p>
    <w:p w14:paraId="2272B66D"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is critical in creating and executing procedures and rules related to worker agreements, terminations, and re-employment (</w:t>
      </w:r>
      <w:r>
        <w:rPr>
          <w:rFonts w:ascii="Times" w:eastAsia="Times" w:hAnsi="Times" w:cs="Times"/>
          <w:color w:val="222222"/>
          <w:sz w:val="24"/>
          <w:szCs w:val="24"/>
        </w:rPr>
        <w:t xml:space="preserve">Aburumman </w:t>
      </w:r>
      <w:r>
        <w:rPr>
          <w:rFonts w:ascii="Times" w:eastAsia="Times" w:hAnsi="Times" w:cs="Times"/>
          <w:i/>
          <w:color w:val="222222"/>
          <w:sz w:val="24"/>
          <w:szCs w:val="24"/>
        </w:rPr>
        <w:t>et al</w:t>
      </w:r>
      <w:r>
        <w:rPr>
          <w:rFonts w:ascii="Times" w:eastAsia="Times" w:hAnsi="Times" w:cs="Times"/>
          <w:color w:val="222222"/>
          <w:sz w:val="24"/>
          <w:szCs w:val="24"/>
        </w:rPr>
        <w:t>., 2020</w:t>
      </w:r>
      <w:r>
        <w:rPr>
          <w:rFonts w:ascii="Times New Roman" w:eastAsia="Times New Roman" w:hAnsi="Times New Roman" w:cs="Times New Roman"/>
          <w:sz w:val="24"/>
          <w:szCs w:val="24"/>
        </w:rPr>
        <w:t>). HR must confirm that the organisation's approaches comply with applicable labour rules and laws to avoid possible legal repercussions.</w:t>
      </w:r>
    </w:p>
    <w:p w14:paraId="054768AB"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Employee Communication and Engagement:</w:t>
      </w:r>
    </w:p>
    <w:p w14:paraId="23F2344C"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is responsible for corresponding transformations in employment terms and requirements to workers impacted by the "fire and rehire" approach. Transparent and adequate communication is important to preserve trust and mitigate harmful effects on worker confidence and engagement.</w:t>
      </w:r>
    </w:p>
    <w:p w14:paraId="3E16C71A"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Employee Support and Counseling:</w:t>
      </w:r>
    </w:p>
    <w:p w14:paraId="46627681"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"fire and rehire" approach, HR should support impacted workers, including counselling sessions and key resources, and help them comprehend their ownership and opportunities (</w:t>
      </w:r>
      <w:r>
        <w:rPr>
          <w:rFonts w:ascii="Times" w:eastAsia="Times" w:hAnsi="Times" w:cs="Times"/>
          <w:color w:val="222222"/>
          <w:sz w:val="24"/>
          <w:szCs w:val="24"/>
        </w:rPr>
        <w:t>Yong, 2020</w:t>
      </w:r>
      <w:r>
        <w:rPr>
          <w:rFonts w:ascii="Times New Roman" w:eastAsia="Times New Roman" w:hAnsi="Times New Roman" w:cs="Times New Roman"/>
          <w:sz w:val="24"/>
          <w:szCs w:val="24"/>
        </w:rPr>
        <w:t>). Empathetic support can assist in reducing the emotional pressure experienced by involved workers.</w:t>
      </w:r>
    </w:p>
    <w:p w14:paraId="6F6A62AB" w14:textId="77777777" w:rsidR="008C698C" w:rsidRDefault="008C698C">
      <w:pPr>
        <w:spacing w:line="360" w:lineRule="auto"/>
        <w:jc w:val="both"/>
        <w:rPr>
          <w:rFonts w:ascii="Times New Roman" w:eastAsia="Times New Roman" w:hAnsi="Times New Roman" w:cs="Times New Roman"/>
          <w:sz w:val="24"/>
          <w:szCs w:val="24"/>
        </w:rPr>
      </w:pPr>
    </w:p>
    <w:p w14:paraId="527E050B" w14:textId="77777777" w:rsidR="008C698C" w:rsidRDefault="008C698C">
      <w:pPr>
        <w:spacing w:line="360" w:lineRule="auto"/>
        <w:jc w:val="both"/>
        <w:rPr>
          <w:rFonts w:ascii="Times New Roman" w:eastAsia="Times New Roman" w:hAnsi="Times New Roman" w:cs="Times New Roman"/>
          <w:sz w:val="24"/>
          <w:szCs w:val="24"/>
        </w:rPr>
      </w:pPr>
    </w:p>
    <w:p w14:paraId="1FDF9410" w14:textId="77777777" w:rsidR="008C698C" w:rsidRDefault="008C698C">
      <w:pPr>
        <w:spacing w:line="360" w:lineRule="auto"/>
        <w:jc w:val="both"/>
        <w:rPr>
          <w:rFonts w:ascii="Times New Roman" w:eastAsia="Times New Roman" w:hAnsi="Times New Roman" w:cs="Times New Roman"/>
          <w:sz w:val="24"/>
          <w:szCs w:val="24"/>
        </w:rPr>
      </w:pPr>
    </w:p>
    <w:p w14:paraId="539F0C08"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Industrial Relations and Negotiation:</w:t>
      </w:r>
    </w:p>
    <w:p w14:paraId="7CF2E2F1"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often collaborates with business unions or worker representatives during labour conflicts linked to "fire and rehire." HR's capacity to employ ineffective negotiations can affect the result and help find alternative answers that benefit both groups.</w:t>
      </w:r>
    </w:p>
    <w:p w14:paraId="23A214A8"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Ethical Considerations:</w:t>
      </w:r>
    </w:p>
    <w:p w14:paraId="30D2B919"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must consider the ethical importance of "fire and rehire" tactics and deliver advice to the association's leadership. Ethical decision-making is necessary to sustain the organisation's importance and promote an optimistic work culture.</w:t>
      </w:r>
    </w:p>
    <w:p w14:paraId="5D58B7E1"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Impact on Employer Branding:</w:t>
      </w:r>
    </w:p>
    <w:p w14:paraId="6A3B1963"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plays an important role in shaping the organisation's employer brand. The path taken by HR in managing the "fire and rehire" problem can influence how the association is sensed by existing and possible workers, consumers, and different stakeholders.</w:t>
      </w:r>
    </w:p>
    <w:p w14:paraId="7A95FD4C"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Talent Acquisition and Retention:</w:t>
      </w:r>
    </w:p>
    <w:p w14:paraId="66B3E136"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"fire and rehire" procedure can deter possible job applicants and guide talent attrition (</w:t>
      </w:r>
      <w:r>
        <w:rPr>
          <w:rFonts w:ascii="Times" w:eastAsia="Times" w:hAnsi="Times" w:cs="Times"/>
          <w:color w:val="222222"/>
          <w:sz w:val="24"/>
          <w:szCs w:val="24"/>
        </w:rPr>
        <w:t xml:space="preserve">Manzoor </w:t>
      </w:r>
      <w:r>
        <w:rPr>
          <w:rFonts w:ascii="Times" w:eastAsia="Times" w:hAnsi="Times" w:cs="Times"/>
          <w:i/>
          <w:color w:val="222222"/>
          <w:sz w:val="24"/>
          <w:szCs w:val="24"/>
        </w:rPr>
        <w:t>et al</w:t>
      </w:r>
      <w:r>
        <w:rPr>
          <w:rFonts w:ascii="Times" w:eastAsia="Times" w:hAnsi="Times" w:cs="Times"/>
          <w:color w:val="222222"/>
          <w:sz w:val="24"/>
          <w:szCs w:val="24"/>
        </w:rPr>
        <w:t>. 2019</w:t>
      </w:r>
      <w:r>
        <w:rPr>
          <w:rFonts w:ascii="Times New Roman" w:eastAsia="Times New Roman" w:hAnsi="Times New Roman" w:cs="Times New Roman"/>
          <w:sz w:val="24"/>
          <w:szCs w:val="24"/>
        </w:rPr>
        <w:t>). HR needs to consider the effect of aptitude investment and develop methods to attract and keep qualified employees.</w:t>
      </w:r>
    </w:p>
    <w:p w14:paraId="0A6E776A"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Employee Relations Training:</w:t>
      </w:r>
    </w:p>
    <w:p w14:paraId="33A483D6"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can deliver training to line supervisors and managers on managing worker concerns matters, including handling "fire and rehire" problems with sensitivity and compassion.</w:t>
      </w:r>
    </w:p>
    <w:p w14:paraId="658F820C"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Diversity and Inclusion Considerations:</w:t>
      </w:r>
    </w:p>
    <w:p w14:paraId="1474CB94"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should assess the effect of "fire and rehire" tactics on variety and inclusion measures. These methods can disproportionately impact specific demographic companies, and HR should work to provide fairness and equity.</w:t>
      </w:r>
    </w:p>
    <w:p w14:paraId="450ECB39"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Monitoring and Reporting:</w:t>
      </w:r>
    </w:p>
    <w:p w14:paraId="6927C1F1"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HR's involvement stretches to observing the effect of "fire and rehire" techniques on critical HR metrics, such as worker turnover, employee satisfaction, and employee concerns issues (</w:t>
      </w:r>
      <w:r>
        <w:rPr>
          <w:rFonts w:ascii="Times" w:eastAsia="Times" w:hAnsi="Times" w:cs="Times"/>
          <w:color w:val="222222"/>
          <w:sz w:val="24"/>
          <w:szCs w:val="24"/>
        </w:rPr>
        <w:t xml:space="preserve">Alzoubi </w:t>
      </w:r>
      <w:r>
        <w:rPr>
          <w:rFonts w:ascii="Times" w:eastAsia="Times" w:hAnsi="Times" w:cs="Times"/>
          <w:i/>
          <w:color w:val="222222"/>
          <w:sz w:val="24"/>
          <w:szCs w:val="24"/>
        </w:rPr>
        <w:t>et al</w:t>
      </w:r>
      <w:r>
        <w:rPr>
          <w:rFonts w:ascii="Times" w:eastAsia="Times" w:hAnsi="Times" w:cs="Times"/>
          <w:color w:val="222222"/>
          <w:sz w:val="24"/>
          <w:szCs w:val="24"/>
        </w:rPr>
        <w:t>., 2022</w:t>
      </w:r>
      <w:r>
        <w:rPr>
          <w:rFonts w:ascii="Times New Roman" w:eastAsia="Times New Roman" w:hAnsi="Times New Roman" w:cs="Times New Roman"/>
          <w:sz w:val="24"/>
          <w:szCs w:val="24"/>
        </w:rPr>
        <w:t>). Regular reporting on these metrics can assist in determining areas for progress.</w:t>
      </w:r>
    </w:p>
    <w:p w14:paraId="331E6EC4" w14:textId="77777777" w:rsidR="008C698C" w:rsidRDefault="008C698C">
      <w:pPr>
        <w:spacing w:line="360" w:lineRule="auto"/>
        <w:jc w:val="both"/>
        <w:rPr>
          <w:rFonts w:ascii="Times New Roman" w:eastAsia="Times New Roman" w:hAnsi="Times New Roman" w:cs="Times New Roman"/>
          <w:sz w:val="24"/>
          <w:szCs w:val="24"/>
        </w:rPr>
      </w:pPr>
    </w:p>
    <w:p w14:paraId="6A7CA496" w14:textId="77777777" w:rsidR="008C698C" w:rsidRDefault="008C698C">
      <w:pPr>
        <w:spacing w:line="360" w:lineRule="auto"/>
        <w:jc w:val="both"/>
        <w:rPr>
          <w:rFonts w:ascii="Times New Roman" w:eastAsia="Times New Roman" w:hAnsi="Times New Roman" w:cs="Times New Roman"/>
          <w:sz w:val="24"/>
          <w:szCs w:val="24"/>
        </w:rPr>
      </w:pPr>
    </w:p>
    <w:p w14:paraId="084BD6A6" w14:textId="77777777"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Advocacy for Ethical Employment Practices:</w:t>
      </w:r>
    </w:p>
    <w:p w14:paraId="64C2490B" w14:textId="350E5230"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can support ethical employment procedures within the </w:t>
      </w:r>
      <w:r w:rsidR="00476EA0">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and cooperate with the administration to find alternative cost-cutting efforts that do not negatively affect worker well-being and job safety.</w:t>
      </w:r>
    </w:p>
    <w:p w14:paraId="44742339" w14:textId="6161A8F3"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HR's involvement in the case of "fire and rehire" tactics is instrumental in addressing the effect on workers, the </w:t>
      </w:r>
      <w:r w:rsidR="00476EA0">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importance, and its general business arrangement. HR professionals must balance lawful observation, ethical concerns, worker engagement, and industrial connections to effectively navigate this difficult and sharp issue. By bringing a bold and empathetic process, HR can contribute to a </w:t>
      </w:r>
      <w:r w:rsidR="00476EA0">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 xml:space="preserve"> work atmosphere and sustainable administrative success.</w:t>
      </w:r>
    </w:p>
    <w:p w14:paraId="08BF9F4B" w14:textId="77777777" w:rsidR="007A09B2" w:rsidRDefault="00566828" w:rsidP="006962FD">
      <w:pPr>
        <w:pStyle w:val="Heading1"/>
      </w:pPr>
      <w:bookmarkStart w:id="14" w:name="_Toc2134917607"/>
      <w:r>
        <w:t>Recommendation</w:t>
      </w:r>
      <w:bookmarkEnd w:id="14"/>
    </w:p>
    <w:p w14:paraId="2C5F41BA"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the threat of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evaluating </w:t>
      </w:r>
      <w:r w:rsidRPr="00281ACF">
        <w:rPr>
          <w:rFonts w:ascii="Times New Roman" w:eastAsia="Times New Roman" w:hAnsi="Times New Roman" w:cs="Times New Roman"/>
          <w:bCs/>
          <w:i/>
          <w:sz w:val="24"/>
          <w:szCs w:val="24"/>
        </w:rPr>
        <w:t>“fire and rehire”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regulations for boiler engineers can have demonstrated conducting </w:t>
      </w:r>
      <w:r w:rsidRPr="00281ACF">
        <w:rPr>
          <w:rFonts w:ascii="Times New Roman" w:eastAsia="Times New Roman" w:hAnsi="Times New Roman" w:cs="Times New Roman"/>
          <w:bCs/>
          <w:i/>
          <w:sz w:val="24"/>
          <w:szCs w:val="24"/>
        </w:rPr>
        <w:t>“mass dismissals”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and </w:t>
      </w:r>
      <w:r w:rsidRPr="00281ACF">
        <w:rPr>
          <w:rFonts w:ascii="Times New Roman" w:eastAsia="Times New Roman" w:hAnsi="Times New Roman" w:cs="Times New Roman"/>
          <w:bCs/>
          <w:i/>
          <w:sz w:val="24"/>
          <w:szCs w:val="24"/>
        </w:rPr>
        <w:t>“possible inappropriate</w:t>
      </w:r>
      <w:r>
        <w:rPr>
          <w:rFonts w:ascii="Times New Roman" w:eastAsia="Times New Roman" w:hAnsi="Times New Roman" w:cs="Times New Roman"/>
          <w:b/>
          <w:i/>
          <w:sz w:val="24"/>
          <w:szCs w:val="24"/>
        </w:rPr>
        <w:t xml:space="preserve"> </w:t>
      </w:r>
      <w:r w:rsidRPr="00281ACF">
        <w:rPr>
          <w:rFonts w:ascii="Times New Roman" w:eastAsia="Times New Roman" w:hAnsi="Times New Roman" w:cs="Times New Roman"/>
          <w:bCs/>
          <w:i/>
          <w:sz w:val="24"/>
          <w:szCs w:val="24"/>
        </w:rPr>
        <w:t>dismissals”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increases risks due to employee procedures and organisational initiates (</w:t>
      </w:r>
      <w:r>
        <w:rPr>
          <w:rFonts w:ascii="Times New Roman" w:eastAsia="Times New Roman" w:hAnsi="Times New Roman" w:cs="Times New Roman"/>
          <w:color w:val="222222"/>
          <w:sz w:val="24"/>
          <w:szCs w:val="24"/>
          <w:highlight w:val="white"/>
        </w:rPr>
        <w:t xml:space="preserve">Tennison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It can be determined to require some recommendations for improvement, including</w:t>
      </w:r>
    </w:p>
    <w:p w14:paraId="2581943F" w14:textId="77777777" w:rsidR="007A09B2" w:rsidRDefault="00566828">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Navigation and Collaborations</w:t>
      </w:r>
    </w:p>
    <w:p w14:paraId="72AD5B46" w14:textId="77777777"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engagement of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should have been recognised to engage in measurement and comprehensive navigation with employee appearances such as </w:t>
      </w:r>
      <w:r w:rsidRPr="00281ACF">
        <w:rPr>
          <w:rFonts w:ascii="Times New Roman" w:eastAsia="Times New Roman" w:hAnsi="Times New Roman" w:cs="Times New Roman"/>
          <w:bCs/>
          <w:i/>
          <w:sz w:val="24"/>
          <w:szCs w:val="24"/>
        </w:rPr>
        <w:t>“perceptions”</w:t>
      </w:r>
      <w:r>
        <w:rPr>
          <w:rFonts w:ascii="Times New Roman" w:eastAsia="Times New Roman" w:hAnsi="Times New Roman" w:cs="Times New Roman"/>
          <w:b/>
          <w:i/>
          <w:sz w:val="24"/>
          <w:szCs w:val="24"/>
        </w:rPr>
        <w:t xml:space="preserve">, </w:t>
      </w:r>
      <w:r w:rsidRPr="00281ACF">
        <w:rPr>
          <w:rFonts w:ascii="Times New Roman" w:eastAsia="Times New Roman" w:hAnsi="Times New Roman" w:cs="Times New Roman"/>
          <w:bCs/>
          <w:i/>
          <w:sz w:val="24"/>
          <w:szCs w:val="24"/>
        </w:rPr>
        <w:t>“implementation”</w:t>
      </w:r>
      <w:r>
        <w:rPr>
          <w:rFonts w:ascii="Times New Roman" w:eastAsia="Times New Roman" w:hAnsi="Times New Roman" w:cs="Times New Roman"/>
          <w:b/>
          <w:i/>
          <w:sz w:val="24"/>
          <w:szCs w:val="24"/>
        </w:rPr>
        <w:t xml:space="preserve">, </w:t>
      </w:r>
      <w:r w:rsidRPr="00281ACF">
        <w:rPr>
          <w:rFonts w:ascii="Times New Roman" w:eastAsia="Times New Roman" w:hAnsi="Times New Roman" w:cs="Times New Roman"/>
          <w:bCs/>
          <w:i/>
          <w:sz w:val="24"/>
          <w:szCs w:val="24"/>
        </w:rPr>
        <w:t>and “significant policy measures”.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This can be achieved by utilising numerous stakeholders in decision-making; the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organisation might have been enhanced to explore prominent solutions that reduce employment failures and control an adequate working environment (</w:t>
      </w:r>
      <w:r>
        <w:rPr>
          <w:rFonts w:ascii="Times New Roman" w:eastAsia="Times New Roman" w:hAnsi="Times New Roman" w:cs="Times New Roman"/>
          <w:color w:val="222222"/>
          <w:sz w:val="24"/>
          <w:szCs w:val="24"/>
          <w:highlight w:val="white"/>
        </w:rPr>
        <w:t xml:space="preserve">Massaro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It can also be determined that collaboration promotes confidentiality and recognises a commitment to appreciating employee engagement. </w:t>
      </w:r>
    </w:p>
    <w:p w14:paraId="65DB8B2A" w14:textId="77777777" w:rsidR="007A09B2" w:rsidRDefault="00566828">
      <w:pPr>
        <w:numPr>
          <w:ilvl w:val="0"/>
          <w:numId w:val="2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Adequate Redundancy Procedures </w:t>
      </w:r>
    </w:p>
    <w:p w14:paraId="5843C61F" w14:textId="13D89708"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procurement of </w:t>
      </w:r>
      <w:r w:rsidRPr="00937EBE">
        <w:rPr>
          <w:rFonts w:ascii="Times New Roman" w:eastAsia="Times New Roman" w:hAnsi="Times New Roman" w:cs="Times New Roman"/>
          <w:bCs/>
          <w:iCs/>
          <w:sz w:val="24"/>
          <w:szCs w:val="24"/>
        </w:rPr>
        <w:t xml:space="preserve">British </w:t>
      </w:r>
      <w:r w:rsidR="00937EBE">
        <w:rPr>
          <w:rFonts w:ascii="Times New Roman" w:eastAsia="Times New Roman" w:hAnsi="Times New Roman" w:cs="Times New Roman"/>
          <w:bCs/>
          <w:iCs/>
          <w:sz w:val="24"/>
          <w:szCs w:val="24"/>
        </w:rPr>
        <w:t>Gas considers</w:t>
      </w:r>
      <w:r>
        <w:rPr>
          <w:rFonts w:ascii="Times New Roman" w:eastAsia="Times New Roman" w:hAnsi="Times New Roman" w:cs="Times New Roman"/>
          <w:sz w:val="24"/>
          <w:szCs w:val="24"/>
        </w:rPr>
        <w:t xml:space="preserve"> specific discharges that it might be able to conduct adequate and prominent enhancement of redundancy approaches. This often involved estimating appropriate policies, offering reestablishment procedures, and supporting influenced workers to determine sufficient employment. This can be achieved by evaluating a superior and significant redundancy procedure that might have been improved to ensure their influenced employees and reduce the threat of possible unfair dismissal approaches (</w:t>
      </w:r>
      <w:r>
        <w:rPr>
          <w:rFonts w:ascii="Times New Roman" w:eastAsia="Times New Roman" w:hAnsi="Times New Roman" w:cs="Times New Roman"/>
          <w:color w:val="222222"/>
          <w:sz w:val="24"/>
          <w:szCs w:val="24"/>
          <w:highlight w:val="white"/>
        </w:rPr>
        <w:t>Li, Rees, and Branine, 2019)</w:t>
      </w:r>
      <w:r>
        <w:rPr>
          <w:rFonts w:ascii="Times New Roman" w:eastAsia="Times New Roman" w:hAnsi="Times New Roman" w:cs="Times New Roman"/>
          <w:sz w:val="24"/>
          <w:szCs w:val="24"/>
        </w:rPr>
        <w:t xml:space="preserve">. </w:t>
      </w:r>
    </w:p>
    <w:p w14:paraId="54897898" w14:textId="77777777" w:rsidR="007A09B2" w:rsidRDefault="00566828">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Sufficient Leadership and Corporate Responsibility </w:t>
      </w:r>
    </w:p>
    <w:p w14:paraId="0170C195" w14:textId="77777777" w:rsidR="007A09B2" w:rsidRDefault="00566828">
      <w:pPr>
        <w:spacing w:line="360" w:lineRule="auto"/>
        <w:jc w:val="both"/>
        <w:rPr>
          <w:rFonts w:ascii="Times" w:eastAsia="Times" w:hAnsi="Times" w:cs="Times"/>
          <w:color w:val="222222"/>
          <w:sz w:val="24"/>
          <w:szCs w:val="24"/>
        </w:rPr>
      </w:pPr>
      <w:r>
        <w:rPr>
          <w:rFonts w:ascii="Times New Roman" w:eastAsia="Times New Roman" w:hAnsi="Times New Roman" w:cs="Times New Roman"/>
          <w:sz w:val="24"/>
          <w:szCs w:val="24"/>
        </w:rPr>
        <w:t xml:space="preserve">In this phase, the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company should engage ethical considerations and corporate responsibility by employing a more comprehensive measurement of the social influence of their decision-making approaches. This can be determined by evaluating a </w:t>
      </w:r>
      <w:r w:rsidRPr="00281ACF">
        <w:rPr>
          <w:rFonts w:ascii="Times New Roman" w:eastAsia="Times New Roman" w:hAnsi="Times New Roman" w:cs="Times New Roman"/>
          <w:bCs/>
          <w:i/>
          <w:sz w:val="24"/>
          <w:szCs w:val="24"/>
        </w:rPr>
        <w:t>“fire and rehire”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strategy that can diminish the company’s reputation and employees' confidentiality. The analytical engagement in estimating long-term sustainable approaches allows the </w:t>
      </w:r>
      <w:r w:rsidRPr="00281ACF">
        <w:rPr>
          <w:rFonts w:ascii="Times New Roman" w:eastAsia="Times New Roman" w:hAnsi="Times New Roman" w:cs="Times New Roman"/>
          <w:bCs/>
          <w:i/>
          <w:sz w:val="24"/>
          <w:szCs w:val="24"/>
        </w:rPr>
        <w:t>“British Gas”</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company to control individual presences and conduct supporting work (</w:t>
      </w:r>
      <w:r>
        <w:rPr>
          <w:rFonts w:ascii="Times New Roman" w:eastAsia="Times New Roman" w:hAnsi="Times New Roman" w:cs="Times New Roman"/>
          <w:color w:val="222222"/>
          <w:sz w:val="24"/>
          <w:szCs w:val="24"/>
          <w:highlight w:val="white"/>
        </w:rPr>
        <w:t xml:space="preserve">Iweka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Overall, the comprehensive procedure for managing </w:t>
      </w:r>
      <w:r w:rsidRPr="00281ACF">
        <w:rPr>
          <w:rFonts w:ascii="Times New Roman" w:eastAsia="Times New Roman" w:hAnsi="Times New Roman" w:cs="Times New Roman"/>
          <w:sz w:val="24"/>
          <w:szCs w:val="24"/>
        </w:rPr>
        <w:t xml:space="preserve">the </w:t>
      </w:r>
      <w:r w:rsidRPr="00281ACF">
        <w:rPr>
          <w:rFonts w:ascii="Times New Roman" w:eastAsia="Times New Roman" w:hAnsi="Times New Roman" w:cs="Times New Roman"/>
          <w:i/>
          <w:sz w:val="24"/>
          <w:szCs w:val="24"/>
        </w:rPr>
        <w:t>“fire and rehire”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strategy of </w:t>
      </w:r>
      <w:r w:rsidRPr="00281ACF">
        <w:rPr>
          <w:rFonts w:ascii="Times New Roman" w:eastAsia="Times New Roman" w:hAnsi="Times New Roman" w:cs="Times New Roman"/>
          <w:bCs/>
          <w:i/>
          <w:sz w:val="24"/>
          <w:szCs w:val="24"/>
        </w:rPr>
        <w:t>“British Gas</w:t>
      </w:r>
      <w:r w:rsidR="006962FD" w:rsidRPr="00281ACF">
        <w:rPr>
          <w:rFonts w:ascii="Times New Roman" w:eastAsia="Times New Roman" w:hAnsi="Times New Roman" w:cs="Times New Roman"/>
          <w:bCs/>
          <w:i/>
          <w:sz w:val="24"/>
          <w:szCs w:val="24"/>
        </w:rPr>
        <w:t>”</w:t>
      </w:r>
      <w:r w:rsidR="006962FD">
        <w:rPr>
          <w:rFonts w:ascii="Times New Roman" w:eastAsia="Times New Roman" w:hAnsi="Times New Roman" w:cs="Times New Roman"/>
          <w:b/>
          <w:i/>
          <w:sz w:val="24"/>
          <w:szCs w:val="24"/>
        </w:rPr>
        <w:t xml:space="preserve"> </w:t>
      </w:r>
      <w:r w:rsidR="006962F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the required possible appliance of mass dismissals and insufficient dismissals represent a complicated approach.</w:t>
      </w:r>
    </w:p>
    <w:p w14:paraId="2B2A7A39" w14:textId="77777777" w:rsidR="007A09B2" w:rsidRDefault="00566828">
      <w:pPr>
        <w:pStyle w:val="Heading1"/>
      </w:pPr>
      <w:bookmarkStart w:id="15" w:name="_heading=h.tyjcwt" w:colFirst="0" w:colLast="0"/>
      <w:bookmarkStart w:id="16" w:name="_Toc1737735168"/>
      <w:bookmarkEnd w:id="15"/>
      <w:r>
        <w:t>Conclusion</w:t>
      </w:r>
      <w:bookmarkEnd w:id="16"/>
    </w:p>
    <w:p w14:paraId="05849308" w14:textId="6B479E40" w:rsidR="007A09B2" w:rsidRPr="00281ACF"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81ACF">
        <w:rPr>
          <w:rFonts w:ascii="Times New Roman" w:eastAsia="Times New Roman" w:hAnsi="Times New Roman" w:cs="Times New Roman"/>
          <w:color w:val="000000"/>
          <w:sz w:val="24"/>
          <w:szCs w:val="24"/>
        </w:rPr>
        <w:t xml:space="preserve">It has been concluded that </w:t>
      </w:r>
      <w:r w:rsidRPr="00281ACF">
        <w:rPr>
          <w:rFonts w:ascii="Times New Roman" w:eastAsia="Times New Roman" w:hAnsi="Times New Roman" w:cs="Times New Roman"/>
          <w:i/>
          <w:color w:val="000000"/>
          <w:sz w:val="24"/>
          <w:szCs w:val="24"/>
        </w:rPr>
        <w:t xml:space="preserve">“British Gas” </w:t>
      </w:r>
      <w:r w:rsidRPr="00281ACF">
        <w:rPr>
          <w:rFonts w:ascii="Times New Roman" w:eastAsia="Times New Roman" w:hAnsi="Times New Roman" w:cs="Times New Roman"/>
          <w:color w:val="000000"/>
          <w:sz w:val="24"/>
          <w:szCs w:val="24"/>
        </w:rPr>
        <w:t xml:space="preserve">has been determined with the long-term conflict with the boiler engineer that may engage their regulations and specifications of engagement. In this context, </w:t>
      </w:r>
      <w:r w:rsidRPr="00281ACF">
        <w:rPr>
          <w:rFonts w:ascii="Times New Roman" w:eastAsia="Times New Roman" w:hAnsi="Times New Roman" w:cs="Times New Roman"/>
          <w:i/>
          <w:color w:val="000000"/>
          <w:sz w:val="24"/>
          <w:szCs w:val="24"/>
        </w:rPr>
        <w:t xml:space="preserve">“British Gas” </w:t>
      </w:r>
      <w:r w:rsidRPr="00281ACF">
        <w:rPr>
          <w:rFonts w:ascii="Times New Roman" w:eastAsia="Times New Roman" w:hAnsi="Times New Roman" w:cs="Times New Roman"/>
          <w:color w:val="000000"/>
          <w:sz w:val="24"/>
          <w:szCs w:val="24"/>
        </w:rPr>
        <w:t xml:space="preserve">has been demonstrated to confirm more than 2% of staff might have been recognised not to initialise with the new contracts engagement. It can also be observed that the engineers of </w:t>
      </w:r>
      <w:r w:rsidRPr="00281ACF">
        <w:rPr>
          <w:rFonts w:ascii="Times New Roman" w:eastAsia="Times New Roman" w:hAnsi="Times New Roman" w:cs="Times New Roman"/>
          <w:i/>
          <w:color w:val="000000"/>
          <w:sz w:val="24"/>
          <w:szCs w:val="24"/>
        </w:rPr>
        <w:t xml:space="preserve">“British Gas” </w:t>
      </w:r>
      <w:r w:rsidRPr="00281ACF">
        <w:rPr>
          <w:rFonts w:ascii="Times New Roman" w:eastAsia="Times New Roman" w:hAnsi="Times New Roman" w:cs="Times New Roman"/>
          <w:color w:val="000000"/>
          <w:sz w:val="24"/>
          <w:szCs w:val="24"/>
        </w:rPr>
        <w:t xml:space="preserve">might not have been produced to agree with the proper engagement and determine with the workers' perspectives would have demonstrated claims against </w:t>
      </w:r>
      <w:r w:rsidRPr="00281ACF">
        <w:rPr>
          <w:rFonts w:ascii="Times New Roman" w:eastAsia="Times New Roman" w:hAnsi="Times New Roman" w:cs="Times New Roman"/>
          <w:i/>
          <w:color w:val="000000"/>
          <w:sz w:val="24"/>
          <w:szCs w:val="24"/>
        </w:rPr>
        <w:t xml:space="preserve">“British Gas”. </w:t>
      </w:r>
      <w:r w:rsidRPr="00281ACF">
        <w:rPr>
          <w:rFonts w:ascii="Times New Roman" w:eastAsia="Times New Roman" w:hAnsi="Times New Roman" w:cs="Times New Roman"/>
          <w:color w:val="000000"/>
          <w:sz w:val="24"/>
          <w:szCs w:val="24"/>
        </w:rPr>
        <w:t xml:space="preserve">This has been evaluated by enabling the requirement of engaging in </w:t>
      </w:r>
      <w:r w:rsidRPr="00281ACF">
        <w:rPr>
          <w:rFonts w:ascii="Times New Roman" w:eastAsia="Times New Roman" w:hAnsi="Times New Roman" w:cs="Times New Roman"/>
          <w:i/>
          <w:color w:val="000000"/>
          <w:sz w:val="24"/>
          <w:szCs w:val="24"/>
        </w:rPr>
        <w:t xml:space="preserve">“ACAS conciliation” </w:t>
      </w:r>
      <w:r w:rsidRPr="00281ACF">
        <w:rPr>
          <w:rFonts w:ascii="Times New Roman" w:eastAsia="Times New Roman" w:hAnsi="Times New Roman" w:cs="Times New Roman"/>
          <w:color w:val="000000"/>
          <w:sz w:val="24"/>
          <w:szCs w:val="24"/>
        </w:rPr>
        <w:t>due to estimate unfair discharge procedures from the engagement perspective.</w:t>
      </w:r>
    </w:p>
    <w:p w14:paraId="53128261" w14:textId="469314A0" w:rsidR="007A09B2" w:rsidRDefault="007A09B2">
      <w:pPr>
        <w:rPr>
          <w:rFonts w:ascii="Times New Roman" w:eastAsia="Times New Roman" w:hAnsi="Times New Roman" w:cs="Times New Roman"/>
          <w:b/>
          <w:sz w:val="24"/>
          <w:szCs w:val="24"/>
        </w:rPr>
      </w:pPr>
    </w:p>
    <w:p w14:paraId="3D94284D" w14:textId="58AA373B" w:rsidR="007A09B2" w:rsidRDefault="00566828">
      <w:pPr>
        <w:pStyle w:val="Heading1"/>
      </w:pPr>
      <w:bookmarkStart w:id="17" w:name="_heading=h.3dy6vkm" w:colFirst="0" w:colLast="0"/>
      <w:bookmarkStart w:id="18" w:name="_Toc1018620285"/>
      <w:bookmarkEnd w:id="17"/>
      <w:r>
        <w:t>Reference List</w:t>
      </w:r>
      <w:bookmarkEnd w:id="18"/>
    </w:p>
    <w:p w14:paraId="708D0AC0" w14:textId="153F81EC" w:rsidR="006962FD" w:rsidRPr="006962FD" w:rsidRDefault="00566828" w:rsidP="006962FD">
      <w:pPr>
        <w:spacing w:line="360" w:lineRule="auto"/>
        <w:jc w:val="both"/>
        <w:rPr>
          <w:rFonts w:ascii="Times New Roman" w:hAnsi="Times New Roman" w:cs="Times New Roman"/>
          <w:color w:val="222222"/>
          <w:sz w:val="24"/>
          <w:szCs w:val="24"/>
        </w:rPr>
      </w:pPr>
      <w:r w:rsidRPr="006962FD">
        <w:rPr>
          <w:rFonts w:ascii="Times New Roman" w:eastAsia="Times" w:hAnsi="Times New Roman" w:cs="Times New Roman"/>
          <w:color w:val="222222"/>
          <w:sz w:val="24"/>
          <w:szCs w:val="24"/>
        </w:rPr>
        <w:t xml:space="preserve">Aburumman, O., Salleh, A., Omar, K. and Abadi, M., (2020). The impact of human resource management practices and career satisfaction on employee’s turnover intention. </w:t>
      </w:r>
      <w:r w:rsidRPr="006962FD">
        <w:rPr>
          <w:rFonts w:ascii="Times New Roman" w:eastAsia="Times" w:hAnsi="Times New Roman" w:cs="Times New Roman"/>
          <w:i/>
          <w:color w:val="222222"/>
          <w:sz w:val="24"/>
          <w:szCs w:val="24"/>
        </w:rPr>
        <w:t>Management Science Letters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10</w:t>
      </w:r>
      <w:r w:rsidRPr="006962FD">
        <w:rPr>
          <w:rFonts w:ascii="Times New Roman" w:eastAsia="Times" w:hAnsi="Times New Roman" w:cs="Times New Roman"/>
          <w:color w:val="222222"/>
          <w:sz w:val="24"/>
          <w:szCs w:val="24"/>
        </w:rPr>
        <w:t>(3), pp.641-652.</w:t>
      </w:r>
      <w:hyperlink r:id="rId9">
        <w:r w:rsidRPr="006962FD">
          <w:rPr>
            <w:rFonts w:ascii="Times New Roman" w:eastAsia="Times" w:hAnsi="Times New Roman" w:cs="Times New Roman"/>
            <w:color w:val="1155CC"/>
            <w:sz w:val="24"/>
            <w:szCs w:val="24"/>
            <w:u w:val="single"/>
          </w:rPr>
          <w:t>http://m.growingscience.com/msl/Vol10/msl_2019_267.pdf</w:t>
        </w:r>
      </w:hyperlink>
      <w:r w:rsidRPr="006962FD">
        <w:rPr>
          <w:rFonts w:ascii="Times New Roman" w:eastAsia="Times" w:hAnsi="Times New Roman" w:cs="Times New Roman"/>
          <w:color w:val="222222"/>
          <w:sz w:val="24"/>
          <w:szCs w:val="24"/>
        </w:rPr>
        <w:t xml:space="preserve"> </w:t>
      </w:r>
    </w:p>
    <w:p w14:paraId="4C3D4AC9"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Alzoubi, H.M., Ghazal, T.M., Sahawneh, N. and Al-Kassem, A.H., (2022). Fuzzy assisted human resource management for supply chain management issues. </w:t>
      </w:r>
      <w:r w:rsidRPr="006962FD">
        <w:rPr>
          <w:rFonts w:ascii="Times New Roman" w:eastAsia="Times" w:hAnsi="Times New Roman" w:cs="Times New Roman"/>
          <w:i/>
          <w:color w:val="222222"/>
          <w:sz w:val="24"/>
          <w:szCs w:val="24"/>
        </w:rPr>
        <w:t>Annals of Operations Research</w:t>
      </w:r>
      <w:r w:rsidRPr="006962FD">
        <w:rPr>
          <w:rFonts w:ascii="Times New Roman" w:eastAsia="Times" w:hAnsi="Times New Roman" w:cs="Times New Roman"/>
          <w:color w:val="222222"/>
          <w:sz w:val="24"/>
          <w:szCs w:val="24"/>
        </w:rPr>
        <w:t>.</w:t>
      </w:r>
      <w:hyperlink r:id="rId10">
        <w:r w:rsidRPr="006962FD">
          <w:rPr>
            <w:rFonts w:ascii="Times New Roman" w:eastAsia="Times" w:hAnsi="Times New Roman" w:cs="Times New Roman"/>
            <w:color w:val="1155CC"/>
            <w:sz w:val="24"/>
            <w:szCs w:val="24"/>
            <w:u w:val="single"/>
          </w:rPr>
          <w:t>https://research.skylineuniversity.ac.ae/id/eprint/187/1/58.pdf</w:t>
        </w:r>
      </w:hyperlink>
    </w:p>
    <w:p w14:paraId="4BA24E7B"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Bailey, D.J., (2023). Worker-Led Dissent in the Age of Austerity: Comparing the Conditions of Success. </w:t>
      </w:r>
      <w:r w:rsidRPr="0BC558BA">
        <w:rPr>
          <w:rFonts w:ascii="Times New Roman" w:eastAsia="Times" w:hAnsi="Times New Roman" w:cs="Times New Roman"/>
          <w:i/>
          <w:iCs/>
          <w:color w:val="222222"/>
          <w:sz w:val="24"/>
          <w:szCs w:val="24"/>
        </w:rPr>
        <w:t>Work, Employment and Society</w:t>
      </w:r>
      <w:r w:rsidRPr="006962FD">
        <w:rPr>
          <w:rFonts w:ascii="Times New Roman" w:eastAsia="Times" w:hAnsi="Times New Roman" w:cs="Times New Roman"/>
          <w:color w:val="222222"/>
          <w:sz w:val="24"/>
          <w:szCs w:val="24"/>
        </w:rPr>
        <w:t>, p.09500170231169675.</w:t>
      </w:r>
      <w:hyperlink r:id="rId11">
        <w:r w:rsidRPr="006962FD">
          <w:rPr>
            <w:rFonts w:ascii="Times New Roman" w:eastAsia="Times" w:hAnsi="Times New Roman" w:cs="Times New Roman"/>
            <w:color w:val="1155CC"/>
            <w:sz w:val="24"/>
            <w:szCs w:val="24"/>
            <w:u w:val="single"/>
          </w:rPr>
          <w:t>https://journals.sagepub.com/doi/pdf/10.1177/09500170231169675</w:t>
        </w:r>
      </w:hyperlink>
    </w:p>
    <w:p w14:paraId="01306F93" w14:textId="77777777"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Capobianco, N., Basile, V., Loia, F. and Vona, R., (2021). Toward a sustainable decommissioning of offshore platforms in the oil and gas industry: A PESTLE analysis. </w:t>
      </w:r>
      <w:r w:rsidRPr="006962FD">
        <w:rPr>
          <w:rFonts w:ascii="Times New Roman" w:eastAsia="Times New Roman" w:hAnsi="Times New Roman" w:cs="Times New Roman"/>
          <w:i/>
          <w:color w:val="222222"/>
          <w:sz w:val="24"/>
          <w:szCs w:val="24"/>
        </w:rPr>
        <w:t>Sustainability</w:t>
      </w:r>
      <w:r w:rsidRPr="006962FD">
        <w:rPr>
          <w:rFonts w:ascii="Times New Roman" w:eastAsia="Times New Roman" w:hAnsi="Times New Roman" w:cs="Times New Roman"/>
          <w:color w:val="222222"/>
          <w:sz w:val="24"/>
          <w:szCs w:val="24"/>
        </w:rPr>
        <w:t xml:space="preserve">, </w:t>
      </w:r>
      <w:r w:rsidRPr="006962FD">
        <w:rPr>
          <w:rFonts w:ascii="Times New Roman" w:eastAsia="Times New Roman" w:hAnsi="Times New Roman" w:cs="Times New Roman"/>
          <w:i/>
          <w:color w:val="222222"/>
          <w:sz w:val="24"/>
          <w:szCs w:val="24"/>
        </w:rPr>
        <w:t>13</w:t>
      </w:r>
      <w:r w:rsidRPr="006962FD">
        <w:rPr>
          <w:rFonts w:ascii="Times New Roman" w:eastAsia="Times New Roman" w:hAnsi="Times New Roman" w:cs="Times New Roman"/>
          <w:color w:val="222222"/>
          <w:sz w:val="24"/>
          <w:szCs w:val="24"/>
        </w:rPr>
        <w:t>(11), p.6266.</w:t>
      </w:r>
      <w:hyperlink r:id="rId12">
        <w:r w:rsidRPr="006962FD">
          <w:rPr>
            <w:rFonts w:ascii="Times New Roman" w:eastAsia="Times New Roman" w:hAnsi="Times New Roman" w:cs="Times New Roman"/>
            <w:color w:val="222222"/>
            <w:sz w:val="24"/>
            <w:szCs w:val="24"/>
          </w:rPr>
          <w:t xml:space="preserve"> </w:t>
        </w:r>
      </w:hyperlink>
      <w:hyperlink r:id="rId13">
        <w:r w:rsidRPr="006962FD">
          <w:rPr>
            <w:rFonts w:ascii="Times New Roman" w:eastAsia="Times New Roman" w:hAnsi="Times New Roman" w:cs="Times New Roman"/>
            <w:color w:val="1155CC"/>
            <w:sz w:val="24"/>
            <w:szCs w:val="24"/>
            <w:highlight w:val="white"/>
            <w:u w:val="single"/>
          </w:rPr>
          <w:t>https://www.mdpi.com/2071-1050/13/11/6266/pdf</w:t>
        </w:r>
      </w:hyperlink>
    </w:p>
    <w:p w14:paraId="263BC2D4"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Chapman, A., Itaoka, K., Hirose, K., Davidson, F.T., Nagasawa, K., Lloyd, A.C., Webber, M.E., Kurban, Z., Managi, S., Tamaki, T. and Lewis, M.C., (2019). A review of four case studies assessing the potential for hydrogen penetration of the future energy system. </w:t>
      </w:r>
      <w:r w:rsidRPr="0BC558BA">
        <w:rPr>
          <w:rFonts w:ascii="Times New Roman" w:eastAsia="Times New Roman" w:hAnsi="Times New Roman" w:cs="Times New Roman"/>
          <w:i/>
          <w:iCs/>
          <w:color w:val="222222"/>
          <w:sz w:val="24"/>
          <w:szCs w:val="24"/>
          <w:highlight w:val="white"/>
        </w:rPr>
        <w:t>International journal of hydrogen energy</w:t>
      </w:r>
      <w:r w:rsidRPr="006962FD">
        <w:rPr>
          <w:rFonts w:ascii="Times New Roman" w:eastAsia="Times New Roman" w:hAnsi="Times New Roman" w:cs="Times New Roman"/>
          <w:color w:val="222222"/>
          <w:sz w:val="24"/>
          <w:szCs w:val="24"/>
          <w:highlight w:val="white"/>
        </w:rPr>
        <w:t xml:space="preserve">, </w:t>
      </w:r>
      <w:r w:rsidRPr="0BC558BA">
        <w:rPr>
          <w:rFonts w:ascii="Times New Roman" w:eastAsia="Times New Roman" w:hAnsi="Times New Roman" w:cs="Times New Roman"/>
          <w:i/>
          <w:iCs/>
          <w:color w:val="222222"/>
          <w:sz w:val="24"/>
          <w:szCs w:val="24"/>
          <w:highlight w:val="white"/>
        </w:rPr>
        <w:t>44</w:t>
      </w:r>
      <w:r w:rsidRPr="006962FD">
        <w:rPr>
          <w:rFonts w:ascii="Times New Roman" w:eastAsia="Times New Roman" w:hAnsi="Times New Roman" w:cs="Times New Roman"/>
          <w:color w:val="222222"/>
          <w:sz w:val="24"/>
          <w:szCs w:val="24"/>
          <w:highlight w:val="white"/>
        </w:rPr>
        <w:t xml:space="preserve">(13), pp.6371-6382. </w:t>
      </w:r>
      <w:hyperlink r:id="rId14">
        <w:r w:rsidRPr="006962FD">
          <w:rPr>
            <w:rFonts w:ascii="Times New Roman" w:eastAsia="Times New Roman" w:hAnsi="Times New Roman" w:cs="Times New Roman"/>
            <w:color w:val="1155CC"/>
            <w:sz w:val="24"/>
            <w:szCs w:val="24"/>
            <w:highlight w:val="white"/>
            <w:u w:val="single"/>
          </w:rPr>
          <w:t>https://www.academia.edu/download/59493876/Chapman_et_al._-_(2019)_-_A_review(2019)0602-65714-1guim4r.pdf</w:t>
        </w:r>
      </w:hyperlink>
    </w:p>
    <w:p w14:paraId="473E9E55"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Chege, S.M. and Wang, D., (2020). The influence of technology innovation on SME performance through environmental sustainability practices in Kenya. </w:t>
      </w:r>
      <w:r w:rsidRPr="006962FD">
        <w:rPr>
          <w:rFonts w:ascii="Times New Roman" w:eastAsia="Times New Roman" w:hAnsi="Times New Roman" w:cs="Times New Roman"/>
          <w:i/>
          <w:color w:val="222222"/>
          <w:sz w:val="24"/>
          <w:szCs w:val="24"/>
          <w:highlight w:val="white"/>
        </w:rPr>
        <w:t>Technology in Society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60</w:t>
      </w:r>
      <w:r w:rsidRPr="006962FD">
        <w:rPr>
          <w:rFonts w:ascii="Times New Roman" w:eastAsia="Times New Roman" w:hAnsi="Times New Roman" w:cs="Times New Roman"/>
          <w:color w:val="222222"/>
          <w:sz w:val="24"/>
          <w:szCs w:val="24"/>
          <w:highlight w:val="white"/>
        </w:rPr>
        <w:t xml:space="preserve">, p.101210. </w:t>
      </w:r>
      <w:hyperlink r:id="rId15">
        <w:r w:rsidRPr="006962FD">
          <w:rPr>
            <w:rFonts w:ascii="Times New Roman" w:eastAsia="Times New Roman" w:hAnsi="Times New Roman" w:cs="Times New Roman"/>
            <w:color w:val="1155CC"/>
            <w:sz w:val="24"/>
            <w:szCs w:val="24"/>
            <w:highlight w:val="white"/>
            <w:u w:val="single"/>
          </w:rPr>
          <w:t>https://www.sciencedirect.com/science/article/pii/S0160791X19302428</w:t>
        </w:r>
      </w:hyperlink>
    </w:p>
    <w:p w14:paraId="07F33F10"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Cockbain, E. and Posch, K., (2022). Precarious work and labour market abuses: mapping the UK landscape. </w:t>
      </w:r>
      <w:r w:rsidRPr="006962FD">
        <w:rPr>
          <w:rFonts w:ascii="Times New Roman" w:eastAsia="Times" w:hAnsi="Times New Roman" w:cs="Times New Roman"/>
          <w:i/>
          <w:color w:val="222222"/>
          <w:sz w:val="24"/>
          <w:szCs w:val="24"/>
        </w:rPr>
        <w:t>LSE Business Review</w:t>
      </w:r>
      <w:r w:rsidRPr="006962FD">
        <w:rPr>
          <w:rFonts w:ascii="Times New Roman" w:eastAsia="Times" w:hAnsi="Times New Roman" w:cs="Times New Roman"/>
          <w:color w:val="222222"/>
          <w:sz w:val="24"/>
          <w:szCs w:val="24"/>
        </w:rPr>
        <w:t>.</w:t>
      </w:r>
      <w:hyperlink r:id="rId16">
        <w:r w:rsidRPr="006962FD">
          <w:rPr>
            <w:rFonts w:ascii="Times New Roman" w:eastAsia="Times" w:hAnsi="Times New Roman" w:cs="Times New Roman"/>
            <w:color w:val="1155CC"/>
            <w:sz w:val="24"/>
            <w:szCs w:val="24"/>
            <w:u w:val="single"/>
          </w:rPr>
          <w:t>https://eprints.lse.ac.uk/116071/1/businessreview_2022_06_15_precarious_work_and_labour_market_abuses.pdf</w:t>
        </w:r>
      </w:hyperlink>
    </w:p>
    <w:p w14:paraId="20B14DE5"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Cruddas, J., (2022). The Political Economy Of Left And Right Populism. </w:t>
      </w:r>
      <w:r w:rsidRPr="006962FD">
        <w:rPr>
          <w:rFonts w:ascii="Times New Roman" w:eastAsia="Times" w:hAnsi="Times New Roman" w:cs="Times New Roman"/>
          <w:i/>
          <w:color w:val="222222"/>
          <w:sz w:val="24"/>
          <w:szCs w:val="24"/>
        </w:rPr>
        <w:t>National Institute Economic Review</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259</w:t>
      </w:r>
      <w:r w:rsidRPr="006962FD">
        <w:rPr>
          <w:rFonts w:ascii="Times New Roman" w:eastAsia="Times" w:hAnsi="Times New Roman" w:cs="Times New Roman"/>
          <w:color w:val="222222"/>
          <w:sz w:val="24"/>
          <w:szCs w:val="24"/>
        </w:rPr>
        <w:t>, pp.10-19.</w:t>
      </w:r>
      <w:hyperlink r:id="rId17">
        <w:r w:rsidRPr="006962FD">
          <w:rPr>
            <w:rFonts w:ascii="Times New Roman" w:eastAsia="Times" w:hAnsi="Times New Roman" w:cs="Times New Roman"/>
            <w:color w:val="1155CC"/>
            <w:sz w:val="24"/>
            <w:szCs w:val="24"/>
            <w:u w:val="single"/>
          </w:rPr>
          <w:t>https://scholar.archive.org/work/4t2svdog3nfh5pllcn2y7fzzzu/access/wayback/https://www.cambridge.org/core/services/aop-cambridge-core/content/view/AD632019F642D143CC06A5EECAA6E468/S0027950122000060a.pdf/div-class-title-the-political-economy-of-left-and-right-populism-div.pdf</w:t>
        </w:r>
      </w:hyperlink>
    </w:p>
    <w:p w14:paraId="6205033F"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Dagilyte, E., Drydakis, N., Gillin, N., Greenfields, M., Noble, A., Paraskevopoulou, A. and Smith, D.M., (2022). Submission to the Business, Energy and Industrial Strategy Committee’s Inquiry ‘Post-pandemic economic growth: UK labour markets’.</w:t>
      </w:r>
      <w:hyperlink r:id="rId18">
        <w:r w:rsidRPr="006962FD">
          <w:rPr>
            <w:rFonts w:ascii="Times New Roman" w:eastAsia="Times" w:hAnsi="Times New Roman" w:cs="Times New Roman"/>
            <w:color w:val="1155CC"/>
            <w:sz w:val="24"/>
            <w:szCs w:val="24"/>
            <w:u w:val="single"/>
          </w:rPr>
          <w:t>https://arro.anglia.ac.uk/id/eprint/707752/6/Dagilyte_et_al_2022.pdf</w:t>
        </w:r>
      </w:hyperlink>
    </w:p>
    <w:p w14:paraId="3102B9D6"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Dobbins, T., (2022). Good work: policy and research on the quality of work in the UK.</w:t>
      </w:r>
      <w:hyperlink r:id="rId19">
        <w:r w:rsidRPr="006962FD">
          <w:rPr>
            <w:rFonts w:ascii="Times New Roman" w:eastAsia="Times" w:hAnsi="Times New Roman" w:cs="Times New Roman"/>
            <w:color w:val="1155CC"/>
            <w:sz w:val="24"/>
            <w:szCs w:val="24"/>
            <w:u w:val="single"/>
          </w:rPr>
          <w:t>https://research.birmingham.ac.uk/files/180159610/CBP_9561_Dobbins_Good_Work.pdf</w:t>
        </w:r>
      </w:hyperlink>
    </w:p>
    <w:p w14:paraId="745F9C91"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Drosos, D., Kyriakopoulos, G.L., Gkika, E.C., Komisopoulos, F., Skordoulis, M. and Ntanos, S., (2021). Managing Change and Managerial Innovation towards Employees Satisfaction at Workplace. </w:t>
      </w:r>
      <w:r w:rsidRPr="006962FD">
        <w:rPr>
          <w:rFonts w:ascii="Times New Roman" w:eastAsia="Times New Roman" w:hAnsi="Times New Roman" w:cs="Times New Roman"/>
          <w:i/>
          <w:color w:val="222222"/>
          <w:sz w:val="24"/>
          <w:szCs w:val="24"/>
          <w:highlight w:val="white"/>
        </w:rPr>
        <w:t>TEM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10</w:t>
      </w:r>
      <w:r w:rsidRPr="006962FD">
        <w:rPr>
          <w:rFonts w:ascii="Times New Roman" w:eastAsia="Times New Roman" w:hAnsi="Times New Roman" w:cs="Times New Roman"/>
          <w:color w:val="222222"/>
          <w:sz w:val="24"/>
          <w:szCs w:val="24"/>
          <w:highlight w:val="white"/>
        </w:rPr>
        <w:t xml:space="preserve">(2). </w:t>
      </w:r>
      <w:hyperlink r:id="rId20">
        <w:r w:rsidRPr="006962FD">
          <w:rPr>
            <w:rFonts w:ascii="Times New Roman" w:eastAsia="Times New Roman" w:hAnsi="Times New Roman" w:cs="Times New Roman"/>
            <w:color w:val="1155CC"/>
            <w:sz w:val="24"/>
            <w:szCs w:val="24"/>
            <w:highlight w:val="white"/>
            <w:u w:val="single"/>
          </w:rPr>
          <w:t>https://www.researchgate.net/profile/Grigorios-Kyriakopoulos/publication/352006003_Managing_Change_And_Managerial_Innovation_Towards_Employees_Satisfaction_At_Workplace/links/60b52f3d299bf106f6ed971a/Managing-Change-And-Managerial-Innovation-Towards-Employees-Satisfaction-At-Workplace.pdf</w:t>
        </w:r>
      </w:hyperlink>
    </w:p>
    <w:p w14:paraId="280EBA06" w14:textId="77777777" w:rsidR="006962FD" w:rsidRPr="006962FD" w:rsidRDefault="00566828" w:rsidP="006962F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000000"/>
          <w:sz w:val="24"/>
          <w:szCs w:val="24"/>
        </w:rPr>
        <w:t xml:space="preserve">eleni.lazaraki (2021). </w:t>
      </w:r>
      <w:r w:rsidRPr="006962FD">
        <w:rPr>
          <w:rFonts w:ascii="Times New Roman" w:eastAsia="Times New Roman" w:hAnsi="Times New Roman" w:cs="Times New Roman"/>
          <w:i/>
          <w:color w:val="000000"/>
          <w:sz w:val="24"/>
          <w:szCs w:val="24"/>
        </w:rPr>
        <w:t>British Gas ‘fire and rehire’ boiler engineers resulting in mass dismissals – Unfair Dismissal? - Rosenblatt</w:t>
      </w:r>
      <w:r w:rsidRPr="006962FD">
        <w:rPr>
          <w:rFonts w:ascii="Times New Roman" w:eastAsia="Times New Roman" w:hAnsi="Times New Roman" w:cs="Times New Roman"/>
          <w:color w:val="000000"/>
          <w:sz w:val="24"/>
          <w:szCs w:val="24"/>
        </w:rPr>
        <w:t xml:space="preserve">. [online] Rosenblatt. Available at: </w:t>
      </w:r>
      <w:hyperlink r:id="rId21">
        <w:r w:rsidRPr="006962FD">
          <w:rPr>
            <w:rFonts w:ascii="Times New Roman" w:eastAsia="Times New Roman" w:hAnsi="Times New Roman" w:cs="Times New Roman"/>
            <w:color w:val="1155CC"/>
            <w:sz w:val="24"/>
            <w:szCs w:val="24"/>
            <w:u w:val="single"/>
          </w:rPr>
          <w:t>https://www.rosenblatt-law.co.uk/insight/british-gas-fire-and-rehire-boiler-engineers-resulting-in-mass-dismissals-unfair-dismissal/</w:t>
        </w:r>
      </w:hyperlink>
      <w:r w:rsidRPr="006962FD">
        <w:rPr>
          <w:rFonts w:ascii="Times New Roman" w:eastAsia="Times New Roman" w:hAnsi="Times New Roman" w:cs="Times New Roman"/>
          <w:color w:val="000000"/>
          <w:sz w:val="24"/>
          <w:szCs w:val="24"/>
        </w:rPr>
        <w:t xml:space="preserve"> [Accessed 31 Jul. 2023].</w:t>
      </w:r>
    </w:p>
    <w:p w14:paraId="691971F6"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Escrig-Olmedo, E., Fernández-Izquierdo, M.Á., Ferrero-Ferrero, I., Rivera-Lirio, J.M. and Muñoz-Torres, M.J., (2019). Rating the raters: Evaluating how ESG rating agencies integrate sustainability principles. </w:t>
      </w:r>
      <w:r w:rsidRPr="006962FD">
        <w:rPr>
          <w:rFonts w:ascii="Times New Roman" w:eastAsia="Times" w:hAnsi="Times New Roman" w:cs="Times New Roman"/>
          <w:i/>
          <w:color w:val="222222"/>
          <w:sz w:val="24"/>
          <w:szCs w:val="24"/>
        </w:rPr>
        <w:t>Sustainability</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11</w:t>
      </w:r>
      <w:r w:rsidRPr="006962FD">
        <w:rPr>
          <w:rFonts w:ascii="Times New Roman" w:eastAsia="Times" w:hAnsi="Times New Roman" w:cs="Times New Roman"/>
          <w:color w:val="222222"/>
          <w:sz w:val="24"/>
          <w:szCs w:val="24"/>
        </w:rPr>
        <w:t>(3), p.915.</w:t>
      </w:r>
      <w:hyperlink r:id="rId22">
        <w:r w:rsidRPr="006962FD">
          <w:rPr>
            <w:rFonts w:ascii="Times New Roman" w:eastAsia="Times" w:hAnsi="Times New Roman" w:cs="Times New Roman"/>
            <w:color w:val="1155CC"/>
            <w:sz w:val="24"/>
            <w:szCs w:val="24"/>
            <w:u w:val="single"/>
          </w:rPr>
          <w:t>https://www.mdpi.com/2071-1050/11/3/915/pdf</w:t>
        </w:r>
      </w:hyperlink>
    </w:p>
    <w:p w14:paraId="35F4BC51"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Farrukh, M., Sajid, M., Lee, J.W.C. and Shahzad, I.A., (2020). The perception of corporate social responsibility and employee engagement: Examining the underlying mechanism. </w:t>
      </w:r>
      <w:r w:rsidRPr="006962FD">
        <w:rPr>
          <w:rFonts w:ascii="Times New Roman" w:eastAsia="Times New Roman" w:hAnsi="Times New Roman" w:cs="Times New Roman"/>
          <w:i/>
          <w:color w:val="222222"/>
          <w:sz w:val="24"/>
          <w:szCs w:val="24"/>
          <w:highlight w:val="white"/>
        </w:rPr>
        <w:t>Corporate Social Responsibility and Environmental Management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27</w:t>
      </w:r>
      <w:r w:rsidRPr="006962FD">
        <w:rPr>
          <w:rFonts w:ascii="Times New Roman" w:eastAsia="Times New Roman" w:hAnsi="Times New Roman" w:cs="Times New Roman"/>
          <w:color w:val="222222"/>
          <w:sz w:val="24"/>
          <w:szCs w:val="24"/>
          <w:highlight w:val="white"/>
        </w:rPr>
        <w:t xml:space="preserve">(2), pp.760-768. </w:t>
      </w:r>
      <w:hyperlink r:id="rId23">
        <w:r w:rsidRPr="006962FD">
          <w:rPr>
            <w:rFonts w:ascii="Times New Roman" w:eastAsia="Times New Roman" w:hAnsi="Times New Roman" w:cs="Times New Roman"/>
            <w:color w:val="1155CC"/>
            <w:sz w:val="24"/>
            <w:szCs w:val="24"/>
            <w:highlight w:val="white"/>
            <w:u w:val="single"/>
          </w:rPr>
          <w:t>https://onlinelibrary.wiley.com/doi/abs/10.1002/CSR.1842</w:t>
        </w:r>
      </w:hyperlink>
    </w:p>
    <w:p w14:paraId="3FF3565B"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Ferri, F., Grifoni, P. and Guzzo, T., (2020). Online learning and emergency remote teaching: Opportunities and challenges in emergency situations. </w:t>
      </w:r>
      <w:r w:rsidRPr="006962FD">
        <w:rPr>
          <w:rFonts w:ascii="Times New Roman" w:eastAsia="Times" w:hAnsi="Times New Roman" w:cs="Times New Roman"/>
          <w:i/>
          <w:color w:val="222222"/>
          <w:sz w:val="24"/>
          <w:szCs w:val="24"/>
        </w:rPr>
        <w:t>Societies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10</w:t>
      </w:r>
      <w:r w:rsidRPr="006962FD">
        <w:rPr>
          <w:rFonts w:ascii="Times New Roman" w:eastAsia="Times" w:hAnsi="Times New Roman" w:cs="Times New Roman"/>
          <w:color w:val="222222"/>
          <w:sz w:val="24"/>
          <w:szCs w:val="24"/>
        </w:rPr>
        <w:t>(4), p.86.</w:t>
      </w:r>
      <w:hyperlink r:id="rId24">
        <w:r w:rsidRPr="006962FD">
          <w:rPr>
            <w:rFonts w:ascii="Times New Roman" w:eastAsia="Times" w:hAnsi="Times New Roman" w:cs="Times New Roman"/>
            <w:color w:val="1155CC"/>
            <w:sz w:val="24"/>
            <w:szCs w:val="24"/>
            <w:u w:val="single"/>
          </w:rPr>
          <w:t>https://www.mdpi.com/2075-4698/10/4/86/pdf</w:t>
        </w:r>
      </w:hyperlink>
      <w:r w:rsidRPr="006962FD">
        <w:rPr>
          <w:rFonts w:ascii="Times New Roman" w:eastAsia="Times" w:hAnsi="Times New Roman" w:cs="Times New Roman"/>
          <w:color w:val="222222"/>
          <w:sz w:val="24"/>
          <w:szCs w:val="24"/>
        </w:rPr>
        <w:t xml:space="preserve"> </w:t>
      </w:r>
    </w:p>
    <w:p w14:paraId="544B1D38"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Gigauri, I. (2020). Effects of Covid-19 on Human Resource Management from the Perspective of Digitalization and Work-life-balance. </w:t>
      </w:r>
      <w:r w:rsidRPr="006962FD">
        <w:rPr>
          <w:rFonts w:ascii="Times New Roman" w:eastAsia="Times" w:hAnsi="Times New Roman" w:cs="Times New Roman"/>
          <w:i/>
          <w:color w:val="222222"/>
          <w:sz w:val="24"/>
          <w:szCs w:val="24"/>
        </w:rPr>
        <w:t>International Journal of Innovative Technologies in Economy</w:t>
      </w:r>
      <w:r w:rsidRPr="006962FD">
        <w:rPr>
          <w:rFonts w:ascii="Times New Roman" w:eastAsia="Times" w:hAnsi="Times New Roman" w:cs="Times New Roman"/>
          <w:color w:val="222222"/>
          <w:sz w:val="24"/>
          <w:szCs w:val="24"/>
        </w:rPr>
        <w:t>, (4 (31)).</w:t>
      </w:r>
      <w:hyperlink r:id="rId25">
        <w:r w:rsidRPr="006962FD">
          <w:rPr>
            <w:rFonts w:ascii="Times New Roman" w:eastAsia="Times" w:hAnsi="Times New Roman" w:cs="Times New Roman"/>
            <w:color w:val="1155CC"/>
            <w:sz w:val="24"/>
            <w:szCs w:val="24"/>
            <w:u w:val="single"/>
          </w:rPr>
          <w:t>https://rsglobal.pl/index.php/ijite/article/download/1438/1485</w:t>
        </w:r>
      </w:hyperlink>
    </w:p>
    <w:p w14:paraId="5CC046A2"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Gómez, L.F. and Valdés, M.G., (2019). The Evaluation of Teacher Performance in Higher Education. </w:t>
      </w:r>
      <w:r w:rsidRPr="006962FD">
        <w:rPr>
          <w:rFonts w:ascii="Times New Roman" w:eastAsia="Times" w:hAnsi="Times New Roman" w:cs="Times New Roman"/>
          <w:i/>
          <w:color w:val="222222"/>
          <w:sz w:val="24"/>
          <w:szCs w:val="24"/>
        </w:rPr>
        <w:t>Journal of Educational Psychology-Propositos y Representaciones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7</w:t>
      </w:r>
      <w:r w:rsidRPr="006962FD">
        <w:rPr>
          <w:rFonts w:ascii="Times New Roman" w:eastAsia="Times" w:hAnsi="Times New Roman" w:cs="Times New Roman"/>
          <w:color w:val="222222"/>
          <w:sz w:val="24"/>
          <w:szCs w:val="24"/>
        </w:rPr>
        <w:t>(2), pp.499-515.</w:t>
      </w:r>
      <w:hyperlink r:id="rId26">
        <w:r w:rsidRPr="006962FD">
          <w:rPr>
            <w:rFonts w:ascii="Times New Roman" w:eastAsia="Times" w:hAnsi="Times New Roman" w:cs="Times New Roman"/>
            <w:color w:val="1155CC"/>
            <w:sz w:val="24"/>
            <w:szCs w:val="24"/>
            <w:u w:val="single"/>
          </w:rPr>
          <w:t>https://files.eric.ed.gov/fulltext/EJ1220554.pdf</w:t>
        </w:r>
      </w:hyperlink>
    </w:p>
    <w:p w14:paraId="2F16250F" w14:textId="77777777" w:rsid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Hosseini, E. and Sabokro, M., (2022). A Systematic Literature Review of the Organizational Voice. </w:t>
      </w:r>
      <w:r w:rsidRPr="006962FD">
        <w:rPr>
          <w:rFonts w:ascii="Times New Roman" w:eastAsia="Times New Roman" w:hAnsi="Times New Roman" w:cs="Times New Roman"/>
          <w:i/>
          <w:color w:val="222222"/>
          <w:sz w:val="24"/>
          <w:szCs w:val="24"/>
          <w:highlight w:val="white"/>
        </w:rPr>
        <w:t>Iranian Journal of Management Studies</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15</w:t>
      </w:r>
      <w:r w:rsidRPr="006962FD">
        <w:rPr>
          <w:rFonts w:ascii="Times New Roman" w:eastAsia="Times New Roman" w:hAnsi="Times New Roman" w:cs="Times New Roman"/>
          <w:color w:val="222222"/>
          <w:sz w:val="24"/>
          <w:szCs w:val="24"/>
          <w:highlight w:val="white"/>
        </w:rPr>
        <w:t xml:space="preserve">(2). </w:t>
      </w:r>
      <w:hyperlink r:id="rId27">
        <w:r w:rsidRPr="006962FD">
          <w:rPr>
            <w:rFonts w:ascii="Times New Roman" w:eastAsia="Times New Roman" w:hAnsi="Times New Roman" w:cs="Times New Roman"/>
            <w:color w:val="1155CC"/>
            <w:sz w:val="24"/>
            <w:szCs w:val="24"/>
            <w:highlight w:val="white"/>
            <w:u w:val="single"/>
          </w:rPr>
          <w:t>https://www.researchgate.net/profile/Elahe-Hosseini-4/publication/359025910_A_Systematic_Literature_Review_of_the_Organizational_Voice/links/62234bda3c53d31ba4a8ef97/A-Systematic-Literature-Review-of-the-Organizational-Voice.pdf?origin=journalDetail&amp;_tp=eyJwYWdlIjoiam91cm5hbERldGFpbCJ9</w:t>
        </w:r>
      </w:hyperlink>
    </w:p>
    <w:p w14:paraId="07DA3CCC"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Iweka, O., Liu, S., Shukla, A. and Yan, D., (2019). Energy and behaviour at home: A review of intervention methods and practices. </w:t>
      </w:r>
      <w:r w:rsidRPr="006962FD">
        <w:rPr>
          <w:rFonts w:ascii="Times New Roman" w:eastAsia="Times New Roman" w:hAnsi="Times New Roman" w:cs="Times New Roman"/>
          <w:i/>
          <w:color w:val="222222"/>
          <w:sz w:val="24"/>
          <w:szCs w:val="24"/>
          <w:highlight w:val="white"/>
        </w:rPr>
        <w:t>Energy Research &amp; Social Science</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57</w:t>
      </w:r>
      <w:r w:rsidRPr="006962FD">
        <w:rPr>
          <w:rFonts w:ascii="Times New Roman" w:eastAsia="Times New Roman" w:hAnsi="Times New Roman" w:cs="Times New Roman"/>
          <w:color w:val="222222"/>
          <w:sz w:val="24"/>
          <w:szCs w:val="24"/>
          <w:highlight w:val="white"/>
        </w:rPr>
        <w:t xml:space="preserve">, p.101238. </w:t>
      </w:r>
      <w:hyperlink r:id="rId28">
        <w:r w:rsidRPr="006962FD">
          <w:rPr>
            <w:rFonts w:ascii="Times New Roman" w:eastAsia="Times New Roman" w:hAnsi="Times New Roman" w:cs="Times New Roman"/>
            <w:color w:val="1155CC"/>
            <w:sz w:val="24"/>
            <w:szCs w:val="24"/>
            <w:highlight w:val="white"/>
            <w:u w:val="single"/>
          </w:rPr>
          <w:t>https://www.sciencedirect.com/science/article/pii/S2214629619302853</w:t>
        </w:r>
      </w:hyperlink>
    </w:p>
    <w:p w14:paraId="794426BE"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Karademir, A., Yaman, F. and Saatçioglu, Ö., (2020). Challenges of Higher Education Institutions against COVID-19: The Case of Turkey. </w:t>
      </w:r>
      <w:r w:rsidRPr="006962FD">
        <w:rPr>
          <w:rFonts w:ascii="Times New Roman" w:eastAsia="Times" w:hAnsi="Times New Roman" w:cs="Times New Roman"/>
          <w:i/>
          <w:color w:val="222222"/>
          <w:sz w:val="24"/>
          <w:szCs w:val="24"/>
        </w:rPr>
        <w:t>Journal of Pedagogical Research</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4</w:t>
      </w:r>
      <w:r w:rsidRPr="006962FD">
        <w:rPr>
          <w:rFonts w:ascii="Times New Roman" w:eastAsia="Times" w:hAnsi="Times New Roman" w:cs="Times New Roman"/>
          <w:color w:val="222222"/>
          <w:sz w:val="24"/>
          <w:szCs w:val="24"/>
        </w:rPr>
        <w:t>(4), pp.453-474.</w:t>
      </w:r>
      <w:hyperlink r:id="rId29">
        <w:r w:rsidRPr="006962FD">
          <w:rPr>
            <w:rFonts w:ascii="Times New Roman" w:eastAsia="Times" w:hAnsi="Times New Roman" w:cs="Times New Roman"/>
            <w:color w:val="1155CC"/>
            <w:sz w:val="24"/>
            <w:szCs w:val="24"/>
            <w:u w:val="single"/>
          </w:rPr>
          <w:t>https://files.eric.ed.gov/fulltext/EJ1282764.pdf</w:t>
        </w:r>
      </w:hyperlink>
    </w:p>
    <w:p w14:paraId="0DA4860D"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Li, S., Rees, C.J. and Branine, M., (2019). Employees’ perceptions of human resource management practices and employee outcomes: Empirical evidence from small and medium-sized enterprises in China. </w:t>
      </w:r>
      <w:r w:rsidRPr="006962FD">
        <w:rPr>
          <w:rFonts w:ascii="Times New Roman" w:eastAsia="Times New Roman" w:hAnsi="Times New Roman" w:cs="Times New Roman"/>
          <w:i/>
          <w:color w:val="222222"/>
          <w:sz w:val="24"/>
          <w:szCs w:val="24"/>
          <w:highlight w:val="white"/>
        </w:rPr>
        <w:t>Employee Relations: The International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41</w:t>
      </w:r>
      <w:r w:rsidRPr="006962FD">
        <w:rPr>
          <w:rFonts w:ascii="Times New Roman" w:eastAsia="Times New Roman" w:hAnsi="Times New Roman" w:cs="Times New Roman"/>
          <w:color w:val="222222"/>
          <w:sz w:val="24"/>
          <w:szCs w:val="24"/>
          <w:highlight w:val="white"/>
        </w:rPr>
        <w:t xml:space="preserve">(6), pp.1419-1433. </w:t>
      </w:r>
      <w:hyperlink r:id="rId30">
        <w:r w:rsidRPr="006962FD">
          <w:rPr>
            <w:rFonts w:ascii="Times New Roman" w:eastAsia="Times New Roman" w:hAnsi="Times New Roman" w:cs="Times New Roman"/>
            <w:color w:val="1155CC"/>
            <w:sz w:val="24"/>
            <w:szCs w:val="24"/>
            <w:highlight w:val="white"/>
            <w:u w:val="single"/>
          </w:rPr>
          <w:t>https://rke.abertay.ac.uk/files/16503794/Branine_EmployeesPerceptionsOfHuman_Accepted_(2019).PDF</w:t>
        </w:r>
      </w:hyperlink>
    </w:p>
    <w:p w14:paraId="501BFA58"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Manzoor, F., Wei, L., Bányai, T., Nurunnabi, M. and Subhan, Q.A., (2019). An examination of sustainable HRM practices on job performance: An application of training as a moderator. </w:t>
      </w:r>
      <w:r w:rsidRPr="006962FD">
        <w:rPr>
          <w:rFonts w:ascii="Times New Roman" w:eastAsia="Times" w:hAnsi="Times New Roman" w:cs="Times New Roman"/>
          <w:i/>
          <w:color w:val="222222"/>
          <w:sz w:val="24"/>
          <w:szCs w:val="24"/>
        </w:rPr>
        <w:t>Sustainability</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11</w:t>
      </w:r>
      <w:r w:rsidRPr="006962FD">
        <w:rPr>
          <w:rFonts w:ascii="Times New Roman" w:eastAsia="Times" w:hAnsi="Times New Roman" w:cs="Times New Roman"/>
          <w:color w:val="222222"/>
          <w:sz w:val="24"/>
          <w:szCs w:val="24"/>
        </w:rPr>
        <w:t>(8), p.2263.</w:t>
      </w:r>
      <w:hyperlink r:id="rId31">
        <w:r w:rsidRPr="006962FD">
          <w:rPr>
            <w:rFonts w:ascii="Times New Roman" w:eastAsia="Times" w:hAnsi="Times New Roman" w:cs="Times New Roman"/>
            <w:color w:val="1155CC"/>
            <w:sz w:val="24"/>
            <w:szCs w:val="24"/>
            <w:u w:val="single"/>
          </w:rPr>
          <w:t>https://www.mdpi.com/2071-1050/11/8/2263/pdf</w:t>
        </w:r>
      </w:hyperlink>
    </w:p>
    <w:p w14:paraId="573C6251"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Massaro, M., Secinaro, S., Dal Mas, F., Brescia, V. and Calandra, D., (2021). Industry 4.0 and circular economy: An exploratory analysis of academic and practitioners' perspectives. </w:t>
      </w:r>
      <w:r w:rsidRPr="006962FD">
        <w:rPr>
          <w:rFonts w:ascii="Times New Roman" w:eastAsia="Times New Roman" w:hAnsi="Times New Roman" w:cs="Times New Roman"/>
          <w:i/>
          <w:color w:val="222222"/>
          <w:sz w:val="24"/>
          <w:szCs w:val="24"/>
          <w:highlight w:val="white"/>
        </w:rPr>
        <w:t>Business Strategy and the Environment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30</w:t>
      </w:r>
      <w:r w:rsidRPr="006962FD">
        <w:rPr>
          <w:rFonts w:ascii="Times New Roman" w:eastAsia="Times New Roman" w:hAnsi="Times New Roman" w:cs="Times New Roman"/>
          <w:color w:val="222222"/>
          <w:sz w:val="24"/>
          <w:szCs w:val="24"/>
          <w:highlight w:val="white"/>
        </w:rPr>
        <w:t xml:space="preserve">(2), pp.1213-1231. </w:t>
      </w:r>
      <w:hyperlink r:id="rId32">
        <w:r w:rsidRPr="006962FD">
          <w:rPr>
            <w:rFonts w:ascii="Times New Roman" w:eastAsia="Times New Roman" w:hAnsi="Times New Roman" w:cs="Times New Roman"/>
            <w:color w:val="1155CC"/>
            <w:sz w:val="24"/>
            <w:szCs w:val="24"/>
            <w:highlight w:val="white"/>
            <w:u w:val="single"/>
          </w:rPr>
          <w:t>https://onlinelibrary.wiley.com/doi/abs/10.1002/bse.2680</w:t>
        </w:r>
      </w:hyperlink>
    </w:p>
    <w:p w14:paraId="5839D2A1" w14:textId="77777777"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Muis, K.R., Denton, C. and Dubé, A., (2022). Identifying CRAAP on the Internet: A Source Evaluation Intervention. </w:t>
      </w:r>
      <w:r w:rsidRPr="006962FD">
        <w:rPr>
          <w:rFonts w:ascii="Times New Roman" w:eastAsia="Times New Roman" w:hAnsi="Times New Roman" w:cs="Times New Roman"/>
          <w:i/>
          <w:color w:val="222222"/>
          <w:sz w:val="24"/>
          <w:szCs w:val="24"/>
        </w:rPr>
        <w:t>Advances in Social Sciences Research Journal</w:t>
      </w:r>
      <w:r w:rsidRPr="006962FD">
        <w:rPr>
          <w:rFonts w:ascii="Times New Roman" w:eastAsia="Times New Roman" w:hAnsi="Times New Roman" w:cs="Times New Roman"/>
          <w:color w:val="222222"/>
          <w:sz w:val="24"/>
          <w:szCs w:val="24"/>
        </w:rPr>
        <w:t xml:space="preserve">, </w:t>
      </w:r>
      <w:r w:rsidRPr="006962FD">
        <w:rPr>
          <w:rFonts w:ascii="Times New Roman" w:eastAsia="Times New Roman" w:hAnsi="Times New Roman" w:cs="Times New Roman"/>
          <w:i/>
          <w:color w:val="222222"/>
          <w:sz w:val="24"/>
          <w:szCs w:val="24"/>
        </w:rPr>
        <w:t>9</w:t>
      </w:r>
      <w:r w:rsidRPr="006962FD">
        <w:rPr>
          <w:rFonts w:ascii="Times New Roman" w:eastAsia="Times New Roman" w:hAnsi="Times New Roman" w:cs="Times New Roman"/>
          <w:color w:val="222222"/>
          <w:sz w:val="24"/>
          <w:szCs w:val="24"/>
        </w:rPr>
        <w:t>(7), pp.239-265.</w:t>
      </w:r>
      <w:hyperlink r:id="rId33">
        <w:r w:rsidRPr="006962FD">
          <w:rPr>
            <w:rFonts w:ascii="Times New Roman" w:eastAsia="Times New Roman" w:hAnsi="Times New Roman" w:cs="Times New Roman"/>
            <w:color w:val="222222"/>
            <w:sz w:val="24"/>
            <w:szCs w:val="24"/>
          </w:rPr>
          <w:t xml:space="preserve"> </w:t>
        </w:r>
      </w:hyperlink>
      <w:hyperlink r:id="rId34">
        <w:r w:rsidRPr="006962FD">
          <w:rPr>
            <w:rFonts w:ascii="Times New Roman" w:eastAsia="Times New Roman" w:hAnsi="Times New Roman" w:cs="Times New Roman"/>
            <w:color w:val="1155CC"/>
            <w:sz w:val="24"/>
            <w:szCs w:val="24"/>
            <w:highlight w:val="white"/>
            <w:u w:val="single"/>
          </w:rPr>
          <w:t>https://www.researchgate.net/profile/Adam-Dube/publication/362327098_Identifying_CRAAP_on_the_Internet_A_Source_Evaluation_Intervention/links/62fea0dfceb9764f7206d5a7/Identifying-CRAAP-on-the-Internet-A-Source-Evaluation-Intervention.pdf</w:t>
        </w:r>
      </w:hyperlink>
    </w:p>
    <w:p w14:paraId="090311D3"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Nantee, N. and Sureeyatanapas, P., (2021). The impact of Logistics 4.0 on corporate sustainability: a performance assessment of automated warehouse operations. </w:t>
      </w:r>
      <w:r w:rsidRPr="006962FD">
        <w:rPr>
          <w:rFonts w:ascii="Times New Roman" w:eastAsia="Times New Roman" w:hAnsi="Times New Roman" w:cs="Times New Roman"/>
          <w:i/>
          <w:color w:val="222222"/>
          <w:sz w:val="24"/>
          <w:szCs w:val="24"/>
          <w:highlight w:val="white"/>
        </w:rPr>
        <w:t>Benchmarking: An International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28</w:t>
      </w:r>
      <w:r w:rsidRPr="006962FD">
        <w:rPr>
          <w:rFonts w:ascii="Times New Roman" w:eastAsia="Times New Roman" w:hAnsi="Times New Roman" w:cs="Times New Roman"/>
          <w:color w:val="222222"/>
          <w:sz w:val="24"/>
          <w:szCs w:val="24"/>
          <w:highlight w:val="white"/>
        </w:rPr>
        <w:t xml:space="preserve">(10), pp.2865-2895. </w:t>
      </w:r>
      <w:hyperlink r:id="rId35">
        <w:r w:rsidRPr="006962FD">
          <w:rPr>
            <w:rFonts w:ascii="Times New Roman" w:eastAsia="Times New Roman" w:hAnsi="Times New Roman" w:cs="Times New Roman"/>
            <w:color w:val="1155CC"/>
            <w:sz w:val="24"/>
            <w:szCs w:val="24"/>
            <w:highlight w:val="white"/>
            <w:u w:val="single"/>
          </w:rPr>
          <w:t>https://www.emerald.com/insight/content/doi/10.1108/BIJ-11-(2020)-0583</w:t>
        </w:r>
      </w:hyperlink>
    </w:p>
    <w:p w14:paraId="474064AC"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Pattnaik, L. and Jena, L.K., (2020). Mindfulness, remote engagement and employee morale: conceptual analysis to address the “new normal”. </w:t>
      </w:r>
      <w:r w:rsidRPr="006962FD">
        <w:rPr>
          <w:rFonts w:ascii="Times New Roman" w:eastAsia="Times New Roman" w:hAnsi="Times New Roman" w:cs="Times New Roman"/>
          <w:i/>
          <w:color w:val="222222"/>
          <w:sz w:val="24"/>
          <w:szCs w:val="24"/>
          <w:highlight w:val="white"/>
        </w:rPr>
        <w:t>International Journal of Organizational Analysis</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29</w:t>
      </w:r>
      <w:r w:rsidRPr="006962FD">
        <w:rPr>
          <w:rFonts w:ascii="Times New Roman" w:eastAsia="Times New Roman" w:hAnsi="Times New Roman" w:cs="Times New Roman"/>
          <w:color w:val="222222"/>
          <w:sz w:val="24"/>
          <w:szCs w:val="24"/>
          <w:highlight w:val="white"/>
        </w:rPr>
        <w:t xml:space="preserve">(4), pp.873-890. </w:t>
      </w:r>
      <w:hyperlink r:id="rId36">
        <w:r w:rsidRPr="006962FD">
          <w:rPr>
            <w:rFonts w:ascii="Times New Roman" w:eastAsia="Times New Roman" w:hAnsi="Times New Roman" w:cs="Times New Roman"/>
            <w:color w:val="1155CC"/>
            <w:sz w:val="24"/>
            <w:szCs w:val="24"/>
            <w:highlight w:val="white"/>
            <w:u w:val="single"/>
          </w:rPr>
          <w:t>http://bbemail.s3.amazonaws.com/PROD/ulib/ae3z4l/docs/968b6acf-74e8-89a3-294f-1fa249447687/MoraleandEngagement.pdf</w:t>
        </w:r>
      </w:hyperlink>
    </w:p>
    <w:p w14:paraId="3C94E69C"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Pham, D.D.T. and Paillé, P., (2020). Green recruitment and selection: an insight into green patterns. </w:t>
      </w:r>
      <w:r w:rsidRPr="006962FD">
        <w:rPr>
          <w:rFonts w:ascii="Times New Roman" w:eastAsia="Times New Roman" w:hAnsi="Times New Roman" w:cs="Times New Roman"/>
          <w:i/>
          <w:color w:val="222222"/>
          <w:sz w:val="24"/>
          <w:szCs w:val="24"/>
          <w:highlight w:val="white"/>
        </w:rPr>
        <w:t>International Journal of Manpower</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41</w:t>
      </w:r>
      <w:r w:rsidRPr="006962FD">
        <w:rPr>
          <w:rFonts w:ascii="Times New Roman" w:eastAsia="Times New Roman" w:hAnsi="Times New Roman" w:cs="Times New Roman"/>
          <w:color w:val="222222"/>
          <w:sz w:val="24"/>
          <w:szCs w:val="24"/>
          <w:highlight w:val="white"/>
        </w:rPr>
        <w:t xml:space="preserve">(3), pp.258-272. </w:t>
      </w:r>
      <w:hyperlink r:id="rId37">
        <w:r w:rsidRPr="006962FD">
          <w:rPr>
            <w:rFonts w:ascii="Times New Roman" w:eastAsia="Times New Roman" w:hAnsi="Times New Roman" w:cs="Times New Roman"/>
            <w:color w:val="1155CC"/>
            <w:sz w:val="24"/>
            <w:szCs w:val="24"/>
            <w:highlight w:val="white"/>
            <w:u w:val="single"/>
          </w:rPr>
          <w:t>https://www.researchgate.net/profile/Do-Dieu-Thu-Pham/publication/344653706_Green_recruitment_and_selection_an_insight_into_green_patterns/links/6366b0112f4bca7fd034ba78/Green-recruitment-and-selection-an-insight-into-green-patterns.pdf</w:t>
        </w:r>
      </w:hyperlink>
    </w:p>
    <w:p w14:paraId="2AE1D8E3"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Pham, N.T., Tučková, Z. and Jabbour, C.J.C., (2019). Greening the hospitality industry: How do green human resource management practices influence organisational citizenship behaviour in hotels? A mixed-methods study. </w:t>
      </w:r>
      <w:r w:rsidRPr="006962FD">
        <w:rPr>
          <w:rFonts w:ascii="Times New Roman" w:eastAsia="Times New Roman" w:hAnsi="Times New Roman" w:cs="Times New Roman"/>
          <w:i/>
          <w:color w:val="222222"/>
          <w:sz w:val="24"/>
          <w:szCs w:val="24"/>
          <w:highlight w:val="white"/>
        </w:rPr>
        <w:t>Tourism management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72</w:t>
      </w:r>
      <w:r w:rsidRPr="006962FD">
        <w:rPr>
          <w:rFonts w:ascii="Times New Roman" w:eastAsia="Times New Roman" w:hAnsi="Times New Roman" w:cs="Times New Roman"/>
          <w:color w:val="222222"/>
          <w:sz w:val="24"/>
          <w:szCs w:val="24"/>
          <w:highlight w:val="white"/>
        </w:rPr>
        <w:t xml:space="preserve">, pp.386-399. </w:t>
      </w:r>
      <w:hyperlink r:id="rId38">
        <w:r w:rsidRPr="006962FD">
          <w:rPr>
            <w:rFonts w:ascii="Times New Roman" w:eastAsia="Times New Roman" w:hAnsi="Times New Roman" w:cs="Times New Roman"/>
            <w:color w:val="1155CC"/>
            <w:sz w:val="24"/>
            <w:szCs w:val="24"/>
            <w:highlight w:val="white"/>
            <w:u w:val="single"/>
          </w:rPr>
          <w:t>https://e-tarjome.com/storage/panel/fileuploads/(2019)-08-19/1566214125_E12569-e-tarjome.pdf</w:t>
        </w:r>
      </w:hyperlink>
    </w:p>
    <w:p w14:paraId="232E4B0F" w14:textId="77777777"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Pym, J.G. (2021). </w:t>
      </w:r>
      <w:r w:rsidRPr="006962FD">
        <w:rPr>
          <w:rFonts w:ascii="Times New Roman" w:eastAsia="Times New Roman" w:hAnsi="Times New Roman" w:cs="Times New Roman"/>
          <w:i/>
          <w:color w:val="222222"/>
          <w:sz w:val="24"/>
          <w:szCs w:val="24"/>
        </w:rPr>
        <w:t>Managing Innovation Under Nationalisation: the British Gas industry and the first trans-oceanic transportation of Liquefied Natural Gas: 1954-1959</w:t>
      </w:r>
      <w:r w:rsidRPr="006962FD">
        <w:rPr>
          <w:rFonts w:ascii="Times New Roman" w:eastAsia="Times New Roman" w:hAnsi="Times New Roman" w:cs="Times New Roman"/>
          <w:color w:val="222222"/>
          <w:sz w:val="24"/>
          <w:szCs w:val="24"/>
        </w:rPr>
        <w:t xml:space="preserve"> (Doctoral dissertation, University of Leicester).</w:t>
      </w:r>
      <w:hyperlink r:id="rId39">
        <w:r w:rsidRPr="006962FD">
          <w:rPr>
            <w:rFonts w:ascii="Times New Roman" w:eastAsia="Times New Roman" w:hAnsi="Times New Roman" w:cs="Times New Roman"/>
            <w:color w:val="222222"/>
            <w:sz w:val="24"/>
            <w:szCs w:val="24"/>
          </w:rPr>
          <w:t xml:space="preserve"> </w:t>
        </w:r>
      </w:hyperlink>
      <w:hyperlink r:id="rId40">
        <w:r w:rsidRPr="006962FD">
          <w:rPr>
            <w:rFonts w:ascii="Times New Roman" w:eastAsia="Times New Roman" w:hAnsi="Times New Roman" w:cs="Times New Roman"/>
            <w:color w:val="1155CC"/>
            <w:sz w:val="24"/>
            <w:szCs w:val="24"/>
            <w:highlight w:val="white"/>
            <w:u w:val="single"/>
          </w:rPr>
          <w:t>https://leicester.figshare.com/articles/thesis/Managing_Innovation_Under_Nationalisation_the_British_Gas_industry_and_the_first_trans-oceanic_transportation_of_Liquefied_Natural_Gas_1954-1959/17099654/1/files/31619294.pdf</w:t>
        </w:r>
      </w:hyperlink>
    </w:p>
    <w:p w14:paraId="796DB2CF"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Safari, A., Das, N., Langhelle, O., Roy, J. and Assadi, M., (2019). Natural gas: A transition fuel for sustainable energy system transformation? </w:t>
      </w:r>
      <w:r w:rsidRPr="006962FD">
        <w:rPr>
          <w:rFonts w:ascii="Times New Roman" w:eastAsia="Times New Roman" w:hAnsi="Times New Roman" w:cs="Times New Roman"/>
          <w:i/>
          <w:color w:val="222222"/>
          <w:sz w:val="24"/>
          <w:szCs w:val="24"/>
          <w:highlight w:val="white"/>
        </w:rPr>
        <w:t>Energy Science &amp; Engineering</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7</w:t>
      </w:r>
      <w:r w:rsidRPr="006962FD">
        <w:rPr>
          <w:rFonts w:ascii="Times New Roman" w:eastAsia="Times New Roman" w:hAnsi="Times New Roman" w:cs="Times New Roman"/>
          <w:color w:val="222222"/>
          <w:sz w:val="24"/>
          <w:szCs w:val="24"/>
          <w:highlight w:val="white"/>
        </w:rPr>
        <w:t xml:space="preserve">(4), pp.1075-1094. </w:t>
      </w:r>
      <w:hyperlink r:id="rId41">
        <w:r w:rsidRPr="006962FD">
          <w:rPr>
            <w:rFonts w:ascii="Times New Roman" w:eastAsia="Times New Roman" w:hAnsi="Times New Roman" w:cs="Times New Roman"/>
            <w:color w:val="1155CC"/>
            <w:sz w:val="24"/>
            <w:szCs w:val="24"/>
            <w:highlight w:val="white"/>
            <w:u w:val="single"/>
          </w:rPr>
          <w:t>https://onlinelibrary.wiley.com/doi/pdf/10.1002/ese3.380</w:t>
        </w:r>
      </w:hyperlink>
    </w:p>
    <w:p w14:paraId="705B66C5"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Salvioni, D.M. and Almici, A., (2020). Transitioning toward a circular economy: The impact of stakeholder engagement on sustainability culture. </w:t>
      </w:r>
      <w:r w:rsidRPr="006962FD">
        <w:rPr>
          <w:rFonts w:ascii="Times New Roman" w:eastAsia="Times New Roman" w:hAnsi="Times New Roman" w:cs="Times New Roman"/>
          <w:i/>
          <w:color w:val="222222"/>
          <w:sz w:val="24"/>
          <w:szCs w:val="24"/>
          <w:highlight w:val="white"/>
        </w:rPr>
        <w:t>Sustainability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12</w:t>
      </w:r>
      <w:r w:rsidRPr="006962FD">
        <w:rPr>
          <w:rFonts w:ascii="Times New Roman" w:eastAsia="Times New Roman" w:hAnsi="Times New Roman" w:cs="Times New Roman"/>
          <w:color w:val="222222"/>
          <w:sz w:val="24"/>
          <w:szCs w:val="24"/>
          <w:highlight w:val="white"/>
        </w:rPr>
        <w:t xml:space="preserve">(20), p.8641. </w:t>
      </w:r>
      <w:hyperlink r:id="rId42">
        <w:r w:rsidRPr="006962FD">
          <w:rPr>
            <w:rFonts w:ascii="Times New Roman" w:eastAsia="Times New Roman" w:hAnsi="Times New Roman" w:cs="Times New Roman"/>
            <w:color w:val="1155CC"/>
            <w:sz w:val="24"/>
            <w:szCs w:val="24"/>
            <w:highlight w:val="white"/>
            <w:u w:val="single"/>
          </w:rPr>
          <w:t>https://www.mdpi.com/2071-1050/12/20/8641/pdf</w:t>
        </w:r>
      </w:hyperlink>
    </w:p>
    <w:p w14:paraId="3C1B837B"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Shackleton, L., 2022. Summertime Blues: Unions, strikes and the law in (2022). </w:t>
      </w:r>
      <w:r w:rsidRPr="006962FD">
        <w:rPr>
          <w:rFonts w:ascii="Times New Roman" w:eastAsia="Times" w:hAnsi="Times New Roman" w:cs="Times New Roman"/>
          <w:i/>
          <w:color w:val="222222"/>
          <w:sz w:val="24"/>
          <w:szCs w:val="24"/>
        </w:rPr>
        <w:t>Institute of Economic Affairs Monographs, Forthcoming, IEA Briefing Paper</w:t>
      </w:r>
      <w:r w:rsidRPr="006962FD">
        <w:rPr>
          <w:rFonts w:ascii="Times New Roman" w:eastAsia="Times" w:hAnsi="Times New Roman" w:cs="Times New Roman"/>
          <w:color w:val="222222"/>
          <w:sz w:val="24"/>
          <w:szCs w:val="24"/>
        </w:rPr>
        <w:t>.</w:t>
      </w:r>
      <w:hyperlink r:id="rId43">
        <w:r w:rsidRPr="006962FD">
          <w:rPr>
            <w:rFonts w:ascii="Times New Roman" w:eastAsia="Times" w:hAnsi="Times New Roman" w:cs="Times New Roman"/>
            <w:color w:val="1155CC"/>
            <w:sz w:val="24"/>
            <w:szCs w:val="24"/>
            <w:u w:val="single"/>
          </w:rPr>
          <w:t>https://iea.org.uk/wp-content/uploads/2022/07/SUMMERTIME-BLUES-SHACKLETON.pdf</w:t>
        </w:r>
      </w:hyperlink>
    </w:p>
    <w:p w14:paraId="1E848F09" w14:textId="017A29B9" w:rsidR="006962FD" w:rsidRPr="00CE6E67" w:rsidRDefault="00566828" w:rsidP="00CE6E67">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Shrotryia, V.K. and Dhanda, U. (2019). Content validity of assessment instrument for employee engagement. </w:t>
      </w:r>
      <w:r w:rsidRPr="006962FD">
        <w:rPr>
          <w:rFonts w:ascii="Times New Roman" w:eastAsia="Times New Roman" w:hAnsi="Times New Roman" w:cs="Times New Roman"/>
          <w:i/>
          <w:color w:val="222222"/>
          <w:sz w:val="24"/>
          <w:szCs w:val="24"/>
          <w:highlight w:val="white"/>
        </w:rPr>
        <w:t>Sage Open</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9</w:t>
      </w:r>
      <w:r w:rsidRPr="006962FD">
        <w:rPr>
          <w:rFonts w:ascii="Times New Roman" w:eastAsia="Times New Roman" w:hAnsi="Times New Roman" w:cs="Times New Roman"/>
          <w:color w:val="222222"/>
          <w:sz w:val="24"/>
          <w:szCs w:val="24"/>
          <w:highlight w:val="white"/>
        </w:rPr>
        <w:t xml:space="preserve">(1), p.2158244018821751. </w:t>
      </w:r>
      <w:hyperlink r:id="rId44">
        <w:r w:rsidRPr="006962FD">
          <w:rPr>
            <w:rFonts w:ascii="Times New Roman" w:eastAsia="Times New Roman" w:hAnsi="Times New Roman" w:cs="Times New Roman"/>
            <w:color w:val="1155CC"/>
            <w:sz w:val="24"/>
            <w:szCs w:val="24"/>
            <w:highlight w:val="white"/>
            <w:u w:val="single"/>
          </w:rPr>
          <w:t>https://journals.sagepub.com/doi/full/10.1177/2158244018821751</w:t>
        </w:r>
      </w:hyperlink>
      <w:r w:rsidRPr="006962FD">
        <w:rPr>
          <w:rFonts w:ascii="Times New Roman" w:eastAsia="Times New Roman" w:hAnsi="Times New Roman" w:cs="Times New Roman"/>
          <w:color w:val="000000"/>
          <w:sz w:val="24"/>
          <w:szCs w:val="24"/>
        </w:rPr>
        <w:t xml:space="preserve"> </w:t>
      </w:r>
    </w:p>
    <w:p w14:paraId="4BA01F09" w14:textId="77777777" w:rsidR="005A2268" w:rsidRDefault="00566828" w:rsidP="005A2268">
      <w:pPr>
        <w:spacing w:line="360" w:lineRule="auto"/>
        <w:jc w:val="both"/>
        <w:rPr>
          <w:rFonts w:ascii="Times New Roman" w:eastAsia="Times New Roman" w:hAnsi="Times New Roman" w:cs="Times New Roman"/>
          <w:color w:val="222222"/>
          <w:sz w:val="24"/>
          <w:szCs w:val="24"/>
        </w:rPr>
      </w:pPr>
      <w:r w:rsidRPr="006962FD">
        <w:rPr>
          <w:rFonts w:ascii="Times New Roman" w:eastAsia="Times New Roman" w:hAnsi="Times New Roman" w:cs="Times New Roman"/>
          <w:color w:val="222222"/>
          <w:sz w:val="24"/>
          <w:szCs w:val="24"/>
          <w:highlight w:val="white"/>
        </w:rPr>
        <w:t xml:space="preserve">Tennison, I., Roschnik, S., Ashby, B., Boyd, R., Hamilton, I., Oreszczyn, T., Owen, A., Romanello, M., Ruyssevelt, P., Sherman, J.D. and Smith, A.Z., (2021). Health care's response to climate change: a carbon footprint assessment of the NHS in England. </w:t>
      </w:r>
      <w:r w:rsidRPr="006962FD">
        <w:rPr>
          <w:rFonts w:ascii="Times New Roman" w:eastAsia="Times New Roman" w:hAnsi="Times New Roman" w:cs="Times New Roman"/>
          <w:i/>
          <w:color w:val="222222"/>
          <w:sz w:val="24"/>
          <w:szCs w:val="24"/>
          <w:highlight w:val="white"/>
        </w:rPr>
        <w:t>The Lancet Planetary Health</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5</w:t>
      </w:r>
      <w:r w:rsidRPr="006962FD">
        <w:rPr>
          <w:rFonts w:ascii="Times New Roman" w:eastAsia="Times New Roman" w:hAnsi="Times New Roman" w:cs="Times New Roman"/>
          <w:color w:val="222222"/>
          <w:sz w:val="24"/>
          <w:szCs w:val="24"/>
          <w:highlight w:val="white"/>
        </w:rPr>
        <w:t xml:space="preserve">(2), pp.e84-e92. </w:t>
      </w:r>
      <w:hyperlink r:id="rId45">
        <w:r w:rsidRPr="006962FD">
          <w:rPr>
            <w:rFonts w:ascii="Times New Roman" w:eastAsia="Times New Roman" w:hAnsi="Times New Roman" w:cs="Times New Roman"/>
            <w:color w:val="1155CC"/>
            <w:sz w:val="24"/>
            <w:szCs w:val="24"/>
            <w:highlight w:val="white"/>
            <w:u w:val="single"/>
          </w:rPr>
          <w:t>https://www.thelancet.com/journals/lanplh/article/PIIS2542-5196(20)30271-0/fulltext?ref=tageins.at</w:t>
        </w:r>
      </w:hyperlink>
    </w:p>
    <w:p w14:paraId="3A1AEBD4" w14:textId="1301EAF9" w:rsidR="006962FD" w:rsidRPr="005A2268" w:rsidRDefault="00566828" w:rsidP="005A2268">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000000"/>
          <w:sz w:val="24"/>
          <w:szCs w:val="24"/>
        </w:rPr>
        <w:t xml:space="preserve"> </w:t>
      </w:r>
    </w:p>
    <w:p w14:paraId="0E506041"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Usman, M., Javed, U., Shoukat, A. and Bashir, N.A. (2021). Does meaningful work reduce cyberloafing? Important roles of affective commitment and leader-member exchange. </w:t>
      </w:r>
      <w:r w:rsidRPr="006962FD">
        <w:rPr>
          <w:rFonts w:ascii="Times New Roman" w:eastAsia="Times New Roman" w:hAnsi="Times New Roman" w:cs="Times New Roman"/>
          <w:i/>
          <w:color w:val="222222"/>
          <w:sz w:val="24"/>
          <w:szCs w:val="24"/>
          <w:highlight w:val="white"/>
        </w:rPr>
        <w:t>Behaviour &amp; Information Technology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40</w:t>
      </w:r>
      <w:r w:rsidRPr="006962FD">
        <w:rPr>
          <w:rFonts w:ascii="Times New Roman" w:eastAsia="Times New Roman" w:hAnsi="Times New Roman" w:cs="Times New Roman"/>
          <w:color w:val="222222"/>
          <w:sz w:val="24"/>
          <w:szCs w:val="24"/>
          <w:highlight w:val="white"/>
        </w:rPr>
        <w:t xml:space="preserve">(2), pp.206-220. </w:t>
      </w:r>
      <w:hyperlink r:id="rId46">
        <w:r w:rsidRPr="006962FD">
          <w:rPr>
            <w:rFonts w:ascii="Times New Roman" w:eastAsia="Times New Roman" w:hAnsi="Times New Roman" w:cs="Times New Roman"/>
            <w:color w:val="1155CC"/>
            <w:sz w:val="24"/>
            <w:szCs w:val="24"/>
            <w:highlight w:val="white"/>
            <w:u w:val="single"/>
          </w:rPr>
          <w:t>https://www.researchgate.net/profile/Aftab-Shoukat/publication/336567615_Does_meaningful_work_reduce_cyberloafing_Important_roles_of_affective_commitment_and_leader-member_exchange/links/5f4f539aa6fdcc9879c02afa/Does-meaningful-work-reduce-cyberloafing-Important-roles-of-affective-commitment-and-leader-member-exchange.pdf</w:t>
        </w:r>
      </w:hyperlink>
    </w:p>
    <w:p w14:paraId="3141DA86" w14:textId="77777777"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Waller, L., Rayner, T., Chilvers, J., Gough, C.A., Lorenzoni, I., Jordan, A. and Vaughan, N. (2020). Contested framings of greenhouse gas removal and its feasibility: Social and political dimensions. </w:t>
      </w:r>
      <w:r w:rsidRPr="006962FD">
        <w:rPr>
          <w:rFonts w:ascii="Times New Roman" w:eastAsia="Times New Roman" w:hAnsi="Times New Roman" w:cs="Times New Roman"/>
          <w:i/>
          <w:color w:val="222222"/>
          <w:sz w:val="24"/>
          <w:szCs w:val="24"/>
          <w:highlight w:val="white"/>
        </w:rPr>
        <w:t>Wiley Interdisciplinary Reviews: Climate Change</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11</w:t>
      </w:r>
      <w:r w:rsidRPr="006962FD">
        <w:rPr>
          <w:rFonts w:ascii="Times New Roman" w:eastAsia="Times New Roman" w:hAnsi="Times New Roman" w:cs="Times New Roman"/>
          <w:color w:val="222222"/>
          <w:sz w:val="24"/>
          <w:szCs w:val="24"/>
          <w:highlight w:val="white"/>
        </w:rPr>
        <w:t xml:space="preserve">(4), p.e649. </w:t>
      </w:r>
      <w:hyperlink r:id="rId47">
        <w:r w:rsidRPr="006962FD">
          <w:rPr>
            <w:rFonts w:ascii="Times New Roman" w:eastAsia="Times New Roman" w:hAnsi="Times New Roman" w:cs="Times New Roman"/>
            <w:color w:val="1155CC"/>
            <w:sz w:val="24"/>
            <w:szCs w:val="24"/>
            <w:highlight w:val="white"/>
            <w:u w:val="single"/>
          </w:rPr>
          <w:t>https://wires.onlinelibrary.wiley.com/doi/pdf/10.1002/wcc.649</w:t>
        </w:r>
      </w:hyperlink>
    </w:p>
    <w:p w14:paraId="68C620DC" w14:textId="77777777"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222222"/>
          <w:sz w:val="24"/>
          <w:szCs w:val="24"/>
          <w:highlight w:val="white"/>
        </w:rPr>
        <w:t xml:space="preserve">Widarni, E.L. and Bawono, S., (2020). </w:t>
      </w:r>
      <w:r w:rsidRPr="0BC558BA">
        <w:rPr>
          <w:rFonts w:ascii="Times New Roman" w:eastAsia="Times New Roman" w:hAnsi="Times New Roman" w:cs="Times New Roman"/>
          <w:i/>
          <w:iCs/>
          <w:color w:val="222222"/>
          <w:sz w:val="24"/>
          <w:szCs w:val="24"/>
        </w:rPr>
        <w:t>The Basic Of Human Resource Management Book 1</w:t>
      </w:r>
      <w:r w:rsidRPr="006962FD">
        <w:rPr>
          <w:rFonts w:ascii="Times New Roman" w:eastAsia="Times New Roman" w:hAnsi="Times New Roman" w:cs="Times New Roman"/>
          <w:color w:val="222222"/>
          <w:sz w:val="24"/>
          <w:szCs w:val="24"/>
        </w:rPr>
        <w:t>. BookRix.</w:t>
      </w:r>
      <w:hyperlink r:id="rId48">
        <w:r w:rsidRPr="006962FD">
          <w:rPr>
            <w:rFonts w:ascii="Times New Roman" w:eastAsia="Times New Roman" w:hAnsi="Times New Roman" w:cs="Times New Roman"/>
            <w:color w:val="222222"/>
            <w:sz w:val="24"/>
            <w:szCs w:val="24"/>
          </w:rPr>
          <w:t xml:space="preserve"> </w:t>
        </w:r>
      </w:hyperlink>
      <w:hyperlink r:id="rId49">
        <w:r w:rsidRPr="006962FD">
          <w:rPr>
            <w:rFonts w:ascii="Times New Roman" w:eastAsia="Times New Roman" w:hAnsi="Times New Roman" w:cs="Times New Roman"/>
            <w:color w:val="1155CC"/>
            <w:sz w:val="24"/>
            <w:szCs w:val="24"/>
            <w:u w:val="single"/>
          </w:rPr>
          <w:t>https://www.researchgate.net/profile/Suryaning-Bawono-2/publication/355116256_Human_Capital_Investment_For_Better_Business_Performance/links/63037e85eb7b135a0e53b77d/Human-Capital-Investment-For-Better-Business-Performance.pdf</w:t>
        </w:r>
      </w:hyperlink>
    </w:p>
    <w:p w14:paraId="0F401F01"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Yadav, G., Luthra, S., Huisingh, D., Mangla, S.K., Narkhede, B.E. and Liu, Y. (2020). Development of a lean manufacturing framework to enhance its adoption within manufacturing companies in developing economies. </w:t>
      </w:r>
      <w:r w:rsidRPr="006962FD">
        <w:rPr>
          <w:rFonts w:ascii="Times New Roman" w:eastAsia="Times" w:hAnsi="Times New Roman" w:cs="Times New Roman"/>
          <w:i/>
          <w:color w:val="222222"/>
          <w:sz w:val="24"/>
          <w:szCs w:val="24"/>
        </w:rPr>
        <w:t>Journal of Cleaner Production</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245</w:t>
      </w:r>
      <w:r w:rsidRPr="006962FD">
        <w:rPr>
          <w:rFonts w:ascii="Times New Roman" w:eastAsia="Times" w:hAnsi="Times New Roman" w:cs="Times New Roman"/>
          <w:color w:val="222222"/>
          <w:sz w:val="24"/>
          <w:szCs w:val="24"/>
        </w:rPr>
        <w:t xml:space="preserve">, p.118726. </w:t>
      </w:r>
      <w:hyperlink r:id="rId50">
        <w:r w:rsidRPr="006962FD">
          <w:rPr>
            <w:rFonts w:ascii="Times New Roman" w:eastAsia="Times" w:hAnsi="Times New Roman" w:cs="Times New Roman"/>
            <w:color w:val="1155CC"/>
            <w:sz w:val="24"/>
            <w:szCs w:val="24"/>
            <w:u w:val="single"/>
          </w:rPr>
          <w:t>https://www.diva-portal.org/smash/get/diva2:1384296/FULLTEXT01.pdf</w:t>
        </w:r>
      </w:hyperlink>
    </w:p>
    <w:p w14:paraId="1872577E" w14:textId="77777777"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Yong, J.Y., Yusliza, M.Y. and Fawehinmi, O.O. (2020). Green human resource management: A systematic literature review from 2007 to 2019. </w:t>
      </w:r>
      <w:r w:rsidRPr="006962FD">
        <w:rPr>
          <w:rFonts w:ascii="Times New Roman" w:eastAsia="Times" w:hAnsi="Times New Roman" w:cs="Times New Roman"/>
          <w:i/>
          <w:color w:val="222222"/>
          <w:sz w:val="24"/>
          <w:szCs w:val="24"/>
        </w:rPr>
        <w:t>Benchmarking: An International Journal</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27</w:t>
      </w:r>
      <w:r w:rsidRPr="006962FD">
        <w:rPr>
          <w:rFonts w:ascii="Times New Roman" w:eastAsia="Times" w:hAnsi="Times New Roman" w:cs="Times New Roman"/>
          <w:color w:val="222222"/>
          <w:sz w:val="24"/>
          <w:szCs w:val="24"/>
        </w:rPr>
        <w:t>(7), pp.2005-2027.</w:t>
      </w:r>
      <w:hyperlink r:id="rId51">
        <w:r w:rsidRPr="006962FD">
          <w:rPr>
            <w:rFonts w:ascii="Times New Roman" w:eastAsia="Times" w:hAnsi="Times New Roman" w:cs="Times New Roman"/>
            <w:color w:val="1155CC"/>
            <w:sz w:val="24"/>
            <w:szCs w:val="24"/>
            <w:u w:val="single"/>
          </w:rPr>
          <w:t>https://e-tarjome.com/storage/panel/fileuploads/2019-08-18/1566126765_E12505-e-tarjome.pdf</w:t>
        </w:r>
      </w:hyperlink>
    </w:p>
    <w:p w14:paraId="468847AE" w14:textId="77777777" w:rsidR="007A09B2"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Zhang, J., Fu, J., Hao, H., Fu, G., Nie, F. and Zhang, W. (2020). Root causes of coal mine accidents: Characteristics of safety culture deficiencies based on accident statistics. </w:t>
      </w:r>
      <w:r w:rsidRPr="006962FD">
        <w:rPr>
          <w:rFonts w:ascii="Times New Roman" w:eastAsia="Times New Roman" w:hAnsi="Times New Roman" w:cs="Times New Roman"/>
          <w:i/>
          <w:color w:val="222222"/>
          <w:sz w:val="24"/>
          <w:szCs w:val="24"/>
          <w:highlight w:val="white"/>
        </w:rPr>
        <w:t>Process Safety and Environmental Protection</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136</w:t>
      </w:r>
      <w:r w:rsidRPr="006962FD">
        <w:rPr>
          <w:rFonts w:ascii="Times New Roman" w:eastAsia="Times New Roman" w:hAnsi="Times New Roman" w:cs="Times New Roman"/>
          <w:color w:val="222222"/>
          <w:sz w:val="24"/>
          <w:szCs w:val="24"/>
          <w:highlight w:val="white"/>
        </w:rPr>
        <w:t xml:space="preserve">, pp.78-91. </w:t>
      </w:r>
      <w:hyperlink r:id="rId52">
        <w:r w:rsidRPr="006962FD">
          <w:rPr>
            <w:rFonts w:ascii="Times New Roman" w:eastAsia="Times New Roman" w:hAnsi="Times New Roman" w:cs="Times New Roman"/>
            <w:color w:val="1155CC"/>
            <w:sz w:val="24"/>
            <w:szCs w:val="24"/>
            <w:highlight w:val="white"/>
            <w:u w:val="single"/>
          </w:rPr>
          <w:t>https://www.sciencedirect.com/science/article/pii/S095758(2019)310377</w:t>
        </w:r>
      </w:hyperlink>
      <w:r w:rsidR="00891A0E">
        <w:rPr>
          <w:rFonts w:ascii="Times New Roman" w:eastAsia="Times New Roman" w:hAnsi="Times New Roman" w:cs="Times New Roman"/>
          <w:b/>
          <w:color w:val="000000"/>
          <w:sz w:val="24"/>
          <w:szCs w:val="24"/>
        </w:rPr>
        <w:t xml:space="preserve"> </w:t>
      </w:r>
    </w:p>
    <w:sectPr w:rsidR="007A09B2" w:rsidRPr="006962FD" w:rsidSect="00AD500C">
      <w:headerReference w:type="even" r:id="rId53"/>
      <w:headerReference w:type="default" r:id="rId54"/>
      <w:footerReference w:type="even" r:id="rId55"/>
      <w:footerReference w:type="default" r:id="rId56"/>
      <w:headerReference w:type="first" r:id="rId57"/>
      <w:footerReference w:type="firs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C4A56" w14:textId="77777777" w:rsidR="00EA4584" w:rsidRDefault="00EA4584">
      <w:pPr>
        <w:spacing w:line="240" w:lineRule="auto"/>
      </w:pPr>
      <w:r>
        <w:separator/>
      </w:r>
    </w:p>
  </w:endnote>
  <w:endnote w:type="continuationSeparator" w:id="0">
    <w:p w14:paraId="47F8304D" w14:textId="77777777" w:rsidR="00EA4584" w:rsidRDefault="00EA4584">
      <w:pPr>
        <w:spacing w:line="240" w:lineRule="auto"/>
      </w:pPr>
      <w:r>
        <w:continuationSeparator/>
      </w:r>
    </w:p>
  </w:endnote>
  <w:endnote w:type="continuationNotice" w:id="1">
    <w:p w14:paraId="2177682C" w14:textId="77777777" w:rsidR="00EA4584" w:rsidRDefault="00EA45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autami">
    <w:panose1 w:val="020B0502040204020203"/>
    <w:charset w:val="00"/>
    <w:family w:val="swiss"/>
    <w:pitch w:val="variable"/>
    <w:sig w:usb0="00200003" w:usb1="00000000" w:usb2="00000000" w:usb3="00000000" w:csb0="00000001"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8278" w14:textId="77777777"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9" w:name="_heading=h.1t3h5sf" w:colFirst="0" w:colLast="0"/>
  <w:bookmarkEnd w:id="19"/>
  <w:p w14:paraId="4960A325" w14:textId="77777777" w:rsidR="007A09B2" w:rsidRDefault="00566828">
    <w:pPr>
      <w:pBdr>
        <w:top w:val="nil"/>
        <w:left w:val="nil"/>
        <w:bottom w:val="nil"/>
        <w:right w:val="nil"/>
        <w:between w:val="nil"/>
      </w:pBdr>
      <w:tabs>
        <w:tab w:val="center" w:pos="4513"/>
        <w:tab w:val="right" w:pos="9026"/>
      </w:tabs>
      <w:spacing w:line="360" w:lineRule="auto"/>
      <w:jc w:val="right"/>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E11EC">
      <w:rPr>
        <w:rFonts w:ascii="Times New Roman" w:eastAsia="Times New Roman" w:hAnsi="Times New Roman" w:cs="Times New Roman"/>
        <w:noProof/>
        <w:color w:val="000000"/>
        <w:sz w:val="24"/>
        <w:szCs w:val="24"/>
      </w:rPr>
      <w:t>22</w:t>
    </w:r>
    <w:r>
      <w:rPr>
        <w:rFonts w:ascii="Times New Roman" w:eastAsia="Times New Roman" w:hAnsi="Times New Roman" w:cs="Times New Roman"/>
        <w:color w:val="000000"/>
        <w:sz w:val="24"/>
        <w:szCs w:val="24"/>
      </w:rPr>
      <w:fldChar w:fldCharType="end"/>
    </w:r>
  </w:p>
  <w:p w14:paraId="62486C05" w14:textId="77777777"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CB0E" w14:textId="77777777"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65893" w14:textId="77777777" w:rsidR="00EA4584" w:rsidRDefault="00EA4584">
      <w:pPr>
        <w:spacing w:line="240" w:lineRule="auto"/>
      </w:pPr>
      <w:r>
        <w:separator/>
      </w:r>
    </w:p>
  </w:footnote>
  <w:footnote w:type="continuationSeparator" w:id="0">
    <w:p w14:paraId="5B0D8032" w14:textId="77777777" w:rsidR="00EA4584" w:rsidRDefault="00EA4584">
      <w:pPr>
        <w:spacing w:line="240" w:lineRule="auto"/>
      </w:pPr>
      <w:r>
        <w:continuationSeparator/>
      </w:r>
    </w:p>
  </w:footnote>
  <w:footnote w:type="continuationNotice" w:id="1">
    <w:p w14:paraId="6E2F924A" w14:textId="77777777" w:rsidR="00EA4584" w:rsidRDefault="00EA458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9945" w14:textId="77777777" w:rsidR="007A09B2" w:rsidRDefault="007A09B2">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C43A" w14:textId="33086A68" w:rsidR="007A09B2" w:rsidRDefault="005F5B51" w:rsidP="005F5B51">
    <w:pPr>
      <w:pBdr>
        <w:top w:val="nil"/>
        <w:left w:val="nil"/>
        <w:bottom w:val="nil"/>
        <w:right w:val="nil"/>
        <w:between w:val="nil"/>
      </w:pBdr>
      <w:tabs>
        <w:tab w:val="left" w:pos="2760"/>
      </w:tabs>
      <w:spacing w:line="240" w:lineRule="auto"/>
      <w:rPr>
        <w:color w:val="000000"/>
      </w:rPr>
    </w:pPr>
    <w:r>
      <w:rPr>
        <w:color w:val="000000"/>
      </w:rPr>
      <w:tab/>
    </w:r>
    <w:r>
      <w:rPr>
        <w:noProof/>
      </w:rPr>
      <w:drawing>
        <wp:inline distT="0" distB="0" distL="0" distR="0" wp14:anchorId="64E6ECD3" wp14:editId="0A183AB7">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7211" cy="86343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BEF00" w14:textId="77777777" w:rsidR="007A09B2" w:rsidRDefault="007A09B2">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A1425"/>
    <w:multiLevelType w:val="multilevel"/>
    <w:tmpl w:val="10748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FC63E0"/>
    <w:multiLevelType w:val="multilevel"/>
    <w:tmpl w:val="BE463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C31AE6"/>
    <w:multiLevelType w:val="multilevel"/>
    <w:tmpl w:val="28023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5D2AB0"/>
    <w:multiLevelType w:val="multilevel"/>
    <w:tmpl w:val="9514C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7A5892"/>
    <w:multiLevelType w:val="multilevel"/>
    <w:tmpl w:val="50568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38125F"/>
    <w:multiLevelType w:val="multilevel"/>
    <w:tmpl w:val="F9361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3907D0"/>
    <w:multiLevelType w:val="multilevel"/>
    <w:tmpl w:val="B6069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D96394"/>
    <w:multiLevelType w:val="multilevel"/>
    <w:tmpl w:val="C0F0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C97445"/>
    <w:multiLevelType w:val="multilevel"/>
    <w:tmpl w:val="AAA05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CC3B5E"/>
    <w:multiLevelType w:val="multilevel"/>
    <w:tmpl w:val="82103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907FE1"/>
    <w:multiLevelType w:val="multilevel"/>
    <w:tmpl w:val="74321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490387"/>
    <w:multiLevelType w:val="multilevel"/>
    <w:tmpl w:val="27347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4D05D5"/>
    <w:multiLevelType w:val="multilevel"/>
    <w:tmpl w:val="EC68E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272BFC"/>
    <w:multiLevelType w:val="multilevel"/>
    <w:tmpl w:val="28BC2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D00CA4"/>
    <w:multiLevelType w:val="multilevel"/>
    <w:tmpl w:val="4ACE4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486CB1"/>
    <w:multiLevelType w:val="multilevel"/>
    <w:tmpl w:val="462ED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5A36DE"/>
    <w:multiLevelType w:val="multilevel"/>
    <w:tmpl w:val="565A0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8FC6870"/>
    <w:multiLevelType w:val="multilevel"/>
    <w:tmpl w:val="D3A04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3D5FCB"/>
    <w:multiLevelType w:val="multilevel"/>
    <w:tmpl w:val="94027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020B18"/>
    <w:multiLevelType w:val="multilevel"/>
    <w:tmpl w:val="7FE4C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7055F0D"/>
    <w:multiLevelType w:val="multilevel"/>
    <w:tmpl w:val="76F88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9160450">
    <w:abstractNumId w:val="18"/>
  </w:num>
  <w:num w:numId="2" w16cid:durableId="1400134362">
    <w:abstractNumId w:val="13"/>
  </w:num>
  <w:num w:numId="3" w16cid:durableId="2105951983">
    <w:abstractNumId w:val="14"/>
  </w:num>
  <w:num w:numId="4" w16cid:durableId="1987273560">
    <w:abstractNumId w:val="3"/>
  </w:num>
  <w:num w:numId="5" w16cid:durableId="1784566677">
    <w:abstractNumId w:val="8"/>
  </w:num>
  <w:num w:numId="6" w16cid:durableId="1506363687">
    <w:abstractNumId w:val="16"/>
  </w:num>
  <w:num w:numId="7" w16cid:durableId="609893343">
    <w:abstractNumId w:val="10"/>
  </w:num>
  <w:num w:numId="8" w16cid:durableId="1984508183">
    <w:abstractNumId w:val="15"/>
  </w:num>
  <w:num w:numId="9" w16cid:durableId="1270090702">
    <w:abstractNumId w:val="11"/>
  </w:num>
  <w:num w:numId="10" w16cid:durableId="1072239604">
    <w:abstractNumId w:val="2"/>
  </w:num>
  <w:num w:numId="11" w16cid:durableId="2134857483">
    <w:abstractNumId w:val="4"/>
  </w:num>
  <w:num w:numId="12" w16cid:durableId="326638071">
    <w:abstractNumId w:val="5"/>
  </w:num>
  <w:num w:numId="13" w16cid:durableId="1992246177">
    <w:abstractNumId w:val="6"/>
  </w:num>
  <w:num w:numId="14" w16cid:durableId="1988896735">
    <w:abstractNumId w:val="20"/>
  </w:num>
  <w:num w:numId="15" w16cid:durableId="1047491644">
    <w:abstractNumId w:val="17"/>
  </w:num>
  <w:num w:numId="16" w16cid:durableId="443616328">
    <w:abstractNumId w:val="1"/>
  </w:num>
  <w:num w:numId="17" w16cid:durableId="570164081">
    <w:abstractNumId w:val="0"/>
  </w:num>
  <w:num w:numId="18" w16cid:durableId="1257249756">
    <w:abstractNumId w:val="12"/>
  </w:num>
  <w:num w:numId="19" w16cid:durableId="1176194521">
    <w:abstractNumId w:val="9"/>
  </w:num>
  <w:num w:numId="20" w16cid:durableId="1841889946">
    <w:abstractNumId w:val="19"/>
  </w:num>
  <w:num w:numId="21" w16cid:durableId="14968431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WwMLS0MDY1NTMzMTBX0lEKTi0uzszPAykwrAUADbjOhCwAAAA="/>
  </w:docVars>
  <w:rsids>
    <w:rsidRoot w:val="007A09B2"/>
    <w:rsid w:val="00014903"/>
    <w:rsid w:val="00052863"/>
    <w:rsid w:val="00066C48"/>
    <w:rsid w:val="000B1642"/>
    <w:rsid w:val="00183854"/>
    <w:rsid w:val="001F3921"/>
    <w:rsid w:val="00221964"/>
    <w:rsid w:val="002612C4"/>
    <w:rsid w:val="00281ACF"/>
    <w:rsid w:val="00315DEA"/>
    <w:rsid w:val="0036572B"/>
    <w:rsid w:val="00372C41"/>
    <w:rsid w:val="004657E2"/>
    <w:rsid w:val="00476EA0"/>
    <w:rsid w:val="00542C63"/>
    <w:rsid w:val="00566828"/>
    <w:rsid w:val="005A2268"/>
    <w:rsid w:val="005C53AD"/>
    <w:rsid w:val="005F5B51"/>
    <w:rsid w:val="00610022"/>
    <w:rsid w:val="006266BB"/>
    <w:rsid w:val="006704EA"/>
    <w:rsid w:val="006962FD"/>
    <w:rsid w:val="006A7419"/>
    <w:rsid w:val="006E18B6"/>
    <w:rsid w:val="00726B42"/>
    <w:rsid w:val="00734A50"/>
    <w:rsid w:val="007A09B2"/>
    <w:rsid w:val="007B2168"/>
    <w:rsid w:val="00833758"/>
    <w:rsid w:val="00884D92"/>
    <w:rsid w:val="00891A0E"/>
    <w:rsid w:val="008C698C"/>
    <w:rsid w:val="008E11EC"/>
    <w:rsid w:val="00937EBE"/>
    <w:rsid w:val="00982A5A"/>
    <w:rsid w:val="0098648E"/>
    <w:rsid w:val="009D120B"/>
    <w:rsid w:val="00A07CED"/>
    <w:rsid w:val="00A15F1E"/>
    <w:rsid w:val="00A84E8A"/>
    <w:rsid w:val="00AD500C"/>
    <w:rsid w:val="00B6648E"/>
    <w:rsid w:val="00B91125"/>
    <w:rsid w:val="00B938D7"/>
    <w:rsid w:val="00C72009"/>
    <w:rsid w:val="00C77918"/>
    <w:rsid w:val="00CE6E67"/>
    <w:rsid w:val="00D46B39"/>
    <w:rsid w:val="00D47EE4"/>
    <w:rsid w:val="00D829F0"/>
    <w:rsid w:val="00DF2126"/>
    <w:rsid w:val="00E56071"/>
    <w:rsid w:val="00EA4584"/>
    <w:rsid w:val="00F14D7A"/>
    <w:rsid w:val="00FF54F7"/>
    <w:rsid w:val="0BC558BA"/>
    <w:rsid w:val="10251D22"/>
    <w:rsid w:val="1AB4B0F2"/>
    <w:rsid w:val="2F0FE6DD"/>
    <w:rsid w:val="39A07381"/>
    <w:rsid w:val="466FE6C1"/>
    <w:rsid w:val="543A2C70"/>
    <w:rsid w:val="57AD23F4"/>
    <w:rsid w:val="5A3A0A66"/>
    <w:rsid w:val="6C3061FB"/>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9454"/>
  <w15:docId w15:val="{89F3E93F-F122-F641-B1A2-130B13D2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93651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AD500C"/>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365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515"/>
    <w:rPr>
      <w:rFonts w:ascii="Tahoma" w:hAnsi="Tahoma" w:cs="Tahoma"/>
      <w:sz w:val="16"/>
      <w:szCs w:val="16"/>
    </w:rPr>
  </w:style>
  <w:style w:type="paragraph" w:styleId="Header">
    <w:name w:val="header"/>
    <w:basedOn w:val="Normal"/>
    <w:link w:val="HeaderChar"/>
    <w:uiPriority w:val="99"/>
    <w:unhideWhenUsed/>
    <w:rsid w:val="00936515"/>
    <w:pPr>
      <w:tabs>
        <w:tab w:val="center" w:pos="4513"/>
        <w:tab w:val="right" w:pos="9026"/>
      </w:tabs>
      <w:spacing w:line="240" w:lineRule="auto"/>
    </w:pPr>
  </w:style>
  <w:style w:type="character" w:customStyle="1" w:styleId="HeaderChar">
    <w:name w:val="Header Char"/>
    <w:basedOn w:val="DefaultParagraphFont"/>
    <w:link w:val="Header"/>
    <w:uiPriority w:val="99"/>
    <w:rsid w:val="00936515"/>
  </w:style>
  <w:style w:type="paragraph" w:styleId="Footer">
    <w:name w:val="footer"/>
    <w:basedOn w:val="Normal"/>
    <w:link w:val="FooterChar"/>
    <w:uiPriority w:val="99"/>
    <w:unhideWhenUsed/>
    <w:rsid w:val="00936515"/>
    <w:pPr>
      <w:tabs>
        <w:tab w:val="center" w:pos="4513"/>
        <w:tab w:val="right" w:pos="9026"/>
      </w:tabs>
      <w:spacing w:line="240" w:lineRule="auto"/>
    </w:pPr>
  </w:style>
  <w:style w:type="character" w:customStyle="1" w:styleId="FooterChar">
    <w:name w:val="Footer Char"/>
    <w:basedOn w:val="DefaultParagraphFont"/>
    <w:link w:val="Footer"/>
    <w:uiPriority w:val="99"/>
    <w:rsid w:val="00936515"/>
  </w:style>
  <w:style w:type="paragraph" w:styleId="TOCHeading">
    <w:name w:val="TOC Heading"/>
    <w:basedOn w:val="Heading1"/>
    <w:next w:val="Normal"/>
    <w:uiPriority w:val="39"/>
    <w:semiHidden/>
    <w:unhideWhenUsed/>
    <w:qFormat/>
    <w:rsid w:val="005B055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5B0557"/>
    <w:pPr>
      <w:spacing w:after="100"/>
    </w:pPr>
  </w:style>
  <w:style w:type="paragraph" w:styleId="TOC2">
    <w:name w:val="toc 2"/>
    <w:basedOn w:val="Normal"/>
    <w:next w:val="Normal"/>
    <w:autoRedefine/>
    <w:uiPriority w:val="39"/>
    <w:unhideWhenUsed/>
    <w:rsid w:val="005B0557"/>
    <w:pPr>
      <w:spacing w:after="100"/>
      <w:ind w:left="220"/>
    </w:pPr>
  </w:style>
  <w:style w:type="character" w:styleId="Hyperlink">
    <w:name w:val="Hyperlink"/>
    <w:basedOn w:val="DefaultParagraphFont"/>
    <w:uiPriority w:val="99"/>
    <w:unhideWhenUsed/>
    <w:rsid w:val="005B0557"/>
    <w:rPr>
      <w:color w:val="0000FF" w:themeColor="hyperlink"/>
      <w:u w:val="single"/>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mdpi.com/2071-1050/13/11/6266/pdf" TargetMode="External"/><Relationship Id="rId18" Type="http://schemas.openxmlformats.org/officeDocument/2006/relationships/hyperlink" Target="https://arro.anglia.ac.uk/id/eprint/707752/6/Dagilyte_et_al_2022.pdf" TargetMode="External"/><Relationship Id="rId26" Type="http://schemas.openxmlformats.org/officeDocument/2006/relationships/hyperlink" Target="https://files.eric.ed.gov/fulltext/EJ1220554.pdf" TargetMode="External"/><Relationship Id="rId39" Type="http://schemas.openxmlformats.org/officeDocument/2006/relationships/hyperlink" Target="https://leicester.figshare.com/articles/thesis/Managing_Innovation_Under_Nationalisation_the_British_Gas_industry_and_the_first_trans-oceanic_transportation_of_Liquefied_Natural_Gas_1954-1959/17099654/1/files/31619294.pdf" TargetMode="External"/><Relationship Id="rId21" Type="http://schemas.openxmlformats.org/officeDocument/2006/relationships/hyperlink" Target="https://www.rosenblatt-law.co.uk/insight/british-gas-fire-and-rehire-boiler-engineers-resulting-in-mass-dismissals-unfair-dismissal/" TargetMode="External"/><Relationship Id="rId34"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 Id="rId42" Type="http://schemas.openxmlformats.org/officeDocument/2006/relationships/hyperlink" Target="https://www.mdpi.com/2071-1050/12/20/8641/pdf" TargetMode="External"/><Relationship Id="rId47" Type="http://schemas.openxmlformats.org/officeDocument/2006/relationships/hyperlink" Target="https://wires.onlinelibrary.wiley.com/doi/pdf/10.1002/wcc.649" TargetMode="External"/><Relationship Id="rId50" Type="http://schemas.openxmlformats.org/officeDocument/2006/relationships/hyperlink" Target="https://www.diva-portal.org/smash/get/diva2:1384296/FULLTEXT01.pdf"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prints.lse.ac.uk/116071/1/businessreview_2022_06_15_precarious_work_and_labour_market_abuses.pdf" TargetMode="External"/><Relationship Id="rId29" Type="http://schemas.openxmlformats.org/officeDocument/2006/relationships/hyperlink" Target="https://files.eric.ed.gov/fulltext/EJ1282764.pdf" TargetMode="External"/><Relationship Id="rId11" Type="http://schemas.openxmlformats.org/officeDocument/2006/relationships/hyperlink" Target="https://journals.sagepub.com/doi/pdf/10.1177/09500170231169675" TargetMode="External"/><Relationship Id="rId24" Type="http://schemas.openxmlformats.org/officeDocument/2006/relationships/hyperlink" Target="https://www.mdpi.com/2075-4698/10/4/86/pdf" TargetMode="External"/><Relationship Id="rId32" Type="http://schemas.openxmlformats.org/officeDocument/2006/relationships/hyperlink" Target="https://onlinelibrary.wiley.com/doi/abs/10.1002/bse.2680" TargetMode="External"/><Relationship Id="rId37" Type="http://schemas.openxmlformats.org/officeDocument/2006/relationships/hyperlink" Target="https://www.researchgate.net/profile/Do-Dieu-Thu-Pham/publication/344653706_Green_recruitment_and_selection_an_insight_into_green_patterns/links/6366b0112f4bca7fd034ba78/Green-recruitment-and-selection-an-insight-into-green-patterns.pdf" TargetMode="External"/><Relationship Id="rId40" Type="http://schemas.openxmlformats.org/officeDocument/2006/relationships/hyperlink" Target="https://leicester.figshare.com/articles/thesis/Managing_Innovation_Under_Nationalisation_the_British_Gas_industry_and_the_first_trans-oceanic_transportation_of_Liquefied_Natural_Gas_1954-1959/17099654/1/files/31619294.pdf" TargetMode="External"/><Relationship Id="rId45" Type="http://schemas.openxmlformats.org/officeDocument/2006/relationships/hyperlink" Target="https://www.thelancet.com/journals/lanplh/article/PIIS2542-5196(20)30271-0/fulltext?ref=tageins.at"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settings" Target="settings.xml"/><Relationship Id="rId19" Type="http://schemas.openxmlformats.org/officeDocument/2006/relationships/hyperlink" Target="https://research.birmingham.ac.uk/files/180159610/CBP_9561_Dobbins_Good_Work.pdf" TargetMode="External"/><Relationship Id="rId4" Type="http://schemas.openxmlformats.org/officeDocument/2006/relationships/styles" Target="styles.xml"/><Relationship Id="rId9" Type="http://schemas.openxmlformats.org/officeDocument/2006/relationships/hyperlink" Target="http://m.growingscience.com/msl/Vol10/msl_2019_267.pdf" TargetMode="External"/><Relationship Id="rId14" Type="http://schemas.openxmlformats.org/officeDocument/2006/relationships/hyperlink" Target="https://www.academia.edu/download/59493876/Chapman_et_al._-_2019_-_A_review20190602-65714-1guim4r.pdf" TargetMode="External"/><Relationship Id="rId22" Type="http://schemas.openxmlformats.org/officeDocument/2006/relationships/hyperlink" Target="https://www.mdpi.com/2071-1050/11/3/915/pdf" TargetMode="External"/><Relationship Id="rId27" Type="http://schemas.openxmlformats.org/officeDocument/2006/relationships/hyperlink" Target="https://www.researchgate.net/profile/Elahe-Hosseini-4/publication/359025910_A_Systematic_Literature_Review_of_the_Organizational_Voice/links/62234bda3c53d31ba4a8ef97/A-Systematic-Literature-Review-of-the-Organizational-Voice.pdf?origin=journalDetail&amp;_tp=eyJwYWdlIjoiam91cm5hbERldGFpbCJ9" TargetMode="External"/><Relationship Id="rId30" Type="http://schemas.openxmlformats.org/officeDocument/2006/relationships/hyperlink" Target="https://rke.abertay.ac.uk/files/16503794/Branine_EmployeesPerceptionsOfHuman_Accepted_2019.PDF" TargetMode="External"/><Relationship Id="rId35" Type="http://schemas.openxmlformats.org/officeDocument/2006/relationships/hyperlink" Target="https://www.emerald.com/insight/content/doi/10.1108/BIJ-11-2020-0583" TargetMode="External"/><Relationship Id="rId43" Type="http://schemas.openxmlformats.org/officeDocument/2006/relationships/hyperlink" Target="https://iea.org.uk/wp-content/uploads/2022/07/SUMMERTIME-BLUES-SHACKLETON.pdf" TargetMode="External"/><Relationship Id="rId48" Type="http://schemas.openxmlformats.org/officeDocument/2006/relationships/hyperlink" Target="https://www.researchgate.net/profile/Suryaning-Bawono-2/publication/355116256_Human_Capital_Investment_For_Better_Business_Performance/links/63037e85eb7b135a0e53b77d/Human-Capital-Investment-For-Better-Business-Performance.pdf" TargetMode="External"/><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e-tarjome.com/storage/panel/fileuploads/2019-08-18/1566126765_E12505-e-tarjome.pdf" TargetMode="External"/><Relationship Id="rId3" Type="http://schemas.openxmlformats.org/officeDocument/2006/relationships/numbering" Target="numbering.xml"/><Relationship Id="rId12" Type="http://schemas.openxmlformats.org/officeDocument/2006/relationships/hyperlink" Target="https://www.mdpi.com/2071-1050/13/11/6266/pdf" TargetMode="External"/><Relationship Id="rId17" Type="http://schemas.openxmlformats.org/officeDocument/2006/relationships/hyperlink" Target="https://scholar.archive.org/work/4t2svdog3nfh5pllcn2y7fzzzu/access/wayback/https://www.cambridge.org/core/services/aop-cambridge-core/content/view/AD632019F642D143CC06A5EECAA6E468/S0027950122000060a.pdf/div-class-title-the-political-economy-of-left-and-right-populism-div.pdf" TargetMode="External"/><Relationship Id="rId25" Type="http://schemas.openxmlformats.org/officeDocument/2006/relationships/hyperlink" Target="https://rsglobal.pl/index.php/ijite/article/download/1438/1485" TargetMode="External"/><Relationship Id="rId33"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 Id="rId38" Type="http://schemas.openxmlformats.org/officeDocument/2006/relationships/hyperlink" Target="https://e-tarjome.com/storage/panel/fileuploads/2019-08-19/1566214125_E12569-e-tarjome.pdf" TargetMode="External"/><Relationship Id="rId46" Type="http://schemas.openxmlformats.org/officeDocument/2006/relationships/hyperlink" Target="https://www.researchgate.net/profile/Aftab-Shoukat/publication/336567615_Does_meaningful_work_reduce_cyberloafing_Important_roles_of_affective_commitment_and_leader-member_exchange/links/5f4f539aa6fdcc9879c02afa/Does-meaningful-work-reduce-cyberloafing-Important-roles-of-affective-commitment-and-leader-member-exchange.pdf" TargetMode="External"/><Relationship Id="rId59" Type="http://schemas.openxmlformats.org/officeDocument/2006/relationships/fontTable" Target="fontTable.xml"/><Relationship Id="rId20" Type="http://schemas.openxmlformats.org/officeDocument/2006/relationships/hyperlink" Target="https://www.researchgate.net/profile/Grigorios-Kyriakopoulos/publication/352006003_Managing_Change_And_Managerial_Innovation_Towards_Employees_Satisfaction_At_Workplace/links/60b52f3d299bf106f6ed971a/Managing-Change-And-Managerial-Innovation-Towards-Employees-Satisfaction-At-Workplace.pdf" TargetMode="External"/><Relationship Id="rId41" Type="http://schemas.openxmlformats.org/officeDocument/2006/relationships/hyperlink" Target="https://onlinelibrary.wiley.com/doi/pdf/10.1002/ese3.380"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sciencedirect.com/science/article/pii/S0160791X19302428" TargetMode="External"/><Relationship Id="rId23" Type="http://schemas.openxmlformats.org/officeDocument/2006/relationships/hyperlink" Target="https://onlinelibrary.wiley.com/doi/abs/10.1002/CSR.1842" TargetMode="External"/><Relationship Id="rId28" Type="http://schemas.openxmlformats.org/officeDocument/2006/relationships/hyperlink" Target="https://www.sciencedirect.com/science/article/pii/S2214629619302853" TargetMode="External"/><Relationship Id="rId36" Type="http://schemas.openxmlformats.org/officeDocument/2006/relationships/hyperlink" Target="http://bbemail.s3.amazonaws.com/PROD/ulib/ae3z4l/docs/968b6acf-74e8-89a3-294f-1fa249447687/MoraleandEngagement.pdf" TargetMode="External"/><Relationship Id="rId49" Type="http://schemas.openxmlformats.org/officeDocument/2006/relationships/hyperlink" Target="https://www.researchgate.net/profile/Suryaning-Bawono-2/publication/355116256_Human_Capital_Investment_For_Better_Business_Performance/links/63037e85eb7b135a0e53b77d/Human-Capital-Investment-For-Better-Business-Performance.pdf" TargetMode="External"/><Relationship Id="rId57" Type="http://schemas.openxmlformats.org/officeDocument/2006/relationships/header" Target="header3.xml"/><Relationship Id="rId10" Type="http://schemas.openxmlformats.org/officeDocument/2006/relationships/hyperlink" Target="https://research.skylineuniversity.ac.ae/id/eprint/187/1/58.pdf" TargetMode="External"/><Relationship Id="rId31" Type="http://schemas.openxmlformats.org/officeDocument/2006/relationships/hyperlink" Target="https://www.mdpi.com/2071-1050/11/8/2263/pdf" TargetMode="External"/><Relationship Id="rId44" Type="http://schemas.openxmlformats.org/officeDocument/2006/relationships/hyperlink" Target="https://journals.sagepub.com/doi/full/10.1177/2158244018821751" TargetMode="External"/><Relationship Id="rId52" Type="http://schemas.openxmlformats.org/officeDocument/2006/relationships/hyperlink" Target="https://www.sciencedirect.com/science/article/pii/S0957582019310377" TargetMode="Externa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LvIT2PDvawTlRiemhmO75MjBBg==">CgMxLjAyCGguZ2pkZ3hzMgloLjMwajB6bGwyCWguMWZvYjl0ZTIJaC4zem55c2g3MgloLjJldDkycDAyCGgudHlqY3d0MgloLjNkeTZ2a20yCWguMXQzaDVzZjgAciExQ3dGNjFYV3U4eERfZzBnQ3lsaTJLNm1VekF2VXJZYjk=</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A2F10987-D2FF-45A9-AC24-AE602890CC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8065</Words>
  <Characters>45975</Characters>
  <Application>Microsoft Office Word</Application>
  <DocSecurity>0</DocSecurity>
  <Lines>383</Lines>
  <Paragraphs>107</Paragraphs>
  <ScaleCrop>false</ScaleCrop>
  <Company/>
  <LinksUpToDate>false</LinksUpToDate>
  <CharactersWithSpaces>53933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Lakshmi Durga Surishetti (2228190)</cp:lastModifiedBy>
  <cp:revision>2</cp:revision>
  <dcterms:created xsi:type="dcterms:W3CDTF">2023-08-21T11:42:00Z</dcterms:created>
  <dcterms:modified xsi:type="dcterms:W3CDTF">2023-08-21T11:42:00Z</dcterms:modified>
</cp:coreProperties>
</file>