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noProof/>
          <w:lang w:eastAsia="en-GB"/>
        </w:rPr>
      </w:pPr>
    </w:p>
    <w:p>
      <w:pPr>
        <w:pStyle w:val="style0"/>
        <w:jc w:val="center"/>
        <w:rPr/>
      </w:pPr>
      <w:r>
        <w:rPr>
          <w:noProof/>
          <w:lang w:eastAsia="en-GB"/>
        </w:rPr>
        <w:drawing>
          <wp:inline distL="0" distT="0" distB="0" distR="0">
            <wp:extent cx="2936240" cy="1200108"/>
            <wp:effectExtent l="0" t="0" r="0" b="635"/>
            <wp:docPr id="1026" name="Picture 1" descr="University of Wales Trinity Saint David Logo Vector - (.SVG + .PNG) -  Tukuz.Co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13820" r="0" b="16333"/>
                    <a:stretch/>
                  </pic:blipFill>
                  <pic:spPr>
                    <a:xfrm rot="0">
                      <a:off x="0" y="0"/>
                      <a:ext cx="2936240" cy="1200108"/>
                    </a:xfrm>
                    <a:prstGeom prst="rect"/>
                    <a:ln>
                      <a:noFill/>
                    </a:ln>
                  </pic:spPr>
                </pic:pic>
              </a:graphicData>
            </a:graphic>
          </wp:inline>
        </w:drawing>
      </w:r>
    </w:p>
    <w:p>
      <w:pPr>
        <w:pStyle w:val="style0"/>
        <w:rPr/>
      </w:pPr>
    </w:p>
    <w:p>
      <w:pPr>
        <w:pStyle w:val="style0"/>
        <w:rPr/>
      </w:pPr>
    </w:p>
    <w:p>
      <w:pPr>
        <w:pStyle w:val="style0"/>
        <w:rPr/>
      </w:pPr>
    </w:p>
    <w:bookmarkStart w:id="0" w:name="_GoBack"/>
    <w:p>
      <w:pPr>
        <w:pStyle w:val="style0"/>
        <w:spacing w:lineRule="auto" w:line="278"/>
        <w:jc w:val="center"/>
        <w:rPr>
          <w:b/>
          <w:bCs/>
          <w:lang w:val="en-US"/>
        </w:rPr>
      </w:pPr>
      <w:r>
        <w:rPr>
          <w:b/>
          <w:bCs/>
          <w:lang w:val="en-US"/>
        </w:rPr>
        <w:t>Master of Business Administration (MBA)</w:t>
      </w:r>
    </w:p>
    <w:p>
      <w:pPr>
        <w:pStyle w:val="style0"/>
        <w:spacing w:lineRule="auto" w:line="278"/>
        <w:jc w:val="center"/>
        <w:rPr>
          <w:b/>
          <w:bCs/>
          <w:lang w:val="en-US"/>
        </w:rPr>
      </w:pPr>
      <w:r>
        <w:rPr>
          <w:b/>
          <w:bCs/>
          <w:lang w:val="en-US"/>
        </w:rPr>
        <w:t>Module Title:</w:t>
      </w:r>
    </w:p>
    <w:p>
      <w:pPr>
        <w:pStyle w:val="style0"/>
        <w:spacing w:lineRule="auto" w:line="278"/>
        <w:jc w:val="center"/>
        <w:rPr>
          <w:b/>
          <w:bCs/>
          <w:lang w:val="en-US"/>
        </w:rPr>
      </w:pPr>
      <w:r>
        <w:rPr>
          <w:b/>
          <w:bCs/>
          <w:lang w:val="en-US"/>
        </w:rPr>
        <w:t>Strategic Management (LCMB7003)</w:t>
      </w:r>
    </w:p>
    <w:p>
      <w:pPr>
        <w:pStyle w:val="style0"/>
        <w:spacing w:lineRule="auto" w:line="278"/>
        <w:jc w:val="center"/>
        <w:rPr>
          <w:b/>
          <w:bCs/>
          <w:lang w:val="en-US"/>
        </w:rPr>
      </w:pPr>
      <w:r>
        <w:rPr>
          <w:b/>
          <w:bCs/>
          <w:lang w:val="en-US"/>
        </w:rPr>
        <w:t>Assignment Title:</w:t>
      </w:r>
    </w:p>
    <w:p>
      <w:pPr>
        <w:pStyle w:val="style0"/>
        <w:spacing w:lineRule="auto" w:line="278"/>
        <w:jc w:val="center"/>
        <w:rPr>
          <w:b/>
          <w:bCs/>
          <w:lang w:val="en-US"/>
        </w:rPr>
      </w:pPr>
      <w:r>
        <w:rPr>
          <w:b/>
          <w:bCs/>
          <w:lang w:val="en-US"/>
        </w:rPr>
        <w:t xml:space="preserve">Strategic Management Report </w:t>
      </w:r>
    </w:p>
    <w:p>
      <w:pPr>
        <w:pStyle w:val="style0"/>
        <w:spacing w:lineRule="auto" w:line="278"/>
        <w:jc w:val="center"/>
        <w:rPr>
          <w:b/>
          <w:bCs/>
          <w:lang w:val="en-US"/>
        </w:rPr>
      </w:pPr>
      <w:r>
        <w:rPr>
          <w:b/>
          <w:bCs/>
          <w:lang w:val="en-US"/>
        </w:rPr>
        <w:t>Assignment Title:</w:t>
      </w:r>
    </w:p>
    <w:p>
      <w:pPr>
        <w:pStyle w:val="style0"/>
        <w:spacing w:lineRule="auto" w:line="278"/>
        <w:jc w:val="center"/>
        <w:rPr>
          <w:lang w:val="en-US"/>
        </w:rPr>
      </w:pPr>
      <w:r>
        <w:rPr>
          <w:lang w:val="en-US"/>
        </w:rPr>
        <w:t xml:space="preserve">Report on Tesla </w:t>
      </w:r>
    </w:p>
    <w:p>
      <w:pPr>
        <w:pStyle w:val="style0"/>
        <w:spacing w:lineRule="auto" w:line="278"/>
        <w:jc w:val="center"/>
        <w:rPr>
          <w:b/>
          <w:bCs/>
          <w:lang w:val="en-US"/>
        </w:rPr>
      </w:pPr>
      <w:r>
        <w:rPr>
          <w:b/>
          <w:bCs/>
          <w:lang w:val="en-US"/>
        </w:rPr>
        <w:t>Student Name: Hamza khan</w:t>
      </w:r>
    </w:p>
    <w:p>
      <w:pPr>
        <w:pStyle w:val="style0"/>
        <w:spacing w:lineRule="auto" w:line="278"/>
        <w:jc w:val="center"/>
        <w:rPr>
          <w:b/>
          <w:bCs/>
          <w:lang w:val="en-US"/>
        </w:rPr>
      </w:pPr>
      <w:r>
        <w:rPr>
          <w:b/>
          <w:bCs/>
          <w:lang w:val="en-US"/>
        </w:rPr>
        <w:t>Student ID: 2504521</w:t>
      </w:r>
    </w:p>
    <w:p>
      <w:pPr>
        <w:spacing w:after="160" w:lineRule="auto" w:line="360"/>
        <w:jc w:val="center"/>
        <w:rPr>
          <w:b/>
          <w:bCs/>
          <w:lang w:val="en-US"/>
        </w:rPr>
      </w:pPr>
      <w:r>
        <w:rPr>
          <w:b/>
          <w:bCs/>
          <w:lang w:val="en-US"/>
        </w:rPr>
        <w:t>Lecturer: Amare Desta Zulf Khan</w:t>
      </w:r>
    </w:p>
    <w:p>
      <w:pPr>
        <w:pStyle w:val="style0"/>
        <w:spacing w:after="160" w:lineRule="auto" w:line="360"/>
        <w:jc w:val="left"/>
        <w:rPr>
          <w:b/>
          <w:bCs/>
          <w:lang w:val="en-US"/>
        </w:rPr>
      </w:pPr>
    </w:p>
    <w:p>
      <w:pPr>
        <w:pStyle w:val="style0"/>
        <w:spacing w:lineRule="auto" w:line="278"/>
        <w:jc w:val="center"/>
        <w:rPr>
          <w:b/>
          <w:bCs/>
          <w:lang w:val="en-US"/>
        </w:rPr>
      </w:pPr>
      <w:r>
        <w:rPr>
          <w:b/>
          <w:bCs/>
          <w:lang w:val="en-US"/>
        </w:rPr>
        <w:t xml:space="preserve">Word Count: </w:t>
      </w:r>
      <w:r>
        <w:rPr>
          <w:b/>
          <w:bCs/>
          <w:highlight w:val="yellow"/>
          <w:lang w:val="en-US"/>
        </w:rPr>
        <w:t>5456</w:t>
      </w:r>
    </w:p>
    <w:p>
      <w:pPr>
        <w:pStyle w:val="style0"/>
        <w:spacing w:lineRule="auto" w:line="278"/>
        <w:jc w:val="center"/>
        <w:rPr>
          <w:b/>
          <w:bCs/>
          <w:lang w:val="en-US"/>
        </w:rPr>
      </w:pPr>
      <w:r>
        <w:rPr>
          <w:b/>
          <w:bCs/>
          <w:lang w:val="en-US"/>
        </w:rPr>
        <w:t>Submission Date: 1 May 2026</w:t>
      </w:r>
    </w:p>
    <w:bookmarkEnd w:id="0"/>
    <w:p>
      <w:pPr>
        <w:pStyle w:val="style0"/>
        <w:spacing w:lineRule="auto" w:line="278"/>
        <w:jc w:val="left"/>
        <w:rPr/>
      </w:pPr>
      <w:r>
        <w:br w:type="page"/>
      </w:r>
    </w:p>
    <w:p>
      <w:pPr>
        <w:pStyle w:val="style266"/>
        <w:rPr>
          <w:color w:val="auto"/>
        </w:rPr>
      </w:pPr>
      <w:r>
        <w:rPr>
          <w:color w:val="auto"/>
        </w:rPr>
        <w:t>Table of Contents</w:t>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TOC \o "1-3" \h \z \u </w:instrText>
      </w:r>
      <w:r>
        <w:rPr/>
        <w:fldChar w:fldCharType="separate"/>
      </w:r>
      <w:r>
        <w:rPr/>
        <w:fldChar w:fldCharType="begin"/>
      </w:r>
      <w:r>
        <w:instrText xml:space="preserve"> HYPERLINK \l "_Toc228494899" </w:instrText>
      </w:r>
      <w:r>
        <w:rPr/>
        <w:fldChar w:fldCharType="separate"/>
      </w:r>
      <w:r>
        <w:rPr>
          <w:rStyle w:val="style85"/>
          <w:noProof/>
        </w:rPr>
        <w:t>SECTION 1: REPORT</w:t>
      </w:r>
      <w:r>
        <w:rPr>
          <w:noProof/>
          <w:webHidden/>
        </w:rPr>
        <w:tab/>
      </w:r>
      <w:r>
        <w:rPr>
          <w:noProof/>
          <w:webHidden/>
        </w:rPr>
        <w:fldChar w:fldCharType="begin"/>
      </w:r>
      <w:r>
        <w:rPr>
          <w:noProof/>
          <w:webHidden/>
        </w:rPr>
        <w:instrText xml:space="preserve"> PAGEREF _Toc228494899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"_Toc228494900" </w:instrText>
      </w:r>
      <w:r>
        <w:rPr/>
        <w:fldChar w:fldCharType="separate"/>
      </w:r>
      <w:r>
        <w:rPr>
          <w:rStyle w:val="style85"/>
          <w:noProof/>
          <w:lang w:val="en-US"/>
        </w:rPr>
        <w:t>1. Organisational Context &amp; Overview</w:t>
      </w:r>
      <w:r>
        <w:rPr>
          <w:noProof/>
          <w:webHidden/>
        </w:rPr>
        <w:tab/>
      </w:r>
      <w:r>
        <w:rPr>
          <w:noProof/>
          <w:webHidden/>
        </w:rPr>
        <w:fldChar w:fldCharType="begin"/>
      </w:r>
      <w:r>
        <w:rPr>
          <w:noProof/>
          <w:webHidden/>
        </w:rPr>
        <w:instrText xml:space="preserve"> PAGEREF _Toc228494900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"_Toc228494901" </w:instrText>
      </w:r>
      <w:r>
        <w:rPr/>
        <w:fldChar w:fldCharType="separate"/>
      </w:r>
      <w:r>
        <w:rPr>
          <w:rStyle w:val="style85"/>
          <w:noProof/>
          <w:lang w:val="en-US"/>
        </w:rPr>
        <w:t>2. External &amp; Internal Environment Analysis</w:t>
      </w:r>
      <w:r>
        <w:rPr>
          <w:noProof/>
          <w:webHidden/>
        </w:rPr>
        <w:tab/>
      </w:r>
      <w:r>
        <w:rPr>
          <w:noProof/>
          <w:webHidden/>
        </w:rPr>
        <w:fldChar w:fldCharType="begin"/>
      </w:r>
      <w:r>
        <w:rPr>
          <w:noProof/>
          <w:webHidden/>
        </w:rPr>
        <w:instrText xml:space="preserve"> PAGEREF _Toc228494901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"_Toc228494902" </w:instrText>
      </w:r>
      <w:r>
        <w:rPr/>
        <w:fldChar w:fldCharType="separate"/>
      </w:r>
      <w:r>
        <w:rPr>
          <w:rStyle w:val="style85"/>
          <w:noProof/>
          <w:lang w:val="en-US"/>
        </w:rPr>
        <w:t>2.1 PESTLE Analysis (External Environment)</w:t>
      </w:r>
      <w:r>
        <w:rPr>
          <w:noProof/>
          <w:webHidden/>
        </w:rPr>
        <w:tab/>
      </w:r>
      <w:r>
        <w:rPr>
          <w:noProof/>
          <w:webHidden/>
        </w:rPr>
        <w:fldChar w:fldCharType="begin"/>
      </w:r>
      <w:r>
        <w:rPr>
          <w:noProof/>
          <w:webHidden/>
        </w:rPr>
        <w:instrText xml:space="preserve"> PAGEREF _Toc228494902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"_Toc228494903" </w:instrText>
      </w:r>
      <w:r>
        <w:rPr/>
        <w:fldChar w:fldCharType="separate"/>
      </w:r>
      <w:r>
        <w:rPr>
          <w:rStyle w:val="style85"/>
          <w:noProof/>
          <w:lang w:val="en-US"/>
        </w:rPr>
        <w:t>2.2 Industry Analysis (Porter’s Five Forces)</w:t>
      </w:r>
      <w:r>
        <w:rPr>
          <w:noProof/>
          <w:webHidden/>
        </w:rPr>
        <w:tab/>
      </w:r>
      <w:r>
        <w:rPr>
          <w:noProof/>
          <w:webHidden/>
        </w:rPr>
        <w:fldChar w:fldCharType="begin"/>
      </w:r>
      <w:r>
        <w:rPr>
          <w:noProof/>
          <w:webHidden/>
        </w:rPr>
        <w:instrText xml:space="preserve"> PAGEREF _Toc228494903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"_Toc228494904" </w:instrText>
      </w:r>
      <w:r>
        <w:rPr/>
        <w:fldChar w:fldCharType="separate"/>
      </w:r>
      <w:r>
        <w:rPr>
          <w:rStyle w:val="style85"/>
          <w:noProof/>
          <w:lang w:val="en-US"/>
        </w:rPr>
        <w:t>2.3 Internal Analysis (VRIO Framework)</w:t>
      </w:r>
      <w:r>
        <w:rPr>
          <w:noProof/>
          <w:webHidden/>
        </w:rPr>
        <w:tab/>
      </w:r>
      <w:r>
        <w:rPr>
          <w:noProof/>
          <w:webHidden/>
        </w:rPr>
        <w:fldChar w:fldCharType="begin"/>
      </w:r>
      <w:r>
        <w:rPr>
          <w:noProof/>
          <w:webHidden/>
        </w:rPr>
        <w:instrText xml:space="preserve"> PAGEREF _Toc228494904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"_Toc228494905" </w:instrText>
      </w:r>
      <w:r>
        <w:rPr/>
        <w:fldChar w:fldCharType="separate"/>
      </w:r>
      <w:r>
        <w:rPr>
          <w:rStyle w:val="style85"/>
          <w:noProof/>
          <w:lang w:val="en-US"/>
        </w:rPr>
        <w:t>2.4 Core Competencies</w:t>
      </w:r>
      <w:r>
        <w:rPr>
          <w:noProof/>
          <w:webHidden/>
        </w:rPr>
        <w:tab/>
      </w:r>
      <w:r>
        <w:rPr>
          <w:noProof/>
          <w:webHidden/>
        </w:rPr>
        <w:fldChar w:fldCharType="begin"/>
      </w:r>
      <w:r>
        <w:rPr>
          <w:noProof/>
          <w:webHidden/>
        </w:rPr>
        <w:instrText xml:space="preserve"> PAGEREF _Toc228494905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"_Toc228494906" </w:instrText>
      </w:r>
      <w:r>
        <w:rPr/>
        <w:fldChar w:fldCharType="separate"/>
      </w:r>
      <w:r>
        <w:rPr>
          <w:rStyle w:val="style85"/>
          <w:noProof/>
          <w:lang w:val="en-US"/>
        </w:rPr>
        <w:t>3. CSR &amp; Sustainability Objectives</w:t>
      </w:r>
      <w:r>
        <w:rPr>
          <w:noProof/>
          <w:webHidden/>
        </w:rPr>
        <w:tab/>
      </w:r>
      <w:r>
        <w:rPr>
          <w:noProof/>
          <w:webHidden/>
        </w:rPr>
        <w:fldChar w:fldCharType="begin"/>
      </w:r>
      <w:r>
        <w:rPr>
          <w:noProof/>
          <w:webHidden/>
        </w:rPr>
        <w:instrText xml:space="preserve"> PAGEREF _Toc228494906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"_Toc228494907" </w:instrText>
      </w:r>
      <w:r>
        <w:rPr/>
        <w:fldChar w:fldCharType="separate"/>
      </w:r>
      <w:r>
        <w:rPr>
          <w:rStyle w:val="style85"/>
          <w:noProof/>
          <w:lang w:val="en-US"/>
        </w:rPr>
        <w:t>3.1 Strategic Positioning of Sustainability</w:t>
      </w:r>
      <w:r>
        <w:rPr>
          <w:noProof/>
          <w:webHidden/>
        </w:rPr>
        <w:tab/>
      </w:r>
      <w:r>
        <w:rPr>
          <w:noProof/>
          <w:webHidden/>
        </w:rPr>
        <w:fldChar w:fldCharType="begin"/>
      </w:r>
      <w:r>
        <w:rPr>
          <w:noProof/>
          <w:webHidden/>
        </w:rPr>
        <w:instrText xml:space="preserve"> PAGEREF _Toc228494907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"_Toc228494908" </w:instrText>
      </w:r>
      <w:r>
        <w:rPr/>
        <w:fldChar w:fldCharType="separate"/>
      </w:r>
      <w:r>
        <w:rPr>
          <w:rStyle w:val="style85"/>
          <w:noProof/>
          <w:lang w:val="en-US"/>
        </w:rPr>
        <w:t>3.2 Shared Value and Competitive Advantage</w:t>
      </w:r>
      <w:r>
        <w:rPr>
          <w:noProof/>
          <w:webHidden/>
        </w:rPr>
        <w:tab/>
      </w:r>
      <w:r>
        <w:rPr>
          <w:noProof/>
          <w:webHidden/>
        </w:rPr>
        <w:fldChar w:fldCharType="begin"/>
      </w:r>
      <w:r>
        <w:rPr>
          <w:noProof/>
          <w:webHidden/>
        </w:rPr>
        <w:instrText xml:space="preserve"> PAGEREF _Toc228494908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"_Toc228494909" </w:instrText>
      </w:r>
      <w:r>
        <w:rPr/>
        <w:fldChar w:fldCharType="separate"/>
      </w:r>
      <w:r>
        <w:rPr>
          <w:rStyle w:val="style85"/>
          <w:noProof/>
          <w:lang w:val="en-US"/>
        </w:rPr>
        <w:t>3.3 Ethical and Operational Contradictions</w:t>
      </w:r>
      <w:r>
        <w:rPr>
          <w:noProof/>
          <w:webHidden/>
        </w:rPr>
        <w:tab/>
      </w:r>
      <w:r>
        <w:rPr>
          <w:noProof/>
          <w:webHidden/>
        </w:rPr>
        <w:fldChar w:fldCharType="begin"/>
      </w:r>
      <w:r>
        <w:rPr>
          <w:noProof/>
          <w:webHidden/>
        </w:rPr>
        <w:instrText xml:space="preserve"> PAGEREF _Toc228494909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"_Toc228494910" </w:instrText>
      </w:r>
      <w:r>
        <w:rPr/>
        <w:fldChar w:fldCharType="separate"/>
      </w:r>
      <w:r>
        <w:rPr>
          <w:rStyle w:val="style85"/>
          <w:noProof/>
          <w:lang w:val="en-US"/>
        </w:rPr>
        <w:t>3.4 Strategic Implications</w:t>
      </w:r>
      <w:r>
        <w:rPr>
          <w:noProof/>
          <w:webHidden/>
        </w:rPr>
        <w:tab/>
      </w:r>
      <w:r>
        <w:rPr>
          <w:noProof/>
          <w:webHidden/>
        </w:rPr>
        <w:fldChar w:fldCharType="begin"/>
      </w:r>
      <w:r>
        <w:rPr>
          <w:noProof/>
          <w:webHidden/>
        </w:rPr>
        <w:instrText xml:space="preserve"> PAGEREF _Toc228494910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"_Toc228494911" </w:instrText>
      </w:r>
      <w:r>
        <w:rPr/>
        <w:fldChar w:fldCharType="separate"/>
      </w:r>
      <w:r>
        <w:rPr>
          <w:rStyle w:val="style85"/>
          <w:noProof/>
          <w:lang w:val="en-US"/>
        </w:rPr>
        <w:t>4. Comprehensive &amp; Holistic View: Balanced Scorecard</w:t>
      </w:r>
      <w:r>
        <w:rPr>
          <w:noProof/>
          <w:webHidden/>
        </w:rPr>
        <w:tab/>
      </w:r>
      <w:r>
        <w:rPr>
          <w:noProof/>
          <w:webHidden/>
        </w:rPr>
        <w:fldChar w:fldCharType="begin"/>
      </w:r>
      <w:r>
        <w:rPr>
          <w:noProof/>
          <w:webHidden/>
        </w:rPr>
        <w:instrText xml:space="preserve"> PAGEREF _Toc228494911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"_Toc228494912" </w:instrText>
      </w:r>
      <w:r>
        <w:rPr/>
        <w:fldChar w:fldCharType="separate"/>
      </w:r>
      <w:r>
        <w:rPr>
          <w:rStyle w:val="style85"/>
          <w:noProof/>
          <w:lang w:val="en-US"/>
        </w:rPr>
        <w:t>4.1 Financial Perspective</w:t>
      </w:r>
      <w:r>
        <w:rPr>
          <w:noProof/>
          <w:webHidden/>
        </w:rPr>
        <w:tab/>
      </w:r>
      <w:r>
        <w:rPr>
          <w:noProof/>
          <w:webHidden/>
        </w:rPr>
        <w:fldChar w:fldCharType="begin"/>
      </w:r>
      <w:r>
        <w:rPr>
          <w:noProof/>
          <w:webHidden/>
        </w:rPr>
        <w:instrText xml:space="preserve"> PAGEREF _Toc228494912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"_Toc228494913" </w:instrText>
      </w:r>
      <w:r>
        <w:rPr/>
        <w:fldChar w:fldCharType="separate"/>
      </w:r>
      <w:r>
        <w:rPr>
          <w:rStyle w:val="style85"/>
          <w:noProof/>
          <w:lang w:val="en-US"/>
        </w:rPr>
        <w:t>4.2 Customer Perspective</w:t>
      </w:r>
      <w:r>
        <w:rPr>
          <w:noProof/>
          <w:webHidden/>
        </w:rPr>
        <w:tab/>
      </w:r>
      <w:r>
        <w:rPr>
          <w:noProof/>
          <w:webHidden/>
        </w:rPr>
        <w:fldChar w:fldCharType="begin"/>
      </w:r>
      <w:r>
        <w:rPr>
          <w:noProof/>
          <w:webHidden/>
        </w:rPr>
        <w:instrText xml:space="preserve"> PAGEREF _Toc228494913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"_Toc228494914" </w:instrText>
      </w:r>
      <w:r>
        <w:rPr/>
        <w:fldChar w:fldCharType="separate"/>
      </w:r>
      <w:r>
        <w:rPr>
          <w:rStyle w:val="style85"/>
          <w:noProof/>
          <w:lang w:val="en-US"/>
        </w:rPr>
        <w:t>4.3 Internal Business Processes</w:t>
      </w:r>
      <w:r>
        <w:rPr>
          <w:noProof/>
          <w:webHidden/>
        </w:rPr>
        <w:tab/>
      </w:r>
      <w:r>
        <w:rPr>
          <w:noProof/>
          <w:webHidden/>
        </w:rPr>
        <w:fldChar w:fldCharType="begin"/>
      </w:r>
      <w:r>
        <w:rPr>
          <w:noProof/>
          <w:webHidden/>
        </w:rPr>
        <w:instrText xml:space="preserve"> PAGEREF _Toc228494914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"_Toc228494915" </w:instrText>
      </w:r>
      <w:r>
        <w:rPr/>
        <w:fldChar w:fldCharType="separate"/>
      </w:r>
      <w:r>
        <w:rPr>
          <w:rStyle w:val="style85"/>
          <w:noProof/>
          <w:lang w:val="en-US"/>
        </w:rPr>
        <w:t>4.4 Learning &amp; Growth Perspective</w:t>
      </w:r>
      <w:r>
        <w:rPr>
          <w:noProof/>
          <w:webHidden/>
        </w:rPr>
        <w:tab/>
      </w:r>
      <w:r>
        <w:rPr>
          <w:noProof/>
          <w:webHidden/>
        </w:rPr>
        <w:fldChar w:fldCharType="begin"/>
      </w:r>
      <w:r>
        <w:rPr>
          <w:noProof/>
          <w:webHidden/>
        </w:rPr>
        <w:instrText xml:space="preserve"> PAGEREF _Toc228494915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"_Toc228494916" </w:instrText>
      </w:r>
      <w:r>
        <w:rPr/>
        <w:fldChar w:fldCharType="separate"/>
      </w:r>
      <w:r>
        <w:rPr>
          <w:rStyle w:val="style85"/>
          <w:noProof/>
          <w:lang w:val="en-US"/>
        </w:rPr>
        <w:t>5. Strategic Choices &amp; Implementation</w:t>
      </w:r>
      <w:r>
        <w:rPr>
          <w:noProof/>
          <w:webHidden/>
        </w:rPr>
        <w:tab/>
      </w:r>
      <w:r>
        <w:rPr>
          <w:noProof/>
          <w:webHidden/>
        </w:rPr>
        <w:fldChar w:fldCharType="begin"/>
      </w:r>
      <w:r>
        <w:rPr>
          <w:noProof/>
          <w:webHidden/>
        </w:rPr>
        <w:instrText xml:space="preserve"> PAGEREF _Toc228494916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"_Toc228494917" </w:instrText>
      </w:r>
      <w:r>
        <w:rPr/>
        <w:fldChar w:fldCharType="separate"/>
      </w:r>
      <w:r>
        <w:rPr>
          <w:rStyle w:val="style85"/>
          <w:noProof/>
          <w:lang w:val="en-US"/>
        </w:rPr>
        <w:t>5.1 Business-Level Strategy</w:t>
      </w:r>
      <w:r>
        <w:rPr>
          <w:noProof/>
          <w:webHidden/>
        </w:rPr>
        <w:tab/>
      </w:r>
      <w:r>
        <w:rPr>
          <w:noProof/>
          <w:webHidden/>
        </w:rPr>
        <w:fldChar w:fldCharType="begin"/>
      </w:r>
      <w:r>
        <w:rPr>
          <w:noProof/>
          <w:webHidden/>
        </w:rPr>
        <w:instrText xml:space="preserve"> PAGEREF _Toc228494917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"_Toc228494918" </w:instrText>
      </w:r>
      <w:r>
        <w:rPr/>
        <w:fldChar w:fldCharType="separate"/>
      </w:r>
      <w:r>
        <w:rPr>
          <w:rStyle w:val="style85"/>
          <w:noProof/>
          <w:lang w:val="en-US"/>
        </w:rPr>
        <w:t>5.2 Corporate-Level Strategy</w:t>
      </w:r>
      <w:r>
        <w:rPr>
          <w:noProof/>
          <w:webHidden/>
        </w:rPr>
        <w:tab/>
      </w:r>
      <w:r>
        <w:rPr>
          <w:noProof/>
          <w:webHidden/>
        </w:rPr>
        <w:fldChar w:fldCharType="begin"/>
      </w:r>
      <w:r>
        <w:rPr>
          <w:noProof/>
          <w:webHidden/>
        </w:rPr>
        <w:instrText xml:space="preserve"> PAGEREF _Toc228494918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"_Toc228494919" </w:instrText>
      </w:r>
      <w:r>
        <w:rPr/>
        <w:fldChar w:fldCharType="separate"/>
      </w:r>
      <w:r>
        <w:rPr>
          <w:rStyle w:val="style85"/>
          <w:noProof/>
          <w:lang w:val="en-US"/>
        </w:rPr>
        <w:t>5.3 Strategy Implementation &amp; Change Management</w:t>
      </w:r>
      <w:r>
        <w:rPr>
          <w:noProof/>
          <w:webHidden/>
        </w:rPr>
        <w:tab/>
      </w:r>
      <w:r>
        <w:rPr>
          <w:noProof/>
          <w:webHidden/>
        </w:rPr>
        <w:fldChar w:fldCharType="begin"/>
      </w:r>
      <w:r>
        <w:rPr>
          <w:noProof/>
          <w:webHidden/>
        </w:rPr>
        <w:instrText xml:space="preserve"> PAGEREF _Toc228494919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"_Toc228494920" </w:instrText>
      </w:r>
      <w:r>
        <w:rPr/>
        <w:fldChar w:fldCharType="separate"/>
      </w:r>
      <w:r>
        <w:rPr>
          <w:rStyle w:val="style85"/>
          <w:noProof/>
          <w:lang w:val="en-US"/>
        </w:rPr>
        <w:t>5.4 Overall Strategic Assessment</w:t>
      </w:r>
      <w:r>
        <w:rPr>
          <w:noProof/>
          <w:webHidden/>
        </w:rPr>
        <w:tab/>
      </w:r>
      <w:r>
        <w:rPr>
          <w:noProof/>
          <w:webHidden/>
        </w:rPr>
        <w:fldChar w:fldCharType="begin"/>
      </w:r>
      <w:r>
        <w:rPr>
          <w:noProof/>
          <w:webHidden/>
        </w:rPr>
        <w:instrText xml:space="preserve"> PAGEREF _Toc228494920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"_Toc228494921" </w:instrText>
      </w:r>
      <w:r>
        <w:rPr/>
        <w:fldChar w:fldCharType="separate"/>
      </w:r>
      <w:r>
        <w:rPr>
          <w:rStyle w:val="style85"/>
          <w:noProof/>
          <w:lang w:val="en-US"/>
        </w:rPr>
        <w:t>6. Strategic Evaluation &amp; Recommendations</w:t>
      </w:r>
      <w:r>
        <w:rPr>
          <w:noProof/>
          <w:webHidden/>
        </w:rPr>
        <w:tab/>
      </w:r>
      <w:r>
        <w:rPr>
          <w:noProof/>
          <w:webHidden/>
        </w:rPr>
        <w:fldChar w:fldCharType="begin"/>
      </w:r>
      <w:r>
        <w:rPr>
          <w:noProof/>
          <w:webHidden/>
        </w:rPr>
        <w:instrText xml:space="preserve"> PAGEREF _Toc228494921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"_Toc228494922" </w:instrText>
      </w:r>
      <w:r>
        <w:rPr/>
        <w:fldChar w:fldCharType="separate"/>
      </w:r>
      <w:r>
        <w:rPr>
          <w:rStyle w:val="style85"/>
          <w:noProof/>
          <w:lang w:val="en-US"/>
        </w:rPr>
        <w:t>6.1 Strategic Evaluation (SWOT + Ansoff)</w:t>
      </w:r>
      <w:r>
        <w:rPr>
          <w:noProof/>
          <w:webHidden/>
        </w:rPr>
        <w:tab/>
      </w:r>
      <w:r>
        <w:rPr>
          <w:noProof/>
          <w:webHidden/>
        </w:rPr>
        <w:fldChar w:fldCharType="begin"/>
      </w:r>
      <w:r>
        <w:rPr>
          <w:noProof/>
          <w:webHidden/>
        </w:rPr>
        <w:instrText xml:space="preserve"> PAGEREF _Toc228494922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"_Toc228494923" </w:instrText>
      </w:r>
      <w:r>
        <w:rPr/>
        <w:fldChar w:fldCharType="separate"/>
      </w:r>
      <w:r>
        <w:rPr>
          <w:rStyle w:val="style85"/>
          <w:noProof/>
          <w:lang w:val="en-US"/>
        </w:rPr>
        <w:t>6.2 Strategic Recommendations</w:t>
      </w:r>
      <w:r>
        <w:rPr>
          <w:noProof/>
          <w:webHidden/>
        </w:rPr>
        <w:tab/>
      </w:r>
      <w:r>
        <w:rPr>
          <w:noProof/>
          <w:webHidden/>
        </w:rPr>
        <w:fldChar w:fldCharType="begin"/>
      </w:r>
      <w:r>
        <w:rPr>
          <w:noProof/>
          <w:webHidden/>
        </w:rPr>
        <w:instrText xml:space="preserve"> PAGEREF _Toc228494923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"_Toc228494924" </w:instrText>
      </w:r>
      <w:r>
        <w:rPr/>
        <w:fldChar w:fldCharType="separate"/>
      </w:r>
      <w:r>
        <w:rPr>
          <w:rStyle w:val="style85"/>
          <w:noProof/>
          <w:lang w:val="en-US"/>
        </w:rPr>
        <w:t>7. Conclusion</w:t>
      </w:r>
      <w:r>
        <w:rPr>
          <w:noProof/>
          <w:webHidden/>
        </w:rPr>
        <w:tab/>
      </w:r>
      <w:r>
        <w:rPr>
          <w:noProof/>
          <w:webHidden/>
        </w:rPr>
        <w:fldChar w:fldCharType="begin"/>
      </w:r>
      <w:r>
        <w:rPr>
          <w:noProof/>
          <w:webHidden/>
        </w:rPr>
        <w:instrText xml:space="preserve"> PAGEREF _Toc228494924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"_Toc228494925" </w:instrText>
      </w:r>
      <w:r>
        <w:rPr/>
        <w:fldChar w:fldCharType="separate"/>
      </w:r>
      <w:r>
        <w:rPr>
          <w:rStyle w:val="style85"/>
          <w:noProof/>
          <w:lang w:val="en-US"/>
        </w:rPr>
        <w:t>SECTION 2: REFLECTIVE ACCOUNT</w:t>
      </w:r>
      <w:r>
        <w:rPr>
          <w:noProof/>
          <w:webHidden/>
        </w:rPr>
        <w:tab/>
      </w:r>
      <w:r>
        <w:rPr>
          <w:noProof/>
          <w:webHidden/>
        </w:rPr>
        <w:fldChar w:fldCharType="begin"/>
      </w:r>
      <w:r>
        <w:rPr>
          <w:noProof/>
          <w:webHidden/>
        </w:rPr>
        <w:instrText xml:space="preserve"> PAGEREF _Toc228494925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"_Toc228494926" </w:instrText>
      </w:r>
      <w:r>
        <w:rPr/>
        <w:fldChar w:fldCharType="separate"/>
      </w:r>
      <w:r>
        <w:rPr>
          <w:rStyle w:val="style85"/>
          <w:noProof/>
          <w:lang w:val="en-US"/>
        </w:rPr>
        <w:t>1. Description</w:t>
      </w:r>
      <w:r>
        <w:rPr>
          <w:noProof/>
          <w:webHidden/>
        </w:rPr>
        <w:tab/>
      </w:r>
      <w:r>
        <w:rPr>
          <w:noProof/>
          <w:webHidden/>
        </w:rPr>
        <w:fldChar w:fldCharType="begin"/>
      </w:r>
      <w:r>
        <w:rPr>
          <w:noProof/>
          <w:webHidden/>
        </w:rPr>
        <w:instrText xml:space="preserve"> PAGEREF _Toc228494926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"_Toc228494927" </w:instrText>
      </w:r>
      <w:r>
        <w:rPr/>
        <w:fldChar w:fldCharType="separate"/>
      </w:r>
      <w:r>
        <w:rPr>
          <w:rStyle w:val="style85"/>
          <w:noProof/>
          <w:lang w:val="en-US"/>
        </w:rPr>
        <w:t>2. Feelings</w:t>
      </w:r>
      <w:r>
        <w:rPr>
          <w:noProof/>
          <w:webHidden/>
        </w:rPr>
        <w:tab/>
      </w:r>
      <w:r>
        <w:rPr>
          <w:noProof/>
          <w:webHidden/>
        </w:rPr>
        <w:fldChar w:fldCharType="begin"/>
      </w:r>
      <w:r>
        <w:rPr>
          <w:noProof/>
          <w:webHidden/>
        </w:rPr>
        <w:instrText xml:space="preserve"> PAGEREF _Toc228494927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"_Toc228494928" </w:instrText>
      </w:r>
      <w:r>
        <w:rPr/>
        <w:fldChar w:fldCharType="separate"/>
      </w:r>
      <w:r>
        <w:rPr>
          <w:rStyle w:val="style85"/>
          <w:noProof/>
          <w:lang w:val="en-US"/>
        </w:rPr>
        <w:t>3. Evaluation</w:t>
      </w:r>
      <w:r>
        <w:rPr>
          <w:noProof/>
          <w:webHidden/>
        </w:rPr>
        <w:tab/>
      </w:r>
      <w:r>
        <w:rPr>
          <w:noProof/>
          <w:webHidden/>
        </w:rPr>
        <w:fldChar w:fldCharType="begin"/>
      </w:r>
      <w:r>
        <w:rPr>
          <w:noProof/>
          <w:webHidden/>
        </w:rPr>
        <w:instrText xml:space="preserve"> PAGEREF _Toc228494928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"_Toc228494929" </w:instrText>
      </w:r>
      <w:r>
        <w:rPr/>
        <w:fldChar w:fldCharType="separate"/>
      </w:r>
      <w:r>
        <w:rPr>
          <w:rStyle w:val="style85"/>
          <w:noProof/>
          <w:lang w:val="en-US"/>
        </w:rPr>
        <w:t>4. Analysis</w:t>
      </w:r>
      <w:r>
        <w:rPr>
          <w:noProof/>
          <w:webHidden/>
        </w:rPr>
        <w:tab/>
      </w:r>
      <w:r>
        <w:rPr>
          <w:noProof/>
          <w:webHidden/>
        </w:rPr>
        <w:fldChar w:fldCharType="begin"/>
      </w:r>
      <w:r>
        <w:rPr>
          <w:noProof/>
          <w:webHidden/>
        </w:rPr>
        <w:instrText xml:space="preserve"> PAGEREF _Toc228494929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"_Toc228494930" </w:instrText>
      </w:r>
      <w:r>
        <w:rPr/>
        <w:fldChar w:fldCharType="separate"/>
      </w:r>
      <w:r>
        <w:rPr>
          <w:rStyle w:val="style85"/>
          <w:noProof/>
          <w:lang w:val="en-US"/>
        </w:rPr>
        <w:t>5. Conclusion</w:t>
      </w:r>
      <w:r>
        <w:rPr>
          <w:noProof/>
          <w:webHidden/>
        </w:rPr>
        <w:tab/>
      </w:r>
      <w:r>
        <w:rPr>
          <w:noProof/>
          <w:webHidden/>
        </w:rPr>
        <w:fldChar w:fldCharType="begin"/>
      </w:r>
      <w:r>
        <w:rPr>
          <w:noProof/>
          <w:webHidden/>
        </w:rPr>
        <w:instrText xml:space="preserve"> PAGEREF _Toc228494930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"_Toc228494931" </w:instrText>
      </w:r>
      <w:r>
        <w:rPr/>
        <w:fldChar w:fldCharType="separate"/>
      </w:r>
      <w:r>
        <w:rPr>
          <w:rStyle w:val="style85"/>
          <w:noProof/>
          <w:lang w:val="en-US"/>
        </w:rPr>
        <w:t>6. Action Plan</w:t>
      </w:r>
      <w:r>
        <w:rPr>
          <w:noProof/>
          <w:webHidden/>
        </w:rPr>
        <w:tab/>
      </w:r>
      <w:r>
        <w:rPr>
          <w:noProof/>
          <w:webHidden/>
        </w:rPr>
        <w:fldChar w:fldCharType="begin"/>
      </w:r>
      <w:r>
        <w:rPr>
          <w:noProof/>
          <w:webHidden/>
        </w:rPr>
        <w:instrText xml:space="preserve"> PAGEREF _Toc228494931 \h </w:instrText>
      </w:r>
      <w:r>
        <w:rPr>
          <w:noProof/>
          <w:webHidden/>
        </w:rPr>
        <w:fldChar w:fldCharType="separate"/>
      </w:r>
      <w:r>
        <w:rPr>
          <w:noProof/>
          <w:webHidden/>
        </w:rPr>
        <w:t>18</w:t>
      </w:r>
      <w:r>
        <w:rPr>
          <w:noProof/>
          <w:webHidden/>
        </w:rPr>
        <w:fldChar w:fldCharType="end"/>
      </w:r>
      <w:r>
        <w:rPr/>
        <w:fldChar w:fldCharType="end"/>
      </w:r>
    </w:p>
    <w:p>
      <w:pPr>
        <w:pStyle w:val="style19"/>
        <w:tabs>
          <w:tab w:val="right" w:leader="dot" w:pos="9016"/>
        </w:tabs>
        <w:rPr>
          <w:rFonts w:ascii="Aptos" w:eastAsia="宋体" w:hAnsi="Aptos"/>
          <w:noProof/>
          <w:kern w:val="0"/>
          <w:sz w:val="22"/>
          <w:szCs w:val="22"/>
          <w:lang w:eastAsia="en-GB"/>
          <w14:ligatures xmlns:w14="http://schemas.microsoft.com/office/word/2010/wordml" w14:val="none"/>
        </w:rPr>
      </w:pPr>
      <w:r>
        <w:rPr/>
        <w:fldChar w:fldCharType="begin"/>
      </w:r>
      <w:r>
        <w:instrText xml:space="preserve"> HYPERLINK \l "_Toc228494932" </w:instrText>
      </w:r>
      <w:r>
        <w:rPr/>
        <w:fldChar w:fldCharType="separate"/>
      </w:r>
      <w:r>
        <w:rPr>
          <w:rStyle w:val="style85"/>
          <w:noProof/>
          <w:lang w:val="en-US"/>
        </w:rPr>
        <w:t>References</w:t>
      </w:r>
      <w:r>
        <w:rPr>
          <w:noProof/>
          <w:webHidden/>
        </w:rPr>
        <w:tab/>
      </w:r>
      <w:r>
        <w:rPr>
          <w:noProof/>
          <w:webHidden/>
        </w:rPr>
        <w:fldChar w:fldCharType="begin"/>
      </w:r>
      <w:r>
        <w:rPr>
          <w:noProof/>
          <w:webHidden/>
        </w:rPr>
        <w:instrText xml:space="preserve"> PAGEREF _Toc228494932 \h </w:instrText>
      </w:r>
      <w:r>
        <w:rPr>
          <w:noProof/>
          <w:webHidden/>
        </w:rPr>
        <w:fldChar w:fldCharType="separate"/>
      </w:r>
      <w:r>
        <w:rPr>
          <w:noProof/>
          <w:webHidden/>
        </w:rPr>
        <w:t>19</w:t>
      </w:r>
      <w:r>
        <w:rPr>
          <w:noProof/>
          <w:webHidden/>
        </w:rPr>
        <w:fldChar w:fldCharType="end"/>
      </w:r>
      <w:r>
        <w:rPr/>
        <w:fldChar w:fldCharType="end"/>
      </w:r>
    </w:p>
    <w:p>
      <w:pPr>
        <w:pStyle w:val="style0"/>
        <w:rPr/>
      </w:pPr>
      <w:r>
        <w:rPr>
          <w:b/>
          <w:bCs/>
          <w:noProof/>
        </w:rPr>
        <w:fldChar w:fldCharType="end"/>
      </w:r>
    </w:p>
    <w:p>
      <w:pPr>
        <w:pStyle w:val="style0"/>
        <w:rPr/>
      </w:pPr>
    </w:p>
    <w:p>
      <w:pPr>
        <w:pStyle w:val="style0"/>
        <w:jc w:val="center"/>
        <w:rPr/>
      </w:pPr>
    </w:p>
    <w:p>
      <w:pPr>
        <w:pStyle w:val="style1"/>
        <w:rPr/>
      </w:pPr>
      <w:r>
        <w:br w:type="page"/>
      </w:r>
    </w:p>
    <w:bookmarkStart w:id="1" w:name="_Toc228494899"/>
    <w:p>
      <w:pPr>
        <w:pStyle w:val="style1"/>
        <w:rPr/>
      </w:pPr>
      <w:r>
        <w:t>SECTION 1: REPORT</w:t>
      </w:r>
      <w:bookmarkEnd w:id="1"/>
    </w:p>
    <w:bookmarkStart w:id="2" w:name="_Toc228494900"/>
    <w:p>
      <w:pPr>
        <w:pStyle w:val="style1"/>
        <w:rPr>
          <w:lang w:val="en-US"/>
        </w:rPr>
      </w:pPr>
      <w:r>
        <w:rPr>
          <w:lang w:val="en-US"/>
        </w:rPr>
        <w:t>1. Organisational Context &amp; Overview</w:t>
      </w:r>
      <w:bookmarkEnd w:id="2"/>
    </w:p>
    <w:p>
      <w:pPr>
        <w:pStyle w:val="style0"/>
        <w:rPr>
          <w:lang w:val="en-US"/>
        </w:rPr>
      </w:pPr>
      <w:r>
        <w:rPr>
          <w:lang w:val="en-US"/>
        </w:rPr>
        <w:t>Incorporated in 2003, Tesla, Inc. has been able to grow out of a niche electric vehicle (EV) start-up company to dominate the energy and technology sector globally. Tesla has initially specialized in high-performance electric sports cars, but shifted to mass-market EV manufacturing with the Model 3 and Model Y, also entering into renewable energy solutions and digital technologies</w:t>
      </w:r>
      <w:r>
        <w:rPr>
          <w:lang w:val="en-US"/>
        </w:rPr>
        <w:t xml:space="preserve"> </w:t>
      </w:r>
      <w:r>
        <w:t>(Anderson et al., 2022</w:t>
      </w:r>
      <w:r>
        <w:t>).</w:t>
      </w:r>
      <w:r>
        <w:t xml:space="preserve"> </w:t>
      </w:r>
      <w:r>
        <w:rPr>
          <w:lang w:val="en-US"/>
        </w:rPr>
        <w:t>The mission that it has set, which is to speed up the process of the world going green, is indicative of a wider strategic purpose that is not limited to the production of automobiles but the creation of an energy ecosystem</w:t>
      </w:r>
      <w:r>
        <w:rPr>
          <w:lang w:val="en-US"/>
        </w:rPr>
        <w:t xml:space="preserve"> (</w:t>
      </w:r>
      <w:r>
        <w:t>Lang et al., 2021</w:t>
      </w:r>
      <w:r>
        <w:t>).</w:t>
      </w:r>
    </w:p>
    <w:p>
      <w:pPr>
        <w:pStyle w:val="style0"/>
        <w:rPr>
          <w:lang w:val="en-US"/>
        </w:rPr>
      </w:pPr>
      <w:r>
        <w:rPr>
          <w:lang w:val="en-US"/>
        </w:rPr>
        <w:t>The Tesla business model consists of three pillars that are inter-related and include electric vehicles, energy generation and storage, and software-driven services. It also has an automotive division with a variety of vehicles (Model S, 3, X, and Y), which is backed by a network of Gigafactories around the world, allowing the company to produce in large quantities</w:t>
      </w:r>
      <w:r>
        <w:rPr>
          <w:lang w:val="en-US"/>
        </w:rPr>
        <w:t xml:space="preserve"> (</w:t>
      </w:r>
      <w:r>
        <w:t>Pandey, 2025)</w:t>
      </w:r>
      <w:r>
        <w:rPr>
          <w:lang w:val="en-US"/>
        </w:rPr>
        <w:t>. To go hand in hand with this, Tesla has products in the energy division, which include Powerwall and Solar Roof, which places the company in the renewable energy value chain. Importantly, Tesla software features, especially Autopilot and Full Self-Driving (FSD) systems, present a data-centric aspect to the company operations and allow constant improvement via machine learning and over-the-air updates</w:t>
      </w:r>
      <w:r>
        <w:rPr>
          <w:lang w:val="en-US"/>
        </w:rPr>
        <w:t xml:space="preserve"> (</w:t>
      </w:r>
      <w:r>
        <w:t>Kim et al., 2022).</w:t>
      </w:r>
    </w:p>
    <w:p>
      <w:pPr>
        <w:pStyle w:val="style0"/>
        <w:rPr>
          <w:lang w:val="en-US"/>
        </w:rPr>
      </w:pPr>
      <w:r>
        <w:rPr>
          <w:lang w:val="en-US"/>
        </w:rPr>
        <w:t>Tesla cannot be strategically thought of as a conventional auto-manufacturer. Instead, it acts as a vertically integrated energy-software ecosystem where the vehicles serve as data-generating nodes to a larger digital infrastructure. The combination of this enables Tesla to not only realize value by selling the products but also through data collection, platform creation and service revenues. As a result, its competitive edge lies at the system level of integration and not independent product innovation</w:t>
      </w:r>
      <w:r>
        <w:rPr>
          <w:lang w:val="en-US"/>
        </w:rPr>
        <w:t xml:space="preserve"> </w:t>
      </w:r>
      <w:r>
        <w:t>(</w:t>
      </w:r>
      <w:r>
        <w:t>Jagani</w:t>
      </w:r>
      <w:r>
        <w:t xml:space="preserve"> et al., 2024).</w:t>
      </w:r>
      <w:r>
        <w:rPr>
          <w:lang w:val="en-US"/>
        </w:rPr>
        <w:t xml:space="preserve"> </w:t>
      </w:r>
      <w:r>
        <w:rPr>
          <w:lang w:val="en-US"/>
        </w:rPr>
        <w:t xml:space="preserve">Tesla holds a unique market niche in the fast-growing EV market, with worldwide sales of about 14 million units in 2023 (IEA). Competitors like BYD Company Limited can use cost leadership and scale, and traditional manufacturers like Volkswagen Group and Toyota Motor Corporation can use incremental transformation to electrify their operations, but Tesla can use technological leadership </w:t>
      </w:r>
      <w:r>
        <w:rPr>
          <w:lang w:val="en-US"/>
        </w:rPr>
        <w:t>and ecosystem control. Its direct-to-consumer sales scheme, exclusive charging infrastructure, and powerful software features are all strengthening customer lock-in and brand loyalty</w:t>
      </w:r>
      <w:r>
        <w:rPr>
          <w:lang w:val="en-US"/>
        </w:rPr>
        <w:t xml:space="preserve"> </w:t>
      </w:r>
      <w:r>
        <w:t>(Dehkordi et al., 2025)</w:t>
      </w:r>
      <w:r>
        <w:t>.</w:t>
      </w:r>
    </w:p>
    <w:bookmarkStart w:id="3" w:name="_Toc228494901"/>
    <w:p>
      <w:pPr>
        <w:pStyle w:val="style1"/>
        <w:rPr>
          <w:lang w:val="en-US"/>
        </w:rPr>
      </w:pPr>
      <w:r>
        <w:rPr>
          <w:lang w:val="en-US"/>
        </w:rPr>
        <w:t>2. External &amp; Internal Environment Analysis</w:t>
      </w:r>
      <w:bookmarkEnd w:id="3"/>
    </w:p>
    <w:bookmarkStart w:id="4" w:name="_Toc228494902"/>
    <w:p>
      <w:pPr>
        <w:pStyle w:val="style2"/>
        <w:rPr>
          <w:lang w:val="en-US"/>
        </w:rPr>
      </w:pPr>
      <w:r>
        <w:rPr>
          <w:lang w:val="en-US"/>
        </w:rPr>
        <w:t>2.1 PESTLE Analysis (External Environment)</w:t>
      </w:r>
      <w:bookmarkEnd w:id="4"/>
    </w:p>
    <w:p>
      <w:pPr>
        <w:pStyle w:val="style0"/>
        <w:rPr/>
      </w:pPr>
      <w:r>
        <w:rPr>
          <w:lang w:val="en-US"/>
        </w:rPr>
        <w:t xml:space="preserve">A comprehensive evaluation of Tesla, Inc.’s external environment reveals that its </w:t>
      </w:r>
      <w:r>
        <w:t>An</w:t>
      </w:r>
      <w:r>
        <w:t xml:space="preserve"> in-depth analysis of the external environment of Tesla, Inc. shows that the strategic direction of the company is closely influenced by macro-environmental factors. Nevertheless, it is not the way Tesla reacts to these forces, but instead, it uses them and engages in their exploitation to build competitive advantage in some instances</w:t>
      </w:r>
      <w:r>
        <w:t xml:space="preserve"> </w:t>
      </w:r>
      <w:r>
        <w:t>(Guno et al., 2021</w:t>
      </w:r>
      <w:r>
        <w:t>).</w:t>
      </w:r>
      <w:r>
        <w:t xml:space="preserve"> </w:t>
      </w:r>
    </w:p>
    <w:p>
      <w:pPr>
        <w:pStyle w:val="style0"/>
        <w:rPr>
          <w:b/>
          <w:bCs/>
        </w:rPr>
      </w:pPr>
      <w:r>
        <w:rPr>
          <w:b/>
          <w:bCs/>
        </w:rPr>
        <w:t xml:space="preserve">Political Factors </w:t>
      </w:r>
    </w:p>
    <w:p>
      <w:pPr>
        <w:pStyle w:val="style0"/>
        <w:rPr/>
      </w:pPr>
      <w:r>
        <w:t>Government policies have been at the forefront of enhancing EV uptake around the world. The availability of subsidies, tax incentives, and emission controls in key marketplaces like the United States, European Union, and China have greatly reduced entry barriers by consumers</w:t>
      </w:r>
      <w:r>
        <w:t xml:space="preserve"> (</w:t>
      </w:r>
      <w:r>
        <w:t>Debnath et al., 2021</w:t>
      </w:r>
      <w:r>
        <w:t xml:space="preserve">). </w:t>
      </w:r>
      <w:r>
        <w:t>Historically, such policy frameworks have been to the advantage of Tesla, such as federal tax credits in the US and regulatory credits sold to other automakers. But this dependency brings in structural vulnerability. The uncertainty in the global supply chain and manufacturing strategy of Tesla is due to trade tensions, especially between the US and China, and tariff regimes. To illustrate, Gigafactory Shanghai offers cost benefits but also puts Tesla at risk of geopolitics</w:t>
      </w:r>
      <w:r>
        <w:t xml:space="preserve"> (</w:t>
      </w:r>
      <w:r>
        <w:t>Christodoulou &amp; Cullinane, 2019</w:t>
      </w:r>
      <w:r>
        <w:t>).</w:t>
      </w:r>
    </w:p>
    <w:p>
      <w:pPr>
        <w:pStyle w:val="style0"/>
        <w:rPr>
          <w:b/>
          <w:bCs/>
        </w:rPr>
      </w:pPr>
      <w:r>
        <w:rPr>
          <w:b/>
          <w:bCs/>
        </w:rPr>
        <w:t xml:space="preserve">Economic Factors </w:t>
      </w:r>
    </w:p>
    <w:p>
      <w:pPr>
        <w:pStyle w:val="style0"/>
        <w:rPr/>
      </w:pPr>
      <w:r>
        <w:t>The pricing strategy and market positioning of Tesla are directly dependent on the macroeconomic conditions. The cost of production has been escalated by rising inflation, especially in raw materials like lithium, cobalt and nickel. At the same time, an increase in the global interest rates has led to a decrease in consumer buying power, especially the high-priced EVs</w:t>
      </w:r>
      <w:r>
        <w:t xml:space="preserve"> (</w:t>
      </w:r>
      <w:r>
        <w:t>Himawan</w:t>
      </w:r>
      <w:r>
        <w:t xml:space="preserve"> &amp; </w:t>
      </w:r>
      <w:r>
        <w:t>Wening</w:t>
      </w:r>
      <w:r>
        <w:t>, 2021)</w:t>
      </w:r>
      <w:r>
        <w:t>. The aggressive price cuts made by Tesla in 2023</w:t>
      </w:r>
      <w:r>
        <w:t>-</w:t>
      </w:r>
      <w:r>
        <w:t xml:space="preserve">2024 are the indication of a strategic shift. Instead </w:t>
      </w:r>
      <w:r>
        <w:t>of keeping prices high, Tesla has chosen to drive demand by being affordable, especially within competitive markets</w:t>
      </w:r>
      <w:r>
        <w:t xml:space="preserve"> (</w:t>
      </w:r>
      <w:r>
        <w:t>Vardopoulos</w:t>
      </w:r>
      <w:r>
        <w:t xml:space="preserve"> et al., 2021</w:t>
      </w:r>
      <w:r>
        <w:t>).</w:t>
      </w:r>
    </w:p>
    <w:p>
      <w:pPr>
        <w:pStyle w:val="style0"/>
        <w:rPr>
          <w:b/>
          <w:bCs/>
        </w:rPr>
      </w:pPr>
      <w:r>
        <w:rPr>
          <w:b/>
          <w:bCs/>
        </w:rPr>
        <w:t xml:space="preserve">Social Factors </w:t>
      </w:r>
    </w:p>
    <w:p>
      <w:pPr>
        <w:pStyle w:val="style0"/>
        <w:rPr/>
      </w:pPr>
      <w:r>
        <w:t>Environmental consciousness and status signalling are becoming a key influence on consumer behaviour. Not only has Tesla managed to position itself as a sustainable option, but it has also managed to establish itself as a representation of technological advancement and social status. This two-fold appeal, both ethical and aspirational, has enabled Tesla to appeal to a wide range of customers, including environmentally conscious individuals, and status-seeking early adopters</w:t>
      </w:r>
      <w:r>
        <w:t xml:space="preserve"> (</w:t>
      </w:r>
      <w:r>
        <w:t>Andriuškevičius</w:t>
      </w:r>
      <w:r>
        <w:t xml:space="preserve"> &amp; </w:t>
      </w:r>
      <w:r>
        <w:t>Štreimikienė</w:t>
      </w:r>
      <w:r>
        <w:t>, 2021)</w:t>
      </w:r>
      <w:r>
        <w:t>.</w:t>
      </w:r>
    </w:p>
    <w:p>
      <w:pPr>
        <w:pStyle w:val="style0"/>
        <w:rPr>
          <w:b/>
          <w:bCs/>
        </w:rPr>
      </w:pPr>
      <w:r>
        <w:rPr>
          <w:b/>
          <w:bCs/>
        </w:rPr>
        <w:t xml:space="preserve">Technological Factors </w:t>
      </w:r>
    </w:p>
    <w:p>
      <w:pPr>
        <w:pStyle w:val="style0"/>
        <w:rPr/>
      </w:pPr>
      <w:r>
        <w:t>The strategic positioning of Tesla is still based on the technological innovation. The new developments in battery technology, specifically the creation of 4680 cells, are supposed to lower the costs and enhance performance. More importantly, Tesla investments in artificial intelligence and autonomous driving systems (Autopilot and Full Self-Driving) make it stand out of the conventional automakers</w:t>
      </w:r>
      <w:r>
        <w:t xml:space="preserve"> (</w:t>
      </w:r>
      <w:r>
        <w:t>Kong et al., 2023</w:t>
      </w:r>
      <w:r>
        <w:t>)</w:t>
      </w:r>
      <w:r>
        <w:t>. In contrast to competitors who have to depend on the external suppliers, the vertically integrated strategy of Tesla enables quick iteration and innovation</w:t>
      </w:r>
      <w:r>
        <w:t xml:space="preserve"> (</w:t>
      </w:r>
      <w:r>
        <w:t>Borgo &amp; Santos, 2021).</w:t>
      </w:r>
    </w:p>
    <w:p>
      <w:pPr>
        <w:pStyle w:val="style0"/>
        <w:rPr>
          <w:b/>
          <w:bCs/>
        </w:rPr>
      </w:pPr>
      <w:r>
        <w:rPr>
          <w:b/>
          <w:bCs/>
        </w:rPr>
        <w:t xml:space="preserve">Legal Factors </w:t>
      </w:r>
    </w:p>
    <w:p>
      <w:pPr>
        <w:pStyle w:val="style0"/>
        <w:rPr/>
      </w:pPr>
      <w:r>
        <w:t>Tesla is under growing legal scrutiny, especially in the case of autonomous driving technologies. Concerns over safety have been expressed by regulatory agencies in the US and Europe, and a series of lawsuits involving incidents of Autopilot have shown reputational and financial risks. Such legal issues may limit the commercialisation of Tesla of its self-driving ideals</w:t>
      </w:r>
      <w:r>
        <w:t xml:space="preserve"> (</w:t>
      </w:r>
      <w:r>
        <w:t>Wang et al., 2024</w:t>
      </w:r>
      <w:r>
        <w:t>).</w:t>
      </w:r>
    </w:p>
    <w:p>
      <w:pPr>
        <w:pStyle w:val="style0"/>
        <w:rPr>
          <w:b/>
          <w:bCs/>
        </w:rPr>
      </w:pPr>
      <w:r>
        <w:rPr>
          <w:b/>
          <w:bCs/>
        </w:rPr>
        <w:t xml:space="preserve">Environmental Factors </w:t>
      </w:r>
    </w:p>
    <w:p>
      <w:pPr>
        <w:pStyle w:val="style0"/>
        <w:rPr>
          <w:lang w:val="en-US"/>
        </w:rPr>
      </w:pPr>
      <w:r>
        <w:t xml:space="preserve">The essence of the Tesla value proposition is that of sustainability and carbon reduction. Its products result in a lower level of emissions, which places the company at the forefront of the shift towards clean energy. But there is nothing in the environmental narrative that lacks contradictions. The mining of lithium and cobalt are </w:t>
      </w:r>
      <w:r>
        <w:t>some of the most important minerals that can be extracted, which is associated with ethical and environmental issues, especially in the areas with insufficient regulatory controls</w:t>
      </w:r>
      <w:r>
        <w:rPr>
          <w:lang w:val="en-US"/>
        </w:rPr>
        <w:t xml:space="preserve"> (</w:t>
      </w:r>
      <w:r>
        <w:t>Capobianco et al., 2021).</w:t>
      </w:r>
    </w:p>
    <w:bookmarkStart w:id="5" w:name="_Toc228494903"/>
    <w:p>
      <w:pPr>
        <w:pStyle w:val="style2"/>
        <w:rPr>
          <w:lang w:val="en-US"/>
        </w:rPr>
      </w:pPr>
      <w:r>
        <w:rPr>
          <w:lang w:val="en-US"/>
        </w:rPr>
        <w:t>2.2 Industry Analysis (Porter’s Five Forces)</w:t>
      </w:r>
      <w:bookmarkEnd w:id="5"/>
    </w:p>
    <w:p>
      <w:pPr>
        <w:pStyle w:val="style0"/>
        <w:rPr/>
      </w:pPr>
      <w:r>
        <w:t>The EV sector has become a highly competitive and ever-changing environment. When Porters Five Forces framework is applied, it becomes evident that Tesla is in a structurally difficult environment</w:t>
      </w:r>
      <w:r>
        <w:t xml:space="preserve"> (</w:t>
      </w:r>
      <w:r>
        <w:t>Gheibi</w:t>
      </w:r>
      <w:r>
        <w:t xml:space="preserve"> et al., 2018</w:t>
      </w:r>
      <w:r>
        <w:t xml:space="preserve">). </w:t>
      </w:r>
    </w:p>
    <w:p>
      <w:pPr>
        <w:pStyle w:val="style0"/>
        <w:rPr>
          <w:b/>
          <w:bCs/>
        </w:rPr>
      </w:pPr>
      <w:r>
        <w:rPr>
          <w:b/>
          <w:bCs/>
        </w:rPr>
        <w:t xml:space="preserve">Competitive Rivalry -Very High. </w:t>
      </w:r>
    </w:p>
    <w:p>
      <w:pPr>
        <w:pStyle w:val="style0"/>
        <w:rPr/>
      </w:pPr>
      <w:r>
        <w:t>There is increased competition by new players as well as old manufacturers. Competitors like BYD Company Limited have been able to gain scale advantages, and established players in the industry, like Volkswagen Group are quickly electrifying their product lines</w:t>
      </w:r>
      <w:r>
        <w:t xml:space="preserve"> (</w:t>
      </w:r>
      <w:r>
        <w:t>Uztürk</w:t>
      </w:r>
      <w:r>
        <w:t xml:space="preserve"> &amp; </w:t>
      </w:r>
      <w:r>
        <w:t>Büyüközkan</w:t>
      </w:r>
      <w:r>
        <w:t>, 2023</w:t>
      </w:r>
      <w:r>
        <w:t xml:space="preserve">). </w:t>
      </w:r>
    </w:p>
    <w:p>
      <w:pPr>
        <w:pStyle w:val="style0"/>
        <w:rPr>
          <w:b/>
          <w:bCs/>
        </w:rPr>
      </w:pPr>
      <w:r>
        <w:rPr>
          <w:b/>
          <w:bCs/>
        </w:rPr>
        <w:t xml:space="preserve">Buyer Power – High </w:t>
      </w:r>
    </w:p>
    <w:p>
      <w:pPr>
        <w:pStyle w:val="style0"/>
        <w:rPr/>
      </w:pPr>
      <w:r>
        <w:t>The EV market has become more price sensitive as consumers now have a greater number of options. The recent price reductions by Tesla underscore the increasing power of buyers in influencing the market dynamics</w:t>
      </w:r>
      <w:r>
        <w:t xml:space="preserve"> (</w:t>
      </w:r>
      <w:r>
        <w:t>Morita et al., 2023</w:t>
      </w:r>
      <w:r>
        <w:t xml:space="preserve">). </w:t>
      </w:r>
      <w:r>
        <w:t xml:space="preserve"> </w:t>
      </w:r>
    </w:p>
    <w:p>
      <w:pPr>
        <w:pStyle w:val="style0"/>
        <w:rPr>
          <w:b/>
          <w:bCs/>
        </w:rPr>
      </w:pPr>
      <w:r>
        <w:rPr>
          <w:b/>
          <w:bCs/>
        </w:rPr>
        <w:t xml:space="preserve">Supplier Power- Moderate-High. </w:t>
      </w:r>
    </w:p>
    <w:p>
      <w:pPr>
        <w:pStyle w:val="style0"/>
        <w:rPr/>
      </w:pPr>
      <w:r>
        <w:t>Tesla is still relying on a few suppliers of the key raw materials, especially batteries. This poses vulnerability to supply chain risks and price fluctuations</w:t>
      </w:r>
      <w:r>
        <w:t xml:space="preserve"> (I</w:t>
      </w:r>
      <w:r>
        <w:t>rani &amp; Sharif, 2018)</w:t>
      </w:r>
      <w:r>
        <w:t>.</w:t>
      </w:r>
    </w:p>
    <w:p>
      <w:pPr>
        <w:pStyle w:val="style0"/>
        <w:rPr>
          <w:b/>
          <w:bCs/>
        </w:rPr>
      </w:pPr>
      <w:r>
        <w:rPr>
          <w:b/>
          <w:bCs/>
        </w:rPr>
        <w:t xml:space="preserve">Potential New Entrants- Moderate. </w:t>
      </w:r>
    </w:p>
    <w:p>
      <w:pPr>
        <w:pStyle w:val="style0"/>
        <w:rPr>
          <w:lang w:val="en-US"/>
        </w:rPr>
      </w:pPr>
      <w:r>
        <w:t>Although capital requirements and technological intricacies present obstacles, the increasing appeal of the EV market is encouraging new market entrants, especially in China. Risk of Substitutes - Moderate. Hybrid cars, buses, and other mobility options are also a potential alternative, especially in the cost-sensitive markets</w:t>
      </w:r>
      <w:r>
        <w:rPr>
          <w:lang w:val="en-US"/>
        </w:rPr>
        <w:t xml:space="preserve"> </w:t>
      </w:r>
      <w:r>
        <w:t>(Tu &amp; Xu, 2024</w:t>
      </w:r>
      <w:r>
        <w:t>).</w:t>
      </w:r>
    </w:p>
    <w:bookmarkStart w:id="6" w:name="_Toc228494904"/>
    <w:p>
      <w:pPr>
        <w:pStyle w:val="style2"/>
        <w:rPr>
          <w:lang w:val="en-US"/>
        </w:rPr>
      </w:pPr>
      <w:r>
        <w:rPr>
          <w:lang w:val="en-US"/>
        </w:rPr>
        <w:t>2.3 Internal Analysis (VRIO Framework)</w:t>
      </w:r>
      <w:bookmarkEnd w:id="6"/>
    </w:p>
    <w:p>
      <w:pPr>
        <w:pStyle w:val="style0"/>
        <w:rPr>
          <w:lang w:val="en-US"/>
        </w:rPr>
      </w:pPr>
      <w:r>
        <w:t xml:space="preserve">The VRIO framework can be used to critically </w:t>
      </w:r>
      <w:r>
        <w:t>analyze</w:t>
      </w:r>
      <w:r>
        <w:t xml:space="preserve"> the internal strength of Tesla, Inc. in order to find out how sustainable its competitive advantage is. The battery </w:t>
      </w:r>
      <w:r>
        <w:t>technology is a strategic resource as Tesla has a valuable, relatively rare, and difficult to replicate and well organised strategic resource within its vertically integrated structure. This enables it to offer meaningful cost reductions and performance benefits, especially with innovations like increased battery cell and energy density. Moreover, the brand equity of Tesla is a strong intangible resource, which can be described by a high recognition and perceived innovation</w:t>
      </w:r>
      <w:r>
        <w:t xml:space="preserve"> (</w:t>
      </w:r>
      <w:r>
        <w:t>Kordana</w:t>
      </w:r>
      <w:r>
        <w:t xml:space="preserve"> et al., 2019</w:t>
      </w:r>
      <w:r>
        <w:t>).</w:t>
      </w:r>
      <w:r>
        <w:t xml:space="preserve"> Although it is valuable and rare, this advantage can only be maintained to a certain extent, as its competitors can slowly copy aspects of brand positioning by launching vigorous marketing campaigns and advancing technology. More importantly, Tesla has the strongest strategic asset that is the artificial intelligence and data capabilities</w:t>
      </w:r>
      <w:r>
        <w:t xml:space="preserve"> (</w:t>
      </w:r>
      <w:r>
        <w:t>Borgo &amp; Santos, 2021)</w:t>
      </w:r>
      <w:r>
        <w:t>. The availability of large volumes of real-world driving experience to the firm allows autonomous systems to be continually improved, forming a self-reinforcing learning loop that is hard to imitate by competitors because of path dependency and scale considerations</w:t>
      </w:r>
      <w:r>
        <w:t xml:space="preserve"> (</w:t>
      </w:r>
      <w:r>
        <w:t>Andreoulaki</w:t>
      </w:r>
      <w:r>
        <w:t xml:space="preserve"> et al., 2024</w:t>
      </w:r>
      <w:r>
        <w:t>).</w:t>
      </w:r>
    </w:p>
    <w:bookmarkStart w:id="7" w:name="_Toc228494905"/>
    <w:p>
      <w:pPr>
        <w:pStyle w:val="style2"/>
        <w:rPr>
          <w:lang w:val="en-US"/>
        </w:rPr>
      </w:pPr>
      <w:r>
        <w:rPr>
          <w:lang w:val="en-US"/>
        </w:rPr>
        <w:t>2.4 Core Competencies</w:t>
      </w:r>
      <w:bookmarkEnd w:id="7"/>
    </w:p>
    <w:p>
      <w:pPr>
        <w:pStyle w:val="style0"/>
        <w:rPr>
          <w:lang w:val="en-US"/>
        </w:rPr>
      </w:pPr>
      <w:r>
        <w:t>In addition to personal resources, the competitive advantage of Tesla is its core competencies integrated that allows the company to coordinate values in a variety of areas. One of the core competencies is vertical integration, as Tesla has control over key aspects of its value chain, such as the manufacturing process, software development, and direct-to-consumer distribution. This improves dependence on the external suppliers, increases the flexibility of the operations, and provides the possibility of quicker innovation cycles</w:t>
      </w:r>
      <w:r>
        <w:t xml:space="preserve"> </w:t>
      </w:r>
      <w:r>
        <w:t>(Sun, 2024</w:t>
      </w:r>
      <w:r>
        <w:t xml:space="preserve">). </w:t>
      </w:r>
      <w:r>
        <w:t>In addition to this, there is the software ecosystem of Tesla, where cars are utilized as interconnected systems that are constantly improved with updates that are made over the air. This platform-based strategy would guarantee an increase in the value of the product over time, unlike other automakers whose products tend to lose functionality</w:t>
      </w:r>
      <w:r>
        <w:t xml:space="preserve"> (</w:t>
      </w:r>
      <w:r>
        <w:t>Perkins &amp; Murmann, 2018</w:t>
      </w:r>
      <w:r>
        <w:t>).</w:t>
      </w:r>
      <w:r>
        <w:t xml:space="preserve"> </w:t>
      </w:r>
      <w:r>
        <w:t xml:space="preserve">Moreover, the brand and culture of innovation </w:t>
      </w:r>
      <w:r>
        <w:t>allow</w:t>
      </w:r>
      <w:r>
        <w:t xml:space="preserve"> Tesla to support its strategic position through a high level of customer loyalty and market recognition. The reputation that the firm has as technologically ahead allows it to have a lasting attention and first-mover edge in new fields like autonomous driving and energy integration</w:t>
      </w:r>
      <w:r>
        <w:rPr>
          <w:lang w:val="en-US"/>
        </w:rPr>
        <w:t xml:space="preserve"> (</w:t>
      </w:r>
      <w:r>
        <w:t>Xiang, 2024</w:t>
      </w:r>
      <w:r>
        <w:t xml:space="preserve">). </w:t>
      </w:r>
    </w:p>
    <w:bookmarkStart w:id="8" w:name="_Toc228494906"/>
    <w:p>
      <w:pPr>
        <w:pStyle w:val="style1"/>
        <w:rPr>
          <w:lang w:val="en-US"/>
        </w:rPr>
      </w:pPr>
      <w:r>
        <w:rPr>
          <w:lang w:val="en-US"/>
        </w:rPr>
        <w:t>3. CSR &amp; Sustainability Objectives</w:t>
      </w:r>
      <w:bookmarkEnd w:id="8"/>
    </w:p>
    <w:bookmarkStart w:id="9" w:name="_Toc228494907"/>
    <w:p>
      <w:pPr>
        <w:pStyle w:val="style2"/>
        <w:rPr>
          <w:lang w:val="en-US"/>
        </w:rPr>
      </w:pPr>
      <w:r>
        <w:rPr>
          <w:lang w:val="en-US"/>
        </w:rPr>
        <w:t>3.1 Strategic Positioning of Sustainability</w:t>
      </w:r>
      <w:bookmarkEnd w:id="9"/>
    </w:p>
    <w:p>
      <w:pPr>
        <w:pStyle w:val="style0"/>
        <w:rPr>
          <w:lang w:val="en-US"/>
        </w:rPr>
      </w:pPr>
      <w:r>
        <w:t>Tesla, Inc. has made sustainability the core of their corporate identity, making accelerating the global shift to clean energy their mission. In contrast to most organisations in which corporate social responsibility (CSR) is an auxiliary or image-enhancing endeavour, at Tesla, sustainability is embedded within the business model</w:t>
      </w:r>
      <w:r>
        <w:t xml:space="preserve"> (</w:t>
      </w:r>
      <w:r>
        <w:t>(Lin, 2024</w:t>
      </w:r>
      <w:r>
        <w:t>)</w:t>
      </w:r>
      <w:r>
        <w:t>. All of its electric vehicles, battery storage and solar energy products allow it to decrease its reliance on fossil fuels, which, in turn, makes environmental goals and commercial performance work in tandem</w:t>
      </w:r>
      <w:r>
        <w:rPr>
          <w:lang w:val="en-US"/>
        </w:rPr>
        <w:t xml:space="preserve"> (</w:t>
      </w:r>
      <w:r>
        <w:t>Schulze et al., 2015)</w:t>
      </w:r>
      <w:r>
        <w:t>.</w:t>
      </w:r>
    </w:p>
    <w:bookmarkStart w:id="10" w:name="_Toc228494908"/>
    <w:p>
      <w:pPr>
        <w:pStyle w:val="style2"/>
        <w:rPr>
          <w:lang w:val="en-US"/>
        </w:rPr>
      </w:pPr>
      <w:r>
        <w:rPr>
          <w:lang w:val="en-US"/>
        </w:rPr>
        <w:t>3.2 Shared Value and Competitive Advantage</w:t>
      </w:r>
      <w:bookmarkEnd w:id="10"/>
    </w:p>
    <w:p>
      <w:pPr>
        <w:pStyle w:val="style0"/>
        <w:rPr>
          <w:lang w:val="en-US"/>
        </w:rPr>
      </w:pPr>
      <w:r>
        <w:t>Strategically, this integration will allow Tesla to embrace a shared value approach, where economic and societal objectives support each other. The alignment of sustainability as a moral necessity and a market opportunity makes Tesla the beneficiary of a greater brand equity, regulatory incentives and increasing consumer preference of environmental responsible products</w:t>
      </w:r>
      <w:r>
        <w:t xml:space="preserve"> (</w:t>
      </w:r>
      <w:r>
        <w:t>Zheng, 2024</w:t>
      </w:r>
      <w:r>
        <w:t>)</w:t>
      </w:r>
      <w:r>
        <w:t>. Moreover, the move of the company to share some of its patents and promote the use of EVs across the industry shows a larger ecosystem-based approach, as it will speed up the process of market creation instead of limiting competition. The CSR approach comes across as the source of competitive advantage as Tesla gains more positioning in the market but at the same time it influences the industry direction</w:t>
      </w:r>
      <w:r>
        <w:rPr>
          <w:lang w:val="en-US"/>
        </w:rPr>
        <w:t xml:space="preserve"> </w:t>
      </w:r>
      <w:r>
        <w:t>(Harryson &amp; Lorange, 2024</w:t>
      </w:r>
      <w:r>
        <w:t>).</w:t>
      </w:r>
    </w:p>
    <w:bookmarkStart w:id="11" w:name="_Toc228494909"/>
    <w:p>
      <w:pPr>
        <w:pStyle w:val="style2"/>
        <w:rPr>
          <w:lang w:val="en-US"/>
        </w:rPr>
      </w:pPr>
      <w:r>
        <w:rPr>
          <w:lang w:val="en-US"/>
        </w:rPr>
        <w:t>3.3 Ethical and Operational Contradictions</w:t>
      </w:r>
      <w:bookmarkEnd w:id="11"/>
    </w:p>
    <w:p>
      <w:pPr>
        <w:pStyle w:val="style0"/>
        <w:rPr>
          <w:lang w:val="en-US"/>
        </w:rPr>
      </w:pPr>
      <w:r>
        <w:t>Although Tesla has a robust sustainability story, there are some major inconsistencies in its CSR positioning. Critical raw materials are being mined, especially lithium, cobalt and nickel, which has led to environmental and ethical issues. The mining operations, in most cases, are clustered where there are ineffective regulatory measures, leading to environmental destruction and child labour</w:t>
      </w:r>
      <w:r>
        <w:t xml:space="preserve"> (</w:t>
      </w:r>
      <w:r>
        <w:t>Nazir et al., 2024</w:t>
      </w:r>
      <w:r>
        <w:t>)</w:t>
      </w:r>
      <w:r>
        <w:t>. Such upstream effects undermine the sustainability claims of Tesla. Moreover, the company has also been accused of poor labour practices, employee relations and poor transparency in reporting. Tesla needs to disclose its ESG information more thoroughly in comparison to traditional multinational corporations, which might restrict the level of trust among stakeholders as the pressure on corporate responsibility is constantly increasing</w:t>
      </w:r>
      <w:r>
        <w:t xml:space="preserve"> (</w:t>
      </w:r>
      <w:r>
        <w:t xml:space="preserve">Niu, </w:t>
      </w:r>
      <w:r>
        <w:t>2023</w:t>
      </w:r>
      <w:r>
        <w:t xml:space="preserve">). </w:t>
      </w:r>
      <w:r>
        <w:t>The sustainability model of Tesla shows a downstream bias, with externality of environmental benefits at the product level being given priority, whereas the externalities of the supply chain are given relatively less attention</w:t>
      </w:r>
      <w:r>
        <w:rPr>
          <w:lang w:val="en-US"/>
        </w:rPr>
        <w:t xml:space="preserve"> (</w:t>
      </w:r>
      <w:r>
        <w:t>Zhou, 2024)</w:t>
      </w:r>
      <w:r>
        <w:t>.</w:t>
      </w:r>
    </w:p>
    <w:bookmarkStart w:id="12" w:name="_Toc228494910"/>
    <w:p>
      <w:pPr>
        <w:pStyle w:val="style2"/>
        <w:rPr>
          <w:lang w:val="en-US"/>
        </w:rPr>
      </w:pPr>
      <w:r>
        <w:rPr>
          <w:lang w:val="en-US"/>
        </w:rPr>
        <w:t>3.4 Strategic Implications</w:t>
      </w:r>
      <w:bookmarkEnd w:id="12"/>
    </w:p>
    <w:p>
      <w:pPr>
        <w:pStyle w:val="style0"/>
        <w:rPr>
          <w:lang w:val="en-US"/>
        </w:rPr>
      </w:pPr>
      <w:r>
        <w:t>The CSR strategy of Tesla is evidently beneficial to the company in terms of long-term competitiveness, but it will require the company to resolve more basic ethical and governance issues. Inability to match the sustainability claims with supply chain practices can place the firm at risk of reputational damage and regulatory scrutiny</w:t>
      </w:r>
      <w:r>
        <w:t xml:space="preserve"> </w:t>
      </w:r>
      <w:r>
        <w:t>(Huang, 2023</w:t>
      </w:r>
      <w:r>
        <w:t>).</w:t>
      </w:r>
      <w:r>
        <w:t xml:space="preserve"> </w:t>
      </w:r>
      <w:r>
        <w:t>Although the sustainability agenda of Tesla is strategically engraved and commercially beneficial, the long-term legitimacy of the organization will be dependent on whether the organization will be able to create overall sustainability, including ethical sourcing, transparency, and governance as part of its operating system</w:t>
      </w:r>
      <w:r>
        <w:rPr>
          <w:lang w:val="en-US"/>
        </w:rPr>
        <w:t xml:space="preserve"> (</w:t>
      </w:r>
      <w:r>
        <w:t>Mohamad et al., 2017</w:t>
      </w:r>
      <w:r>
        <w:t xml:space="preserve">). </w:t>
      </w:r>
    </w:p>
    <w:bookmarkStart w:id="13" w:name="_Toc228494911"/>
    <w:p>
      <w:pPr>
        <w:pStyle w:val="style1"/>
        <w:rPr>
          <w:lang w:val="en-US"/>
        </w:rPr>
      </w:pPr>
      <w:r>
        <w:rPr>
          <w:lang w:val="en-US"/>
        </w:rPr>
        <w:t>4. Comprehensive &amp; Holistic View: Balanced Scorecard</w:t>
      </w:r>
      <w:bookmarkEnd w:id="13"/>
    </w:p>
    <w:p>
      <w:pPr>
        <w:pStyle w:val="style0"/>
        <w:rPr>
          <w:lang w:val="en-US"/>
        </w:rPr>
      </w:pPr>
      <w:r>
        <w:t>Balanced Scorecard (Kaplan and Norton, 1992) offers a multidimensional model to measure the strategic performance of Tesla, Inc. on more than financial measures. By using this model, it will be possible to not only see the strategic priorities of Tesla but also see the tension inherent in its business model that is geared towards growth</w:t>
      </w:r>
      <w:r>
        <w:t xml:space="preserve"> (</w:t>
      </w:r>
      <w:r>
        <w:t>Wei, 2024)</w:t>
      </w:r>
      <w:r>
        <w:rPr>
          <w:lang w:val="en-US"/>
        </w:rPr>
        <w:t>.</w:t>
      </w:r>
    </w:p>
    <w:bookmarkStart w:id="14" w:name="_Toc228494912"/>
    <w:p>
      <w:pPr>
        <w:pStyle w:val="style2"/>
        <w:rPr>
          <w:lang w:val="en-US"/>
        </w:rPr>
      </w:pPr>
      <w:r>
        <w:rPr>
          <w:lang w:val="en-US"/>
        </w:rPr>
        <w:t>4.1 Financial Perspective</w:t>
      </w:r>
      <w:bookmarkEnd w:id="14"/>
    </w:p>
    <w:p>
      <w:pPr>
        <w:pStyle w:val="style0"/>
        <w:rPr>
          <w:lang w:val="en-US"/>
        </w:rPr>
      </w:pPr>
      <w:r>
        <w:t>Tesla has recorded tremendous revenue growth, surpassing the 90 billion-mark in the past few years, as it follows the increase in vehicles shipments and expansion in its energy sector. This financial performance has however been accompanied by a reduction in operating margins especially because of the aggressive price cuts that are being made in a bid to keep the demand alive in the already competitive EV marketplace</w:t>
      </w:r>
      <w:r>
        <w:t xml:space="preserve"> </w:t>
      </w:r>
      <w:r>
        <w:t>(KEFE, 2019</w:t>
      </w:r>
      <w:r>
        <w:t>)</w:t>
      </w:r>
      <w:r>
        <w:t>. The financial strategy of Tesla is a clear indication of a change in focus towards volume growth, as a result of a prioritisation of market share growth over profitability in the short term</w:t>
      </w:r>
      <w:r>
        <w:rPr>
          <w:lang w:val="en-US"/>
        </w:rPr>
        <w:t xml:space="preserve"> (</w:t>
      </w:r>
      <w:r>
        <w:t>Tingkes</w:t>
      </w:r>
      <w:r>
        <w:t>, 2022</w:t>
      </w:r>
      <w:r>
        <w:t>).</w:t>
      </w:r>
    </w:p>
    <w:bookmarkStart w:id="15" w:name="_Toc228494913"/>
    <w:p>
      <w:pPr>
        <w:pStyle w:val="style2"/>
        <w:rPr>
          <w:lang w:val="en-US"/>
        </w:rPr>
      </w:pPr>
      <w:r>
        <w:rPr>
          <w:lang w:val="en-US"/>
        </w:rPr>
        <w:t>4.2 Customer Perspective</w:t>
      </w:r>
      <w:bookmarkEnd w:id="15"/>
    </w:p>
    <w:p>
      <w:pPr>
        <w:pStyle w:val="style0"/>
        <w:rPr>
          <w:lang w:val="en-US"/>
        </w:rPr>
      </w:pPr>
      <w:r>
        <w:t>Tesla boasts of effective customer loyalty and engagement, which is made possible by the direct-to-consumer model and integrated ecosystem. No traditional dealerships also enable Tesla to have complete control over prices, branding and customer experience, and proprietary Supercharger network increases convenience and customer lock-in</w:t>
      </w:r>
      <w:r>
        <w:t xml:space="preserve"> (</w:t>
      </w:r>
      <w:r>
        <w:t>Hegazy et al., 2020</w:t>
      </w:r>
      <w:r>
        <w:t>).</w:t>
      </w:r>
      <w:r>
        <w:t xml:space="preserve"> The ecosystem dependency that Tesla has developed its customer strategy is based on the increase of switching costs by an infrastructure, software integration, and continuous product improvement</w:t>
      </w:r>
      <w:r>
        <w:rPr>
          <w:lang w:val="en-US"/>
        </w:rPr>
        <w:t xml:space="preserve"> (</w:t>
      </w:r>
      <w:r>
        <w:t>Deng, 2024</w:t>
      </w:r>
      <w:r>
        <w:t>).</w:t>
      </w:r>
    </w:p>
    <w:bookmarkStart w:id="16" w:name="_Toc228494914"/>
    <w:p>
      <w:pPr>
        <w:pStyle w:val="style2"/>
        <w:rPr>
          <w:lang w:val="en-US"/>
        </w:rPr>
      </w:pPr>
      <w:r>
        <w:rPr>
          <w:lang w:val="en-US"/>
        </w:rPr>
        <w:t>4.3 Internal Business Processes</w:t>
      </w:r>
      <w:bookmarkEnd w:id="16"/>
    </w:p>
    <w:p>
      <w:pPr>
        <w:pStyle w:val="style0"/>
        <w:rPr>
          <w:lang w:val="en-US"/>
        </w:rPr>
      </w:pPr>
      <w:r>
        <w:t>Tesla focuses on automation, vertical integration and mass-manufacturing internally with its Gigafactories. Although these capabilities have facilitated innovation and cost management, they have also brought forth areas of weakness in operations such as bottlenecks in production and quality variations</w:t>
      </w:r>
      <w:r>
        <w:t xml:space="preserve"> (</w:t>
      </w:r>
      <w:r>
        <w:t>Al</w:t>
      </w:r>
      <w:r>
        <w:rPr>
          <w:rFonts w:ascii="Cambria Math" w:cs="Cambria Math" w:hAnsi="Cambria Math"/>
        </w:rPr>
        <w:t>‐</w:t>
      </w:r>
      <w:r>
        <w:t>Nimer &amp; Abbadi, 2011</w:t>
      </w:r>
      <w:r>
        <w:t>).</w:t>
      </w:r>
      <w:r>
        <w:t xml:space="preserve"> The internal processes at Tesla demonstrate that there is a conflict between the speed of innovation and the discipline of operations within the company where the speed of scaling can often lead to the loss of efficiency and consistency</w:t>
      </w:r>
      <w:r>
        <w:rPr>
          <w:lang w:val="en-US"/>
        </w:rPr>
        <w:t xml:space="preserve"> </w:t>
      </w:r>
      <w:r>
        <w:t>(Tang, 2023)</w:t>
      </w:r>
      <w:r>
        <w:t>.</w:t>
      </w:r>
    </w:p>
    <w:bookmarkStart w:id="17" w:name="_Toc228494915"/>
    <w:p>
      <w:pPr>
        <w:pStyle w:val="style2"/>
        <w:rPr>
          <w:lang w:val="en-US"/>
        </w:rPr>
      </w:pPr>
      <w:r>
        <w:rPr>
          <w:lang w:val="en-US"/>
        </w:rPr>
        <w:t>4.4 Learning &amp; Growth Perspective</w:t>
      </w:r>
      <w:bookmarkEnd w:id="17"/>
    </w:p>
    <w:p>
      <w:pPr>
        <w:pStyle w:val="style0"/>
        <w:rPr>
          <w:lang w:val="en-US"/>
        </w:rPr>
      </w:pPr>
      <w:r>
        <w:t>Innovation, especially in the fields of artificial intelligence, battery technology, and autonomous driving, is a core element of Tesla, which will ensure its competitiveness in the long term. Constant software development and learning loops facilitated by data make it possible to keep improving products and developing technologies. Learning and growth are the two strategic engines of Tesla, as they help it maintain technological leadership and provide a capability to adapt in an ever-changing industry. There is a major strategic trade-off in the model of Tesla that the Bal</w:t>
      </w:r>
      <w:r>
        <w:t xml:space="preserve">anced Scorecard brings to light </w:t>
      </w:r>
      <w:r>
        <w:t>(</w:t>
      </w:r>
      <w:r>
        <w:t>Hegazy</w:t>
      </w:r>
      <w:r>
        <w:t xml:space="preserve"> et al., 2020</w:t>
      </w:r>
      <w:r>
        <w:t>)</w:t>
      </w:r>
      <w:r>
        <w:t>.</w:t>
      </w:r>
      <w:r>
        <w:t xml:space="preserve"> Although the company has been an innovator, customer oriented, and </w:t>
      </w:r>
      <w:r>
        <w:t>long-term</w:t>
      </w:r>
      <w:r>
        <w:t xml:space="preserve"> capability building, it has long-term operational efficiency and margin stability problems. The strategic performance of Tesla indicates an intentional imbalance in which long-term technological superiority is taken into account rather than the short-term operational optimisation, and this requires a gradual transition to process maturity to maintain the competitive advantage</w:t>
      </w:r>
      <w:r>
        <w:rPr>
          <w:lang w:val="en-US"/>
        </w:rPr>
        <w:t xml:space="preserve"> </w:t>
      </w:r>
      <w:r>
        <w:t>(</w:t>
      </w:r>
      <w:r>
        <w:t>Al</w:t>
      </w:r>
      <w:r>
        <w:rPr>
          <w:rFonts w:ascii="Cambria Math" w:cs="Cambria Math" w:hAnsi="Cambria Math"/>
        </w:rPr>
        <w:t>‐</w:t>
      </w:r>
      <w:r>
        <w:t>Nimer</w:t>
      </w:r>
      <w:r>
        <w:t xml:space="preserve"> &amp; </w:t>
      </w:r>
      <w:r>
        <w:t>Abbadi</w:t>
      </w:r>
      <w:r>
        <w:t>, 2011</w:t>
      </w:r>
      <w:r>
        <w:t>).</w:t>
      </w:r>
    </w:p>
    <w:bookmarkStart w:id="18" w:name="_Toc228494916"/>
    <w:p>
      <w:pPr>
        <w:pStyle w:val="style1"/>
        <w:rPr>
          <w:lang w:val="en-US"/>
        </w:rPr>
      </w:pPr>
      <w:r>
        <w:rPr>
          <w:lang w:val="en-US"/>
        </w:rPr>
        <w:t>5. Strategic Choices &amp; Implementation</w:t>
      </w:r>
      <w:bookmarkEnd w:id="18"/>
    </w:p>
    <w:bookmarkStart w:id="19" w:name="_Toc228494917"/>
    <w:p>
      <w:pPr>
        <w:pStyle w:val="style2"/>
        <w:rPr>
          <w:lang w:val="en-US"/>
        </w:rPr>
      </w:pPr>
      <w:r>
        <w:rPr>
          <w:lang w:val="en-US"/>
        </w:rPr>
        <w:t>5.1 Business-Level Strategy</w:t>
      </w:r>
      <w:bookmarkEnd w:id="19"/>
    </w:p>
    <w:p>
      <w:pPr>
        <w:pStyle w:val="style0"/>
        <w:rPr>
          <w:lang w:val="en-US"/>
        </w:rPr>
      </w:pPr>
      <w:r>
        <w:t xml:space="preserve">Tesla, Inc. has long been following a differentiation strategy at the business level, but it needs a more subtle meaning. In contrast to traditional differentiation, which relies on product attributes or brand equity, Tesla competitiveness is based on system-level differentiation, wherein hardware, software and energy infrastructure are brought together as a single ecosystem. Its vehicles are not only connected platforms but with over-the-air updates, AI-driven features, and built-in energy solutions, they will be </w:t>
      </w:r>
      <w:r>
        <w:t xml:space="preserve">continuously improved over time </w:t>
      </w:r>
      <w:r>
        <w:t>(Shen, 2023)</w:t>
      </w:r>
      <w:r>
        <w:t>.</w:t>
      </w:r>
      <w:r>
        <w:t xml:space="preserve"> This shifting value proposition sets a dynamic competitive edge, since the value propositions of Tesla vehicles do not diminish in utility in the same manner as with conventional vehicles. Nonetheless, the recent pricing policies, especially the intensive price cuts seen in 2023-2024, signal a strategic re-calibration. To protect </w:t>
      </w:r>
      <w:r>
        <w:t>market</w:t>
      </w:r>
      <w:r>
        <w:t xml:space="preserve"> share in a more competitive environment it seems Tesla is ta</w:t>
      </w:r>
      <w:r>
        <w:t xml:space="preserve">king aspects of cost leadership </w:t>
      </w:r>
      <w:r>
        <w:t xml:space="preserve">(Perkins and </w:t>
      </w:r>
      <w:r>
        <w:t>Murmann</w:t>
      </w:r>
      <w:r>
        <w:t>, 2018)</w:t>
      </w:r>
      <w:r>
        <w:t>.</w:t>
      </w:r>
      <w:r>
        <w:t xml:space="preserve"> Tesla is shifting to a hybrid competitive strategy, combining differentiation with selective cost competitiveness, that is indicative of market maturity as well as increasing competition</w:t>
      </w:r>
      <w:r>
        <w:rPr>
          <w:lang w:val="en-US"/>
        </w:rPr>
        <w:t>.</w:t>
      </w:r>
    </w:p>
    <w:bookmarkStart w:id="20" w:name="_Toc228494918"/>
    <w:p>
      <w:pPr>
        <w:pStyle w:val="style2"/>
        <w:rPr>
          <w:lang w:val="en-US"/>
        </w:rPr>
      </w:pPr>
      <w:r>
        <w:rPr>
          <w:lang w:val="en-US"/>
        </w:rPr>
        <w:t>5.2 Corporate-Level Strategy</w:t>
      </w:r>
      <w:bookmarkEnd w:id="20"/>
    </w:p>
    <w:p>
      <w:pPr>
        <w:pStyle w:val="style0"/>
        <w:rPr>
          <w:lang w:val="en-US"/>
        </w:rPr>
      </w:pPr>
      <w:r>
        <w:t>On the corporate level, Tesla has been expanding by diversifying and expanding simultaneously in terms of geography. The localisation strategy is evident in the introduction of Gigafactories in the United States, China, and Europe in order to lower logistics expenses, alleviate trade restrictions, and enhance the capacity to respond to the demand situation in the region</w:t>
      </w:r>
      <w:r>
        <w:t xml:space="preserve"> </w:t>
      </w:r>
      <w:r>
        <w:t>(Luo, 2024)</w:t>
      </w:r>
      <w:r>
        <w:t>.</w:t>
      </w:r>
      <w:r>
        <w:t xml:space="preserve"> At the same time, Tesla has diversified into energy production and storage (with products like Powerwall and Solar Roof) and has a more expansive value proposition than transportation. This locates the company into a larger renewable energy system, which supports its strategic goal of system integration. The corporate strategy at Tesla is indicative of a strategic move towards ecosystem dominance in which value is generated by interdependent business units, as opposed to independent product </w:t>
      </w:r>
      <w:r>
        <w:t>lines</w:t>
      </w:r>
      <w:r>
        <w:t>(</w:t>
      </w:r>
      <w:r>
        <w:t xml:space="preserve">Lang, </w:t>
      </w:r>
      <w:r>
        <w:t>Reber</w:t>
      </w:r>
      <w:r>
        <w:t xml:space="preserve"> and </w:t>
      </w:r>
      <w:r>
        <w:t>Aldori</w:t>
      </w:r>
      <w:r>
        <w:t>, 2021)</w:t>
      </w:r>
      <w:r>
        <w:t>.</w:t>
      </w:r>
    </w:p>
    <w:bookmarkStart w:id="21" w:name="_Toc228494919"/>
    <w:p>
      <w:pPr>
        <w:pStyle w:val="style2"/>
        <w:rPr>
          <w:lang w:val="en-US"/>
        </w:rPr>
      </w:pPr>
      <w:r>
        <w:rPr>
          <w:lang w:val="en-US"/>
        </w:rPr>
        <w:t>5.3 Strategy Implementation &amp; Change Management</w:t>
      </w:r>
      <w:bookmarkEnd w:id="21"/>
    </w:p>
    <w:p>
      <w:pPr>
        <w:pStyle w:val="style0"/>
        <w:rPr>
          <w:lang w:val="en-US"/>
        </w:rPr>
      </w:pPr>
      <w:r>
        <w:t>The implementation strategy that Tesla has adopted is marked by high rates of scaling, centralised decision-making, and highly-innovative organisational culture. The Elon Musk approach to leadership is more focused on speed, experimentation, and risk-taking, allowing the company to break the established industry standards. But this strategy has also created problems of execution. The continued problems with delays in production, variation in quality, and strains on the workforce signify a lack of discipline in operations. The change management philosophy of Tesla focuses more on agility, rather than standardisation, which supports innovation at the expense of scalability and operational stability</w:t>
      </w:r>
      <w:r>
        <w:rPr>
          <w:lang w:val="en-US"/>
        </w:rPr>
        <w:t xml:space="preserve"> </w:t>
      </w:r>
      <w:r>
        <w:t>(Han, Liu and Jiang, 2023)</w:t>
      </w:r>
      <w:r>
        <w:t>.</w:t>
      </w:r>
    </w:p>
    <w:bookmarkStart w:id="22" w:name="_Toc228494920"/>
    <w:p>
      <w:pPr>
        <w:pStyle w:val="style2"/>
        <w:rPr>
          <w:lang w:val="en-US"/>
        </w:rPr>
      </w:pPr>
      <w:r>
        <w:rPr>
          <w:lang w:val="en-US"/>
        </w:rPr>
        <w:t>5.4 Overall Strategic Assessment</w:t>
      </w:r>
      <w:bookmarkEnd w:id="22"/>
    </w:p>
    <w:p>
      <w:pPr>
        <w:pStyle w:val="style0"/>
        <w:rPr>
          <w:lang w:val="en-US"/>
        </w:rPr>
      </w:pPr>
      <w:r>
        <w:t>The strategic decisions taken by Tesla are greatly in tune with the long-term trends in the industry, specifically, electrification and digital transformation. However, the fact that the firm hybridises its strategies and implementation makes it apparent that the comp</w:t>
      </w:r>
      <w:r>
        <w:t xml:space="preserve">any is in a transitional period </w:t>
      </w:r>
      <w:r>
        <w:t>(</w:t>
      </w:r>
      <w:r>
        <w:t>Hoeft</w:t>
      </w:r>
      <w:r>
        <w:t>, 2021)</w:t>
      </w:r>
      <w:r>
        <w:t>.</w:t>
      </w:r>
      <w:r>
        <w:t xml:space="preserve"> Tesla is transforming into a disruptive innovator into an operational consolidator, and needs a strategic change of emphasis on fast growth to operational maturity and efficiency to maintain long-term competitiveness</w:t>
      </w:r>
      <w:r>
        <w:rPr>
          <w:lang w:val="en-US"/>
        </w:rPr>
        <w:t>.</w:t>
      </w:r>
    </w:p>
    <w:bookmarkStart w:id="23" w:name="_Toc228494921"/>
    <w:p>
      <w:pPr>
        <w:pStyle w:val="style1"/>
        <w:rPr>
          <w:lang w:val="en-US"/>
        </w:rPr>
      </w:pPr>
      <w:r>
        <w:rPr>
          <w:lang w:val="en-US"/>
        </w:rPr>
        <w:t>6. Strategic Evaluation &amp; Recommendations</w:t>
      </w:r>
      <w:bookmarkEnd w:id="23"/>
    </w:p>
    <w:bookmarkStart w:id="24" w:name="_Toc228494922"/>
    <w:p>
      <w:pPr>
        <w:pStyle w:val="style2"/>
        <w:rPr>
          <w:lang w:val="en-US"/>
        </w:rPr>
      </w:pPr>
      <w:r>
        <w:rPr>
          <w:lang w:val="en-US"/>
        </w:rPr>
        <w:t>6.1 Strategic Evaluation (SWOT + Ansoff)</w:t>
      </w:r>
      <w:bookmarkEnd w:id="24"/>
    </w:p>
    <w:p>
      <w:pPr>
        <w:pStyle w:val="style0"/>
        <w:rPr/>
      </w:pPr>
      <w:r>
        <w:t xml:space="preserve">The strategic position of Tesla, Inc. is strong but more complicated as it can be seen through a critical analysis of the company using SWOT analysis. The main advantages of Tesla are its high-end technological capacities, especially in the areas of artificial intelligence and battery development, a high brand equity, and a highly integrated value chain. All these contribute to a strong competitive edge and strengthen </w:t>
      </w:r>
      <w:r>
        <w:t xml:space="preserve">its dominance in the market </w:t>
      </w:r>
      <w:r>
        <w:t>(</w:t>
      </w:r>
      <w:r>
        <w:t>Dourado</w:t>
      </w:r>
      <w:r>
        <w:t xml:space="preserve"> </w:t>
      </w:r>
      <w:r>
        <w:rPr>
          <w:rStyle w:val="style88"/>
        </w:rPr>
        <w:t>et al</w:t>
      </w:r>
      <w:r>
        <w:t>., 2021)</w:t>
      </w:r>
      <w:r>
        <w:t>.</w:t>
      </w:r>
      <w:r>
        <w:t xml:space="preserve"> These strengths are however offset by some weaknesses such as production inefficiencies, falling profit margins due to aggressive price cuts and high reliance on centralised leadership. These internal constraints show that it will be difficult to expand operations and remain consistent and profitable. Externally, Tesla enjoys considerable opportunities, especially, the fast-</w:t>
      </w:r>
      <w:r>
        <w:t>growing global electric vehicle market and the development of renewable energy solutions. Moreover, software monetisatio</w:t>
      </w:r>
      <w:r>
        <w:t>n</w:t>
      </w:r>
      <w:r>
        <w:t xml:space="preserve"> is a significant opportunity in t</w:t>
      </w:r>
      <w:r>
        <w:t xml:space="preserve">he future in high-margin income </w:t>
      </w:r>
      <w:r>
        <w:t xml:space="preserve">(Anderson </w:t>
      </w:r>
      <w:r>
        <w:rPr>
          <w:rStyle w:val="style88"/>
        </w:rPr>
        <w:t>et al</w:t>
      </w:r>
      <w:r>
        <w:t>., 2022)</w:t>
      </w:r>
      <w:r>
        <w:t>.</w:t>
      </w:r>
      <w:r>
        <w:t xml:space="preserve"> However, there are major threats which counterbalance these opportunities and these threats include an increasing competition with companies like BYD Company Limited, uncertainties in the regulations, and the volatility of the supply chain that comes with dependence on raw materials. The utilization of the Ansoff Matrix further indicates that Tesl</w:t>
      </w:r>
      <w:r>
        <w:t xml:space="preserve">a has a growth focused approach </w:t>
      </w:r>
      <w:r>
        <w:t>(</w:t>
      </w:r>
      <w:r>
        <w:t>Gan</w:t>
      </w:r>
      <w:r>
        <w:t xml:space="preserve"> and Yao, 2025)</w:t>
      </w:r>
      <w:r>
        <w:t>.</w:t>
      </w:r>
      <w:r>
        <w:t xml:space="preserve"> The company has sought to penetrate the market by lowering prices, developing products with new vehicle models like the Cybertruck, and expanding into the emerging economies. Moreover, the expansion of the energy products and AI-powered systems is indicative of a bigger strategy of constructing an ecosystem of technologies</w:t>
      </w:r>
      <w:r>
        <w:rPr>
          <w:lang w:val="en-US"/>
        </w:rPr>
        <w:t xml:space="preserve"> </w:t>
      </w:r>
      <w:r>
        <w:t xml:space="preserve">(Anderson </w:t>
      </w:r>
      <w:r>
        <w:rPr>
          <w:rStyle w:val="style88"/>
        </w:rPr>
        <w:t>et al</w:t>
      </w:r>
      <w:r>
        <w:t>., 2022)</w:t>
      </w:r>
      <w:r>
        <w:t>.</w:t>
      </w:r>
    </w:p>
    <w:p>
      <w:pPr>
        <w:pStyle w:val="style0"/>
        <w:rPr>
          <w:lang w:val="en-US"/>
        </w:rPr>
      </w:pPr>
      <w:r>
        <w:rPr>
          <w:noProof/>
          <w:lang w:eastAsia="en-GB"/>
        </w:rPr>
        <w:drawing>
          <wp:inline distL="0" distT="0" distB="0" distR="0">
            <wp:extent cx="5731510" cy="4110246"/>
            <wp:effectExtent l="0" t="0" r="2540" b="5080"/>
            <wp:docPr id="1027" name="Picture 2" descr="Ansoff matrix - Wikipedia"/>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5731510" cy="4110246"/>
                    </a:xfrm>
                    <a:prstGeom prst="rect"/>
                    <a:ln>
                      <a:noFill/>
                    </a:ln>
                  </pic:spPr>
                </pic:pic>
              </a:graphicData>
            </a:graphic>
          </wp:inline>
        </w:drawing>
      </w:r>
    </w:p>
    <w:bookmarkStart w:id="25" w:name="_Toc228494923"/>
    <w:p>
      <w:pPr>
        <w:pStyle w:val="style2"/>
        <w:rPr>
          <w:lang w:val="en-US"/>
        </w:rPr>
      </w:pPr>
      <w:r>
        <w:rPr>
          <w:lang w:val="en-US"/>
        </w:rPr>
        <w:t>6.2 Strategic Recommendations</w:t>
      </w:r>
      <w:bookmarkEnd w:id="25"/>
    </w:p>
    <w:p>
      <w:pPr>
        <w:pStyle w:val="style0"/>
        <w:rPr/>
      </w:pPr>
      <w:r>
        <w:t xml:space="preserve">1. Growth to Operational Efficiency. Tesla needs to move towards operational excellence as opposed to a disruption-based growth model. A long-term competitive </w:t>
      </w:r>
      <w:r>
        <w:t>advantage cannot be achieved through innovation but also cost efficiency, quality control,</w:t>
      </w:r>
      <w:r>
        <w:t xml:space="preserve"> and stability of the processes </w:t>
      </w:r>
      <w:r>
        <w:t>(</w:t>
      </w:r>
      <w:r>
        <w:t>Adama</w:t>
      </w:r>
      <w:r>
        <w:t xml:space="preserve"> </w:t>
      </w:r>
      <w:r>
        <w:rPr>
          <w:rStyle w:val="style88"/>
        </w:rPr>
        <w:t>et al</w:t>
      </w:r>
      <w:r>
        <w:t>., 2024)</w:t>
      </w:r>
      <w:r>
        <w:t>.</w:t>
      </w:r>
    </w:p>
    <w:p>
      <w:pPr>
        <w:pStyle w:val="style0"/>
        <w:rPr/>
      </w:pPr>
      <w:r>
        <w:t xml:space="preserve"> 2. Less Reliance on Policy Incentives. Tesla ought to enhance its value proposition without depending on subsidies. Excess dependence on government subsidies puts the company at risk of government regulation and fluctuations in demand. </w:t>
      </w:r>
    </w:p>
    <w:p>
      <w:pPr>
        <w:pStyle w:val="style0"/>
        <w:rPr/>
      </w:pPr>
      <w:r>
        <w:t>3. Build Supplies that are ethical and transparent. Tesla needs to discuss the issues of sustainability on the resource level. Brand credibility in the long-term is based on the need to match the claims of environmental accountability with ethical sourcing.</w:t>
      </w:r>
    </w:p>
    <w:p>
      <w:pPr>
        <w:pStyle w:val="style0"/>
        <w:rPr/>
      </w:pPr>
      <w:r>
        <w:t xml:space="preserve"> 4. Grow Software-Based Revenue Streams. Tesla ought to also commercialise its AI and autonomous driving services. Software services are high-margin and recurring revenue-generating, and they are not reliant on vehicle sales. </w:t>
      </w:r>
    </w:p>
    <w:p>
      <w:pPr>
        <w:pStyle w:val="style0"/>
        <w:rPr>
          <w:lang w:val="en-US"/>
        </w:rPr>
      </w:pPr>
      <w:r>
        <w:t>5. Enhance Organisational Structure and Governance. Tesla needs to decrease the use of centralised leadership. Institutionalised processes and distributed decision-making are needed to provide scalable growth</w:t>
      </w:r>
      <w:r>
        <w:rPr>
          <w:lang w:val="en-US"/>
        </w:rPr>
        <w:t xml:space="preserve"> </w:t>
      </w:r>
      <w:r>
        <w:t>(</w:t>
      </w:r>
      <w:r>
        <w:t>Adama</w:t>
      </w:r>
      <w:r>
        <w:t xml:space="preserve"> </w:t>
      </w:r>
      <w:r>
        <w:rPr>
          <w:rStyle w:val="style88"/>
        </w:rPr>
        <w:t>et al</w:t>
      </w:r>
      <w:r>
        <w:t>., 2024)</w:t>
      </w:r>
      <w:r>
        <w:t>.</w:t>
      </w:r>
    </w:p>
    <w:bookmarkStart w:id="26" w:name="_Toc228494924"/>
    <w:p>
      <w:pPr>
        <w:pStyle w:val="style1"/>
        <w:rPr>
          <w:lang w:val="en-US"/>
        </w:rPr>
      </w:pPr>
      <w:r>
        <w:rPr>
          <w:lang w:val="en-US"/>
        </w:rPr>
        <w:t>7. Conclusion</w:t>
      </w:r>
      <w:bookmarkEnd w:id="26"/>
    </w:p>
    <w:p>
      <w:pPr>
        <w:pStyle w:val="style0"/>
        <w:rPr>
          <w:lang w:val="en-US"/>
        </w:rPr>
      </w:pPr>
      <w:r>
        <w:rPr>
          <w:lang w:val="en-US"/>
        </w:rPr>
        <w:t>This report has critically assessed strategic position of Tesla, Inc. through the analysis of its external environment, internal capability and strategic decisions. The results show that the competitive advantage of Tesla is mostly fueled by an integrated ecosystem of technology, energy solutions, and data-driven innovation, as opposed to the conventional automotive manufacturing strengths.</w:t>
      </w:r>
      <w:r>
        <w:rPr>
          <w:lang w:val="en-US"/>
        </w:rPr>
        <w:t xml:space="preserve"> </w:t>
      </w:r>
      <w:r>
        <w:rPr>
          <w:lang w:val="en-US"/>
        </w:rPr>
        <w:t>But there is also a more underlying strategic tension as analysed. As much as Tesla has managed to become a disruptive market leader with its innovation and high rate of expansion, it is still confronted with major issues of efficiency, profitability, and scalability of the organisation. This imbalance is indicative of a larger shift of a high-growth disruptor to an industry player that is more established and competitive.</w:t>
      </w:r>
      <w:r>
        <w:rPr>
          <w:lang w:val="en-US"/>
        </w:rPr>
        <w:t xml:space="preserve"> </w:t>
      </w:r>
      <w:r>
        <w:rPr>
          <w:lang w:val="en-US"/>
        </w:rPr>
        <w:t>The suggested recommendations highlight the importance of Tesla to transition to operational excellence, lessen the reliance on external policy assistance, enhance supply chain sustainability, and increase high-margin software-based incomes.</w:t>
      </w:r>
    </w:p>
    <w:p>
      <w:pPr>
        <w:pStyle w:val="style0"/>
        <w:rPr>
          <w:lang w:val="en-US"/>
        </w:rPr>
      </w:pPr>
    </w:p>
    <w:p>
      <w:pPr>
        <w:pStyle w:val="style0"/>
        <w:rPr>
          <w:lang w:val="en-US"/>
        </w:rPr>
      </w:pPr>
    </w:p>
    <w:bookmarkStart w:id="27" w:name="_Toc228494925"/>
    <w:p>
      <w:pPr>
        <w:pStyle w:val="style1"/>
        <w:rPr>
          <w:lang w:val="en-US"/>
        </w:rPr>
      </w:pPr>
      <w:r>
        <w:rPr>
          <w:lang w:val="en-US"/>
        </w:rPr>
        <w:t>SECTION 2: REFLECTIVE ACCOUNT</w:t>
      </w:r>
      <w:bookmarkEnd w:id="27"/>
      <w:r>
        <w:rPr>
          <w:lang w:val="en-US"/>
        </w:rPr>
        <w:t xml:space="preserve"> </w:t>
      </w:r>
    </w:p>
    <w:bookmarkStart w:id="28" w:name="_Toc228494926"/>
    <w:p>
      <w:pPr>
        <w:pStyle w:val="style2"/>
        <w:rPr>
          <w:lang w:val="en-US"/>
        </w:rPr>
      </w:pPr>
      <w:r>
        <w:rPr>
          <w:lang w:val="en-US"/>
        </w:rPr>
        <w:t>1. Description</w:t>
      </w:r>
      <w:bookmarkEnd w:id="28"/>
    </w:p>
    <w:p>
      <w:pPr>
        <w:pStyle w:val="style0"/>
        <w:rPr>
          <w:lang w:val="en-US"/>
        </w:rPr>
      </w:pPr>
      <w:r>
        <w:t xml:space="preserve">This evaluation entailed the thorough strategic analysis of Tesla, Inc., considering both the external and internal environment, competitive positioning, and strategic direction. It involved the use of several strategic frameworks such as PESTLE, Porters Five Forces, VRIO, balance scorecard, SWOT, and Ansoff Matrix. The aim was not merely to implement these models but also to critically </w:t>
      </w:r>
      <w:r>
        <w:t>analyse</w:t>
      </w:r>
      <w:r>
        <w:t xml:space="preserve"> those strategies of Tesla in the environment of a fast-changing world of electric vehicles (EV) market. The study was conducted by collecting data in various academic and industry sources, journal articles, company reports and market analyses. Special attention was given to the recent changes in the EV industry, including the price policies, technology, and competitio</w:t>
      </w:r>
      <w:r>
        <w:t>n</w:t>
      </w:r>
      <w:r>
        <w:t xml:space="preserve"> </w:t>
      </w:r>
      <w:r>
        <w:t>(Gibbs, 1988)</w:t>
      </w:r>
      <w:r>
        <w:t>.</w:t>
      </w:r>
      <w:r>
        <w:t xml:space="preserve"> The discussion involved combining the theoretical ideas with practical organisational activities, which needed to be consistent with the learning outcomes of the module</w:t>
      </w:r>
      <w:r>
        <w:rPr>
          <w:lang w:val="en-US"/>
        </w:rPr>
        <w:t>.</w:t>
      </w:r>
    </w:p>
    <w:bookmarkStart w:id="29" w:name="_Toc228494927"/>
    <w:p>
      <w:pPr>
        <w:pStyle w:val="style2"/>
        <w:rPr>
          <w:lang w:val="en-US"/>
        </w:rPr>
      </w:pPr>
      <w:r>
        <w:rPr>
          <w:lang w:val="en-US"/>
        </w:rPr>
        <w:t>2. Feelings</w:t>
      </w:r>
      <w:bookmarkEnd w:id="29"/>
    </w:p>
    <w:p>
      <w:pPr>
        <w:pStyle w:val="style0"/>
        <w:rPr>
          <w:lang w:val="en-US"/>
        </w:rPr>
      </w:pPr>
      <w:r>
        <w:t>The complexity of the task posed a very big challenge at the first stage of the assignment, especially because it needed to combine various strategic frameworks into a coherent, critically informed analysis. A tendency to treat the models in a descriptive manner was present, aiming to explain the concepts, but not to judge th</w:t>
      </w:r>
      <w:r>
        <w:t xml:space="preserve">e implications </w:t>
      </w:r>
      <w:r>
        <w:t>(Jasper, 2013)</w:t>
      </w:r>
      <w:r>
        <w:t>.</w:t>
      </w:r>
      <w:r>
        <w:t xml:space="preserve"> As the research continued though, confidence grew especially in being able to go beyond the superficial analysis and into a more critical assessment. The theory-real-world strategic decision-making process led to greater clarity of analysis and the sense of direction in the structuring of the report. Notably, the shift to critical argumentation and the abandonment of descriptive writing was one of the developmental changes. This took deliberate practice, especially with assumptions, finding inconsistencies and measuring the strategic performance and not just describing it</w:t>
      </w:r>
      <w:r>
        <w:rPr>
          <w:lang w:val="en-US"/>
        </w:rPr>
        <w:t xml:space="preserve"> </w:t>
      </w:r>
      <w:r>
        <w:t>(Jasper, 2013)</w:t>
      </w:r>
      <w:r>
        <w:t>.</w:t>
      </w:r>
    </w:p>
    <w:bookmarkStart w:id="30" w:name="_Toc228494928"/>
    <w:p>
      <w:pPr>
        <w:pStyle w:val="style2"/>
        <w:rPr>
          <w:lang w:val="en-US"/>
        </w:rPr>
      </w:pPr>
      <w:r>
        <w:rPr>
          <w:lang w:val="en-US"/>
        </w:rPr>
        <w:t>3. Evaluation</w:t>
      </w:r>
      <w:bookmarkEnd w:id="30"/>
    </w:p>
    <w:p>
      <w:pPr>
        <w:pStyle w:val="style0"/>
        <w:rPr>
          <w:lang w:val="en-US"/>
        </w:rPr>
      </w:pPr>
      <w:r>
        <w:rPr>
          <w:lang w:val="en-US"/>
        </w:rPr>
        <w:t xml:space="preserve">A key strength of the assignment process was the ability to apply multiple strategic </w:t>
      </w:r>
      <w:r>
        <w:t xml:space="preserve">One of the strengths of the assignment process was that it was possible to implement a variety of strategic models in a systematic and logical way. The combined external </w:t>
      </w:r>
      <w:r>
        <w:t>and internal analysis helped to understand the strategic position of Tesla in the totality, and the application of frameworks like VRIO and Balanced Scorecard helped to understand the capabilities and the performance of the organisation in more detail. Moreover, the applicability and plausibility of the analysis were reinforced by the use of up-to-date information and practical examples. This is consistent with academic requirements in Level 7 where one has to interact with current research and industry trends. Nevertheless, one of the shortcomings was the over-use of descriptive content at the beginning. Drafts were prone to describe models as opposed to critically</w:t>
      </w:r>
      <w:r>
        <w:t xml:space="preserve"> considering their implication </w:t>
      </w:r>
      <w:r>
        <w:t>(Moon, 2004</w:t>
      </w:r>
      <w:r>
        <w:t>)</w:t>
      </w:r>
      <w:r>
        <w:t>.</w:t>
      </w:r>
      <w:r>
        <w:t>This</w:t>
      </w:r>
      <w:r>
        <w:t xml:space="preserve"> needed adjustment so that every section was part of a larger strategy argument. The other difficulty was the balancing of sections that included making sure that there was enough depth in the section without violating the word count limit. This necessitated a keen choice of the main arguments to be prioritised and selective application of supporting evidence</w:t>
      </w:r>
      <w:r>
        <w:rPr>
          <w:lang w:val="en-US"/>
        </w:rPr>
        <w:t>.</w:t>
      </w:r>
    </w:p>
    <w:bookmarkStart w:id="31" w:name="_Toc228494929"/>
    <w:p>
      <w:pPr>
        <w:pStyle w:val="style2"/>
        <w:rPr>
          <w:lang w:val="en-US"/>
        </w:rPr>
      </w:pPr>
      <w:r>
        <w:rPr>
          <w:lang w:val="en-US"/>
        </w:rPr>
        <w:t>4. Analysis</w:t>
      </w:r>
      <w:bookmarkEnd w:id="31"/>
    </w:p>
    <w:p>
      <w:pPr>
        <w:pStyle w:val="style0"/>
        <w:rPr/>
      </w:pPr>
      <w:r>
        <w:t>The completion of this assignment underlines the significance of critical thinking and synthesis in strategic management. It was revealed that the use of frameworks like PESTLE or SWOT is inadequate on its own but instead, the usefulness of these frameworks is in their combination, where they are combined to create significant strategic insights. To illustrate this, the external analysis showed that regulatory support and technological advancements are the major contributors to the growth of Tesla. But in combination with internal analysis (VRIO) it was obvious that Tesla competitive advantage is not entirely reliant on external conditions but supported by its internal capabilit</w:t>
      </w:r>
      <w:r>
        <w:t>ies, especially in data and AI</w:t>
      </w:r>
      <w:r>
        <w:t xml:space="preserve"> </w:t>
      </w:r>
      <w:r>
        <w:t>(</w:t>
      </w:r>
      <w:r>
        <w:t>Schön</w:t>
      </w:r>
      <w:r>
        <w:t>, 1983)</w:t>
      </w:r>
      <w:r>
        <w:t>.</w:t>
      </w:r>
    </w:p>
    <w:p>
      <w:pPr>
        <w:pStyle w:val="style0"/>
        <w:rPr>
          <w:lang w:val="en-US"/>
        </w:rPr>
      </w:pPr>
      <w:r>
        <w:t>This illustrates how external opportunities can be associated with internal strengths to know how competitive advantage is generated and maintained. It also brings out the dynamic quality of strategy where organisations need to keep changing in response to the changing environments but in the process utilising their core competencies. Moreover, the assignment made the importance of assessing strategic trade-offs clear. The focus on innovation and a fast growth, though effective in creating a leadership in the market, also brought inefficiencies in operations and financial strains at Tesla. This is an indication of a more general strategic conflict between innovation and execution which is prevale</w:t>
      </w:r>
      <w:r>
        <w:t xml:space="preserve">nt in high-growth organisations </w:t>
      </w:r>
      <w:r>
        <w:t>(Kolb, 1984)</w:t>
      </w:r>
      <w:r>
        <w:t>.</w:t>
      </w:r>
      <w:r>
        <w:t xml:space="preserve"> The other important </w:t>
      </w:r>
      <w:r>
        <w:t>learning outcome was the significance of evidence-based argumentation. Instead of generalised statements, the analysis had to be justified by data, theory and real-life illustrations. This improved the general quality and the persuasiveness of the report</w:t>
      </w:r>
      <w:r>
        <w:rPr>
          <w:lang w:val="en-US"/>
        </w:rPr>
        <w:t>.</w:t>
      </w:r>
    </w:p>
    <w:bookmarkStart w:id="32" w:name="_Toc228494930"/>
    <w:p>
      <w:pPr>
        <w:pStyle w:val="style2"/>
        <w:rPr>
          <w:lang w:val="en-US"/>
        </w:rPr>
      </w:pPr>
      <w:r>
        <w:rPr>
          <w:lang w:val="en-US"/>
        </w:rPr>
        <w:t>5. Conclusion</w:t>
      </w:r>
      <w:bookmarkEnd w:id="32"/>
    </w:p>
    <w:p>
      <w:pPr>
        <w:pStyle w:val="style0"/>
        <w:rPr>
          <w:lang w:val="en-US"/>
        </w:rPr>
      </w:pPr>
      <w:r>
        <w:t xml:space="preserve">On the whole, this assignment has helped me to gain a much better insight into strategic management as the field that goes beyond the theoretical knowledge into practical application and critical analysis. The strategy analysis of Tesla gave a good experience of the ways organisations can operate in dynamic and complex environments. One of the lessons is that it is necessary to go beyond the descriptive analysis to the critical reading and the strategic decision. It is necessary to be able to consider not just what strategies an organisation follows, but also why and what it means, to be </w:t>
      </w:r>
      <w:r>
        <w:t xml:space="preserve">efficient in strategic thinking </w:t>
      </w:r>
      <w:r>
        <w:t>(Gibbs, 1988)</w:t>
      </w:r>
      <w:r>
        <w:t>.</w:t>
      </w:r>
      <w:r>
        <w:t xml:space="preserve"> Also, the assignment emphasized the fact that strategic decisions are interrelated so that the external environment, internal resources, and organisational goals should be discussed as a unit. This is a holistic approach that is important in coming up with informed and practical strategic recommendations</w:t>
      </w:r>
      <w:r>
        <w:rPr>
          <w:lang w:val="en-US"/>
        </w:rPr>
        <w:t>.</w:t>
      </w:r>
    </w:p>
    <w:bookmarkStart w:id="33" w:name="_Toc228494931"/>
    <w:p>
      <w:pPr>
        <w:pStyle w:val="style2"/>
        <w:rPr>
          <w:lang w:val="en-US"/>
        </w:rPr>
      </w:pPr>
      <w:r>
        <w:rPr>
          <w:lang w:val="en-US"/>
        </w:rPr>
        <w:t>6. Action Plan</w:t>
      </w:r>
      <w:bookmarkEnd w:id="33"/>
    </w:p>
    <w:p>
      <w:pPr>
        <w:pStyle w:val="style0"/>
        <w:rPr>
          <w:lang w:val="en-US"/>
        </w:rPr>
      </w:pPr>
      <w:r>
        <w:t xml:space="preserve">In order to enhance my strategic analysis further, there are a number of areas that have been realized to be improved. First, I would like to enhance my skills of working with academic literature on a more profound level, by adding more resources of high-quality journals and critically assessing their arguments. Secondly, I will work on improving my skill of synthesising information in various frameworks with the aim of not breaking down analysis. This will entail training of how to connect external and internal things to come up with more integrated strategic knowledge. Thirdly, I will become a better time manager in the research and writing process. Devoting enough time to write, review, and revise will allow conducting a critical analysis more effectively and minimizing the scope of revisions. Lastly, I will also keep on improving my academic writing abilities, specifically, being able to write in a consistent critical tone and not be descriptive. This will entail training of organized argumentation and making sure that any assertion is backed by </w:t>
      </w:r>
      <w:r>
        <w:t>evidence</w:t>
      </w:r>
      <w:r>
        <w:rPr>
          <w:lang w:val="en-US"/>
        </w:rPr>
        <w:t>e.</w:t>
      </w:r>
    </w:p>
    <w:p>
      <w:pPr>
        <w:pStyle w:val="style0"/>
        <w:rPr>
          <w:lang w:val="en-US"/>
        </w:rPr>
      </w:pPr>
    </w:p>
    <w:bookmarkStart w:id="34" w:name="_Toc228494932"/>
    <w:p>
      <w:pPr>
        <w:pStyle w:val="style1"/>
        <w:rPr>
          <w:lang w:val="en-US"/>
        </w:rPr>
      </w:pPr>
      <w:r>
        <w:rPr>
          <w:lang w:val="en-US"/>
        </w:rPr>
        <w:t>References</w:t>
      </w:r>
      <w:bookmarkEnd w:id="34"/>
    </w:p>
    <w:p>
      <w:pPr>
        <w:pStyle w:val="style0"/>
        <w:rPr/>
      </w:pPr>
      <w:r>
        <w:t>Adama</w:t>
      </w:r>
      <w:r>
        <w:t xml:space="preserve">, H.E., </w:t>
      </w:r>
      <w:r>
        <w:t>Popoola</w:t>
      </w:r>
      <w:r>
        <w:t xml:space="preserve">, O.A., </w:t>
      </w:r>
      <w:r>
        <w:t>Okeke</w:t>
      </w:r>
      <w:r>
        <w:t xml:space="preserve">, C.D. and </w:t>
      </w:r>
      <w:r>
        <w:t>Akinoso</w:t>
      </w:r>
      <w:r>
        <w:t xml:space="preserve">, A.E. (2024) ‘Theoretical frameworks supporting IT and business strategy alignment for sustained competitive advantage’, </w:t>
      </w:r>
      <w:r>
        <w:rPr>
          <w:i/>
          <w:iCs/>
        </w:rPr>
        <w:t>International Journal of Management &amp; Entrepreneurship Research</w:t>
      </w:r>
      <w:r>
        <w:t xml:space="preserve">, 6(4), pp. 1273–1287. Available at: </w:t>
      </w:r>
      <w:r>
        <w:rPr/>
        <w:fldChar w:fldCharType="begin"/>
      </w:r>
      <w:r>
        <w:instrText xml:space="preserve"> HYPERLINK "https://doi.org/10.51594/ijmer.v6i4.1058" \t "_new" </w:instrText>
      </w:r>
      <w:r>
        <w:rPr/>
        <w:fldChar w:fldCharType="separate"/>
      </w:r>
      <w:r>
        <w:rPr>
          <w:rStyle w:val="style85"/>
        </w:rPr>
        <w:t>https://doi.org/10.51594/ijmer.v6i4.1058</w:t>
      </w:r>
      <w:r>
        <w:rPr/>
        <w:fldChar w:fldCharType="end"/>
      </w:r>
    </w:p>
    <w:p>
      <w:pPr>
        <w:pStyle w:val="style0"/>
        <w:rPr/>
      </w:pPr>
      <w:r>
        <w:t>Al</w:t>
      </w:r>
      <w:r>
        <w:rPr>
          <w:rFonts w:ascii="Cambria Math" w:cs="Cambria Math" w:hAnsi="Cambria Math"/>
        </w:rPr>
        <w:t>‐</w:t>
      </w:r>
      <w:r>
        <w:t>Nimer</w:t>
      </w:r>
      <w:r>
        <w:t xml:space="preserve">, M. and </w:t>
      </w:r>
      <w:r>
        <w:t>Abbadi</w:t>
      </w:r>
      <w:r>
        <w:t xml:space="preserve">, S.S. (2011) </w:t>
      </w:r>
      <w:r>
        <w:rPr>
          <w:rFonts w:cs="Arial"/>
        </w:rPr>
        <w:t>‘</w:t>
      </w:r>
      <w:r>
        <w:t>Incremental information content of financial and non-financial performance measures</w:t>
      </w:r>
      <w:r>
        <w:rPr>
          <w:rFonts w:cs="Arial"/>
        </w:rPr>
        <w:t>’</w:t>
      </w:r>
      <w:r>
        <w:t xml:space="preserve">, </w:t>
      </w:r>
      <w:r>
        <w:rPr>
          <w:i/>
          <w:iCs/>
        </w:rPr>
        <w:t>SSRN Electronic Journal</w:t>
      </w:r>
      <w:r>
        <w:t xml:space="preserve">. Available at: </w:t>
      </w:r>
      <w:r>
        <w:rPr/>
        <w:fldChar w:fldCharType="begin"/>
      </w:r>
      <w:r>
        <w:instrText xml:space="preserve"> HYPERLINK "https://doi.org/10.2139/ssrn.1884807" \t "_new" </w:instrText>
      </w:r>
      <w:r>
        <w:rPr/>
        <w:fldChar w:fldCharType="separate"/>
      </w:r>
      <w:r>
        <w:rPr>
          <w:rStyle w:val="style85"/>
        </w:rPr>
        <w:t>https://doi.org/10.2139/ssrn.1884807</w:t>
      </w:r>
      <w:r>
        <w:rPr/>
        <w:fldChar w:fldCharType="end"/>
      </w:r>
      <w:r>
        <w:t xml:space="preserve"> (Accessed: 30 April 2026).</w:t>
      </w:r>
    </w:p>
    <w:p>
      <w:pPr>
        <w:pStyle w:val="style0"/>
        <w:rPr/>
      </w:pPr>
      <w:r>
        <w:t xml:space="preserve">Anderson, E.G., Bhargava, H.K., Boehm, J. and Parker, G. (2022) ‘Electric vehicles are a platform business: What firms need to know’, </w:t>
      </w:r>
      <w:r>
        <w:rPr>
          <w:i/>
          <w:iCs/>
        </w:rPr>
        <w:t>California Management Review</w:t>
      </w:r>
      <w:r>
        <w:t xml:space="preserve">, 64(4), pp. 135–154. Available at: </w:t>
      </w:r>
      <w:r>
        <w:rPr/>
        <w:fldChar w:fldCharType="begin"/>
      </w:r>
      <w:r>
        <w:instrText xml:space="preserve"> HYPERLINK "https://doi.org/10.1177/00081256221107420" \t "_new" </w:instrText>
      </w:r>
      <w:r>
        <w:rPr/>
        <w:fldChar w:fldCharType="separate"/>
      </w:r>
      <w:r>
        <w:rPr>
          <w:rStyle w:val="style85"/>
        </w:rPr>
        <w:t>https://doi.org/10.1177/00081256221107420</w:t>
      </w:r>
      <w:r>
        <w:rPr/>
        <w:fldChar w:fldCharType="end"/>
      </w:r>
    </w:p>
    <w:p>
      <w:pPr>
        <w:pStyle w:val="style0"/>
        <w:rPr/>
      </w:pPr>
      <w:r>
        <w:t xml:space="preserve">Anderson, E.G., Bhargava, H.K., Boehm, J. and Parker, G. (2022) ‘Electric vehicles are a platform business: what firms need to know’, </w:t>
      </w:r>
      <w:r>
        <w:rPr>
          <w:i/>
          <w:iCs/>
        </w:rPr>
        <w:t>California Management Review</w:t>
      </w:r>
      <w:r>
        <w:t xml:space="preserve">, 64(4), pp. 135–154. Available at: </w:t>
      </w:r>
      <w:r>
        <w:rPr/>
        <w:fldChar w:fldCharType="begin"/>
      </w:r>
      <w:r>
        <w:instrText xml:space="preserve"> HYPERLINK "https://doi.org/10.1177/00081256221107420" \t "_new" </w:instrText>
      </w:r>
      <w:r>
        <w:rPr/>
        <w:fldChar w:fldCharType="separate"/>
      </w:r>
      <w:r>
        <w:rPr>
          <w:rStyle w:val="style85"/>
        </w:rPr>
        <w:t>https://doi.org/10.1177/00081256221107420</w:t>
      </w:r>
      <w:r>
        <w:rPr/>
        <w:fldChar w:fldCharType="end"/>
      </w:r>
      <w:r>
        <w:t xml:space="preserve"> (Accessed: 30 April 2026).</w:t>
      </w:r>
    </w:p>
    <w:p>
      <w:pPr>
        <w:pStyle w:val="style0"/>
        <w:rPr/>
      </w:pPr>
      <w:r>
        <w:t>Andreoulaki</w:t>
      </w:r>
      <w:r>
        <w:t xml:space="preserve">, I., </w:t>
      </w:r>
      <w:r>
        <w:t>Papapostolou</w:t>
      </w:r>
      <w:r>
        <w:t xml:space="preserve">, A. and </w:t>
      </w:r>
      <w:r>
        <w:t>Marinakis</w:t>
      </w:r>
      <w:r>
        <w:t xml:space="preserve">, V. (2024) ‘Evaluating the barriers to blockchain adoption in the energy sector: a </w:t>
      </w:r>
      <w:r>
        <w:t>multicriteria</w:t>
      </w:r>
      <w:r>
        <w:t xml:space="preserve"> approach using the analytical hierarchy process for group decision making’, Energies, 17(6), p. 1278. Available at: https://doi.org/10.3390/en17061278</w:t>
      </w:r>
    </w:p>
    <w:p>
      <w:pPr>
        <w:pStyle w:val="style0"/>
        <w:rPr>
          <w:lang w:val="en-US"/>
        </w:rPr>
      </w:pPr>
      <w:r>
        <w:t>Bossink</w:t>
      </w:r>
      <w:r>
        <w:t xml:space="preserve">, B., </w:t>
      </w:r>
      <w:r>
        <w:t>Blankesteijn</w:t>
      </w:r>
      <w:r>
        <w:t xml:space="preserve">, M. and de Jong, F. (2019) ‘Closed-open innovation strategy for autonomous vehicle development’, </w:t>
      </w:r>
      <w:r>
        <w:rPr>
          <w:i/>
          <w:iCs/>
        </w:rPr>
        <w:t>International Journal of Automotive Technology and Management</w:t>
      </w:r>
      <w:r>
        <w:t xml:space="preserve">, 19(1–2), pp. 74–92. Available at: </w:t>
      </w:r>
      <w:r>
        <w:rPr/>
        <w:fldChar w:fldCharType="begin"/>
      </w:r>
      <w:r>
        <w:instrText xml:space="preserve"> HYPERLINK "https://doi.org/10.1504/ijatm.2019.10019844" \t "_new" </w:instrText>
      </w:r>
      <w:r>
        <w:rPr/>
        <w:fldChar w:fldCharType="separate"/>
      </w:r>
      <w:r>
        <w:rPr>
          <w:rStyle w:val="style85"/>
        </w:rPr>
        <w:t>https://doi.org/10.1504/ijatm.2019.10019844</w:t>
      </w:r>
      <w:r>
        <w:rPr/>
        <w:fldChar w:fldCharType="end"/>
      </w:r>
    </w:p>
    <w:p>
      <w:pPr>
        <w:pStyle w:val="style0"/>
        <w:rPr/>
      </w:pPr>
      <w:r>
        <w:t>Dehkordi</w:t>
      </w:r>
      <w:r>
        <w:t xml:space="preserve">, R., </w:t>
      </w:r>
      <w:r>
        <w:t>Ahokangas</w:t>
      </w:r>
      <w:r>
        <w:t xml:space="preserve">, P. and </w:t>
      </w:r>
      <w:r>
        <w:t>Sorvisto</w:t>
      </w:r>
      <w:r>
        <w:t xml:space="preserve">, M. (2025) ‘Digital spine and multiple platforms: integrating logistics, data, connectivity, and energy for electric commercial vehicles’, </w:t>
      </w:r>
      <w:r>
        <w:rPr>
          <w:i/>
          <w:iCs/>
        </w:rPr>
        <w:t>IET Smart Grid</w:t>
      </w:r>
      <w:r>
        <w:t xml:space="preserve">, 8(1). Available at: </w:t>
      </w:r>
      <w:r>
        <w:rPr/>
        <w:fldChar w:fldCharType="begin"/>
      </w:r>
      <w:r>
        <w:instrText xml:space="preserve"> HYPERLINK "https://doi.org/10.1049/stg2.70013" \t "_new" </w:instrText>
      </w:r>
      <w:r>
        <w:rPr/>
        <w:fldChar w:fldCharType="separate"/>
      </w:r>
      <w:r>
        <w:rPr>
          <w:rStyle w:val="style85"/>
        </w:rPr>
        <w:t>https://doi.org/10.1049/stg2.70013</w:t>
      </w:r>
      <w:r>
        <w:rPr/>
        <w:fldChar w:fldCharType="end"/>
      </w:r>
      <w:r>
        <w:t xml:space="preserve"> (Accessed: 30 April 2026).</w:t>
      </w:r>
    </w:p>
    <w:p>
      <w:pPr>
        <w:pStyle w:val="style0"/>
        <w:rPr/>
      </w:pPr>
      <w:r>
        <w:t xml:space="preserve">Deng, Y. (2024) ‘Future development analysis based on the price reduction trend of Tesla’, </w:t>
      </w:r>
      <w:r>
        <w:rPr>
          <w:i/>
          <w:iCs/>
        </w:rPr>
        <w:t>Advances in Economics, Management and Political Sciences</w:t>
      </w:r>
      <w:r>
        <w:t>, 112(1), pp. 156–</w:t>
      </w:r>
      <w:r>
        <w:t xml:space="preserve">162. Available at: </w:t>
      </w:r>
      <w:r>
        <w:rPr/>
        <w:fldChar w:fldCharType="begin"/>
      </w:r>
      <w:r>
        <w:instrText xml:space="preserve"> HYPERLINK "https://doi.org/10.54254/2754-1169/112/20242374" \t "_new" </w:instrText>
      </w:r>
      <w:r>
        <w:rPr/>
        <w:fldChar w:fldCharType="separate"/>
      </w:r>
      <w:r>
        <w:rPr>
          <w:rStyle w:val="style85"/>
        </w:rPr>
        <w:t>https://doi.org/10.54254/2754-1169/112/20242374</w:t>
      </w:r>
      <w:r>
        <w:rPr/>
        <w:fldChar w:fldCharType="end"/>
      </w:r>
      <w:r>
        <w:t xml:space="preserve"> (Accessed: 30 April 2026).</w:t>
      </w:r>
    </w:p>
    <w:p>
      <w:pPr>
        <w:pStyle w:val="style0"/>
        <w:rPr/>
      </w:pPr>
      <w:r>
        <w:t>Dourado</w:t>
      </w:r>
      <w:r>
        <w:t xml:space="preserve">, J.D. de A., Jones, C.M., </w:t>
      </w:r>
      <w:r>
        <w:t>Afonso</w:t>
      </w:r>
      <w:r>
        <w:t xml:space="preserve">, H.C.A. da G. and </w:t>
      </w:r>
      <w:r>
        <w:t>Botelho</w:t>
      </w:r>
      <w:r>
        <w:t xml:space="preserve">, L. de M.M. (2021) ‘Assessment of future autonomous vehicle market leadership in the US’, </w:t>
      </w:r>
      <w:r>
        <w:rPr>
          <w:i/>
          <w:iCs/>
        </w:rPr>
        <w:t>Preprints</w:t>
      </w:r>
      <w:r>
        <w:t xml:space="preserve">. Available at: </w:t>
      </w:r>
      <w:r>
        <w:rPr/>
        <w:fldChar w:fldCharType="begin"/>
      </w:r>
      <w:r>
        <w:instrText xml:space="preserve"> HYPERLINK "https://doi.org/10.20944/preprints202101.0423.v1" \t "_new" </w:instrText>
      </w:r>
      <w:r>
        <w:rPr/>
        <w:fldChar w:fldCharType="separate"/>
      </w:r>
      <w:r>
        <w:rPr>
          <w:rStyle w:val="style85"/>
        </w:rPr>
        <w:t>https://doi.org/10.20944/preprints202101.0423.v1</w:t>
      </w:r>
      <w:r>
        <w:rPr/>
        <w:fldChar w:fldCharType="end"/>
      </w:r>
    </w:p>
    <w:p>
      <w:pPr>
        <w:pStyle w:val="style0"/>
        <w:rPr/>
      </w:pPr>
      <w:r>
        <w:t>Gan</w:t>
      </w:r>
      <w:r>
        <w:t xml:space="preserve">, L. and Yao, Y. (2025) ‘A corpus-based critical discourse analysis of identity construction in CSR reports of China and USA new energy vehicle companies: A case of BYD and Tesla’, </w:t>
      </w:r>
      <w:r>
        <w:rPr>
          <w:i/>
          <w:iCs/>
        </w:rPr>
        <w:t>Preprints</w:t>
      </w:r>
      <w:r>
        <w:t xml:space="preserve">. Available at: </w:t>
      </w:r>
      <w:r>
        <w:rPr/>
        <w:fldChar w:fldCharType="begin"/>
      </w:r>
      <w:r>
        <w:instrText xml:space="preserve"> HYPERLINK "https://doi.org/10.21203/rs.3.rs-7347669/v1" \t "_new" </w:instrText>
      </w:r>
      <w:r>
        <w:rPr/>
        <w:fldChar w:fldCharType="separate"/>
      </w:r>
      <w:r>
        <w:rPr>
          <w:rStyle w:val="style85"/>
        </w:rPr>
        <w:t>https://doi.org/10.21203/rs.3.rs-7347669/v1</w:t>
      </w:r>
      <w:r>
        <w:rPr/>
        <w:fldChar w:fldCharType="end"/>
      </w:r>
    </w:p>
    <w:p>
      <w:pPr>
        <w:pStyle w:val="style0"/>
        <w:rPr/>
      </w:pPr>
      <w:r>
        <w:t xml:space="preserve">Gibbs, G. (1988) </w:t>
      </w:r>
      <w:r>
        <w:rPr>
          <w:i/>
          <w:iCs/>
        </w:rPr>
        <w:t>Learning by doing: A guide to teaching and learning methods</w:t>
      </w:r>
      <w:r>
        <w:t>. Oxford: Oxford Polytechnic.</w:t>
      </w:r>
    </w:p>
    <w:p>
      <w:pPr>
        <w:pStyle w:val="style0"/>
        <w:rPr/>
      </w:pPr>
      <w:r>
        <w:t xml:space="preserve">Han, X., Liu, W. and Jiang, T. (2023) ‘Practising future-making: Anticipation and </w:t>
      </w:r>
      <w:r>
        <w:t>translocal</w:t>
      </w:r>
      <w:r>
        <w:t xml:space="preserve"> politics of Tesla’s Gigafactory in Shanghai as assemblage’, </w:t>
      </w:r>
      <w:r>
        <w:rPr>
          <w:i/>
          <w:iCs/>
        </w:rPr>
        <w:t>Transactions of the Institute of British Geographers</w:t>
      </w:r>
      <w:r>
        <w:t xml:space="preserve">, 49(2). Available at: </w:t>
      </w:r>
      <w:r>
        <w:rPr/>
        <w:fldChar w:fldCharType="begin"/>
      </w:r>
      <w:r>
        <w:instrText xml:space="preserve"> HYPERLINK "https://doi.org/10.1111/tran.12645" \t "_new" </w:instrText>
      </w:r>
      <w:r>
        <w:rPr/>
        <w:fldChar w:fldCharType="separate"/>
      </w:r>
      <w:r>
        <w:rPr>
          <w:rStyle w:val="style85"/>
        </w:rPr>
        <w:t>https://doi.org/10.1111/tran.12645</w:t>
      </w:r>
      <w:r>
        <w:rPr/>
        <w:fldChar w:fldCharType="end"/>
      </w:r>
    </w:p>
    <w:p>
      <w:pPr>
        <w:pStyle w:val="style0"/>
        <w:rPr/>
      </w:pPr>
      <w:r>
        <w:t xml:space="preserve"> </w:t>
      </w:r>
      <w:r>
        <w:t>Harryson</w:t>
      </w:r>
      <w:r>
        <w:t xml:space="preserve">, S. and </w:t>
      </w:r>
      <w:r>
        <w:t>Lorange</w:t>
      </w:r>
      <w:r>
        <w:t xml:space="preserve">, P. (2024) ‘Vertical integration versus open innovation? From winner takes it all to winners make it all’, </w:t>
      </w:r>
      <w:r>
        <w:rPr>
          <w:i/>
          <w:iCs/>
        </w:rPr>
        <w:t>California Management Review</w:t>
      </w:r>
      <w:r>
        <w:t xml:space="preserve">, 67(1), pp. 138–163. Available at: </w:t>
      </w:r>
      <w:r>
        <w:rPr/>
        <w:fldChar w:fldCharType="begin"/>
      </w:r>
      <w:r>
        <w:instrText xml:space="preserve"> HYPERLINK "https://doi.org/10.1177/00081256241279334" \t "_new" </w:instrText>
      </w:r>
      <w:r>
        <w:rPr/>
        <w:fldChar w:fldCharType="separate"/>
      </w:r>
      <w:r>
        <w:rPr>
          <w:rStyle w:val="style85"/>
        </w:rPr>
        <w:t>https://doi.org/10.1177/00081256241279334</w:t>
      </w:r>
      <w:r>
        <w:rPr/>
        <w:fldChar w:fldCharType="end"/>
      </w:r>
      <w:r>
        <w:t xml:space="preserve"> (Accessed: 30 April 2026).</w:t>
      </w:r>
    </w:p>
    <w:p>
      <w:pPr>
        <w:pStyle w:val="style0"/>
        <w:rPr/>
      </w:pPr>
      <w:r>
        <w:t>Hegazy</w:t>
      </w:r>
      <w:r>
        <w:t xml:space="preserve">, M., </w:t>
      </w:r>
      <w:r>
        <w:t>Hegazy</w:t>
      </w:r>
      <w:r>
        <w:t>, K. and El-</w:t>
      </w:r>
      <w:r>
        <w:t>Deeb</w:t>
      </w:r>
      <w:r>
        <w:t xml:space="preserve">, M.S. (2020) ‘The balanced scorecard: measures that drive performance evaluation in auditing firms’, </w:t>
      </w:r>
      <w:r>
        <w:rPr>
          <w:i/>
          <w:iCs/>
        </w:rPr>
        <w:t>Journal of Accounting, Auditing &amp; Finance</w:t>
      </w:r>
      <w:r>
        <w:t xml:space="preserve">, 37(4), pp. 902–927. Available at: </w:t>
      </w:r>
      <w:r>
        <w:rPr/>
        <w:fldChar w:fldCharType="begin"/>
      </w:r>
      <w:r>
        <w:instrText xml:space="preserve"> HYPERLINK "https://doi.org/10.1177/0148558x20962915" \t "_new" </w:instrText>
      </w:r>
      <w:r>
        <w:rPr/>
        <w:fldChar w:fldCharType="separate"/>
      </w:r>
      <w:r>
        <w:rPr>
          <w:rStyle w:val="style85"/>
        </w:rPr>
        <w:t>https://doi.org/10.1177/0148558x20962915</w:t>
      </w:r>
      <w:r>
        <w:rPr/>
        <w:fldChar w:fldCharType="end"/>
      </w:r>
      <w:r>
        <w:t xml:space="preserve"> (Accessed: 30 April 2026).</w:t>
      </w:r>
    </w:p>
    <w:p>
      <w:pPr>
        <w:pStyle w:val="style0"/>
        <w:rPr/>
      </w:pPr>
      <w:r>
        <w:t>Hoeft</w:t>
      </w:r>
      <w:r>
        <w:t xml:space="preserve">, F. (2021) ‘Auto makers and radical innovation: Culture, capital and talent form road blocks’, </w:t>
      </w:r>
      <w:r>
        <w:rPr>
          <w:i/>
          <w:iCs/>
        </w:rPr>
        <w:t>Journal of Business Strategy</w:t>
      </w:r>
      <w:r>
        <w:t xml:space="preserve">, 43(4), pp. 210–221. Available at: </w:t>
      </w:r>
      <w:r>
        <w:rPr/>
        <w:fldChar w:fldCharType="begin"/>
      </w:r>
      <w:r>
        <w:instrText xml:space="preserve"> HYPERLINK "https://doi.org/10.1108/jbs-11-2020-0261" \t "_new" </w:instrText>
      </w:r>
      <w:r>
        <w:rPr/>
        <w:fldChar w:fldCharType="separate"/>
      </w:r>
      <w:r>
        <w:rPr>
          <w:rStyle w:val="style85"/>
        </w:rPr>
        <w:t>https://doi.org/10.1108/jbs-11-2020-0261</w:t>
      </w:r>
      <w:r>
        <w:rPr/>
        <w:fldChar w:fldCharType="end"/>
      </w:r>
    </w:p>
    <w:p>
      <w:pPr>
        <w:pStyle w:val="style0"/>
        <w:rPr/>
      </w:pPr>
      <w:r>
        <w:t xml:space="preserve">Huang, W. (2023) ‘Understanding Tesla’s financial strength: analysis of financial reports and DuPont analysis’, </w:t>
      </w:r>
      <w:r>
        <w:rPr>
          <w:i/>
          <w:iCs/>
        </w:rPr>
        <w:t>Highlights in Business, Economics and Management</w:t>
      </w:r>
      <w:r>
        <w:t xml:space="preserve">, 6, pp. 250–261. Available at: </w:t>
      </w:r>
      <w:r>
        <w:rPr/>
        <w:fldChar w:fldCharType="begin"/>
      </w:r>
      <w:r>
        <w:instrText xml:space="preserve"> HYPERLINK "https://doi.org/10.54097/hbem.v6i.6325" \t "_new" </w:instrText>
      </w:r>
      <w:r>
        <w:rPr/>
        <w:fldChar w:fldCharType="separate"/>
      </w:r>
      <w:r>
        <w:rPr>
          <w:rStyle w:val="style85"/>
        </w:rPr>
        <w:t>https://doi.org/10.54097/hbem.v6i.6325</w:t>
      </w:r>
      <w:r>
        <w:rPr/>
        <w:fldChar w:fldCharType="end"/>
      </w:r>
      <w:r>
        <w:t xml:space="preserve"> (Accessed: 30 April 2026).</w:t>
      </w:r>
    </w:p>
    <w:p>
      <w:pPr>
        <w:pStyle w:val="style0"/>
        <w:rPr/>
      </w:pPr>
      <w:r>
        <w:t>Jagani</w:t>
      </w:r>
      <w:r>
        <w:t xml:space="preserve">, S., </w:t>
      </w:r>
      <w:r>
        <w:t>Marsillac</w:t>
      </w:r>
      <w:r>
        <w:t xml:space="preserve">, E. and Hong, P. (2024) ‘The electric vehicle supply chain ecosystem: changing roles of automotive suppliers’, </w:t>
      </w:r>
      <w:r>
        <w:rPr>
          <w:i/>
          <w:iCs/>
        </w:rPr>
        <w:t>Sustainability</w:t>
      </w:r>
      <w:r>
        <w:t xml:space="preserve">, 16(4), p. 1570. Available at: </w:t>
      </w:r>
      <w:r>
        <w:rPr/>
        <w:fldChar w:fldCharType="begin"/>
      </w:r>
      <w:r>
        <w:instrText xml:space="preserve"> HYPERLINK "https://doi.org/10.3390/su16041570" \t "_new" </w:instrText>
      </w:r>
      <w:r>
        <w:rPr/>
        <w:fldChar w:fldCharType="separate"/>
      </w:r>
      <w:r>
        <w:rPr>
          <w:rStyle w:val="style85"/>
        </w:rPr>
        <w:t>https://doi.org/10.3390/su16041570</w:t>
      </w:r>
      <w:r>
        <w:rPr/>
        <w:fldChar w:fldCharType="end"/>
      </w:r>
      <w:r>
        <w:t xml:space="preserve"> (Accessed: 30 April 2026).</w:t>
      </w:r>
    </w:p>
    <w:p>
      <w:pPr>
        <w:pStyle w:val="style0"/>
        <w:rPr/>
      </w:pPr>
      <w:r>
        <w:t xml:space="preserve">Jasper, M. (2013) </w:t>
      </w:r>
      <w:r>
        <w:rPr>
          <w:i/>
          <w:iCs/>
        </w:rPr>
        <w:t>Beginning reflective practice</w:t>
      </w:r>
      <w:r>
        <w:t xml:space="preserve">. 2nd </w:t>
      </w:r>
      <w:r>
        <w:t>edn</w:t>
      </w:r>
      <w:r>
        <w:t>. Andover: Cengage Learning.</w:t>
      </w:r>
    </w:p>
    <w:p>
      <w:pPr>
        <w:pStyle w:val="style0"/>
        <w:rPr/>
      </w:pPr>
      <w:r>
        <w:t>Kefe</w:t>
      </w:r>
      <w:r>
        <w:t xml:space="preserve">, İ. (2019) ‘The determination of performance measures by using a balanced scorecard framework’, </w:t>
      </w:r>
      <w:r>
        <w:rPr>
          <w:i/>
          <w:iCs/>
        </w:rPr>
        <w:t>Foundations of Management</w:t>
      </w:r>
      <w:r>
        <w:t xml:space="preserve">, 11(1), pp. 43–56. Available at: </w:t>
      </w:r>
      <w:r>
        <w:rPr/>
        <w:fldChar w:fldCharType="begin"/>
      </w:r>
      <w:r>
        <w:instrText xml:space="preserve"> HYPERLINK "https://doi.org/10.2478/fman-2019-0004" \t "_new" </w:instrText>
      </w:r>
      <w:r>
        <w:rPr/>
        <w:fldChar w:fldCharType="separate"/>
      </w:r>
      <w:r>
        <w:rPr>
          <w:rStyle w:val="style85"/>
        </w:rPr>
        <w:t>https://doi.org/10.2478/fman-2019-0004</w:t>
      </w:r>
      <w:r>
        <w:rPr/>
        <w:fldChar w:fldCharType="end"/>
      </w:r>
      <w:r>
        <w:t xml:space="preserve"> (Accessed: 30 April 2026).</w:t>
      </w:r>
    </w:p>
    <w:p>
      <w:pPr>
        <w:pStyle w:val="style0"/>
        <w:rPr/>
      </w:pPr>
      <w:r>
        <w:t xml:space="preserve">Kim, J.-H., </w:t>
      </w:r>
      <w:r>
        <w:t>Paek</w:t>
      </w:r>
      <w:r>
        <w:t xml:space="preserve">, B. and Lee, H. (2022) ‘Exploring innovation ecosystem of incumbents in the face of technological discontinuities: automobile firms’, </w:t>
      </w:r>
      <w:r>
        <w:rPr>
          <w:i/>
          <w:iCs/>
        </w:rPr>
        <w:t>Sustainability</w:t>
      </w:r>
      <w:r>
        <w:t xml:space="preserve">, 14(3), p. 1606. Available at: </w:t>
      </w:r>
      <w:r>
        <w:rPr/>
        <w:fldChar w:fldCharType="begin"/>
      </w:r>
      <w:r>
        <w:instrText xml:space="preserve"> HYPERLINK "https://doi.org/10.3390/su14031606" \t "_new" </w:instrText>
      </w:r>
      <w:r>
        <w:rPr/>
        <w:fldChar w:fldCharType="separate"/>
      </w:r>
      <w:r>
        <w:rPr>
          <w:rStyle w:val="style85"/>
        </w:rPr>
        <w:t>https://doi.org/10.3390/su14031606</w:t>
      </w:r>
      <w:r>
        <w:rPr/>
        <w:fldChar w:fldCharType="end"/>
      </w:r>
      <w:r>
        <w:t xml:space="preserve"> (Accessed: 30 April 2026).</w:t>
      </w:r>
    </w:p>
    <w:p>
      <w:pPr>
        <w:pStyle w:val="style0"/>
        <w:rPr/>
      </w:pPr>
      <w:r>
        <w:t xml:space="preserve">Kolb, D.A. (1984) </w:t>
      </w:r>
      <w:r>
        <w:rPr>
          <w:i/>
          <w:iCs/>
        </w:rPr>
        <w:t>Experiential learning: Experience as the source of learning and development</w:t>
      </w:r>
      <w:r>
        <w:t>. New Jersey: Prentice Hall.</w:t>
      </w:r>
    </w:p>
    <w:p>
      <w:pPr>
        <w:pStyle w:val="style0"/>
        <w:rPr/>
      </w:pPr>
      <w:r>
        <w:t xml:space="preserve">Lang, J., </w:t>
      </w:r>
      <w:r>
        <w:t>Reber</w:t>
      </w:r>
      <w:r>
        <w:t xml:space="preserve">, B. and </w:t>
      </w:r>
      <w:r>
        <w:t>Aldori</w:t>
      </w:r>
      <w:r>
        <w:t xml:space="preserve">, H. (2021) ‘How Tesla created advantages in the EV automotive paradigm through an integrated business model of value capture and value creation’, </w:t>
      </w:r>
      <w:r>
        <w:rPr>
          <w:i/>
          <w:iCs/>
        </w:rPr>
        <w:t>Business and Management Studies: An International Journal</w:t>
      </w:r>
      <w:r>
        <w:t xml:space="preserve">, 9(1), pp. 385–404. Available at: </w:t>
      </w:r>
      <w:r>
        <w:rPr/>
        <w:fldChar w:fldCharType="begin"/>
      </w:r>
      <w:r>
        <w:instrText xml:space="preserve"> HYPERLINK "https://doi.org/10.15295/bmij.v9i1.1790" \t "_new" </w:instrText>
      </w:r>
      <w:r>
        <w:rPr/>
        <w:fldChar w:fldCharType="separate"/>
      </w:r>
      <w:r>
        <w:rPr>
          <w:rStyle w:val="style85"/>
        </w:rPr>
        <w:t>https://doi.org/10.15295/bmij.v9i1.1790</w:t>
      </w:r>
      <w:r>
        <w:rPr/>
        <w:fldChar w:fldCharType="end"/>
      </w:r>
    </w:p>
    <w:p>
      <w:pPr>
        <w:pStyle w:val="style0"/>
        <w:rPr/>
      </w:pPr>
      <w:r>
        <w:t xml:space="preserve">Lang, J., </w:t>
      </w:r>
      <w:r>
        <w:t>Reber</w:t>
      </w:r>
      <w:r>
        <w:t xml:space="preserve">, B. and </w:t>
      </w:r>
      <w:r>
        <w:t>Aldori</w:t>
      </w:r>
      <w:r>
        <w:t xml:space="preserve">, H. (2021) ‘How Tesla created advantages in the EV automotive paradigm, through an integrated business model of value capture and value creation’, </w:t>
      </w:r>
      <w:r>
        <w:rPr>
          <w:i/>
          <w:iCs/>
        </w:rPr>
        <w:t>Business and Management Studies: An International Journal</w:t>
      </w:r>
      <w:r>
        <w:t xml:space="preserve">, 9(1), pp. 385–404. Available at: </w:t>
      </w:r>
      <w:r>
        <w:rPr/>
        <w:fldChar w:fldCharType="begin"/>
      </w:r>
      <w:r>
        <w:instrText xml:space="preserve"> HYPERLINK "https://doi.org/10.15295/bmij.v9i1.1790" \t "_new" </w:instrText>
      </w:r>
      <w:r>
        <w:rPr/>
        <w:fldChar w:fldCharType="separate"/>
      </w:r>
      <w:r>
        <w:rPr>
          <w:rStyle w:val="style85"/>
        </w:rPr>
        <w:t>https://doi.org/10.15295/bmij.v9i1.1790</w:t>
      </w:r>
      <w:r>
        <w:rPr/>
        <w:fldChar w:fldCharType="end"/>
      </w:r>
      <w:r>
        <w:t xml:space="preserve"> (Accessed: 30 April 2026).</w:t>
      </w:r>
    </w:p>
    <w:p>
      <w:pPr>
        <w:pStyle w:val="style0"/>
        <w:rPr/>
      </w:pPr>
      <w:r>
        <w:t xml:space="preserve">Lin, R. (2024) ‘Research on supply chain development trends of new energy vehicles taking BYD and Tesla as examples’, </w:t>
      </w:r>
      <w:r>
        <w:rPr>
          <w:i/>
          <w:iCs/>
        </w:rPr>
        <w:t>Advances in Economics, Management and Political Sciences</w:t>
      </w:r>
      <w:r>
        <w:t xml:space="preserve">, 81(1), pp. 12–18. Available at: </w:t>
      </w:r>
      <w:r>
        <w:rPr/>
        <w:fldChar w:fldCharType="begin"/>
      </w:r>
      <w:r>
        <w:instrText xml:space="preserve"> HYPERLINK "https://doi.org/10.54254/2754-1169/81/20241846" \t "_new" </w:instrText>
      </w:r>
      <w:r>
        <w:rPr/>
        <w:fldChar w:fldCharType="separate"/>
      </w:r>
      <w:r>
        <w:rPr>
          <w:rStyle w:val="style85"/>
        </w:rPr>
        <w:t>https://doi.org/10.54254/2754-1169/81/20241846</w:t>
      </w:r>
      <w:r>
        <w:rPr/>
        <w:fldChar w:fldCharType="end"/>
      </w:r>
      <w:r>
        <w:t xml:space="preserve"> (Accessed: 30 April 2026).</w:t>
      </w:r>
    </w:p>
    <w:p>
      <w:pPr>
        <w:pStyle w:val="style0"/>
        <w:rPr/>
      </w:pPr>
      <w:r>
        <w:t xml:space="preserve">Luo, Y. (2024) ‘A study of Tesla’s impact on China’s new energy vehicle market’, </w:t>
      </w:r>
      <w:r>
        <w:rPr>
          <w:i/>
          <w:iCs/>
        </w:rPr>
        <w:t>Advances in Economics, Management and Political Sciences</w:t>
      </w:r>
      <w:r>
        <w:t xml:space="preserve">, 74(1), pp. 196–201. Available at: </w:t>
      </w:r>
      <w:r>
        <w:rPr/>
        <w:fldChar w:fldCharType="begin"/>
      </w:r>
      <w:r>
        <w:instrText xml:space="preserve"> HYPERLINK "https://doi.org/10.54254/2754-1169/74/20241544" \t "_new" </w:instrText>
      </w:r>
      <w:r>
        <w:rPr/>
        <w:fldChar w:fldCharType="separate"/>
      </w:r>
      <w:r>
        <w:rPr>
          <w:rStyle w:val="style85"/>
        </w:rPr>
        <w:t>https://doi.org/10.54254/2754-1169/74/20241544</w:t>
      </w:r>
      <w:r>
        <w:rPr/>
        <w:fldChar w:fldCharType="end"/>
      </w:r>
    </w:p>
    <w:p>
      <w:pPr>
        <w:pStyle w:val="style0"/>
        <w:rPr/>
      </w:pPr>
      <w:r>
        <w:t xml:space="preserve">Mohamad, A., </w:t>
      </w:r>
      <w:r>
        <w:t>Zainuddin</w:t>
      </w:r>
      <w:r>
        <w:t xml:space="preserve">, Y., </w:t>
      </w:r>
      <w:r>
        <w:t>Alam</w:t>
      </w:r>
      <w:r>
        <w:t xml:space="preserve">, N. and Kendall, G. (2017) ‘Does decentralized decision making increase company performance through its information technology </w:t>
      </w:r>
      <w:r>
        <w:t xml:space="preserve">infrastructure investment?’, </w:t>
      </w:r>
      <w:r>
        <w:rPr>
          <w:i/>
          <w:iCs/>
        </w:rPr>
        <w:t>International Journal of Accounting Information Systems</w:t>
      </w:r>
      <w:r>
        <w:t xml:space="preserve">, 27, pp. 1–15. Available at: </w:t>
      </w:r>
      <w:r>
        <w:rPr/>
        <w:fldChar w:fldCharType="begin"/>
      </w:r>
      <w:r>
        <w:instrText xml:space="preserve"> HYPERLINK "https://doi.org/10.1016/j.accinf.2017.09.001" \t "_new" </w:instrText>
      </w:r>
      <w:r>
        <w:rPr/>
        <w:fldChar w:fldCharType="separate"/>
      </w:r>
      <w:r>
        <w:rPr>
          <w:rStyle w:val="style85"/>
        </w:rPr>
        <w:t>https://doi.org/10.1016/j.accinf.2017.09.001</w:t>
      </w:r>
      <w:r>
        <w:rPr/>
        <w:fldChar w:fldCharType="end"/>
      </w:r>
      <w:r>
        <w:t xml:space="preserve"> (Accessed: 30 April 2026).</w:t>
      </w:r>
    </w:p>
    <w:p>
      <w:pPr>
        <w:pStyle w:val="style0"/>
        <w:rPr/>
      </w:pPr>
      <w:r>
        <w:t xml:space="preserve">Moon, J.A. (2004) </w:t>
      </w:r>
      <w:r>
        <w:rPr>
          <w:i/>
          <w:iCs/>
        </w:rPr>
        <w:t>A handbook of reflective and experiential learning: Theory and practice</w:t>
      </w:r>
      <w:r>
        <w:t>. London: Routledge.</w:t>
      </w:r>
    </w:p>
    <w:p>
      <w:pPr>
        <w:pStyle w:val="style0"/>
        <w:rPr/>
      </w:pPr>
      <w:r>
        <w:t>Nazir</w:t>
      </w:r>
      <w:r>
        <w:t xml:space="preserve">, S., </w:t>
      </w:r>
      <w:r>
        <w:t>Mehmood</w:t>
      </w:r>
      <w:r>
        <w:t xml:space="preserve">, S., Li, Z., </w:t>
      </w:r>
      <w:r>
        <w:t>Nazir</w:t>
      </w:r>
      <w:r>
        <w:t xml:space="preserve">, Z. and </w:t>
      </w:r>
      <w:r>
        <w:t>Nazir</w:t>
      </w:r>
      <w:r>
        <w:t>, S. (2024) ‘</w:t>
      </w:r>
      <w:r>
        <w:t>Analyzing</w:t>
      </w:r>
      <w:r>
        <w:t xml:space="preserve"> how COVID-19 moderates the relationship between organizational learning capabilities, technological innovation, supply chain management and enterprise performance in the automobile industry’, </w:t>
      </w:r>
      <w:r>
        <w:rPr>
          <w:i/>
          <w:iCs/>
        </w:rPr>
        <w:t>Business Process Management Journal</w:t>
      </w:r>
      <w:r>
        <w:t xml:space="preserve">, 30(6), pp. 2184–2209. Available at: </w:t>
      </w:r>
      <w:r>
        <w:rPr/>
        <w:fldChar w:fldCharType="begin"/>
      </w:r>
      <w:r>
        <w:instrText xml:space="preserve"> HYPERLINK "https://doi.org/10.1108/bpmj-02-2024-0116" \t "_new" </w:instrText>
      </w:r>
      <w:r>
        <w:rPr/>
        <w:fldChar w:fldCharType="separate"/>
      </w:r>
      <w:r>
        <w:rPr>
          <w:rStyle w:val="style85"/>
        </w:rPr>
        <w:t>https://doi.org/10.1108/bpmj-02-2024-0116</w:t>
      </w:r>
      <w:r>
        <w:rPr/>
        <w:fldChar w:fldCharType="end"/>
      </w:r>
      <w:r>
        <w:t xml:space="preserve"> (Accessed: 30 April 2026).</w:t>
      </w:r>
    </w:p>
    <w:p>
      <w:pPr>
        <w:pStyle w:val="style0"/>
        <w:rPr/>
      </w:pPr>
      <w:r>
        <w:t>Niu</w:t>
      </w:r>
      <w:r>
        <w:t xml:space="preserve">, P. (2023) ‘Cross-national competition analysis of China’s new energy vehicle supply chain in the post-epidemic era: take BYD as an example’, </w:t>
      </w:r>
      <w:r>
        <w:rPr>
          <w:i/>
          <w:iCs/>
        </w:rPr>
        <w:t>International Journal of Global Economics and Management</w:t>
      </w:r>
      <w:r>
        <w:t xml:space="preserve">, 1(1), pp. 23–28. Available at: </w:t>
      </w:r>
      <w:r>
        <w:rPr/>
        <w:fldChar w:fldCharType="begin"/>
      </w:r>
      <w:r>
        <w:instrText xml:space="preserve"> HYPERLINK "https://doi.org/10.62051/ijgem.v1n1.04" \t "_new" </w:instrText>
      </w:r>
      <w:r>
        <w:rPr/>
        <w:fldChar w:fldCharType="separate"/>
      </w:r>
      <w:r>
        <w:rPr>
          <w:rStyle w:val="style85"/>
        </w:rPr>
        <w:t>https://doi.org/10.62051/ijgem.v1n1.04</w:t>
      </w:r>
      <w:r>
        <w:rPr/>
        <w:fldChar w:fldCharType="end"/>
      </w:r>
      <w:r>
        <w:t xml:space="preserve"> (Accessed: 30 April 2026).</w:t>
      </w:r>
    </w:p>
    <w:p>
      <w:pPr>
        <w:pStyle w:val="style0"/>
        <w:rPr/>
      </w:pPr>
      <w:r>
        <w:t xml:space="preserve">Pandey, S.K. (2025) ‘Policy-driven innovation: how government incentives are shaping the EV start-up landscape in India’, </w:t>
      </w:r>
      <w:r>
        <w:rPr>
          <w:i/>
          <w:iCs/>
        </w:rPr>
        <w:t>Indian Journal of Public Administration</w:t>
      </w:r>
      <w:r>
        <w:t xml:space="preserve">, 71(3), pp. 620–634. Available at: </w:t>
      </w:r>
      <w:r>
        <w:rPr/>
        <w:fldChar w:fldCharType="begin"/>
      </w:r>
      <w:r>
        <w:instrText xml:space="preserve"> HYPERLINK "https://doi.org/10.1177/00195561251370519" \t "_new" </w:instrText>
      </w:r>
      <w:r>
        <w:rPr/>
        <w:fldChar w:fldCharType="separate"/>
      </w:r>
      <w:r>
        <w:rPr>
          <w:rStyle w:val="style85"/>
        </w:rPr>
        <w:t>https://doi.org/10.1177/00195561251370519</w:t>
      </w:r>
      <w:r>
        <w:rPr/>
        <w:fldChar w:fldCharType="end"/>
      </w:r>
      <w:r>
        <w:t xml:space="preserve"> (Accessed: 30 April 202</w:t>
      </w:r>
      <w:r>
        <w:t>6</w:t>
      </w:r>
    </w:p>
    <w:p>
      <w:pPr>
        <w:pStyle w:val="style0"/>
        <w:rPr/>
      </w:pPr>
      <w:r>
        <w:t xml:space="preserve">Perkins, G. and </w:t>
      </w:r>
      <w:r>
        <w:t>Murmann</w:t>
      </w:r>
      <w:r>
        <w:t xml:space="preserve">, J.P. (2018) ‘What does the success of Tesla mean for the future dynamics in the global automobile sector?’, </w:t>
      </w:r>
      <w:r>
        <w:rPr>
          <w:i/>
          <w:iCs/>
        </w:rPr>
        <w:t>Management and Organization Review</w:t>
      </w:r>
      <w:r>
        <w:t xml:space="preserve">, 14(3), pp. 471–480. Available at: </w:t>
      </w:r>
      <w:r>
        <w:rPr/>
        <w:fldChar w:fldCharType="begin"/>
      </w:r>
      <w:r>
        <w:instrText xml:space="preserve"> HYPERLINK "https://doi.org/10.1017/mor.2018.31" \t "_new" </w:instrText>
      </w:r>
      <w:r>
        <w:rPr/>
        <w:fldChar w:fldCharType="separate"/>
      </w:r>
      <w:r>
        <w:rPr>
          <w:rStyle w:val="style85"/>
        </w:rPr>
        <w:t>https://doi.org/10.1017/mor.2018.31</w:t>
      </w:r>
      <w:r>
        <w:rPr/>
        <w:fldChar w:fldCharType="end"/>
      </w:r>
    </w:p>
    <w:p>
      <w:pPr>
        <w:pStyle w:val="style0"/>
        <w:rPr/>
      </w:pPr>
      <w:r>
        <w:t xml:space="preserve">Perkins, G. and </w:t>
      </w:r>
      <w:r>
        <w:t>Murmann</w:t>
      </w:r>
      <w:r>
        <w:t xml:space="preserve">, J.P. (2018) ‘What does the success of Tesla mean for the future dynamics in the global automobile sector?’, </w:t>
      </w:r>
      <w:r>
        <w:rPr>
          <w:i/>
          <w:iCs/>
        </w:rPr>
        <w:t>Management and Organization Review</w:t>
      </w:r>
      <w:r>
        <w:t xml:space="preserve">, 14(3), pp. 471–480. Available at: </w:t>
      </w:r>
      <w:r>
        <w:rPr/>
        <w:fldChar w:fldCharType="begin"/>
      </w:r>
      <w:r>
        <w:instrText xml:space="preserve"> HYPERLINK "https://doi.org/10.1017/mor.2018.31" \t "_new" </w:instrText>
      </w:r>
      <w:r>
        <w:rPr/>
        <w:fldChar w:fldCharType="separate"/>
      </w:r>
      <w:r>
        <w:rPr>
          <w:rStyle w:val="style85"/>
        </w:rPr>
        <w:t>https://doi.org/10.1017/mor.2018.31</w:t>
      </w:r>
      <w:r>
        <w:rPr/>
        <w:fldChar w:fldCharType="end"/>
      </w:r>
      <w:r>
        <w:t xml:space="preserve"> (Accessed: 30 April 2026).</w:t>
      </w:r>
    </w:p>
    <w:p>
      <w:pPr>
        <w:pStyle w:val="style0"/>
        <w:rPr/>
      </w:pPr>
      <w:r>
        <w:t>Schön</w:t>
      </w:r>
      <w:r>
        <w:t xml:space="preserve">, D.A. (1983) </w:t>
      </w:r>
      <w:r>
        <w:rPr>
          <w:i/>
          <w:iCs/>
        </w:rPr>
        <w:t>The reflective practitioner: How professionals think in action</w:t>
      </w:r>
      <w:r>
        <w:t>. New York: Basic Books.</w:t>
      </w:r>
    </w:p>
    <w:p>
      <w:pPr>
        <w:pStyle w:val="style0"/>
        <w:rPr/>
      </w:pPr>
      <w:r>
        <w:t xml:space="preserve">Schulze, A., MacDuffie, J.P. and </w:t>
      </w:r>
      <w:r>
        <w:t>Täube</w:t>
      </w:r>
      <w:r>
        <w:t xml:space="preserve">, F. (2015) ‘Introduction: knowledge generation and innovation diffusion in the global automotive industry—change and stability during </w:t>
      </w:r>
      <w:r>
        <w:t xml:space="preserve">turbulent times’, </w:t>
      </w:r>
      <w:r>
        <w:rPr>
          <w:i/>
          <w:iCs/>
        </w:rPr>
        <w:t>Industrial and Corporate Change</w:t>
      </w:r>
      <w:r>
        <w:t xml:space="preserve">, 24(3), pp. 603–611. Available at: </w:t>
      </w:r>
      <w:r>
        <w:rPr/>
        <w:fldChar w:fldCharType="begin"/>
      </w:r>
      <w:r>
        <w:instrText xml:space="preserve"> HYPERLINK "https://doi.org/10.1093/icc/dtv015" \t "_new" </w:instrText>
      </w:r>
      <w:r>
        <w:rPr/>
        <w:fldChar w:fldCharType="separate"/>
      </w:r>
      <w:r>
        <w:rPr>
          <w:rStyle w:val="style85"/>
        </w:rPr>
        <w:t>https://doi.org/10.1093/icc/dtv015</w:t>
      </w:r>
      <w:r>
        <w:rPr/>
        <w:fldChar w:fldCharType="end"/>
      </w:r>
      <w:r>
        <w:t xml:space="preserve"> (Accessed: 30 April 2026).</w:t>
      </w:r>
    </w:p>
    <w:p>
      <w:pPr>
        <w:pStyle w:val="style0"/>
        <w:rPr/>
      </w:pPr>
      <w:r>
        <w:t xml:space="preserve">Shen, B. (2023) ‘Competitive strategies for OTA services: Adapting the strategic clock for Tesla’, </w:t>
      </w:r>
      <w:r>
        <w:rPr>
          <w:i/>
          <w:iCs/>
        </w:rPr>
        <w:t>Highlights in Business Economics and Management</w:t>
      </w:r>
      <w:r>
        <w:t xml:space="preserve">, 11, pp. 26–32. Available at: </w:t>
      </w:r>
      <w:r>
        <w:rPr/>
        <w:fldChar w:fldCharType="begin"/>
      </w:r>
      <w:r>
        <w:instrText xml:space="preserve"> HYPERLINK "https://doi.org/10.54097/hbem.v11i.7937" \t "_new" </w:instrText>
      </w:r>
      <w:r>
        <w:rPr/>
        <w:fldChar w:fldCharType="separate"/>
      </w:r>
      <w:r>
        <w:rPr>
          <w:rStyle w:val="style85"/>
        </w:rPr>
        <w:t>https://doi.org/10.54097/hbem.v11i.7937</w:t>
      </w:r>
      <w:r>
        <w:rPr/>
        <w:fldChar w:fldCharType="end"/>
      </w:r>
    </w:p>
    <w:p>
      <w:pPr>
        <w:pStyle w:val="style0"/>
        <w:rPr/>
      </w:pPr>
      <w:r>
        <w:t xml:space="preserve">Sun, Z. (2024) ‘Tesla’s electric future: a comprehensive marketing strategy analysis and implementation plan’, </w:t>
      </w:r>
      <w:r>
        <w:rPr>
          <w:i/>
          <w:iCs/>
        </w:rPr>
        <w:t>Frontiers in Economics</w:t>
      </w:r>
      <w:r>
        <w:t xml:space="preserve">, 1(9). Available at: </w:t>
      </w:r>
      <w:r>
        <w:rPr/>
        <w:fldChar w:fldCharType="begin"/>
      </w:r>
      <w:r>
        <w:instrText xml:space="preserve"> HYPERLINK "https://doi.org/10.61173/3nnc0k35" \t "_new" </w:instrText>
      </w:r>
      <w:r>
        <w:rPr/>
        <w:fldChar w:fldCharType="separate"/>
      </w:r>
      <w:r>
        <w:rPr>
          <w:rStyle w:val="style85"/>
        </w:rPr>
        <w:t>https://doi.org/10.61173/3nnc0k35</w:t>
      </w:r>
      <w:r>
        <w:rPr/>
        <w:fldChar w:fldCharType="end"/>
      </w:r>
      <w:r>
        <w:t xml:space="preserve"> (Accessed: 30 April 2026).</w:t>
      </w:r>
    </w:p>
    <w:p>
      <w:pPr>
        <w:pStyle w:val="style0"/>
        <w:rPr>
          <w:lang w:val="en-US"/>
        </w:rPr>
      </w:pPr>
      <w:r>
        <w:t xml:space="preserve">Tang, Y. (2023) ‘Tesla’s pioneering role in the new energy vehicle industry: Strategies for success’, </w:t>
      </w:r>
      <w:r>
        <w:rPr>
          <w:i/>
          <w:iCs/>
        </w:rPr>
        <w:t>Highlights in Business Economics and Management</w:t>
      </w:r>
      <w:r>
        <w:t xml:space="preserve">, 23, pp. 988–991. Available at: </w:t>
      </w:r>
      <w:r>
        <w:rPr/>
        <w:fldChar w:fldCharType="begin"/>
      </w:r>
      <w:r>
        <w:instrText xml:space="preserve"> HYPERLINK "https://doi.org/10.54097/fxhd6327" \t "_new" </w:instrText>
      </w:r>
      <w:r>
        <w:rPr/>
        <w:fldChar w:fldCharType="separate"/>
      </w:r>
      <w:r>
        <w:rPr>
          <w:rStyle w:val="style85"/>
        </w:rPr>
        <w:t>https://doi.org/10.54097/fxhd6327</w:t>
      </w:r>
      <w:r>
        <w:rPr/>
        <w:fldChar w:fldCharType="end"/>
      </w:r>
    </w:p>
    <w:p>
      <w:pPr>
        <w:pStyle w:val="style0"/>
        <w:rPr/>
      </w:pPr>
      <w:r>
        <w:t>Tingkes</w:t>
      </w:r>
      <w:r>
        <w:t xml:space="preserve">, I.N. (2022) ‘The performance of the </w:t>
      </w:r>
      <w:r>
        <w:t>Tirta</w:t>
      </w:r>
      <w:r>
        <w:t xml:space="preserve"> </w:t>
      </w:r>
      <w:r>
        <w:t>Mangutama</w:t>
      </w:r>
      <w:r>
        <w:t xml:space="preserve"> clean water public company </w:t>
      </w:r>
      <w:r>
        <w:t>Badung</w:t>
      </w:r>
      <w:r>
        <w:t xml:space="preserve">, Bali, Indonesia’, </w:t>
      </w:r>
      <w:r>
        <w:rPr>
          <w:i/>
          <w:iCs/>
        </w:rPr>
        <w:t>International Journal of Current Science Research and Review</w:t>
      </w:r>
      <w:r>
        <w:t xml:space="preserve">, 5(4). Available at: </w:t>
      </w:r>
      <w:r>
        <w:rPr/>
        <w:fldChar w:fldCharType="begin"/>
      </w:r>
      <w:r>
        <w:instrText xml:space="preserve"> HYPERLINK "https://doi.org/10.47191/ijcsrr/v5-i4-39" \t "_new" </w:instrText>
      </w:r>
      <w:r>
        <w:rPr/>
        <w:fldChar w:fldCharType="separate"/>
      </w:r>
      <w:r>
        <w:rPr>
          <w:rStyle w:val="style85"/>
        </w:rPr>
        <w:t>https://doi.org/10.47191/ijcsrr/v5-i4-39</w:t>
      </w:r>
      <w:r>
        <w:rPr/>
        <w:fldChar w:fldCharType="end"/>
      </w:r>
      <w:r>
        <w:t xml:space="preserve"> (Accessed: 30 April 2026).</w:t>
      </w:r>
    </w:p>
    <w:p>
      <w:pPr>
        <w:pStyle w:val="style0"/>
        <w:rPr/>
      </w:pPr>
      <w:r>
        <w:t xml:space="preserve">Wang, Z. (2024) ‘A case study: Tesla’s acquisition of </w:t>
      </w:r>
      <w:r>
        <w:t>SolarCity</w:t>
      </w:r>
      <w:r>
        <w:t xml:space="preserve">’, </w:t>
      </w:r>
      <w:r>
        <w:rPr>
          <w:i/>
          <w:iCs/>
        </w:rPr>
        <w:t>Highlights in Business, Economics and Management</w:t>
      </w:r>
      <w:r>
        <w:t xml:space="preserve">, 30, pp. 29–37. Available at: </w:t>
      </w:r>
      <w:r>
        <w:rPr/>
        <w:fldChar w:fldCharType="begin"/>
      </w:r>
      <w:r>
        <w:instrText xml:space="preserve"> HYPERLINK "https://doi.org/10.54097/5yqdv982" \t "_new" </w:instrText>
      </w:r>
      <w:r>
        <w:rPr/>
        <w:fldChar w:fldCharType="separate"/>
      </w:r>
      <w:r>
        <w:rPr>
          <w:rStyle w:val="style85"/>
        </w:rPr>
        <w:t>https://doi.org/10.54097/5yqdv982</w:t>
      </w:r>
      <w:r>
        <w:rPr/>
        <w:fldChar w:fldCharType="end"/>
      </w:r>
      <w:r>
        <w:t xml:space="preserve"> (Accessed: 30 April 2026).</w:t>
      </w:r>
    </w:p>
    <w:p>
      <w:pPr>
        <w:pStyle w:val="style0"/>
        <w:rPr/>
      </w:pPr>
      <w:r>
        <w:t xml:space="preserve">Wei, Z. (2024) ‘A financial analysis and valuation of Tesla’, </w:t>
      </w:r>
      <w:r>
        <w:rPr>
          <w:i/>
          <w:iCs/>
        </w:rPr>
        <w:t>Advances in Economics, Management and Political Sciences</w:t>
      </w:r>
      <w:r>
        <w:t xml:space="preserve">, 102(1), pp. 240–245. Available at: </w:t>
      </w:r>
      <w:r>
        <w:rPr/>
        <w:fldChar w:fldCharType="begin"/>
      </w:r>
      <w:r>
        <w:instrText xml:space="preserve"> HYPERLINK "https://doi.org/10.54254/2754-1169/102/2024ed0086" \t "_new" </w:instrText>
      </w:r>
      <w:r>
        <w:rPr/>
        <w:fldChar w:fldCharType="separate"/>
      </w:r>
      <w:r>
        <w:rPr>
          <w:rStyle w:val="style85"/>
        </w:rPr>
        <w:t>https://doi.org/10.54254/2754-1169/102/2024ed0086</w:t>
      </w:r>
      <w:r>
        <w:rPr/>
        <w:fldChar w:fldCharType="end"/>
      </w:r>
      <w:r>
        <w:t xml:space="preserve"> (Accessed: 30 April 2026).</w:t>
      </w:r>
    </w:p>
    <w:p>
      <w:pPr>
        <w:pStyle w:val="style0"/>
        <w:rPr/>
      </w:pPr>
      <w:r>
        <w:t xml:space="preserve">Xiang, J. (2024) ‘Implications of Tesla’s supply chain management model for businesses’, </w:t>
      </w:r>
      <w:r>
        <w:rPr>
          <w:i/>
          <w:iCs/>
        </w:rPr>
        <w:t>Advances in Economics, Management and Political Sciences</w:t>
      </w:r>
      <w:r>
        <w:t xml:space="preserve">, 86(1), pp. 219–224. Available at: </w:t>
      </w:r>
      <w:r>
        <w:rPr/>
        <w:fldChar w:fldCharType="begin"/>
      </w:r>
      <w:r>
        <w:instrText xml:space="preserve"> HYPERLINK "https://doi.org/10.54254/2754-1169/86/20241006" \t "_new" </w:instrText>
      </w:r>
      <w:r>
        <w:rPr/>
        <w:fldChar w:fldCharType="separate"/>
      </w:r>
      <w:r>
        <w:rPr>
          <w:rStyle w:val="style85"/>
        </w:rPr>
        <w:t>https://doi.org/10.54254/2754-1169/86/20241006</w:t>
      </w:r>
      <w:r>
        <w:rPr/>
        <w:fldChar w:fldCharType="end"/>
      </w:r>
      <w:r>
        <w:t xml:space="preserve"> (Accessed: 30 April 2026).</w:t>
      </w:r>
    </w:p>
    <w:p>
      <w:pPr>
        <w:pStyle w:val="style0"/>
        <w:rPr/>
      </w:pPr>
      <w:r>
        <w:t xml:space="preserve">Zheng, S. (2024) ‘Analysis of Tesla’s sustainable supply chain management’, </w:t>
      </w:r>
      <w:r>
        <w:rPr>
          <w:i/>
          <w:iCs/>
        </w:rPr>
        <w:t>Advances in Economics, Management and Political Sciences</w:t>
      </w:r>
      <w:r>
        <w:t xml:space="preserve">, 84(1), pp. 49–55. Available at: </w:t>
      </w:r>
      <w:r>
        <w:rPr/>
        <w:fldChar w:fldCharType="begin"/>
      </w:r>
      <w:r>
        <w:instrText xml:space="preserve"> HYPERLINK "https://doi.org/10.54254/2754-1169/84/20240780" \t "_new" </w:instrText>
      </w:r>
      <w:r>
        <w:rPr/>
        <w:fldChar w:fldCharType="separate"/>
      </w:r>
      <w:r>
        <w:rPr>
          <w:rStyle w:val="style85"/>
        </w:rPr>
        <w:t>https://doi.org/10.54254/2754-1169/84/20240780</w:t>
      </w:r>
      <w:r>
        <w:rPr/>
        <w:fldChar w:fldCharType="end"/>
      </w:r>
      <w:r>
        <w:t xml:space="preserve"> (Accessed: 30 April 2026).</w:t>
      </w:r>
    </w:p>
    <w:p>
      <w:pPr>
        <w:pStyle w:val="style0"/>
        <w:rPr/>
      </w:pPr>
      <w:r>
        <w:t xml:space="preserve">Zhou, X. (2024) ‘ESG “greenwashing” case analysis’, </w:t>
      </w:r>
      <w:r>
        <w:rPr>
          <w:i/>
          <w:iCs/>
        </w:rPr>
        <w:t>Frontiers in Business, Economics and Management</w:t>
      </w:r>
      <w:r>
        <w:t xml:space="preserve">, 17(2), pp. 442–449. Available at: </w:t>
      </w:r>
      <w:r>
        <w:rPr/>
        <w:fldChar w:fldCharType="begin"/>
      </w:r>
      <w:r>
        <w:instrText xml:space="preserve"> HYPERLINK "https://doi.org/10.54097/19x6s270" \t "_new" </w:instrText>
      </w:r>
      <w:r>
        <w:rPr/>
        <w:fldChar w:fldCharType="separate"/>
      </w:r>
      <w:r>
        <w:rPr>
          <w:rStyle w:val="style85"/>
        </w:rPr>
        <w:t>https://doi.org/10.54097/19x6s270</w:t>
      </w:r>
      <w:r>
        <w:rPr/>
        <w:fldChar w:fldCharType="end"/>
      </w:r>
      <w:r>
        <w:t xml:space="preserve"> (Accessed: 30 April 2026).</w:t>
      </w:r>
    </w:p>
    <w:sectPr>
      <w:footerReference w:type="default" r:id="rId4"/>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Aptos">
    <w:altName w:val="Arial"/>
    <w:panose1 w:val="00000000000000000000"/>
    <w:charset w:val="00"/>
    <w:family w:val="swiss"/>
    <w:pitch w:val="variable"/>
    <w:sig w:usb0="20000287" w:usb1="00000003" w:usb2="00000000" w:usb3="00000000" w:csb0="0000019F" w:csb1="00000000"/>
  </w:font>
  <w:font w:name="Aptos Display">
    <w:altName w:val="Arial"/>
    <w:panose1 w:val="00000000000000000000"/>
    <w:charset w:val="00"/>
    <w:family w:val="swiss"/>
    <w:pitch w:val="variable"/>
    <w:sig w:usb0="20000287" w:usb1="00000003" w:usb2="00000000" w:usb3="00000000" w:csb0="0000019F" w:csb1="00000000"/>
  </w:font>
  <w:font w:name="Cambria Math">
    <w:altName w:val="Cambria Math"/>
    <w:panose1 w:val="02040503050004030204"/>
    <w:charset w:val="00"/>
    <w:family w:val="roman"/>
    <w:pitch w:val="variable"/>
    <w:sig w:usb0="E00006FF" w:usb1="420024FF" w:usb2="02000000" w:usb3="00000000" w:csb0="0000019F" w:csb1="00000000"/>
  </w:font>
  <w:font w:name="宋体">
    <w:altName w:val="Wingdings 2"/>
    <w:panose1 w:val="05020102010007070707"/>
    <w:charset w:val="02"/>
    <w:family w:val="roman"/>
    <w:pitch w:val="default"/>
    <w:sig w:usb0="00000000" w:usb1="10000000" w:usb2="00000000" w:usb3="00000000" w:csb0="80000000"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t xml:space="preserve">Page </w:t>
    </w:r>
    <w:r>
      <w:rPr>
        <w:b/>
        <w:bCs/>
      </w:rPr>
      <w:fldChar w:fldCharType="begin"/>
    </w:r>
    <w:r>
      <w:rPr>
        <w:b/>
        <w:bCs/>
      </w:rPr>
      <w:instrText xml:space="preserve"> PAGE </w:instrText>
    </w:r>
    <w:r>
      <w:rPr>
        <w:b/>
        <w:bCs/>
      </w:rPr>
      <w:fldChar w:fldCharType="separate"/>
    </w:r>
    <w:r>
      <w:rPr>
        <w:b/>
        <w:bCs/>
        <w:noProof/>
      </w:rPr>
      <w:t>21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24</w:t>
    </w:r>
    <w:r>
      <w:rPr>
        <w:b/>
        <w:bCs/>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E56921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A8AC7A4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F3FA4B3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401CDE96"/>
    <w:lvl w:ilvl="0">
      <w:start w:val="1"/>
      <w:numFmt w:val="decimal"/>
      <w:lvlText w:val="%1."/>
      <w:lvlJc w:val="left"/>
      <w:pPr>
        <w:ind w:left="567" w:hanging="567"/>
      </w:pPr>
      <w:rPr>
        <w:rFonts w:ascii="Arial" w:hAnsi="Arial"/>
        <w:b/>
        <w:i w:val="false"/>
        <w:color w:val="302683"/>
        <w:sz w:val="44"/>
        <w:u w:val="none" w:color="00b3e1"/>
      </w:rPr>
    </w:lvl>
    <w:lvl w:ilvl="1">
      <w:start w:val="1"/>
      <w:numFmt w:val="none"/>
      <w:lvlText w:val="%2"/>
      <w:lvlJc w:val="left"/>
      <w:pPr/>
    </w:lvl>
    <w:lvl w:ilvl="2">
      <w:start w:val="1"/>
      <w:numFmt w:val="none"/>
      <w:lvlText w:val="%3"/>
      <w:lvlJc w:val="left"/>
      <w:pPr/>
    </w:lvl>
    <w:lvl w:ilvl="3">
      <w:start w:val="1"/>
      <w:numFmt w:val="none"/>
      <w:lvlText w:val="%4"/>
      <w:lvlJc w:val="left"/>
      <w:pPr/>
    </w:lvl>
    <w:lvl w:ilvl="4">
      <w:start w:val="1"/>
      <w:numFmt w:val="none"/>
      <w:lvlText w:val="%5"/>
      <w:lvlJc w:val="left"/>
      <w:pPr/>
    </w:lvl>
    <w:lvl w:ilvl="5">
      <w:start w:val="1"/>
      <w:numFmt w:val="none"/>
      <w:lvlText w:val="%6"/>
      <w:lvlJc w:val="left"/>
      <w:pPr/>
    </w:lvl>
    <w:lvl w:ilvl="6">
      <w:start w:val="1"/>
      <w:numFmt w:val="none"/>
      <w:lvlText w:val=""/>
      <w:lvlJc w:val="left"/>
      <w:pPr/>
    </w:lvl>
    <w:lvl w:ilvl="7">
      <w:start w:val="1"/>
      <w:numFmt w:val="none"/>
      <w:lvlText w:val=""/>
      <w:lvlJc w:val="left"/>
      <w:pPr/>
    </w:lvl>
    <w:lvl w:ilvl="8">
      <w:start w:val="1"/>
      <w:numFmt w:val="none"/>
      <w:lvlText w:val=""/>
      <w:lvlJc w:val="left"/>
      <w:pPr/>
    </w:lvl>
  </w:abstractNum>
  <w:abstractNum w:abstractNumId="4">
    <w:nsid w:val="00000004"/>
    <w:multiLevelType w:val="multilevel"/>
    <w:tmpl w:val="B13CB99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5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Arial" w:eastAsia="Aptos" w:hAnsi="Aptos"/>
        <w:kern w:val="2"/>
        <w:sz w:val="24"/>
        <w:szCs w:val="24"/>
        <w:lang w:val="en-GB"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lineRule="auto" w:line="360"/>
      <w:jc w:val="both"/>
    </w:pPr>
    <w:rPr>
      <w:rFonts w:ascii="Arial" w:hAnsi="Arial"/>
    </w:rPr>
  </w:style>
  <w:style w:type="paragraph" w:styleId="style1">
    <w:name w:val="heading 1"/>
    <w:basedOn w:val="style0"/>
    <w:next w:val="style0"/>
    <w:link w:val="style4097"/>
    <w:qFormat/>
    <w:uiPriority w:val="9"/>
    <w:pPr>
      <w:keepNext/>
      <w:keepLines/>
      <w:spacing w:before="360" w:after="80"/>
      <w:outlineLvl w:val="0"/>
    </w:pPr>
    <w:rPr>
      <w:rFonts w:cs="Times New Roman" w:eastAsia="宋体"/>
      <w:b/>
      <w:sz w:val="32"/>
      <w:szCs w:val="40"/>
      <w:u w:val="single"/>
    </w:rPr>
  </w:style>
  <w:style w:type="paragraph" w:styleId="style2">
    <w:name w:val="heading 2"/>
    <w:basedOn w:val="style0"/>
    <w:next w:val="style0"/>
    <w:link w:val="style4098"/>
    <w:qFormat/>
    <w:uiPriority w:val="9"/>
    <w:pPr>
      <w:keepNext/>
      <w:keepLines/>
      <w:spacing w:before="160" w:after="80"/>
      <w:outlineLvl w:val="1"/>
    </w:pPr>
    <w:rPr>
      <w:rFonts w:cs="Times New Roman" w:eastAsia="宋体"/>
      <w:b/>
      <w:sz w:val="28"/>
      <w:szCs w:val="32"/>
    </w:rPr>
  </w:style>
  <w:style w:type="paragraph" w:styleId="style3">
    <w:name w:val="heading 3"/>
    <w:basedOn w:val="style0"/>
    <w:next w:val="style0"/>
    <w:link w:val="style4099"/>
    <w:qFormat/>
    <w:uiPriority w:val="9"/>
    <w:pPr>
      <w:keepNext/>
      <w:keepLines/>
      <w:spacing w:before="160" w:after="80"/>
      <w:outlineLvl w:val="2"/>
    </w:pPr>
    <w:rPr>
      <w:rFonts w:ascii="Aptos" w:cs="Times New Roman" w:eastAsia="宋体" w:hAnsi="Aptos"/>
      <w:color w:val="2e74b5"/>
      <w:sz w:val="28"/>
      <w:szCs w:val="28"/>
    </w:rPr>
  </w:style>
  <w:style w:type="paragraph" w:styleId="style4">
    <w:name w:val="heading 4"/>
    <w:basedOn w:val="style0"/>
    <w:next w:val="style0"/>
    <w:link w:val="style4100"/>
    <w:qFormat/>
    <w:uiPriority w:val="9"/>
    <w:pPr>
      <w:keepNext/>
      <w:keepLines/>
      <w:spacing w:before="80" w:after="40"/>
      <w:outlineLvl w:val="3"/>
    </w:pPr>
    <w:rPr>
      <w:rFonts w:ascii="Aptos" w:cs="Times New Roman" w:eastAsia="宋体" w:hAnsi="Aptos"/>
      <w:i/>
      <w:iCs/>
      <w:color w:val="2e74b5"/>
    </w:rPr>
  </w:style>
  <w:style w:type="paragraph" w:styleId="style5">
    <w:name w:val="heading 5"/>
    <w:basedOn w:val="style0"/>
    <w:next w:val="style0"/>
    <w:link w:val="style4101"/>
    <w:qFormat/>
    <w:uiPriority w:val="9"/>
    <w:pPr>
      <w:keepNext/>
      <w:keepLines/>
      <w:spacing w:before="80" w:after="40"/>
      <w:outlineLvl w:val="4"/>
    </w:pPr>
    <w:rPr>
      <w:rFonts w:ascii="Aptos" w:cs="Times New Roman" w:eastAsia="宋体" w:hAnsi="Aptos"/>
      <w:color w:val="2e74b5"/>
    </w:rPr>
  </w:style>
  <w:style w:type="paragraph" w:styleId="style6">
    <w:name w:val="heading 6"/>
    <w:basedOn w:val="style0"/>
    <w:next w:val="style0"/>
    <w:link w:val="style4102"/>
    <w:qFormat/>
    <w:uiPriority w:val="9"/>
    <w:pPr>
      <w:keepNext/>
      <w:keepLines/>
      <w:spacing w:before="40" w:after="0"/>
      <w:outlineLvl w:val="5"/>
    </w:pPr>
    <w:rPr>
      <w:rFonts w:ascii="Aptos" w:cs="Times New Roman" w:eastAsia="宋体" w:hAnsi="Aptos"/>
      <w:i/>
      <w:iCs/>
      <w:color w:val="595959"/>
    </w:rPr>
  </w:style>
  <w:style w:type="paragraph" w:styleId="style7">
    <w:name w:val="heading 7"/>
    <w:basedOn w:val="style0"/>
    <w:next w:val="style0"/>
    <w:link w:val="style4103"/>
    <w:qFormat/>
    <w:uiPriority w:val="9"/>
    <w:pPr>
      <w:keepNext/>
      <w:keepLines/>
      <w:spacing w:before="40" w:after="0"/>
      <w:outlineLvl w:val="6"/>
    </w:pPr>
    <w:rPr>
      <w:rFonts w:ascii="Aptos" w:cs="Times New Roman" w:eastAsia="宋体" w:hAnsi="Aptos"/>
      <w:color w:val="595959"/>
    </w:rPr>
  </w:style>
  <w:style w:type="paragraph" w:styleId="style8">
    <w:name w:val="heading 8"/>
    <w:basedOn w:val="style0"/>
    <w:next w:val="style0"/>
    <w:link w:val="style4104"/>
    <w:qFormat/>
    <w:uiPriority w:val="9"/>
    <w:pPr>
      <w:keepNext/>
      <w:keepLines/>
      <w:spacing w:after="0"/>
      <w:outlineLvl w:val="7"/>
    </w:pPr>
    <w:rPr>
      <w:rFonts w:ascii="Aptos" w:cs="Times New Roman" w:eastAsia="宋体" w:hAnsi="Aptos"/>
      <w:i/>
      <w:iCs/>
      <w:color w:val="272727"/>
    </w:rPr>
  </w:style>
  <w:style w:type="paragraph" w:styleId="style9">
    <w:name w:val="heading 9"/>
    <w:basedOn w:val="style0"/>
    <w:next w:val="style0"/>
    <w:link w:val="style4105"/>
    <w:qFormat/>
    <w:uiPriority w:val="9"/>
    <w:pPr>
      <w:keepNext/>
      <w:keepLines/>
      <w:spacing w:after="0"/>
      <w:outlineLvl w:val="8"/>
    </w:pPr>
    <w:rPr>
      <w:rFonts w:ascii="Aptos" w:cs="Times New Roman" w:eastAsia="宋体"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ecefc6c1-031e-4ba1-8969-509bcec6391a"/>
    <w:basedOn w:val="style65"/>
    <w:next w:val="style4097"/>
    <w:link w:val="style1"/>
    <w:uiPriority w:val="9"/>
    <w:rPr>
      <w:rFonts w:ascii="Arial" w:cs="Times New Roman" w:eastAsia="宋体" w:hAnsi="Arial"/>
      <w:b/>
      <w:sz w:val="32"/>
      <w:szCs w:val="40"/>
      <w:u w:val="single"/>
    </w:rPr>
  </w:style>
  <w:style w:type="character" w:customStyle="1" w:styleId="style4098">
    <w:name w:val="Heading 2 Char_b9e80c60-466c-4477-9e2e-1a932b466629"/>
    <w:basedOn w:val="style65"/>
    <w:next w:val="style4098"/>
    <w:link w:val="style2"/>
    <w:uiPriority w:val="9"/>
    <w:rPr>
      <w:rFonts w:ascii="Arial" w:cs="Times New Roman" w:eastAsia="宋体" w:hAnsi="Arial"/>
      <w:b/>
      <w:sz w:val="28"/>
      <w:szCs w:val="32"/>
    </w:rPr>
  </w:style>
  <w:style w:type="character" w:customStyle="1" w:styleId="style4099">
    <w:name w:val="Heading 3 Char_063ad2b2-e1d5-433e-b4e4-e34947a3e761"/>
    <w:basedOn w:val="style65"/>
    <w:next w:val="style4099"/>
    <w:link w:val="style3"/>
    <w:uiPriority w:val="9"/>
    <w:rPr>
      <w:rFonts w:cs="Times New Roman" w:eastAsia="宋体"/>
      <w:color w:val="2e74b5"/>
      <w:sz w:val="28"/>
      <w:szCs w:val="28"/>
    </w:rPr>
  </w:style>
  <w:style w:type="character" w:customStyle="1" w:styleId="style4100">
    <w:name w:val="Heading 4 Char_23007102-388c-4b8f-8e1a-11fc2a6e7278"/>
    <w:basedOn w:val="style65"/>
    <w:next w:val="style4100"/>
    <w:link w:val="style4"/>
    <w:uiPriority w:val="9"/>
    <w:rPr>
      <w:rFonts w:cs="Times New Roman" w:eastAsia="宋体"/>
      <w:i/>
      <w:iCs/>
      <w:color w:val="2e74b5"/>
    </w:rPr>
  </w:style>
  <w:style w:type="character" w:customStyle="1" w:styleId="style4101">
    <w:name w:val="Heading 5 Char_f6481999-c082-4de2-89d7-bd4fa10fd003"/>
    <w:basedOn w:val="style65"/>
    <w:next w:val="style4101"/>
    <w:link w:val="style5"/>
    <w:uiPriority w:val="9"/>
    <w:rPr>
      <w:rFonts w:cs="Times New Roman" w:eastAsia="宋体"/>
      <w:color w:val="2e74b5"/>
    </w:rPr>
  </w:style>
  <w:style w:type="character" w:customStyle="1" w:styleId="style4102">
    <w:name w:val="Heading 6 Char_7576098f-95d9-4596-9966-cd23495f676b"/>
    <w:basedOn w:val="style65"/>
    <w:next w:val="style4102"/>
    <w:link w:val="style6"/>
    <w:uiPriority w:val="9"/>
    <w:rPr>
      <w:rFonts w:cs="Times New Roman" w:eastAsia="宋体"/>
      <w:i/>
      <w:iCs/>
      <w:color w:val="595959"/>
    </w:rPr>
  </w:style>
  <w:style w:type="character" w:customStyle="1" w:styleId="style4103">
    <w:name w:val="Heading 7 Char_78656cd5-9084-4473-8930-2f0768d700c4"/>
    <w:basedOn w:val="style65"/>
    <w:next w:val="style4103"/>
    <w:link w:val="style7"/>
    <w:uiPriority w:val="9"/>
    <w:rPr>
      <w:rFonts w:cs="Times New Roman" w:eastAsia="宋体"/>
      <w:color w:val="595959"/>
    </w:rPr>
  </w:style>
  <w:style w:type="character" w:customStyle="1" w:styleId="style4104">
    <w:name w:val="Heading 8 Char_065f29d8-07c9-429c-af2c-0c3d37ad51fb"/>
    <w:basedOn w:val="style65"/>
    <w:next w:val="style4104"/>
    <w:link w:val="style8"/>
    <w:uiPriority w:val="9"/>
    <w:rPr>
      <w:rFonts w:cs="Times New Roman" w:eastAsia="宋体"/>
      <w:i/>
      <w:iCs/>
      <w:color w:val="272727"/>
    </w:rPr>
  </w:style>
  <w:style w:type="character" w:customStyle="1" w:styleId="style4105">
    <w:name w:val="Heading 9 Char_444acded-5b5e-41cd-aac0-993ab1ecc8d2"/>
    <w:basedOn w:val="style65"/>
    <w:next w:val="style4105"/>
    <w:link w:val="style9"/>
    <w:uiPriority w:val="9"/>
    <w:rPr>
      <w:rFonts w:cs="Times New Roman" w:eastAsia="宋体"/>
      <w:color w:val="272727"/>
    </w:rPr>
  </w:style>
  <w:style w:type="paragraph" w:styleId="style62">
    <w:name w:val="Title"/>
    <w:basedOn w:val="style0"/>
    <w:next w:val="style0"/>
    <w:link w:val="style4106"/>
    <w:qFormat/>
    <w:uiPriority w:val="10"/>
    <w:pPr>
      <w:spacing w:after="80" w:lineRule="auto" w:line="240"/>
      <w:contextualSpacing/>
    </w:pPr>
    <w:rPr>
      <w:rFonts w:ascii="Aptos Display" w:cs="Times New Roman" w:eastAsia="宋体" w:hAnsi="Aptos Display"/>
      <w:spacing w:val="-10"/>
      <w:kern w:val="28"/>
      <w:sz w:val="56"/>
      <w:szCs w:val="56"/>
    </w:rPr>
  </w:style>
  <w:style w:type="character" w:customStyle="1" w:styleId="style4106">
    <w:name w:val="Title Char_9fd32cef-ba7c-423d-bf02-5f0c4f5db58a"/>
    <w:basedOn w:val="style65"/>
    <w:next w:val="style4106"/>
    <w:link w:val="style62"/>
    <w:uiPriority w:val="10"/>
    <w:rPr>
      <w:rFonts w:ascii="Aptos Display" w:cs="Times New Roman"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ascii="Aptos" w:cs="Times New Roman" w:eastAsia="宋体" w:hAnsi="Aptos"/>
      <w:color w:val="595959"/>
      <w:spacing w:val="15"/>
      <w:sz w:val="28"/>
      <w:szCs w:val="28"/>
    </w:rPr>
  </w:style>
  <w:style w:type="character" w:customStyle="1" w:styleId="style4107">
    <w:name w:val="Subtitle Char"/>
    <w:basedOn w:val="style65"/>
    <w:next w:val="style4107"/>
    <w:link w:val="style74"/>
    <w:uiPriority w:val="11"/>
    <w:rPr>
      <w:rFonts w:cs="Times New Roman" w:eastAsia="宋体"/>
      <w:color w:val="595959"/>
      <w:spacing w:val="15"/>
      <w:sz w:val="28"/>
      <w:szCs w:val="28"/>
    </w:rPr>
  </w:style>
  <w:style w:type="character" w:styleId="style87">
    <w:name w:val="Strong"/>
    <w:basedOn w:val="style65"/>
    <w:next w:val="style87"/>
    <w:qFormat/>
    <w:uiPriority w:val="22"/>
    <w:rPr>
      <w:b/>
      <w:bCs/>
    </w:rPr>
  </w:style>
  <w:style w:type="paragraph" w:styleId="style179">
    <w:name w:val="List Paragraph"/>
    <w:basedOn w:val="style0"/>
    <w:next w:val="style179"/>
    <w:qFormat/>
    <w:uiPriority w:val="34"/>
    <w:pPr>
      <w:ind w:left="720"/>
      <w:contextualSpacing/>
    </w:pPr>
    <w:rPr/>
  </w:style>
  <w:style w:type="paragraph" w:styleId="style180">
    <w:name w:val="Quote"/>
    <w:basedOn w:val="style0"/>
    <w:next w:val="style0"/>
    <w:link w:val="style4108"/>
    <w:qFormat/>
    <w:uiPriority w:val="29"/>
    <w:pPr>
      <w:spacing w:before="160"/>
      <w:jc w:val="center"/>
    </w:pPr>
    <w:rPr>
      <w:rFonts w:ascii="Aptos" w:hAnsi="Aptos"/>
      <w:i/>
      <w:iCs/>
      <w:color w:val="404040"/>
    </w:rPr>
  </w:style>
  <w:style w:type="character" w:customStyle="1" w:styleId="style4108">
    <w:name w:val="Quote Char_8ee540d7-ea5e-4d98-988e-08ca524aacc8"/>
    <w:basedOn w:val="style65"/>
    <w:next w:val="style4108"/>
    <w:link w:val="style180"/>
    <w:uiPriority w:val="29"/>
    <w:rPr>
      <w:i/>
      <w:iCs/>
      <w:color w:val="404040"/>
    </w:rPr>
  </w:style>
  <w:style w:type="paragraph" w:styleId="style181">
    <w:name w:val="Intense Quote"/>
    <w:basedOn w:val="style0"/>
    <w:next w:val="style0"/>
    <w:link w:val="style4109"/>
    <w:qFormat/>
    <w:uiPriority w:val="30"/>
    <w:pPr>
      <w:pBdr>
        <w:top w:val="single" w:sz="4" w:space="10" w:color="2e74b5"/>
        <w:bottom w:val="single" w:sz="4" w:space="10" w:color="2e74b5"/>
      </w:pBdr>
      <w:spacing w:before="360" w:after="360"/>
      <w:ind w:left="864" w:right="864"/>
      <w:jc w:val="center"/>
    </w:pPr>
    <w:rPr>
      <w:rFonts w:ascii="Aptos" w:hAnsi="Aptos"/>
      <w:i/>
      <w:iCs/>
      <w:color w:val="2e74b5"/>
    </w:rPr>
  </w:style>
  <w:style w:type="character" w:customStyle="1" w:styleId="style4109">
    <w:name w:val="Intense Quote Char_7497fd61-3116-42b3-94aa-50531f55080b"/>
    <w:basedOn w:val="style65"/>
    <w:next w:val="style4109"/>
    <w:link w:val="style181"/>
    <w:uiPriority w:val="30"/>
    <w:rPr>
      <w:i/>
      <w:iCs/>
      <w:color w:val="2e74b5"/>
    </w:rPr>
  </w:style>
  <w:style w:type="character" w:styleId="style261">
    <w:name w:val="Intense Emphasis"/>
    <w:basedOn w:val="style65"/>
    <w:next w:val="style261"/>
    <w:qFormat/>
    <w:uiPriority w:val="21"/>
    <w:rPr>
      <w:i/>
      <w:iCs/>
      <w:color w:val="2e74b5"/>
    </w:rPr>
  </w:style>
  <w:style w:type="character" w:styleId="style263">
    <w:name w:val="Intense Reference"/>
    <w:basedOn w:val="style65"/>
    <w:next w:val="style263"/>
    <w:qFormat/>
    <w:uiPriority w:val="32"/>
    <w:rPr>
      <w:b/>
      <w:bCs/>
      <w:smallCaps/>
      <w:color w:val="2e74b5"/>
      <w:spacing w:val="5"/>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b011c24a-4d1f-4d12-be77-553260039e9e"/>
    <w:basedOn w:val="style65"/>
    <w:next w:val="style4110"/>
    <w:link w:val="style31"/>
    <w:uiPriority w:val="99"/>
    <w:rPr>
      <w:rFonts w:ascii="Times New Roman" w:hAnsi="Times New Roman"/>
    </w:rPr>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846f026d-e2ea-4a32-a063-01902911c61f"/>
    <w:basedOn w:val="style65"/>
    <w:next w:val="style4111"/>
    <w:link w:val="style32"/>
    <w:uiPriority w:val="99"/>
    <w:rPr>
      <w:rFonts w:ascii="Times New Roman" w:hAnsi="Times New Roman"/>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112">
    <w:name w:val="Grid Table 4 Accent 5"/>
    <w:basedOn w:val="style105"/>
    <w:next w:val="style4112"/>
    <w:uiPriority w:val="49"/>
    <w:pPr>
      <w:spacing w:after="0" w:lineRule="auto" w:line="240"/>
    </w:pPr>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pPr/>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pPr/>
      <w:rPr>
        <w:b/>
        <w:bCs/>
      </w:rPr>
      <w:tblPr/>
      <w:tcPr>
        <w:tcBorders>
          <w:top w:val="double" w:sz="4" w:space="0" w:color="4472c4"/>
        </w:tcBorders>
      </w:tcPr>
    </w:tblStylePr>
    <w:tblStylePr w:type="band1Horz">
      <w:pPr/>
      <w:tblPr/>
      <w:tcPr>
        <w:tcBorders/>
        <w:shd w:val="clear" w:color="auto" w:fill="d9e2f3"/>
      </w:tcPr>
    </w:tblStylePr>
    <w:tblStylePr w:type="firstCol">
      <w:pPr/>
      <w:rPr>
        <w:b/>
        <w:bCs/>
      </w:rPr>
      <w:tcPr>
        <w:tcBorders/>
      </w:tcPr>
    </w:tblStylePr>
    <w:tblStylePr w:type="lastCol">
      <w:pPr/>
      <w:rPr>
        <w:b/>
        <w:bCs/>
      </w:rPr>
      <w:tcPr>
        <w:tcBorders/>
      </w:tcPr>
    </w:tblStylePr>
    <w:tblStylePr w:type="band1Vert">
      <w:pPr/>
      <w:tblPr/>
      <w:tcPr>
        <w:tcBorders/>
        <w:shd w:val="clear" w:color="auto" w:fill="d9e2f3"/>
      </w:tcPr>
    </w:tblStylePr>
    <w:tcPr>
      <w:tcBorders/>
    </w:tcPr>
  </w:style>
  <w:style w:type="character" w:styleId="style85">
    <w:name w:val="Hyperlink"/>
    <w:basedOn w:val="style65"/>
    <w:next w:val="style85"/>
    <w:uiPriority w:val="99"/>
    <w:rPr>
      <w:color w:val="0563c1"/>
      <w:u w:val="single"/>
    </w:rPr>
  </w:style>
  <w:style w:type="character" w:styleId="style88">
    <w:name w:val="Emphasis"/>
    <w:basedOn w:val="style65"/>
    <w:next w:val="style88"/>
    <w:qFormat/>
    <w:uiPriority w:val="20"/>
    <w:rPr>
      <w:i/>
      <w:iCs/>
    </w:rPr>
  </w:style>
  <w:style w:type="paragraph" w:styleId="style266">
    <w:name w:val="TOC Heading"/>
    <w:basedOn w:val="style1"/>
    <w:next w:val="style0"/>
    <w:qFormat/>
    <w:uiPriority w:val="39"/>
    <w:pPr>
      <w:spacing w:before="240" w:after="0" w:lineRule="auto" w:line="259"/>
      <w:jc w:val="left"/>
      <w:outlineLvl w:val="9"/>
    </w:pPr>
    <w:rPr>
      <w:rFonts w:ascii="Aptos Display" w:hAnsi="Aptos Display"/>
      <w:b w:val="false"/>
      <w:color w:val="2e74b5"/>
      <w:kern w:val="0"/>
      <w:szCs w:val="32"/>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table" w:customStyle="1" w:styleId="style4113">
    <w:name w:val="Grid Table 4 Accent 3"/>
    <w:basedOn w:val="style105"/>
    <w:next w:val="style4113"/>
    <w:uiPriority w:val="49"/>
    <w:pPr>
      <w:spacing w:after="0" w:lineRule="auto" w:line="240"/>
    </w:pPr>
    <w:rPr/>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pPr/>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pPr/>
      <w:rPr>
        <w:b/>
        <w:bCs/>
      </w:rPr>
      <w:tblPr/>
      <w:tcPr>
        <w:tcBorders>
          <w:top w:val="double" w:sz="4" w:space="0" w:color="a5a5a5"/>
        </w:tcBorders>
      </w:tcPr>
    </w:tblStylePr>
    <w:tblStylePr w:type="band1Horz">
      <w:pPr/>
      <w:tblPr/>
      <w:tcPr>
        <w:tcBorders/>
        <w:shd w:val="clear" w:color="auto" w:fill="ededed"/>
      </w:tcPr>
    </w:tblStylePr>
    <w:tblStylePr w:type="firstCol">
      <w:pPr/>
      <w:rPr>
        <w:b/>
        <w:bCs/>
      </w:rPr>
      <w:tcPr>
        <w:tcBorders/>
      </w:tcPr>
    </w:tblStylePr>
    <w:tblStylePr w:type="lastCol">
      <w:pPr/>
      <w:rPr>
        <w:b/>
        <w:bCs/>
      </w:rPr>
      <w:tcPr>
        <w:tcBorders/>
      </w:tcPr>
    </w:tblStylePr>
    <w:tblStylePr w:type="band1Vert">
      <w:pPr/>
      <w:tblPr/>
      <w:tcPr>
        <w:tcBorders/>
        <w:shd w:val="clear" w:color="auto" w:fill="ededed"/>
      </w:tcPr>
    </w:tblStylePr>
    <w:tcPr>
      <w:tcBorders/>
    </w:tcPr>
  </w:style>
  <w:style w:type="character" w:customStyle="1" w:styleId="style4114">
    <w:name w:val="Unresolved Mention"/>
    <w:basedOn w:val="style65"/>
    <w:next w:val="style4114"/>
    <w:uiPriority w:val="99"/>
    <w:rPr>
      <w:color w:val="605e5c"/>
      <w:shd w:val="clear" w:color="auto" w:fill="e1dfdd"/>
    </w:r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94">
    <w:name w:val="Normal (Web)"/>
    <w:basedOn w:val="style0"/>
    <w:next w:val="style94"/>
    <w:uiPriority w:val="99"/>
    <w:pPr/>
    <w:rPr>
      <w:rFonts w:ascii="Times New Roman" w:cs="Times New Roman" w:hAnsi="Times New Roman"/>
    </w:rPr>
  </w:style>
  <w:style w:type="paragraph" w:styleId="style157">
    <w:name w:val="No Spacing"/>
    <w:next w:val="style4094"/>
    <w:qFormat/>
    <w:pPr>
      <w:spacing w:before="0" w:after="0" w:lineRule="auto" w:line="240"/>
      <w:ind w:left="0" w:right="0"/>
    </w:pPr>
    <w:rPr>
      <w:rFonts w:ascii="Times New Roman" w:cs="Times New Roman" w:eastAsia="宋体" w:hAnsi="Times New Roman"/>
      <w:kern w:val="0"/>
      <w:sz w:val="22"/>
      <w:szCs w:val="22"/>
      <w:lang w:val="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footer" Target="footer1.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BF70A-3D7C-45F6-8720-C5DA5E435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Words>6355</Words>
  <Pages>24</Pages>
  <Characters>38333</Characters>
  <Application>WPS Office</Application>
  <DocSecurity>0</DocSecurity>
  <Paragraphs>196</Paragraphs>
  <ScaleCrop>false</ScaleCrop>
  <LinksUpToDate>false</LinksUpToDate>
  <CharactersWithSpaces>44505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2026-04-30T17:42:00Z</dcterms:created>
  <dc:creator>pc</dc:creator>
  <lastModifiedBy>RMX3930</lastModifiedBy>
  <dcterms:modified xsi:type="dcterms:W3CDTF">2026-05-01T05:55:27Z</dcterms:modified>
  <revision>31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3620a14a19b44dc7bff93ecb216eaea7</vt:lpwstr>
  </property>
</Properties>
</file>