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000000"/>
          <w:spacing w:val="0"/>
          <w:position w:val="0"/>
          <w:sz w:val="72"/>
          <w:u w:val="single"/>
          <w:shd w:fill="auto" w:val="clear"/>
        </w:rPr>
      </w:pPr>
      <w:r>
        <w:rPr>
          <w:rFonts w:ascii="Calibri" w:hAnsi="Calibri" w:cs="Calibri" w:eastAsia="Calibri"/>
          <w:b/>
          <w:color w:val="000000"/>
          <w:spacing w:val="0"/>
          <w:position w:val="0"/>
          <w:sz w:val="72"/>
          <w:u w:val="single"/>
          <w:shd w:fill="auto" w:val="clear"/>
        </w:rPr>
        <w:t xml:space="preserve">BA Business Management Module:</w:t>
      </w:r>
    </w:p>
    <w:p>
      <w:pPr>
        <w:spacing w:before="0" w:after="160" w:line="259"/>
        <w:ind w:right="0" w:left="0" w:firstLine="0"/>
        <w:jc w:val="center"/>
        <w:rPr>
          <w:rFonts w:ascii="Calibri" w:hAnsi="Calibri" w:cs="Calibri" w:eastAsia="Calibri"/>
          <w:b/>
          <w:color w:val="auto"/>
          <w:spacing w:val="0"/>
          <w:position w:val="0"/>
          <w:sz w:val="72"/>
          <w:shd w:fill="auto" w:val="clear"/>
        </w:rPr>
      </w:pPr>
      <w:r>
        <w:rPr>
          <w:rFonts w:ascii="Calibri" w:hAnsi="Calibri" w:cs="Calibri" w:eastAsia="Calibri"/>
          <w:b/>
          <w:color w:val="auto"/>
          <w:spacing w:val="0"/>
          <w:position w:val="0"/>
          <w:sz w:val="72"/>
          <w:shd w:fill="auto" w:val="clear"/>
        </w:rPr>
        <w:t xml:space="preserve">Community Engagement</w:t>
      </w:r>
    </w:p>
    <w:p>
      <w:pPr>
        <w:spacing w:before="0" w:after="160" w:line="259"/>
        <w:ind w:right="0" w:left="0" w:firstLine="0"/>
        <w:jc w:val="center"/>
        <w:rPr>
          <w:rFonts w:ascii="Calibri" w:hAnsi="Calibri" w:cs="Calibri" w:eastAsia="Calibri"/>
          <w:color w:val="000000"/>
          <w:spacing w:val="0"/>
          <w:position w:val="0"/>
          <w:sz w:val="72"/>
          <w:u w:val="single"/>
          <w:shd w:fill="auto" w:val="clear"/>
        </w:rPr>
      </w:pPr>
      <w:r>
        <w:rPr>
          <w:rFonts w:ascii="Calibri" w:hAnsi="Calibri" w:cs="Calibri" w:eastAsia="Calibri"/>
          <w:b/>
          <w:color w:val="000000"/>
          <w:spacing w:val="0"/>
          <w:position w:val="0"/>
          <w:sz w:val="72"/>
          <w:u w:val="single"/>
          <w:shd w:fill="auto" w:val="clear"/>
        </w:rPr>
        <w:t xml:space="preserve">Module code: LCBB4002</w:t>
      </w:r>
    </w:p>
    <w:p>
      <w:pPr>
        <w:spacing w:before="0" w:after="160" w:line="259"/>
        <w:ind w:right="0" w:left="0" w:firstLine="0"/>
        <w:jc w:val="center"/>
        <w:rPr>
          <w:rFonts w:ascii="Calibri" w:hAnsi="Calibri" w:cs="Calibri" w:eastAsia="Calibri"/>
          <w:color w:val="000000"/>
          <w:spacing w:val="0"/>
          <w:position w:val="0"/>
          <w:sz w:val="72"/>
          <w:u w:val="single"/>
          <w:shd w:fill="auto" w:val="clear"/>
        </w:rPr>
      </w:pPr>
      <w:r>
        <w:rPr>
          <w:rFonts w:ascii="Calibri" w:hAnsi="Calibri" w:cs="Calibri" w:eastAsia="Calibri"/>
          <w:b/>
          <w:color w:val="000000"/>
          <w:spacing w:val="0"/>
          <w:position w:val="0"/>
          <w:sz w:val="72"/>
          <w:u w:val="single"/>
          <w:shd w:fill="auto" w:val="clear"/>
        </w:rPr>
        <w:t xml:space="preserve">STUDENT NAME:</w:t>
      </w:r>
    </w:p>
    <w:p>
      <w:pPr>
        <w:spacing w:before="0" w:after="160" w:line="259"/>
        <w:ind w:right="0" w:left="0" w:firstLine="0"/>
        <w:jc w:val="center"/>
        <w:rPr>
          <w:rFonts w:ascii="Calibri" w:hAnsi="Calibri" w:cs="Calibri" w:eastAsia="Calibri"/>
          <w:color w:val="000000"/>
          <w:spacing w:val="0"/>
          <w:position w:val="0"/>
          <w:sz w:val="72"/>
          <w:u w:val="single"/>
          <w:shd w:fill="auto" w:val="clear"/>
        </w:rPr>
      </w:pPr>
      <w:r>
        <w:rPr>
          <w:rFonts w:ascii="Calibri" w:hAnsi="Calibri" w:cs="Calibri" w:eastAsia="Calibri"/>
          <w:b/>
          <w:color w:val="000000"/>
          <w:spacing w:val="0"/>
          <w:position w:val="0"/>
          <w:sz w:val="72"/>
          <w:u w:val="single"/>
          <w:shd w:fill="auto" w:val="clear"/>
        </w:rPr>
        <w:t xml:space="preserve">GIANMARCO</w:t>
      </w:r>
    </w:p>
    <w:p>
      <w:pPr>
        <w:spacing w:before="0" w:after="160" w:line="259"/>
        <w:ind w:right="0" w:left="0" w:firstLine="0"/>
        <w:jc w:val="center"/>
        <w:rPr>
          <w:rFonts w:ascii="Calibri" w:hAnsi="Calibri" w:cs="Calibri" w:eastAsia="Calibri"/>
          <w:color w:val="000000"/>
          <w:spacing w:val="0"/>
          <w:position w:val="0"/>
          <w:sz w:val="72"/>
          <w:u w:val="single"/>
          <w:shd w:fill="auto" w:val="clear"/>
        </w:rPr>
      </w:pPr>
      <w:r>
        <w:rPr>
          <w:rFonts w:ascii="Calibri" w:hAnsi="Calibri" w:cs="Calibri" w:eastAsia="Calibri"/>
          <w:b/>
          <w:color w:val="000000"/>
          <w:spacing w:val="0"/>
          <w:position w:val="0"/>
          <w:sz w:val="72"/>
          <w:u w:val="single"/>
          <w:shd w:fill="auto" w:val="clear"/>
        </w:rPr>
        <w:t xml:space="preserve">FORTE</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32"/>
          <w:shd w:fill="auto" w:val="clear"/>
        </w:rPr>
      </w:pPr>
      <w:r>
        <w:rPr>
          <w:rFonts w:ascii="Calibri" w:hAnsi="Calibri" w:cs="Calibri" w:eastAsia="Calibri"/>
          <w:b/>
          <w:color w:val="auto"/>
          <w:spacing w:val="0"/>
          <w:position w:val="0"/>
          <w:sz w:val="32"/>
          <w:shd w:fill="auto" w:val="clear"/>
        </w:rPr>
        <w:t xml:space="preserve">Table of contents</w:t>
      </w:r>
    </w:p>
    <w:p>
      <w:pPr>
        <w:numPr>
          <w:ilvl w:val="0"/>
          <w:numId w:val="4"/>
        </w:numPr>
        <w:spacing w:before="0" w:after="160" w:line="259"/>
        <w:ind w:right="0" w:left="720" w:hanging="36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Introduction................................................................................................</w:t>
      </w:r>
    </w:p>
    <w:p>
      <w:pPr>
        <w:numPr>
          <w:ilvl w:val="0"/>
          <w:numId w:val="4"/>
        </w:numPr>
        <w:spacing w:before="0" w:after="160" w:line="259"/>
        <w:ind w:right="0" w:left="720" w:hanging="36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What is community engagement?..............................................................</w:t>
      </w:r>
    </w:p>
    <w:p>
      <w:pPr>
        <w:numPr>
          <w:ilvl w:val="0"/>
          <w:numId w:val="4"/>
        </w:numPr>
        <w:spacing w:before="0" w:after="160" w:line="259"/>
        <w:ind w:right="0" w:left="720" w:hanging="36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What makes it crucial to involve the community?.....................................</w:t>
      </w:r>
    </w:p>
    <w:p>
      <w:pPr>
        <w:numPr>
          <w:ilvl w:val="0"/>
          <w:numId w:val="4"/>
        </w:numPr>
        <w:spacing w:before="0" w:after="160" w:line="259"/>
        <w:ind w:right="0" w:left="720" w:hanging="36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The problems in organisation without community engagement...............</w:t>
      </w:r>
    </w:p>
    <w:p>
      <w:pPr>
        <w:numPr>
          <w:ilvl w:val="0"/>
          <w:numId w:val="4"/>
        </w:numPr>
        <w:spacing w:before="0" w:after="160" w:line="259"/>
        <w:ind w:right="0" w:left="720" w:hanging="36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The principals benefit of community engagement.....................................</w:t>
      </w:r>
    </w:p>
    <w:p>
      <w:pPr>
        <w:numPr>
          <w:ilvl w:val="0"/>
          <w:numId w:val="4"/>
        </w:numPr>
        <w:spacing w:before="0" w:after="160" w:line="259"/>
        <w:ind w:right="0" w:left="720" w:hanging="36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The necessity of community engagement during hard times....................</w:t>
      </w:r>
    </w:p>
    <w:p>
      <w:pPr>
        <w:numPr>
          <w:ilvl w:val="0"/>
          <w:numId w:val="4"/>
        </w:numPr>
        <w:spacing w:before="0" w:after="160" w:line="259"/>
        <w:ind w:right="0" w:left="720" w:hanging="36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Local efforts for a better community.........................................................</w:t>
      </w:r>
    </w:p>
    <w:p>
      <w:pPr>
        <w:numPr>
          <w:ilvl w:val="0"/>
          <w:numId w:val="4"/>
        </w:numPr>
        <w:spacing w:before="0" w:after="160" w:line="259"/>
        <w:ind w:right="0" w:left="720" w:hanging="36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The definition of stakeholder.....................................................................</w:t>
      </w:r>
    </w:p>
    <w:p>
      <w:pPr>
        <w:numPr>
          <w:ilvl w:val="0"/>
          <w:numId w:val="4"/>
        </w:numPr>
        <w:spacing w:before="0" w:after="160" w:line="259"/>
        <w:ind w:right="0" w:left="720" w:hanging="36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The importance of engaging stakeholders.................................................</w:t>
      </w:r>
    </w:p>
    <w:p>
      <w:pPr>
        <w:numPr>
          <w:ilvl w:val="0"/>
          <w:numId w:val="4"/>
        </w:numPr>
        <w:spacing w:before="0" w:after="160" w:line="259"/>
        <w:ind w:right="0" w:left="720" w:hanging="36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Social media platforms as a method to engage stakeholders....................</w:t>
      </w:r>
    </w:p>
    <w:p>
      <w:pPr>
        <w:numPr>
          <w:ilvl w:val="0"/>
          <w:numId w:val="4"/>
        </w:numPr>
        <w:spacing w:before="0" w:after="160" w:line="259"/>
        <w:ind w:right="0" w:left="720" w:hanging="36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The importance of different perspectives..................................................</w:t>
      </w:r>
    </w:p>
    <w:p>
      <w:pPr>
        <w:numPr>
          <w:ilvl w:val="0"/>
          <w:numId w:val="4"/>
        </w:numPr>
        <w:spacing w:before="0" w:after="160" w:line="259"/>
        <w:ind w:right="0" w:left="720" w:hanging="36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Recommendations......................................................................................</w:t>
      </w:r>
    </w:p>
    <w:p>
      <w:pPr>
        <w:numPr>
          <w:ilvl w:val="0"/>
          <w:numId w:val="4"/>
        </w:numPr>
        <w:spacing w:before="0" w:after="160" w:line="259"/>
        <w:ind w:right="0" w:left="720" w:hanging="36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Conclusion..................................................................................................</w:t>
      </w:r>
    </w:p>
    <w:p>
      <w:pPr>
        <w:numPr>
          <w:ilvl w:val="0"/>
          <w:numId w:val="4"/>
        </w:numPr>
        <w:spacing w:before="0" w:after="160" w:line="259"/>
        <w:ind w:right="0" w:left="72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8"/>
          <w:shd w:fill="auto" w:val="clear"/>
        </w:rPr>
        <w:t xml:space="preserve">Sources and citation...................................................................................</w: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The main purpose of the essay</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This essay aims to demonstrate the massive impact of community engagement and provide practical suggestions for successful stakeholder engagement. This essay aims to demonstrate the essential value of community engagement and point out the benefits and problems that can arise during the various processes of engaging an organisation or community. Another topic discussed is the importance of engaging stakeholders through social media platforms, and another important point is the need for different perspectives when engaging communities.</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What is community engagement?</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Community engagement has been defined in many ways since it entered common usage but for our purposes it can be explained thus: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‘’Community engagement encompasses a variety of approaches whereby public service bodies empower citizens to consider and express their views on how their needs are best met. These may range from encouraging people to have a say on setting the priorities for community safety… to sharing decision</w:t>
      </w:r>
      <w:r>
        <w:rPr>
          <w:rFonts w:ascii="Calibri" w:hAnsi="Calibri" w:cs="Calibri" w:eastAsia="Calibri"/>
          <w:color w:val="auto"/>
          <w:spacing w:val="0"/>
          <w:position w:val="0"/>
          <w:sz w:val="22"/>
          <w:shd w:fill="auto" w:val="clear"/>
        </w:rPr>
        <w:t xml:space="preserve">‐</w:t>
      </w:r>
      <w:r>
        <w:rPr>
          <w:rFonts w:ascii="Calibri" w:hAnsi="Calibri" w:cs="Calibri" w:eastAsia="Calibri"/>
          <w:color w:val="auto"/>
          <w:spacing w:val="0"/>
          <w:position w:val="0"/>
          <w:sz w:val="22"/>
          <w:shd w:fill="auto" w:val="clear"/>
        </w:rPr>
        <w:t xml:space="preserve">making with them in relation to defined services.</w:t>
      </w:r>
      <w:r>
        <w:rPr>
          <w:rFonts w:ascii="Calibri" w:hAnsi="Calibri" w:cs="Calibri" w:eastAsia="Calibri"/>
          <w:color w:val="auto"/>
          <w:spacing w:val="0"/>
          <w:position w:val="0"/>
          <w:sz w:val="22"/>
          <w:shd w:fill="auto" w:val="clear"/>
        </w:rPr>
        <w:t xml:space="preserve">’’</w:t>
      </w:r>
      <w:r>
        <w:rPr>
          <w:rFonts w:ascii="Calibri" w:hAnsi="Calibri" w:cs="Calibri" w:eastAsia="Calibri"/>
          <w:color w:val="auto"/>
          <w:spacing w:val="0"/>
          <w:position w:val="0"/>
          <w:sz w:val="22"/>
          <w:shd w:fill="auto" w:val="clear"/>
        </w:rPr>
        <w:t xml:space="preserve"> (Rogers and Robinson, 2004).</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What makes it crucial to involve the community?</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Different perspectives are merged through community engagement to produce improved outcome. To assist choice in achieving stable economic, environmental, social, and cultural results, it blends various ideas, work methods, perspectives, information, and skills. A vibrant community is one that is actively involved. It is far more efficient, balanced, inventive, and innovative.</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ability to collectively examine what is feasible for a group of individuals is made available by community engagement. Although an organisation could have a goal for a community, it is crucial that they communicate with the prominent stakeholders who will be affected by the transformations and are necessary to the realisation of their objectives.</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The problems in organisation without community engagement</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Without community involvement, organisations face the possibility of wasting and exceeding their expenditures.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Leaders and lawmakers could not achieve the best and most consistent result if they do not take in consideration the vast knowledge base within a group. This could influence their situations ahead, to garner support, capital, or clients.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It aids in our ability to predict a place's future. To guarantee that the best result is achieved when someone is working with a community, picturing a different future, or initiating transformation, they should solicit outside feedback. They could unleash innovation and creative spirit by collaborating with a varied diverse group of the state, businesses, communities, and individuals to create spaces and environments that individuals feel incredibly attached to.  Additionally, it refers to the culture, mentality, and goals that you are attempting to instil in a network of connected individuals and their day-to-day activities.</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The principals benefit of community engagement</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Community engagement can benefit a community in various ways, for instance by harnessing the power of collective intelligence and embracing a culture of co-design, it can also help us to achieve many things, such as develop meaningful solutions to complex problems.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It has been proved through many studies on different organisations, that community engagement activities can certainly improve cohesion and connectivity between diverse group of individuals.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An organisation can also empower effective governance and accountability, foster diversity and social inclusion. embed Indigenous perspectives and cultural identity into our places, and create a shared vision, Improve the overall health and well-being of a community.</w:t>
      </w:r>
    </w:p>
    <w:p>
      <w:pPr>
        <w:keepNext w:val="true"/>
        <w:keepLines w:val="true"/>
        <w:spacing w:before="40" w:after="0" w:line="259"/>
        <w:ind w:right="0" w:left="0" w:firstLine="0"/>
        <w:jc w:val="left"/>
        <w:rPr>
          <w:rFonts w:ascii="Calibri" w:hAnsi="Calibri" w:cs="Calibri" w:eastAsia="Calibri"/>
          <w:b/>
          <w:color w:val="auto"/>
          <w:spacing w:val="0"/>
          <w:position w:val="0"/>
          <w:sz w:val="27"/>
          <w:shd w:fill="auto" w:val="clear"/>
        </w:rPr>
      </w:pPr>
      <w:r>
        <w:rPr>
          <w:rFonts w:ascii="Calibri" w:hAnsi="Calibri" w:cs="Calibri" w:eastAsia="Calibri"/>
          <w:b/>
          <w:color w:val="auto"/>
          <w:spacing w:val="0"/>
          <w:position w:val="0"/>
          <w:sz w:val="27"/>
          <w:shd w:fill="auto" w:val="clear"/>
        </w:rPr>
        <w:t xml:space="preserve">The necessity of community engagement during hard times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Early in the COVID-19 pandemic, several councils had successful development in recruiting volunteers to assist the most vulnerable members of their communities. Some organisations received considerably numerous helpers than they could use. Even though many people could well have volunteered while they were on vacation, there is a chance to continue to foster this sense of community in the future.</w:t>
      </w:r>
    </w:p>
    <w:p>
      <w:pPr>
        <w:keepNext w:val="true"/>
        <w:keepLines w:val="true"/>
        <w:spacing w:before="40" w:after="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Local efforts for a better community</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Council Leaders and Elected Mayors have demonstrated a lot of public initiative throughout COVID-19, and councilors were at the frontline of assisting their community organisation. It really has given numerous individuals the trust they may not have had before to assume a top spot in their community. On social networks, there has been a lot of exposure with numerous CEOs and Managers complimenting the community’s efforts and local governments on Twitter. By the switch to online council meetings, it has been possible an increased option for public participation, as a result of this the usage of live broadcasting or social live services has expanded radically.</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The definition of stakeholder</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Each form of organisation, whether it be in business, government, or civil society, can benefit from stakeholder involvement. That is essential to the idea of corporate social responsibility and is crucial when it comes to managing a company appropriately. The stakeholder is a person or group with an interest in an organization's capacity to carry out a goal, produce the desired accomplishments, and continue to offer its goods.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This goes beyond only participating in social activities, fundraising campaigns, or more conventional tasks like parent education, homework help, and general volunteerism.</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The importance of engaging stakeholders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For instance, if we are referring to active cooperation that keeps the primary goal of education in mind, student learning as well as open communication is essentially required. These are some suggestions for involving stakeholders: To ensure that stakeholders have the knowledge as well as other information they require to work effectively as collaborators on student accomplishment, the administration should take the initiative. The objectives for student performance must always be clearly represented in collaboration engagements.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Cooperative and sincere efforts are required. Each side has important roles to fulfil, and they must be stated in clear terms. Transparency in information exchange is required. Accomplishment information must be precise, useful, and easy to understand. All parties involved must have the same moral principles and educational goals. Every effort must be motivated by facts and focused on the purpose.</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Social media platforms as a method to engage stakeholders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Using social media can assist you in spreading the word whenever your company has to interact not just with their clients and stakeholders but additionally with the general public. A firm's social media profiles can be utilised to optimize interactions even though organizational message is frequently customised to appeal to specific targeted demographics.</w:t>
      </w:r>
    </w:p>
    <w:p>
      <w:pPr>
        <w:spacing w:before="0" w:after="16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STREAMING ON SOCIALS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 live broadcast's value lies on its immediacy and timeliness. This type of communication demonstrates a level of openness and sincerity which your viewers will value. Your public gets spontaneous interaction at a time when messages are too prepared and carefully constructed.</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i/>
          <w:color w:val="auto"/>
          <w:spacing w:val="0"/>
          <w:position w:val="0"/>
          <w:sz w:val="24"/>
          <w:shd w:fill="auto" w:val="clear"/>
        </w:rPr>
        <w:t xml:space="preserve">‘’Deliver your message via a livestream on social, and you’ll be believed more easily.’’ </w:t>
      </w:r>
      <w:r>
        <w:rPr>
          <w:rFonts w:ascii="Calibri" w:hAnsi="Calibri" w:cs="Calibri" w:eastAsia="Calibri"/>
          <w:color w:val="auto"/>
          <w:spacing w:val="0"/>
          <w:position w:val="0"/>
          <w:sz w:val="24"/>
          <w:shd w:fill="auto" w:val="clear"/>
        </w:rPr>
        <w:t xml:space="preserve">Panel®, E. Rootstrap's Patrick Ward (n.d.). Council Post: 15 Social Media Tips to Reach Both Stakeholders and the Public. [online] Forbes. </w:t>
      </w:r>
    </w:p>
    <w:p>
      <w:pPr>
        <w:spacing w:before="0" w:after="16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color w:val="auto"/>
          <w:spacing w:val="0"/>
          <w:position w:val="0"/>
          <w:sz w:val="24"/>
          <w:shd w:fill="auto" w:val="clear"/>
        </w:rPr>
        <w:t xml:space="preserve">‌</w:t>
      </w:r>
      <w:r>
        <w:rPr>
          <w:rFonts w:ascii="Calibri" w:hAnsi="Calibri" w:cs="Calibri" w:eastAsia="Calibri"/>
          <w:b/>
          <w:color w:val="auto"/>
          <w:spacing w:val="0"/>
          <w:position w:val="0"/>
          <w:sz w:val="24"/>
          <w:shd w:fill="auto" w:val="clear"/>
        </w:rPr>
        <w:t xml:space="preserve">AIM FOR GREATER IMPACT WITH LESS BUDGET</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i/>
          <w:color w:val="auto"/>
          <w:spacing w:val="0"/>
          <w:position w:val="0"/>
          <w:sz w:val="24"/>
          <w:shd w:fill="auto" w:val="clear"/>
        </w:rPr>
        <w:t xml:space="preserve">‘’If the goal is truly to “get the word out,” leverage the social media platform that will give you the most impressions for the least amount of spend.’’                                                                                  </w:t>
      </w:r>
      <w:r>
        <w:rPr>
          <w:rFonts w:ascii="Calibri" w:hAnsi="Calibri" w:cs="Calibri" w:eastAsia="Calibri"/>
          <w:color w:val="000000"/>
          <w:spacing w:val="0"/>
          <w:position w:val="0"/>
          <w:sz w:val="24"/>
          <w:u w:val="single"/>
          <w:shd w:fill="auto" w:val="clear"/>
        </w:rPr>
        <w:t xml:space="preserve">Panel®,</w:t>
      </w:r>
      <w:r>
        <w:rPr>
          <w:rFonts w:ascii="Calibri" w:hAnsi="Calibri" w:cs="Calibri" w:eastAsia="Calibri"/>
          <w:color w:val="auto"/>
          <w:spacing w:val="0"/>
          <w:position w:val="0"/>
          <w:sz w:val="24"/>
          <w:shd w:fill="auto" w:val="clear"/>
        </w:rPr>
        <w:t xml:space="preserve"> Justin Woodbury, Tucker Advisors, (n.d.). Council Post: 15 Social Media Tips to Reach Both Stakeholders and the Public. [online] Forbes.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Using less well-known social media platforms that price less for more exposure, many lucrative corporations have found success.</w:t>
      </w:r>
    </w:p>
    <w:p>
      <w:pPr>
        <w:spacing w:before="0" w:after="16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OBTAIN VIP SUPPORT</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Make your ideas and visual constant. To increase the impact of your communication on numerous social media platforms, enlist the assistance of board members, corporate leadership in the C-suite, and brand ambassadors. the Lymphoma Research Foundation</w:t>
      </w:r>
    </w:p>
    <w:p>
      <w:pPr>
        <w:spacing w:before="0" w:after="16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UTILIZE MULTIPLE CHANNELS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2"/>
          <w:shd w:fill="auto" w:val="clear"/>
        </w:rPr>
        <w:t xml:space="preserve"> </w:t>
      </w:r>
      <w:r>
        <w:rPr>
          <w:rFonts w:ascii="Calibri" w:hAnsi="Calibri" w:cs="Calibri" w:eastAsia="Calibri"/>
          <w:color w:val="auto"/>
          <w:spacing w:val="0"/>
          <w:position w:val="0"/>
          <w:sz w:val="24"/>
          <w:shd w:fill="auto" w:val="clear"/>
        </w:rPr>
        <w:t xml:space="preserve">Utilize all your channels to boost your message and make sure it gets as many people as you need to.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4"/>
          <w:shd w:fill="auto" w:val="clear"/>
        </w:rPr>
        <w:t xml:space="preserve">‘’Instead of broadcasting the same information via all your platforms, make sure to personalize your graphics and text for each one.’’  - Leadr Holly Tate, (n.d.). Council Post: 15 Social Media Tips to Reach Both Stakeholders and the Public. [online] Forbes.                                      </w:t>
      </w: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AVOID UNDERVALUE A HASHTAG'S INFLUENCE ON A SOCIAL MEDIA PLATFORM</w:t>
      </w:r>
    </w:p>
    <w:p>
      <w:pPr>
        <w:spacing w:before="0" w:after="160" w:line="259"/>
        <w:ind w:right="0" w:left="0" w:firstLine="0"/>
        <w:jc w:val="left"/>
        <w:rPr>
          <w:rFonts w:ascii="Calibri" w:hAnsi="Calibri" w:cs="Calibri" w:eastAsia="Calibri"/>
          <w:i/>
          <w:color w:val="auto"/>
          <w:spacing w:val="0"/>
          <w:position w:val="0"/>
          <w:sz w:val="24"/>
          <w:shd w:fill="auto" w:val="clear"/>
        </w:rPr>
      </w:pPr>
      <w:r>
        <w:rPr>
          <w:rFonts w:ascii="Calibri" w:hAnsi="Calibri" w:cs="Calibri" w:eastAsia="Calibri"/>
          <w:color w:val="auto"/>
          <w:spacing w:val="0"/>
          <w:position w:val="0"/>
          <w:sz w:val="24"/>
          <w:shd w:fill="auto" w:val="clear"/>
        </w:rPr>
        <w:t xml:space="preserve"> Identify the hashtags that people will be using to locate their message by doing some study, and then make use of them on various social media platforms.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i/>
          <w:color w:val="auto"/>
          <w:spacing w:val="0"/>
          <w:position w:val="0"/>
          <w:sz w:val="24"/>
          <w:shd w:fill="auto" w:val="clear"/>
        </w:rPr>
        <w:t xml:space="preserve">‘’Although Instagram permits up to Thirty hashtags per post, don't be content with 20. To expand your reach, encourage everyone inside the company to exchange knowledge.’’ </w:t>
      </w:r>
      <w:r>
        <w:rPr>
          <w:rFonts w:ascii="Calibri" w:hAnsi="Calibri" w:cs="Calibri" w:eastAsia="Calibri"/>
          <w:color w:val="auto"/>
          <w:spacing w:val="0"/>
          <w:position w:val="0"/>
          <w:sz w:val="24"/>
          <w:shd w:fill="auto" w:val="clear"/>
        </w:rPr>
        <w:t xml:space="preserve"> Disney, Fox, Guess, Haseeb Tariq (n.d.). Council Post: 15 Social Media Tips to Reach Both Stakeholders and the Public. [online] Forbes.</w:t>
      </w:r>
    </w:p>
    <w:p>
      <w:pPr>
        <w:spacing w:before="0" w:after="16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CONSTANTLY SPREAD NEWS THROUGH SOCIAL MEDIA</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Digital networks are a fantastic instrument for communication flexibility and broad audience outreach. Your audience will be aware to go out for news if you consistently use social media channels to spread information.</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i/>
          <w:color w:val="auto"/>
          <w:spacing w:val="0"/>
          <w:position w:val="0"/>
          <w:sz w:val="24"/>
          <w:shd w:fill="auto" w:val="clear"/>
        </w:rPr>
        <w:t xml:space="preserve">‘’If you want to establish a strong web profile that serves as a source for both internal and external audiences, avoid updating infrequently.’’</w:t>
      </w:r>
      <w:r>
        <w:rPr>
          <w:rFonts w:ascii="Calibri" w:hAnsi="Calibri" w:cs="Calibri" w:eastAsia="Calibri"/>
          <w:color w:val="auto"/>
          <w:spacing w:val="0"/>
          <w:position w:val="0"/>
          <w:sz w:val="24"/>
          <w:shd w:fill="auto" w:val="clear"/>
        </w:rPr>
        <w:t xml:space="preserve"> The Menkiti Group's Victoria Zelefsky (n.d.). Council Post: 15 Social Media Tips to Reach Both Stakeholders and the Public. [online] Forbes.</w:t>
      </w:r>
    </w:p>
    <w:p>
      <w:pPr>
        <w:spacing w:before="0" w:after="16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PROMOTE AUDIENCE PARTICIPATION</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Increase people to take part while using social media to disseminate content by requesting people to share and comment on your posts.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i/>
          <w:color w:val="auto"/>
          <w:spacing w:val="0"/>
          <w:position w:val="0"/>
          <w:sz w:val="24"/>
          <w:shd w:fill="auto" w:val="clear"/>
        </w:rPr>
        <w:t xml:space="preserve">‘’Whenever the public is involved, word-of-mouth (online) spreads more quickly and content becomes viral.’’ </w:t>
      </w:r>
      <w:r>
        <w:rPr>
          <w:rFonts w:ascii="Calibri" w:hAnsi="Calibri" w:cs="Calibri" w:eastAsia="Calibri"/>
          <w:color w:val="auto"/>
          <w:spacing w:val="0"/>
          <w:position w:val="0"/>
          <w:sz w:val="24"/>
          <w:shd w:fill="auto" w:val="clear"/>
        </w:rPr>
        <w:t xml:space="preserve">Franke Coffee Systems North America's Deetricha Younger (n.d.). Council Post: 15 Social Media Tips to Reach Both Stakeholders and the Public. [online] Forbes.</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The importance of different perspectives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Humanitarian organizations and, especially recently, colleges and universities have adopted community-engaged study interactive initiatives that regard the involvement and viewpoints of community members as a crucial aspect of improving the condition of humanity. Furthermore, to support cooperation and partnerships between researchers and the community to fulfil organisation goals, targets, and aspirations, government agencies have enhanced financing options. Ethnic background and race are important considerations because they are frequently associated to risk levels, inequities, and the predominance of high-risk behaviours. Integration can occur in the context of interactions between culturally varied individuals.  Community engagement theories and research methodologies can be used to analyse various groups of people formed by different layers of culture.</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Recommendations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000000"/>
          <w:spacing w:val="0"/>
          <w:position w:val="0"/>
          <w:sz w:val="24"/>
          <w:shd w:fill="auto" w:val="clear"/>
        </w:rPr>
        <w:t xml:space="preserve">From a personal standpoint, I believe that any form of organisation must make it far easier and simpler for people to join community events, helping to encourage minorities to participate in community involvement.  A major problem that should be solved urgently, is the general avoidance of community members in taking part in any consultations, far too frequently this happens for a variety of reasons. </w:t>
      </w:r>
      <w:r>
        <w:rPr>
          <w:rFonts w:ascii="Calibri" w:hAnsi="Calibri" w:cs="Calibri" w:eastAsia="Calibri"/>
          <w:color w:val="auto"/>
          <w:spacing w:val="0"/>
          <w:position w:val="0"/>
          <w:sz w:val="24"/>
          <w:shd w:fill="auto" w:val="clear"/>
        </w:rPr>
        <w:t xml:space="preserve">Even though it is far more difficult and occasionally more stressful to engage with minorities than it is to discuss with the entire community, it is essential to guarantee that minorities feel comfortable offering feedback during public meetings, it is crucial to encourage good relationships with various people.</w:t>
      </w:r>
    </w:p>
    <w:p>
      <w:pPr>
        <w:spacing w:before="0" w:after="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Another important recommendation is to research the major cultures that you are going to manage, because in advising a particular minority group without having a basic knowledge of their cultural values is the worst circumstance. Even expressing your own personal mind and defying order are disapproved upon in some societies. You can identify solutions to get over particular obstacles you could encounter during the consultation by doing some initial research on the different culture layers.</w:t>
      </w: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b/>
          <w:color w:val="auto"/>
          <w:spacing w:val="0"/>
          <w:position w:val="0"/>
          <w:sz w:val="28"/>
          <w:shd w:fill="auto" w:val="clear"/>
        </w:rPr>
        <w:t xml:space="preserve">Conclusion</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awareness and comprehension of problems are increased by community engagement, which also gives communities the opportunity to influence actions that will have an impact on their everyday lives, their communities, cities and neighbourhoods.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It gives local residents the chance to participate in public decision-making procedures while also enlightening and training locals on political matters that have a consequence on their day-to-day existence. Community engagement encourages both government and public choice organisations to learn via dialogue, which in fact demonstrates the importance of community participation. Because of this, interactions involving public agencies and communities become better, closer, and more trustworthy as a result of community participation.</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It’s extremely important to c</w:t>
      </w:r>
      <w:r>
        <w:rPr>
          <w:rFonts w:ascii="Calibri" w:hAnsi="Calibri" w:cs="Calibri" w:eastAsia="Calibri"/>
          <w:color w:val="000000"/>
          <w:spacing w:val="0"/>
          <w:position w:val="0"/>
          <w:sz w:val="24"/>
          <w:shd w:fill="auto" w:val="clear"/>
        </w:rPr>
        <w:t xml:space="preserve">reate an inclusive social group, that does not discriminate any individual willing to get involved in the community social activities. In certain cases, i</w:t>
      </w:r>
      <w:r>
        <w:rPr>
          <w:rFonts w:ascii="Calibri" w:hAnsi="Calibri" w:cs="Calibri" w:eastAsia="Calibri"/>
          <w:color w:val="auto"/>
          <w:spacing w:val="0"/>
          <w:position w:val="0"/>
          <w:sz w:val="24"/>
          <w:shd w:fill="auto" w:val="clear"/>
        </w:rPr>
        <w:t xml:space="preserve">t may be sufficient to organise an event at your community centre or a regular activity that is particularly targeted at the minority you are seeking to attract in terms of bringing individuals around each other to eliminate all the discrimination barriers. It is vital to inspire engagement and to demonstrate your concern for the community. Building enduring relationships with these community members through participation in the event is highly recommended. Be certain that you take the time to comprehend the many cultures, even if you are working with a specific minority within your community or conducting an equal involvement session for several minorities.</w:t>
      </w:r>
    </w:p>
    <w:p>
      <w:pPr>
        <w:spacing w:before="0" w:after="160" w:line="259"/>
        <w:ind w:right="0" w:left="0" w:firstLine="0"/>
        <w:jc w:val="left"/>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Sources and citation</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000000"/>
          <w:spacing w:val="0"/>
          <w:position w:val="0"/>
          <w:sz w:val="24"/>
          <w:shd w:fill="auto" w:val="clear"/>
        </w:rPr>
        <w:t xml:space="preserve">Graham, P.W., Kim, M.M., Clinton-Sherrod, A.M., Yaros, A., Richmond, A.N., Jackson, M. and Corbie-Smith, G. (2015). What is the role of culture, diversity, and community engagement in transdisciplinary translational science? </w:t>
      </w:r>
      <w:r>
        <w:rPr>
          <w:rFonts w:ascii="Calibri" w:hAnsi="Calibri" w:cs="Calibri" w:eastAsia="Calibri"/>
          <w:i/>
          <w:color w:val="000000"/>
          <w:spacing w:val="0"/>
          <w:position w:val="0"/>
          <w:sz w:val="24"/>
          <w:shd w:fill="auto" w:val="clear"/>
        </w:rPr>
        <w:t xml:space="preserve">Translational Behavioural Medicine</w:t>
      </w:r>
      <w:r>
        <w:rPr>
          <w:rFonts w:ascii="Calibri" w:hAnsi="Calibri" w:cs="Calibri" w:eastAsia="Calibri"/>
          <w:color w:val="000000"/>
          <w:spacing w:val="0"/>
          <w:position w:val="0"/>
          <w:sz w:val="24"/>
          <w:shd w:fill="auto" w:val="clear"/>
        </w:rPr>
        <w:t xml:space="preserve">, [online] 6(1), </w:t>
      </w:r>
      <w:hyperlink xmlns:r="http://schemas.openxmlformats.org/officeDocument/2006/relationships" r:id="docRId0">
        <w:r>
          <w:rPr>
            <w:rFonts w:ascii="Calibri" w:hAnsi="Calibri" w:cs="Calibri" w:eastAsia="Calibri"/>
            <w:color w:val="0000FF"/>
            <w:spacing w:val="0"/>
            <w:position w:val="0"/>
            <w:sz w:val="24"/>
            <w:u w:val="single"/>
            <w:shd w:fill="auto" w:val="clear"/>
          </w:rPr>
          <w:t xml:space="preserve">https://www.ncbi.nlm.nih.gov/pmc/articles/PMC4807193/</w:t>
        </w:r>
      </w:hyperlink>
    </w:p>
    <w:p>
      <w:pPr>
        <w:spacing w:before="0" w:after="16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scholar.google.co.uk. (n.d.). </w:t>
      </w:r>
      <w:r>
        <w:rPr>
          <w:rFonts w:ascii="Calibri" w:hAnsi="Calibri" w:cs="Calibri" w:eastAsia="Calibri"/>
          <w:i/>
          <w:color w:val="000000"/>
          <w:spacing w:val="0"/>
          <w:position w:val="0"/>
          <w:sz w:val="24"/>
          <w:shd w:fill="auto" w:val="clear"/>
        </w:rPr>
        <w:t xml:space="preserve">Google Scholar</w:t>
      </w:r>
      <w:r>
        <w:rPr>
          <w:rFonts w:ascii="Calibri" w:hAnsi="Calibri" w:cs="Calibri" w:eastAsia="Calibri"/>
          <w:color w:val="000000"/>
          <w:spacing w:val="0"/>
          <w:position w:val="0"/>
          <w:sz w:val="24"/>
          <w:shd w:fill="auto" w:val="clear"/>
        </w:rPr>
        <w:t xml:space="preserve">. [online] Available at: </w:t>
      </w:r>
      <w:hyperlink xmlns:r="http://schemas.openxmlformats.org/officeDocument/2006/relationships" r:id="docRId1">
        <w:r>
          <w:rPr>
            <w:rFonts w:ascii="Calibri" w:hAnsi="Calibri" w:cs="Calibri" w:eastAsia="Calibri"/>
            <w:color w:val="0563C1"/>
            <w:spacing w:val="0"/>
            <w:position w:val="0"/>
            <w:sz w:val="24"/>
            <w:u w:val="single"/>
            <w:shd w:fill="auto" w:val="clear"/>
          </w:rPr>
          <w:t xml:space="preserve">https://scholar.google.co.uk/scholar?q=interviews+about+the+importance+of+community+Engagement</w:t>
        </w:r>
        <w:r>
          <w:rPr>
            <w:rFonts w:ascii="Calibri" w:hAnsi="Calibri" w:cs="Calibri" w:eastAsia="Calibri"/>
            <w:color w:val="0563C1"/>
            <w:spacing w:val="0"/>
            <w:position w:val="0"/>
            <w:sz w:val="24"/>
            <w:u w:val="single"/>
            <w:shd w:fill="auto" w:val="clear"/>
          </w:rPr>
          <w:t xml:space="preserve"> HYPERLINK "https://scholar.google.co.uk/scholar?q=interviews+about+the+importance+of+community+Engagement&amp;hl=it&amp;as_sdt=0&amp;as_vis=1&amp;oi=scholart"</w:t>
        </w:r>
        <w:r>
          <w:rPr>
            <w:rFonts w:ascii="Calibri" w:hAnsi="Calibri" w:cs="Calibri" w:eastAsia="Calibri"/>
            <w:color w:val="0563C1"/>
            <w:spacing w:val="0"/>
            <w:position w:val="0"/>
            <w:sz w:val="24"/>
            <w:u w:val="single"/>
            <w:shd w:fill="auto" w:val="clear"/>
          </w:rPr>
          <w:t xml:space="preserve">&amp;</w:t>
        </w:r>
        <w:r>
          <w:rPr>
            <w:rFonts w:ascii="Calibri" w:hAnsi="Calibri" w:cs="Calibri" w:eastAsia="Calibri"/>
            <w:color w:val="0563C1"/>
            <w:spacing w:val="0"/>
            <w:position w:val="0"/>
            <w:sz w:val="24"/>
            <w:u w:val="single"/>
            <w:shd w:fill="auto" w:val="clear"/>
          </w:rPr>
          <w:t xml:space="preserve"> HYPERLINK "https://scholar.google.co.uk/scholar?q=interviews+about+the+importance+of+community+Engagement&amp;hl=it&amp;as_sdt=0&amp;as_vis=1&amp;oi=scholart"</w:t>
        </w:r>
        <w:r>
          <w:rPr>
            <w:rFonts w:ascii="Calibri" w:hAnsi="Calibri" w:cs="Calibri" w:eastAsia="Calibri"/>
            <w:color w:val="0563C1"/>
            <w:spacing w:val="0"/>
            <w:position w:val="0"/>
            <w:sz w:val="24"/>
            <w:u w:val="single"/>
            <w:shd w:fill="auto" w:val="clear"/>
          </w:rPr>
          <w:t xml:space="preserve">hl=it</w:t>
        </w:r>
        <w:r>
          <w:rPr>
            <w:rFonts w:ascii="Calibri" w:hAnsi="Calibri" w:cs="Calibri" w:eastAsia="Calibri"/>
            <w:color w:val="0563C1"/>
            <w:spacing w:val="0"/>
            <w:position w:val="0"/>
            <w:sz w:val="24"/>
            <w:u w:val="single"/>
            <w:shd w:fill="auto" w:val="clear"/>
          </w:rPr>
          <w:t xml:space="preserve"> HYPERLINK "https://scholar.google.co.uk/scholar?q=interviews+about+the+importance+of+community+Engagement&amp;hl=it&amp;as_sdt=0&amp;as_vis=1&amp;oi=scholart"</w:t>
        </w:r>
        <w:r>
          <w:rPr>
            <w:rFonts w:ascii="Calibri" w:hAnsi="Calibri" w:cs="Calibri" w:eastAsia="Calibri"/>
            <w:color w:val="0563C1"/>
            <w:spacing w:val="0"/>
            <w:position w:val="0"/>
            <w:sz w:val="24"/>
            <w:u w:val="single"/>
            <w:shd w:fill="auto" w:val="clear"/>
          </w:rPr>
          <w:t xml:space="preserve">&amp;</w:t>
        </w:r>
        <w:r>
          <w:rPr>
            <w:rFonts w:ascii="Calibri" w:hAnsi="Calibri" w:cs="Calibri" w:eastAsia="Calibri"/>
            <w:color w:val="0563C1"/>
            <w:spacing w:val="0"/>
            <w:position w:val="0"/>
            <w:sz w:val="24"/>
            <w:u w:val="single"/>
            <w:shd w:fill="auto" w:val="clear"/>
          </w:rPr>
          <w:t xml:space="preserve"> HYPERLINK "https://scholar.google.co.uk/scholar?q=interviews+about+the+importance+of+community+Engagement&amp;hl=it&amp;as_sdt=0&amp;as_vis=1&amp;oi=scholart"</w:t>
        </w:r>
        <w:r>
          <w:rPr>
            <w:rFonts w:ascii="Calibri" w:hAnsi="Calibri" w:cs="Calibri" w:eastAsia="Calibri"/>
            <w:color w:val="0563C1"/>
            <w:spacing w:val="0"/>
            <w:position w:val="0"/>
            <w:sz w:val="24"/>
            <w:u w:val="single"/>
            <w:shd w:fill="auto" w:val="clear"/>
          </w:rPr>
          <w:t xml:space="preserve">as_sdt=0</w:t>
        </w:r>
        <w:r>
          <w:rPr>
            <w:rFonts w:ascii="Calibri" w:hAnsi="Calibri" w:cs="Calibri" w:eastAsia="Calibri"/>
            <w:color w:val="0563C1"/>
            <w:spacing w:val="0"/>
            <w:position w:val="0"/>
            <w:sz w:val="24"/>
            <w:u w:val="single"/>
            <w:shd w:fill="auto" w:val="clear"/>
          </w:rPr>
          <w:t xml:space="preserve"> HYPERLINK "https://scholar.google.co.uk/scholar?q=interviews+about+the+importance+of+community+Engagement&amp;hl=it&amp;as_sdt=0&amp;as_vis=1&amp;oi=scholart"</w:t>
        </w:r>
        <w:r>
          <w:rPr>
            <w:rFonts w:ascii="Calibri" w:hAnsi="Calibri" w:cs="Calibri" w:eastAsia="Calibri"/>
            <w:color w:val="0563C1"/>
            <w:spacing w:val="0"/>
            <w:position w:val="0"/>
            <w:sz w:val="24"/>
            <w:u w:val="single"/>
            <w:shd w:fill="auto" w:val="clear"/>
          </w:rPr>
          <w:t xml:space="preserve">&amp;</w:t>
        </w:r>
        <w:r>
          <w:rPr>
            <w:rFonts w:ascii="Calibri" w:hAnsi="Calibri" w:cs="Calibri" w:eastAsia="Calibri"/>
            <w:color w:val="0563C1"/>
            <w:spacing w:val="0"/>
            <w:position w:val="0"/>
            <w:sz w:val="24"/>
            <w:u w:val="single"/>
            <w:shd w:fill="auto" w:val="clear"/>
          </w:rPr>
          <w:t xml:space="preserve"> HYPERLINK "https://scholar.google.co.uk/scholar?q=interviews+about+the+importance+of+community+Engagement&amp;hl=it&amp;as_sdt=0&amp;as_vis=1&amp;oi=scholart"</w:t>
        </w:r>
        <w:r>
          <w:rPr>
            <w:rFonts w:ascii="Calibri" w:hAnsi="Calibri" w:cs="Calibri" w:eastAsia="Calibri"/>
            <w:color w:val="0563C1"/>
            <w:spacing w:val="0"/>
            <w:position w:val="0"/>
            <w:sz w:val="24"/>
            <w:u w:val="single"/>
            <w:shd w:fill="auto" w:val="clear"/>
          </w:rPr>
          <w:t xml:space="preserve">as_vis=1</w:t>
        </w:r>
        <w:r>
          <w:rPr>
            <w:rFonts w:ascii="Calibri" w:hAnsi="Calibri" w:cs="Calibri" w:eastAsia="Calibri"/>
            <w:color w:val="0563C1"/>
            <w:spacing w:val="0"/>
            <w:position w:val="0"/>
            <w:sz w:val="24"/>
            <w:u w:val="single"/>
            <w:shd w:fill="auto" w:val="clear"/>
          </w:rPr>
          <w:t xml:space="preserve"> HYPERLINK "https://scholar.google.co.uk/scholar?q=interviews+about+the+importance+of+community+Engagement&amp;hl=it&amp;as_sdt=0&amp;as_vis=1&amp;oi=scholart"</w:t>
        </w:r>
        <w:r>
          <w:rPr>
            <w:rFonts w:ascii="Calibri" w:hAnsi="Calibri" w:cs="Calibri" w:eastAsia="Calibri"/>
            <w:color w:val="0563C1"/>
            <w:spacing w:val="0"/>
            <w:position w:val="0"/>
            <w:sz w:val="24"/>
            <w:u w:val="single"/>
            <w:shd w:fill="auto" w:val="clear"/>
          </w:rPr>
          <w:t xml:space="preserve">&amp;</w:t>
        </w:r>
        <w:r>
          <w:rPr>
            <w:rFonts w:ascii="Calibri" w:hAnsi="Calibri" w:cs="Calibri" w:eastAsia="Calibri"/>
            <w:color w:val="0563C1"/>
            <w:spacing w:val="0"/>
            <w:position w:val="0"/>
            <w:sz w:val="24"/>
            <w:u w:val="single"/>
            <w:shd w:fill="auto" w:val="clear"/>
          </w:rPr>
          <w:t xml:space="preserve"> HYPERLINK "https://scholar.google.co.uk/scholar?q=interviews+about+the+importance+of+community+Engagement&amp;hl=it&amp;as_sdt=0&amp;as_vis=1&amp;oi=scholart"</w:t>
        </w:r>
        <w:r>
          <w:rPr>
            <w:rFonts w:ascii="Calibri" w:hAnsi="Calibri" w:cs="Calibri" w:eastAsia="Calibri"/>
            <w:color w:val="0563C1"/>
            <w:spacing w:val="0"/>
            <w:position w:val="0"/>
            <w:sz w:val="24"/>
            <w:u w:val="single"/>
            <w:shd w:fill="auto" w:val="clear"/>
          </w:rPr>
          <w:t xml:space="preserve">oi=scholart</w:t>
        </w:r>
      </w:hyperlink>
      <w:r>
        <w:rPr>
          <w:rFonts w:ascii="Calibri" w:hAnsi="Calibri" w:cs="Calibri" w:eastAsia="Calibri"/>
          <w:color w:val="000000"/>
          <w:spacing w:val="0"/>
          <w:position w:val="0"/>
          <w:sz w:val="24"/>
          <w:shd w:fill="auto" w:val="clear"/>
        </w:rPr>
        <w:t xml:space="preserve"> </w:t>
      </w:r>
    </w:p>
    <w:p>
      <w:pPr>
        <w:spacing w:before="0" w:after="16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Social Pinpoint - A Place to Engage Your Community. (n.d.). </w:t>
      </w:r>
      <w:r>
        <w:rPr>
          <w:rFonts w:ascii="Calibri" w:hAnsi="Calibri" w:cs="Calibri" w:eastAsia="Calibri"/>
          <w:i/>
          <w:color w:val="000000"/>
          <w:spacing w:val="0"/>
          <w:position w:val="0"/>
          <w:sz w:val="24"/>
          <w:shd w:fill="auto" w:val="clear"/>
        </w:rPr>
        <w:t xml:space="preserve">What is Community Engagement? - Learn with Social Pinpoint</w:t>
      </w:r>
      <w:r>
        <w:rPr>
          <w:rFonts w:ascii="Calibri" w:hAnsi="Calibri" w:cs="Calibri" w:eastAsia="Calibri"/>
          <w:color w:val="000000"/>
          <w:spacing w:val="0"/>
          <w:position w:val="0"/>
          <w:sz w:val="24"/>
          <w:shd w:fill="auto" w:val="clear"/>
        </w:rPr>
        <w:t xml:space="preserve">. [online] Available at: </w:t>
      </w:r>
      <w:hyperlink xmlns:r="http://schemas.openxmlformats.org/officeDocument/2006/relationships" r:id="docRId2">
        <w:r>
          <w:rPr>
            <w:rFonts w:ascii="Calibri" w:hAnsi="Calibri" w:cs="Calibri" w:eastAsia="Calibri"/>
            <w:color w:val="0000FF"/>
            <w:spacing w:val="0"/>
            <w:position w:val="0"/>
            <w:sz w:val="24"/>
            <w:u w:val="single"/>
            <w:shd w:fill="auto" w:val="clear"/>
          </w:rPr>
          <w:t xml:space="preserve">https://www.socialpinpoint.com/what-is-community-engagement/</w:t>
        </w:r>
      </w:hyperlink>
    </w:p>
    <w:p>
      <w:pPr>
        <w:spacing w:before="0" w:after="16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‌Panel®, E. (n.d.). </w:t>
      </w:r>
      <w:r>
        <w:rPr>
          <w:rFonts w:ascii="Calibri" w:hAnsi="Calibri" w:cs="Calibri" w:eastAsia="Calibri"/>
          <w:i/>
          <w:color w:val="000000"/>
          <w:spacing w:val="0"/>
          <w:position w:val="0"/>
          <w:sz w:val="24"/>
          <w:shd w:fill="auto" w:val="clear"/>
        </w:rPr>
        <w:t xml:space="preserve">Council Post: 15 Social Media Tips To Reach Both Stakeholders And The Public</w:t>
      </w:r>
      <w:r>
        <w:rPr>
          <w:rFonts w:ascii="Calibri" w:hAnsi="Calibri" w:cs="Calibri" w:eastAsia="Calibri"/>
          <w:color w:val="000000"/>
          <w:spacing w:val="0"/>
          <w:position w:val="0"/>
          <w:sz w:val="24"/>
          <w:shd w:fill="auto" w:val="clear"/>
        </w:rPr>
        <w:t xml:space="preserve">. [online] Forbes. Available at: </w:t>
      </w:r>
      <w:hyperlink xmlns:r="http://schemas.openxmlformats.org/officeDocument/2006/relationships" r:id="docRId3">
        <w:r>
          <w:rPr>
            <w:rFonts w:ascii="Calibri" w:hAnsi="Calibri" w:cs="Calibri" w:eastAsia="Calibri"/>
            <w:color w:val="0000FF"/>
            <w:spacing w:val="0"/>
            <w:position w:val="0"/>
            <w:sz w:val="24"/>
            <w:u w:val="single"/>
            <w:shd w:fill="auto" w:val="clear"/>
          </w:rPr>
          <w:t xml:space="preserve">https://www.forbes.com/sites/forbescommunicationscouncil/2021/05/11/15-social-media-tips-to-reach-both-stakeholders-and-the-public/?sh=26acce3b7e6b</w:t>
        </w:r>
      </w:hyperlink>
      <w:r>
        <w:rPr>
          <w:rFonts w:ascii="Calibri" w:hAnsi="Calibri" w:cs="Calibri" w:eastAsia="Calibri"/>
          <w:color w:val="000000"/>
          <w:spacing w:val="0"/>
          <w:position w:val="0"/>
          <w:sz w:val="24"/>
          <w:shd w:fill="auto" w:val="clear"/>
        </w:rPr>
        <w:t xml:space="preserve">.</w:t>
      </w:r>
    </w:p>
    <w:p>
      <w:pPr>
        <w:spacing w:before="0" w:after="16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 Social Pinpoint - A Place to Engage Your Community. (2018). </w:t>
      </w:r>
      <w:r>
        <w:rPr>
          <w:rFonts w:ascii="Calibri" w:hAnsi="Calibri" w:cs="Calibri" w:eastAsia="Calibri"/>
          <w:i/>
          <w:color w:val="000000"/>
          <w:spacing w:val="0"/>
          <w:position w:val="0"/>
          <w:sz w:val="24"/>
          <w:shd w:fill="auto" w:val="clear"/>
        </w:rPr>
        <w:t xml:space="preserve">10 Tips to Encourage Community Engagement in Diverse Communities</w:t>
      </w:r>
      <w:r>
        <w:rPr>
          <w:rFonts w:ascii="Calibri" w:hAnsi="Calibri" w:cs="Calibri" w:eastAsia="Calibri"/>
          <w:color w:val="000000"/>
          <w:spacing w:val="0"/>
          <w:position w:val="0"/>
          <w:sz w:val="24"/>
          <w:shd w:fill="auto" w:val="clear"/>
        </w:rPr>
        <w:t xml:space="preserve">. [online] Available at: </w:t>
      </w:r>
      <w:hyperlink xmlns:r="http://schemas.openxmlformats.org/officeDocument/2006/relationships" r:id="docRId4">
        <w:r>
          <w:rPr>
            <w:rFonts w:ascii="Calibri" w:hAnsi="Calibri" w:cs="Calibri" w:eastAsia="Calibri"/>
            <w:color w:val="0000FF"/>
            <w:spacing w:val="0"/>
            <w:position w:val="0"/>
            <w:sz w:val="24"/>
            <w:u w:val="single"/>
            <w:shd w:fill="auto" w:val="clear"/>
          </w:rPr>
          <w:t xml:space="preserve">https://www.socialpinpoint.com/blog/10-tips-to-encourage-community-engagement-in-diverse-communities/</w:t>
        </w:r>
      </w:hyperlink>
      <w:r>
        <w:rPr>
          <w:rFonts w:ascii="Calibri" w:hAnsi="Calibri" w:cs="Calibri" w:eastAsia="Calibri"/>
          <w:color w:val="000000"/>
          <w:spacing w:val="0"/>
          <w:position w:val="0"/>
          <w:sz w:val="24"/>
          <w:shd w:fill="auto" w:val="clear"/>
        </w:rPr>
        <w:t xml:space="preserve">.</w:t>
      </w:r>
    </w:p>
    <w:p>
      <w:pPr>
        <w:spacing w:before="0" w:after="16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 ResearchGate. (n.d.). </w:t>
      </w:r>
      <w:r>
        <w:rPr>
          <w:rFonts w:ascii="Calibri" w:hAnsi="Calibri" w:cs="Calibri" w:eastAsia="Calibri"/>
          <w:i/>
          <w:color w:val="000000"/>
          <w:spacing w:val="0"/>
          <w:position w:val="0"/>
          <w:sz w:val="24"/>
          <w:shd w:fill="auto" w:val="clear"/>
        </w:rPr>
        <w:t xml:space="preserve">(PDF) Integration and Multiculturalism: Ways towards Social Solidarity</w:t>
      </w:r>
      <w:r>
        <w:rPr>
          <w:rFonts w:ascii="Calibri" w:hAnsi="Calibri" w:cs="Calibri" w:eastAsia="Calibri"/>
          <w:color w:val="000000"/>
          <w:spacing w:val="0"/>
          <w:position w:val="0"/>
          <w:sz w:val="24"/>
          <w:shd w:fill="auto" w:val="clear"/>
        </w:rPr>
        <w:t xml:space="preserve">. [online] Available at: </w:t>
      </w:r>
      <w:hyperlink xmlns:r="http://schemas.openxmlformats.org/officeDocument/2006/relationships" r:id="docRId5">
        <w:r>
          <w:rPr>
            <w:rFonts w:ascii="Calibri" w:hAnsi="Calibri" w:cs="Calibri" w:eastAsia="Calibri"/>
            <w:color w:val="0000FF"/>
            <w:spacing w:val="0"/>
            <w:position w:val="0"/>
            <w:sz w:val="24"/>
            <w:u w:val="single"/>
            <w:shd w:fill="auto" w:val="clear"/>
          </w:rPr>
          <w:t xml:space="preserve">https://www.researchgate.net/publication/266528000_Integration_and_Multiculturalism_Ways_towards_Social_Solidarity</w:t>
        </w:r>
      </w:hyperlink>
      <w:r>
        <w:rPr>
          <w:rFonts w:ascii="Calibri" w:hAnsi="Calibri" w:cs="Calibri" w:eastAsia="Calibri"/>
          <w:color w:val="000000"/>
          <w:spacing w:val="0"/>
          <w:position w:val="0"/>
          <w:sz w:val="24"/>
          <w:shd w:fill="auto" w:val="clear"/>
        </w:rPr>
        <w:t xml:space="preserve">.</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000000"/>
          <w:spacing w:val="0"/>
          <w:position w:val="0"/>
          <w:sz w:val="22"/>
          <w:shd w:fill="auto" w:val="clear"/>
        </w:rPr>
        <w:t xml:space="preserve">‌</w:t>
      </w:r>
    </w:p>
    <w:p>
      <w:pPr>
        <w:spacing w:before="0" w:after="160" w:line="259"/>
        <w:ind w:right="0" w:left="0" w:firstLine="0"/>
        <w:jc w:val="left"/>
        <w:rPr>
          <w:rFonts w:ascii="Calibri" w:hAnsi="Calibri" w:cs="Calibri" w:eastAsia="Calibri"/>
          <w:color w:val="000000"/>
          <w:spacing w:val="0"/>
          <w:position w:val="0"/>
          <w:sz w:val="22"/>
          <w:shd w:fill="auto" w:val="clear"/>
        </w:rPr>
      </w:pPr>
    </w:p>
    <w:p>
      <w:pPr>
        <w:spacing w:before="0" w:after="160" w:line="259"/>
        <w:ind w:right="0" w:left="0" w:firstLine="0"/>
        <w:jc w:val="left"/>
        <w:rPr>
          <w:rFonts w:ascii="Calibri" w:hAnsi="Calibri" w:cs="Calibri" w:eastAsia="Calibri"/>
          <w:color w:val="000000"/>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4">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scholar.google.co.uk/scholar?q=interviews+about+the+importance+of+community+Engagement&amp;hl=it&amp;as_sdt=0&amp;as_vis=1&amp;oi=scholart" Id="docRId1" Type="http://schemas.openxmlformats.org/officeDocument/2006/relationships/hyperlink" /><Relationship TargetMode="External" Target="https://www.forbes.com/sites/forbescommunicationscouncil/2021/05/11/15-social-media-tips-to-reach-both-stakeholders-and-the-public/?sh=26acce3b7e6b" Id="docRId3" Type="http://schemas.openxmlformats.org/officeDocument/2006/relationships/hyperlink" /><Relationship TargetMode="External" Target="https://www.researchgate.net/publication/266528000_Integration_and_Multiculturalism_Ways_towards_Social_Solidarity" Id="docRId5" Type="http://schemas.openxmlformats.org/officeDocument/2006/relationships/hyperlink" /><Relationship Target="styles.xml" Id="docRId7" Type="http://schemas.openxmlformats.org/officeDocument/2006/relationships/styles" /><Relationship TargetMode="External" Target="https://www.ncbi.nlm.nih.gov/pmc/articles/PMC4807193/" Id="docRId0" Type="http://schemas.openxmlformats.org/officeDocument/2006/relationships/hyperlink" /><Relationship TargetMode="External" Target="https://www.socialpinpoint.com/what-is-community-engagement/" Id="docRId2" Type="http://schemas.openxmlformats.org/officeDocument/2006/relationships/hyperlink" /><Relationship TargetMode="External" Target="https://www.socialpinpoint.com/blog/10-tips-to-encourage-community-engagement-in-diverse-communities/" Id="docRId4" Type="http://schemas.openxmlformats.org/officeDocument/2006/relationships/hyperlink" /><Relationship Target="numbering.xml" Id="docRId6" Type="http://schemas.openxmlformats.org/officeDocument/2006/relationships/numbering" /></Relationships>
</file>