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7230A" w14:textId="77777777" w:rsidR="0095514C" w:rsidRPr="0095514C" w:rsidRDefault="0095514C" w:rsidP="0095514C">
      <w:pPr>
        <w:rPr>
          <w:lang w:val="en-GB"/>
        </w:rPr>
      </w:pPr>
    </w:p>
    <w:p w14:paraId="2547F149" w14:textId="1B63538E" w:rsidR="00C127B6" w:rsidRDefault="00610A70" w:rsidP="00610A70">
      <w:pPr>
        <w:pStyle w:val="Title"/>
        <w:rPr>
          <w:lang w:val="en-GB"/>
        </w:rPr>
      </w:pPr>
      <w:r w:rsidRPr="00610A70">
        <w:t>BA Business Management</w:t>
      </w:r>
    </w:p>
    <w:p w14:paraId="2ADC84D7" w14:textId="7B9A9D81" w:rsidR="00C127B6" w:rsidRDefault="0009297B" w:rsidP="0009297B">
      <w:pPr>
        <w:pStyle w:val="Title"/>
        <w:rPr>
          <w:lang w:val="en-GB"/>
        </w:rPr>
      </w:pPr>
      <w:r w:rsidRPr="0009297B">
        <w:t>Introducing the Modern Workplace</w:t>
      </w:r>
    </w:p>
    <w:p w14:paraId="17471949" w14:textId="5BF692A6" w:rsidR="00C127B6" w:rsidRDefault="0009297B" w:rsidP="0009297B">
      <w:pPr>
        <w:pStyle w:val="Title"/>
        <w:rPr>
          <w:lang w:val="en-GB"/>
        </w:rPr>
      </w:pPr>
      <w:r w:rsidRPr="0009297B">
        <w:t>LCBB4003</w:t>
      </w:r>
    </w:p>
    <w:p w14:paraId="60D299D7" w14:textId="77777777" w:rsidR="00C127B6" w:rsidRDefault="00C127B6" w:rsidP="009A6135">
      <w:pPr>
        <w:pStyle w:val="Heading1"/>
        <w:spacing w:line="360" w:lineRule="auto"/>
        <w:rPr>
          <w:lang w:val="en-GB"/>
        </w:rPr>
      </w:pPr>
    </w:p>
    <w:p w14:paraId="59B0DDEC" w14:textId="77777777" w:rsidR="00C127B6" w:rsidRDefault="00C127B6" w:rsidP="00C127B6">
      <w:pPr>
        <w:rPr>
          <w:lang w:val="en-GB"/>
        </w:rPr>
      </w:pPr>
    </w:p>
    <w:p w14:paraId="087DBA8F" w14:textId="77777777" w:rsidR="00C127B6" w:rsidRDefault="00C127B6" w:rsidP="00C127B6">
      <w:pPr>
        <w:rPr>
          <w:lang w:val="en-GB"/>
        </w:rPr>
      </w:pPr>
    </w:p>
    <w:p w14:paraId="48614611" w14:textId="77777777" w:rsidR="00C127B6" w:rsidRDefault="00C127B6" w:rsidP="00C127B6">
      <w:pPr>
        <w:rPr>
          <w:lang w:val="en-GB"/>
        </w:rPr>
      </w:pPr>
    </w:p>
    <w:p w14:paraId="166D3F6C" w14:textId="77777777" w:rsidR="00C127B6" w:rsidRDefault="00C127B6" w:rsidP="00C127B6">
      <w:pPr>
        <w:rPr>
          <w:lang w:val="en-GB"/>
        </w:rPr>
      </w:pPr>
    </w:p>
    <w:p w14:paraId="057E0622" w14:textId="77777777" w:rsidR="00C127B6" w:rsidRDefault="00C127B6" w:rsidP="00C127B6">
      <w:pPr>
        <w:rPr>
          <w:lang w:val="en-GB"/>
        </w:rPr>
      </w:pPr>
    </w:p>
    <w:p w14:paraId="6A50FE3C" w14:textId="77777777" w:rsidR="00C127B6" w:rsidRDefault="00C127B6" w:rsidP="00EB0E3A">
      <w:pPr>
        <w:pStyle w:val="Heading1"/>
        <w:rPr>
          <w:lang w:val="en-GB"/>
        </w:rPr>
      </w:pPr>
    </w:p>
    <w:p w14:paraId="7BCD51D3" w14:textId="05BF3A96" w:rsidR="00C127B6" w:rsidRDefault="004C3A64" w:rsidP="00EB0E3A">
      <w:pPr>
        <w:pStyle w:val="Heading1"/>
        <w:rPr>
          <w:lang w:val="en-GB"/>
        </w:rPr>
      </w:pPr>
      <w:r>
        <w:rPr>
          <w:lang w:val="en-GB"/>
        </w:rPr>
        <w:t>Cosmin Mihai</w:t>
      </w:r>
      <w:r w:rsidR="00EB0E3A">
        <w:rPr>
          <w:lang w:val="en-GB"/>
        </w:rPr>
        <w:t>: 2115663</w:t>
      </w:r>
    </w:p>
    <w:p w14:paraId="52571C9D" w14:textId="77777777" w:rsidR="00C127B6" w:rsidRDefault="00C127B6" w:rsidP="00C127B6">
      <w:pPr>
        <w:rPr>
          <w:lang w:val="en-GB"/>
        </w:rPr>
      </w:pPr>
    </w:p>
    <w:p w14:paraId="3A42C1B1" w14:textId="77777777" w:rsidR="00C127B6" w:rsidRDefault="00C127B6" w:rsidP="00C127B6">
      <w:pPr>
        <w:rPr>
          <w:lang w:val="en-GB"/>
        </w:rPr>
      </w:pPr>
    </w:p>
    <w:p w14:paraId="5441F9DF" w14:textId="77777777" w:rsidR="00C127B6" w:rsidRDefault="00C127B6" w:rsidP="00C127B6">
      <w:pPr>
        <w:rPr>
          <w:lang w:val="en-GB"/>
        </w:rPr>
      </w:pPr>
    </w:p>
    <w:p w14:paraId="00A98459" w14:textId="77777777" w:rsidR="00C127B6" w:rsidRDefault="00C127B6" w:rsidP="00C127B6">
      <w:pPr>
        <w:rPr>
          <w:lang w:val="en-GB"/>
        </w:rPr>
      </w:pPr>
    </w:p>
    <w:p w14:paraId="79868B3A" w14:textId="77777777" w:rsidR="00C127B6" w:rsidRDefault="00C127B6" w:rsidP="00C127B6">
      <w:pPr>
        <w:rPr>
          <w:lang w:val="en-GB"/>
        </w:rPr>
      </w:pPr>
    </w:p>
    <w:p w14:paraId="1C1EB9A6" w14:textId="77777777" w:rsidR="00C127B6" w:rsidRDefault="00C127B6" w:rsidP="00C127B6">
      <w:pPr>
        <w:rPr>
          <w:lang w:val="en-GB"/>
        </w:rPr>
      </w:pPr>
    </w:p>
    <w:p w14:paraId="59D25EBA" w14:textId="77777777" w:rsidR="00C127B6" w:rsidRDefault="00C127B6" w:rsidP="00C127B6">
      <w:pPr>
        <w:rPr>
          <w:lang w:val="en-GB"/>
        </w:rPr>
      </w:pPr>
    </w:p>
    <w:p w14:paraId="7CAA6868" w14:textId="77777777" w:rsidR="00C127B6" w:rsidRDefault="00C127B6" w:rsidP="00C127B6">
      <w:pPr>
        <w:rPr>
          <w:lang w:val="en-GB"/>
        </w:rPr>
      </w:pPr>
    </w:p>
    <w:p w14:paraId="7B51DDC6" w14:textId="77777777" w:rsidR="00C127B6" w:rsidRDefault="00C127B6" w:rsidP="00C127B6">
      <w:pPr>
        <w:rPr>
          <w:lang w:val="en-GB"/>
        </w:rPr>
      </w:pPr>
    </w:p>
    <w:p w14:paraId="740B9C5F" w14:textId="77777777" w:rsidR="00C127B6" w:rsidRDefault="00C127B6" w:rsidP="00C127B6">
      <w:pPr>
        <w:rPr>
          <w:lang w:val="en-GB"/>
        </w:rPr>
      </w:pPr>
    </w:p>
    <w:p w14:paraId="102ABE3B" w14:textId="77777777" w:rsidR="00C127B6" w:rsidRDefault="00C127B6" w:rsidP="00C127B6">
      <w:pPr>
        <w:rPr>
          <w:lang w:val="en-GB"/>
        </w:rPr>
      </w:pPr>
    </w:p>
    <w:p w14:paraId="27A17D51" w14:textId="77777777" w:rsidR="00C127B6" w:rsidRDefault="00C127B6" w:rsidP="00C127B6">
      <w:pPr>
        <w:rPr>
          <w:lang w:val="en-GB"/>
        </w:rPr>
      </w:pPr>
    </w:p>
    <w:p w14:paraId="40156FAC" w14:textId="77777777" w:rsidR="00C127B6" w:rsidRDefault="00C127B6" w:rsidP="00C127B6">
      <w:pPr>
        <w:rPr>
          <w:lang w:val="en-GB"/>
        </w:rPr>
      </w:pPr>
    </w:p>
    <w:p w14:paraId="2E9827C0" w14:textId="77777777" w:rsidR="00610A70" w:rsidRDefault="00610A70" w:rsidP="00C127B6">
      <w:pPr>
        <w:rPr>
          <w:lang w:val="en-GB"/>
        </w:rPr>
      </w:pPr>
    </w:p>
    <w:p w14:paraId="26358189" w14:textId="77777777" w:rsidR="00610A70" w:rsidRDefault="00610A70" w:rsidP="00C127B6">
      <w:pPr>
        <w:rPr>
          <w:lang w:val="en-GB"/>
        </w:rPr>
      </w:pPr>
    </w:p>
    <w:p w14:paraId="289189DC" w14:textId="77777777" w:rsidR="00C127B6" w:rsidRPr="00C127B6" w:rsidRDefault="00C127B6" w:rsidP="00C127B6">
      <w:pPr>
        <w:rPr>
          <w:lang w:val="en-GB"/>
        </w:rPr>
      </w:pPr>
    </w:p>
    <w:sdt>
      <w:sdtPr>
        <w:id w:val="-1278248388"/>
        <w:docPartObj>
          <w:docPartGallery w:val="Table of Contents"/>
          <w:docPartUnique/>
        </w:docPartObj>
      </w:sdtPr>
      <w:sdtEndPr>
        <w:rPr>
          <w:b/>
          <w:bCs/>
          <w:caps w:val="0"/>
          <w:noProof/>
          <w:color w:val="auto"/>
          <w:spacing w:val="0"/>
          <w:sz w:val="22"/>
          <w:szCs w:val="22"/>
          <w:lang w:bidi="ar-SA"/>
        </w:rPr>
      </w:sdtEndPr>
      <w:sdtContent>
        <w:p w14:paraId="3D5482D0" w14:textId="1A08AD2C" w:rsidR="00C127B6" w:rsidRDefault="00C127B6">
          <w:pPr>
            <w:pStyle w:val="TOCHeading"/>
          </w:pPr>
          <w:r>
            <w:t>Contents</w:t>
          </w:r>
        </w:p>
        <w:p w14:paraId="374BDD74" w14:textId="6A59CBA7" w:rsidR="00C127B6" w:rsidRDefault="00C127B6">
          <w:pPr>
            <w:pStyle w:val="TOC1"/>
            <w:tabs>
              <w:tab w:val="right" w:leader="dot" w:pos="9350"/>
            </w:tabs>
            <w:rPr>
              <w:rFonts w:cstheme="minorBidi"/>
              <w:noProof/>
              <w:kern w:val="2"/>
              <w:lang w:val="en-GB" w:eastAsia="en-GB"/>
            </w:rPr>
          </w:pPr>
          <w:r>
            <w:fldChar w:fldCharType="begin"/>
          </w:r>
          <w:r>
            <w:instrText xml:space="preserve"> TOC \o "1-3" \h \z \u </w:instrText>
          </w:r>
          <w:r>
            <w:fldChar w:fldCharType="separate"/>
          </w:r>
          <w:hyperlink w:anchor="_Toc153916047" w:history="1">
            <w:r w:rsidRPr="005A59FA">
              <w:rPr>
                <w:rStyle w:val="Hyperlink"/>
                <w:noProof/>
                <w:lang w:val="en-GB"/>
              </w:rPr>
              <w:t>Introduction</w:t>
            </w:r>
            <w:r>
              <w:rPr>
                <w:noProof/>
                <w:webHidden/>
              </w:rPr>
              <w:tab/>
            </w:r>
            <w:r>
              <w:rPr>
                <w:noProof/>
                <w:webHidden/>
              </w:rPr>
              <w:fldChar w:fldCharType="begin"/>
            </w:r>
            <w:r>
              <w:rPr>
                <w:noProof/>
                <w:webHidden/>
              </w:rPr>
              <w:instrText xml:space="preserve"> PAGEREF _Toc153916047 \h </w:instrText>
            </w:r>
            <w:r>
              <w:rPr>
                <w:noProof/>
                <w:webHidden/>
              </w:rPr>
            </w:r>
            <w:r>
              <w:rPr>
                <w:noProof/>
                <w:webHidden/>
              </w:rPr>
              <w:fldChar w:fldCharType="separate"/>
            </w:r>
            <w:r>
              <w:rPr>
                <w:noProof/>
                <w:webHidden/>
              </w:rPr>
              <w:t>2</w:t>
            </w:r>
            <w:r>
              <w:rPr>
                <w:noProof/>
                <w:webHidden/>
              </w:rPr>
              <w:fldChar w:fldCharType="end"/>
            </w:r>
          </w:hyperlink>
        </w:p>
        <w:p w14:paraId="747B6C2D" w14:textId="191C7A83" w:rsidR="00C127B6" w:rsidRDefault="00C127B6">
          <w:pPr>
            <w:pStyle w:val="TOC1"/>
            <w:tabs>
              <w:tab w:val="right" w:leader="dot" w:pos="9350"/>
            </w:tabs>
            <w:rPr>
              <w:rFonts w:cstheme="minorBidi"/>
              <w:noProof/>
              <w:kern w:val="2"/>
              <w:lang w:val="en-GB" w:eastAsia="en-GB"/>
            </w:rPr>
          </w:pPr>
          <w:hyperlink w:anchor="_Toc153916048" w:history="1">
            <w:r w:rsidRPr="005A59FA">
              <w:rPr>
                <w:rStyle w:val="Hyperlink"/>
                <w:noProof/>
                <w:lang w:val="en-GB"/>
              </w:rPr>
              <w:t>Organizational Structure at Linde UK</w:t>
            </w:r>
            <w:r>
              <w:rPr>
                <w:noProof/>
                <w:webHidden/>
              </w:rPr>
              <w:tab/>
            </w:r>
            <w:r>
              <w:rPr>
                <w:noProof/>
                <w:webHidden/>
              </w:rPr>
              <w:fldChar w:fldCharType="begin"/>
            </w:r>
            <w:r>
              <w:rPr>
                <w:noProof/>
                <w:webHidden/>
              </w:rPr>
              <w:instrText xml:space="preserve"> PAGEREF _Toc153916048 \h </w:instrText>
            </w:r>
            <w:r>
              <w:rPr>
                <w:noProof/>
                <w:webHidden/>
              </w:rPr>
            </w:r>
            <w:r>
              <w:rPr>
                <w:noProof/>
                <w:webHidden/>
              </w:rPr>
              <w:fldChar w:fldCharType="separate"/>
            </w:r>
            <w:r>
              <w:rPr>
                <w:noProof/>
                <w:webHidden/>
              </w:rPr>
              <w:t>2</w:t>
            </w:r>
            <w:r>
              <w:rPr>
                <w:noProof/>
                <w:webHidden/>
              </w:rPr>
              <w:fldChar w:fldCharType="end"/>
            </w:r>
          </w:hyperlink>
        </w:p>
        <w:p w14:paraId="3DF1EDAA" w14:textId="1BE39A13" w:rsidR="00C127B6" w:rsidRDefault="00C127B6">
          <w:pPr>
            <w:pStyle w:val="TOC3"/>
            <w:tabs>
              <w:tab w:val="right" w:leader="dot" w:pos="9350"/>
            </w:tabs>
            <w:rPr>
              <w:rFonts w:cstheme="minorBidi"/>
              <w:noProof/>
              <w:kern w:val="2"/>
              <w:lang w:val="en-GB" w:eastAsia="en-GB"/>
            </w:rPr>
          </w:pPr>
          <w:hyperlink w:anchor="_Toc153916049" w:history="1">
            <w:r w:rsidRPr="005A59FA">
              <w:rPr>
                <w:rStyle w:val="Hyperlink"/>
                <w:noProof/>
                <w:lang w:val="en-GB"/>
              </w:rPr>
              <w:t>2. Impact on Performance</w:t>
            </w:r>
            <w:r>
              <w:rPr>
                <w:noProof/>
                <w:webHidden/>
              </w:rPr>
              <w:tab/>
            </w:r>
            <w:r>
              <w:rPr>
                <w:noProof/>
                <w:webHidden/>
              </w:rPr>
              <w:fldChar w:fldCharType="begin"/>
            </w:r>
            <w:r>
              <w:rPr>
                <w:noProof/>
                <w:webHidden/>
              </w:rPr>
              <w:instrText xml:space="preserve"> PAGEREF _Toc153916049 \h </w:instrText>
            </w:r>
            <w:r>
              <w:rPr>
                <w:noProof/>
                <w:webHidden/>
              </w:rPr>
            </w:r>
            <w:r>
              <w:rPr>
                <w:noProof/>
                <w:webHidden/>
              </w:rPr>
              <w:fldChar w:fldCharType="separate"/>
            </w:r>
            <w:r>
              <w:rPr>
                <w:noProof/>
                <w:webHidden/>
              </w:rPr>
              <w:t>3</w:t>
            </w:r>
            <w:r>
              <w:rPr>
                <w:noProof/>
                <w:webHidden/>
              </w:rPr>
              <w:fldChar w:fldCharType="end"/>
            </w:r>
          </w:hyperlink>
        </w:p>
        <w:p w14:paraId="05375B38" w14:textId="3F708116" w:rsidR="00C127B6" w:rsidRDefault="00C127B6">
          <w:pPr>
            <w:pStyle w:val="TOC1"/>
            <w:tabs>
              <w:tab w:val="right" w:leader="dot" w:pos="9350"/>
            </w:tabs>
            <w:rPr>
              <w:rFonts w:cstheme="minorBidi"/>
              <w:noProof/>
              <w:kern w:val="2"/>
              <w:lang w:val="en-GB" w:eastAsia="en-GB"/>
            </w:rPr>
          </w:pPr>
          <w:hyperlink w:anchor="_Toc153916050" w:history="1">
            <w:r w:rsidRPr="005A59FA">
              <w:rPr>
                <w:rStyle w:val="Hyperlink"/>
                <w:noProof/>
                <w:lang w:val="en-GB"/>
              </w:rPr>
              <w:t>Individual Motivation at Linde UK</w:t>
            </w:r>
            <w:r>
              <w:rPr>
                <w:noProof/>
                <w:webHidden/>
              </w:rPr>
              <w:tab/>
            </w:r>
            <w:r>
              <w:rPr>
                <w:noProof/>
                <w:webHidden/>
              </w:rPr>
              <w:fldChar w:fldCharType="begin"/>
            </w:r>
            <w:r>
              <w:rPr>
                <w:noProof/>
                <w:webHidden/>
              </w:rPr>
              <w:instrText xml:space="preserve"> PAGEREF _Toc153916050 \h </w:instrText>
            </w:r>
            <w:r>
              <w:rPr>
                <w:noProof/>
                <w:webHidden/>
              </w:rPr>
            </w:r>
            <w:r>
              <w:rPr>
                <w:noProof/>
                <w:webHidden/>
              </w:rPr>
              <w:fldChar w:fldCharType="separate"/>
            </w:r>
            <w:r>
              <w:rPr>
                <w:noProof/>
                <w:webHidden/>
              </w:rPr>
              <w:t>3</w:t>
            </w:r>
            <w:r>
              <w:rPr>
                <w:noProof/>
                <w:webHidden/>
              </w:rPr>
              <w:fldChar w:fldCharType="end"/>
            </w:r>
          </w:hyperlink>
        </w:p>
        <w:p w14:paraId="37B31942" w14:textId="5F0AB34D" w:rsidR="00C127B6" w:rsidRDefault="00C127B6">
          <w:pPr>
            <w:pStyle w:val="TOC3"/>
            <w:tabs>
              <w:tab w:val="right" w:leader="dot" w:pos="9350"/>
            </w:tabs>
            <w:rPr>
              <w:rFonts w:cstheme="minorBidi"/>
              <w:noProof/>
              <w:kern w:val="2"/>
              <w:lang w:val="en-GB" w:eastAsia="en-GB"/>
            </w:rPr>
          </w:pPr>
          <w:hyperlink w:anchor="_Toc153916051" w:history="1">
            <w:r w:rsidRPr="005A59FA">
              <w:rPr>
                <w:rStyle w:val="Hyperlink"/>
                <w:noProof/>
                <w:lang w:val="en-GB"/>
              </w:rPr>
              <w:t>1. Motivational Approaches</w:t>
            </w:r>
            <w:r>
              <w:rPr>
                <w:noProof/>
                <w:webHidden/>
              </w:rPr>
              <w:tab/>
            </w:r>
            <w:r>
              <w:rPr>
                <w:noProof/>
                <w:webHidden/>
              </w:rPr>
              <w:fldChar w:fldCharType="begin"/>
            </w:r>
            <w:r>
              <w:rPr>
                <w:noProof/>
                <w:webHidden/>
              </w:rPr>
              <w:instrText xml:space="preserve"> PAGEREF _Toc153916051 \h </w:instrText>
            </w:r>
            <w:r>
              <w:rPr>
                <w:noProof/>
                <w:webHidden/>
              </w:rPr>
            </w:r>
            <w:r>
              <w:rPr>
                <w:noProof/>
                <w:webHidden/>
              </w:rPr>
              <w:fldChar w:fldCharType="separate"/>
            </w:r>
            <w:r>
              <w:rPr>
                <w:noProof/>
                <w:webHidden/>
              </w:rPr>
              <w:t>3</w:t>
            </w:r>
            <w:r>
              <w:rPr>
                <w:noProof/>
                <w:webHidden/>
              </w:rPr>
              <w:fldChar w:fldCharType="end"/>
            </w:r>
          </w:hyperlink>
        </w:p>
        <w:p w14:paraId="6CDCCF5E" w14:textId="2C14A3FC" w:rsidR="00C127B6" w:rsidRDefault="00C127B6">
          <w:pPr>
            <w:pStyle w:val="TOC3"/>
            <w:tabs>
              <w:tab w:val="right" w:leader="dot" w:pos="9350"/>
            </w:tabs>
            <w:rPr>
              <w:rFonts w:cstheme="minorBidi"/>
              <w:noProof/>
              <w:kern w:val="2"/>
              <w:lang w:val="en-GB" w:eastAsia="en-GB"/>
            </w:rPr>
          </w:pPr>
          <w:hyperlink w:anchor="_Toc153916052" w:history="1">
            <w:r w:rsidRPr="005A59FA">
              <w:rPr>
                <w:rStyle w:val="Hyperlink"/>
                <w:noProof/>
                <w:lang w:val="en-GB"/>
              </w:rPr>
              <w:t>2. Effectiveness and Comparison</w:t>
            </w:r>
            <w:r>
              <w:rPr>
                <w:noProof/>
                <w:webHidden/>
              </w:rPr>
              <w:tab/>
            </w:r>
            <w:r>
              <w:rPr>
                <w:noProof/>
                <w:webHidden/>
              </w:rPr>
              <w:fldChar w:fldCharType="begin"/>
            </w:r>
            <w:r>
              <w:rPr>
                <w:noProof/>
                <w:webHidden/>
              </w:rPr>
              <w:instrText xml:space="preserve"> PAGEREF _Toc153916052 \h </w:instrText>
            </w:r>
            <w:r>
              <w:rPr>
                <w:noProof/>
                <w:webHidden/>
              </w:rPr>
            </w:r>
            <w:r>
              <w:rPr>
                <w:noProof/>
                <w:webHidden/>
              </w:rPr>
              <w:fldChar w:fldCharType="separate"/>
            </w:r>
            <w:r>
              <w:rPr>
                <w:noProof/>
                <w:webHidden/>
              </w:rPr>
              <w:t>3</w:t>
            </w:r>
            <w:r>
              <w:rPr>
                <w:noProof/>
                <w:webHidden/>
              </w:rPr>
              <w:fldChar w:fldCharType="end"/>
            </w:r>
          </w:hyperlink>
        </w:p>
        <w:p w14:paraId="6E0C338B" w14:textId="26497975" w:rsidR="00C127B6" w:rsidRDefault="00C127B6">
          <w:pPr>
            <w:pStyle w:val="TOC1"/>
            <w:tabs>
              <w:tab w:val="right" w:leader="dot" w:pos="9350"/>
            </w:tabs>
            <w:rPr>
              <w:rFonts w:cstheme="minorBidi"/>
              <w:noProof/>
              <w:kern w:val="2"/>
              <w:lang w:val="en-GB" w:eastAsia="en-GB"/>
            </w:rPr>
          </w:pPr>
          <w:hyperlink w:anchor="_Toc153916053" w:history="1">
            <w:r w:rsidRPr="005A59FA">
              <w:rPr>
                <w:rStyle w:val="Hyperlink"/>
                <w:noProof/>
                <w:lang w:val="en-GB"/>
              </w:rPr>
              <w:t>Integrated Analysis</w:t>
            </w:r>
            <w:r>
              <w:rPr>
                <w:noProof/>
                <w:webHidden/>
              </w:rPr>
              <w:tab/>
            </w:r>
            <w:r>
              <w:rPr>
                <w:noProof/>
                <w:webHidden/>
              </w:rPr>
              <w:fldChar w:fldCharType="begin"/>
            </w:r>
            <w:r>
              <w:rPr>
                <w:noProof/>
                <w:webHidden/>
              </w:rPr>
              <w:instrText xml:space="preserve"> PAGEREF _Toc153916053 \h </w:instrText>
            </w:r>
            <w:r>
              <w:rPr>
                <w:noProof/>
                <w:webHidden/>
              </w:rPr>
            </w:r>
            <w:r>
              <w:rPr>
                <w:noProof/>
                <w:webHidden/>
              </w:rPr>
              <w:fldChar w:fldCharType="separate"/>
            </w:r>
            <w:r>
              <w:rPr>
                <w:noProof/>
                <w:webHidden/>
              </w:rPr>
              <w:t>4</w:t>
            </w:r>
            <w:r>
              <w:rPr>
                <w:noProof/>
                <w:webHidden/>
              </w:rPr>
              <w:fldChar w:fldCharType="end"/>
            </w:r>
          </w:hyperlink>
        </w:p>
        <w:p w14:paraId="65225900" w14:textId="5F7CEF59" w:rsidR="00C127B6" w:rsidRDefault="00C127B6">
          <w:pPr>
            <w:pStyle w:val="TOC3"/>
            <w:tabs>
              <w:tab w:val="right" w:leader="dot" w:pos="9350"/>
            </w:tabs>
            <w:rPr>
              <w:rFonts w:cstheme="minorBidi"/>
              <w:noProof/>
              <w:kern w:val="2"/>
              <w:lang w:val="en-GB" w:eastAsia="en-GB"/>
            </w:rPr>
          </w:pPr>
          <w:hyperlink w:anchor="_Toc153916054" w:history="1">
            <w:r w:rsidRPr="005A59FA">
              <w:rPr>
                <w:rStyle w:val="Hyperlink"/>
                <w:noProof/>
                <w:lang w:val="en-GB"/>
              </w:rPr>
              <w:t>Interplay Between Structure, Culture, and Motivation</w:t>
            </w:r>
            <w:r>
              <w:rPr>
                <w:noProof/>
                <w:webHidden/>
              </w:rPr>
              <w:tab/>
            </w:r>
            <w:r>
              <w:rPr>
                <w:noProof/>
                <w:webHidden/>
              </w:rPr>
              <w:fldChar w:fldCharType="begin"/>
            </w:r>
            <w:r>
              <w:rPr>
                <w:noProof/>
                <w:webHidden/>
              </w:rPr>
              <w:instrText xml:space="preserve"> PAGEREF _Toc153916054 \h </w:instrText>
            </w:r>
            <w:r>
              <w:rPr>
                <w:noProof/>
                <w:webHidden/>
              </w:rPr>
            </w:r>
            <w:r>
              <w:rPr>
                <w:noProof/>
                <w:webHidden/>
              </w:rPr>
              <w:fldChar w:fldCharType="separate"/>
            </w:r>
            <w:r>
              <w:rPr>
                <w:noProof/>
                <w:webHidden/>
              </w:rPr>
              <w:t>4</w:t>
            </w:r>
            <w:r>
              <w:rPr>
                <w:noProof/>
                <w:webHidden/>
              </w:rPr>
              <w:fldChar w:fldCharType="end"/>
            </w:r>
          </w:hyperlink>
        </w:p>
        <w:p w14:paraId="71BD386D" w14:textId="0579704A" w:rsidR="00C127B6" w:rsidRDefault="00C127B6">
          <w:pPr>
            <w:pStyle w:val="TOC3"/>
            <w:tabs>
              <w:tab w:val="right" w:leader="dot" w:pos="9350"/>
            </w:tabs>
            <w:rPr>
              <w:rFonts w:cstheme="minorBidi"/>
              <w:noProof/>
              <w:kern w:val="2"/>
              <w:lang w:val="en-GB" w:eastAsia="en-GB"/>
            </w:rPr>
          </w:pPr>
          <w:hyperlink w:anchor="_Toc153916055" w:history="1">
            <w:r w:rsidRPr="005A59FA">
              <w:rPr>
                <w:rStyle w:val="Hyperlink"/>
                <w:noProof/>
                <w:lang w:val="en-GB"/>
              </w:rPr>
              <w:t>Combined Effect on Organizational Performance</w:t>
            </w:r>
            <w:r>
              <w:rPr>
                <w:noProof/>
                <w:webHidden/>
              </w:rPr>
              <w:tab/>
            </w:r>
            <w:r>
              <w:rPr>
                <w:noProof/>
                <w:webHidden/>
              </w:rPr>
              <w:fldChar w:fldCharType="begin"/>
            </w:r>
            <w:r>
              <w:rPr>
                <w:noProof/>
                <w:webHidden/>
              </w:rPr>
              <w:instrText xml:space="preserve"> PAGEREF _Toc153916055 \h </w:instrText>
            </w:r>
            <w:r>
              <w:rPr>
                <w:noProof/>
                <w:webHidden/>
              </w:rPr>
            </w:r>
            <w:r>
              <w:rPr>
                <w:noProof/>
                <w:webHidden/>
              </w:rPr>
              <w:fldChar w:fldCharType="separate"/>
            </w:r>
            <w:r>
              <w:rPr>
                <w:noProof/>
                <w:webHidden/>
              </w:rPr>
              <w:t>5</w:t>
            </w:r>
            <w:r>
              <w:rPr>
                <w:noProof/>
                <w:webHidden/>
              </w:rPr>
              <w:fldChar w:fldCharType="end"/>
            </w:r>
          </w:hyperlink>
        </w:p>
        <w:p w14:paraId="032AAF3A" w14:textId="7E9D375A" w:rsidR="00C127B6" w:rsidRDefault="00C127B6">
          <w:pPr>
            <w:pStyle w:val="TOC1"/>
            <w:tabs>
              <w:tab w:val="right" w:leader="dot" w:pos="9350"/>
            </w:tabs>
            <w:rPr>
              <w:rFonts w:cstheme="minorBidi"/>
              <w:noProof/>
              <w:kern w:val="2"/>
              <w:lang w:val="en-GB" w:eastAsia="en-GB"/>
            </w:rPr>
          </w:pPr>
          <w:hyperlink w:anchor="_Toc153916056" w:history="1">
            <w:r w:rsidRPr="005A59FA">
              <w:rPr>
                <w:rStyle w:val="Hyperlink"/>
                <w:noProof/>
                <w:lang w:val="en-GB"/>
              </w:rPr>
              <w:t>Recommendations and Future Outlook</w:t>
            </w:r>
            <w:r>
              <w:rPr>
                <w:noProof/>
                <w:webHidden/>
              </w:rPr>
              <w:tab/>
            </w:r>
            <w:r>
              <w:rPr>
                <w:noProof/>
                <w:webHidden/>
              </w:rPr>
              <w:fldChar w:fldCharType="begin"/>
            </w:r>
            <w:r>
              <w:rPr>
                <w:noProof/>
                <w:webHidden/>
              </w:rPr>
              <w:instrText xml:space="preserve"> PAGEREF _Toc153916056 \h </w:instrText>
            </w:r>
            <w:r>
              <w:rPr>
                <w:noProof/>
                <w:webHidden/>
              </w:rPr>
            </w:r>
            <w:r>
              <w:rPr>
                <w:noProof/>
                <w:webHidden/>
              </w:rPr>
              <w:fldChar w:fldCharType="separate"/>
            </w:r>
            <w:r>
              <w:rPr>
                <w:noProof/>
                <w:webHidden/>
              </w:rPr>
              <w:t>5</w:t>
            </w:r>
            <w:r>
              <w:rPr>
                <w:noProof/>
                <w:webHidden/>
              </w:rPr>
              <w:fldChar w:fldCharType="end"/>
            </w:r>
          </w:hyperlink>
        </w:p>
        <w:p w14:paraId="179100D7" w14:textId="76EDD07D" w:rsidR="00C127B6" w:rsidRDefault="00C127B6">
          <w:pPr>
            <w:pStyle w:val="TOC3"/>
            <w:tabs>
              <w:tab w:val="right" w:leader="dot" w:pos="9350"/>
            </w:tabs>
            <w:rPr>
              <w:rFonts w:cstheme="minorBidi"/>
              <w:noProof/>
              <w:kern w:val="2"/>
              <w:lang w:val="en-GB" w:eastAsia="en-GB"/>
            </w:rPr>
          </w:pPr>
          <w:hyperlink w:anchor="_Toc153916057" w:history="1">
            <w:r w:rsidRPr="005A59FA">
              <w:rPr>
                <w:rStyle w:val="Hyperlink"/>
                <w:noProof/>
                <w:lang w:val="en-GB"/>
              </w:rPr>
              <w:t>Recommendations</w:t>
            </w:r>
            <w:r>
              <w:rPr>
                <w:noProof/>
                <w:webHidden/>
              </w:rPr>
              <w:tab/>
            </w:r>
            <w:r>
              <w:rPr>
                <w:noProof/>
                <w:webHidden/>
              </w:rPr>
              <w:fldChar w:fldCharType="begin"/>
            </w:r>
            <w:r>
              <w:rPr>
                <w:noProof/>
                <w:webHidden/>
              </w:rPr>
              <w:instrText xml:space="preserve"> PAGEREF _Toc153916057 \h </w:instrText>
            </w:r>
            <w:r>
              <w:rPr>
                <w:noProof/>
                <w:webHidden/>
              </w:rPr>
            </w:r>
            <w:r>
              <w:rPr>
                <w:noProof/>
                <w:webHidden/>
              </w:rPr>
              <w:fldChar w:fldCharType="separate"/>
            </w:r>
            <w:r>
              <w:rPr>
                <w:noProof/>
                <w:webHidden/>
              </w:rPr>
              <w:t>5</w:t>
            </w:r>
            <w:r>
              <w:rPr>
                <w:noProof/>
                <w:webHidden/>
              </w:rPr>
              <w:fldChar w:fldCharType="end"/>
            </w:r>
          </w:hyperlink>
        </w:p>
        <w:p w14:paraId="30D9F780" w14:textId="49353968" w:rsidR="00C127B6" w:rsidRDefault="00C127B6">
          <w:pPr>
            <w:pStyle w:val="TOC3"/>
            <w:tabs>
              <w:tab w:val="right" w:leader="dot" w:pos="9350"/>
            </w:tabs>
            <w:rPr>
              <w:rFonts w:cstheme="minorBidi"/>
              <w:noProof/>
              <w:kern w:val="2"/>
              <w:lang w:val="en-GB" w:eastAsia="en-GB"/>
            </w:rPr>
          </w:pPr>
          <w:hyperlink w:anchor="_Toc153916058" w:history="1">
            <w:r w:rsidRPr="005A59FA">
              <w:rPr>
                <w:rStyle w:val="Hyperlink"/>
                <w:noProof/>
                <w:lang w:val="en-GB"/>
              </w:rPr>
              <w:t>Future Outlook</w:t>
            </w:r>
            <w:r>
              <w:rPr>
                <w:noProof/>
                <w:webHidden/>
              </w:rPr>
              <w:tab/>
            </w:r>
            <w:r>
              <w:rPr>
                <w:noProof/>
                <w:webHidden/>
              </w:rPr>
              <w:fldChar w:fldCharType="begin"/>
            </w:r>
            <w:r>
              <w:rPr>
                <w:noProof/>
                <w:webHidden/>
              </w:rPr>
              <w:instrText xml:space="preserve"> PAGEREF _Toc153916058 \h </w:instrText>
            </w:r>
            <w:r>
              <w:rPr>
                <w:noProof/>
                <w:webHidden/>
              </w:rPr>
            </w:r>
            <w:r>
              <w:rPr>
                <w:noProof/>
                <w:webHidden/>
              </w:rPr>
              <w:fldChar w:fldCharType="separate"/>
            </w:r>
            <w:r>
              <w:rPr>
                <w:noProof/>
                <w:webHidden/>
              </w:rPr>
              <w:t>6</w:t>
            </w:r>
            <w:r>
              <w:rPr>
                <w:noProof/>
                <w:webHidden/>
              </w:rPr>
              <w:fldChar w:fldCharType="end"/>
            </w:r>
          </w:hyperlink>
        </w:p>
        <w:p w14:paraId="34F8A73E" w14:textId="6E4E55FD" w:rsidR="00C127B6" w:rsidRDefault="00C127B6">
          <w:pPr>
            <w:pStyle w:val="TOC1"/>
            <w:tabs>
              <w:tab w:val="right" w:leader="dot" w:pos="9350"/>
            </w:tabs>
            <w:rPr>
              <w:rFonts w:cstheme="minorBidi"/>
              <w:noProof/>
              <w:kern w:val="2"/>
              <w:lang w:val="en-GB" w:eastAsia="en-GB"/>
            </w:rPr>
          </w:pPr>
          <w:hyperlink w:anchor="_Toc153916059" w:history="1">
            <w:r w:rsidRPr="005A59FA">
              <w:rPr>
                <w:rStyle w:val="Hyperlink"/>
                <w:noProof/>
                <w:lang w:val="en-GB"/>
              </w:rPr>
              <w:t>Conclusion</w:t>
            </w:r>
            <w:r>
              <w:rPr>
                <w:noProof/>
                <w:webHidden/>
              </w:rPr>
              <w:tab/>
            </w:r>
            <w:r>
              <w:rPr>
                <w:noProof/>
                <w:webHidden/>
              </w:rPr>
              <w:fldChar w:fldCharType="begin"/>
            </w:r>
            <w:r>
              <w:rPr>
                <w:noProof/>
                <w:webHidden/>
              </w:rPr>
              <w:instrText xml:space="preserve"> PAGEREF _Toc153916059 \h </w:instrText>
            </w:r>
            <w:r>
              <w:rPr>
                <w:noProof/>
                <w:webHidden/>
              </w:rPr>
            </w:r>
            <w:r>
              <w:rPr>
                <w:noProof/>
                <w:webHidden/>
              </w:rPr>
              <w:fldChar w:fldCharType="separate"/>
            </w:r>
            <w:r>
              <w:rPr>
                <w:noProof/>
                <w:webHidden/>
              </w:rPr>
              <w:t>6</w:t>
            </w:r>
            <w:r>
              <w:rPr>
                <w:noProof/>
                <w:webHidden/>
              </w:rPr>
              <w:fldChar w:fldCharType="end"/>
            </w:r>
          </w:hyperlink>
        </w:p>
        <w:p w14:paraId="4234C2C6" w14:textId="56689EBF" w:rsidR="00C127B6" w:rsidRDefault="00C127B6">
          <w:pPr>
            <w:pStyle w:val="TOC1"/>
            <w:tabs>
              <w:tab w:val="right" w:leader="dot" w:pos="9350"/>
            </w:tabs>
            <w:rPr>
              <w:rFonts w:cstheme="minorBidi"/>
              <w:noProof/>
              <w:kern w:val="2"/>
              <w:lang w:val="en-GB" w:eastAsia="en-GB"/>
            </w:rPr>
          </w:pPr>
          <w:hyperlink w:anchor="_Toc153916060" w:history="1">
            <w:r w:rsidRPr="005A59FA">
              <w:rPr>
                <w:rStyle w:val="Hyperlink"/>
                <w:noProof/>
                <w:lang w:val="en-GB"/>
              </w:rPr>
              <w:t>References</w:t>
            </w:r>
            <w:r>
              <w:rPr>
                <w:noProof/>
                <w:webHidden/>
              </w:rPr>
              <w:tab/>
            </w:r>
            <w:r>
              <w:rPr>
                <w:noProof/>
                <w:webHidden/>
              </w:rPr>
              <w:fldChar w:fldCharType="begin"/>
            </w:r>
            <w:r>
              <w:rPr>
                <w:noProof/>
                <w:webHidden/>
              </w:rPr>
              <w:instrText xml:space="preserve"> PAGEREF _Toc153916060 \h </w:instrText>
            </w:r>
            <w:r>
              <w:rPr>
                <w:noProof/>
                <w:webHidden/>
              </w:rPr>
            </w:r>
            <w:r>
              <w:rPr>
                <w:noProof/>
                <w:webHidden/>
              </w:rPr>
              <w:fldChar w:fldCharType="separate"/>
            </w:r>
            <w:r>
              <w:rPr>
                <w:noProof/>
                <w:webHidden/>
              </w:rPr>
              <w:t>7</w:t>
            </w:r>
            <w:r>
              <w:rPr>
                <w:noProof/>
                <w:webHidden/>
              </w:rPr>
              <w:fldChar w:fldCharType="end"/>
            </w:r>
          </w:hyperlink>
        </w:p>
        <w:p w14:paraId="6E2B4B3D" w14:textId="069EED77" w:rsidR="00C127B6" w:rsidRDefault="00C127B6">
          <w:r>
            <w:rPr>
              <w:b/>
              <w:bCs/>
              <w:noProof/>
            </w:rPr>
            <w:fldChar w:fldCharType="end"/>
          </w:r>
        </w:p>
      </w:sdtContent>
    </w:sdt>
    <w:p w14:paraId="1CCDC804" w14:textId="77777777" w:rsidR="00C127B6" w:rsidRDefault="00C127B6" w:rsidP="00C127B6">
      <w:pPr>
        <w:rPr>
          <w:lang w:val="en-GB"/>
        </w:rPr>
      </w:pPr>
    </w:p>
    <w:p w14:paraId="2DDFB998" w14:textId="77777777" w:rsidR="00C127B6" w:rsidRDefault="00C127B6" w:rsidP="00C127B6">
      <w:pPr>
        <w:rPr>
          <w:lang w:val="en-GB"/>
        </w:rPr>
      </w:pPr>
    </w:p>
    <w:p w14:paraId="780150AB" w14:textId="77777777" w:rsidR="00C127B6" w:rsidRDefault="00C127B6" w:rsidP="00C127B6">
      <w:pPr>
        <w:rPr>
          <w:lang w:val="en-GB"/>
        </w:rPr>
      </w:pPr>
    </w:p>
    <w:p w14:paraId="16971F47" w14:textId="77777777" w:rsidR="00C127B6" w:rsidRDefault="00C127B6" w:rsidP="00C127B6">
      <w:pPr>
        <w:rPr>
          <w:lang w:val="en-GB"/>
        </w:rPr>
      </w:pPr>
    </w:p>
    <w:p w14:paraId="5D0E0C4F" w14:textId="77777777" w:rsidR="00C127B6" w:rsidRPr="00C127B6" w:rsidRDefault="00C127B6" w:rsidP="00C127B6">
      <w:pPr>
        <w:rPr>
          <w:lang w:val="en-GB"/>
        </w:rPr>
      </w:pPr>
    </w:p>
    <w:p w14:paraId="026B7A86" w14:textId="77777777" w:rsidR="00610A70" w:rsidRDefault="00610A70" w:rsidP="009A6135">
      <w:pPr>
        <w:pStyle w:val="Heading1"/>
        <w:spacing w:line="360" w:lineRule="auto"/>
        <w:rPr>
          <w:lang w:val="en-GB"/>
        </w:rPr>
      </w:pPr>
      <w:bookmarkStart w:id="0" w:name="_Toc153916047"/>
    </w:p>
    <w:p w14:paraId="34FE1A24" w14:textId="77777777" w:rsidR="00610A70" w:rsidRDefault="00610A70" w:rsidP="009A6135">
      <w:pPr>
        <w:pStyle w:val="Heading1"/>
        <w:spacing w:line="360" w:lineRule="auto"/>
        <w:rPr>
          <w:lang w:val="en-GB"/>
        </w:rPr>
      </w:pPr>
    </w:p>
    <w:p w14:paraId="3EED0DBC" w14:textId="77777777" w:rsidR="00610A70" w:rsidRDefault="00610A70" w:rsidP="009A6135">
      <w:pPr>
        <w:pStyle w:val="Heading1"/>
        <w:spacing w:line="360" w:lineRule="auto"/>
        <w:rPr>
          <w:lang w:val="en-GB"/>
        </w:rPr>
      </w:pPr>
    </w:p>
    <w:p w14:paraId="5860A398" w14:textId="133DA4EF" w:rsidR="00EA3675" w:rsidRDefault="00EA3675" w:rsidP="009A6135">
      <w:pPr>
        <w:pStyle w:val="Heading1"/>
        <w:spacing w:line="360" w:lineRule="auto"/>
        <w:rPr>
          <w:lang w:val="en-GB"/>
        </w:rPr>
      </w:pPr>
      <w:r w:rsidRPr="00EA3675">
        <w:rPr>
          <w:lang w:val="en-GB"/>
        </w:rPr>
        <w:t>Introduction</w:t>
      </w:r>
      <w:bookmarkEnd w:id="0"/>
      <w:r w:rsidRPr="00EA3675">
        <w:rPr>
          <w:lang w:val="en-GB"/>
        </w:rPr>
        <w:t xml:space="preserve"> </w:t>
      </w:r>
    </w:p>
    <w:p w14:paraId="414A1673" w14:textId="77777777" w:rsidR="003E0277" w:rsidRPr="003E0277" w:rsidRDefault="003E0277" w:rsidP="003E0277">
      <w:pPr>
        <w:spacing w:line="360" w:lineRule="auto"/>
        <w:rPr>
          <w:sz w:val="24"/>
          <w:szCs w:val="24"/>
          <w:lang w:val="en-GB"/>
        </w:rPr>
      </w:pPr>
      <w:r w:rsidRPr="003E0277">
        <w:rPr>
          <w:sz w:val="24"/>
          <w:szCs w:val="24"/>
          <w:lang w:val="en-GB"/>
        </w:rPr>
        <w:t>Linde UK, a subsidiary of Linde plc, stands as a prominent player in the industrial gas and engineering sector, not just in the United Kingdom but on a global scale. With a history dating back over a century, Linde UK has established itself as a leader in the production and distribution of industrial gases, serving a diverse range of industries including healthcare, manufacturing, and food processing (Johnson, 2022). The company's success can be attributed to its innovative approach and commitment to sustainability, positioning it at the forefront of the industry's evolution (Taylor, 2021).</w:t>
      </w:r>
    </w:p>
    <w:p w14:paraId="524C0767" w14:textId="77777777" w:rsidR="003E0277" w:rsidRPr="003E0277" w:rsidRDefault="003E0277" w:rsidP="003E0277">
      <w:pPr>
        <w:spacing w:line="360" w:lineRule="auto"/>
        <w:rPr>
          <w:sz w:val="24"/>
          <w:szCs w:val="24"/>
          <w:lang w:val="en-GB"/>
        </w:rPr>
      </w:pPr>
      <w:r w:rsidRPr="003E0277">
        <w:rPr>
          <w:sz w:val="24"/>
          <w:szCs w:val="24"/>
          <w:lang w:val="en-GB"/>
        </w:rPr>
        <w:t>The purpose of this report is to examine the intricate relationship between Linde UK's organizational structure, its corporate culture, and the motivation of its employees, and how these factors collectively contribute to its overall performance. By delving into these aspects, this analysis seeks to provide insights into the mechanisms through which Linde UK maintains its industry-leading position and achieves its business objectives (Evans and Robinson, 2023).</w:t>
      </w:r>
    </w:p>
    <w:p w14:paraId="167C681C" w14:textId="77777777" w:rsidR="009A6135" w:rsidRPr="009A6135" w:rsidRDefault="009A6135" w:rsidP="009A6135">
      <w:pPr>
        <w:rPr>
          <w:lang w:val="en-GB"/>
        </w:rPr>
      </w:pPr>
    </w:p>
    <w:p w14:paraId="0E70EB8B" w14:textId="5468EBEA" w:rsidR="00EA3675" w:rsidRDefault="00EA3675" w:rsidP="00960E96">
      <w:pPr>
        <w:pStyle w:val="Heading1"/>
        <w:rPr>
          <w:lang w:val="en-GB"/>
        </w:rPr>
      </w:pPr>
      <w:bookmarkStart w:id="1" w:name="_Toc153916048"/>
      <w:r w:rsidRPr="00EA3675">
        <w:rPr>
          <w:lang w:val="en-GB"/>
        </w:rPr>
        <w:t>Organizational Structure at Linde UK</w:t>
      </w:r>
      <w:bookmarkEnd w:id="1"/>
      <w:r w:rsidRPr="00EA3675">
        <w:rPr>
          <w:lang w:val="en-GB"/>
        </w:rPr>
        <w:t xml:space="preserve"> </w:t>
      </w:r>
    </w:p>
    <w:p w14:paraId="605A01E5" w14:textId="77777777" w:rsidR="00960E96" w:rsidRDefault="00960E96" w:rsidP="00960E96">
      <w:pPr>
        <w:rPr>
          <w:lang w:val="en-GB"/>
        </w:rPr>
      </w:pPr>
    </w:p>
    <w:p w14:paraId="0C5CEF14" w14:textId="7948D524" w:rsidR="00960E96" w:rsidRPr="00960E96" w:rsidRDefault="00960E96" w:rsidP="00960E96">
      <w:pPr>
        <w:spacing w:line="276" w:lineRule="auto"/>
        <w:rPr>
          <w:lang w:val="en-GB"/>
        </w:rPr>
      </w:pPr>
      <w:r>
        <w:rPr>
          <w:lang w:val="en-GB"/>
        </w:rPr>
        <w:t>1</w:t>
      </w:r>
      <w:r w:rsidRPr="00960E96">
        <w:rPr>
          <w:lang w:val="en-GB"/>
        </w:rPr>
        <w:t xml:space="preserve">. </w:t>
      </w:r>
      <w:r w:rsidRPr="00960E96">
        <w:rPr>
          <w:rStyle w:val="Heading3Char"/>
          <w:lang w:val="en-GB"/>
        </w:rPr>
        <w:t>Overview of the Structure</w:t>
      </w:r>
    </w:p>
    <w:p w14:paraId="644C8E22" w14:textId="77777777" w:rsidR="00960E96" w:rsidRPr="00960E96" w:rsidRDefault="00960E96" w:rsidP="00960E96">
      <w:pPr>
        <w:spacing w:line="360" w:lineRule="auto"/>
        <w:rPr>
          <w:sz w:val="24"/>
          <w:szCs w:val="24"/>
          <w:lang w:val="en-GB"/>
        </w:rPr>
      </w:pPr>
      <w:r w:rsidRPr="00960E96">
        <w:rPr>
          <w:sz w:val="24"/>
          <w:szCs w:val="24"/>
          <w:lang w:val="en-GB"/>
        </w:rPr>
        <w:t>Linde UK's organizational structure can be best described as a matrix structure, characterized by a blend of functional and divisional arrangements. This structure allows for a more dynamic and flexible approach to managing the diverse range of services and products the company offers (Watson, 2022). Within this matrix, employees report to both functional managers and project or product managers, fostering a collaborative environment that is conducive to innovative problem-solving (Barnes &amp; O'Hara, 2021). This dual-reporting system is implemented in daily operations, enabling quick decision-making and efficient allocation of resources across different projects.</w:t>
      </w:r>
    </w:p>
    <w:p w14:paraId="67F58D35" w14:textId="77777777" w:rsidR="00960E96" w:rsidRPr="00960E96" w:rsidRDefault="00960E96" w:rsidP="00960E96">
      <w:pPr>
        <w:spacing w:line="360" w:lineRule="auto"/>
        <w:rPr>
          <w:sz w:val="24"/>
          <w:szCs w:val="24"/>
          <w:lang w:val="en-GB"/>
        </w:rPr>
      </w:pPr>
      <w:r w:rsidRPr="00960E96">
        <w:rPr>
          <w:sz w:val="24"/>
          <w:szCs w:val="24"/>
          <w:lang w:val="en-GB"/>
        </w:rPr>
        <w:t xml:space="preserve">The matrix structure's implementation is evident in Linde UK's approach to project management. Employees from various functional departments such as research, production, </w:t>
      </w:r>
      <w:r w:rsidRPr="00960E96">
        <w:rPr>
          <w:sz w:val="24"/>
          <w:szCs w:val="24"/>
          <w:lang w:val="en-GB"/>
        </w:rPr>
        <w:lastRenderedPageBreak/>
        <w:t>and marketing, are grouped together for specific projects, allowing for a pooling of diverse skills and expertise (Green, 2022). This structure not only facilitates a cross-functional flow of information but also encourages a more holistic approach to project execution.</w:t>
      </w:r>
    </w:p>
    <w:p w14:paraId="523728CF" w14:textId="77777777" w:rsidR="00960E96" w:rsidRPr="00960E96" w:rsidRDefault="00960E96" w:rsidP="00960E96">
      <w:pPr>
        <w:pStyle w:val="Heading3"/>
        <w:spacing w:line="360" w:lineRule="auto"/>
        <w:rPr>
          <w:sz w:val="28"/>
          <w:szCs w:val="28"/>
          <w:lang w:val="en-GB"/>
        </w:rPr>
      </w:pPr>
      <w:bookmarkStart w:id="2" w:name="_Toc153916049"/>
      <w:r w:rsidRPr="00960E96">
        <w:rPr>
          <w:sz w:val="28"/>
          <w:szCs w:val="28"/>
          <w:lang w:val="en-GB"/>
        </w:rPr>
        <w:t>2. Impact on Performance</w:t>
      </w:r>
      <w:bookmarkEnd w:id="2"/>
    </w:p>
    <w:p w14:paraId="29255F06" w14:textId="77777777" w:rsidR="00960E96" w:rsidRPr="00960E96" w:rsidRDefault="00960E96" w:rsidP="00960E96">
      <w:pPr>
        <w:spacing w:line="360" w:lineRule="auto"/>
        <w:rPr>
          <w:sz w:val="24"/>
          <w:szCs w:val="24"/>
          <w:lang w:val="en-GB"/>
        </w:rPr>
      </w:pPr>
      <w:r w:rsidRPr="00960E96">
        <w:rPr>
          <w:sz w:val="24"/>
          <w:szCs w:val="24"/>
          <w:lang w:val="en-GB"/>
        </w:rPr>
        <w:t>The matrix structure of Linde UK significantly influences its operational efficiency, decision-making process, and internal communication. By enabling teams to collaborate across functions and divisions, it accelerates the decision-making process, especially in complex project environments (Taylor &amp; Khan, 2023). This structure also promotes efficient utilization of resources, as employees with specific skill sets can be easily reassigned to different projects based on changing priorities and needs (Watson, 2022).</w:t>
      </w:r>
    </w:p>
    <w:p w14:paraId="19BB2A25" w14:textId="77777777" w:rsidR="00960E96" w:rsidRPr="00960E96" w:rsidRDefault="00960E96" w:rsidP="00960E96">
      <w:pPr>
        <w:spacing w:line="360" w:lineRule="auto"/>
        <w:rPr>
          <w:sz w:val="24"/>
          <w:szCs w:val="24"/>
          <w:lang w:val="en-GB"/>
        </w:rPr>
      </w:pPr>
      <w:r w:rsidRPr="00960E96">
        <w:rPr>
          <w:sz w:val="24"/>
          <w:szCs w:val="24"/>
          <w:lang w:val="en-GB"/>
        </w:rPr>
        <w:t>A case study illustrating the impact of this structure on Linde UK's performance can be seen in its recent initiative to expand into renewable energy sectors. The project involved teams from research, marketing, and operations. The matrix structure allowed for seamless integration of these diverse functions, leading to the successful and timely launch of the new product line (Barnes &amp; O'Hara, 2021). Moreover, this structure fostered effective internal communication, ensuring that all teams were aligned with the company's strategic goals.</w:t>
      </w:r>
    </w:p>
    <w:p w14:paraId="552DFEBD" w14:textId="77777777" w:rsidR="00960E96" w:rsidRPr="00960E96" w:rsidRDefault="00960E96" w:rsidP="00960E96">
      <w:pPr>
        <w:rPr>
          <w:lang w:val="en-GB"/>
        </w:rPr>
      </w:pPr>
    </w:p>
    <w:p w14:paraId="308F48A9" w14:textId="476D8A6A" w:rsidR="00EA3675" w:rsidRPr="00EA3675" w:rsidRDefault="00EA3675" w:rsidP="00960E96">
      <w:pPr>
        <w:rPr>
          <w:lang w:val="en-GB"/>
        </w:rPr>
      </w:pPr>
    </w:p>
    <w:p w14:paraId="2979A4AF" w14:textId="2044F2D5" w:rsidR="00EA3675" w:rsidRDefault="00EA3675" w:rsidP="00526071">
      <w:pPr>
        <w:pStyle w:val="Heading1"/>
        <w:rPr>
          <w:lang w:val="en-GB"/>
        </w:rPr>
      </w:pPr>
      <w:bookmarkStart w:id="3" w:name="_Toc153916050"/>
      <w:r w:rsidRPr="00EA3675">
        <w:rPr>
          <w:lang w:val="en-GB"/>
        </w:rPr>
        <w:t>Individual Motivation at Linde UK</w:t>
      </w:r>
      <w:bookmarkEnd w:id="3"/>
      <w:r w:rsidRPr="00EA3675">
        <w:rPr>
          <w:lang w:val="en-GB"/>
        </w:rPr>
        <w:t xml:space="preserve"> </w:t>
      </w:r>
    </w:p>
    <w:p w14:paraId="28C1CC6A" w14:textId="77777777" w:rsidR="00526071" w:rsidRDefault="00526071" w:rsidP="00526071">
      <w:pPr>
        <w:rPr>
          <w:lang w:val="en-GB"/>
        </w:rPr>
      </w:pPr>
    </w:p>
    <w:p w14:paraId="7757CF99" w14:textId="77777777" w:rsidR="000B19CB" w:rsidRPr="000B19CB" w:rsidRDefault="000B19CB" w:rsidP="000B19CB">
      <w:pPr>
        <w:pStyle w:val="Heading3"/>
        <w:spacing w:line="360" w:lineRule="auto"/>
        <w:rPr>
          <w:sz w:val="28"/>
          <w:szCs w:val="28"/>
          <w:lang w:val="en-GB"/>
        </w:rPr>
      </w:pPr>
      <w:bookmarkStart w:id="4" w:name="_Toc153916051"/>
      <w:r w:rsidRPr="000B19CB">
        <w:rPr>
          <w:sz w:val="28"/>
          <w:szCs w:val="28"/>
          <w:lang w:val="en-GB"/>
        </w:rPr>
        <w:t>1. Motivational Approaches</w:t>
      </w:r>
      <w:bookmarkEnd w:id="4"/>
    </w:p>
    <w:p w14:paraId="7EC4195D" w14:textId="77777777" w:rsidR="000B19CB" w:rsidRPr="000B19CB" w:rsidRDefault="000B19CB" w:rsidP="000B19CB">
      <w:pPr>
        <w:spacing w:line="360" w:lineRule="auto"/>
        <w:rPr>
          <w:sz w:val="24"/>
          <w:szCs w:val="24"/>
          <w:lang w:val="en-GB"/>
        </w:rPr>
      </w:pPr>
      <w:r w:rsidRPr="000B19CB">
        <w:rPr>
          <w:sz w:val="24"/>
          <w:szCs w:val="24"/>
          <w:lang w:val="en-GB"/>
        </w:rPr>
        <w:t xml:space="preserve">Linde UK employs a multifaceted approach to employee motivation, recognizing that a motivated workforce is pivotal to its success. One primary strategy is the provision of competitive financial incentives, including bonuses and performance-related pay (Clarkson, 2023). This approach aligns employee objectives with the company’s goals, fostering a culture of high performance. Additionally, Linde UK invests in comprehensive training and development </w:t>
      </w:r>
      <w:r w:rsidRPr="000B19CB">
        <w:rPr>
          <w:sz w:val="24"/>
          <w:szCs w:val="24"/>
          <w:lang w:val="en-GB"/>
        </w:rPr>
        <w:lastRenderedPageBreak/>
        <w:t>programs, which not only enhance employee skills but also demonstrate a commitment to their personal and professional growth (Morgan, 2022).</w:t>
      </w:r>
    </w:p>
    <w:p w14:paraId="440DFD7F" w14:textId="77777777" w:rsidR="000B19CB" w:rsidRPr="000B19CB" w:rsidRDefault="000B19CB" w:rsidP="000B19CB">
      <w:pPr>
        <w:spacing w:line="360" w:lineRule="auto"/>
        <w:rPr>
          <w:sz w:val="24"/>
          <w:szCs w:val="24"/>
          <w:lang w:val="en-GB"/>
        </w:rPr>
      </w:pPr>
      <w:r w:rsidRPr="000B19CB">
        <w:rPr>
          <w:sz w:val="24"/>
          <w:szCs w:val="24"/>
          <w:lang w:val="en-GB"/>
        </w:rPr>
        <w:t>Another significant motivational strategy at Linde UK is the emphasis on creating a positive and inclusive work environment. The company actively promotes work-life balance through flexible working arrangements and wellness programs (Harrison, 2021). This holistic approach to employee well-being has been integral to maintaining high levels of employee satisfaction and motivation.</w:t>
      </w:r>
    </w:p>
    <w:p w14:paraId="67C2BC96" w14:textId="77777777" w:rsidR="000B19CB" w:rsidRPr="000B19CB" w:rsidRDefault="000B19CB" w:rsidP="000B19CB">
      <w:pPr>
        <w:pStyle w:val="Heading3"/>
        <w:spacing w:line="360" w:lineRule="auto"/>
        <w:rPr>
          <w:sz w:val="28"/>
          <w:szCs w:val="28"/>
          <w:lang w:val="en-GB"/>
        </w:rPr>
      </w:pPr>
      <w:bookmarkStart w:id="5" w:name="_Toc153916052"/>
      <w:r w:rsidRPr="000B19CB">
        <w:rPr>
          <w:sz w:val="28"/>
          <w:szCs w:val="28"/>
          <w:lang w:val="en-GB"/>
        </w:rPr>
        <w:t>2. Effectiveness and Comparison</w:t>
      </w:r>
      <w:bookmarkEnd w:id="5"/>
    </w:p>
    <w:p w14:paraId="34C9C353" w14:textId="77777777" w:rsidR="000B19CB" w:rsidRPr="000B19CB" w:rsidRDefault="000B19CB" w:rsidP="000B19CB">
      <w:pPr>
        <w:spacing w:line="360" w:lineRule="auto"/>
        <w:rPr>
          <w:sz w:val="24"/>
          <w:szCs w:val="24"/>
          <w:lang w:val="en-GB"/>
        </w:rPr>
      </w:pPr>
      <w:r w:rsidRPr="000B19CB">
        <w:rPr>
          <w:sz w:val="24"/>
          <w:szCs w:val="24"/>
          <w:lang w:val="en-GB"/>
        </w:rPr>
        <w:t>The effectiveness of Linde UK's motivational strategies can be gauged by its low employee turnover rates and high productivity levels. Employee surveys have indicated high levels of job satisfaction, attributed mainly to the company’s comprehensive reward system and supportive work environment (Clarkson, 2023). This success demonstrates that Linde UK’s approach not only motivates its workforce but also aligns with the overall business strategy.</w:t>
      </w:r>
    </w:p>
    <w:p w14:paraId="3B571228" w14:textId="77777777" w:rsidR="000B19CB" w:rsidRPr="000B19CB" w:rsidRDefault="000B19CB" w:rsidP="000B19CB">
      <w:pPr>
        <w:spacing w:line="360" w:lineRule="auto"/>
        <w:rPr>
          <w:sz w:val="24"/>
          <w:szCs w:val="24"/>
          <w:lang w:val="en-GB"/>
        </w:rPr>
      </w:pPr>
      <w:r w:rsidRPr="000B19CB">
        <w:rPr>
          <w:sz w:val="24"/>
          <w:szCs w:val="24"/>
          <w:lang w:val="en-GB"/>
        </w:rPr>
        <w:t>When compared to industry standards, Linde UK stands out for its holistic approach to employee motivation. While financial incentives are common across the industry, Linde’s investment in employee well-being and development is more pronounced than many of its competitors (Morgan, 2022). For instance, Linde UK's commitment to flexible working arrangements and mental health support goes beyond the typical offerings in the sector, setting a benchmark for industry best practices (Harrison, 2021).</w:t>
      </w:r>
    </w:p>
    <w:p w14:paraId="7FDBA424" w14:textId="77777777" w:rsidR="00526071" w:rsidRPr="00526071" w:rsidRDefault="00526071" w:rsidP="00526071">
      <w:pPr>
        <w:rPr>
          <w:lang w:val="en-GB"/>
        </w:rPr>
      </w:pPr>
    </w:p>
    <w:p w14:paraId="3CD8C2D4" w14:textId="5A63C742" w:rsidR="00EA3675" w:rsidRDefault="00EA3675" w:rsidP="00681A12">
      <w:pPr>
        <w:pStyle w:val="Heading1"/>
        <w:rPr>
          <w:lang w:val="en-GB"/>
        </w:rPr>
      </w:pPr>
      <w:bookmarkStart w:id="6" w:name="_Toc153916053"/>
      <w:r w:rsidRPr="00EA3675">
        <w:rPr>
          <w:lang w:val="en-GB"/>
        </w:rPr>
        <w:t>Integrated Analysis</w:t>
      </w:r>
      <w:bookmarkEnd w:id="6"/>
      <w:r w:rsidRPr="00EA3675">
        <w:rPr>
          <w:lang w:val="en-GB"/>
        </w:rPr>
        <w:t xml:space="preserve"> </w:t>
      </w:r>
    </w:p>
    <w:p w14:paraId="66BBD882" w14:textId="77777777" w:rsidR="00681A12" w:rsidRDefault="00681A12" w:rsidP="00681A12">
      <w:pPr>
        <w:rPr>
          <w:lang w:val="en-GB"/>
        </w:rPr>
      </w:pPr>
    </w:p>
    <w:p w14:paraId="5482D9F2" w14:textId="77777777" w:rsidR="00681A12" w:rsidRPr="00681A12" w:rsidRDefault="00681A12" w:rsidP="00681A12">
      <w:pPr>
        <w:pStyle w:val="Heading3"/>
        <w:spacing w:line="360" w:lineRule="auto"/>
        <w:rPr>
          <w:sz w:val="28"/>
          <w:szCs w:val="28"/>
          <w:lang w:val="en-GB"/>
        </w:rPr>
      </w:pPr>
      <w:bookmarkStart w:id="7" w:name="_Toc153916054"/>
      <w:r w:rsidRPr="00681A12">
        <w:rPr>
          <w:sz w:val="28"/>
          <w:szCs w:val="28"/>
          <w:lang w:val="en-GB"/>
        </w:rPr>
        <w:t>Interplay Between Structure, Culture, and Motivation</w:t>
      </w:r>
      <w:bookmarkEnd w:id="7"/>
    </w:p>
    <w:p w14:paraId="3AEFECFC" w14:textId="77777777" w:rsidR="00681A12" w:rsidRPr="00681A12" w:rsidRDefault="00681A12" w:rsidP="00681A12">
      <w:pPr>
        <w:spacing w:line="360" w:lineRule="auto"/>
        <w:rPr>
          <w:sz w:val="24"/>
          <w:szCs w:val="24"/>
          <w:lang w:val="en-GB"/>
        </w:rPr>
      </w:pPr>
      <w:r w:rsidRPr="00681A12">
        <w:rPr>
          <w:sz w:val="24"/>
          <w:szCs w:val="24"/>
          <w:lang w:val="en-GB"/>
        </w:rPr>
        <w:t xml:space="preserve">At Linde UK, the interplay between organizational structure, culture, and motivational strategies is a finely tuned symphony that drives its overall performance. The matrix organizational structure facilitates flexibility and cross-functional collaboration, which is deeply ingrained in the company's culture of innovation and teamwork (Anderson, 2022). This structure supports </w:t>
      </w:r>
      <w:r w:rsidRPr="00681A12">
        <w:rPr>
          <w:sz w:val="24"/>
          <w:szCs w:val="24"/>
          <w:lang w:val="en-GB"/>
        </w:rPr>
        <w:lastRenderedPageBreak/>
        <w:t>the cultural value of collaborative problem-solving, ensuring that different departments work in harmony rather than in silos.</w:t>
      </w:r>
    </w:p>
    <w:p w14:paraId="216351BF" w14:textId="77777777" w:rsidR="00681A12" w:rsidRPr="00681A12" w:rsidRDefault="00681A12" w:rsidP="00681A12">
      <w:pPr>
        <w:spacing w:line="360" w:lineRule="auto"/>
        <w:rPr>
          <w:sz w:val="24"/>
          <w:szCs w:val="24"/>
          <w:lang w:val="en-GB"/>
        </w:rPr>
      </w:pPr>
      <w:r w:rsidRPr="00681A12">
        <w:rPr>
          <w:sz w:val="24"/>
          <w:szCs w:val="24"/>
          <w:lang w:val="en-GB"/>
        </w:rPr>
        <w:t>The company’s culture, characterized by a focus on innovation, safety, and sustainability, is not just a set of values but a living, breathing aspect of every operational process (Fisher &amp; Patel, 2021). This culture is reflected in the way employees are motivated. For example, Linde UK’s emphasis on sustainability resonates with the intrinsic motivations of employees who value environmental responsibility, thereby fostering a deeper engagement with the company’s objectives (Wilson, 2023).</w:t>
      </w:r>
    </w:p>
    <w:p w14:paraId="7A43C9D3" w14:textId="77777777" w:rsidR="00681A12" w:rsidRPr="00681A12" w:rsidRDefault="00681A12" w:rsidP="00681A12">
      <w:pPr>
        <w:spacing w:line="360" w:lineRule="auto"/>
        <w:rPr>
          <w:sz w:val="24"/>
          <w:szCs w:val="24"/>
          <w:lang w:val="en-GB"/>
        </w:rPr>
      </w:pPr>
      <w:r w:rsidRPr="00681A12">
        <w:rPr>
          <w:sz w:val="24"/>
          <w:szCs w:val="24"/>
          <w:lang w:val="en-GB"/>
        </w:rPr>
        <w:t>Moreover, Linde UK’s motivational strategies are designed to complement its matrix structure and cultural ethos. The provision of career development opportunities and a supportive work environment encourages employees to take on cross-functional roles, enhancing the flexibility that the matrix structure intends to provide (Smith, 2022). Similarly, the inclusive culture at Linde UK is supported by motivational strategies that emphasize work-life balance and mental well-being, which in turn reinforces the company’s commitment to its employees (Harris, 2021).</w:t>
      </w:r>
    </w:p>
    <w:p w14:paraId="15A2A1C2" w14:textId="77777777" w:rsidR="00681A12" w:rsidRPr="00681A12" w:rsidRDefault="00681A12" w:rsidP="00681A12">
      <w:pPr>
        <w:pStyle w:val="Heading3"/>
        <w:spacing w:line="360" w:lineRule="auto"/>
        <w:rPr>
          <w:sz w:val="28"/>
          <w:szCs w:val="28"/>
          <w:lang w:val="en-GB"/>
        </w:rPr>
      </w:pPr>
      <w:bookmarkStart w:id="8" w:name="_Toc153916055"/>
      <w:r w:rsidRPr="00681A12">
        <w:rPr>
          <w:sz w:val="28"/>
          <w:szCs w:val="28"/>
          <w:lang w:val="en-GB"/>
        </w:rPr>
        <w:t>Combined Effect on Organizational Performance</w:t>
      </w:r>
      <w:bookmarkEnd w:id="8"/>
    </w:p>
    <w:p w14:paraId="1B245DEE" w14:textId="77777777" w:rsidR="00681A12" w:rsidRPr="00681A12" w:rsidRDefault="00681A12" w:rsidP="00681A12">
      <w:pPr>
        <w:spacing w:line="360" w:lineRule="auto"/>
        <w:rPr>
          <w:sz w:val="24"/>
          <w:szCs w:val="24"/>
          <w:lang w:val="en-GB"/>
        </w:rPr>
      </w:pPr>
      <w:r w:rsidRPr="00681A12">
        <w:rPr>
          <w:sz w:val="24"/>
          <w:szCs w:val="24"/>
          <w:lang w:val="en-GB"/>
        </w:rPr>
        <w:t>The combined effect of Linde UK’s organizational structure, culture, and motivational strategies on its overall performance is significant. The matrix structure, supported by a culture of collaboration and innovation, ensures that the company can quickly adapt to market changes and innovate effectively. This is evident in Linde UK’s ability to consistently introduce new products and services, maintaining its competitive edge in the industrial gas market (Anderson, 2022).</w:t>
      </w:r>
    </w:p>
    <w:p w14:paraId="5D342DC1" w14:textId="77777777" w:rsidR="00681A12" w:rsidRPr="00681A12" w:rsidRDefault="00681A12" w:rsidP="00681A12">
      <w:pPr>
        <w:spacing w:line="360" w:lineRule="auto"/>
        <w:rPr>
          <w:sz w:val="24"/>
          <w:szCs w:val="24"/>
          <w:lang w:val="en-GB"/>
        </w:rPr>
      </w:pPr>
      <w:r w:rsidRPr="00681A12">
        <w:rPr>
          <w:sz w:val="24"/>
          <w:szCs w:val="24"/>
          <w:lang w:val="en-GB"/>
        </w:rPr>
        <w:t>Furthermore, the alignment of motivational strategies with the company’s culture and structure results in high employee engagement and productivity. Employees are not only motivated by financial incentives but also by the alignment of their personal values with the company’s sustainable and innovative practices (Wilson, 2023). This has led to notable achievements in areas such as environmental initiatives and safety records, further enhancing the company’s reputation and operational success (Fisher &amp; Patel, 2021).</w:t>
      </w:r>
    </w:p>
    <w:p w14:paraId="465D5467" w14:textId="77777777" w:rsidR="00681A12" w:rsidRPr="00681A12" w:rsidRDefault="00681A12" w:rsidP="00681A12">
      <w:pPr>
        <w:rPr>
          <w:lang w:val="en-GB"/>
        </w:rPr>
      </w:pPr>
    </w:p>
    <w:p w14:paraId="6D59927C" w14:textId="065CE8AF" w:rsidR="00EA3675" w:rsidRDefault="00EA3675" w:rsidP="004C3043">
      <w:pPr>
        <w:pStyle w:val="Heading1"/>
        <w:rPr>
          <w:lang w:val="en-GB"/>
        </w:rPr>
      </w:pPr>
      <w:bookmarkStart w:id="9" w:name="_Toc153916056"/>
      <w:r w:rsidRPr="00EA3675">
        <w:rPr>
          <w:lang w:val="en-GB"/>
        </w:rPr>
        <w:t>Recommendations and Future Outlook</w:t>
      </w:r>
      <w:bookmarkEnd w:id="9"/>
    </w:p>
    <w:p w14:paraId="17D8724F" w14:textId="77777777" w:rsidR="004C3043" w:rsidRPr="004C3043" w:rsidRDefault="004C3043" w:rsidP="004C3043">
      <w:pPr>
        <w:spacing w:line="360" w:lineRule="auto"/>
        <w:rPr>
          <w:sz w:val="24"/>
          <w:szCs w:val="24"/>
          <w:lang w:val="en-GB"/>
        </w:rPr>
      </w:pPr>
    </w:p>
    <w:p w14:paraId="27AA9D0C" w14:textId="77777777" w:rsidR="004C3043" w:rsidRPr="004C3043" w:rsidRDefault="004C3043" w:rsidP="004C3043">
      <w:pPr>
        <w:pStyle w:val="Heading3"/>
        <w:spacing w:line="360" w:lineRule="auto"/>
        <w:rPr>
          <w:sz w:val="28"/>
          <w:szCs w:val="28"/>
          <w:lang w:val="en-GB"/>
        </w:rPr>
      </w:pPr>
      <w:bookmarkStart w:id="10" w:name="_Toc153916057"/>
      <w:r w:rsidRPr="004C3043">
        <w:rPr>
          <w:sz w:val="28"/>
          <w:szCs w:val="28"/>
          <w:lang w:val="en-GB"/>
        </w:rPr>
        <w:t>Recommendations</w:t>
      </w:r>
      <w:bookmarkEnd w:id="10"/>
    </w:p>
    <w:p w14:paraId="57579B6B" w14:textId="77777777" w:rsidR="004C3043" w:rsidRPr="004C3043" w:rsidRDefault="004C3043" w:rsidP="004C3043">
      <w:pPr>
        <w:spacing w:line="360" w:lineRule="auto"/>
        <w:rPr>
          <w:sz w:val="24"/>
          <w:szCs w:val="24"/>
          <w:lang w:val="en-GB"/>
        </w:rPr>
      </w:pPr>
      <w:r w:rsidRPr="004C3043">
        <w:rPr>
          <w:sz w:val="24"/>
          <w:szCs w:val="24"/>
          <w:lang w:val="en-GB"/>
        </w:rPr>
        <w:t>Based on the analysis, one key recommendation for Linde UK is to enhance its digital transformation initiatives. Integrating advanced digital tools within the matrix structure could streamline communication and project management, further boosting operational efficiency (Thompson, 2023). Additionally, Linde UK could benefit from expanding its focus on employee wellness programs, particularly in areas related to mental health and work-life balance, which are increasingly important in the modern workforce (Gupta, 2022).</w:t>
      </w:r>
    </w:p>
    <w:p w14:paraId="56F22B57" w14:textId="66F76060" w:rsidR="004C3043" w:rsidRPr="004C3043" w:rsidRDefault="004C3043" w:rsidP="004C3043">
      <w:pPr>
        <w:spacing w:line="360" w:lineRule="auto"/>
        <w:rPr>
          <w:sz w:val="24"/>
          <w:szCs w:val="24"/>
          <w:lang w:val="en-GB"/>
        </w:rPr>
      </w:pPr>
      <w:r w:rsidRPr="004C3043">
        <w:rPr>
          <w:sz w:val="24"/>
          <w:szCs w:val="24"/>
          <w:lang w:val="en-GB"/>
        </w:rPr>
        <w:t xml:space="preserve">Investing in sustainability and green technologies not only aligns with Linde UK’s culture but also positions the company </w:t>
      </w:r>
      <w:r w:rsidRPr="004C3043">
        <w:rPr>
          <w:sz w:val="24"/>
          <w:szCs w:val="24"/>
          <w:lang w:val="en-GB"/>
        </w:rPr>
        <w:t>favourably</w:t>
      </w:r>
      <w:r w:rsidRPr="004C3043">
        <w:rPr>
          <w:sz w:val="24"/>
          <w:szCs w:val="24"/>
          <w:lang w:val="en-GB"/>
        </w:rPr>
        <w:t xml:space="preserve"> for future regulatory changes and market demands (Clark &amp; Nguyen, 2023). Strengthening these areas can enhance Linde UK’s reputation as a leader in corporate responsibility and innovation.</w:t>
      </w:r>
    </w:p>
    <w:p w14:paraId="23758FC9" w14:textId="77777777" w:rsidR="004C3043" w:rsidRPr="004C3043" w:rsidRDefault="004C3043" w:rsidP="004C3043">
      <w:pPr>
        <w:pStyle w:val="Heading3"/>
        <w:spacing w:line="360" w:lineRule="auto"/>
        <w:rPr>
          <w:sz w:val="28"/>
          <w:szCs w:val="28"/>
          <w:lang w:val="en-GB"/>
        </w:rPr>
      </w:pPr>
      <w:bookmarkStart w:id="11" w:name="_Toc153916058"/>
      <w:proofErr w:type="gramStart"/>
      <w:r w:rsidRPr="004C3043">
        <w:rPr>
          <w:sz w:val="28"/>
          <w:szCs w:val="28"/>
          <w:lang w:val="en-GB"/>
        </w:rPr>
        <w:t>Future Outlook</w:t>
      </w:r>
      <w:bookmarkEnd w:id="11"/>
      <w:proofErr w:type="gramEnd"/>
    </w:p>
    <w:p w14:paraId="7019CA10" w14:textId="77777777" w:rsidR="004C3043" w:rsidRPr="004C3043" w:rsidRDefault="004C3043" w:rsidP="004C3043">
      <w:pPr>
        <w:spacing w:line="360" w:lineRule="auto"/>
        <w:rPr>
          <w:sz w:val="24"/>
          <w:szCs w:val="24"/>
          <w:lang w:val="en-GB"/>
        </w:rPr>
      </w:pPr>
      <w:r w:rsidRPr="004C3043">
        <w:rPr>
          <w:sz w:val="24"/>
          <w:szCs w:val="24"/>
          <w:lang w:val="en-GB"/>
        </w:rPr>
        <w:t xml:space="preserve">Implementing these recommendations is likely to solidify Linde UK’s position in the market. Embracing digital transformation will prepare the company for the rapidly evolving technological landscape, ensuring continued competitiveness (Thompson, 2023). A greater focus on employee well-being can lead to higher job satisfaction and retention rates, translating into improved productivity and innovation (Gupta, 2022). Lastly, a stronger emphasis on sustainability will not only cater to the growing eco-conscious market but also </w:t>
      </w:r>
      <w:proofErr w:type="gramStart"/>
      <w:r w:rsidRPr="004C3043">
        <w:rPr>
          <w:sz w:val="24"/>
          <w:szCs w:val="24"/>
          <w:lang w:val="en-GB"/>
        </w:rPr>
        <w:t>future-proof</w:t>
      </w:r>
      <w:proofErr w:type="gramEnd"/>
      <w:r w:rsidRPr="004C3043">
        <w:rPr>
          <w:sz w:val="24"/>
          <w:szCs w:val="24"/>
          <w:lang w:val="en-GB"/>
        </w:rPr>
        <w:t xml:space="preserve"> the company against environmental regulations (Clark &amp; Nguyen, 2023).</w:t>
      </w:r>
    </w:p>
    <w:p w14:paraId="2CA61C3A" w14:textId="77777777" w:rsidR="004C3043" w:rsidRPr="004C3043" w:rsidRDefault="004C3043" w:rsidP="004C3043">
      <w:pPr>
        <w:rPr>
          <w:lang w:val="en-GB"/>
        </w:rPr>
      </w:pPr>
    </w:p>
    <w:p w14:paraId="437C464E" w14:textId="3268E70A" w:rsidR="00EA3675" w:rsidRDefault="00EA3675" w:rsidP="00FA0911">
      <w:pPr>
        <w:pStyle w:val="Heading1"/>
        <w:rPr>
          <w:lang w:val="en-GB"/>
        </w:rPr>
      </w:pPr>
      <w:bookmarkStart w:id="12" w:name="_Toc153916059"/>
      <w:r w:rsidRPr="00EA3675">
        <w:rPr>
          <w:lang w:val="en-GB"/>
        </w:rPr>
        <w:t>Conclusion</w:t>
      </w:r>
      <w:bookmarkEnd w:id="12"/>
      <w:r w:rsidRPr="00EA3675">
        <w:rPr>
          <w:lang w:val="en-GB"/>
        </w:rPr>
        <w:t xml:space="preserve"> </w:t>
      </w:r>
    </w:p>
    <w:p w14:paraId="02C48C2F" w14:textId="77777777" w:rsidR="00FA0911" w:rsidRDefault="00FA0911" w:rsidP="00FA0911">
      <w:pPr>
        <w:rPr>
          <w:lang w:val="en-GB"/>
        </w:rPr>
      </w:pPr>
    </w:p>
    <w:p w14:paraId="42F9449B" w14:textId="77777777" w:rsidR="00FA0911" w:rsidRPr="00FA0911" w:rsidRDefault="00FA0911" w:rsidP="00FA0911">
      <w:pPr>
        <w:spacing w:line="360" w:lineRule="auto"/>
        <w:rPr>
          <w:sz w:val="24"/>
          <w:szCs w:val="24"/>
          <w:lang w:val="en-GB"/>
        </w:rPr>
      </w:pPr>
      <w:r w:rsidRPr="00FA0911">
        <w:rPr>
          <w:sz w:val="24"/>
          <w:szCs w:val="24"/>
          <w:lang w:val="en-GB"/>
        </w:rPr>
        <w:t xml:space="preserve">This report has systematically explored the interdependencies of organizational structure, culture, and employee motivation at Linde UK, and their collective impact on the company’s </w:t>
      </w:r>
      <w:r w:rsidRPr="00FA0911">
        <w:rPr>
          <w:sz w:val="24"/>
          <w:szCs w:val="24"/>
          <w:lang w:val="en-GB"/>
        </w:rPr>
        <w:lastRenderedPageBreak/>
        <w:t>performance. The analysis reveals that Linde UK’s matrix organizational structure, which promotes flexibility and cross-functional collaboration, is a key driver of its operational success. This structure supports the company’s innovative culture, encouraging employees to engage in collaborative problem-solving and contribute to the company’s pioneering efforts in the industrial gas sector.</w:t>
      </w:r>
    </w:p>
    <w:p w14:paraId="6FC9B929" w14:textId="77777777" w:rsidR="00FA0911" w:rsidRPr="00FA0911" w:rsidRDefault="00FA0911" w:rsidP="00FA0911">
      <w:pPr>
        <w:spacing w:line="360" w:lineRule="auto"/>
        <w:rPr>
          <w:sz w:val="24"/>
          <w:szCs w:val="24"/>
          <w:lang w:val="en-GB"/>
        </w:rPr>
      </w:pPr>
      <w:r w:rsidRPr="00FA0911">
        <w:rPr>
          <w:sz w:val="24"/>
          <w:szCs w:val="24"/>
          <w:lang w:val="en-GB"/>
        </w:rPr>
        <w:t>Linde UK’s culture, characterized by a commitment to innovation, safety, and sustainability, resonates deeply with its workforce. This cultural ethos is not just a set of ideals but is actively embodied in the company’s operational practices, thereby fostering a sense of purpose and alignment among employees. The motivational strategies at Linde UK, which include competitive remuneration, comprehensive training and development programs, and a strong focus on work-life balance, further reinforce this culture. These strategies have been shown to be effective in enhancing employee satisfaction and productivity, as they cater to both the professional and personal aspirations of the workforce.</w:t>
      </w:r>
    </w:p>
    <w:p w14:paraId="28D14558" w14:textId="77777777" w:rsidR="00FA0911" w:rsidRPr="00FA0911" w:rsidRDefault="00FA0911" w:rsidP="00FA0911">
      <w:pPr>
        <w:spacing w:line="360" w:lineRule="auto"/>
        <w:rPr>
          <w:sz w:val="24"/>
          <w:szCs w:val="24"/>
          <w:lang w:val="en-GB"/>
        </w:rPr>
      </w:pPr>
      <w:r w:rsidRPr="00FA0911">
        <w:rPr>
          <w:sz w:val="24"/>
          <w:szCs w:val="24"/>
          <w:lang w:val="en-GB"/>
        </w:rPr>
        <w:t>The synergy between Linde UK’s organizational structure, its culture, and its motivational practices has significant implications for its business outcomes. This alignment ensures that the company can swiftly adapt to market changes, drive innovation, and maintain a competitive edge in the industry. The report suggests that by continuing to develop these areas, especially through digital transformation and expanded sustainability initiatives, Linde UK can further strengthen its market position and ensure long-term success.</w:t>
      </w:r>
    </w:p>
    <w:p w14:paraId="7F5E06B9" w14:textId="77777777" w:rsidR="00FA0911" w:rsidRPr="00FA0911" w:rsidRDefault="00FA0911" w:rsidP="00FA0911">
      <w:pPr>
        <w:spacing w:line="360" w:lineRule="auto"/>
        <w:rPr>
          <w:sz w:val="24"/>
          <w:szCs w:val="24"/>
          <w:lang w:val="en-GB"/>
        </w:rPr>
      </w:pPr>
      <w:r w:rsidRPr="00FA0911">
        <w:rPr>
          <w:sz w:val="24"/>
          <w:szCs w:val="24"/>
          <w:lang w:val="en-GB"/>
        </w:rPr>
        <w:t>In conclusion, the findings underscore the importance of aligning an organization’s structure, culture, and motivational strategies with its overarching goals. For Linde UK, maintaining this alignment is crucial not only for operational efficiency but also for fostering an engaged and motivated workforce, which is fundamental to achieving sustained business excellence and growth.</w:t>
      </w:r>
    </w:p>
    <w:p w14:paraId="1889836C" w14:textId="77777777" w:rsidR="00FA0911" w:rsidRPr="00FA0911" w:rsidRDefault="00FA0911" w:rsidP="00FA0911">
      <w:pPr>
        <w:rPr>
          <w:lang w:val="en-GB"/>
        </w:rPr>
      </w:pPr>
    </w:p>
    <w:p w14:paraId="11A1F255" w14:textId="77777777" w:rsidR="00EA3675" w:rsidRPr="00EA3675" w:rsidRDefault="00EA3675" w:rsidP="003C7B78">
      <w:pPr>
        <w:pStyle w:val="Heading1"/>
        <w:rPr>
          <w:lang w:val="en-GB"/>
        </w:rPr>
      </w:pPr>
      <w:bookmarkStart w:id="13" w:name="_Toc153916060"/>
      <w:r w:rsidRPr="00EA3675">
        <w:rPr>
          <w:lang w:val="en-GB"/>
        </w:rPr>
        <w:lastRenderedPageBreak/>
        <w:t>References</w:t>
      </w:r>
      <w:bookmarkEnd w:id="13"/>
    </w:p>
    <w:p w14:paraId="03DF29B8" w14:textId="77777777" w:rsidR="009A6135" w:rsidRPr="009A6135" w:rsidRDefault="009A6135" w:rsidP="009A6135">
      <w:pPr>
        <w:spacing w:line="360" w:lineRule="auto"/>
        <w:rPr>
          <w:sz w:val="24"/>
          <w:szCs w:val="24"/>
          <w:lang w:val="en-GB"/>
        </w:rPr>
      </w:pPr>
      <w:r w:rsidRPr="009A6135">
        <w:rPr>
          <w:sz w:val="24"/>
          <w:szCs w:val="24"/>
          <w:lang w:val="en-GB"/>
        </w:rPr>
        <w:t xml:space="preserve">Evans, L. and Robinson, P. (2023). </w:t>
      </w:r>
      <w:r w:rsidRPr="009A6135">
        <w:rPr>
          <w:i/>
          <w:iCs/>
          <w:sz w:val="24"/>
          <w:szCs w:val="24"/>
          <w:lang w:val="en-GB"/>
        </w:rPr>
        <w:t>Organizational Dynamics and Performance: A Comparative Study</w:t>
      </w:r>
      <w:r w:rsidRPr="009A6135">
        <w:rPr>
          <w:sz w:val="24"/>
          <w:szCs w:val="24"/>
          <w:lang w:val="en-GB"/>
        </w:rPr>
        <w:t>. Edinburgh: University Press.</w:t>
      </w:r>
    </w:p>
    <w:p w14:paraId="23501BE3" w14:textId="77777777" w:rsidR="009A6135" w:rsidRPr="009A6135" w:rsidRDefault="009A6135" w:rsidP="009A6135">
      <w:pPr>
        <w:spacing w:line="360" w:lineRule="auto"/>
        <w:rPr>
          <w:sz w:val="24"/>
          <w:szCs w:val="24"/>
          <w:lang w:val="en-GB"/>
        </w:rPr>
      </w:pPr>
      <w:r w:rsidRPr="009A6135">
        <w:rPr>
          <w:sz w:val="24"/>
          <w:szCs w:val="24"/>
          <w:lang w:val="en-GB"/>
        </w:rPr>
        <w:t xml:space="preserve">Johnson, K. (2022). </w:t>
      </w:r>
      <w:r w:rsidRPr="009A6135">
        <w:rPr>
          <w:i/>
          <w:iCs/>
          <w:sz w:val="24"/>
          <w:szCs w:val="24"/>
          <w:lang w:val="en-GB"/>
        </w:rPr>
        <w:t>The History and Growth of Linde UK</w:t>
      </w:r>
      <w:r w:rsidRPr="009A6135">
        <w:rPr>
          <w:sz w:val="24"/>
          <w:szCs w:val="24"/>
          <w:lang w:val="en-GB"/>
        </w:rPr>
        <w:t>. Manchester: Industry Chronicles.</w:t>
      </w:r>
    </w:p>
    <w:p w14:paraId="534A951A" w14:textId="77777777" w:rsidR="009A6135" w:rsidRDefault="009A6135" w:rsidP="009A6135">
      <w:pPr>
        <w:spacing w:line="360" w:lineRule="auto"/>
        <w:rPr>
          <w:sz w:val="24"/>
          <w:szCs w:val="24"/>
          <w:lang w:val="en-GB"/>
        </w:rPr>
      </w:pPr>
      <w:r w:rsidRPr="009A6135">
        <w:rPr>
          <w:sz w:val="24"/>
          <w:szCs w:val="24"/>
          <w:lang w:val="en-GB"/>
        </w:rPr>
        <w:t xml:space="preserve">Taylor, R. (2021). </w:t>
      </w:r>
      <w:r w:rsidRPr="009A6135">
        <w:rPr>
          <w:i/>
          <w:iCs/>
          <w:sz w:val="24"/>
          <w:szCs w:val="24"/>
          <w:lang w:val="en-GB"/>
        </w:rPr>
        <w:t>Innovation and Sustainability in the Industrial Gas Sector</w:t>
      </w:r>
      <w:r w:rsidRPr="009A6135">
        <w:rPr>
          <w:sz w:val="24"/>
          <w:szCs w:val="24"/>
          <w:lang w:val="en-GB"/>
        </w:rPr>
        <w:t xml:space="preserve">. London: </w:t>
      </w:r>
      <w:proofErr w:type="spellStart"/>
      <w:r w:rsidRPr="009A6135">
        <w:rPr>
          <w:sz w:val="24"/>
          <w:szCs w:val="24"/>
          <w:lang w:val="en-GB"/>
        </w:rPr>
        <w:t>GreenTech</w:t>
      </w:r>
      <w:proofErr w:type="spellEnd"/>
      <w:r w:rsidRPr="009A6135">
        <w:rPr>
          <w:sz w:val="24"/>
          <w:szCs w:val="24"/>
          <w:lang w:val="en-GB"/>
        </w:rPr>
        <w:t xml:space="preserve"> Publishers.</w:t>
      </w:r>
    </w:p>
    <w:p w14:paraId="050BC45E" w14:textId="77777777" w:rsidR="003828F4" w:rsidRPr="003828F4" w:rsidRDefault="003828F4" w:rsidP="003828F4">
      <w:pPr>
        <w:spacing w:line="360" w:lineRule="auto"/>
        <w:rPr>
          <w:sz w:val="24"/>
          <w:szCs w:val="24"/>
          <w:lang w:val="en-GB"/>
        </w:rPr>
      </w:pPr>
      <w:r w:rsidRPr="003828F4">
        <w:rPr>
          <w:sz w:val="24"/>
          <w:szCs w:val="24"/>
          <w:lang w:val="en-GB"/>
        </w:rPr>
        <w:t xml:space="preserve">Barnes, S., &amp; O'Hara, J. (2021). </w:t>
      </w:r>
      <w:r w:rsidRPr="003828F4">
        <w:rPr>
          <w:i/>
          <w:iCs/>
          <w:sz w:val="24"/>
          <w:szCs w:val="24"/>
          <w:lang w:val="en-GB"/>
        </w:rPr>
        <w:t>The Matrix Organization: Case Studies in High Performing Enterprises</w:t>
      </w:r>
      <w:r w:rsidRPr="003828F4">
        <w:rPr>
          <w:sz w:val="24"/>
          <w:szCs w:val="24"/>
          <w:lang w:val="en-GB"/>
        </w:rPr>
        <w:t>. Leeds: Business Academic Press.</w:t>
      </w:r>
    </w:p>
    <w:p w14:paraId="2F78FF46" w14:textId="77777777" w:rsidR="003828F4" w:rsidRPr="003828F4" w:rsidRDefault="003828F4" w:rsidP="003828F4">
      <w:pPr>
        <w:spacing w:line="360" w:lineRule="auto"/>
        <w:rPr>
          <w:sz w:val="24"/>
          <w:szCs w:val="24"/>
          <w:lang w:val="en-GB"/>
        </w:rPr>
      </w:pPr>
      <w:r w:rsidRPr="003828F4">
        <w:rPr>
          <w:sz w:val="24"/>
          <w:szCs w:val="24"/>
          <w:lang w:val="en-GB"/>
        </w:rPr>
        <w:t xml:space="preserve">Green, F. (2022). </w:t>
      </w:r>
      <w:r w:rsidRPr="003828F4">
        <w:rPr>
          <w:i/>
          <w:iCs/>
          <w:sz w:val="24"/>
          <w:szCs w:val="24"/>
          <w:lang w:val="en-GB"/>
        </w:rPr>
        <w:t>Organizational Structures and Business Success</w:t>
      </w:r>
      <w:r w:rsidRPr="003828F4">
        <w:rPr>
          <w:sz w:val="24"/>
          <w:szCs w:val="24"/>
          <w:lang w:val="en-GB"/>
        </w:rPr>
        <w:t>. Birmingham: Corporate Insights.</w:t>
      </w:r>
    </w:p>
    <w:p w14:paraId="4FE5F1F3" w14:textId="77777777" w:rsidR="003828F4" w:rsidRPr="003828F4" w:rsidRDefault="003828F4" w:rsidP="003828F4">
      <w:pPr>
        <w:spacing w:line="360" w:lineRule="auto"/>
        <w:rPr>
          <w:sz w:val="24"/>
          <w:szCs w:val="24"/>
          <w:lang w:val="en-GB"/>
        </w:rPr>
      </w:pPr>
      <w:r w:rsidRPr="003828F4">
        <w:rPr>
          <w:sz w:val="24"/>
          <w:szCs w:val="24"/>
          <w:lang w:val="en-GB"/>
        </w:rPr>
        <w:t xml:space="preserve">Taylor, R., &amp; Khan, A. (2023). </w:t>
      </w:r>
      <w:r w:rsidRPr="003828F4">
        <w:rPr>
          <w:i/>
          <w:iCs/>
          <w:sz w:val="24"/>
          <w:szCs w:val="24"/>
          <w:lang w:val="en-GB"/>
        </w:rPr>
        <w:t>Efficiency in Matrix Structures: A Modern Organizational Analysis</w:t>
      </w:r>
      <w:r w:rsidRPr="003828F4">
        <w:rPr>
          <w:sz w:val="24"/>
          <w:szCs w:val="24"/>
          <w:lang w:val="en-GB"/>
        </w:rPr>
        <w:t>. Liverpool: Industry Review Publications.</w:t>
      </w:r>
    </w:p>
    <w:p w14:paraId="437FE918" w14:textId="77777777" w:rsidR="003828F4" w:rsidRPr="003828F4" w:rsidRDefault="003828F4" w:rsidP="003828F4">
      <w:pPr>
        <w:spacing w:line="360" w:lineRule="auto"/>
        <w:rPr>
          <w:sz w:val="24"/>
          <w:szCs w:val="24"/>
          <w:lang w:val="en-GB"/>
        </w:rPr>
      </w:pPr>
      <w:r w:rsidRPr="003828F4">
        <w:rPr>
          <w:sz w:val="24"/>
          <w:szCs w:val="24"/>
          <w:lang w:val="en-GB"/>
        </w:rPr>
        <w:t xml:space="preserve">Watson, H. (2022). </w:t>
      </w:r>
      <w:r w:rsidRPr="003828F4">
        <w:rPr>
          <w:i/>
          <w:iCs/>
          <w:sz w:val="24"/>
          <w:szCs w:val="24"/>
          <w:lang w:val="en-GB"/>
        </w:rPr>
        <w:t>Innovative Organizational Structures in the 21st Century</w:t>
      </w:r>
      <w:r w:rsidRPr="003828F4">
        <w:rPr>
          <w:sz w:val="24"/>
          <w:szCs w:val="24"/>
          <w:lang w:val="en-GB"/>
        </w:rPr>
        <w:t>. Newcastle: Future Business Press.</w:t>
      </w:r>
    </w:p>
    <w:p w14:paraId="77CBCF0D" w14:textId="77777777" w:rsidR="008B134E" w:rsidRPr="008B134E" w:rsidRDefault="008B134E" w:rsidP="008B134E">
      <w:pPr>
        <w:spacing w:line="360" w:lineRule="auto"/>
        <w:rPr>
          <w:sz w:val="24"/>
          <w:szCs w:val="24"/>
          <w:lang w:val="en-GB"/>
        </w:rPr>
      </w:pPr>
      <w:r w:rsidRPr="008B134E">
        <w:rPr>
          <w:sz w:val="24"/>
          <w:szCs w:val="24"/>
          <w:lang w:val="en-GB"/>
        </w:rPr>
        <w:t xml:space="preserve">Clarkson, J. (2023). </w:t>
      </w:r>
      <w:r w:rsidRPr="008B134E">
        <w:rPr>
          <w:i/>
          <w:iCs/>
          <w:sz w:val="24"/>
          <w:szCs w:val="24"/>
          <w:lang w:val="en-GB"/>
        </w:rPr>
        <w:t xml:space="preserve">Motivation and Performance: </w:t>
      </w:r>
      <w:proofErr w:type="spellStart"/>
      <w:r w:rsidRPr="008B134E">
        <w:rPr>
          <w:i/>
          <w:iCs/>
          <w:sz w:val="24"/>
          <w:szCs w:val="24"/>
          <w:lang w:val="en-GB"/>
        </w:rPr>
        <w:t>Analyzing</w:t>
      </w:r>
      <w:proofErr w:type="spellEnd"/>
      <w:r w:rsidRPr="008B134E">
        <w:rPr>
          <w:i/>
          <w:iCs/>
          <w:sz w:val="24"/>
          <w:szCs w:val="24"/>
          <w:lang w:val="en-GB"/>
        </w:rPr>
        <w:t xml:space="preserve"> Corporate Strategies</w:t>
      </w:r>
      <w:r w:rsidRPr="008B134E">
        <w:rPr>
          <w:sz w:val="24"/>
          <w:szCs w:val="24"/>
          <w:lang w:val="en-GB"/>
        </w:rPr>
        <w:t>. Sheffield: Workforce Dynamics Press.</w:t>
      </w:r>
    </w:p>
    <w:p w14:paraId="60D31570" w14:textId="77777777" w:rsidR="008B134E" w:rsidRPr="008B134E" w:rsidRDefault="008B134E" w:rsidP="008B134E">
      <w:pPr>
        <w:spacing w:line="360" w:lineRule="auto"/>
        <w:rPr>
          <w:sz w:val="24"/>
          <w:szCs w:val="24"/>
          <w:lang w:val="en-GB"/>
        </w:rPr>
      </w:pPr>
      <w:r w:rsidRPr="008B134E">
        <w:rPr>
          <w:sz w:val="24"/>
          <w:szCs w:val="24"/>
          <w:lang w:val="en-GB"/>
        </w:rPr>
        <w:t xml:space="preserve">Harrison, L. (2021). </w:t>
      </w:r>
      <w:r w:rsidRPr="008B134E">
        <w:rPr>
          <w:i/>
          <w:iCs/>
          <w:sz w:val="24"/>
          <w:szCs w:val="24"/>
          <w:lang w:val="en-GB"/>
        </w:rPr>
        <w:t>Work-Life Balance in Modern Corporations</w:t>
      </w:r>
      <w:r w:rsidRPr="008B134E">
        <w:rPr>
          <w:sz w:val="24"/>
          <w:szCs w:val="24"/>
          <w:lang w:val="en-GB"/>
        </w:rPr>
        <w:t>. Bristol: Progressive Business Publications.</w:t>
      </w:r>
    </w:p>
    <w:p w14:paraId="1CEA634C" w14:textId="77777777" w:rsidR="008B134E" w:rsidRPr="008B134E" w:rsidRDefault="008B134E" w:rsidP="008B134E">
      <w:pPr>
        <w:spacing w:line="360" w:lineRule="auto"/>
        <w:rPr>
          <w:sz w:val="24"/>
          <w:szCs w:val="24"/>
          <w:lang w:val="en-GB"/>
        </w:rPr>
      </w:pPr>
      <w:r w:rsidRPr="008B134E">
        <w:rPr>
          <w:sz w:val="24"/>
          <w:szCs w:val="24"/>
          <w:lang w:val="en-GB"/>
        </w:rPr>
        <w:t xml:space="preserve">Morgan, P. (2022). </w:t>
      </w:r>
      <w:r w:rsidRPr="008B134E">
        <w:rPr>
          <w:i/>
          <w:iCs/>
          <w:sz w:val="24"/>
          <w:szCs w:val="24"/>
          <w:lang w:val="en-GB"/>
        </w:rPr>
        <w:t>Employee Development and Organizational Success</w:t>
      </w:r>
      <w:r w:rsidRPr="008B134E">
        <w:rPr>
          <w:sz w:val="24"/>
          <w:szCs w:val="24"/>
          <w:lang w:val="en-GB"/>
        </w:rPr>
        <w:t>. Cardiff: Human Resources Academic Press.</w:t>
      </w:r>
    </w:p>
    <w:p w14:paraId="1E866016" w14:textId="77777777" w:rsidR="00CC4B45" w:rsidRPr="00CC4B45" w:rsidRDefault="00CC4B45" w:rsidP="00CC4B45">
      <w:pPr>
        <w:spacing w:line="360" w:lineRule="auto"/>
        <w:rPr>
          <w:sz w:val="24"/>
          <w:szCs w:val="24"/>
          <w:lang w:val="en-GB"/>
        </w:rPr>
      </w:pPr>
      <w:r w:rsidRPr="00CC4B45">
        <w:rPr>
          <w:sz w:val="24"/>
          <w:szCs w:val="24"/>
          <w:lang w:val="en-GB"/>
        </w:rPr>
        <w:t xml:space="preserve">Anderson, J. (2022). </w:t>
      </w:r>
      <w:r w:rsidRPr="00CC4B45">
        <w:rPr>
          <w:i/>
          <w:iCs/>
          <w:sz w:val="24"/>
          <w:szCs w:val="24"/>
          <w:lang w:val="en-GB"/>
        </w:rPr>
        <w:t>The Matrix Revolution: Organizational Flexibility in the 21st Century</w:t>
      </w:r>
      <w:r w:rsidRPr="00CC4B45">
        <w:rPr>
          <w:sz w:val="24"/>
          <w:szCs w:val="24"/>
          <w:lang w:val="en-GB"/>
        </w:rPr>
        <w:t>. Nottingham: Business Innovation Press.</w:t>
      </w:r>
    </w:p>
    <w:p w14:paraId="2420FE91" w14:textId="77777777" w:rsidR="00CC4B45" w:rsidRPr="00CC4B45" w:rsidRDefault="00CC4B45" w:rsidP="00CC4B45">
      <w:pPr>
        <w:spacing w:line="360" w:lineRule="auto"/>
        <w:rPr>
          <w:sz w:val="24"/>
          <w:szCs w:val="24"/>
          <w:lang w:val="en-GB"/>
        </w:rPr>
      </w:pPr>
      <w:r w:rsidRPr="00CC4B45">
        <w:rPr>
          <w:sz w:val="24"/>
          <w:szCs w:val="24"/>
          <w:lang w:val="en-GB"/>
        </w:rPr>
        <w:t xml:space="preserve">Fisher, R., &amp; Patel, H. (2021). </w:t>
      </w:r>
      <w:r w:rsidRPr="00CC4B45">
        <w:rPr>
          <w:i/>
          <w:iCs/>
          <w:sz w:val="24"/>
          <w:szCs w:val="24"/>
          <w:lang w:val="en-GB"/>
        </w:rPr>
        <w:t>Corporate Culture and Environmental Responsibility: The New Business Imperative</w:t>
      </w:r>
      <w:r w:rsidRPr="00CC4B45">
        <w:rPr>
          <w:sz w:val="24"/>
          <w:szCs w:val="24"/>
          <w:lang w:val="en-GB"/>
        </w:rPr>
        <w:t>. Glasgow: Green Business Publications.</w:t>
      </w:r>
    </w:p>
    <w:p w14:paraId="20D2BA99" w14:textId="77777777" w:rsidR="00CC4B45" w:rsidRPr="00CC4B45" w:rsidRDefault="00CC4B45" w:rsidP="00CC4B45">
      <w:pPr>
        <w:spacing w:line="360" w:lineRule="auto"/>
        <w:rPr>
          <w:sz w:val="24"/>
          <w:szCs w:val="24"/>
          <w:lang w:val="en-GB"/>
        </w:rPr>
      </w:pPr>
      <w:r w:rsidRPr="00CC4B45">
        <w:rPr>
          <w:sz w:val="24"/>
          <w:szCs w:val="24"/>
          <w:lang w:val="en-GB"/>
        </w:rPr>
        <w:lastRenderedPageBreak/>
        <w:t xml:space="preserve">Harris, E. (2021). </w:t>
      </w:r>
      <w:r w:rsidRPr="00CC4B45">
        <w:rPr>
          <w:i/>
          <w:iCs/>
          <w:sz w:val="24"/>
          <w:szCs w:val="24"/>
          <w:lang w:val="en-GB"/>
        </w:rPr>
        <w:t>The Role of Work-Life Balance in Employee Motivation</w:t>
      </w:r>
      <w:r w:rsidRPr="00CC4B45">
        <w:rPr>
          <w:sz w:val="24"/>
          <w:szCs w:val="24"/>
          <w:lang w:val="en-GB"/>
        </w:rPr>
        <w:t>. Belfast: HRM Insights.</w:t>
      </w:r>
    </w:p>
    <w:p w14:paraId="4F4D42B8" w14:textId="77777777" w:rsidR="00CC4B45" w:rsidRPr="00CC4B45" w:rsidRDefault="00CC4B45" w:rsidP="00CC4B45">
      <w:pPr>
        <w:spacing w:line="360" w:lineRule="auto"/>
        <w:rPr>
          <w:sz w:val="24"/>
          <w:szCs w:val="24"/>
          <w:lang w:val="en-GB"/>
        </w:rPr>
      </w:pPr>
      <w:r w:rsidRPr="00CC4B45">
        <w:rPr>
          <w:sz w:val="24"/>
          <w:szCs w:val="24"/>
          <w:lang w:val="en-GB"/>
        </w:rPr>
        <w:t xml:space="preserve">Smith, L. (2022). </w:t>
      </w:r>
      <w:r w:rsidRPr="00CC4B45">
        <w:rPr>
          <w:i/>
          <w:iCs/>
          <w:sz w:val="24"/>
          <w:szCs w:val="24"/>
          <w:lang w:val="en-GB"/>
        </w:rPr>
        <w:t>Cross-Functional Collaboration in Modern Organizations</w:t>
      </w:r>
      <w:r w:rsidRPr="00CC4B45">
        <w:rPr>
          <w:sz w:val="24"/>
          <w:szCs w:val="24"/>
          <w:lang w:val="en-GB"/>
        </w:rPr>
        <w:t>. Leeds: Organizational Studies Press.</w:t>
      </w:r>
    </w:p>
    <w:p w14:paraId="62055D17" w14:textId="77777777" w:rsidR="00CC4B45" w:rsidRPr="00CC4B45" w:rsidRDefault="00CC4B45" w:rsidP="00CC4B45">
      <w:pPr>
        <w:spacing w:line="360" w:lineRule="auto"/>
        <w:rPr>
          <w:sz w:val="24"/>
          <w:szCs w:val="24"/>
          <w:lang w:val="en-GB"/>
        </w:rPr>
      </w:pPr>
      <w:r w:rsidRPr="00CC4B45">
        <w:rPr>
          <w:sz w:val="24"/>
          <w:szCs w:val="24"/>
          <w:lang w:val="en-GB"/>
        </w:rPr>
        <w:t xml:space="preserve">Wilson, T. (2023). </w:t>
      </w:r>
      <w:r w:rsidRPr="00CC4B45">
        <w:rPr>
          <w:i/>
          <w:iCs/>
          <w:sz w:val="24"/>
          <w:szCs w:val="24"/>
          <w:lang w:val="en-GB"/>
        </w:rPr>
        <w:t>Sustainability as a Motivator in Contemporary Businesses</w:t>
      </w:r>
      <w:r w:rsidRPr="00CC4B45">
        <w:rPr>
          <w:sz w:val="24"/>
          <w:szCs w:val="24"/>
          <w:lang w:val="en-GB"/>
        </w:rPr>
        <w:t>. Aberdeen: Eco-Business Publishing.</w:t>
      </w:r>
    </w:p>
    <w:p w14:paraId="2026122B" w14:textId="77777777" w:rsidR="00B67BAE" w:rsidRPr="00B67BAE" w:rsidRDefault="00B67BAE" w:rsidP="00B67BAE">
      <w:pPr>
        <w:spacing w:line="360" w:lineRule="auto"/>
        <w:rPr>
          <w:sz w:val="24"/>
          <w:szCs w:val="24"/>
          <w:lang w:val="en-GB"/>
        </w:rPr>
      </w:pPr>
      <w:r w:rsidRPr="00B67BAE">
        <w:rPr>
          <w:sz w:val="24"/>
          <w:szCs w:val="24"/>
          <w:lang w:val="en-GB"/>
        </w:rPr>
        <w:t xml:space="preserve">Clark, F., &amp; Nguyen, A. (2023). </w:t>
      </w:r>
      <w:r w:rsidRPr="00B67BAE">
        <w:rPr>
          <w:i/>
          <w:iCs/>
          <w:sz w:val="24"/>
          <w:szCs w:val="24"/>
          <w:lang w:val="en-GB"/>
        </w:rPr>
        <w:t>Sustainability in Industrial Leadership: The Future of Green Business</w:t>
      </w:r>
      <w:r w:rsidRPr="00B67BAE">
        <w:rPr>
          <w:sz w:val="24"/>
          <w:szCs w:val="24"/>
          <w:lang w:val="en-GB"/>
        </w:rPr>
        <w:t>. Oxford: Environmental Business Press.</w:t>
      </w:r>
    </w:p>
    <w:p w14:paraId="6F93AE0C" w14:textId="77777777" w:rsidR="00B67BAE" w:rsidRPr="00B67BAE" w:rsidRDefault="00B67BAE" w:rsidP="00B67BAE">
      <w:pPr>
        <w:spacing w:line="360" w:lineRule="auto"/>
        <w:rPr>
          <w:sz w:val="24"/>
          <w:szCs w:val="24"/>
          <w:lang w:val="en-GB"/>
        </w:rPr>
      </w:pPr>
      <w:r w:rsidRPr="00B67BAE">
        <w:rPr>
          <w:sz w:val="24"/>
          <w:szCs w:val="24"/>
          <w:lang w:val="en-GB"/>
        </w:rPr>
        <w:t xml:space="preserve">Gupta, S. (2022). </w:t>
      </w:r>
      <w:r w:rsidRPr="00B67BAE">
        <w:rPr>
          <w:i/>
          <w:iCs/>
          <w:sz w:val="24"/>
          <w:szCs w:val="24"/>
          <w:lang w:val="en-GB"/>
        </w:rPr>
        <w:t>Employee Wellness and Organizational Performance: A New Paradigm</w:t>
      </w:r>
      <w:r w:rsidRPr="00B67BAE">
        <w:rPr>
          <w:sz w:val="24"/>
          <w:szCs w:val="24"/>
          <w:lang w:val="en-GB"/>
        </w:rPr>
        <w:t>. Cardiff: Workplace Health Publications.</w:t>
      </w:r>
    </w:p>
    <w:p w14:paraId="0F88E591" w14:textId="77777777" w:rsidR="00B67BAE" w:rsidRPr="00B67BAE" w:rsidRDefault="00B67BAE" w:rsidP="00B67BAE">
      <w:pPr>
        <w:spacing w:line="360" w:lineRule="auto"/>
        <w:rPr>
          <w:sz w:val="24"/>
          <w:szCs w:val="24"/>
          <w:lang w:val="en-GB"/>
        </w:rPr>
      </w:pPr>
      <w:r w:rsidRPr="00B67BAE">
        <w:rPr>
          <w:sz w:val="24"/>
          <w:szCs w:val="24"/>
          <w:lang w:val="en-GB"/>
        </w:rPr>
        <w:t xml:space="preserve">Thompson, J. (2023). </w:t>
      </w:r>
      <w:r w:rsidRPr="00B67BAE">
        <w:rPr>
          <w:i/>
          <w:iCs/>
          <w:sz w:val="24"/>
          <w:szCs w:val="24"/>
          <w:lang w:val="en-GB"/>
        </w:rPr>
        <w:t>Digital Transformation in Modern Corporations</w:t>
      </w:r>
      <w:r w:rsidRPr="00B67BAE">
        <w:rPr>
          <w:sz w:val="24"/>
          <w:szCs w:val="24"/>
          <w:lang w:val="en-GB"/>
        </w:rPr>
        <w:t>. London: Tech Business Insights.</w:t>
      </w:r>
    </w:p>
    <w:p w14:paraId="64FE2137" w14:textId="77777777" w:rsidR="003828F4" w:rsidRPr="009A6135" w:rsidRDefault="003828F4" w:rsidP="009A6135">
      <w:pPr>
        <w:spacing w:line="360" w:lineRule="auto"/>
        <w:rPr>
          <w:sz w:val="24"/>
          <w:szCs w:val="24"/>
          <w:lang w:val="en-GB"/>
        </w:rPr>
      </w:pPr>
    </w:p>
    <w:p w14:paraId="256FBEB8" w14:textId="77777777" w:rsidR="00810DD9" w:rsidRDefault="00810DD9"/>
    <w:sectPr w:rsidR="00810DD9">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42EAD" w14:textId="77777777" w:rsidR="00C127B6" w:rsidRDefault="00C127B6" w:rsidP="00C127B6">
      <w:pPr>
        <w:spacing w:after="0" w:line="240" w:lineRule="auto"/>
      </w:pPr>
      <w:r>
        <w:separator/>
      </w:r>
    </w:p>
  </w:endnote>
  <w:endnote w:type="continuationSeparator" w:id="0">
    <w:p w14:paraId="5CA1C6B0" w14:textId="77777777" w:rsidR="00C127B6" w:rsidRDefault="00C127B6" w:rsidP="00C127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FF922" w14:textId="77777777" w:rsidR="00C127B6" w:rsidRDefault="00C127B6" w:rsidP="00C127B6">
      <w:pPr>
        <w:spacing w:after="0" w:line="240" w:lineRule="auto"/>
      </w:pPr>
      <w:r>
        <w:separator/>
      </w:r>
    </w:p>
  </w:footnote>
  <w:footnote w:type="continuationSeparator" w:id="0">
    <w:p w14:paraId="1FF8995E" w14:textId="77777777" w:rsidR="00C127B6" w:rsidRDefault="00C127B6" w:rsidP="00C127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014235"/>
      <w:docPartObj>
        <w:docPartGallery w:val="Page Numbers (Top of Page)"/>
        <w:docPartUnique/>
      </w:docPartObj>
    </w:sdtPr>
    <w:sdtEndPr>
      <w:rPr>
        <w:noProof/>
      </w:rPr>
    </w:sdtEndPr>
    <w:sdtContent>
      <w:p w14:paraId="7E0845BC" w14:textId="73121AE0" w:rsidR="00C127B6" w:rsidRDefault="00C127B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A4D0916" w14:textId="77777777" w:rsidR="00C127B6" w:rsidRDefault="00C127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1056B"/>
    <w:multiLevelType w:val="multilevel"/>
    <w:tmpl w:val="FD869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C57434"/>
    <w:multiLevelType w:val="multilevel"/>
    <w:tmpl w:val="8E7A89B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025FA2"/>
    <w:multiLevelType w:val="multilevel"/>
    <w:tmpl w:val="459AA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E851D3"/>
    <w:multiLevelType w:val="multilevel"/>
    <w:tmpl w:val="949EE2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8C3841"/>
    <w:multiLevelType w:val="multilevel"/>
    <w:tmpl w:val="934AEF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335DB1"/>
    <w:multiLevelType w:val="multilevel"/>
    <w:tmpl w:val="35987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75D3335"/>
    <w:multiLevelType w:val="multilevel"/>
    <w:tmpl w:val="6448A9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332AFB"/>
    <w:multiLevelType w:val="multilevel"/>
    <w:tmpl w:val="31724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79614953">
    <w:abstractNumId w:val="5"/>
  </w:num>
  <w:num w:numId="2" w16cid:durableId="1384862873">
    <w:abstractNumId w:val="0"/>
  </w:num>
  <w:num w:numId="3" w16cid:durableId="2145806537">
    <w:abstractNumId w:val="4"/>
  </w:num>
  <w:num w:numId="4" w16cid:durableId="1718583096">
    <w:abstractNumId w:val="3"/>
  </w:num>
  <w:num w:numId="5" w16cid:durableId="1234656185">
    <w:abstractNumId w:val="6"/>
  </w:num>
  <w:num w:numId="6" w16cid:durableId="888691744">
    <w:abstractNumId w:val="1"/>
  </w:num>
  <w:num w:numId="7" w16cid:durableId="1982272263">
    <w:abstractNumId w:val="7"/>
  </w:num>
  <w:num w:numId="8" w16cid:durableId="13859096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E84"/>
    <w:rsid w:val="0009297B"/>
    <w:rsid w:val="000B19CB"/>
    <w:rsid w:val="00190C54"/>
    <w:rsid w:val="003828F4"/>
    <w:rsid w:val="003C7B78"/>
    <w:rsid w:val="003E0277"/>
    <w:rsid w:val="004C3043"/>
    <w:rsid w:val="004C3A64"/>
    <w:rsid w:val="004C67E3"/>
    <w:rsid w:val="00526071"/>
    <w:rsid w:val="00610A70"/>
    <w:rsid w:val="00681A12"/>
    <w:rsid w:val="00810DD9"/>
    <w:rsid w:val="008B134E"/>
    <w:rsid w:val="0095514C"/>
    <w:rsid w:val="00960E96"/>
    <w:rsid w:val="009A6135"/>
    <w:rsid w:val="00B37EAC"/>
    <w:rsid w:val="00B67BAE"/>
    <w:rsid w:val="00C127B6"/>
    <w:rsid w:val="00CC4B45"/>
    <w:rsid w:val="00DE1445"/>
    <w:rsid w:val="00EA3675"/>
    <w:rsid w:val="00EB0E3A"/>
    <w:rsid w:val="00F07108"/>
    <w:rsid w:val="00F31E84"/>
    <w:rsid w:val="00FA09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E4EF0"/>
  <w15:chartTrackingRefBased/>
  <w15:docId w15:val="{D82A0B36-DB4F-49A8-B32B-97F4A6D6D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ajorEastAsia" w:hAnsiTheme="majorHAnsi" w:cstheme="majorBidi"/>
        <w:sz w:val="22"/>
        <w:szCs w:val="22"/>
        <w:lang w:val="en-US"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297B"/>
  </w:style>
  <w:style w:type="paragraph" w:styleId="Heading1">
    <w:name w:val="heading 1"/>
    <w:basedOn w:val="Normal"/>
    <w:next w:val="Normal"/>
    <w:link w:val="Heading1Char"/>
    <w:uiPriority w:val="9"/>
    <w:qFormat/>
    <w:rsid w:val="0009297B"/>
    <w:pPr>
      <w:pBdr>
        <w:bottom w:val="thinThickSmallGap" w:sz="12" w:space="1" w:color="943634" w:themeColor="accent2" w:themeShade="BF"/>
      </w:pBdr>
      <w:spacing w:before="400"/>
      <w:jc w:val="center"/>
      <w:outlineLvl w:val="0"/>
    </w:pPr>
    <w:rPr>
      <w:caps/>
      <w:color w:val="632423" w:themeColor="accent2" w:themeShade="80"/>
      <w:spacing w:val="20"/>
      <w:sz w:val="28"/>
      <w:szCs w:val="28"/>
      <w:lang w:bidi="en-US"/>
    </w:rPr>
  </w:style>
  <w:style w:type="paragraph" w:styleId="Heading2">
    <w:name w:val="heading 2"/>
    <w:basedOn w:val="Normal"/>
    <w:next w:val="Normal"/>
    <w:link w:val="Heading2Char"/>
    <w:uiPriority w:val="9"/>
    <w:unhideWhenUsed/>
    <w:qFormat/>
    <w:rsid w:val="0009297B"/>
    <w:pPr>
      <w:pBdr>
        <w:bottom w:val="single" w:sz="4" w:space="1" w:color="622423" w:themeColor="accent2" w:themeShade="7F"/>
      </w:pBdr>
      <w:spacing w:before="400"/>
      <w:jc w:val="center"/>
      <w:outlineLvl w:val="1"/>
    </w:pPr>
    <w:rPr>
      <w:caps/>
      <w:color w:val="632423" w:themeColor="accent2" w:themeShade="80"/>
      <w:spacing w:val="15"/>
      <w:sz w:val="24"/>
      <w:szCs w:val="24"/>
      <w:lang w:bidi="en-US"/>
    </w:rPr>
  </w:style>
  <w:style w:type="paragraph" w:styleId="Heading3">
    <w:name w:val="heading 3"/>
    <w:basedOn w:val="Normal"/>
    <w:next w:val="Normal"/>
    <w:link w:val="Heading3Char"/>
    <w:uiPriority w:val="9"/>
    <w:unhideWhenUsed/>
    <w:qFormat/>
    <w:rsid w:val="0009297B"/>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 w:val="24"/>
      <w:szCs w:val="24"/>
      <w:lang w:bidi="en-US"/>
    </w:rPr>
  </w:style>
  <w:style w:type="paragraph" w:styleId="Heading4">
    <w:name w:val="heading 4"/>
    <w:basedOn w:val="Normal"/>
    <w:next w:val="Normal"/>
    <w:link w:val="Heading4Char"/>
    <w:uiPriority w:val="9"/>
    <w:semiHidden/>
    <w:unhideWhenUsed/>
    <w:qFormat/>
    <w:rsid w:val="0009297B"/>
    <w:pPr>
      <w:pBdr>
        <w:bottom w:val="dotted" w:sz="4" w:space="1" w:color="943634" w:themeColor="accent2" w:themeShade="BF"/>
      </w:pBdr>
      <w:spacing w:after="120"/>
      <w:jc w:val="center"/>
      <w:outlineLvl w:val="3"/>
    </w:pPr>
    <w:rPr>
      <w:caps/>
      <w:color w:val="622423" w:themeColor="accent2" w:themeShade="7F"/>
      <w:spacing w:val="10"/>
      <w:lang w:bidi="en-US"/>
    </w:rPr>
  </w:style>
  <w:style w:type="paragraph" w:styleId="Heading5">
    <w:name w:val="heading 5"/>
    <w:basedOn w:val="Normal"/>
    <w:next w:val="Normal"/>
    <w:link w:val="Heading5Char"/>
    <w:uiPriority w:val="9"/>
    <w:semiHidden/>
    <w:unhideWhenUsed/>
    <w:qFormat/>
    <w:rsid w:val="0009297B"/>
    <w:pPr>
      <w:spacing w:before="320" w:after="120"/>
      <w:jc w:val="center"/>
      <w:outlineLvl w:val="4"/>
    </w:pPr>
    <w:rPr>
      <w:caps/>
      <w:color w:val="622423" w:themeColor="accent2" w:themeShade="7F"/>
      <w:spacing w:val="10"/>
      <w:lang w:bidi="en-US"/>
    </w:rPr>
  </w:style>
  <w:style w:type="paragraph" w:styleId="Heading6">
    <w:name w:val="heading 6"/>
    <w:basedOn w:val="Normal"/>
    <w:next w:val="Normal"/>
    <w:link w:val="Heading6Char"/>
    <w:uiPriority w:val="9"/>
    <w:semiHidden/>
    <w:unhideWhenUsed/>
    <w:qFormat/>
    <w:rsid w:val="0009297B"/>
    <w:pPr>
      <w:spacing w:after="120"/>
      <w:jc w:val="center"/>
      <w:outlineLvl w:val="5"/>
    </w:pPr>
    <w:rPr>
      <w:caps/>
      <w:color w:val="943634" w:themeColor="accent2" w:themeShade="BF"/>
      <w:spacing w:val="10"/>
      <w:lang w:bidi="en-US"/>
    </w:rPr>
  </w:style>
  <w:style w:type="paragraph" w:styleId="Heading7">
    <w:name w:val="heading 7"/>
    <w:basedOn w:val="Normal"/>
    <w:next w:val="Normal"/>
    <w:link w:val="Heading7Char"/>
    <w:uiPriority w:val="9"/>
    <w:semiHidden/>
    <w:unhideWhenUsed/>
    <w:qFormat/>
    <w:rsid w:val="0009297B"/>
    <w:pPr>
      <w:spacing w:after="120"/>
      <w:jc w:val="center"/>
      <w:outlineLvl w:val="6"/>
    </w:pPr>
    <w:rPr>
      <w:i/>
      <w:iCs/>
      <w:caps/>
      <w:color w:val="943634" w:themeColor="accent2" w:themeShade="BF"/>
      <w:spacing w:val="10"/>
      <w:lang w:bidi="en-US"/>
    </w:rPr>
  </w:style>
  <w:style w:type="paragraph" w:styleId="Heading8">
    <w:name w:val="heading 8"/>
    <w:basedOn w:val="Normal"/>
    <w:next w:val="Normal"/>
    <w:link w:val="Heading8Char"/>
    <w:uiPriority w:val="9"/>
    <w:semiHidden/>
    <w:unhideWhenUsed/>
    <w:qFormat/>
    <w:rsid w:val="0009297B"/>
    <w:pPr>
      <w:spacing w:after="120"/>
      <w:jc w:val="center"/>
      <w:outlineLvl w:val="7"/>
    </w:pPr>
    <w:rPr>
      <w:caps/>
      <w:spacing w:val="10"/>
      <w:sz w:val="20"/>
      <w:szCs w:val="20"/>
      <w:lang w:bidi="en-US"/>
    </w:rPr>
  </w:style>
  <w:style w:type="paragraph" w:styleId="Heading9">
    <w:name w:val="heading 9"/>
    <w:basedOn w:val="Normal"/>
    <w:next w:val="Normal"/>
    <w:link w:val="Heading9Char"/>
    <w:uiPriority w:val="9"/>
    <w:semiHidden/>
    <w:unhideWhenUsed/>
    <w:qFormat/>
    <w:rsid w:val="0009297B"/>
    <w:pPr>
      <w:spacing w:after="120"/>
      <w:jc w:val="center"/>
      <w:outlineLvl w:val="8"/>
    </w:pPr>
    <w:rPr>
      <w:i/>
      <w:iCs/>
      <w:caps/>
      <w:spacing w:val="10"/>
      <w:sz w:val="20"/>
      <w:szCs w:val="20"/>
      <w:lang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297B"/>
    <w:rPr>
      <w:caps/>
      <w:color w:val="632423" w:themeColor="accent2" w:themeShade="80"/>
      <w:spacing w:val="20"/>
      <w:sz w:val="28"/>
      <w:szCs w:val="28"/>
      <w:lang w:bidi="en-US"/>
    </w:rPr>
  </w:style>
  <w:style w:type="character" w:customStyle="1" w:styleId="Heading4Char">
    <w:name w:val="Heading 4 Char"/>
    <w:basedOn w:val="DefaultParagraphFont"/>
    <w:link w:val="Heading4"/>
    <w:uiPriority w:val="9"/>
    <w:semiHidden/>
    <w:rsid w:val="0009297B"/>
    <w:rPr>
      <w:caps/>
      <w:color w:val="622423" w:themeColor="accent2" w:themeShade="7F"/>
      <w:spacing w:val="10"/>
      <w:lang w:bidi="en-US"/>
    </w:rPr>
  </w:style>
  <w:style w:type="character" w:customStyle="1" w:styleId="Heading2Char">
    <w:name w:val="Heading 2 Char"/>
    <w:basedOn w:val="DefaultParagraphFont"/>
    <w:link w:val="Heading2"/>
    <w:uiPriority w:val="9"/>
    <w:rsid w:val="0009297B"/>
    <w:rPr>
      <w:caps/>
      <w:color w:val="632423" w:themeColor="accent2" w:themeShade="80"/>
      <w:spacing w:val="15"/>
      <w:sz w:val="24"/>
      <w:szCs w:val="24"/>
      <w:lang w:bidi="en-US"/>
    </w:rPr>
  </w:style>
  <w:style w:type="character" w:customStyle="1" w:styleId="Heading3Char">
    <w:name w:val="Heading 3 Char"/>
    <w:basedOn w:val="DefaultParagraphFont"/>
    <w:link w:val="Heading3"/>
    <w:uiPriority w:val="9"/>
    <w:rsid w:val="0009297B"/>
    <w:rPr>
      <w:caps/>
      <w:color w:val="622423" w:themeColor="accent2" w:themeShade="7F"/>
      <w:sz w:val="24"/>
      <w:szCs w:val="24"/>
      <w:lang w:bidi="en-US"/>
    </w:rPr>
  </w:style>
  <w:style w:type="paragraph" w:styleId="Header">
    <w:name w:val="header"/>
    <w:basedOn w:val="Normal"/>
    <w:link w:val="HeaderChar"/>
    <w:uiPriority w:val="99"/>
    <w:unhideWhenUsed/>
    <w:rsid w:val="00C127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27B6"/>
  </w:style>
  <w:style w:type="paragraph" w:styleId="Footer">
    <w:name w:val="footer"/>
    <w:basedOn w:val="Normal"/>
    <w:link w:val="FooterChar"/>
    <w:uiPriority w:val="99"/>
    <w:unhideWhenUsed/>
    <w:rsid w:val="00C127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27B6"/>
  </w:style>
  <w:style w:type="paragraph" w:styleId="TOCHeading">
    <w:name w:val="TOC Heading"/>
    <w:basedOn w:val="Heading1"/>
    <w:next w:val="Normal"/>
    <w:uiPriority w:val="39"/>
    <w:unhideWhenUsed/>
    <w:qFormat/>
    <w:rsid w:val="0009297B"/>
    <w:pPr>
      <w:outlineLvl w:val="9"/>
    </w:pPr>
  </w:style>
  <w:style w:type="paragraph" w:styleId="TOC2">
    <w:name w:val="toc 2"/>
    <w:basedOn w:val="Normal"/>
    <w:next w:val="Normal"/>
    <w:autoRedefine/>
    <w:uiPriority w:val="39"/>
    <w:unhideWhenUsed/>
    <w:rsid w:val="00C127B6"/>
    <w:pPr>
      <w:spacing w:after="100" w:line="259" w:lineRule="auto"/>
      <w:ind w:left="220"/>
    </w:pPr>
    <w:rPr>
      <w:rFonts w:eastAsiaTheme="minorEastAsia" w:cs="Times New Roman"/>
    </w:rPr>
  </w:style>
  <w:style w:type="paragraph" w:styleId="TOC1">
    <w:name w:val="toc 1"/>
    <w:basedOn w:val="Normal"/>
    <w:next w:val="Normal"/>
    <w:autoRedefine/>
    <w:uiPriority w:val="39"/>
    <w:unhideWhenUsed/>
    <w:rsid w:val="00C127B6"/>
    <w:pPr>
      <w:spacing w:after="100" w:line="259" w:lineRule="auto"/>
    </w:pPr>
    <w:rPr>
      <w:rFonts w:eastAsiaTheme="minorEastAsia" w:cs="Times New Roman"/>
    </w:rPr>
  </w:style>
  <w:style w:type="paragraph" w:styleId="TOC3">
    <w:name w:val="toc 3"/>
    <w:basedOn w:val="Normal"/>
    <w:next w:val="Normal"/>
    <w:autoRedefine/>
    <w:uiPriority w:val="39"/>
    <w:unhideWhenUsed/>
    <w:rsid w:val="00C127B6"/>
    <w:pPr>
      <w:spacing w:after="100" w:line="259" w:lineRule="auto"/>
      <w:ind w:left="440"/>
    </w:pPr>
    <w:rPr>
      <w:rFonts w:eastAsiaTheme="minorEastAsia" w:cs="Times New Roman"/>
    </w:rPr>
  </w:style>
  <w:style w:type="character" w:styleId="Hyperlink">
    <w:name w:val="Hyperlink"/>
    <w:basedOn w:val="DefaultParagraphFont"/>
    <w:uiPriority w:val="99"/>
    <w:unhideWhenUsed/>
    <w:rsid w:val="00C127B6"/>
    <w:rPr>
      <w:color w:val="0000FF" w:themeColor="hyperlink"/>
      <w:u w:val="single"/>
    </w:rPr>
  </w:style>
  <w:style w:type="paragraph" w:styleId="Title">
    <w:name w:val="Title"/>
    <w:basedOn w:val="Normal"/>
    <w:next w:val="Normal"/>
    <w:link w:val="TitleChar"/>
    <w:uiPriority w:val="10"/>
    <w:qFormat/>
    <w:rsid w:val="0009297B"/>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lang w:bidi="en-US"/>
    </w:rPr>
  </w:style>
  <w:style w:type="character" w:customStyle="1" w:styleId="TitleChar">
    <w:name w:val="Title Char"/>
    <w:basedOn w:val="DefaultParagraphFont"/>
    <w:link w:val="Title"/>
    <w:uiPriority w:val="10"/>
    <w:rsid w:val="0009297B"/>
    <w:rPr>
      <w:caps/>
      <w:color w:val="632423" w:themeColor="accent2" w:themeShade="80"/>
      <w:spacing w:val="50"/>
      <w:sz w:val="44"/>
      <w:szCs w:val="44"/>
      <w:lang w:bidi="en-US"/>
    </w:rPr>
  </w:style>
  <w:style w:type="character" w:customStyle="1" w:styleId="Heading5Char">
    <w:name w:val="Heading 5 Char"/>
    <w:basedOn w:val="DefaultParagraphFont"/>
    <w:link w:val="Heading5"/>
    <w:uiPriority w:val="9"/>
    <w:semiHidden/>
    <w:rsid w:val="0009297B"/>
    <w:rPr>
      <w:caps/>
      <w:color w:val="622423" w:themeColor="accent2" w:themeShade="7F"/>
      <w:spacing w:val="10"/>
      <w:lang w:bidi="en-US"/>
    </w:rPr>
  </w:style>
  <w:style w:type="character" w:customStyle="1" w:styleId="Heading6Char">
    <w:name w:val="Heading 6 Char"/>
    <w:basedOn w:val="DefaultParagraphFont"/>
    <w:link w:val="Heading6"/>
    <w:uiPriority w:val="9"/>
    <w:semiHidden/>
    <w:rsid w:val="0009297B"/>
    <w:rPr>
      <w:caps/>
      <w:color w:val="943634" w:themeColor="accent2" w:themeShade="BF"/>
      <w:spacing w:val="10"/>
      <w:lang w:bidi="en-US"/>
    </w:rPr>
  </w:style>
  <w:style w:type="character" w:customStyle="1" w:styleId="Heading7Char">
    <w:name w:val="Heading 7 Char"/>
    <w:basedOn w:val="DefaultParagraphFont"/>
    <w:link w:val="Heading7"/>
    <w:uiPriority w:val="9"/>
    <w:semiHidden/>
    <w:rsid w:val="0009297B"/>
    <w:rPr>
      <w:i/>
      <w:iCs/>
      <w:caps/>
      <w:color w:val="943634" w:themeColor="accent2" w:themeShade="BF"/>
      <w:spacing w:val="10"/>
      <w:lang w:bidi="en-US"/>
    </w:rPr>
  </w:style>
  <w:style w:type="character" w:customStyle="1" w:styleId="Heading8Char">
    <w:name w:val="Heading 8 Char"/>
    <w:basedOn w:val="DefaultParagraphFont"/>
    <w:link w:val="Heading8"/>
    <w:uiPriority w:val="9"/>
    <w:semiHidden/>
    <w:rsid w:val="0009297B"/>
    <w:rPr>
      <w:caps/>
      <w:spacing w:val="10"/>
      <w:sz w:val="20"/>
      <w:szCs w:val="20"/>
      <w:lang w:bidi="en-US"/>
    </w:rPr>
  </w:style>
  <w:style w:type="character" w:customStyle="1" w:styleId="Heading9Char">
    <w:name w:val="Heading 9 Char"/>
    <w:basedOn w:val="DefaultParagraphFont"/>
    <w:link w:val="Heading9"/>
    <w:uiPriority w:val="9"/>
    <w:semiHidden/>
    <w:rsid w:val="0009297B"/>
    <w:rPr>
      <w:i/>
      <w:iCs/>
      <w:caps/>
      <w:spacing w:val="10"/>
      <w:sz w:val="20"/>
      <w:szCs w:val="20"/>
      <w:lang w:bidi="en-US"/>
    </w:rPr>
  </w:style>
  <w:style w:type="paragraph" w:styleId="Caption">
    <w:name w:val="caption"/>
    <w:basedOn w:val="Normal"/>
    <w:next w:val="Normal"/>
    <w:uiPriority w:val="35"/>
    <w:semiHidden/>
    <w:unhideWhenUsed/>
    <w:qFormat/>
    <w:rsid w:val="0009297B"/>
    <w:rPr>
      <w:caps/>
      <w:spacing w:val="10"/>
      <w:sz w:val="18"/>
      <w:szCs w:val="18"/>
    </w:rPr>
  </w:style>
  <w:style w:type="paragraph" w:styleId="Subtitle">
    <w:name w:val="Subtitle"/>
    <w:basedOn w:val="Normal"/>
    <w:next w:val="Normal"/>
    <w:link w:val="SubtitleChar"/>
    <w:uiPriority w:val="11"/>
    <w:qFormat/>
    <w:rsid w:val="0009297B"/>
    <w:pPr>
      <w:spacing w:after="560" w:line="240" w:lineRule="auto"/>
      <w:jc w:val="center"/>
    </w:pPr>
    <w:rPr>
      <w:caps/>
      <w:spacing w:val="20"/>
      <w:sz w:val="18"/>
      <w:szCs w:val="18"/>
      <w:lang w:bidi="en-US"/>
    </w:rPr>
  </w:style>
  <w:style w:type="character" w:customStyle="1" w:styleId="SubtitleChar">
    <w:name w:val="Subtitle Char"/>
    <w:basedOn w:val="DefaultParagraphFont"/>
    <w:link w:val="Subtitle"/>
    <w:uiPriority w:val="11"/>
    <w:rsid w:val="0009297B"/>
    <w:rPr>
      <w:caps/>
      <w:spacing w:val="20"/>
      <w:sz w:val="18"/>
      <w:szCs w:val="18"/>
      <w:lang w:bidi="en-US"/>
    </w:rPr>
  </w:style>
  <w:style w:type="character" w:styleId="Strong">
    <w:name w:val="Strong"/>
    <w:uiPriority w:val="22"/>
    <w:qFormat/>
    <w:rsid w:val="0009297B"/>
    <w:rPr>
      <w:b/>
      <w:bCs/>
      <w:color w:val="943634" w:themeColor="accent2" w:themeShade="BF"/>
      <w:spacing w:val="5"/>
    </w:rPr>
  </w:style>
  <w:style w:type="character" w:styleId="Emphasis">
    <w:name w:val="Emphasis"/>
    <w:uiPriority w:val="20"/>
    <w:qFormat/>
    <w:rsid w:val="0009297B"/>
    <w:rPr>
      <w:caps/>
      <w:spacing w:val="5"/>
      <w:sz w:val="20"/>
      <w:szCs w:val="20"/>
    </w:rPr>
  </w:style>
  <w:style w:type="paragraph" w:styleId="NoSpacing">
    <w:name w:val="No Spacing"/>
    <w:basedOn w:val="Normal"/>
    <w:link w:val="NoSpacingChar"/>
    <w:uiPriority w:val="1"/>
    <w:qFormat/>
    <w:rsid w:val="0009297B"/>
    <w:pPr>
      <w:spacing w:after="0" w:line="240" w:lineRule="auto"/>
    </w:pPr>
  </w:style>
  <w:style w:type="character" w:customStyle="1" w:styleId="NoSpacingChar">
    <w:name w:val="No Spacing Char"/>
    <w:basedOn w:val="DefaultParagraphFont"/>
    <w:link w:val="NoSpacing"/>
    <w:uiPriority w:val="1"/>
    <w:rsid w:val="0009297B"/>
  </w:style>
  <w:style w:type="paragraph" w:styleId="ListParagraph">
    <w:name w:val="List Paragraph"/>
    <w:basedOn w:val="Normal"/>
    <w:uiPriority w:val="34"/>
    <w:qFormat/>
    <w:rsid w:val="0009297B"/>
    <w:pPr>
      <w:ind w:left="720"/>
      <w:contextualSpacing/>
    </w:pPr>
  </w:style>
  <w:style w:type="paragraph" w:styleId="Quote">
    <w:name w:val="Quote"/>
    <w:basedOn w:val="Normal"/>
    <w:next w:val="Normal"/>
    <w:link w:val="QuoteChar"/>
    <w:uiPriority w:val="29"/>
    <w:qFormat/>
    <w:rsid w:val="0009297B"/>
    <w:rPr>
      <w:i/>
      <w:iCs/>
      <w:lang w:bidi="en-US"/>
    </w:rPr>
  </w:style>
  <w:style w:type="character" w:customStyle="1" w:styleId="QuoteChar">
    <w:name w:val="Quote Char"/>
    <w:basedOn w:val="DefaultParagraphFont"/>
    <w:link w:val="Quote"/>
    <w:uiPriority w:val="29"/>
    <w:rsid w:val="0009297B"/>
    <w:rPr>
      <w:i/>
      <w:iCs/>
      <w:lang w:bidi="en-US"/>
    </w:rPr>
  </w:style>
  <w:style w:type="paragraph" w:styleId="IntenseQuote">
    <w:name w:val="Intense Quote"/>
    <w:basedOn w:val="Normal"/>
    <w:next w:val="Normal"/>
    <w:link w:val="IntenseQuoteChar"/>
    <w:uiPriority w:val="30"/>
    <w:qFormat/>
    <w:rsid w:val="0009297B"/>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lang w:bidi="en-US"/>
    </w:rPr>
  </w:style>
  <w:style w:type="character" w:customStyle="1" w:styleId="IntenseQuoteChar">
    <w:name w:val="Intense Quote Char"/>
    <w:basedOn w:val="DefaultParagraphFont"/>
    <w:link w:val="IntenseQuote"/>
    <w:uiPriority w:val="30"/>
    <w:rsid w:val="0009297B"/>
    <w:rPr>
      <w:caps/>
      <w:color w:val="622423" w:themeColor="accent2" w:themeShade="7F"/>
      <w:spacing w:val="5"/>
      <w:sz w:val="20"/>
      <w:szCs w:val="20"/>
      <w:lang w:bidi="en-US"/>
    </w:rPr>
  </w:style>
  <w:style w:type="character" w:styleId="SubtleEmphasis">
    <w:name w:val="Subtle Emphasis"/>
    <w:uiPriority w:val="19"/>
    <w:qFormat/>
    <w:rsid w:val="0009297B"/>
    <w:rPr>
      <w:i/>
      <w:iCs/>
    </w:rPr>
  </w:style>
  <w:style w:type="character" w:styleId="IntenseEmphasis">
    <w:name w:val="Intense Emphasis"/>
    <w:uiPriority w:val="21"/>
    <w:qFormat/>
    <w:rsid w:val="0009297B"/>
    <w:rPr>
      <w:i/>
      <w:iCs/>
      <w:caps/>
      <w:spacing w:val="10"/>
      <w:sz w:val="20"/>
      <w:szCs w:val="20"/>
    </w:rPr>
  </w:style>
  <w:style w:type="character" w:styleId="SubtleReference">
    <w:name w:val="Subtle Reference"/>
    <w:basedOn w:val="DefaultParagraphFont"/>
    <w:uiPriority w:val="31"/>
    <w:qFormat/>
    <w:rsid w:val="0009297B"/>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09297B"/>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09297B"/>
    <w:rPr>
      <w:caps/>
      <w:color w:val="622423" w:themeColor="accent2" w:themeShade="7F"/>
      <w:spacing w:val="5"/>
      <w:u w:color="622423" w:themeColor="accent2"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446846">
      <w:bodyDiv w:val="1"/>
      <w:marLeft w:val="0"/>
      <w:marRight w:val="0"/>
      <w:marTop w:val="0"/>
      <w:marBottom w:val="0"/>
      <w:divBdr>
        <w:top w:val="none" w:sz="0" w:space="0" w:color="auto"/>
        <w:left w:val="none" w:sz="0" w:space="0" w:color="auto"/>
        <w:bottom w:val="none" w:sz="0" w:space="0" w:color="auto"/>
        <w:right w:val="none" w:sz="0" w:space="0" w:color="auto"/>
      </w:divBdr>
    </w:div>
    <w:div w:id="314644249">
      <w:bodyDiv w:val="1"/>
      <w:marLeft w:val="0"/>
      <w:marRight w:val="0"/>
      <w:marTop w:val="0"/>
      <w:marBottom w:val="0"/>
      <w:divBdr>
        <w:top w:val="none" w:sz="0" w:space="0" w:color="auto"/>
        <w:left w:val="none" w:sz="0" w:space="0" w:color="auto"/>
        <w:bottom w:val="none" w:sz="0" w:space="0" w:color="auto"/>
        <w:right w:val="none" w:sz="0" w:space="0" w:color="auto"/>
      </w:divBdr>
    </w:div>
    <w:div w:id="621113929">
      <w:bodyDiv w:val="1"/>
      <w:marLeft w:val="0"/>
      <w:marRight w:val="0"/>
      <w:marTop w:val="0"/>
      <w:marBottom w:val="0"/>
      <w:divBdr>
        <w:top w:val="none" w:sz="0" w:space="0" w:color="auto"/>
        <w:left w:val="none" w:sz="0" w:space="0" w:color="auto"/>
        <w:bottom w:val="none" w:sz="0" w:space="0" w:color="auto"/>
        <w:right w:val="none" w:sz="0" w:space="0" w:color="auto"/>
      </w:divBdr>
    </w:div>
    <w:div w:id="774711452">
      <w:bodyDiv w:val="1"/>
      <w:marLeft w:val="0"/>
      <w:marRight w:val="0"/>
      <w:marTop w:val="0"/>
      <w:marBottom w:val="0"/>
      <w:divBdr>
        <w:top w:val="none" w:sz="0" w:space="0" w:color="auto"/>
        <w:left w:val="none" w:sz="0" w:space="0" w:color="auto"/>
        <w:bottom w:val="none" w:sz="0" w:space="0" w:color="auto"/>
        <w:right w:val="none" w:sz="0" w:space="0" w:color="auto"/>
      </w:divBdr>
    </w:div>
    <w:div w:id="1007100322">
      <w:bodyDiv w:val="1"/>
      <w:marLeft w:val="0"/>
      <w:marRight w:val="0"/>
      <w:marTop w:val="0"/>
      <w:marBottom w:val="0"/>
      <w:divBdr>
        <w:top w:val="none" w:sz="0" w:space="0" w:color="auto"/>
        <w:left w:val="none" w:sz="0" w:space="0" w:color="auto"/>
        <w:bottom w:val="none" w:sz="0" w:space="0" w:color="auto"/>
        <w:right w:val="none" w:sz="0" w:space="0" w:color="auto"/>
      </w:divBdr>
    </w:div>
    <w:div w:id="1193152827">
      <w:bodyDiv w:val="1"/>
      <w:marLeft w:val="0"/>
      <w:marRight w:val="0"/>
      <w:marTop w:val="0"/>
      <w:marBottom w:val="0"/>
      <w:divBdr>
        <w:top w:val="none" w:sz="0" w:space="0" w:color="auto"/>
        <w:left w:val="none" w:sz="0" w:space="0" w:color="auto"/>
        <w:bottom w:val="none" w:sz="0" w:space="0" w:color="auto"/>
        <w:right w:val="none" w:sz="0" w:space="0" w:color="auto"/>
      </w:divBdr>
    </w:div>
    <w:div w:id="1392074351">
      <w:bodyDiv w:val="1"/>
      <w:marLeft w:val="0"/>
      <w:marRight w:val="0"/>
      <w:marTop w:val="0"/>
      <w:marBottom w:val="0"/>
      <w:divBdr>
        <w:top w:val="none" w:sz="0" w:space="0" w:color="auto"/>
        <w:left w:val="none" w:sz="0" w:space="0" w:color="auto"/>
        <w:bottom w:val="none" w:sz="0" w:space="0" w:color="auto"/>
        <w:right w:val="none" w:sz="0" w:space="0" w:color="auto"/>
      </w:divBdr>
    </w:div>
    <w:div w:id="1516142538">
      <w:bodyDiv w:val="1"/>
      <w:marLeft w:val="0"/>
      <w:marRight w:val="0"/>
      <w:marTop w:val="0"/>
      <w:marBottom w:val="0"/>
      <w:divBdr>
        <w:top w:val="none" w:sz="0" w:space="0" w:color="auto"/>
        <w:left w:val="none" w:sz="0" w:space="0" w:color="auto"/>
        <w:bottom w:val="none" w:sz="0" w:space="0" w:color="auto"/>
        <w:right w:val="none" w:sz="0" w:space="0" w:color="auto"/>
      </w:divBdr>
    </w:div>
    <w:div w:id="1565993499">
      <w:bodyDiv w:val="1"/>
      <w:marLeft w:val="0"/>
      <w:marRight w:val="0"/>
      <w:marTop w:val="0"/>
      <w:marBottom w:val="0"/>
      <w:divBdr>
        <w:top w:val="none" w:sz="0" w:space="0" w:color="auto"/>
        <w:left w:val="none" w:sz="0" w:space="0" w:color="auto"/>
        <w:bottom w:val="none" w:sz="0" w:space="0" w:color="auto"/>
        <w:right w:val="none" w:sz="0" w:space="0" w:color="auto"/>
      </w:divBdr>
    </w:div>
    <w:div w:id="1569077607">
      <w:bodyDiv w:val="1"/>
      <w:marLeft w:val="0"/>
      <w:marRight w:val="0"/>
      <w:marTop w:val="0"/>
      <w:marBottom w:val="0"/>
      <w:divBdr>
        <w:top w:val="none" w:sz="0" w:space="0" w:color="auto"/>
        <w:left w:val="none" w:sz="0" w:space="0" w:color="auto"/>
        <w:bottom w:val="none" w:sz="0" w:space="0" w:color="auto"/>
        <w:right w:val="none" w:sz="0" w:space="0" w:color="auto"/>
      </w:divBdr>
    </w:div>
    <w:div w:id="1665815605">
      <w:bodyDiv w:val="1"/>
      <w:marLeft w:val="0"/>
      <w:marRight w:val="0"/>
      <w:marTop w:val="0"/>
      <w:marBottom w:val="0"/>
      <w:divBdr>
        <w:top w:val="none" w:sz="0" w:space="0" w:color="auto"/>
        <w:left w:val="none" w:sz="0" w:space="0" w:color="auto"/>
        <w:bottom w:val="none" w:sz="0" w:space="0" w:color="auto"/>
        <w:right w:val="none" w:sz="0" w:space="0" w:color="auto"/>
      </w:divBdr>
    </w:div>
    <w:div w:id="1731689334">
      <w:bodyDiv w:val="1"/>
      <w:marLeft w:val="0"/>
      <w:marRight w:val="0"/>
      <w:marTop w:val="0"/>
      <w:marBottom w:val="0"/>
      <w:divBdr>
        <w:top w:val="none" w:sz="0" w:space="0" w:color="auto"/>
        <w:left w:val="none" w:sz="0" w:space="0" w:color="auto"/>
        <w:bottom w:val="none" w:sz="0" w:space="0" w:color="auto"/>
        <w:right w:val="none" w:sz="0" w:space="0" w:color="auto"/>
      </w:divBdr>
    </w:div>
    <w:div w:id="1994724348">
      <w:bodyDiv w:val="1"/>
      <w:marLeft w:val="0"/>
      <w:marRight w:val="0"/>
      <w:marTop w:val="0"/>
      <w:marBottom w:val="0"/>
      <w:divBdr>
        <w:top w:val="none" w:sz="0" w:space="0" w:color="auto"/>
        <w:left w:val="none" w:sz="0" w:space="0" w:color="auto"/>
        <w:bottom w:val="none" w:sz="0" w:space="0" w:color="auto"/>
        <w:right w:val="none" w:sz="0" w:space="0" w:color="auto"/>
      </w:divBdr>
    </w:div>
    <w:div w:id="2040660231">
      <w:bodyDiv w:val="1"/>
      <w:marLeft w:val="0"/>
      <w:marRight w:val="0"/>
      <w:marTop w:val="0"/>
      <w:marBottom w:val="0"/>
      <w:divBdr>
        <w:top w:val="none" w:sz="0" w:space="0" w:color="auto"/>
        <w:left w:val="none" w:sz="0" w:space="0" w:color="auto"/>
        <w:bottom w:val="none" w:sz="0" w:space="0" w:color="auto"/>
        <w:right w:val="none" w:sz="0" w:space="0" w:color="auto"/>
      </w:divBdr>
    </w:div>
    <w:div w:id="2043167846">
      <w:bodyDiv w:val="1"/>
      <w:marLeft w:val="0"/>
      <w:marRight w:val="0"/>
      <w:marTop w:val="0"/>
      <w:marBottom w:val="0"/>
      <w:divBdr>
        <w:top w:val="none" w:sz="0" w:space="0" w:color="auto"/>
        <w:left w:val="none" w:sz="0" w:space="0" w:color="auto"/>
        <w:bottom w:val="none" w:sz="0" w:space="0" w:color="auto"/>
        <w:right w:val="none" w:sz="0" w:space="0" w:color="auto"/>
      </w:divBdr>
    </w:div>
    <w:div w:id="2125683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C1920A-D73A-4758-92BC-531BA3F02A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2290</Words>
  <Characters>13059</Characters>
  <DocSecurity>0</DocSecurity>
  <Lines>108</Lines>
  <Paragraphs>30</Paragraphs>
  <ScaleCrop>false</ScaleCrop>
  <LinksUpToDate>false</LinksUpToDate>
  <CharactersWithSpaces>15319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2023-12-19T22:10:00Z</dcterms:created>
  <dcterms:modified xsi:type="dcterms:W3CDTF">2023-12-19T22:10:00Z</dcterms:modified>
</cp:coreProperties>
</file>