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7A8FC" w14:textId="77777777" w:rsidR="001D5BA1" w:rsidRDefault="001D5BA1" w:rsidP="001D5BA1">
      <w:pPr>
        <w:jc w:val="center"/>
        <w:rPr>
          <w:rFonts w:ascii="Arial" w:hAnsi="Arial" w:cs="Arial"/>
          <w:b/>
          <w:bCs/>
          <w:sz w:val="40"/>
          <w:szCs w:val="40"/>
        </w:rPr>
      </w:pPr>
    </w:p>
    <w:p w14:paraId="34ACAA6A" w14:textId="77777777" w:rsidR="001D5BA1" w:rsidRDefault="001D5BA1" w:rsidP="001D5BA1">
      <w:pPr>
        <w:jc w:val="center"/>
        <w:rPr>
          <w:rFonts w:ascii="Arial" w:hAnsi="Arial" w:cs="Arial"/>
          <w:b/>
          <w:bCs/>
          <w:sz w:val="40"/>
          <w:szCs w:val="40"/>
        </w:rPr>
      </w:pPr>
    </w:p>
    <w:p w14:paraId="61DF6103" w14:textId="77777777" w:rsidR="001D5BA1" w:rsidRDefault="001D5BA1" w:rsidP="001D5BA1">
      <w:pPr>
        <w:jc w:val="center"/>
        <w:rPr>
          <w:rFonts w:ascii="Arial" w:hAnsi="Arial" w:cs="Arial"/>
          <w:b/>
          <w:bCs/>
          <w:sz w:val="40"/>
          <w:szCs w:val="40"/>
        </w:rPr>
      </w:pPr>
    </w:p>
    <w:p w14:paraId="0EC82D89" w14:textId="77777777" w:rsidR="001D5BA1" w:rsidRDefault="001D5BA1" w:rsidP="001D5BA1">
      <w:pPr>
        <w:jc w:val="center"/>
        <w:rPr>
          <w:rFonts w:ascii="Arial" w:hAnsi="Arial" w:cs="Arial"/>
          <w:b/>
          <w:bCs/>
          <w:sz w:val="40"/>
          <w:szCs w:val="40"/>
        </w:rPr>
      </w:pPr>
    </w:p>
    <w:p w14:paraId="4A193BC2" w14:textId="5199A7D3" w:rsidR="0007662D" w:rsidRDefault="001D5BA1" w:rsidP="001D5BA1">
      <w:pPr>
        <w:jc w:val="center"/>
        <w:rPr>
          <w:rFonts w:ascii="Arial" w:hAnsi="Arial" w:cs="Arial"/>
          <w:b/>
          <w:bCs/>
          <w:sz w:val="40"/>
          <w:szCs w:val="40"/>
        </w:rPr>
      </w:pPr>
      <w:r w:rsidRPr="001D5BA1">
        <w:rPr>
          <w:rFonts w:ascii="Arial" w:hAnsi="Arial" w:cs="Arial"/>
          <w:b/>
          <w:bCs/>
          <w:sz w:val="40"/>
          <w:szCs w:val="40"/>
        </w:rPr>
        <w:t>Research proposal</w:t>
      </w:r>
    </w:p>
    <w:p w14:paraId="7EFC002A" w14:textId="77777777" w:rsidR="001D5BA1" w:rsidRPr="001D5BA1" w:rsidRDefault="001D5BA1" w:rsidP="001D5BA1">
      <w:pPr>
        <w:jc w:val="center"/>
        <w:rPr>
          <w:rFonts w:ascii="Arial" w:hAnsi="Arial" w:cs="Arial"/>
          <w:b/>
          <w:bCs/>
          <w:sz w:val="40"/>
          <w:szCs w:val="40"/>
        </w:rPr>
      </w:pPr>
    </w:p>
    <w:p w14:paraId="786503DA" w14:textId="16810F05" w:rsidR="001D5BA1" w:rsidRDefault="001D5BA1" w:rsidP="001D5BA1">
      <w:pPr>
        <w:rPr>
          <w:rFonts w:ascii="Arial" w:hAnsi="Arial" w:cs="Arial"/>
          <w:b/>
          <w:bCs/>
          <w:sz w:val="28"/>
          <w:szCs w:val="28"/>
        </w:rPr>
      </w:pPr>
      <w:r w:rsidRPr="001D5BA1">
        <w:rPr>
          <w:rFonts w:ascii="Arial" w:hAnsi="Arial" w:cs="Arial"/>
          <w:b/>
          <w:bCs/>
          <w:sz w:val="28"/>
          <w:szCs w:val="28"/>
        </w:rPr>
        <w:t xml:space="preserve">Title: </w:t>
      </w:r>
      <w:r w:rsidRPr="001D5BA1">
        <w:rPr>
          <w:rFonts w:ascii="Arial" w:hAnsi="Arial" w:cs="Arial"/>
          <w:b/>
          <w:bCs/>
          <w:i/>
          <w:iCs/>
          <w:sz w:val="28"/>
          <w:szCs w:val="28"/>
        </w:rPr>
        <w:t xml:space="preserve">A Comparative Analysis of Employee Engagement Strategies and Their Impact on Staff Retention in UK Pharmaceutical Logistics Companies: </w:t>
      </w:r>
      <w:proofErr w:type="spellStart"/>
      <w:r w:rsidRPr="001D5BA1">
        <w:rPr>
          <w:rFonts w:ascii="Arial" w:hAnsi="Arial" w:cs="Arial"/>
          <w:b/>
          <w:bCs/>
          <w:i/>
          <w:iCs/>
          <w:sz w:val="28"/>
          <w:szCs w:val="28"/>
        </w:rPr>
        <w:t>Movianto</w:t>
      </w:r>
      <w:proofErr w:type="spellEnd"/>
      <w:r w:rsidRPr="001D5BA1">
        <w:rPr>
          <w:rFonts w:ascii="Arial" w:hAnsi="Arial" w:cs="Arial"/>
          <w:b/>
          <w:bCs/>
          <w:i/>
          <w:iCs/>
          <w:sz w:val="28"/>
          <w:szCs w:val="28"/>
        </w:rPr>
        <w:t xml:space="preserve"> UK and DHL Supply Chain Healthcare</w:t>
      </w:r>
    </w:p>
    <w:p w14:paraId="00DD9572" w14:textId="77777777" w:rsidR="001D5BA1" w:rsidRDefault="001D5BA1" w:rsidP="001D5BA1">
      <w:pPr>
        <w:rPr>
          <w:rFonts w:ascii="Arial" w:hAnsi="Arial" w:cs="Arial"/>
          <w:b/>
          <w:bCs/>
          <w:sz w:val="28"/>
          <w:szCs w:val="28"/>
        </w:rPr>
      </w:pPr>
    </w:p>
    <w:p w14:paraId="503B868B" w14:textId="77777777" w:rsidR="001D5BA1" w:rsidRDefault="001D5BA1" w:rsidP="001D5BA1">
      <w:pPr>
        <w:rPr>
          <w:rFonts w:ascii="Arial" w:hAnsi="Arial" w:cs="Arial"/>
          <w:b/>
          <w:bCs/>
          <w:sz w:val="28"/>
          <w:szCs w:val="28"/>
        </w:rPr>
      </w:pPr>
    </w:p>
    <w:p w14:paraId="6391815B" w14:textId="77777777" w:rsidR="001D5BA1" w:rsidRDefault="001D5BA1" w:rsidP="001D5BA1">
      <w:pPr>
        <w:rPr>
          <w:rFonts w:ascii="Arial" w:hAnsi="Arial" w:cs="Arial"/>
          <w:b/>
          <w:bCs/>
          <w:sz w:val="28"/>
          <w:szCs w:val="28"/>
        </w:rPr>
      </w:pPr>
    </w:p>
    <w:p w14:paraId="3F29AAC1" w14:textId="77777777" w:rsidR="001D5BA1" w:rsidRDefault="001D5BA1" w:rsidP="001D5BA1">
      <w:pPr>
        <w:rPr>
          <w:rFonts w:ascii="Arial" w:hAnsi="Arial" w:cs="Arial"/>
          <w:b/>
          <w:bCs/>
          <w:sz w:val="28"/>
          <w:szCs w:val="28"/>
        </w:rPr>
      </w:pPr>
    </w:p>
    <w:p w14:paraId="5E2D5DCB" w14:textId="77777777" w:rsidR="001D5BA1" w:rsidRDefault="001D5BA1" w:rsidP="001D5BA1">
      <w:pPr>
        <w:rPr>
          <w:rFonts w:ascii="Arial" w:hAnsi="Arial" w:cs="Arial"/>
          <w:b/>
          <w:bCs/>
          <w:sz w:val="28"/>
          <w:szCs w:val="28"/>
        </w:rPr>
      </w:pPr>
    </w:p>
    <w:p w14:paraId="38F01BB3" w14:textId="77777777" w:rsidR="001D5BA1" w:rsidRDefault="001D5BA1" w:rsidP="001D5BA1">
      <w:pPr>
        <w:rPr>
          <w:rFonts w:ascii="Arial" w:hAnsi="Arial" w:cs="Arial"/>
          <w:b/>
          <w:bCs/>
          <w:sz w:val="28"/>
          <w:szCs w:val="28"/>
        </w:rPr>
      </w:pPr>
    </w:p>
    <w:p w14:paraId="77605EAA" w14:textId="77777777" w:rsidR="001D5BA1" w:rsidRDefault="001D5BA1" w:rsidP="001D5BA1">
      <w:pPr>
        <w:rPr>
          <w:rFonts w:ascii="Arial" w:hAnsi="Arial" w:cs="Arial"/>
          <w:b/>
          <w:bCs/>
          <w:sz w:val="28"/>
          <w:szCs w:val="28"/>
        </w:rPr>
      </w:pPr>
    </w:p>
    <w:p w14:paraId="30766F03" w14:textId="77777777" w:rsidR="001D5BA1" w:rsidRPr="001D5BA1" w:rsidRDefault="001D5BA1" w:rsidP="001D5BA1">
      <w:pPr>
        <w:rPr>
          <w:rFonts w:ascii="Arial" w:hAnsi="Arial" w:cs="Arial"/>
          <w:b/>
          <w:bCs/>
          <w:sz w:val="28"/>
          <w:szCs w:val="28"/>
        </w:rPr>
      </w:pPr>
    </w:p>
    <w:p w14:paraId="149864CA" w14:textId="77777777" w:rsidR="001D5BA1" w:rsidRPr="001D5BA1" w:rsidRDefault="001D5BA1" w:rsidP="001D5BA1">
      <w:pPr>
        <w:rPr>
          <w:rFonts w:ascii="Arial" w:hAnsi="Arial" w:cs="Arial"/>
          <w:b/>
          <w:bCs/>
          <w:sz w:val="24"/>
          <w:szCs w:val="24"/>
        </w:rPr>
      </w:pPr>
      <w:r w:rsidRPr="001D5BA1">
        <w:rPr>
          <w:rFonts w:ascii="Arial" w:hAnsi="Arial" w:cs="Arial"/>
          <w:b/>
          <w:bCs/>
          <w:sz w:val="24"/>
          <w:szCs w:val="24"/>
        </w:rPr>
        <w:t>Student Name: Petru Parasca</w:t>
      </w:r>
    </w:p>
    <w:p w14:paraId="355F485D" w14:textId="77777777" w:rsidR="001D5BA1" w:rsidRPr="001D5BA1" w:rsidRDefault="001D5BA1" w:rsidP="001D5BA1">
      <w:pPr>
        <w:rPr>
          <w:rFonts w:ascii="Arial" w:hAnsi="Arial" w:cs="Arial"/>
          <w:b/>
          <w:bCs/>
          <w:sz w:val="24"/>
          <w:szCs w:val="24"/>
        </w:rPr>
      </w:pPr>
      <w:r w:rsidRPr="001D5BA1">
        <w:rPr>
          <w:rFonts w:ascii="Arial" w:hAnsi="Arial" w:cs="Arial"/>
          <w:b/>
          <w:bCs/>
          <w:sz w:val="24"/>
          <w:szCs w:val="24"/>
        </w:rPr>
        <w:t>Student ID: 2123010</w:t>
      </w:r>
    </w:p>
    <w:p w14:paraId="2367ED5B" w14:textId="6A39DA32" w:rsidR="001D5BA1" w:rsidRPr="001D5BA1" w:rsidRDefault="001D5BA1" w:rsidP="001D5BA1">
      <w:pPr>
        <w:rPr>
          <w:rFonts w:ascii="Arial" w:hAnsi="Arial" w:cs="Arial"/>
          <w:b/>
          <w:bCs/>
          <w:sz w:val="24"/>
          <w:szCs w:val="24"/>
        </w:rPr>
      </w:pPr>
      <w:r w:rsidRPr="001D5BA1">
        <w:rPr>
          <w:rFonts w:ascii="Arial" w:hAnsi="Arial" w:cs="Arial"/>
          <w:b/>
          <w:bCs/>
          <w:sz w:val="24"/>
          <w:szCs w:val="24"/>
        </w:rPr>
        <w:t>Module code: BMSW</w:t>
      </w:r>
      <w:r>
        <w:rPr>
          <w:rFonts w:ascii="Arial" w:hAnsi="Arial" w:cs="Arial"/>
          <w:b/>
          <w:bCs/>
          <w:sz w:val="24"/>
          <w:szCs w:val="24"/>
        </w:rPr>
        <w:t>7035</w:t>
      </w:r>
      <w:r w:rsidRPr="001D5BA1">
        <w:rPr>
          <w:rFonts w:ascii="Arial" w:hAnsi="Arial" w:cs="Arial"/>
          <w:b/>
          <w:bCs/>
          <w:sz w:val="24"/>
          <w:szCs w:val="24"/>
        </w:rPr>
        <w:t>_BIRM</w:t>
      </w:r>
    </w:p>
    <w:p w14:paraId="6509802B" w14:textId="6BAEECC9" w:rsidR="001D5BA1" w:rsidRPr="001D5BA1" w:rsidRDefault="001D5BA1" w:rsidP="001D5BA1">
      <w:pPr>
        <w:rPr>
          <w:rFonts w:ascii="Arial" w:hAnsi="Arial" w:cs="Arial"/>
          <w:b/>
          <w:bCs/>
          <w:sz w:val="24"/>
          <w:szCs w:val="24"/>
        </w:rPr>
      </w:pPr>
      <w:r>
        <w:rPr>
          <w:rFonts w:ascii="Arial" w:hAnsi="Arial" w:cs="Arial"/>
          <w:b/>
          <w:bCs/>
          <w:sz w:val="24"/>
          <w:szCs w:val="24"/>
        </w:rPr>
        <w:t>Assignment</w:t>
      </w:r>
      <w:r w:rsidRPr="001D5BA1">
        <w:rPr>
          <w:rFonts w:ascii="Arial" w:hAnsi="Arial" w:cs="Arial"/>
          <w:b/>
          <w:bCs/>
          <w:sz w:val="24"/>
          <w:szCs w:val="24"/>
        </w:rPr>
        <w:t xml:space="preserve"> section: </w:t>
      </w:r>
      <w:r w:rsidR="007A4DE8">
        <w:rPr>
          <w:rFonts w:ascii="Arial" w:hAnsi="Arial" w:cs="Arial"/>
          <w:b/>
          <w:bCs/>
          <w:sz w:val="24"/>
          <w:szCs w:val="24"/>
        </w:rPr>
        <w:t>Research Proposal</w:t>
      </w:r>
    </w:p>
    <w:p w14:paraId="3886CFBB" w14:textId="41976E75" w:rsidR="001D5BA1" w:rsidRPr="001D5BA1" w:rsidRDefault="00AD067C" w:rsidP="001D5BA1">
      <w:pPr>
        <w:rPr>
          <w:rFonts w:ascii="Arial" w:hAnsi="Arial" w:cs="Arial"/>
          <w:b/>
          <w:bCs/>
          <w:sz w:val="24"/>
          <w:szCs w:val="24"/>
        </w:rPr>
      </w:pPr>
      <w:r>
        <w:rPr>
          <w:rFonts w:ascii="Arial" w:hAnsi="Arial" w:cs="Arial"/>
          <w:b/>
          <w:bCs/>
          <w:sz w:val="24"/>
          <w:szCs w:val="24"/>
        </w:rPr>
        <w:t>Supervisor</w:t>
      </w:r>
      <w:r w:rsidRPr="001D5BA1">
        <w:rPr>
          <w:rFonts w:ascii="Arial" w:hAnsi="Arial" w:cs="Arial"/>
          <w:b/>
          <w:bCs/>
          <w:sz w:val="24"/>
          <w:szCs w:val="24"/>
        </w:rPr>
        <w:t>’s</w:t>
      </w:r>
      <w:r w:rsidR="001D5BA1" w:rsidRPr="001D5BA1">
        <w:rPr>
          <w:rFonts w:ascii="Arial" w:hAnsi="Arial" w:cs="Arial"/>
          <w:b/>
          <w:bCs/>
          <w:sz w:val="24"/>
          <w:szCs w:val="24"/>
        </w:rPr>
        <w:t xml:space="preserve"> name: </w:t>
      </w:r>
      <w:r w:rsidR="006B5BAF">
        <w:rPr>
          <w:rFonts w:ascii="Arial" w:hAnsi="Arial" w:cs="Arial"/>
          <w:b/>
          <w:bCs/>
          <w:sz w:val="24"/>
          <w:szCs w:val="24"/>
        </w:rPr>
        <w:t>Bentil Oduro</w:t>
      </w:r>
    </w:p>
    <w:p w14:paraId="44C870FD" w14:textId="58A36895" w:rsidR="001D5BA1" w:rsidRPr="001D5BA1" w:rsidRDefault="0007662D" w:rsidP="001D5BA1">
      <w:pPr>
        <w:rPr>
          <w:rFonts w:ascii="Arial" w:hAnsi="Arial" w:cs="Arial"/>
          <w:b/>
          <w:bCs/>
          <w:sz w:val="24"/>
          <w:szCs w:val="24"/>
        </w:rPr>
      </w:pPr>
      <w:r w:rsidRPr="001D5BA1">
        <w:rPr>
          <w:rFonts w:ascii="Arial" w:hAnsi="Arial" w:cs="Arial"/>
          <w:b/>
          <w:bCs/>
          <w:sz w:val="24"/>
          <w:szCs w:val="24"/>
        </w:rPr>
        <w:br w:type="page"/>
      </w:r>
    </w:p>
    <w:sdt>
      <w:sdtPr>
        <w:rPr>
          <w:rFonts w:asciiTheme="minorHAnsi" w:eastAsiaTheme="minorHAnsi" w:hAnsiTheme="minorHAnsi" w:cstheme="minorBidi"/>
          <w:color w:val="auto"/>
          <w:kern w:val="2"/>
          <w:sz w:val="22"/>
          <w:szCs w:val="22"/>
          <w:lang w:eastAsia="en-US"/>
          <w14:ligatures w14:val="standardContextual"/>
        </w:rPr>
        <w:id w:val="-1700549127"/>
        <w:docPartObj>
          <w:docPartGallery w:val="Table of Contents"/>
          <w:docPartUnique/>
        </w:docPartObj>
      </w:sdtPr>
      <w:sdtEndPr>
        <w:rPr>
          <w:b/>
          <w:bCs/>
        </w:rPr>
      </w:sdtEndPr>
      <w:sdtContent>
        <w:p w14:paraId="45B262B7" w14:textId="77777777" w:rsidR="00D40B80" w:rsidRPr="00D40B80" w:rsidRDefault="00D40B80" w:rsidP="00D40B80">
          <w:pPr>
            <w:pStyle w:val="TOCHeading"/>
            <w:rPr>
              <w:rFonts w:ascii="Arial" w:hAnsi="Arial" w:cs="Arial"/>
              <w:sz w:val="24"/>
              <w:szCs w:val="24"/>
            </w:rPr>
          </w:pPr>
          <w:r w:rsidRPr="00D40B80">
            <w:rPr>
              <w:rFonts w:ascii="Arial" w:hAnsi="Arial" w:cs="Arial"/>
              <w:sz w:val="24"/>
              <w:szCs w:val="24"/>
            </w:rPr>
            <w:t>Contents</w:t>
          </w:r>
        </w:p>
        <w:p w14:paraId="6781E02B" w14:textId="60476225" w:rsidR="00D40B80" w:rsidRPr="00D40B80" w:rsidRDefault="00656C72" w:rsidP="005403B5">
          <w:pPr>
            <w:pStyle w:val="TOC1"/>
            <w:tabs>
              <w:tab w:val="right" w:leader="dot" w:pos="9016"/>
            </w:tabs>
            <w:jc w:val="center"/>
            <w:rPr>
              <w:rFonts w:ascii="Arial" w:eastAsiaTheme="minorEastAsia" w:hAnsi="Arial" w:cs="Arial"/>
              <w:noProof/>
              <w:sz w:val="24"/>
              <w:szCs w:val="24"/>
              <w:lang w:eastAsia="en-GB"/>
            </w:rPr>
          </w:pPr>
          <w:r>
            <w:rPr>
              <w:rFonts w:ascii="Arial" w:hAnsi="Arial" w:cs="Arial"/>
              <w:sz w:val="24"/>
              <w:szCs w:val="24"/>
            </w:rPr>
            <w:t>1.</w:t>
          </w:r>
          <w:r w:rsidR="00D40B80" w:rsidRPr="00D40B80">
            <w:rPr>
              <w:rFonts w:ascii="Arial" w:hAnsi="Arial" w:cs="Arial"/>
              <w:sz w:val="24"/>
              <w:szCs w:val="24"/>
            </w:rPr>
            <w:fldChar w:fldCharType="begin"/>
          </w:r>
          <w:r w:rsidR="00D40B80" w:rsidRPr="00D40B80">
            <w:rPr>
              <w:rFonts w:ascii="Arial" w:hAnsi="Arial" w:cs="Arial"/>
              <w:sz w:val="24"/>
              <w:szCs w:val="24"/>
            </w:rPr>
            <w:instrText xml:space="preserve"> TOC \o "1-3" \h \z \u </w:instrText>
          </w:r>
          <w:r w:rsidR="00D40B80" w:rsidRPr="00D40B80">
            <w:rPr>
              <w:rFonts w:ascii="Arial" w:hAnsi="Arial" w:cs="Arial"/>
              <w:sz w:val="24"/>
              <w:szCs w:val="24"/>
            </w:rPr>
            <w:fldChar w:fldCharType="separate"/>
          </w:r>
          <w:hyperlink w:anchor="_Toc220833421" w:history="1">
            <w:r w:rsidR="00D40B80" w:rsidRPr="00D40B80">
              <w:rPr>
                <w:rStyle w:val="Hyperlink"/>
                <w:rFonts w:ascii="Arial" w:hAnsi="Arial" w:cs="Arial"/>
                <w:noProof/>
                <w:sz w:val="24"/>
                <w:szCs w:val="24"/>
              </w:rPr>
              <w:t>Introduction / Background and Research Problem</w:t>
            </w:r>
            <w:r w:rsidR="00D40B80" w:rsidRPr="00D40B80">
              <w:rPr>
                <w:rFonts w:ascii="Arial" w:hAnsi="Arial" w:cs="Arial"/>
                <w:noProof/>
                <w:webHidden/>
                <w:sz w:val="24"/>
                <w:szCs w:val="24"/>
              </w:rPr>
              <w:tab/>
            </w:r>
            <w:r w:rsidR="00D40B80" w:rsidRPr="00D40B80">
              <w:rPr>
                <w:rFonts w:ascii="Arial" w:hAnsi="Arial" w:cs="Arial"/>
                <w:noProof/>
                <w:webHidden/>
                <w:sz w:val="24"/>
                <w:szCs w:val="24"/>
              </w:rPr>
              <w:fldChar w:fldCharType="begin"/>
            </w:r>
            <w:r w:rsidR="00D40B80" w:rsidRPr="00D40B80">
              <w:rPr>
                <w:rFonts w:ascii="Arial" w:hAnsi="Arial" w:cs="Arial"/>
                <w:noProof/>
                <w:webHidden/>
                <w:sz w:val="24"/>
                <w:szCs w:val="24"/>
              </w:rPr>
              <w:instrText xml:space="preserve"> PAGEREF _Toc220833421 \h </w:instrText>
            </w:r>
            <w:r w:rsidR="00D40B80" w:rsidRPr="00D40B80">
              <w:rPr>
                <w:rFonts w:ascii="Arial" w:hAnsi="Arial" w:cs="Arial"/>
                <w:noProof/>
                <w:webHidden/>
                <w:sz w:val="24"/>
                <w:szCs w:val="24"/>
              </w:rPr>
            </w:r>
            <w:r w:rsidR="00D40B80" w:rsidRPr="00D40B80">
              <w:rPr>
                <w:rFonts w:ascii="Arial" w:hAnsi="Arial" w:cs="Arial"/>
                <w:noProof/>
                <w:webHidden/>
                <w:sz w:val="24"/>
                <w:szCs w:val="24"/>
              </w:rPr>
              <w:fldChar w:fldCharType="separate"/>
            </w:r>
            <w:r w:rsidR="007B4328">
              <w:rPr>
                <w:rFonts w:ascii="Arial" w:hAnsi="Arial" w:cs="Arial"/>
                <w:noProof/>
                <w:webHidden/>
                <w:sz w:val="24"/>
                <w:szCs w:val="24"/>
              </w:rPr>
              <w:t>3</w:t>
            </w:r>
            <w:r w:rsidR="00D40B80" w:rsidRPr="00D40B80">
              <w:rPr>
                <w:rFonts w:ascii="Arial" w:hAnsi="Arial" w:cs="Arial"/>
                <w:noProof/>
                <w:webHidden/>
                <w:sz w:val="24"/>
                <w:szCs w:val="24"/>
              </w:rPr>
              <w:fldChar w:fldCharType="end"/>
            </w:r>
          </w:hyperlink>
        </w:p>
        <w:p w14:paraId="7C81BBB7" w14:textId="2A0303F7" w:rsidR="00D40B80" w:rsidRPr="00D40B80" w:rsidRDefault="00D40B80" w:rsidP="005403B5">
          <w:pPr>
            <w:pStyle w:val="TOC1"/>
            <w:tabs>
              <w:tab w:val="right" w:leader="dot" w:pos="9016"/>
            </w:tabs>
            <w:jc w:val="center"/>
            <w:rPr>
              <w:rStyle w:val="Hyperlink"/>
              <w:rFonts w:ascii="Arial" w:hAnsi="Arial" w:cs="Arial"/>
              <w:noProof/>
              <w:sz w:val="24"/>
              <w:szCs w:val="24"/>
            </w:rPr>
          </w:pPr>
          <w:hyperlink w:anchor="_Toc220833422" w:history="1">
            <w:r w:rsidRPr="00D40B80">
              <w:rPr>
                <w:rStyle w:val="Hyperlink"/>
                <w:rFonts w:ascii="Arial" w:hAnsi="Arial" w:cs="Arial"/>
                <w:noProof/>
                <w:sz w:val="24"/>
                <w:szCs w:val="24"/>
              </w:rPr>
              <w:t>2. Research Aim, Objectives and Questions</w:t>
            </w:r>
            <w:r w:rsidRPr="00D40B80">
              <w:rPr>
                <w:rFonts w:ascii="Arial" w:hAnsi="Arial" w:cs="Arial"/>
                <w:noProof/>
                <w:webHidden/>
                <w:sz w:val="24"/>
                <w:szCs w:val="24"/>
              </w:rPr>
              <w:tab/>
            </w:r>
            <w:r w:rsidRPr="00D40B80">
              <w:rPr>
                <w:rFonts w:ascii="Arial" w:hAnsi="Arial" w:cs="Arial"/>
                <w:noProof/>
                <w:webHidden/>
                <w:sz w:val="24"/>
                <w:szCs w:val="24"/>
              </w:rPr>
              <w:fldChar w:fldCharType="begin"/>
            </w:r>
            <w:r w:rsidRPr="00D40B80">
              <w:rPr>
                <w:rFonts w:ascii="Arial" w:hAnsi="Arial" w:cs="Arial"/>
                <w:noProof/>
                <w:webHidden/>
                <w:sz w:val="24"/>
                <w:szCs w:val="24"/>
              </w:rPr>
              <w:instrText xml:space="preserve"> PAGEREF _Toc220833422 \h </w:instrText>
            </w:r>
            <w:r w:rsidRPr="00D40B80">
              <w:rPr>
                <w:rFonts w:ascii="Arial" w:hAnsi="Arial" w:cs="Arial"/>
                <w:noProof/>
                <w:webHidden/>
                <w:sz w:val="24"/>
                <w:szCs w:val="24"/>
              </w:rPr>
            </w:r>
            <w:r w:rsidRPr="00D40B80">
              <w:rPr>
                <w:rFonts w:ascii="Arial" w:hAnsi="Arial" w:cs="Arial"/>
                <w:noProof/>
                <w:webHidden/>
                <w:sz w:val="24"/>
                <w:szCs w:val="24"/>
              </w:rPr>
              <w:fldChar w:fldCharType="separate"/>
            </w:r>
            <w:r w:rsidR="007B4328">
              <w:rPr>
                <w:rFonts w:ascii="Arial" w:hAnsi="Arial" w:cs="Arial"/>
                <w:noProof/>
                <w:webHidden/>
                <w:sz w:val="24"/>
                <w:szCs w:val="24"/>
              </w:rPr>
              <w:t>4</w:t>
            </w:r>
            <w:r w:rsidRPr="00D40B80">
              <w:rPr>
                <w:rFonts w:ascii="Arial" w:hAnsi="Arial" w:cs="Arial"/>
                <w:noProof/>
                <w:webHidden/>
                <w:sz w:val="24"/>
                <w:szCs w:val="24"/>
              </w:rPr>
              <w:fldChar w:fldCharType="end"/>
            </w:r>
          </w:hyperlink>
        </w:p>
        <w:p w14:paraId="1AF2F7BB" w14:textId="41BB59C3" w:rsidR="00D40B80" w:rsidRPr="00D40B80" w:rsidRDefault="00D40B80" w:rsidP="005403B5">
          <w:pPr>
            <w:jc w:val="center"/>
            <w:rPr>
              <w:rFonts w:ascii="Arial" w:hAnsi="Arial" w:cs="Arial"/>
              <w:noProof/>
              <w:sz w:val="24"/>
              <w:szCs w:val="24"/>
              <w:lang w:eastAsia="en-GB"/>
            </w:rPr>
          </w:pPr>
          <w:r w:rsidRPr="00D40B80">
            <w:rPr>
              <w:rFonts w:ascii="Arial" w:hAnsi="Arial" w:cs="Arial"/>
              <w:noProof/>
              <w:sz w:val="24"/>
              <w:szCs w:val="24"/>
              <w:lang w:eastAsia="en-GB"/>
            </w:rPr>
            <w:t>2.1 Research Aim……………………………………………………………………</w:t>
          </w:r>
          <w:r>
            <w:rPr>
              <w:rFonts w:ascii="Arial" w:hAnsi="Arial" w:cs="Arial"/>
              <w:noProof/>
              <w:sz w:val="24"/>
              <w:szCs w:val="24"/>
              <w:lang w:eastAsia="en-GB"/>
            </w:rPr>
            <w:t>………4</w:t>
          </w:r>
        </w:p>
        <w:p w14:paraId="180B637A" w14:textId="55437AFA" w:rsidR="00D40B80" w:rsidRPr="00D40B80" w:rsidRDefault="00D40B80" w:rsidP="005403B5">
          <w:pPr>
            <w:pStyle w:val="TOC1"/>
            <w:tabs>
              <w:tab w:val="right" w:leader="dot" w:pos="9016"/>
            </w:tabs>
            <w:jc w:val="center"/>
            <w:rPr>
              <w:rFonts w:ascii="Arial" w:eastAsiaTheme="minorEastAsia" w:hAnsi="Arial" w:cs="Arial"/>
              <w:noProof/>
              <w:sz w:val="24"/>
              <w:szCs w:val="24"/>
              <w:lang w:eastAsia="en-GB"/>
            </w:rPr>
          </w:pPr>
          <w:hyperlink w:anchor="_Toc220833423" w:history="1">
            <w:r w:rsidRPr="00D40B80">
              <w:rPr>
                <w:rStyle w:val="Hyperlink"/>
                <w:rFonts w:ascii="Arial" w:hAnsi="Arial" w:cs="Arial"/>
                <w:noProof/>
                <w:sz w:val="24"/>
                <w:szCs w:val="24"/>
              </w:rPr>
              <w:t>2.2 Research Objectives</w:t>
            </w:r>
            <w:r w:rsidRPr="00D40B80">
              <w:rPr>
                <w:rFonts w:ascii="Arial" w:hAnsi="Arial" w:cs="Arial"/>
                <w:noProof/>
                <w:webHidden/>
                <w:sz w:val="24"/>
                <w:szCs w:val="24"/>
              </w:rPr>
              <w:tab/>
            </w:r>
            <w:r w:rsidRPr="00D40B80">
              <w:rPr>
                <w:rFonts w:ascii="Arial" w:hAnsi="Arial" w:cs="Arial"/>
                <w:noProof/>
                <w:webHidden/>
                <w:sz w:val="24"/>
                <w:szCs w:val="24"/>
              </w:rPr>
              <w:fldChar w:fldCharType="begin"/>
            </w:r>
            <w:r w:rsidRPr="00D40B80">
              <w:rPr>
                <w:rFonts w:ascii="Arial" w:hAnsi="Arial" w:cs="Arial"/>
                <w:noProof/>
                <w:webHidden/>
                <w:sz w:val="24"/>
                <w:szCs w:val="24"/>
              </w:rPr>
              <w:instrText xml:space="preserve"> PAGEREF _Toc220833423 \h </w:instrText>
            </w:r>
            <w:r w:rsidRPr="00D40B80">
              <w:rPr>
                <w:rFonts w:ascii="Arial" w:hAnsi="Arial" w:cs="Arial"/>
                <w:noProof/>
                <w:webHidden/>
                <w:sz w:val="24"/>
                <w:szCs w:val="24"/>
              </w:rPr>
            </w:r>
            <w:r w:rsidRPr="00D40B80">
              <w:rPr>
                <w:rFonts w:ascii="Arial" w:hAnsi="Arial" w:cs="Arial"/>
                <w:noProof/>
                <w:webHidden/>
                <w:sz w:val="24"/>
                <w:szCs w:val="24"/>
              </w:rPr>
              <w:fldChar w:fldCharType="separate"/>
            </w:r>
            <w:r w:rsidR="007B4328">
              <w:rPr>
                <w:rFonts w:ascii="Arial" w:hAnsi="Arial" w:cs="Arial"/>
                <w:noProof/>
                <w:webHidden/>
                <w:sz w:val="24"/>
                <w:szCs w:val="24"/>
              </w:rPr>
              <w:t>4</w:t>
            </w:r>
            <w:r w:rsidRPr="00D40B80">
              <w:rPr>
                <w:rFonts w:ascii="Arial" w:hAnsi="Arial" w:cs="Arial"/>
                <w:noProof/>
                <w:webHidden/>
                <w:sz w:val="24"/>
                <w:szCs w:val="24"/>
              </w:rPr>
              <w:fldChar w:fldCharType="end"/>
            </w:r>
          </w:hyperlink>
        </w:p>
        <w:p w14:paraId="07F40CE0" w14:textId="406ABBC3" w:rsidR="00D40B80" w:rsidRPr="00D40B80" w:rsidRDefault="00D40B80" w:rsidP="005403B5">
          <w:pPr>
            <w:pStyle w:val="TOC1"/>
            <w:tabs>
              <w:tab w:val="right" w:leader="dot" w:pos="9016"/>
            </w:tabs>
            <w:jc w:val="center"/>
            <w:rPr>
              <w:rFonts w:ascii="Arial" w:eastAsiaTheme="minorEastAsia" w:hAnsi="Arial" w:cs="Arial"/>
              <w:noProof/>
              <w:sz w:val="24"/>
              <w:szCs w:val="24"/>
              <w:lang w:eastAsia="en-GB"/>
            </w:rPr>
          </w:pPr>
          <w:hyperlink w:anchor="_Toc220833424" w:history="1">
            <w:r w:rsidRPr="00D40B80">
              <w:rPr>
                <w:rStyle w:val="Hyperlink"/>
                <w:rFonts w:ascii="Arial" w:hAnsi="Arial" w:cs="Arial"/>
                <w:noProof/>
                <w:sz w:val="24"/>
                <w:szCs w:val="24"/>
              </w:rPr>
              <w:t>2.3 Research Questions</w:t>
            </w:r>
            <w:r w:rsidRPr="00D40B80">
              <w:rPr>
                <w:rFonts w:ascii="Arial" w:hAnsi="Arial" w:cs="Arial"/>
                <w:noProof/>
                <w:webHidden/>
                <w:sz w:val="24"/>
                <w:szCs w:val="24"/>
              </w:rPr>
              <w:tab/>
            </w:r>
            <w:r w:rsidRPr="00D40B80">
              <w:rPr>
                <w:rFonts w:ascii="Arial" w:hAnsi="Arial" w:cs="Arial"/>
                <w:noProof/>
                <w:webHidden/>
                <w:sz w:val="24"/>
                <w:szCs w:val="24"/>
              </w:rPr>
              <w:fldChar w:fldCharType="begin"/>
            </w:r>
            <w:r w:rsidRPr="00D40B80">
              <w:rPr>
                <w:rFonts w:ascii="Arial" w:hAnsi="Arial" w:cs="Arial"/>
                <w:noProof/>
                <w:webHidden/>
                <w:sz w:val="24"/>
                <w:szCs w:val="24"/>
              </w:rPr>
              <w:instrText xml:space="preserve"> PAGEREF _Toc220833424 \h </w:instrText>
            </w:r>
            <w:r w:rsidRPr="00D40B80">
              <w:rPr>
                <w:rFonts w:ascii="Arial" w:hAnsi="Arial" w:cs="Arial"/>
                <w:noProof/>
                <w:webHidden/>
                <w:sz w:val="24"/>
                <w:szCs w:val="24"/>
              </w:rPr>
            </w:r>
            <w:r w:rsidRPr="00D40B80">
              <w:rPr>
                <w:rFonts w:ascii="Arial" w:hAnsi="Arial" w:cs="Arial"/>
                <w:noProof/>
                <w:webHidden/>
                <w:sz w:val="24"/>
                <w:szCs w:val="24"/>
              </w:rPr>
              <w:fldChar w:fldCharType="separate"/>
            </w:r>
            <w:r w:rsidR="007B4328">
              <w:rPr>
                <w:rFonts w:ascii="Arial" w:hAnsi="Arial" w:cs="Arial"/>
                <w:noProof/>
                <w:webHidden/>
                <w:sz w:val="24"/>
                <w:szCs w:val="24"/>
              </w:rPr>
              <w:t>4</w:t>
            </w:r>
            <w:r w:rsidRPr="00D40B80">
              <w:rPr>
                <w:rFonts w:ascii="Arial" w:hAnsi="Arial" w:cs="Arial"/>
                <w:noProof/>
                <w:webHidden/>
                <w:sz w:val="24"/>
                <w:szCs w:val="24"/>
              </w:rPr>
              <w:fldChar w:fldCharType="end"/>
            </w:r>
          </w:hyperlink>
        </w:p>
        <w:p w14:paraId="389EA0C7" w14:textId="1B05F842" w:rsidR="00D40B80" w:rsidRPr="00D40B80" w:rsidRDefault="00D40B80" w:rsidP="005403B5">
          <w:pPr>
            <w:pStyle w:val="TOC1"/>
            <w:tabs>
              <w:tab w:val="right" w:leader="dot" w:pos="9016"/>
            </w:tabs>
            <w:jc w:val="center"/>
            <w:rPr>
              <w:rFonts w:ascii="Arial" w:eastAsiaTheme="minorEastAsia" w:hAnsi="Arial" w:cs="Arial"/>
              <w:noProof/>
              <w:sz w:val="24"/>
              <w:szCs w:val="24"/>
              <w:lang w:eastAsia="en-GB"/>
            </w:rPr>
          </w:pPr>
          <w:hyperlink w:anchor="_Toc220833425" w:history="1">
            <w:r w:rsidRPr="00D40B80">
              <w:rPr>
                <w:rStyle w:val="Hyperlink"/>
                <w:rFonts w:ascii="Arial" w:hAnsi="Arial" w:cs="Arial"/>
                <w:noProof/>
                <w:sz w:val="24"/>
                <w:szCs w:val="24"/>
              </w:rPr>
              <w:t>3. Literature Review</w:t>
            </w:r>
            <w:r w:rsidRPr="00D40B80">
              <w:rPr>
                <w:rFonts w:ascii="Arial" w:hAnsi="Arial" w:cs="Arial"/>
                <w:noProof/>
                <w:webHidden/>
                <w:sz w:val="24"/>
                <w:szCs w:val="24"/>
              </w:rPr>
              <w:tab/>
            </w:r>
            <w:r w:rsidRPr="00D40B80">
              <w:rPr>
                <w:rFonts w:ascii="Arial" w:hAnsi="Arial" w:cs="Arial"/>
                <w:noProof/>
                <w:webHidden/>
                <w:sz w:val="24"/>
                <w:szCs w:val="24"/>
              </w:rPr>
              <w:fldChar w:fldCharType="begin"/>
            </w:r>
            <w:r w:rsidRPr="00D40B80">
              <w:rPr>
                <w:rFonts w:ascii="Arial" w:hAnsi="Arial" w:cs="Arial"/>
                <w:noProof/>
                <w:webHidden/>
                <w:sz w:val="24"/>
                <w:szCs w:val="24"/>
              </w:rPr>
              <w:instrText xml:space="preserve"> PAGEREF _Toc220833425 \h </w:instrText>
            </w:r>
            <w:r w:rsidRPr="00D40B80">
              <w:rPr>
                <w:rFonts w:ascii="Arial" w:hAnsi="Arial" w:cs="Arial"/>
                <w:noProof/>
                <w:webHidden/>
                <w:sz w:val="24"/>
                <w:szCs w:val="24"/>
              </w:rPr>
            </w:r>
            <w:r w:rsidRPr="00D40B80">
              <w:rPr>
                <w:rFonts w:ascii="Arial" w:hAnsi="Arial" w:cs="Arial"/>
                <w:noProof/>
                <w:webHidden/>
                <w:sz w:val="24"/>
                <w:szCs w:val="24"/>
              </w:rPr>
              <w:fldChar w:fldCharType="separate"/>
            </w:r>
            <w:r w:rsidR="007B4328">
              <w:rPr>
                <w:rFonts w:ascii="Arial" w:hAnsi="Arial" w:cs="Arial"/>
                <w:noProof/>
                <w:webHidden/>
                <w:sz w:val="24"/>
                <w:szCs w:val="24"/>
              </w:rPr>
              <w:t>5</w:t>
            </w:r>
            <w:r w:rsidRPr="00D40B80">
              <w:rPr>
                <w:rFonts w:ascii="Arial" w:hAnsi="Arial" w:cs="Arial"/>
                <w:noProof/>
                <w:webHidden/>
                <w:sz w:val="24"/>
                <w:szCs w:val="24"/>
              </w:rPr>
              <w:fldChar w:fldCharType="end"/>
            </w:r>
          </w:hyperlink>
        </w:p>
        <w:p w14:paraId="388ABCFF" w14:textId="77CF00EB" w:rsidR="00D40B80" w:rsidRPr="00D40B80" w:rsidRDefault="00D40B80" w:rsidP="005403B5">
          <w:pPr>
            <w:pStyle w:val="TOC1"/>
            <w:tabs>
              <w:tab w:val="right" w:leader="dot" w:pos="9016"/>
            </w:tabs>
            <w:jc w:val="center"/>
            <w:rPr>
              <w:rFonts w:ascii="Arial" w:eastAsiaTheme="minorEastAsia" w:hAnsi="Arial" w:cs="Arial"/>
              <w:noProof/>
              <w:sz w:val="24"/>
              <w:szCs w:val="24"/>
              <w:lang w:eastAsia="en-GB"/>
            </w:rPr>
          </w:pPr>
          <w:hyperlink w:anchor="_Toc220833426" w:history="1">
            <w:r w:rsidRPr="00D40B80">
              <w:rPr>
                <w:rStyle w:val="Hyperlink"/>
                <w:rFonts w:ascii="Arial" w:hAnsi="Arial" w:cs="Arial"/>
                <w:noProof/>
                <w:sz w:val="24"/>
                <w:szCs w:val="24"/>
              </w:rPr>
              <w:t>4. Research Methodology</w:t>
            </w:r>
            <w:r w:rsidRPr="00D40B80">
              <w:rPr>
                <w:rFonts w:ascii="Arial" w:hAnsi="Arial" w:cs="Arial"/>
                <w:noProof/>
                <w:webHidden/>
                <w:sz w:val="24"/>
                <w:szCs w:val="24"/>
              </w:rPr>
              <w:tab/>
            </w:r>
            <w:r w:rsidRPr="00D40B80">
              <w:rPr>
                <w:rFonts w:ascii="Arial" w:hAnsi="Arial" w:cs="Arial"/>
                <w:noProof/>
                <w:webHidden/>
                <w:sz w:val="24"/>
                <w:szCs w:val="24"/>
              </w:rPr>
              <w:fldChar w:fldCharType="begin"/>
            </w:r>
            <w:r w:rsidRPr="00D40B80">
              <w:rPr>
                <w:rFonts w:ascii="Arial" w:hAnsi="Arial" w:cs="Arial"/>
                <w:noProof/>
                <w:webHidden/>
                <w:sz w:val="24"/>
                <w:szCs w:val="24"/>
              </w:rPr>
              <w:instrText xml:space="preserve"> PAGEREF _Toc220833426 \h </w:instrText>
            </w:r>
            <w:r w:rsidRPr="00D40B80">
              <w:rPr>
                <w:rFonts w:ascii="Arial" w:hAnsi="Arial" w:cs="Arial"/>
                <w:noProof/>
                <w:webHidden/>
                <w:sz w:val="24"/>
                <w:szCs w:val="24"/>
              </w:rPr>
            </w:r>
            <w:r w:rsidRPr="00D40B80">
              <w:rPr>
                <w:rFonts w:ascii="Arial" w:hAnsi="Arial" w:cs="Arial"/>
                <w:noProof/>
                <w:webHidden/>
                <w:sz w:val="24"/>
                <w:szCs w:val="24"/>
              </w:rPr>
              <w:fldChar w:fldCharType="separate"/>
            </w:r>
            <w:r w:rsidR="007B4328">
              <w:rPr>
                <w:rFonts w:ascii="Arial" w:hAnsi="Arial" w:cs="Arial"/>
                <w:noProof/>
                <w:webHidden/>
                <w:sz w:val="24"/>
                <w:szCs w:val="24"/>
              </w:rPr>
              <w:t>5</w:t>
            </w:r>
            <w:r w:rsidRPr="00D40B80">
              <w:rPr>
                <w:rFonts w:ascii="Arial" w:hAnsi="Arial" w:cs="Arial"/>
                <w:noProof/>
                <w:webHidden/>
                <w:sz w:val="24"/>
                <w:szCs w:val="24"/>
              </w:rPr>
              <w:fldChar w:fldCharType="end"/>
            </w:r>
          </w:hyperlink>
        </w:p>
        <w:p w14:paraId="3D816026" w14:textId="058C146E" w:rsidR="00D40B80" w:rsidRPr="00D40B80" w:rsidRDefault="00D40B80" w:rsidP="005403B5">
          <w:pPr>
            <w:pStyle w:val="TOC1"/>
            <w:tabs>
              <w:tab w:val="right" w:leader="dot" w:pos="9016"/>
            </w:tabs>
            <w:jc w:val="center"/>
            <w:rPr>
              <w:rFonts w:ascii="Arial" w:eastAsiaTheme="minorEastAsia" w:hAnsi="Arial" w:cs="Arial"/>
              <w:noProof/>
              <w:sz w:val="24"/>
              <w:szCs w:val="24"/>
              <w:lang w:eastAsia="en-GB"/>
            </w:rPr>
          </w:pPr>
          <w:hyperlink w:anchor="_Toc220833427" w:history="1">
            <w:r w:rsidRPr="00D40B80">
              <w:rPr>
                <w:rStyle w:val="Hyperlink"/>
                <w:rFonts w:ascii="Arial" w:hAnsi="Arial" w:cs="Arial"/>
                <w:noProof/>
                <w:sz w:val="24"/>
                <w:szCs w:val="24"/>
              </w:rPr>
              <w:t>5. Ethical Considerations</w:t>
            </w:r>
            <w:r w:rsidRPr="00D40B80">
              <w:rPr>
                <w:rFonts w:ascii="Arial" w:hAnsi="Arial" w:cs="Arial"/>
                <w:noProof/>
                <w:webHidden/>
                <w:sz w:val="24"/>
                <w:szCs w:val="24"/>
              </w:rPr>
              <w:tab/>
            </w:r>
            <w:r w:rsidRPr="00D40B80">
              <w:rPr>
                <w:rFonts w:ascii="Arial" w:hAnsi="Arial" w:cs="Arial"/>
                <w:noProof/>
                <w:webHidden/>
                <w:sz w:val="24"/>
                <w:szCs w:val="24"/>
              </w:rPr>
              <w:fldChar w:fldCharType="begin"/>
            </w:r>
            <w:r w:rsidRPr="00D40B80">
              <w:rPr>
                <w:rFonts w:ascii="Arial" w:hAnsi="Arial" w:cs="Arial"/>
                <w:noProof/>
                <w:webHidden/>
                <w:sz w:val="24"/>
                <w:szCs w:val="24"/>
              </w:rPr>
              <w:instrText xml:space="preserve"> PAGEREF _Toc220833427 \h </w:instrText>
            </w:r>
            <w:r w:rsidRPr="00D40B80">
              <w:rPr>
                <w:rFonts w:ascii="Arial" w:hAnsi="Arial" w:cs="Arial"/>
                <w:noProof/>
                <w:webHidden/>
                <w:sz w:val="24"/>
                <w:szCs w:val="24"/>
              </w:rPr>
            </w:r>
            <w:r w:rsidRPr="00D40B80">
              <w:rPr>
                <w:rFonts w:ascii="Arial" w:hAnsi="Arial" w:cs="Arial"/>
                <w:noProof/>
                <w:webHidden/>
                <w:sz w:val="24"/>
                <w:szCs w:val="24"/>
              </w:rPr>
              <w:fldChar w:fldCharType="separate"/>
            </w:r>
            <w:r w:rsidR="007B4328">
              <w:rPr>
                <w:rFonts w:ascii="Arial" w:hAnsi="Arial" w:cs="Arial"/>
                <w:noProof/>
                <w:webHidden/>
                <w:sz w:val="24"/>
                <w:szCs w:val="24"/>
              </w:rPr>
              <w:t>5</w:t>
            </w:r>
            <w:r w:rsidRPr="00D40B80">
              <w:rPr>
                <w:rFonts w:ascii="Arial" w:hAnsi="Arial" w:cs="Arial"/>
                <w:noProof/>
                <w:webHidden/>
                <w:sz w:val="24"/>
                <w:szCs w:val="24"/>
              </w:rPr>
              <w:fldChar w:fldCharType="end"/>
            </w:r>
          </w:hyperlink>
        </w:p>
        <w:p w14:paraId="27525FA8" w14:textId="7C03FAC3" w:rsidR="00D40B80" w:rsidRPr="00D40B80" w:rsidRDefault="00D40B80" w:rsidP="005403B5">
          <w:pPr>
            <w:pStyle w:val="TOC1"/>
            <w:tabs>
              <w:tab w:val="right" w:leader="dot" w:pos="9016"/>
            </w:tabs>
            <w:jc w:val="center"/>
            <w:rPr>
              <w:rFonts w:ascii="Arial" w:eastAsiaTheme="minorEastAsia" w:hAnsi="Arial" w:cs="Arial"/>
              <w:noProof/>
              <w:sz w:val="24"/>
              <w:szCs w:val="24"/>
              <w:lang w:eastAsia="en-GB"/>
            </w:rPr>
          </w:pPr>
          <w:hyperlink w:anchor="_Toc220833428" w:history="1">
            <w:r w:rsidRPr="00D40B80">
              <w:rPr>
                <w:rStyle w:val="Hyperlink"/>
                <w:rFonts w:ascii="Arial" w:hAnsi="Arial" w:cs="Arial"/>
                <w:noProof/>
                <w:sz w:val="24"/>
                <w:szCs w:val="24"/>
              </w:rPr>
              <w:t>6. Risks and Limitations</w:t>
            </w:r>
            <w:r w:rsidRPr="00D40B80">
              <w:rPr>
                <w:rFonts w:ascii="Arial" w:hAnsi="Arial" w:cs="Arial"/>
                <w:noProof/>
                <w:webHidden/>
                <w:sz w:val="24"/>
                <w:szCs w:val="24"/>
              </w:rPr>
              <w:tab/>
            </w:r>
            <w:r w:rsidRPr="00D40B80">
              <w:rPr>
                <w:rFonts w:ascii="Arial" w:hAnsi="Arial" w:cs="Arial"/>
                <w:noProof/>
                <w:webHidden/>
                <w:sz w:val="24"/>
                <w:szCs w:val="24"/>
              </w:rPr>
              <w:fldChar w:fldCharType="begin"/>
            </w:r>
            <w:r w:rsidRPr="00D40B80">
              <w:rPr>
                <w:rFonts w:ascii="Arial" w:hAnsi="Arial" w:cs="Arial"/>
                <w:noProof/>
                <w:webHidden/>
                <w:sz w:val="24"/>
                <w:szCs w:val="24"/>
              </w:rPr>
              <w:instrText xml:space="preserve"> PAGEREF _Toc220833428 \h </w:instrText>
            </w:r>
            <w:r w:rsidRPr="00D40B80">
              <w:rPr>
                <w:rFonts w:ascii="Arial" w:hAnsi="Arial" w:cs="Arial"/>
                <w:noProof/>
                <w:webHidden/>
                <w:sz w:val="24"/>
                <w:szCs w:val="24"/>
              </w:rPr>
            </w:r>
            <w:r w:rsidRPr="00D40B80">
              <w:rPr>
                <w:rFonts w:ascii="Arial" w:hAnsi="Arial" w:cs="Arial"/>
                <w:noProof/>
                <w:webHidden/>
                <w:sz w:val="24"/>
                <w:szCs w:val="24"/>
              </w:rPr>
              <w:fldChar w:fldCharType="separate"/>
            </w:r>
            <w:r w:rsidR="007B4328">
              <w:rPr>
                <w:rFonts w:ascii="Arial" w:hAnsi="Arial" w:cs="Arial"/>
                <w:noProof/>
                <w:webHidden/>
                <w:sz w:val="24"/>
                <w:szCs w:val="24"/>
              </w:rPr>
              <w:t>6</w:t>
            </w:r>
            <w:r w:rsidRPr="00D40B80">
              <w:rPr>
                <w:rFonts w:ascii="Arial" w:hAnsi="Arial" w:cs="Arial"/>
                <w:noProof/>
                <w:webHidden/>
                <w:sz w:val="24"/>
                <w:szCs w:val="24"/>
              </w:rPr>
              <w:fldChar w:fldCharType="end"/>
            </w:r>
          </w:hyperlink>
        </w:p>
        <w:p w14:paraId="1E2C7F4F" w14:textId="0FBAF722" w:rsidR="00D40B80" w:rsidRPr="00D40B80" w:rsidRDefault="00D40B80" w:rsidP="005403B5">
          <w:pPr>
            <w:pStyle w:val="TOC1"/>
            <w:tabs>
              <w:tab w:val="right" w:leader="dot" w:pos="9016"/>
            </w:tabs>
            <w:jc w:val="center"/>
            <w:rPr>
              <w:rFonts w:ascii="Arial" w:eastAsiaTheme="minorEastAsia" w:hAnsi="Arial" w:cs="Arial"/>
              <w:noProof/>
              <w:sz w:val="24"/>
              <w:szCs w:val="24"/>
              <w:lang w:eastAsia="en-GB"/>
            </w:rPr>
          </w:pPr>
          <w:hyperlink w:anchor="_Toc220833429" w:history="1">
            <w:r w:rsidRPr="00D40B80">
              <w:rPr>
                <w:rStyle w:val="Hyperlink"/>
                <w:rFonts w:ascii="Arial" w:hAnsi="Arial" w:cs="Arial"/>
                <w:noProof/>
                <w:sz w:val="24"/>
                <w:szCs w:val="24"/>
              </w:rPr>
              <w:t>7. Proposed Timeline (Gantt Chart)</w:t>
            </w:r>
            <w:r w:rsidRPr="00D40B80">
              <w:rPr>
                <w:rFonts w:ascii="Arial" w:hAnsi="Arial" w:cs="Arial"/>
                <w:noProof/>
                <w:webHidden/>
                <w:sz w:val="24"/>
                <w:szCs w:val="24"/>
              </w:rPr>
              <w:tab/>
            </w:r>
            <w:r w:rsidRPr="00D40B80">
              <w:rPr>
                <w:rFonts w:ascii="Arial" w:hAnsi="Arial" w:cs="Arial"/>
                <w:noProof/>
                <w:webHidden/>
                <w:sz w:val="24"/>
                <w:szCs w:val="24"/>
              </w:rPr>
              <w:fldChar w:fldCharType="begin"/>
            </w:r>
            <w:r w:rsidRPr="00D40B80">
              <w:rPr>
                <w:rFonts w:ascii="Arial" w:hAnsi="Arial" w:cs="Arial"/>
                <w:noProof/>
                <w:webHidden/>
                <w:sz w:val="24"/>
                <w:szCs w:val="24"/>
              </w:rPr>
              <w:instrText xml:space="preserve"> PAGEREF _Toc220833429 \h </w:instrText>
            </w:r>
            <w:r w:rsidRPr="00D40B80">
              <w:rPr>
                <w:rFonts w:ascii="Arial" w:hAnsi="Arial" w:cs="Arial"/>
                <w:noProof/>
                <w:webHidden/>
                <w:sz w:val="24"/>
                <w:szCs w:val="24"/>
              </w:rPr>
            </w:r>
            <w:r w:rsidRPr="00D40B80">
              <w:rPr>
                <w:rFonts w:ascii="Arial" w:hAnsi="Arial" w:cs="Arial"/>
                <w:noProof/>
                <w:webHidden/>
                <w:sz w:val="24"/>
                <w:szCs w:val="24"/>
              </w:rPr>
              <w:fldChar w:fldCharType="separate"/>
            </w:r>
            <w:r w:rsidR="007B4328">
              <w:rPr>
                <w:rFonts w:ascii="Arial" w:hAnsi="Arial" w:cs="Arial"/>
                <w:noProof/>
                <w:webHidden/>
                <w:sz w:val="24"/>
                <w:szCs w:val="24"/>
              </w:rPr>
              <w:t>6</w:t>
            </w:r>
            <w:r w:rsidRPr="00D40B80">
              <w:rPr>
                <w:rFonts w:ascii="Arial" w:hAnsi="Arial" w:cs="Arial"/>
                <w:noProof/>
                <w:webHidden/>
                <w:sz w:val="24"/>
                <w:szCs w:val="24"/>
              </w:rPr>
              <w:fldChar w:fldCharType="end"/>
            </w:r>
          </w:hyperlink>
        </w:p>
        <w:p w14:paraId="2C1CB3EC" w14:textId="3FA467EC" w:rsidR="00D40B80" w:rsidRPr="00D40B80" w:rsidRDefault="00D40B80" w:rsidP="005403B5">
          <w:pPr>
            <w:pStyle w:val="TOC1"/>
            <w:tabs>
              <w:tab w:val="right" w:leader="dot" w:pos="9016"/>
            </w:tabs>
            <w:jc w:val="center"/>
            <w:rPr>
              <w:rFonts w:ascii="Arial" w:eastAsiaTheme="minorEastAsia" w:hAnsi="Arial" w:cs="Arial"/>
              <w:noProof/>
              <w:sz w:val="24"/>
              <w:szCs w:val="24"/>
              <w:lang w:eastAsia="en-GB"/>
            </w:rPr>
          </w:pPr>
          <w:hyperlink w:anchor="_Toc220833430" w:history="1">
            <w:r w:rsidRPr="00D40B80">
              <w:rPr>
                <w:rStyle w:val="Hyperlink"/>
                <w:rFonts w:ascii="Arial" w:hAnsi="Arial" w:cs="Arial"/>
                <w:noProof/>
                <w:sz w:val="24"/>
                <w:szCs w:val="24"/>
              </w:rPr>
              <w:t>8. Conclusion</w:t>
            </w:r>
            <w:r w:rsidRPr="00D40B80">
              <w:rPr>
                <w:rFonts w:ascii="Arial" w:hAnsi="Arial" w:cs="Arial"/>
                <w:noProof/>
                <w:webHidden/>
                <w:sz w:val="24"/>
                <w:szCs w:val="24"/>
              </w:rPr>
              <w:tab/>
            </w:r>
            <w:r w:rsidRPr="00D40B80">
              <w:rPr>
                <w:rFonts w:ascii="Arial" w:hAnsi="Arial" w:cs="Arial"/>
                <w:noProof/>
                <w:webHidden/>
                <w:sz w:val="24"/>
                <w:szCs w:val="24"/>
              </w:rPr>
              <w:fldChar w:fldCharType="begin"/>
            </w:r>
            <w:r w:rsidRPr="00D40B80">
              <w:rPr>
                <w:rFonts w:ascii="Arial" w:hAnsi="Arial" w:cs="Arial"/>
                <w:noProof/>
                <w:webHidden/>
                <w:sz w:val="24"/>
                <w:szCs w:val="24"/>
              </w:rPr>
              <w:instrText xml:space="preserve"> PAGEREF _Toc220833430 \h </w:instrText>
            </w:r>
            <w:r w:rsidRPr="00D40B80">
              <w:rPr>
                <w:rFonts w:ascii="Arial" w:hAnsi="Arial" w:cs="Arial"/>
                <w:noProof/>
                <w:webHidden/>
                <w:sz w:val="24"/>
                <w:szCs w:val="24"/>
              </w:rPr>
            </w:r>
            <w:r w:rsidRPr="00D40B80">
              <w:rPr>
                <w:rFonts w:ascii="Arial" w:hAnsi="Arial" w:cs="Arial"/>
                <w:noProof/>
                <w:webHidden/>
                <w:sz w:val="24"/>
                <w:szCs w:val="24"/>
              </w:rPr>
              <w:fldChar w:fldCharType="separate"/>
            </w:r>
            <w:r w:rsidR="007B4328">
              <w:rPr>
                <w:rFonts w:ascii="Arial" w:hAnsi="Arial" w:cs="Arial"/>
                <w:noProof/>
                <w:webHidden/>
                <w:sz w:val="24"/>
                <w:szCs w:val="24"/>
              </w:rPr>
              <w:t>7</w:t>
            </w:r>
            <w:r w:rsidRPr="00D40B80">
              <w:rPr>
                <w:rFonts w:ascii="Arial" w:hAnsi="Arial" w:cs="Arial"/>
                <w:noProof/>
                <w:webHidden/>
                <w:sz w:val="24"/>
                <w:szCs w:val="24"/>
              </w:rPr>
              <w:fldChar w:fldCharType="end"/>
            </w:r>
          </w:hyperlink>
        </w:p>
        <w:p w14:paraId="642F1D61" w14:textId="4ED2F3F5" w:rsidR="00D40B80" w:rsidRDefault="00D40B80" w:rsidP="005403B5">
          <w:pPr>
            <w:jc w:val="center"/>
          </w:pPr>
          <w:r w:rsidRPr="00D40B80">
            <w:rPr>
              <w:rFonts w:ascii="Arial" w:hAnsi="Arial" w:cs="Arial"/>
              <w:b/>
              <w:bCs/>
              <w:sz w:val="24"/>
              <w:szCs w:val="24"/>
            </w:rPr>
            <w:fldChar w:fldCharType="end"/>
          </w:r>
          <w:r w:rsidR="007B4328" w:rsidRPr="007B4328">
            <w:rPr>
              <w:rFonts w:ascii="Arial" w:hAnsi="Arial" w:cs="Arial"/>
              <w:sz w:val="24"/>
              <w:szCs w:val="24"/>
            </w:rPr>
            <w:t>9</w:t>
          </w:r>
          <w:r w:rsidR="007B4328">
            <w:rPr>
              <w:rFonts w:ascii="Arial" w:hAnsi="Arial" w:cs="Arial"/>
              <w:sz w:val="24"/>
              <w:szCs w:val="24"/>
            </w:rPr>
            <w:t>.References…………………………………………………………………………………8</w:t>
          </w:r>
        </w:p>
      </w:sdtContent>
    </w:sdt>
    <w:p w14:paraId="36766DF4" w14:textId="6E708DFE" w:rsidR="00166C8E" w:rsidRDefault="00166C8E" w:rsidP="001D5BA1">
      <w:pPr>
        <w:rPr>
          <w:rFonts w:ascii="Arial" w:hAnsi="Arial" w:cs="Arial"/>
          <w:b/>
          <w:bCs/>
        </w:rPr>
      </w:pPr>
    </w:p>
    <w:p w14:paraId="648BC7A6" w14:textId="3BA84E67" w:rsidR="000408E7" w:rsidRPr="00422A6B" w:rsidRDefault="00166C8E" w:rsidP="00422A6B">
      <w:pPr>
        <w:rPr>
          <w:rFonts w:ascii="Arial" w:hAnsi="Arial" w:cs="Arial"/>
          <w:b/>
          <w:bCs/>
        </w:rPr>
      </w:pPr>
      <w:r>
        <w:rPr>
          <w:rFonts w:ascii="Arial" w:hAnsi="Arial" w:cs="Arial"/>
          <w:b/>
          <w:bCs/>
        </w:rPr>
        <w:br w:type="page"/>
      </w:r>
    </w:p>
    <w:p w14:paraId="5E5921F8" w14:textId="0ADCE662" w:rsidR="00BD2A6E" w:rsidRPr="00422A6B" w:rsidRDefault="00BD2A6E" w:rsidP="00422A6B">
      <w:pPr>
        <w:pStyle w:val="Heading1"/>
        <w:numPr>
          <w:ilvl w:val="0"/>
          <w:numId w:val="3"/>
        </w:numPr>
        <w:rPr>
          <w:rFonts w:ascii="Arial" w:hAnsi="Arial" w:cs="Arial"/>
          <w:b/>
          <w:bCs/>
          <w:sz w:val="22"/>
          <w:szCs w:val="22"/>
        </w:rPr>
      </w:pPr>
      <w:bookmarkStart w:id="0" w:name="_Toc220833421"/>
      <w:r w:rsidRPr="00422A6B">
        <w:rPr>
          <w:rFonts w:ascii="Arial" w:hAnsi="Arial" w:cs="Arial"/>
          <w:b/>
          <w:bCs/>
          <w:sz w:val="22"/>
          <w:szCs w:val="22"/>
        </w:rPr>
        <w:lastRenderedPageBreak/>
        <w:t>Introduction / Background and Research Problem</w:t>
      </w:r>
      <w:bookmarkEnd w:id="0"/>
    </w:p>
    <w:p w14:paraId="53EC5ED0" w14:textId="5055D329" w:rsidR="00BD2A6E" w:rsidRPr="00D40B80" w:rsidRDefault="00BD2A6E" w:rsidP="00BD2A6E">
      <w:pPr>
        <w:rPr>
          <w:rFonts w:ascii="Arial" w:hAnsi="Arial" w:cs="Arial"/>
        </w:rPr>
      </w:pPr>
      <w:r w:rsidRPr="00D40B80">
        <w:rPr>
          <w:rFonts w:ascii="Arial" w:hAnsi="Arial" w:cs="Arial"/>
        </w:rPr>
        <w:t xml:space="preserve">The pharmaceutical logistics industry in the UK functions under a highly regulated framework, necessitating precision, adherence to regulations, and </w:t>
      </w:r>
      <w:r w:rsidR="000408E7" w:rsidRPr="00D40B80">
        <w:rPr>
          <w:rFonts w:ascii="Arial" w:hAnsi="Arial" w:cs="Arial"/>
        </w:rPr>
        <w:t>timely</w:t>
      </w:r>
      <w:r w:rsidRPr="00D40B80">
        <w:rPr>
          <w:rFonts w:ascii="Arial" w:hAnsi="Arial" w:cs="Arial"/>
        </w:rPr>
        <w:t xml:space="preserve"> organisational success. Companies in this sector must follow rigorous guidelines for the storage, management, and transit of pharmaceutical products, all while maintaining consistent service standards despite fluctuating demand and workforce challenges (CIPD, 2023; Torrington et al., 2020). Consequently, these organisations operate in a kind of continuous tension, where every small delay or deviation can ripple through the system. The work becomes not only about logistics but also about people trying to keep up with the rhythm of a system that rarely slows down. Because of this, the operational complexity is high and much of the real functioning depends on the frontline workers who, in a way, hold the structure together even when it bends under pressure.</w:t>
      </w:r>
    </w:p>
    <w:p w14:paraId="2DFE2B54" w14:textId="77777777" w:rsidR="00BD2A6E" w:rsidRPr="00D40B80" w:rsidRDefault="00BD2A6E" w:rsidP="00BD2A6E">
      <w:pPr>
        <w:rPr>
          <w:rFonts w:ascii="Arial" w:hAnsi="Arial" w:cs="Arial"/>
        </w:rPr>
      </w:pPr>
      <w:proofErr w:type="spellStart"/>
      <w:r w:rsidRPr="00D40B80">
        <w:rPr>
          <w:rFonts w:ascii="Arial" w:hAnsi="Arial" w:cs="Arial"/>
        </w:rPr>
        <w:t>Movianto</w:t>
      </w:r>
      <w:proofErr w:type="spellEnd"/>
      <w:r w:rsidRPr="00D40B80">
        <w:rPr>
          <w:rFonts w:ascii="Arial" w:hAnsi="Arial" w:cs="Arial"/>
        </w:rPr>
        <w:t xml:space="preserve"> UK and DHL Supply Chain Healthcare are prominent entities in the UK's pharmaceutical logistics industry, offering essential infrastructure that bolsters healthcare delivery and patient safety throughout the country. Their day-to-day functioning rests heavily on warehouse staff, drivers, and supervisors whose work is constantly monitored, measured, and checked against procedures that sometimes feel endless. They are evaluated through performance metrics, compliance audits, and procedural verifications that leave little room for improvisation or personal discretion. Because of these tightly controlled conditions, the sector becomes a particularly interesting ground to study how people stay engaged or why they leave, how they manage to find meaning in repetitive or constrained work, and what keeps them going—or not going—each day.</w:t>
      </w:r>
    </w:p>
    <w:p w14:paraId="0AD10039" w14:textId="77777777" w:rsidR="00BD2A6E" w:rsidRPr="00D40B80" w:rsidRDefault="00BD2A6E" w:rsidP="00BD2A6E">
      <w:pPr>
        <w:rPr>
          <w:rFonts w:ascii="Arial" w:hAnsi="Arial" w:cs="Arial"/>
        </w:rPr>
      </w:pPr>
      <w:r w:rsidRPr="00D40B80">
        <w:rPr>
          <w:rFonts w:ascii="Arial" w:hAnsi="Arial" w:cs="Arial"/>
          <w:b/>
          <w:bCs/>
        </w:rPr>
        <w:t>Problem Statement</w:t>
      </w:r>
      <w:r w:rsidRPr="00D40B80">
        <w:rPr>
          <w:rFonts w:ascii="Arial" w:hAnsi="Arial" w:cs="Arial"/>
        </w:rPr>
        <w:br/>
        <w:t>Despite their critical operational roles, frontline positions in the pharmaceutical logistics sector often face intense work requirements, shift-based schedules, limited job security, and constrained channels for employee feedback (Nickson, 2013; Thompson, 2011). These conditions can gradually erode employee well-being, leading to exhaustion, frustration, and eventually high turnover. When people leave too often, service quality drops, performance suffers, and the strict regulatory standards that define the sector become harder to meet. It’s like a cycle that keeps feeding itself—poor conditions cause turnover, turnover worsens conditions.</w:t>
      </w:r>
    </w:p>
    <w:p w14:paraId="0F0241DC" w14:textId="77777777" w:rsidR="00BD2A6E" w:rsidRPr="00D40B80" w:rsidRDefault="00BD2A6E" w:rsidP="00BD2A6E">
      <w:pPr>
        <w:rPr>
          <w:rFonts w:ascii="Arial" w:hAnsi="Arial" w:cs="Arial"/>
        </w:rPr>
      </w:pPr>
      <w:r w:rsidRPr="00D40B80">
        <w:rPr>
          <w:rFonts w:ascii="Arial" w:hAnsi="Arial" w:cs="Arial"/>
        </w:rPr>
        <w:t xml:space="preserve">In trying to address these challenges, the idea of employee engagement has become something of a central theme in modern HRM discussions. Engagement programs are often presented as solutions that can make workers more motivated, more loyal, and more productive (Albrecht et al., 2015). But the question remains whether these initiatives truly fix the deeper problems or just make them look better on paper. Some scholars argue that engagement can work as a subtle form of control, persuading employees to internalise company goals while the real structural issues—like workload, insecurity, or managerial pressure—stay untouched (Legge, 2005; Thompson, 2011). This research aims to look closely at these contradictions through a comparative analysis of how </w:t>
      </w:r>
      <w:proofErr w:type="spellStart"/>
      <w:r w:rsidRPr="00D40B80">
        <w:rPr>
          <w:rFonts w:ascii="Arial" w:hAnsi="Arial" w:cs="Arial"/>
        </w:rPr>
        <w:t>Movianto</w:t>
      </w:r>
      <w:proofErr w:type="spellEnd"/>
      <w:r w:rsidRPr="00D40B80">
        <w:rPr>
          <w:rFonts w:ascii="Arial" w:hAnsi="Arial" w:cs="Arial"/>
        </w:rPr>
        <w:t xml:space="preserve"> UK and DHL Supply Chain Healthcare approach engagement and what that means for the people who work there.</w:t>
      </w:r>
    </w:p>
    <w:p w14:paraId="6617A466" w14:textId="77777777" w:rsidR="00BD2A6E" w:rsidRPr="00D40B80" w:rsidRDefault="00BD2A6E" w:rsidP="00BD2A6E">
      <w:pPr>
        <w:rPr>
          <w:rFonts w:ascii="Arial" w:hAnsi="Arial" w:cs="Arial"/>
        </w:rPr>
      </w:pPr>
    </w:p>
    <w:p w14:paraId="1DDA358B" w14:textId="77777777" w:rsidR="00BD2A6E" w:rsidRPr="00D40B80" w:rsidRDefault="00BD2A6E" w:rsidP="00BD2A6E">
      <w:pPr>
        <w:rPr>
          <w:rFonts w:ascii="Arial" w:hAnsi="Arial" w:cs="Arial"/>
        </w:rPr>
      </w:pPr>
    </w:p>
    <w:p w14:paraId="2D984F1E" w14:textId="77777777" w:rsidR="000408E7" w:rsidRPr="00D40B80" w:rsidRDefault="000408E7" w:rsidP="00BD2A6E">
      <w:pPr>
        <w:rPr>
          <w:rFonts w:ascii="Arial" w:hAnsi="Arial" w:cs="Arial"/>
        </w:rPr>
      </w:pPr>
    </w:p>
    <w:p w14:paraId="64A53C68" w14:textId="008934EC" w:rsidR="00BD2A6E" w:rsidRPr="00D40B80" w:rsidRDefault="00BD2A6E" w:rsidP="00BD2A6E">
      <w:pPr>
        <w:rPr>
          <w:rFonts w:ascii="Arial" w:hAnsi="Arial" w:cs="Arial"/>
        </w:rPr>
      </w:pPr>
      <w:bookmarkStart w:id="1" w:name="_Toc220833422"/>
      <w:r w:rsidRPr="00422A6B">
        <w:rPr>
          <w:rStyle w:val="Heading1Char"/>
          <w:rFonts w:ascii="Arial" w:hAnsi="Arial" w:cs="Arial"/>
          <w:b/>
          <w:bCs/>
          <w:sz w:val="22"/>
          <w:szCs w:val="22"/>
        </w:rPr>
        <w:lastRenderedPageBreak/>
        <w:t>2. Research Aim, Objectives and Questions</w:t>
      </w:r>
      <w:bookmarkEnd w:id="1"/>
      <w:r w:rsidRPr="00D40B80">
        <w:rPr>
          <w:rFonts w:ascii="Arial" w:hAnsi="Arial" w:cs="Arial"/>
        </w:rPr>
        <w:br/>
      </w:r>
      <w:r w:rsidRPr="00422A6B">
        <w:rPr>
          <w:rStyle w:val="Heading1Char"/>
          <w:rFonts w:ascii="Arial" w:hAnsi="Arial" w:cs="Arial"/>
          <w:b/>
          <w:bCs/>
          <w:sz w:val="22"/>
          <w:szCs w:val="22"/>
        </w:rPr>
        <w:t>2.1 Research Aim</w:t>
      </w:r>
      <w:r w:rsidRPr="00D40B80">
        <w:rPr>
          <w:rFonts w:ascii="Arial" w:hAnsi="Arial" w:cs="Arial"/>
        </w:rPr>
        <w:br/>
        <w:t xml:space="preserve">This study aims to critically assess employee engagement strategies at </w:t>
      </w:r>
      <w:proofErr w:type="spellStart"/>
      <w:r w:rsidRPr="00D40B80">
        <w:rPr>
          <w:rFonts w:ascii="Arial" w:hAnsi="Arial" w:cs="Arial"/>
        </w:rPr>
        <w:t>Movianto</w:t>
      </w:r>
      <w:proofErr w:type="spellEnd"/>
      <w:r w:rsidRPr="00D40B80">
        <w:rPr>
          <w:rFonts w:ascii="Arial" w:hAnsi="Arial" w:cs="Arial"/>
        </w:rPr>
        <w:t xml:space="preserve"> UK and DHL Supply Chain Healthcare and evaluate their impact on staff retention using qualitative secondary data. Instead of assuming that engagement automatically leads to retention, the study will examine how engagement is </w:t>
      </w:r>
      <w:r w:rsidR="00422A6B" w:rsidRPr="00D40B80">
        <w:rPr>
          <w:rFonts w:ascii="Arial" w:hAnsi="Arial" w:cs="Arial"/>
        </w:rPr>
        <w:t>described</w:t>
      </w:r>
      <w:r w:rsidRPr="00D40B80">
        <w:rPr>
          <w:rFonts w:ascii="Arial" w:hAnsi="Arial" w:cs="Arial"/>
        </w:rPr>
        <w:t>, communicated, and experienced within these highly regulated, labour-intensive settings.</w:t>
      </w:r>
    </w:p>
    <w:p w14:paraId="320B576B" w14:textId="77777777" w:rsidR="00BD2A6E" w:rsidRPr="00D40B80" w:rsidRDefault="00BD2A6E" w:rsidP="00BD2A6E">
      <w:pPr>
        <w:rPr>
          <w:rFonts w:ascii="Arial" w:hAnsi="Arial" w:cs="Arial"/>
        </w:rPr>
      </w:pPr>
      <w:r w:rsidRPr="00D40B80">
        <w:rPr>
          <w:rFonts w:ascii="Arial" w:hAnsi="Arial" w:cs="Arial"/>
        </w:rPr>
        <w:t>Using a comparative case study method, the research will look for both similarities and differences in engagement strategies and retention outcomes across the two organisations. This comparative approach is meant to bring more depth and to see whether engagement practices work the same way everywhere or whether they shift depending on the company’s structure, management style, and labour conditions.</w:t>
      </w:r>
    </w:p>
    <w:p w14:paraId="78258473" w14:textId="77777777" w:rsidR="00BD2A6E" w:rsidRPr="00D40B80" w:rsidRDefault="00BD2A6E" w:rsidP="00BD2A6E">
      <w:pPr>
        <w:rPr>
          <w:rFonts w:ascii="Arial" w:hAnsi="Arial" w:cs="Arial"/>
        </w:rPr>
      </w:pPr>
      <w:r w:rsidRPr="00D40B80">
        <w:rPr>
          <w:rFonts w:ascii="Arial" w:hAnsi="Arial" w:cs="Arial"/>
        </w:rPr>
        <w:t>Overall, the study seeks to deepen the understanding of employee engagement by placing it within the broader realities of work—things like constant performance monitoring, high work intensity, and uncertain job security. The goal is to go beyond the usual managerial talk about engagement and instead contribute to both academic debates and practical reflections about how to keep people in demanding, tightly regulated industries.</w:t>
      </w:r>
    </w:p>
    <w:p w14:paraId="52573526" w14:textId="77777777" w:rsidR="00BD2A6E" w:rsidRPr="00D40B80" w:rsidRDefault="00BD2A6E" w:rsidP="00BD2A6E">
      <w:pPr>
        <w:rPr>
          <w:rFonts w:ascii="Arial" w:hAnsi="Arial" w:cs="Arial"/>
        </w:rPr>
      </w:pPr>
      <w:bookmarkStart w:id="2" w:name="_Toc220833423"/>
      <w:r w:rsidRPr="00422A6B">
        <w:rPr>
          <w:rStyle w:val="Heading1Char"/>
          <w:rFonts w:ascii="Arial" w:hAnsi="Arial" w:cs="Arial"/>
          <w:b/>
          <w:bCs/>
          <w:sz w:val="22"/>
          <w:szCs w:val="22"/>
        </w:rPr>
        <w:t>2.2 Research Objectives</w:t>
      </w:r>
      <w:bookmarkEnd w:id="2"/>
      <w:r w:rsidRPr="00D40B80">
        <w:rPr>
          <w:rFonts w:ascii="Arial" w:hAnsi="Arial" w:cs="Arial"/>
        </w:rPr>
        <w:br/>
        <w:t>The objectives of this study are to:</w:t>
      </w:r>
      <w:r w:rsidRPr="00D40B80">
        <w:rPr>
          <w:rFonts w:ascii="Arial" w:hAnsi="Arial" w:cs="Arial"/>
        </w:rPr>
        <w:br/>
        <w:t>• Examine how employee engagement strategies are represented in organisational and publicly available secondary data about both companies.</w:t>
      </w:r>
      <w:r w:rsidRPr="00D40B80">
        <w:rPr>
          <w:rFonts w:ascii="Arial" w:hAnsi="Arial" w:cs="Arial"/>
        </w:rPr>
        <w:br/>
        <w:t>• Investigate how engagement strategies relate to staff retention outcomes in the two firms, even when the connection might not be straightforward or consistent.</w:t>
      </w:r>
      <w:r w:rsidRPr="00D40B80">
        <w:rPr>
          <w:rFonts w:ascii="Arial" w:hAnsi="Arial" w:cs="Arial"/>
        </w:rPr>
        <w:br/>
        <w:t>• Assess whether these strategies actually reduce or, perhaps unintentionally, reinforce the structural and organisational factors that affect retention.</w:t>
      </w:r>
      <w:r w:rsidRPr="00D40B80">
        <w:rPr>
          <w:rFonts w:ascii="Arial" w:hAnsi="Arial" w:cs="Arial"/>
        </w:rPr>
        <w:br/>
        <w:t>• Develop recommendations that make sense for companies where the work is physically demanding and the rules are strict, such as those in pharmaceutical logistics.</w:t>
      </w:r>
    </w:p>
    <w:p w14:paraId="769ED8EE" w14:textId="77777777" w:rsidR="00BD2A6E" w:rsidRPr="00422A6B" w:rsidRDefault="00BD2A6E" w:rsidP="00166C8E">
      <w:pPr>
        <w:pStyle w:val="Heading1"/>
        <w:rPr>
          <w:rFonts w:ascii="Arial" w:hAnsi="Arial" w:cs="Arial"/>
          <w:b/>
          <w:bCs/>
          <w:sz w:val="22"/>
          <w:szCs w:val="22"/>
        </w:rPr>
      </w:pPr>
      <w:bookmarkStart w:id="3" w:name="_Toc220833424"/>
      <w:r w:rsidRPr="00422A6B">
        <w:rPr>
          <w:rFonts w:ascii="Arial" w:hAnsi="Arial" w:cs="Arial"/>
          <w:b/>
          <w:bCs/>
          <w:sz w:val="22"/>
          <w:szCs w:val="22"/>
        </w:rPr>
        <w:t>2.3 Research Questions</w:t>
      </w:r>
      <w:bookmarkEnd w:id="3"/>
    </w:p>
    <w:p w14:paraId="46F51267" w14:textId="77777777" w:rsidR="00BD2A6E" w:rsidRPr="00D40B80" w:rsidRDefault="00BD2A6E" w:rsidP="00BD2A6E">
      <w:pPr>
        <w:numPr>
          <w:ilvl w:val="0"/>
          <w:numId w:val="2"/>
        </w:numPr>
        <w:rPr>
          <w:rFonts w:ascii="Arial" w:hAnsi="Arial" w:cs="Arial"/>
        </w:rPr>
      </w:pPr>
      <w:r w:rsidRPr="00D40B80">
        <w:rPr>
          <w:rFonts w:ascii="Arial" w:hAnsi="Arial" w:cs="Arial"/>
        </w:rPr>
        <w:t xml:space="preserve">How are employee engagement strategies at </w:t>
      </w:r>
      <w:proofErr w:type="spellStart"/>
      <w:r w:rsidRPr="00D40B80">
        <w:rPr>
          <w:rFonts w:ascii="Arial" w:hAnsi="Arial" w:cs="Arial"/>
        </w:rPr>
        <w:t>Movianto</w:t>
      </w:r>
      <w:proofErr w:type="spellEnd"/>
      <w:r w:rsidRPr="00D40B80">
        <w:rPr>
          <w:rFonts w:ascii="Arial" w:hAnsi="Arial" w:cs="Arial"/>
        </w:rPr>
        <w:t xml:space="preserve"> UK and DHL Supply Chain Healthcare portrayed within secondary data sources?</w:t>
      </w:r>
    </w:p>
    <w:p w14:paraId="42CFE1A5" w14:textId="77777777" w:rsidR="00BD2A6E" w:rsidRPr="00D40B80" w:rsidRDefault="00BD2A6E" w:rsidP="00BD2A6E">
      <w:pPr>
        <w:numPr>
          <w:ilvl w:val="0"/>
          <w:numId w:val="2"/>
        </w:numPr>
        <w:rPr>
          <w:rFonts w:ascii="Arial" w:hAnsi="Arial" w:cs="Arial"/>
        </w:rPr>
      </w:pPr>
      <w:r w:rsidRPr="00D40B80">
        <w:rPr>
          <w:rFonts w:ascii="Arial" w:hAnsi="Arial" w:cs="Arial"/>
        </w:rPr>
        <w:t>What similarities and differences can be observed between engagement strategies and staff retention outcomes across the two organisations, and do these reflect deeper structural contrasts?</w:t>
      </w:r>
    </w:p>
    <w:p w14:paraId="65292DC1" w14:textId="20E08E1A" w:rsidR="00BD2A6E" w:rsidRPr="00D40B80" w:rsidRDefault="00BD2A6E" w:rsidP="00BD2A6E">
      <w:pPr>
        <w:numPr>
          <w:ilvl w:val="0"/>
          <w:numId w:val="2"/>
        </w:numPr>
        <w:rPr>
          <w:rFonts w:ascii="Arial" w:hAnsi="Arial" w:cs="Arial"/>
        </w:rPr>
      </w:pPr>
      <w:r w:rsidRPr="00D40B80">
        <w:rPr>
          <w:rFonts w:ascii="Arial" w:hAnsi="Arial" w:cs="Arial"/>
        </w:rPr>
        <w:t>To what extent do engagement strategies address or worsen the structural factors that influence employee retention in UK pharmaceutical logistics companies?</w:t>
      </w:r>
    </w:p>
    <w:p w14:paraId="14571ABC" w14:textId="77777777" w:rsidR="00BD2A6E" w:rsidRPr="00D40B80" w:rsidRDefault="00BD2A6E" w:rsidP="00BD2A6E">
      <w:pPr>
        <w:rPr>
          <w:rFonts w:ascii="Arial" w:hAnsi="Arial" w:cs="Arial"/>
        </w:rPr>
      </w:pPr>
    </w:p>
    <w:p w14:paraId="5D56EC58" w14:textId="77777777" w:rsidR="000408E7" w:rsidRPr="00D40B80" w:rsidRDefault="000408E7" w:rsidP="00BD2A6E">
      <w:pPr>
        <w:rPr>
          <w:rFonts w:ascii="Arial" w:hAnsi="Arial" w:cs="Arial"/>
        </w:rPr>
      </w:pPr>
    </w:p>
    <w:p w14:paraId="5A052CC9" w14:textId="77777777" w:rsidR="000408E7" w:rsidRPr="00D40B80" w:rsidRDefault="000408E7" w:rsidP="00BD2A6E">
      <w:pPr>
        <w:rPr>
          <w:rFonts w:ascii="Arial" w:hAnsi="Arial" w:cs="Arial"/>
        </w:rPr>
      </w:pPr>
    </w:p>
    <w:p w14:paraId="2E8CE8F0" w14:textId="77777777" w:rsidR="000408E7" w:rsidRDefault="000408E7" w:rsidP="00BD2A6E">
      <w:pPr>
        <w:rPr>
          <w:rFonts w:ascii="Arial" w:hAnsi="Arial" w:cs="Arial"/>
        </w:rPr>
      </w:pPr>
    </w:p>
    <w:p w14:paraId="22096077" w14:textId="77777777" w:rsidR="00422A6B" w:rsidRPr="00D40B80" w:rsidRDefault="00422A6B" w:rsidP="00BD2A6E">
      <w:pPr>
        <w:rPr>
          <w:rFonts w:ascii="Arial" w:hAnsi="Arial" w:cs="Arial"/>
        </w:rPr>
      </w:pPr>
    </w:p>
    <w:p w14:paraId="3C66427A" w14:textId="77777777" w:rsidR="001D5BA1" w:rsidRPr="00D40B80" w:rsidRDefault="001D5BA1" w:rsidP="00BD2A6E">
      <w:pPr>
        <w:rPr>
          <w:rFonts w:ascii="Arial" w:hAnsi="Arial" w:cs="Arial"/>
        </w:rPr>
      </w:pPr>
    </w:p>
    <w:p w14:paraId="570690B3" w14:textId="77777777" w:rsidR="00BD2A6E" w:rsidRPr="00D40B80" w:rsidRDefault="00BD2A6E" w:rsidP="00BD2A6E">
      <w:pPr>
        <w:rPr>
          <w:rFonts w:ascii="Arial" w:hAnsi="Arial" w:cs="Arial"/>
        </w:rPr>
      </w:pPr>
      <w:bookmarkStart w:id="4" w:name="_Toc220833425"/>
      <w:r w:rsidRPr="00422A6B">
        <w:rPr>
          <w:rStyle w:val="Heading1Char"/>
          <w:rFonts w:ascii="Arial" w:hAnsi="Arial" w:cs="Arial"/>
          <w:b/>
          <w:bCs/>
          <w:sz w:val="22"/>
          <w:szCs w:val="22"/>
        </w:rPr>
        <w:lastRenderedPageBreak/>
        <w:t>3. Literature Review</w:t>
      </w:r>
      <w:bookmarkEnd w:id="4"/>
      <w:r w:rsidRPr="00D40B80">
        <w:rPr>
          <w:rFonts w:ascii="Arial" w:hAnsi="Arial" w:cs="Arial"/>
        </w:rPr>
        <w:br/>
        <w:t>Employee engagement has become a central topic in HRM research and practice, often linked to improved performance, commitment, and retention (Albrecht et al., 2015). Kahn’s (199) idea of engagement as the investment of physical, cognitive, and emotional energies into work roles laid the early foundation. His model focused on psychological meaningfulness, safety, and availability—essentially, whether people feel that their work matters, that they are safe to express themselves, and that they have the energy to do so.</w:t>
      </w:r>
    </w:p>
    <w:p w14:paraId="31EA12D2" w14:textId="77777777" w:rsidR="00BD2A6E" w:rsidRPr="00D40B80" w:rsidRDefault="00BD2A6E" w:rsidP="00BD2A6E">
      <w:pPr>
        <w:rPr>
          <w:rFonts w:ascii="Arial" w:hAnsi="Arial" w:cs="Arial"/>
        </w:rPr>
      </w:pPr>
      <w:r w:rsidRPr="00D40B80">
        <w:rPr>
          <w:rFonts w:ascii="Arial" w:hAnsi="Arial" w:cs="Arial"/>
        </w:rPr>
        <w:t>Later frameworks tried to make engagement more measurable. Schaufeli et al. (2002) described it in terms of vigour, dedication, and absorption—a model that became widely used in empirical research. Yet, critics argue that these models look too much at individual attitudes and not enough at the organisational structures or power relations that shape those attitudes (Macey and Schneider, 2008).</w:t>
      </w:r>
    </w:p>
    <w:p w14:paraId="7BE0DC6D" w14:textId="04C55428" w:rsidR="00BD2A6E" w:rsidRPr="00D40B80" w:rsidRDefault="00BD2A6E" w:rsidP="00BD2A6E">
      <w:pPr>
        <w:rPr>
          <w:rFonts w:ascii="Arial" w:hAnsi="Arial" w:cs="Arial"/>
        </w:rPr>
      </w:pPr>
      <w:r w:rsidRPr="00D40B80">
        <w:rPr>
          <w:rFonts w:ascii="Arial" w:hAnsi="Arial" w:cs="Arial"/>
        </w:rPr>
        <w:t xml:space="preserve">Critical HRM scholars take a more sceptical stance. Thompson (2011) argues that HRM practices often claim to benefit both employees and </w:t>
      </w:r>
      <w:r w:rsidR="00EE2CB5" w:rsidRPr="00D40B80">
        <w:rPr>
          <w:rFonts w:ascii="Arial" w:hAnsi="Arial" w:cs="Arial"/>
        </w:rPr>
        <w:t>organisations but</w:t>
      </w:r>
      <w:r w:rsidR="000408E7" w:rsidRPr="00D40B80">
        <w:rPr>
          <w:rFonts w:ascii="Arial" w:hAnsi="Arial" w:cs="Arial"/>
        </w:rPr>
        <w:t xml:space="preserve"> mostly</w:t>
      </w:r>
      <w:r w:rsidRPr="00D40B80">
        <w:rPr>
          <w:rFonts w:ascii="Arial" w:hAnsi="Arial" w:cs="Arial"/>
        </w:rPr>
        <w:t xml:space="preserve"> serve performance goals. Willmott (1993) adds that engagement and culture-based programs can disguise power imbalances by promoting the illusion of shared interests. Labour process theory supports this by showing how control and consent operate in labour-intensive sectors like logistics (Thompson and Ackroyd, 1995; Nickson, 2013). Despite this extensive debate, there is still little qualitative, comparative research focusing specifically on the UK pharmaceutical logistics sector, leaving a clear gap that this study aims to address.</w:t>
      </w:r>
    </w:p>
    <w:p w14:paraId="7C752F24" w14:textId="77777777" w:rsidR="00BD2A6E" w:rsidRPr="00D40B80" w:rsidRDefault="00BD2A6E" w:rsidP="00BD2A6E">
      <w:pPr>
        <w:rPr>
          <w:rFonts w:ascii="Arial" w:hAnsi="Arial" w:cs="Arial"/>
        </w:rPr>
      </w:pPr>
      <w:bookmarkStart w:id="5" w:name="_Toc220833426"/>
      <w:r w:rsidRPr="00422A6B">
        <w:rPr>
          <w:rStyle w:val="Heading1Char"/>
          <w:rFonts w:ascii="Arial" w:hAnsi="Arial" w:cs="Arial"/>
          <w:b/>
          <w:bCs/>
          <w:sz w:val="22"/>
          <w:szCs w:val="22"/>
        </w:rPr>
        <w:t>4. Research Methodology</w:t>
      </w:r>
      <w:bookmarkEnd w:id="5"/>
      <w:r w:rsidRPr="00D40B80">
        <w:rPr>
          <w:rFonts w:ascii="Arial" w:hAnsi="Arial" w:cs="Arial"/>
        </w:rPr>
        <w:br/>
        <w:t>This study uses a qualitative design based on an interpretivist philosophy. Such an approach is suitable because it focuses on how engagement strategies are constructed and understood within organisations rather than trying to prove direct cause-and-effect relationships. The research uses only qualitative secondary data, which allows for the analysis of organisational narratives and employee perspectives without direct researcher involvement, which might otherwise influence responses.</w:t>
      </w:r>
    </w:p>
    <w:p w14:paraId="369E677F" w14:textId="77777777" w:rsidR="00BD2A6E" w:rsidRPr="00D40B80" w:rsidRDefault="00BD2A6E" w:rsidP="00BD2A6E">
      <w:pPr>
        <w:rPr>
          <w:rFonts w:ascii="Arial" w:hAnsi="Arial" w:cs="Arial"/>
        </w:rPr>
      </w:pPr>
      <w:r w:rsidRPr="00D40B80">
        <w:rPr>
          <w:rFonts w:ascii="Arial" w:hAnsi="Arial" w:cs="Arial"/>
        </w:rPr>
        <w:t>Data will come from company documents, corporate reports, industry publications, academic articles, and employee-generated reviews on platforms like Glassdoor and Indeed. Using multiple sources supports triangulation and builds credibility. To ensure transparency, elements of the PRISMA framework will be used to document how data sources are identified and screened. Thematic analysis will follow Braun and Clarke’s (2006) six-step process, though in practice, analysis may move back and forth between stages as themes evolve.</w:t>
      </w:r>
    </w:p>
    <w:p w14:paraId="75F550DE" w14:textId="77777777" w:rsidR="00BD2A6E" w:rsidRPr="00D40B80" w:rsidRDefault="00BD2A6E" w:rsidP="00BD2A6E">
      <w:pPr>
        <w:rPr>
          <w:rFonts w:ascii="Arial" w:hAnsi="Arial" w:cs="Arial"/>
        </w:rPr>
      </w:pPr>
      <w:bookmarkStart w:id="6" w:name="_Toc220833427"/>
      <w:r w:rsidRPr="00422A6B">
        <w:rPr>
          <w:rStyle w:val="Heading1Char"/>
          <w:rFonts w:ascii="Arial" w:hAnsi="Arial" w:cs="Arial"/>
          <w:b/>
          <w:bCs/>
          <w:sz w:val="22"/>
          <w:szCs w:val="22"/>
        </w:rPr>
        <w:t>5. Ethical Considerations</w:t>
      </w:r>
      <w:bookmarkEnd w:id="6"/>
      <w:r w:rsidRPr="00D40B80">
        <w:rPr>
          <w:rFonts w:ascii="Arial" w:hAnsi="Arial" w:cs="Arial"/>
          <w:color w:val="0F9ED5" w:themeColor="accent4"/>
        </w:rPr>
        <w:br/>
      </w:r>
      <w:r w:rsidRPr="00D40B80">
        <w:rPr>
          <w:rFonts w:ascii="Arial" w:hAnsi="Arial" w:cs="Arial"/>
        </w:rPr>
        <w:t xml:space="preserve">Since the study relies only on secondary data, the ethical risks are minimal (Bryman, 2016). There will be no direct contact with employees, managers, or company representatives from either </w:t>
      </w:r>
      <w:proofErr w:type="spellStart"/>
      <w:r w:rsidRPr="00D40B80">
        <w:rPr>
          <w:rFonts w:ascii="Arial" w:hAnsi="Arial" w:cs="Arial"/>
        </w:rPr>
        <w:t>Movianto</w:t>
      </w:r>
      <w:proofErr w:type="spellEnd"/>
      <w:r w:rsidRPr="00D40B80">
        <w:rPr>
          <w:rFonts w:ascii="Arial" w:hAnsi="Arial" w:cs="Arial"/>
        </w:rPr>
        <w:t xml:space="preserve"> UK or DHL Supply Chain Healthcare. All data will come from publicly available or anonymised materials.</w:t>
      </w:r>
    </w:p>
    <w:p w14:paraId="3AC93B87" w14:textId="06D09155" w:rsidR="00BD2A6E" w:rsidRPr="00D40B80" w:rsidRDefault="00BD2A6E" w:rsidP="00BD2A6E">
      <w:pPr>
        <w:rPr>
          <w:rFonts w:ascii="Arial" w:hAnsi="Arial" w:cs="Arial"/>
        </w:rPr>
      </w:pPr>
      <w:r w:rsidRPr="00D40B80">
        <w:rPr>
          <w:rFonts w:ascii="Arial" w:hAnsi="Arial" w:cs="Arial"/>
        </w:rPr>
        <w:t>Special care will be taken when using employee-generated reviews from sites like Glassdoor and Indeed. Even though these are public, they still reflect personal experiences. To protect privacy, no usernames, direct quotes, or identifiable details will be included. Instead, content will be paraphrased to prevent traceability and avoid any potential harm.</w:t>
      </w:r>
    </w:p>
    <w:p w14:paraId="3FEC0508" w14:textId="2C69A678" w:rsidR="00BD2A6E" w:rsidRPr="00D40B80" w:rsidRDefault="00BD2A6E" w:rsidP="00BD2A6E">
      <w:pPr>
        <w:rPr>
          <w:rFonts w:ascii="Arial" w:hAnsi="Arial" w:cs="Arial"/>
        </w:rPr>
      </w:pPr>
      <w:r w:rsidRPr="00D40B80">
        <w:rPr>
          <w:rFonts w:ascii="Arial" w:hAnsi="Arial" w:cs="Arial"/>
        </w:rPr>
        <w:t>The study will also remain aware of the organisational context behind the data. Findings will be presented analytically, not judgmentally, to avoid reputational harm. Ethical approval will be obtained from the university before starting, ensuring compliance with institutional and UK data protection standards</w:t>
      </w:r>
      <w:r w:rsidR="000408E7" w:rsidRPr="00D40B80">
        <w:rPr>
          <w:rFonts w:ascii="Arial" w:hAnsi="Arial" w:cs="Arial"/>
        </w:rPr>
        <w:t>.</w:t>
      </w:r>
    </w:p>
    <w:p w14:paraId="18B8DBAF" w14:textId="77777777" w:rsidR="00BD2A6E" w:rsidRPr="00422A6B" w:rsidRDefault="00BD2A6E" w:rsidP="00BD2A6E">
      <w:pPr>
        <w:rPr>
          <w:rFonts w:ascii="Arial" w:hAnsi="Arial" w:cs="Arial"/>
          <w:b/>
          <w:bCs/>
        </w:rPr>
      </w:pPr>
    </w:p>
    <w:p w14:paraId="1DAF16C5" w14:textId="77777777" w:rsidR="00BD2A6E" w:rsidRPr="00D40B80" w:rsidRDefault="00BD2A6E" w:rsidP="00BD2A6E">
      <w:pPr>
        <w:rPr>
          <w:rFonts w:ascii="Arial" w:hAnsi="Arial" w:cs="Arial"/>
        </w:rPr>
      </w:pPr>
      <w:bookmarkStart w:id="7" w:name="_Toc220833428"/>
      <w:r w:rsidRPr="00422A6B">
        <w:rPr>
          <w:rStyle w:val="Heading1Char"/>
          <w:rFonts w:ascii="Arial" w:hAnsi="Arial" w:cs="Arial"/>
          <w:b/>
          <w:bCs/>
          <w:sz w:val="22"/>
          <w:szCs w:val="22"/>
        </w:rPr>
        <w:t>6. Risks and Limitations</w:t>
      </w:r>
      <w:bookmarkEnd w:id="7"/>
      <w:r w:rsidRPr="00422A6B">
        <w:rPr>
          <w:rFonts w:ascii="Arial" w:hAnsi="Arial" w:cs="Arial"/>
          <w:b/>
          <w:bCs/>
        </w:rPr>
        <w:br/>
      </w:r>
      <w:r w:rsidRPr="00D40B80">
        <w:rPr>
          <w:rFonts w:ascii="Arial" w:hAnsi="Arial" w:cs="Arial"/>
        </w:rPr>
        <w:t>While secondary data reduces ethical risks, it brings several limitations. Company documents and corporate communications often reflect managerial priorities and may present engagement strategies in an overly positive light (Legge, 2005). On the other hand, online employee reviews may show bias because people with extreme experiences—either very good or very bad—are more likely to post (Creswell, 2014).</w:t>
      </w:r>
    </w:p>
    <w:p w14:paraId="57D20758" w14:textId="77777777" w:rsidR="000408E7" w:rsidRPr="00D40B80" w:rsidRDefault="00BD2A6E" w:rsidP="00BD2A6E">
      <w:pPr>
        <w:rPr>
          <w:rFonts w:ascii="Arial" w:hAnsi="Arial" w:cs="Arial"/>
        </w:rPr>
      </w:pPr>
      <w:r w:rsidRPr="00D40B80">
        <w:rPr>
          <w:rFonts w:ascii="Arial" w:hAnsi="Arial" w:cs="Arial"/>
        </w:rPr>
        <w:t xml:space="preserve">Another limitation is the absence of direct employee voices. Without primary data, it’s impossible to ask follow-up questions or clarify meanings, which may leave some interpretations uncertain. This could make it harder to fully capture the complexity of engagement and retention across different roles or locations. </w:t>
      </w:r>
    </w:p>
    <w:p w14:paraId="61094FC4" w14:textId="3D649C6E" w:rsidR="00BD2A6E" w:rsidRPr="00D40B80" w:rsidRDefault="00BD2A6E" w:rsidP="00BD2A6E">
      <w:pPr>
        <w:rPr>
          <w:rFonts w:ascii="Arial" w:hAnsi="Arial" w:cs="Arial"/>
        </w:rPr>
      </w:pPr>
      <w:r w:rsidRPr="00D40B80">
        <w:rPr>
          <w:rFonts w:ascii="Arial" w:hAnsi="Arial" w:cs="Arial"/>
        </w:rPr>
        <w:t>Online reviews may also lack context—timeframes, job roles, or organisational changes—which can lead to misinterpretation.</w:t>
      </w:r>
    </w:p>
    <w:p w14:paraId="3D4607FE" w14:textId="77777777" w:rsidR="00BD2A6E" w:rsidRPr="00D40B80" w:rsidRDefault="00BD2A6E" w:rsidP="00BD2A6E">
      <w:pPr>
        <w:rPr>
          <w:rFonts w:ascii="Arial" w:hAnsi="Arial" w:cs="Arial"/>
        </w:rPr>
      </w:pPr>
      <w:r w:rsidRPr="00D40B80">
        <w:rPr>
          <w:rFonts w:ascii="Arial" w:hAnsi="Arial" w:cs="Arial"/>
        </w:rPr>
        <w:t>These weaknesses will be mitigated through careful triangulation of multiple data sources, critical evaluation of each source’s purpose, and reflexive thinking throughout the process. The study will avoid overgeneralising and will keep findings grounded in their specific organisational and sectoral contexts. Although the comparative design limits statistical generalisation, the aim is to produce analytically grounded insights that could still be useful for similar industries where regulation and labour intensity intersect.</w:t>
      </w:r>
    </w:p>
    <w:p w14:paraId="42AD636E" w14:textId="77777777" w:rsidR="00BD2A6E" w:rsidRPr="00D40B80" w:rsidRDefault="00BD2A6E" w:rsidP="00BD2A6E">
      <w:pPr>
        <w:rPr>
          <w:rFonts w:ascii="Arial" w:hAnsi="Arial" w:cs="Arial"/>
        </w:rPr>
      </w:pPr>
      <w:bookmarkStart w:id="8" w:name="_Toc220833429"/>
      <w:r w:rsidRPr="00422A6B">
        <w:rPr>
          <w:rStyle w:val="Heading1Char"/>
          <w:rFonts w:ascii="Arial" w:hAnsi="Arial" w:cs="Arial"/>
          <w:b/>
          <w:bCs/>
          <w:sz w:val="22"/>
          <w:szCs w:val="22"/>
        </w:rPr>
        <w:t>7. Proposed Timeline (Gantt Chart)</w:t>
      </w:r>
      <w:bookmarkEnd w:id="8"/>
      <w:r w:rsidRPr="00D40B80">
        <w:rPr>
          <w:rFonts w:ascii="Arial" w:hAnsi="Arial" w:cs="Arial"/>
        </w:rPr>
        <w:br/>
        <w:t>This research is planned over five months, aligning with the scope of a qualitative dissertation based on secondary data. The timeline is designed to keep each phase achievable while allowing enough time for depth and reflection.</w:t>
      </w:r>
    </w:p>
    <w:p w14:paraId="10CC49BB" w14:textId="77777777" w:rsidR="00BD2A6E" w:rsidRPr="00D40B80" w:rsidRDefault="00BD2A6E" w:rsidP="00BD2A6E">
      <w:pPr>
        <w:rPr>
          <w:rFonts w:ascii="Arial" w:hAnsi="Arial" w:cs="Arial"/>
        </w:rPr>
      </w:pPr>
      <w:r w:rsidRPr="00D40B80">
        <w:rPr>
          <w:rFonts w:ascii="Arial" w:hAnsi="Arial" w:cs="Arial"/>
        </w:rPr>
        <w:t>The first phase will focus on refining the literature review and finalising the research framework, including confirming theoretical perspectives and methodological choices. Then comes the systematic identification and screening of secondary data sources, guided by PRISMA principles to ensure rigour and transparency.</w:t>
      </w:r>
    </w:p>
    <w:p w14:paraId="08354B73" w14:textId="7E3795A4" w:rsidR="00BD2A6E" w:rsidRPr="00D40B80" w:rsidRDefault="00BD2A6E" w:rsidP="00BD2A6E">
      <w:pPr>
        <w:rPr>
          <w:rFonts w:ascii="Arial" w:hAnsi="Arial" w:cs="Arial"/>
        </w:rPr>
      </w:pPr>
      <w:r w:rsidRPr="00D40B80">
        <w:rPr>
          <w:rFonts w:ascii="Arial" w:hAnsi="Arial" w:cs="Arial"/>
        </w:rPr>
        <w:t>Next, the selected data will be organised, coded, and thematically analysed using Braun and Clarke’s (2006) six-stage framework. Time will be reserved for iterative analysis, allowing themes to evolve in relation to engagement, retention, and structural work conditions. The final phase will involve writing, revising, and completing the dissertation, incorporating supervisor feedback to improve clarity and academic quality, though clarity sometimes might not be perfect, and that’s acceptable because thinking is messy and research is human.</w:t>
      </w:r>
    </w:p>
    <w:p w14:paraId="5F91FA2E" w14:textId="77777777" w:rsidR="00BD2A6E" w:rsidRPr="00D40B80" w:rsidRDefault="00BD2A6E" w:rsidP="00BD2A6E">
      <w:pPr>
        <w:rPr>
          <w:rFonts w:ascii="Arial" w:hAnsi="Arial" w:cs="Arial"/>
        </w:rPr>
      </w:pPr>
    </w:p>
    <w:tbl>
      <w:tblPr>
        <w:tblStyle w:val="TableGrid"/>
        <w:tblW w:w="0" w:type="auto"/>
        <w:tblLook w:val="04A0" w:firstRow="1" w:lastRow="0" w:firstColumn="1" w:lastColumn="0" w:noHBand="0" w:noVBand="1"/>
      </w:tblPr>
      <w:tblGrid>
        <w:gridCol w:w="1440"/>
        <w:gridCol w:w="1440"/>
        <w:gridCol w:w="1440"/>
        <w:gridCol w:w="1440"/>
        <w:gridCol w:w="1440"/>
        <w:gridCol w:w="1440"/>
      </w:tblGrid>
      <w:tr w:rsidR="00BD2A6E" w:rsidRPr="00D40B80" w14:paraId="30E9D789" w14:textId="77777777" w:rsidTr="00B17C76">
        <w:tc>
          <w:tcPr>
            <w:tcW w:w="1440" w:type="dxa"/>
          </w:tcPr>
          <w:p w14:paraId="56F2A3E8" w14:textId="77777777" w:rsidR="00BD2A6E" w:rsidRPr="00D40B80" w:rsidRDefault="00BD2A6E" w:rsidP="00B17C76">
            <w:pPr>
              <w:rPr>
                <w:rFonts w:ascii="Arial" w:hAnsi="Arial" w:cs="Arial"/>
              </w:rPr>
            </w:pPr>
            <w:r w:rsidRPr="00D40B80">
              <w:rPr>
                <w:rFonts w:ascii="Arial" w:hAnsi="Arial" w:cs="Arial"/>
              </w:rPr>
              <w:t>Activity</w:t>
            </w:r>
          </w:p>
        </w:tc>
        <w:tc>
          <w:tcPr>
            <w:tcW w:w="1440" w:type="dxa"/>
          </w:tcPr>
          <w:p w14:paraId="3586DF76" w14:textId="77777777" w:rsidR="00BD2A6E" w:rsidRPr="00D40B80" w:rsidRDefault="00BD2A6E" w:rsidP="00B17C76">
            <w:pPr>
              <w:rPr>
                <w:rFonts w:ascii="Arial" w:hAnsi="Arial" w:cs="Arial"/>
              </w:rPr>
            </w:pPr>
            <w:r w:rsidRPr="00D40B80">
              <w:rPr>
                <w:rFonts w:ascii="Arial" w:hAnsi="Arial" w:cs="Arial"/>
              </w:rPr>
              <w:t>Month 1</w:t>
            </w:r>
          </w:p>
        </w:tc>
        <w:tc>
          <w:tcPr>
            <w:tcW w:w="1440" w:type="dxa"/>
          </w:tcPr>
          <w:p w14:paraId="12378617" w14:textId="77777777" w:rsidR="00BD2A6E" w:rsidRPr="00D40B80" w:rsidRDefault="00BD2A6E" w:rsidP="00B17C76">
            <w:pPr>
              <w:rPr>
                <w:rFonts w:ascii="Arial" w:hAnsi="Arial" w:cs="Arial"/>
              </w:rPr>
            </w:pPr>
            <w:r w:rsidRPr="00D40B80">
              <w:rPr>
                <w:rFonts w:ascii="Arial" w:hAnsi="Arial" w:cs="Arial"/>
              </w:rPr>
              <w:t>Month 2</w:t>
            </w:r>
          </w:p>
        </w:tc>
        <w:tc>
          <w:tcPr>
            <w:tcW w:w="1440" w:type="dxa"/>
          </w:tcPr>
          <w:p w14:paraId="771FDA1F" w14:textId="77777777" w:rsidR="00BD2A6E" w:rsidRPr="00D40B80" w:rsidRDefault="00BD2A6E" w:rsidP="00B17C76">
            <w:pPr>
              <w:rPr>
                <w:rFonts w:ascii="Arial" w:hAnsi="Arial" w:cs="Arial"/>
              </w:rPr>
            </w:pPr>
            <w:r w:rsidRPr="00D40B80">
              <w:rPr>
                <w:rFonts w:ascii="Arial" w:hAnsi="Arial" w:cs="Arial"/>
              </w:rPr>
              <w:t>Month 3</w:t>
            </w:r>
          </w:p>
        </w:tc>
        <w:tc>
          <w:tcPr>
            <w:tcW w:w="1440" w:type="dxa"/>
          </w:tcPr>
          <w:p w14:paraId="1BFFD931" w14:textId="77777777" w:rsidR="00BD2A6E" w:rsidRPr="00D40B80" w:rsidRDefault="00BD2A6E" w:rsidP="00B17C76">
            <w:pPr>
              <w:rPr>
                <w:rFonts w:ascii="Arial" w:hAnsi="Arial" w:cs="Arial"/>
              </w:rPr>
            </w:pPr>
            <w:r w:rsidRPr="00D40B80">
              <w:rPr>
                <w:rFonts w:ascii="Arial" w:hAnsi="Arial" w:cs="Arial"/>
              </w:rPr>
              <w:t>Month 4</w:t>
            </w:r>
          </w:p>
        </w:tc>
        <w:tc>
          <w:tcPr>
            <w:tcW w:w="1440" w:type="dxa"/>
          </w:tcPr>
          <w:p w14:paraId="413BDF14" w14:textId="77777777" w:rsidR="00BD2A6E" w:rsidRPr="00D40B80" w:rsidRDefault="00BD2A6E" w:rsidP="00B17C76">
            <w:pPr>
              <w:rPr>
                <w:rFonts w:ascii="Arial" w:hAnsi="Arial" w:cs="Arial"/>
              </w:rPr>
            </w:pPr>
            <w:r w:rsidRPr="00D40B80">
              <w:rPr>
                <w:rFonts w:ascii="Arial" w:hAnsi="Arial" w:cs="Arial"/>
              </w:rPr>
              <w:t>Month 5</w:t>
            </w:r>
          </w:p>
        </w:tc>
      </w:tr>
      <w:tr w:rsidR="00BD2A6E" w:rsidRPr="00D40B80" w14:paraId="05CF5C51" w14:textId="77777777" w:rsidTr="00B17C76">
        <w:tc>
          <w:tcPr>
            <w:tcW w:w="1440" w:type="dxa"/>
          </w:tcPr>
          <w:p w14:paraId="15FE715F" w14:textId="77777777" w:rsidR="00BD2A6E" w:rsidRPr="00D40B80" w:rsidRDefault="00BD2A6E" w:rsidP="00B17C76">
            <w:pPr>
              <w:rPr>
                <w:rFonts w:ascii="Arial" w:hAnsi="Arial" w:cs="Arial"/>
              </w:rPr>
            </w:pPr>
            <w:r w:rsidRPr="00D40B80">
              <w:rPr>
                <w:rFonts w:ascii="Arial" w:hAnsi="Arial" w:cs="Arial"/>
              </w:rPr>
              <w:t>Literature review refinement</w:t>
            </w:r>
          </w:p>
        </w:tc>
        <w:tc>
          <w:tcPr>
            <w:tcW w:w="1440" w:type="dxa"/>
          </w:tcPr>
          <w:p w14:paraId="5D5011BE" w14:textId="77777777" w:rsidR="00BD2A6E" w:rsidRPr="00D40B80" w:rsidRDefault="00BD2A6E" w:rsidP="00B17C76">
            <w:pPr>
              <w:rPr>
                <w:rFonts w:ascii="Arial" w:hAnsi="Arial" w:cs="Arial"/>
              </w:rPr>
            </w:pPr>
            <w:r w:rsidRPr="00D40B80">
              <w:rPr>
                <w:rFonts w:ascii="Segoe UI Symbol" w:hAnsi="Segoe UI Symbol" w:cs="Segoe UI Symbol"/>
              </w:rPr>
              <w:t>✔</w:t>
            </w:r>
          </w:p>
        </w:tc>
        <w:tc>
          <w:tcPr>
            <w:tcW w:w="1440" w:type="dxa"/>
          </w:tcPr>
          <w:p w14:paraId="63C583C2" w14:textId="77777777" w:rsidR="00BD2A6E" w:rsidRPr="00D40B80" w:rsidRDefault="00BD2A6E" w:rsidP="00B17C76">
            <w:pPr>
              <w:rPr>
                <w:rFonts w:ascii="Arial" w:hAnsi="Arial" w:cs="Arial"/>
              </w:rPr>
            </w:pPr>
            <w:r w:rsidRPr="00D40B80">
              <w:rPr>
                <w:rFonts w:ascii="Segoe UI Symbol" w:hAnsi="Segoe UI Symbol" w:cs="Segoe UI Symbol"/>
              </w:rPr>
              <w:t>✔</w:t>
            </w:r>
          </w:p>
        </w:tc>
        <w:tc>
          <w:tcPr>
            <w:tcW w:w="1440" w:type="dxa"/>
          </w:tcPr>
          <w:p w14:paraId="2B5C8C3C" w14:textId="77777777" w:rsidR="00BD2A6E" w:rsidRPr="00D40B80" w:rsidRDefault="00BD2A6E" w:rsidP="00B17C76">
            <w:pPr>
              <w:rPr>
                <w:rFonts w:ascii="Arial" w:hAnsi="Arial" w:cs="Arial"/>
              </w:rPr>
            </w:pPr>
          </w:p>
        </w:tc>
        <w:tc>
          <w:tcPr>
            <w:tcW w:w="1440" w:type="dxa"/>
          </w:tcPr>
          <w:p w14:paraId="187C9CB6" w14:textId="77777777" w:rsidR="00BD2A6E" w:rsidRPr="00D40B80" w:rsidRDefault="00BD2A6E" w:rsidP="00B17C76">
            <w:pPr>
              <w:rPr>
                <w:rFonts w:ascii="Arial" w:hAnsi="Arial" w:cs="Arial"/>
              </w:rPr>
            </w:pPr>
          </w:p>
        </w:tc>
        <w:tc>
          <w:tcPr>
            <w:tcW w:w="1440" w:type="dxa"/>
          </w:tcPr>
          <w:p w14:paraId="7F94AD75" w14:textId="77777777" w:rsidR="00BD2A6E" w:rsidRPr="00D40B80" w:rsidRDefault="00BD2A6E" w:rsidP="00B17C76">
            <w:pPr>
              <w:rPr>
                <w:rFonts w:ascii="Arial" w:hAnsi="Arial" w:cs="Arial"/>
              </w:rPr>
            </w:pPr>
          </w:p>
        </w:tc>
      </w:tr>
      <w:tr w:rsidR="00BD2A6E" w:rsidRPr="00D40B80" w14:paraId="081D72BA" w14:textId="77777777" w:rsidTr="00B17C76">
        <w:tc>
          <w:tcPr>
            <w:tcW w:w="1440" w:type="dxa"/>
          </w:tcPr>
          <w:p w14:paraId="7F1537CF" w14:textId="77777777" w:rsidR="00BD2A6E" w:rsidRPr="00D40B80" w:rsidRDefault="00BD2A6E" w:rsidP="00B17C76">
            <w:pPr>
              <w:rPr>
                <w:rFonts w:ascii="Arial" w:hAnsi="Arial" w:cs="Arial"/>
              </w:rPr>
            </w:pPr>
            <w:r w:rsidRPr="00D40B80">
              <w:rPr>
                <w:rFonts w:ascii="Arial" w:hAnsi="Arial" w:cs="Arial"/>
              </w:rPr>
              <w:t>Research design &amp; ethics approval</w:t>
            </w:r>
          </w:p>
        </w:tc>
        <w:tc>
          <w:tcPr>
            <w:tcW w:w="1440" w:type="dxa"/>
          </w:tcPr>
          <w:p w14:paraId="6C0AFCBA" w14:textId="77777777" w:rsidR="00BD2A6E" w:rsidRPr="00D40B80" w:rsidRDefault="00BD2A6E" w:rsidP="00B17C76">
            <w:pPr>
              <w:rPr>
                <w:rFonts w:ascii="Arial" w:hAnsi="Arial" w:cs="Arial"/>
              </w:rPr>
            </w:pPr>
          </w:p>
        </w:tc>
        <w:tc>
          <w:tcPr>
            <w:tcW w:w="1440" w:type="dxa"/>
          </w:tcPr>
          <w:p w14:paraId="7C8E6793" w14:textId="77777777" w:rsidR="00BD2A6E" w:rsidRPr="00D40B80" w:rsidRDefault="00BD2A6E" w:rsidP="00B17C76">
            <w:pPr>
              <w:rPr>
                <w:rFonts w:ascii="Arial" w:hAnsi="Arial" w:cs="Arial"/>
              </w:rPr>
            </w:pPr>
            <w:r w:rsidRPr="00D40B80">
              <w:rPr>
                <w:rFonts w:ascii="Segoe UI Symbol" w:hAnsi="Segoe UI Symbol" w:cs="Segoe UI Symbol"/>
              </w:rPr>
              <w:t>✔</w:t>
            </w:r>
          </w:p>
        </w:tc>
        <w:tc>
          <w:tcPr>
            <w:tcW w:w="1440" w:type="dxa"/>
          </w:tcPr>
          <w:p w14:paraId="7E2863EA" w14:textId="77777777" w:rsidR="00BD2A6E" w:rsidRPr="00D40B80" w:rsidRDefault="00BD2A6E" w:rsidP="00B17C76">
            <w:pPr>
              <w:rPr>
                <w:rFonts w:ascii="Arial" w:hAnsi="Arial" w:cs="Arial"/>
              </w:rPr>
            </w:pPr>
          </w:p>
        </w:tc>
        <w:tc>
          <w:tcPr>
            <w:tcW w:w="1440" w:type="dxa"/>
          </w:tcPr>
          <w:p w14:paraId="6E8E0F67" w14:textId="77777777" w:rsidR="00BD2A6E" w:rsidRPr="00D40B80" w:rsidRDefault="00BD2A6E" w:rsidP="00B17C76">
            <w:pPr>
              <w:rPr>
                <w:rFonts w:ascii="Arial" w:hAnsi="Arial" w:cs="Arial"/>
              </w:rPr>
            </w:pPr>
          </w:p>
        </w:tc>
        <w:tc>
          <w:tcPr>
            <w:tcW w:w="1440" w:type="dxa"/>
          </w:tcPr>
          <w:p w14:paraId="5AF1C4F3" w14:textId="77777777" w:rsidR="00BD2A6E" w:rsidRPr="00D40B80" w:rsidRDefault="00BD2A6E" w:rsidP="00B17C76">
            <w:pPr>
              <w:rPr>
                <w:rFonts w:ascii="Arial" w:hAnsi="Arial" w:cs="Arial"/>
              </w:rPr>
            </w:pPr>
          </w:p>
        </w:tc>
      </w:tr>
      <w:tr w:rsidR="00BD2A6E" w:rsidRPr="00D40B80" w14:paraId="63A47EC5" w14:textId="77777777" w:rsidTr="00B17C76">
        <w:tc>
          <w:tcPr>
            <w:tcW w:w="1440" w:type="dxa"/>
          </w:tcPr>
          <w:p w14:paraId="6CC6F1E1" w14:textId="77777777" w:rsidR="00BD2A6E" w:rsidRPr="00D40B80" w:rsidRDefault="00BD2A6E" w:rsidP="00B17C76">
            <w:pPr>
              <w:rPr>
                <w:rFonts w:ascii="Arial" w:hAnsi="Arial" w:cs="Arial"/>
              </w:rPr>
            </w:pPr>
            <w:r w:rsidRPr="00D40B80">
              <w:rPr>
                <w:rFonts w:ascii="Arial" w:hAnsi="Arial" w:cs="Arial"/>
              </w:rPr>
              <w:t>Secondary data identification &amp; screening</w:t>
            </w:r>
          </w:p>
        </w:tc>
        <w:tc>
          <w:tcPr>
            <w:tcW w:w="1440" w:type="dxa"/>
          </w:tcPr>
          <w:p w14:paraId="273A3A4D" w14:textId="77777777" w:rsidR="00BD2A6E" w:rsidRPr="00D40B80" w:rsidRDefault="00BD2A6E" w:rsidP="00B17C76">
            <w:pPr>
              <w:rPr>
                <w:rFonts w:ascii="Arial" w:hAnsi="Arial" w:cs="Arial"/>
              </w:rPr>
            </w:pPr>
          </w:p>
        </w:tc>
        <w:tc>
          <w:tcPr>
            <w:tcW w:w="1440" w:type="dxa"/>
          </w:tcPr>
          <w:p w14:paraId="7FDB75A9" w14:textId="77777777" w:rsidR="00BD2A6E" w:rsidRPr="00D40B80" w:rsidRDefault="00BD2A6E" w:rsidP="00B17C76">
            <w:pPr>
              <w:rPr>
                <w:rFonts w:ascii="Arial" w:hAnsi="Arial" w:cs="Arial"/>
              </w:rPr>
            </w:pPr>
            <w:r w:rsidRPr="00D40B80">
              <w:rPr>
                <w:rFonts w:ascii="Segoe UI Symbol" w:hAnsi="Segoe UI Symbol" w:cs="Segoe UI Symbol"/>
              </w:rPr>
              <w:t>✔</w:t>
            </w:r>
          </w:p>
        </w:tc>
        <w:tc>
          <w:tcPr>
            <w:tcW w:w="1440" w:type="dxa"/>
          </w:tcPr>
          <w:p w14:paraId="213DBE7F" w14:textId="77777777" w:rsidR="00BD2A6E" w:rsidRPr="00D40B80" w:rsidRDefault="00BD2A6E" w:rsidP="00B17C76">
            <w:pPr>
              <w:rPr>
                <w:rFonts w:ascii="Arial" w:hAnsi="Arial" w:cs="Arial"/>
              </w:rPr>
            </w:pPr>
            <w:r w:rsidRPr="00D40B80">
              <w:rPr>
                <w:rFonts w:ascii="Segoe UI Symbol" w:hAnsi="Segoe UI Symbol" w:cs="Segoe UI Symbol"/>
              </w:rPr>
              <w:t>✔</w:t>
            </w:r>
          </w:p>
        </w:tc>
        <w:tc>
          <w:tcPr>
            <w:tcW w:w="1440" w:type="dxa"/>
          </w:tcPr>
          <w:p w14:paraId="58C1C967" w14:textId="77777777" w:rsidR="00BD2A6E" w:rsidRPr="00D40B80" w:rsidRDefault="00BD2A6E" w:rsidP="00B17C76">
            <w:pPr>
              <w:rPr>
                <w:rFonts w:ascii="Arial" w:hAnsi="Arial" w:cs="Arial"/>
              </w:rPr>
            </w:pPr>
          </w:p>
        </w:tc>
        <w:tc>
          <w:tcPr>
            <w:tcW w:w="1440" w:type="dxa"/>
          </w:tcPr>
          <w:p w14:paraId="1D586842" w14:textId="77777777" w:rsidR="00BD2A6E" w:rsidRPr="00D40B80" w:rsidRDefault="00BD2A6E" w:rsidP="00B17C76">
            <w:pPr>
              <w:rPr>
                <w:rFonts w:ascii="Arial" w:hAnsi="Arial" w:cs="Arial"/>
              </w:rPr>
            </w:pPr>
          </w:p>
        </w:tc>
      </w:tr>
      <w:tr w:rsidR="00BD2A6E" w:rsidRPr="00D40B80" w14:paraId="241787ED" w14:textId="77777777" w:rsidTr="00B17C76">
        <w:tc>
          <w:tcPr>
            <w:tcW w:w="1440" w:type="dxa"/>
          </w:tcPr>
          <w:p w14:paraId="38A040C1" w14:textId="77777777" w:rsidR="00BD2A6E" w:rsidRPr="00D40B80" w:rsidRDefault="00BD2A6E" w:rsidP="00B17C76">
            <w:pPr>
              <w:rPr>
                <w:rFonts w:ascii="Arial" w:hAnsi="Arial" w:cs="Arial"/>
              </w:rPr>
            </w:pPr>
            <w:r w:rsidRPr="00D40B80">
              <w:rPr>
                <w:rFonts w:ascii="Arial" w:hAnsi="Arial" w:cs="Arial"/>
              </w:rPr>
              <w:lastRenderedPageBreak/>
              <w:t>Data coding &amp; thematic analysis</w:t>
            </w:r>
          </w:p>
        </w:tc>
        <w:tc>
          <w:tcPr>
            <w:tcW w:w="1440" w:type="dxa"/>
          </w:tcPr>
          <w:p w14:paraId="76E1093F" w14:textId="77777777" w:rsidR="00BD2A6E" w:rsidRPr="00D40B80" w:rsidRDefault="00BD2A6E" w:rsidP="00B17C76">
            <w:pPr>
              <w:rPr>
                <w:rFonts w:ascii="Arial" w:hAnsi="Arial" w:cs="Arial"/>
              </w:rPr>
            </w:pPr>
          </w:p>
        </w:tc>
        <w:tc>
          <w:tcPr>
            <w:tcW w:w="1440" w:type="dxa"/>
          </w:tcPr>
          <w:p w14:paraId="322CADA0" w14:textId="77777777" w:rsidR="00BD2A6E" w:rsidRPr="00D40B80" w:rsidRDefault="00BD2A6E" w:rsidP="00B17C76">
            <w:pPr>
              <w:rPr>
                <w:rFonts w:ascii="Arial" w:hAnsi="Arial" w:cs="Arial"/>
              </w:rPr>
            </w:pPr>
          </w:p>
        </w:tc>
        <w:tc>
          <w:tcPr>
            <w:tcW w:w="1440" w:type="dxa"/>
          </w:tcPr>
          <w:p w14:paraId="770D90CA" w14:textId="77777777" w:rsidR="00BD2A6E" w:rsidRPr="00D40B80" w:rsidRDefault="00BD2A6E" w:rsidP="00B17C76">
            <w:pPr>
              <w:rPr>
                <w:rFonts w:ascii="Arial" w:hAnsi="Arial" w:cs="Arial"/>
              </w:rPr>
            </w:pPr>
            <w:r w:rsidRPr="00D40B80">
              <w:rPr>
                <w:rFonts w:ascii="Segoe UI Symbol" w:hAnsi="Segoe UI Symbol" w:cs="Segoe UI Symbol"/>
              </w:rPr>
              <w:t>✔</w:t>
            </w:r>
          </w:p>
        </w:tc>
        <w:tc>
          <w:tcPr>
            <w:tcW w:w="1440" w:type="dxa"/>
          </w:tcPr>
          <w:p w14:paraId="5E788207" w14:textId="77777777" w:rsidR="00BD2A6E" w:rsidRPr="00D40B80" w:rsidRDefault="00BD2A6E" w:rsidP="00B17C76">
            <w:pPr>
              <w:rPr>
                <w:rFonts w:ascii="Arial" w:hAnsi="Arial" w:cs="Arial"/>
              </w:rPr>
            </w:pPr>
            <w:r w:rsidRPr="00D40B80">
              <w:rPr>
                <w:rFonts w:ascii="Segoe UI Symbol" w:hAnsi="Segoe UI Symbol" w:cs="Segoe UI Symbol"/>
              </w:rPr>
              <w:t>✔</w:t>
            </w:r>
          </w:p>
        </w:tc>
        <w:tc>
          <w:tcPr>
            <w:tcW w:w="1440" w:type="dxa"/>
          </w:tcPr>
          <w:p w14:paraId="50212F11" w14:textId="77777777" w:rsidR="00BD2A6E" w:rsidRPr="00D40B80" w:rsidRDefault="00BD2A6E" w:rsidP="00B17C76">
            <w:pPr>
              <w:rPr>
                <w:rFonts w:ascii="Arial" w:hAnsi="Arial" w:cs="Arial"/>
              </w:rPr>
            </w:pPr>
          </w:p>
        </w:tc>
      </w:tr>
      <w:tr w:rsidR="00BD2A6E" w:rsidRPr="00D40B80" w14:paraId="0D64C26F" w14:textId="77777777" w:rsidTr="00B17C76">
        <w:tc>
          <w:tcPr>
            <w:tcW w:w="1440" w:type="dxa"/>
          </w:tcPr>
          <w:p w14:paraId="35C66664" w14:textId="77777777" w:rsidR="00BD2A6E" w:rsidRPr="00D40B80" w:rsidRDefault="00BD2A6E" w:rsidP="00B17C76">
            <w:pPr>
              <w:rPr>
                <w:rFonts w:ascii="Arial" w:hAnsi="Arial" w:cs="Arial"/>
              </w:rPr>
            </w:pPr>
            <w:r w:rsidRPr="00D40B80">
              <w:rPr>
                <w:rFonts w:ascii="Arial" w:hAnsi="Arial" w:cs="Arial"/>
              </w:rPr>
              <w:t>Drafting findings &amp; discussion</w:t>
            </w:r>
          </w:p>
        </w:tc>
        <w:tc>
          <w:tcPr>
            <w:tcW w:w="1440" w:type="dxa"/>
          </w:tcPr>
          <w:p w14:paraId="1752D542" w14:textId="77777777" w:rsidR="00BD2A6E" w:rsidRPr="00D40B80" w:rsidRDefault="00BD2A6E" w:rsidP="00B17C76">
            <w:pPr>
              <w:rPr>
                <w:rFonts w:ascii="Arial" w:hAnsi="Arial" w:cs="Arial"/>
              </w:rPr>
            </w:pPr>
          </w:p>
        </w:tc>
        <w:tc>
          <w:tcPr>
            <w:tcW w:w="1440" w:type="dxa"/>
          </w:tcPr>
          <w:p w14:paraId="5FCC1107" w14:textId="77777777" w:rsidR="00BD2A6E" w:rsidRPr="00D40B80" w:rsidRDefault="00BD2A6E" w:rsidP="00B17C76">
            <w:pPr>
              <w:rPr>
                <w:rFonts w:ascii="Arial" w:hAnsi="Arial" w:cs="Arial"/>
              </w:rPr>
            </w:pPr>
          </w:p>
        </w:tc>
        <w:tc>
          <w:tcPr>
            <w:tcW w:w="1440" w:type="dxa"/>
          </w:tcPr>
          <w:p w14:paraId="32B62165" w14:textId="77777777" w:rsidR="00BD2A6E" w:rsidRPr="00D40B80" w:rsidRDefault="00BD2A6E" w:rsidP="00B17C76">
            <w:pPr>
              <w:rPr>
                <w:rFonts w:ascii="Arial" w:hAnsi="Arial" w:cs="Arial"/>
              </w:rPr>
            </w:pPr>
          </w:p>
        </w:tc>
        <w:tc>
          <w:tcPr>
            <w:tcW w:w="1440" w:type="dxa"/>
          </w:tcPr>
          <w:p w14:paraId="102BF018" w14:textId="77777777" w:rsidR="00BD2A6E" w:rsidRPr="00D40B80" w:rsidRDefault="00BD2A6E" w:rsidP="00B17C76">
            <w:pPr>
              <w:rPr>
                <w:rFonts w:ascii="Arial" w:hAnsi="Arial" w:cs="Arial"/>
              </w:rPr>
            </w:pPr>
            <w:r w:rsidRPr="00D40B80">
              <w:rPr>
                <w:rFonts w:ascii="Segoe UI Symbol" w:hAnsi="Segoe UI Symbol" w:cs="Segoe UI Symbol"/>
              </w:rPr>
              <w:t>✔</w:t>
            </w:r>
          </w:p>
        </w:tc>
        <w:tc>
          <w:tcPr>
            <w:tcW w:w="1440" w:type="dxa"/>
          </w:tcPr>
          <w:p w14:paraId="00A67861" w14:textId="77777777" w:rsidR="00BD2A6E" w:rsidRPr="00D40B80" w:rsidRDefault="00BD2A6E" w:rsidP="00B17C76">
            <w:pPr>
              <w:rPr>
                <w:rFonts w:ascii="Arial" w:hAnsi="Arial" w:cs="Arial"/>
              </w:rPr>
            </w:pPr>
            <w:r w:rsidRPr="00D40B80">
              <w:rPr>
                <w:rFonts w:ascii="Segoe UI Symbol" w:hAnsi="Segoe UI Symbol" w:cs="Segoe UI Symbol"/>
              </w:rPr>
              <w:t>✔</w:t>
            </w:r>
          </w:p>
        </w:tc>
      </w:tr>
      <w:tr w:rsidR="00BD2A6E" w:rsidRPr="00D40B80" w14:paraId="26F7F994" w14:textId="77777777" w:rsidTr="00B17C76">
        <w:tc>
          <w:tcPr>
            <w:tcW w:w="1440" w:type="dxa"/>
          </w:tcPr>
          <w:p w14:paraId="6D83E1B5" w14:textId="77777777" w:rsidR="00BD2A6E" w:rsidRPr="00D40B80" w:rsidRDefault="00BD2A6E" w:rsidP="00B17C76">
            <w:pPr>
              <w:rPr>
                <w:rFonts w:ascii="Arial" w:hAnsi="Arial" w:cs="Arial"/>
              </w:rPr>
            </w:pPr>
            <w:r w:rsidRPr="00D40B80">
              <w:rPr>
                <w:rFonts w:ascii="Arial" w:hAnsi="Arial" w:cs="Arial"/>
              </w:rPr>
              <w:t>Revision, final editing &amp; submission</w:t>
            </w:r>
          </w:p>
        </w:tc>
        <w:tc>
          <w:tcPr>
            <w:tcW w:w="1440" w:type="dxa"/>
          </w:tcPr>
          <w:p w14:paraId="7776C9BC" w14:textId="77777777" w:rsidR="00BD2A6E" w:rsidRPr="00D40B80" w:rsidRDefault="00BD2A6E" w:rsidP="00B17C76">
            <w:pPr>
              <w:rPr>
                <w:rFonts w:ascii="Arial" w:hAnsi="Arial" w:cs="Arial"/>
              </w:rPr>
            </w:pPr>
          </w:p>
        </w:tc>
        <w:tc>
          <w:tcPr>
            <w:tcW w:w="1440" w:type="dxa"/>
          </w:tcPr>
          <w:p w14:paraId="232625F6" w14:textId="77777777" w:rsidR="00BD2A6E" w:rsidRPr="00D40B80" w:rsidRDefault="00BD2A6E" w:rsidP="00B17C76">
            <w:pPr>
              <w:rPr>
                <w:rFonts w:ascii="Arial" w:hAnsi="Arial" w:cs="Arial"/>
              </w:rPr>
            </w:pPr>
          </w:p>
        </w:tc>
        <w:tc>
          <w:tcPr>
            <w:tcW w:w="1440" w:type="dxa"/>
          </w:tcPr>
          <w:p w14:paraId="098B212B" w14:textId="77777777" w:rsidR="00BD2A6E" w:rsidRPr="00D40B80" w:rsidRDefault="00BD2A6E" w:rsidP="00B17C76">
            <w:pPr>
              <w:rPr>
                <w:rFonts w:ascii="Arial" w:hAnsi="Arial" w:cs="Arial"/>
              </w:rPr>
            </w:pPr>
          </w:p>
        </w:tc>
        <w:tc>
          <w:tcPr>
            <w:tcW w:w="1440" w:type="dxa"/>
          </w:tcPr>
          <w:p w14:paraId="39841715" w14:textId="77777777" w:rsidR="00BD2A6E" w:rsidRPr="00D40B80" w:rsidRDefault="00BD2A6E" w:rsidP="00B17C76">
            <w:pPr>
              <w:rPr>
                <w:rFonts w:ascii="Arial" w:hAnsi="Arial" w:cs="Arial"/>
              </w:rPr>
            </w:pPr>
          </w:p>
        </w:tc>
        <w:tc>
          <w:tcPr>
            <w:tcW w:w="1440" w:type="dxa"/>
          </w:tcPr>
          <w:p w14:paraId="1B765DC4" w14:textId="77777777" w:rsidR="00BD2A6E" w:rsidRPr="00D40B80" w:rsidRDefault="00BD2A6E" w:rsidP="00B17C76">
            <w:pPr>
              <w:rPr>
                <w:rFonts w:ascii="Arial" w:hAnsi="Arial" w:cs="Arial"/>
              </w:rPr>
            </w:pPr>
            <w:r w:rsidRPr="00D40B80">
              <w:rPr>
                <w:rFonts w:ascii="Segoe UI Symbol" w:hAnsi="Segoe UI Symbol" w:cs="Segoe UI Symbol"/>
              </w:rPr>
              <w:t>✔</w:t>
            </w:r>
          </w:p>
        </w:tc>
      </w:tr>
    </w:tbl>
    <w:p w14:paraId="5342E198" w14:textId="77777777" w:rsidR="00BA3FA9" w:rsidRPr="00D40B80" w:rsidRDefault="00BA3FA9">
      <w:pPr>
        <w:rPr>
          <w:rFonts w:ascii="Arial" w:hAnsi="Arial" w:cs="Arial"/>
        </w:rPr>
      </w:pPr>
    </w:p>
    <w:p w14:paraId="1C358B2D" w14:textId="77777777" w:rsidR="00BD2A6E" w:rsidRPr="00D40B80" w:rsidRDefault="00BD2A6E">
      <w:pPr>
        <w:rPr>
          <w:rFonts w:ascii="Arial" w:hAnsi="Arial" w:cs="Arial"/>
        </w:rPr>
      </w:pPr>
    </w:p>
    <w:p w14:paraId="44D7434C" w14:textId="6B75C971" w:rsidR="00BD2A6E" w:rsidRPr="00D40B80" w:rsidRDefault="00BD2A6E" w:rsidP="00BD2A6E">
      <w:pPr>
        <w:rPr>
          <w:rFonts w:ascii="Arial" w:hAnsi="Arial" w:cs="Arial"/>
        </w:rPr>
      </w:pPr>
      <w:bookmarkStart w:id="9" w:name="_Toc220833430"/>
      <w:r w:rsidRPr="00422A6B">
        <w:rPr>
          <w:rStyle w:val="Heading1Char"/>
          <w:rFonts w:ascii="Arial" w:hAnsi="Arial" w:cs="Arial"/>
          <w:b/>
          <w:bCs/>
          <w:sz w:val="22"/>
          <w:szCs w:val="22"/>
        </w:rPr>
        <w:t>8. Conclusion</w:t>
      </w:r>
      <w:bookmarkEnd w:id="9"/>
      <w:r w:rsidRPr="00D40B80">
        <w:rPr>
          <w:rFonts w:ascii="Arial" w:hAnsi="Arial" w:cs="Arial"/>
        </w:rPr>
        <w:br/>
        <w:t xml:space="preserve">This research proposal has outlined a comparative, critically informed qualitative study examining employee engagement strategies and their impact on staff retention within the UK pharmaceutical logistics sector, specifically focusing on </w:t>
      </w:r>
      <w:proofErr w:type="spellStart"/>
      <w:r w:rsidRPr="00D40B80">
        <w:rPr>
          <w:rFonts w:ascii="Arial" w:hAnsi="Arial" w:cs="Arial"/>
        </w:rPr>
        <w:t>Movianto</w:t>
      </w:r>
      <w:proofErr w:type="spellEnd"/>
      <w:r w:rsidRPr="00D40B80">
        <w:rPr>
          <w:rFonts w:ascii="Arial" w:hAnsi="Arial" w:cs="Arial"/>
        </w:rPr>
        <w:t xml:space="preserve"> UK and DHL Supply Chain Healthcare. Positioned within a heavily regulated and quite labour-demanding environment, the study recognises, perhaps even insists on the rather hidden but essential part played by frontline workers in keeping the whole system breathing. They are the ones who hold together service continuity, compliance with endless rules, and the delicate thread of patient safety, though sometimes this importance is not properly valued or even noticed.</w:t>
      </w:r>
    </w:p>
    <w:p w14:paraId="113D83D1" w14:textId="77777777" w:rsidR="00BD2A6E" w:rsidRPr="00D40B80" w:rsidRDefault="00BD2A6E" w:rsidP="00BD2A6E">
      <w:pPr>
        <w:rPr>
          <w:rFonts w:ascii="Arial" w:hAnsi="Arial" w:cs="Arial"/>
        </w:rPr>
      </w:pPr>
      <w:r w:rsidRPr="00D40B80">
        <w:rPr>
          <w:rFonts w:ascii="Arial" w:hAnsi="Arial" w:cs="Arial"/>
        </w:rPr>
        <w:t>Drawing on critical Human Resource Management and labour process viewpoints, the proposed research tries to question the usual belief that engagement programmes always bring good things for everyone. That’s not always the case, really. Engagement can also be a sort of managerial instrument, a polite way to control or pacify workers, to make turnover appear stable when it’s not. The study will look at company documents and what employees themselves produce online or elsewhere, to see if these engagement efforts truly fix deeper problems—like overwork, constant monitoring, and the quiet fear of job loss—or if they just decorate them with cheerful slogans that mean little in practice.</w:t>
      </w:r>
    </w:p>
    <w:p w14:paraId="7FF6AE28" w14:textId="77777777" w:rsidR="00BD2A6E" w:rsidRPr="00D40B80" w:rsidRDefault="00BD2A6E" w:rsidP="00BD2A6E">
      <w:pPr>
        <w:rPr>
          <w:rFonts w:ascii="Arial" w:hAnsi="Arial" w:cs="Arial"/>
        </w:rPr>
      </w:pPr>
      <w:r w:rsidRPr="00D40B80">
        <w:rPr>
          <w:rFonts w:ascii="Arial" w:hAnsi="Arial" w:cs="Arial"/>
        </w:rPr>
        <w:t>The comparative design adds a kind of rough strength to the analysis since it allows seeing both likeness and difference between the two firms working under the same strict conditions. This makes the results feel more believable, though not universal, and it helps build context-based understanding that stretches beyond one single case. It’s not about numbers but about sense-making, if that makes sense.</w:t>
      </w:r>
    </w:p>
    <w:p w14:paraId="35F0CBDD" w14:textId="6C24242E" w:rsidR="00BD2A6E" w:rsidRPr="00D40B80" w:rsidRDefault="00BD2A6E" w:rsidP="00BD2A6E">
      <w:pPr>
        <w:rPr>
          <w:rFonts w:ascii="Arial" w:hAnsi="Arial" w:cs="Arial"/>
        </w:rPr>
      </w:pPr>
      <w:r w:rsidRPr="00D40B80">
        <w:rPr>
          <w:rFonts w:ascii="Arial" w:hAnsi="Arial" w:cs="Arial"/>
        </w:rPr>
        <w:t>In short, the research hopes to add to academic talk on engagement and retention by bringing forward questions of power, control, and the everyday structure of work that are usually ignored in managerial stories. It also aims to suggest more grounded, human-centred ways of keeping people engaged and staying in their jobs within pharmaceutical logistics and similar industries.</w:t>
      </w:r>
    </w:p>
    <w:p w14:paraId="0E59EBBE" w14:textId="77777777" w:rsidR="000408E7" w:rsidRPr="00D40B80" w:rsidRDefault="000408E7" w:rsidP="00BD2A6E">
      <w:pPr>
        <w:rPr>
          <w:rFonts w:ascii="Arial" w:hAnsi="Arial" w:cs="Arial"/>
        </w:rPr>
      </w:pPr>
    </w:p>
    <w:p w14:paraId="141F835F" w14:textId="77777777" w:rsidR="000408E7" w:rsidRPr="00D40B80" w:rsidRDefault="000408E7" w:rsidP="00BD2A6E">
      <w:pPr>
        <w:rPr>
          <w:rFonts w:ascii="Arial" w:hAnsi="Arial" w:cs="Arial"/>
        </w:rPr>
      </w:pPr>
    </w:p>
    <w:p w14:paraId="404C50B2" w14:textId="77777777" w:rsidR="000408E7" w:rsidRPr="00D40B80" w:rsidRDefault="000408E7" w:rsidP="00BD2A6E">
      <w:pPr>
        <w:rPr>
          <w:rFonts w:ascii="Arial" w:hAnsi="Arial" w:cs="Arial"/>
        </w:rPr>
      </w:pPr>
    </w:p>
    <w:p w14:paraId="58C24B63" w14:textId="77777777" w:rsidR="000408E7" w:rsidRPr="00D40B80" w:rsidRDefault="000408E7" w:rsidP="00BD2A6E">
      <w:pPr>
        <w:rPr>
          <w:rFonts w:ascii="Arial" w:hAnsi="Arial" w:cs="Arial"/>
        </w:rPr>
      </w:pPr>
    </w:p>
    <w:p w14:paraId="2B0B5960" w14:textId="77777777" w:rsidR="000408E7" w:rsidRPr="00D40B80" w:rsidRDefault="000408E7" w:rsidP="00BD2A6E">
      <w:pPr>
        <w:rPr>
          <w:rFonts w:ascii="Arial" w:hAnsi="Arial" w:cs="Arial"/>
        </w:rPr>
      </w:pPr>
    </w:p>
    <w:p w14:paraId="1FB372B0" w14:textId="77777777" w:rsidR="00BD2A6E" w:rsidRPr="00D40B80" w:rsidRDefault="00BD2A6E" w:rsidP="00BD2A6E">
      <w:pPr>
        <w:rPr>
          <w:rFonts w:ascii="Arial" w:hAnsi="Arial" w:cs="Arial"/>
        </w:rPr>
      </w:pPr>
    </w:p>
    <w:p w14:paraId="7D4F5C20" w14:textId="7699D53A" w:rsidR="00BD2A6E" w:rsidRPr="00422A6B" w:rsidRDefault="00422A6B" w:rsidP="00BD2A6E">
      <w:pPr>
        <w:rPr>
          <w:rFonts w:ascii="Arial" w:hAnsi="Arial" w:cs="Arial"/>
          <w:b/>
          <w:bCs/>
          <w:color w:val="156082" w:themeColor="accent1"/>
        </w:rPr>
      </w:pPr>
      <w:r w:rsidRPr="00422A6B">
        <w:rPr>
          <w:rFonts w:ascii="Arial" w:hAnsi="Arial" w:cs="Arial"/>
          <w:b/>
          <w:bCs/>
          <w:color w:val="156082" w:themeColor="accent1"/>
        </w:rPr>
        <w:lastRenderedPageBreak/>
        <w:t>9. References</w:t>
      </w:r>
    </w:p>
    <w:p w14:paraId="688E3C2C" w14:textId="77777777" w:rsidR="00BD2A6E" w:rsidRPr="00D40B80" w:rsidRDefault="00BD2A6E" w:rsidP="00BD2A6E">
      <w:pPr>
        <w:rPr>
          <w:rFonts w:ascii="Arial" w:hAnsi="Arial" w:cs="Arial"/>
        </w:rPr>
      </w:pPr>
      <w:r w:rsidRPr="00D40B80">
        <w:rPr>
          <w:rFonts w:ascii="Arial" w:hAnsi="Arial" w:cs="Arial"/>
        </w:rPr>
        <w:t xml:space="preserve">Albrecht, S.L. et al. (2015) Employee engagement, human resource management practices and competitive advantage. Journal of Organisational Effectiveness.  </w:t>
      </w:r>
    </w:p>
    <w:p w14:paraId="33A74A43" w14:textId="77777777" w:rsidR="00BD2A6E" w:rsidRPr="00D40B80" w:rsidRDefault="00BD2A6E" w:rsidP="00BD2A6E">
      <w:pPr>
        <w:rPr>
          <w:rFonts w:ascii="Arial" w:hAnsi="Arial" w:cs="Arial"/>
        </w:rPr>
      </w:pPr>
      <w:r w:rsidRPr="00D40B80">
        <w:rPr>
          <w:rFonts w:ascii="Arial" w:hAnsi="Arial" w:cs="Arial"/>
        </w:rPr>
        <w:t xml:space="preserve">Braun, V. and Clarke, V. (2006) Using thematic analysis in psychology. Qualitative Research in Psychology.  </w:t>
      </w:r>
    </w:p>
    <w:p w14:paraId="33D8C3DB" w14:textId="77777777" w:rsidR="00BD2A6E" w:rsidRPr="00D40B80" w:rsidRDefault="00BD2A6E" w:rsidP="00BD2A6E">
      <w:pPr>
        <w:rPr>
          <w:rFonts w:ascii="Arial" w:hAnsi="Arial" w:cs="Arial"/>
        </w:rPr>
      </w:pPr>
      <w:r w:rsidRPr="00D40B80">
        <w:rPr>
          <w:rFonts w:ascii="Arial" w:hAnsi="Arial" w:cs="Arial"/>
        </w:rPr>
        <w:t xml:space="preserve">Bryman, A. (2016). Social Research Methods. Oxford: Oxford University Press.  </w:t>
      </w:r>
    </w:p>
    <w:p w14:paraId="1DDE8865" w14:textId="77777777" w:rsidR="00BD2A6E" w:rsidRPr="00D40B80" w:rsidRDefault="00BD2A6E" w:rsidP="00BD2A6E">
      <w:pPr>
        <w:rPr>
          <w:rFonts w:ascii="Arial" w:hAnsi="Arial" w:cs="Arial"/>
        </w:rPr>
      </w:pPr>
      <w:r w:rsidRPr="00D40B80">
        <w:rPr>
          <w:rFonts w:ascii="Arial" w:hAnsi="Arial" w:cs="Arial"/>
        </w:rPr>
        <w:t xml:space="preserve">CIPD (2023) Health and Wellbeing at Work Survey. London: CIPD.  </w:t>
      </w:r>
    </w:p>
    <w:p w14:paraId="7D234A61" w14:textId="77777777" w:rsidR="00BD2A6E" w:rsidRPr="00D40B80" w:rsidRDefault="00BD2A6E" w:rsidP="00BD2A6E">
      <w:pPr>
        <w:rPr>
          <w:rFonts w:ascii="Arial" w:hAnsi="Arial" w:cs="Arial"/>
        </w:rPr>
      </w:pPr>
      <w:r w:rsidRPr="00D40B80">
        <w:rPr>
          <w:rFonts w:ascii="Arial" w:hAnsi="Arial" w:cs="Arial"/>
        </w:rPr>
        <w:t xml:space="preserve">Kahn, W.A. (1990) Psychological conditions of personal engagement at work. Academy of Management Journal.  </w:t>
      </w:r>
    </w:p>
    <w:p w14:paraId="4DE95436" w14:textId="77777777" w:rsidR="00BD2A6E" w:rsidRPr="00D40B80" w:rsidRDefault="00BD2A6E" w:rsidP="00BD2A6E">
      <w:pPr>
        <w:rPr>
          <w:rFonts w:ascii="Arial" w:hAnsi="Arial" w:cs="Arial"/>
        </w:rPr>
      </w:pPr>
      <w:r w:rsidRPr="00D40B80">
        <w:rPr>
          <w:rFonts w:ascii="Arial" w:hAnsi="Arial" w:cs="Arial"/>
        </w:rPr>
        <w:t xml:space="preserve">Legge, K. (2005) Human Resource Management: Rhetorics and Realities. London: Palgrave Macmillan.  </w:t>
      </w:r>
    </w:p>
    <w:p w14:paraId="0B5087E4" w14:textId="77777777" w:rsidR="00BD2A6E" w:rsidRPr="00D40B80" w:rsidRDefault="00BD2A6E" w:rsidP="00BD2A6E">
      <w:pPr>
        <w:rPr>
          <w:rFonts w:ascii="Arial" w:hAnsi="Arial" w:cs="Arial"/>
        </w:rPr>
      </w:pPr>
      <w:r w:rsidRPr="00D40B80">
        <w:rPr>
          <w:rFonts w:ascii="Arial" w:hAnsi="Arial" w:cs="Arial"/>
        </w:rPr>
        <w:t xml:space="preserve">Nickson, D. (2013) Human Resource Management for the Hospitality and Tourism Industries. London: Routledge.  </w:t>
      </w:r>
    </w:p>
    <w:p w14:paraId="2B79FB5D" w14:textId="77777777" w:rsidR="00BD2A6E" w:rsidRPr="00D40B80" w:rsidRDefault="00BD2A6E" w:rsidP="00BD2A6E">
      <w:pPr>
        <w:rPr>
          <w:rFonts w:ascii="Arial" w:hAnsi="Arial" w:cs="Arial"/>
        </w:rPr>
      </w:pPr>
      <w:r w:rsidRPr="00D40B80">
        <w:rPr>
          <w:rFonts w:ascii="Arial" w:hAnsi="Arial" w:cs="Arial"/>
        </w:rPr>
        <w:t>Thompson, P. (2011). The trouble with HRM. Human Resource Management Journal.</w:t>
      </w:r>
    </w:p>
    <w:p w14:paraId="4BE714F2" w14:textId="31CF800E" w:rsidR="00A9136A" w:rsidRPr="00D40B80" w:rsidRDefault="00A9136A" w:rsidP="00BD2A6E">
      <w:pPr>
        <w:rPr>
          <w:rFonts w:ascii="Arial" w:hAnsi="Arial" w:cs="Arial"/>
        </w:rPr>
      </w:pPr>
      <w:r w:rsidRPr="00D40B80">
        <w:rPr>
          <w:rFonts w:ascii="Arial" w:hAnsi="Arial" w:cs="Arial"/>
        </w:rPr>
        <w:t xml:space="preserve">Creswell, J.W. (2014) </w:t>
      </w:r>
      <w:r w:rsidRPr="00D40B80">
        <w:rPr>
          <w:rFonts w:ascii="Arial" w:hAnsi="Arial" w:cs="Arial"/>
          <w:i/>
          <w:iCs/>
        </w:rPr>
        <w:t>Research design: Qualitative, quantitative, and mixed methods approaches</w:t>
      </w:r>
      <w:r w:rsidRPr="00D40B80">
        <w:rPr>
          <w:rFonts w:ascii="Arial" w:hAnsi="Arial" w:cs="Arial"/>
        </w:rPr>
        <w:t xml:space="preserve">. 4th </w:t>
      </w:r>
      <w:proofErr w:type="spellStart"/>
      <w:r w:rsidRPr="00D40B80">
        <w:rPr>
          <w:rFonts w:ascii="Arial" w:hAnsi="Arial" w:cs="Arial"/>
        </w:rPr>
        <w:t>edn</w:t>
      </w:r>
      <w:proofErr w:type="spellEnd"/>
      <w:r w:rsidRPr="00D40B80">
        <w:rPr>
          <w:rFonts w:ascii="Arial" w:hAnsi="Arial" w:cs="Arial"/>
        </w:rPr>
        <w:t>. Thousand Oaks, CA: Sage</w:t>
      </w:r>
    </w:p>
    <w:p w14:paraId="217275F0" w14:textId="73DE00B4" w:rsidR="00BD2A6E" w:rsidRPr="00D40B80" w:rsidRDefault="00A9136A">
      <w:pPr>
        <w:rPr>
          <w:rFonts w:ascii="Arial" w:hAnsi="Arial" w:cs="Arial"/>
        </w:rPr>
      </w:pPr>
      <w:r w:rsidRPr="00D40B80">
        <w:rPr>
          <w:rFonts w:ascii="Arial" w:hAnsi="Arial" w:cs="Arial"/>
        </w:rPr>
        <w:t xml:space="preserve">Kahn, W.A. (1990) ‘Psychological conditions of personal engagement and disengagement at work’, </w:t>
      </w:r>
      <w:r w:rsidRPr="00D40B80">
        <w:rPr>
          <w:rFonts w:ascii="Arial" w:hAnsi="Arial" w:cs="Arial"/>
          <w:i/>
          <w:iCs/>
        </w:rPr>
        <w:t>Academy of Management Journal</w:t>
      </w:r>
      <w:r w:rsidRPr="00D40B80">
        <w:rPr>
          <w:rFonts w:ascii="Arial" w:hAnsi="Arial" w:cs="Arial"/>
        </w:rPr>
        <w:t>, 33(4), pp. 692–724.</w:t>
      </w:r>
    </w:p>
    <w:p w14:paraId="3744A3B6" w14:textId="77777777" w:rsidR="00A9136A" w:rsidRPr="00D40B80" w:rsidRDefault="00A9136A" w:rsidP="00A9136A">
      <w:pPr>
        <w:rPr>
          <w:rFonts w:ascii="Arial" w:hAnsi="Arial" w:cs="Arial"/>
        </w:rPr>
      </w:pPr>
      <w:r w:rsidRPr="00D40B80">
        <w:rPr>
          <w:rFonts w:ascii="Arial" w:hAnsi="Arial" w:cs="Arial"/>
        </w:rPr>
        <w:t xml:space="preserve">Willmott, H. (1993) ‘Strength is ignorance; slavery is freedom: Managing culture in modern organizations’, </w:t>
      </w:r>
      <w:r w:rsidRPr="00D40B80">
        <w:rPr>
          <w:rFonts w:ascii="Arial" w:hAnsi="Arial" w:cs="Arial"/>
          <w:i/>
          <w:iCs/>
        </w:rPr>
        <w:t>Journal of Management Studies</w:t>
      </w:r>
      <w:r w:rsidRPr="00D40B80">
        <w:rPr>
          <w:rFonts w:ascii="Arial" w:hAnsi="Arial" w:cs="Arial"/>
        </w:rPr>
        <w:t>, 30(4), pp. 515–552.</w:t>
      </w:r>
    </w:p>
    <w:p w14:paraId="6C908A13" w14:textId="744ADED3" w:rsidR="00BD2A6E" w:rsidRPr="00D40B80" w:rsidRDefault="00A9136A">
      <w:pPr>
        <w:rPr>
          <w:rFonts w:ascii="Arial" w:hAnsi="Arial" w:cs="Arial"/>
        </w:rPr>
      </w:pPr>
      <w:r w:rsidRPr="00D40B80">
        <w:rPr>
          <w:rFonts w:ascii="Arial" w:hAnsi="Arial" w:cs="Arial"/>
        </w:rPr>
        <w:t xml:space="preserve">Torrington, D., Hall, L., Taylor, S. and Atkinson, C. (2020) </w:t>
      </w:r>
      <w:r w:rsidRPr="00D40B80">
        <w:rPr>
          <w:rFonts w:ascii="Arial" w:hAnsi="Arial" w:cs="Arial"/>
          <w:i/>
          <w:iCs/>
        </w:rPr>
        <w:t>Human resource management</w:t>
      </w:r>
      <w:r w:rsidRPr="00D40B80">
        <w:rPr>
          <w:rFonts w:ascii="Arial" w:hAnsi="Arial" w:cs="Arial"/>
        </w:rPr>
        <w:t xml:space="preserve">. 11th </w:t>
      </w:r>
      <w:proofErr w:type="spellStart"/>
      <w:r w:rsidRPr="00D40B80">
        <w:rPr>
          <w:rFonts w:ascii="Arial" w:hAnsi="Arial" w:cs="Arial"/>
        </w:rPr>
        <w:t>edn</w:t>
      </w:r>
      <w:proofErr w:type="spellEnd"/>
      <w:r w:rsidRPr="00D40B80">
        <w:rPr>
          <w:rFonts w:ascii="Arial" w:hAnsi="Arial" w:cs="Arial"/>
        </w:rPr>
        <w:t>. Harlow: Pearson Education.</w:t>
      </w:r>
    </w:p>
    <w:p w14:paraId="3FDC206E" w14:textId="35CD3200" w:rsidR="00A9136A" w:rsidRPr="00D40B80" w:rsidRDefault="00A9136A">
      <w:pPr>
        <w:rPr>
          <w:rFonts w:ascii="Arial" w:hAnsi="Arial" w:cs="Arial"/>
        </w:rPr>
      </w:pPr>
      <w:r w:rsidRPr="00D40B80">
        <w:rPr>
          <w:rFonts w:ascii="Arial" w:hAnsi="Arial" w:cs="Arial"/>
        </w:rPr>
        <w:t xml:space="preserve">Thompson, P. and Ackroyd, S. (1995) ‘All quiet on the workplace front? A critique of recent trends in British industrial sociology’, </w:t>
      </w:r>
      <w:r w:rsidRPr="00D40B80">
        <w:rPr>
          <w:rFonts w:ascii="Arial" w:hAnsi="Arial" w:cs="Arial"/>
          <w:i/>
          <w:iCs/>
        </w:rPr>
        <w:t>Sociology</w:t>
      </w:r>
      <w:r w:rsidRPr="00D40B80">
        <w:rPr>
          <w:rFonts w:ascii="Arial" w:hAnsi="Arial" w:cs="Arial"/>
        </w:rPr>
        <w:t>, 29(4), pp. 615–633.</w:t>
      </w:r>
    </w:p>
    <w:sectPr w:rsidR="00A9136A" w:rsidRPr="00D40B8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806B6" w14:textId="77777777" w:rsidR="00581179" w:rsidRDefault="00581179" w:rsidP="00B04F8B">
      <w:pPr>
        <w:spacing w:after="0" w:line="240" w:lineRule="auto"/>
      </w:pPr>
      <w:r>
        <w:separator/>
      </w:r>
    </w:p>
  </w:endnote>
  <w:endnote w:type="continuationSeparator" w:id="0">
    <w:p w14:paraId="3FE91C01" w14:textId="77777777" w:rsidR="00581179" w:rsidRDefault="00581179" w:rsidP="00B04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422467"/>
      <w:docPartObj>
        <w:docPartGallery w:val="Page Numbers (Bottom of Page)"/>
        <w:docPartUnique/>
      </w:docPartObj>
    </w:sdtPr>
    <w:sdtContent>
      <w:p w14:paraId="4C956EB7" w14:textId="6587D3DE" w:rsidR="00B04F8B" w:rsidRDefault="00B04F8B">
        <w:pPr>
          <w:pStyle w:val="Footer"/>
          <w:jc w:val="center"/>
        </w:pPr>
        <w:r>
          <w:fldChar w:fldCharType="begin"/>
        </w:r>
        <w:r>
          <w:instrText>PAGE   \* MERGEFORMAT</w:instrText>
        </w:r>
        <w:r>
          <w:fldChar w:fldCharType="separate"/>
        </w:r>
        <w:r>
          <w:t>2</w:t>
        </w:r>
        <w:r>
          <w:fldChar w:fldCharType="end"/>
        </w:r>
      </w:p>
    </w:sdtContent>
  </w:sdt>
  <w:p w14:paraId="79827D2B" w14:textId="77777777" w:rsidR="00B04F8B" w:rsidRDefault="00B04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D9086" w14:textId="77777777" w:rsidR="00581179" w:rsidRDefault="00581179" w:rsidP="00B04F8B">
      <w:pPr>
        <w:spacing w:after="0" w:line="240" w:lineRule="auto"/>
      </w:pPr>
      <w:r>
        <w:separator/>
      </w:r>
    </w:p>
  </w:footnote>
  <w:footnote w:type="continuationSeparator" w:id="0">
    <w:p w14:paraId="42264D70" w14:textId="77777777" w:rsidR="00581179" w:rsidRDefault="00581179" w:rsidP="00B04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30025"/>
    <w:multiLevelType w:val="multilevel"/>
    <w:tmpl w:val="81562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E71F1D"/>
    <w:multiLevelType w:val="multilevel"/>
    <w:tmpl w:val="CBAE8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A9288A"/>
    <w:multiLevelType w:val="hybridMultilevel"/>
    <w:tmpl w:val="9A4E4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2568680">
    <w:abstractNumId w:val="1"/>
  </w:num>
  <w:num w:numId="2" w16cid:durableId="1758743145">
    <w:abstractNumId w:val="0"/>
  </w:num>
  <w:num w:numId="3" w16cid:durableId="639194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A6E"/>
    <w:rsid w:val="000408E7"/>
    <w:rsid w:val="0007662D"/>
    <w:rsid w:val="000E4E41"/>
    <w:rsid w:val="00166C8E"/>
    <w:rsid w:val="001A6924"/>
    <w:rsid w:val="001C01CD"/>
    <w:rsid w:val="001D5BA1"/>
    <w:rsid w:val="0028358C"/>
    <w:rsid w:val="003F0E42"/>
    <w:rsid w:val="00422A6B"/>
    <w:rsid w:val="005403B5"/>
    <w:rsid w:val="00581179"/>
    <w:rsid w:val="00656C72"/>
    <w:rsid w:val="006B5BAF"/>
    <w:rsid w:val="007A4DE8"/>
    <w:rsid w:val="007B4328"/>
    <w:rsid w:val="009854DC"/>
    <w:rsid w:val="00A9136A"/>
    <w:rsid w:val="00AD067C"/>
    <w:rsid w:val="00B04F8B"/>
    <w:rsid w:val="00BA3FA9"/>
    <w:rsid w:val="00BB6E25"/>
    <w:rsid w:val="00BD2A6E"/>
    <w:rsid w:val="00D40B80"/>
    <w:rsid w:val="00D749F7"/>
    <w:rsid w:val="00DB5EB8"/>
    <w:rsid w:val="00EE2CB5"/>
    <w:rsid w:val="00F96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68B7F"/>
  <w15:chartTrackingRefBased/>
  <w15:docId w15:val="{E74B9825-4978-4C6A-997F-F241C498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A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2A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2A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2A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2A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2A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A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A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A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2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2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2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A6E"/>
    <w:rPr>
      <w:rFonts w:eastAsiaTheme="majorEastAsia" w:cstheme="majorBidi"/>
      <w:color w:val="272727" w:themeColor="text1" w:themeTint="D8"/>
    </w:rPr>
  </w:style>
  <w:style w:type="paragraph" w:styleId="Title">
    <w:name w:val="Title"/>
    <w:basedOn w:val="Normal"/>
    <w:next w:val="Normal"/>
    <w:link w:val="TitleChar"/>
    <w:uiPriority w:val="10"/>
    <w:qFormat/>
    <w:rsid w:val="00BD2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A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A6E"/>
    <w:pPr>
      <w:spacing w:before="160"/>
      <w:jc w:val="center"/>
    </w:pPr>
    <w:rPr>
      <w:i/>
      <w:iCs/>
      <w:color w:val="404040" w:themeColor="text1" w:themeTint="BF"/>
    </w:rPr>
  </w:style>
  <w:style w:type="character" w:customStyle="1" w:styleId="QuoteChar">
    <w:name w:val="Quote Char"/>
    <w:basedOn w:val="DefaultParagraphFont"/>
    <w:link w:val="Quote"/>
    <w:uiPriority w:val="29"/>
    <w:rsid w:val="00BD2A6E"/>
    <w:rPr>
      <w:i/>
      <w:iCs/>
      <w:color w:val="404040" w:themeColor="text1" w:themeTint="BF"/>
    </w:rPr>
  </w:style>
  <w:style w:type="paragraph" w:styleId="ListParagraph">
    <w:name w:val="List Paragraph"/>
    <w:basedOn w:val="Normal"/>
    <w:uiPriority w:val="34"/>
    <w:qFormat/>
    <w:rsid w:val="00BD2A6E"/>
    <w:pPr>
      <w:ind w:left="720"/>
      <w:contextualSpacing/>
    </w:pPr>
  </w:style>
  <w:style w:type="character" w:styleId="IntenseEmphasis">
    <w:name w:val="Intense Emphasis"/>
    <w:basedOn w:val="DefaultParagraphFont"/>
    <w:uiPriority w:val="21"/>
    <w:qFormat/>
    <w:rsid w:val="00BD2A6E"/>
    <w:rPr>
      <w:i/>
      <w:iCs/>
      <w:color w:val="0F4761" w:themeColor="accent1" w:themeShade="BF"/>
    </w:rPr>
  </w:style>
  <w:style w:type="paragraph" w:styleId="IntenseQuote">
    <w:name w:val="Intense Quote"/>
    <w:basedOn w:val="Normal"/>
    <w:next w:val="Normal"/>
    <w:link w:val="IntenseQuoteChar"/>
    <w:uiPriority w:val="30"/>
    <w:qFormat/>
    <w:rsid w:val="00BD2A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A6E"/>
    <w:rPr>
      <w:i/>
      <w:iCs/>
      <w:color w:val="0F4761" w:themeColor="accent1" w:themeShade="BF"/>
    </w:rPr>
  </w:style>
  <w:style w:type="character" w:styleId="IntenseReference">
    <w:name w:val="Intense Reference"/>
    <w:basedOn w:val="DefaultParagraphFont"/>
    <w:uiPriority w:val="32"/>
    <w:qFormat/>
    <w:rsid w:val="00BD2A6E"/>
    <w:rPr>
      <w:b/>
      <w:bCs/>
      <w:smallCaps/>
      <w:color w:val="0F4761" w:themeColor="accent1" w:themeShade="BF"/>
      <w:spacing w:val="5"/>
    </w:rPr>
  </w:style>
  <w:style w:type="table" w:styleId="TableGrid">
    <w:name w:val="Table Grid"/>
    <w:basedOn w:val="TableNormal"/>
    <w:uiPriority w:val="59"/>
    <w:rsid w:val="00BD2A6E"/>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4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F8B"/>
  </w:style>
  <w:style w:type="paragraph" w:styleId="Footer">
    <w:name w:val="footer"/>
    <w:basedOn w:val="Normal"/>
    <w:link w:val="FooterChar"/>
    <w:uiPriority w:val="99"/>
    <w:unhideWhenUsed/>
    <w:rsid w:val="00B04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F8B"/>
  </w:style>
  <w:style w:type="paragraph" w:styleId="TOCHeading">
    <w:name w:val="TOC Heading"/>
    <w:basedOn w:val="Heading1"/>
    <w:next w:val="Normal"/>
    <w:uiPriority w:val="39"/>
    <w:unhideWhenUsed/>
    <w:qFormat/>
    <w:rsid w:val="0007662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66C8E"/>
    <w:pPr>
      <w:spacing w:after="100"/>
    </w:pPr>
  </w:style>
  <w:style w:type="character" w:styleId="Hyperlink">
    <w:name w:val="Hyperlink"/>
    <w:basedOn w:val="DefaultParagraphFont"/>
    <w:uiPriority w:val="99"/>
    <w:unhideWhenUsed/>
    <w:rsid w:val="00166C8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E0A1-E86B-4E5A-A76E-164ADD913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4404</TotalTime>
  <Pages>8</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Parasca</dc:creator>
  <cp:keywords/>
  <dc:description/>
  <cp:lastModifiedBy>Petru Parasca</cp:lastModifiedBy>
  <cp:revision>16</cp:revision>
  <dcterms:created xsi:type="dcterms:W3CDTF">2026-01-27T21:13:00Z</dcterms:created>
  <dcterms:modified xsi:type="dcterms:W3CDTF">2026-02-09T22:51:00Z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520c257d-e32f-431a-8551-18e9a02898c6</vt:lpwstr>
  </property>
</Properties>
</file>