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CCA620" wp14:paraId="2C078E63" wp14:textId="6A38BE35">
      <w:pPr>
        <w:rPr>
          <w:rFonts w:ascii="Arial" w:hAnsi="Arial" w:eastAsia="Arial" w:cs="Arial"/>
          <w:u w:val="single"/>
        </w:rPr>
      </w:pPr>
      <w:r w:rsidRPr="260BA824" w:rsidR="324D0072">
        <w:rPr>
          <w:rFonts w:ascii="Arial" w:hAnsi="Arial" w:eastAsia="Arial" w:cs="Arial"/>
          <w:u w:val="single"/>
        </w:rPr>
        <w:t>Safeguarding portfolio</w:t>
      </w:r>
      <w:r w:rsidRPr="260BA824" w:rsidR="324D0072">
        <w:rPr>
          <w:rFonts w:ascii="Arial" w:hAnsi="Arial" w:eastAsia="Arial" w:cs="Arial"/>
          <w:u w:val="single"/>
        </w:rPr>
        <w:t>.</w:t>
      </w:r>
      <w:r w:rsidRPr="260BA824" w:rsidR="1888C647">
        <w:rPr>
          <w:rFonts w:ascii="Arial" w:hAnsi="Arial" w:eastAsia="Arial" w:cs="Arial"/>
          <w:u w:val="single"/>
        </w:rPr>
        <w:t xml:space="preserve">  </w:t>
      </w:r>
      <w:r w:rsidRPr="260BA824" w:rsidR="1888C647">
        <w:rPr>
          <w:rFonts w:ascii="Arial" w:hAnsi="Arial" w:eastAsia="Arial" w:cs="Arial"/>
          <w:u w:val="single"/>
        </w:rPr>
        <w:t xml:space="preserve">         2307162  </w:t>
      </w:r>
      <w:r w:rsidRPr="260BA824" w:rsidR="1888C647">
        <w:rPr>
          <w:rFonts w:ascii="Arial" w:hAnsi="Arial" w:eastAsia="Arial" w:cs="Arial"/>
          <w:u w:val="single"/>
        </w:rPr>
        <w:t>ecey</w:t>
      </w:r>
      <w:r w:rsidRPr="260BA824" w:rsidR="1888C647">
        <w:rPr>
          <w:rFonts w:ascii="Arial" w:hAnsi="Arial" w:eastAsia="Arial" w:cs="Arial"/>
          <w:u w:val="single"/>
        </w:rPr>
        <w:t xml:space="preserve"> </w:t>
      </w:r>
      <w:r w:rsidRPr="260BA824" w:rsidR="4B74DE97">
        <w:rPr>
          <w:rFonts w:ascii="Arial" w:hAnsi="Arial" w:eastAsia="Arial" w:cs="Arial"/>
          <w:u w:val="single"/>
        </w:rPr>
        <w:t xml:space="preserve">5011/c.  </w:t>
      </w:r>
      <w:r w:rsidRPr="260BA824" w:rsidR="7ACF1804">
        <w:rPr>
          <w:rFonts w:ascii="Arial" w:hAnsi="Arial" w:eastAsia="Arial" w:cs="Arial"/>
          <w:u w:val="single"/>
        </w:rPr>
        <w:t>Amy Williams</w:t>
      </w:r>
      <w:r w:rsidRPr="260BA824" w:rsidR="4B74DE97">
        <w:rPr>
          <w:rFonts w:ascii="Arial" w:hAnsi="Arial" w:eastAsia="Arial" w:cs="Arial"/>
          <w:u w:val="single"/>
        </w:rPr>
        <w:t xml:space="preserve">                </w:t>
      </w:r>
      <w:r w:rsidRPr="260BA824" w:rsidR="75A5477D">
        <w:rPr>
          <w:rFonts w:ascii="Arial" w:hAnsi="Arial" w:eastAsia="Arial" w:cs="Arial"/>
          <w:u w:val="single"/>
        </w:rPr>
        <w:t>199</w:t>
      </w:r>
      <w:r w:rsidRPr="260BA824" w:rsidR="72E6BEAF">
        <w:rPr>
          <w:rFonts w:ascii="Arial" w:hAnsi="Arial" w:eastAsia="Arial" w:cs="Arial"/>
          <w:u w:val="single"/>
        </w:rPr>
        <w:t>5</w:t>
      </w:r>
      <w:r w:rsidRPr="260BA824" w:rsidR="4B74DE97">
        <w:rPr>
          <w:rFonts w:ascii="Arial" w:hAnsi="Arial" w:eastAsia="Arial" w:cs="Arial"/>
          <w:u w:val="single"/>
        </w:rPr>
        <w:t xml:space="preserve">     words.</w:t>
      </w:r>
    </w:p>
    <w:p w:rsidR="0CCCA620" w:rsidP="0CCCA620" w:rsidRDefault="0CCCA620" w14:paraId="6032AF6F" w14:textId="08491F07">
      <w:pPr>
        <w:rPr>
          <w:rFonts w:ascii="Arial" w:hAnsi="Arial" w:eastAsia="Arial" w:cs="Arial"/>
          <w:u w:val="single"/>
        </w:rPr>
      </w:pPr>
    </w:p>
    <w:p w:rsidR="4B74DE97" w:rsidP="0CCCA620" w:rsidRDefault="4B74DE97" w14:paraId="5B38A25C" w14:textId="2D195D8A">
      <w:pPr>
        <w:rPr>
          <w:rFonts w:ascii="Arial" w:hAnsi="Arial" w:eastAsia="Arial" w:cs="Arial"/>
          <w:u w:val="single"/>
        </w:rPr>
      </w:pPr>
      <w:r w:rsidRPr="260BA824" w:rsidR="4B74DE97">
        <w:rPr>
          <w:rFonts w:ascii="Arial" w:hAnsi="Arial" w:eastAsia="Arial" w:cs="Arial"/>
          <w:u w:val="single"/>
        </w:rPr>
        <w:t>Part 1.</w:t>
      </w:r>
    </w:p>
    <w:p w:rsidR="4B74DE97" w:rsidP="0CCCA620" w:rsidRDefault="4B74DE97" w14:paraId="43C41196" w14:textId="7D7E2FCE">
      <w:pPr>
        <w:rPr>
          <w:rFonts w:ascii="Arial" w:hAnsi="Arial" w:eastAsia="Arial" w:cs="Arial"/>
          <w:u w:val="single"/>
        </w:rPr>
      </w:pPr>
      <w:r w:rsidRPr="260BA824" w:rsidR="4B74DE97">
        <w:rPr>
          <w:rFonts w:ascii="Arial" w:hAnsi="Arial" w:eastAsia="Arial" w:cs="Arial"/>
          <w:u w:val="single"/>
        </w:rPr>
        <w:t>Recognizing and reporting.</w:t>
      </w:r>
    </w:p>
    <w:p w:rsidR="0CCCA620" w:rsidP="260BA824" w:rsidRDefault="0CCCA620" w14:paraId="4DADB73D" w14:textId="2E5597C7">
      <w:pPr>
        <w:rPr>
          <w:rFonts w:ascii="Arial" w:hAnsi="Arial" w:eastAsia="Arial" w:cs="Arial"/>
          <w:u w:val="none"/>
        </w:rPr>
      </w:pPr>
      <w:r w:rsidRPr="260BA824" w:rsidR="66B476B1">
        <w:rPr>
          <w:rFonts w:ascii="Arial" w:hAnsi="Arial" w:eastAsia="Arial" w:cs="Arial"/>
          <w:u w:val="none"/>
        </w:rPr>
        <w:t xml:space="preserve">HM Government (2023) </w:t>
      </w:r>
      <w:r w:rsidRPr="260BA824" w:rsidR="3BD8DBCC">
        <w:rPr>
          <w:rFonts w:ascii="Arial" w:hAnsi="Arial" w:eastAsia="Arial" w:cs="Arial"/>
          <w:u w:val="none"/>
        </w:rPr>
        <w:t xml:space="preserve">highlights </w:t>
      </w:r>
      <w:r w:rsidRPr="260BA824" w:rsidR="3BD8DBCC">
        <w:rPr>
          <w:rFonts w:ascii="Arial" w:hAnsi="Arial" w:eastAsia="Arial" w:cs="Arial"/>
          <w:u w:val="none"/>
        </w:rPr>
        <w:t>the importance</w:t>
      </w:r>
      <w:r w:rsidRPr="260BA824" w:rsidR="66B476B1">
        <w:rPr>
          <w:rFonts w:ascii="Arial" w:hAnsi="Arial" w:eastAsia="Arial" w:cs="Arial"/>
          <w:u w:val="none"/>
        </w:rPr>
        <w:t xml:space="preserve"> of child welfare, emphasizing that every child inherently deserves protection from any form of abuse. This principle aligns with Article 19 of the United Nations Convention on the Rights of the Child (UNCRC</w:t>
      </w:r>
      <w:r w:rsidRPr="260BA824" w:rsidR="66B476B1">
        <w:rPr>
          <w:rFonts w:ascii="Arial" w:hAnsi="Arial" w:eastAsia="Arial" w:cs="Arial"/>
          <w:u w:val="none"/>
        </w:rPr>
        <w:t>)</w:t>
      </w:r>
      <w:r w:rsidRPr="260BA824" w:rsidR="216EF701">
        <w:rPr>
          <w:rFonts w:ascii="Arial" w:hAnsi="Arial" w:eastAsia="Arial" w:cs="Arial"/>
          <w:u w:val="none"/>
        </w:rPr>
        <w:t>(</w:t>
      </w:r>
      <w:r w:rsidRPr="260BA824" w:rsidR="216EF701">
        <w:rPr>
          <w:rFonts w:ascii="Arial" w:hAnsi="Arial" w:eastAsia="Arial" w:cs="Arial"/>
          <w:u w:val="none"/>
        </w:rPr>
        <w:t>1989)</w:t>
      </w:r>
      <w:r w:rsidRPr="260BA824" w:rsidR="66B476B1">
        <w:rPr>
          <w:rFonts w:ascii="Arial" w:hAnsi="Arial" w:eastAsia="Arial" w:cs="Arial"/>
          <w:u w:val="none"/>
        </w:rPr>
        <w:t xml:space="preserve">, which </w:t>
      </w:r>
      <w:r w:rsidRPr="260BA824" w:rsidR="66B476B1">
        <w:rPr>
          <w:rFonts w:ascii="Arial" w:hAnsi="Arial" w:eastAsia="Arial" w:cs="Arial"/>
          <w:u w:val="none"/>
        </w:rPr>
        <w:t>obligates</w:t>
      </w:r>
      <w:r w:rsidRPr="260BA824" w:rsidR="66B476B1">
        <w:rPr>
          <w:rFonts w:ascii="Arial" w:hAnsi="Arial" w:eastAsia="Arial" w:cs="Arial"/>
          <w:u w:val="none"/>
        </w:rPr>
        <w:t xml:space="preserve"> member states to safeguard children from all types of violence, abuse, neglect, or maltreatment by their caregivers. This international mandate highlights that children's safety is a universal concern requiring dedicated efforts.</w:t>
      </w:r>
    </w:p>
    <w:p w:rsidR="0CCCA620" w:rsidP="260BA824" w:rsidRDefault="0CCCA620" w14:paraId="66AD589D" w14:textId="2A208B1D">
      <w:pPr>
        <w:pStyle w:val="Normal"/>
        <w:rPr>
          <w:rFonts w:ascii="Arial" w:hAnsi="Arial" w:eastAsia="Arial" w:cs="Arial"/>
          <w:u w:val="none"/>
        </w:rPr>
      </w:pPr>
      <w:r w:rsidRPr="260BA824" w:rsidR="66B476B1">
        <w:rPr>
          <w:rFonts w:ascii="Arial" w:hAnsi="Arial" w:eastAsia="Arial" w:cs="Arial"/>
          <w:u w:val="none"/>
        </w:rPr>
        <w:t xml:space="preserve">To effectively ensure the safety of children, HM Government (2023) points out the necessity of collaboration among various agencies and organizations. Each entity must recognize and </w:t>
      </w:r>
      <w:r w:rsidRPr="260BA824" w:rsidR="06B80D7D">
        <w:rPr>
          <w:rFonts w:ascii="Arial" w:hAnsi="Arial" w:eastAsia="Arial" w:cs="Arial"/>
          <w:u w:val="none"/>
        </w:rPr>
        <w:t>fulfil</w:t>
      </w:r>
      <w:r w:rsidRPr="260BA824" w:rsidR="66B476B1">
        <w:rPr>
          <w:rFonts w:ascii="Arial" w:hAnsi="Arial" w:eastAsia="Arial" w:cs="Arial"/>
          <w:u w:val="none"/>
        </w:rPr>
        <w:t xml:space="preserve"> its specific role within a coordinated framework. This collaborative approach is formalized in the Working Together Act (2023), which outlines the responsibilities and cooperative efforts </w:t>
      </w:r>
      <w:r w:rsidRPr="260BA824" w:rsidR="66B476B1">
        <w:rPr>
          <w:rFonts w:ascii="Arial" w:hAnsi="Arial" w:eastAsia="Arial" w:cs="Arial"/>
          <w:u w:val="none"/>
        </w:rPr>
        <w:t>required</w:t>
      </w:r>
      <w:r w:rsidRPr="260BA824" w:rsidR="66B476B1">
        <w:rPr>
          <w:rFonts w:ascii="Arial" w:hAnsi="Arial" w:eastAsia="Arial" w:cs="Arial"/>
          <w:u w:val="none"/>
        </w:rPr>
        <w:t xml:space="preserve"> to protect children. Furthermore, the All-Wales Child Protection Procedures (2008) state that the protection of children cannot be achieved by a single agency acting alone. By working together, agencies can share information to build a comprehensive understanding and create effective systems for recognizing and responding to child protection issues.</w:t>
      </w:r>
    </w:p>
    <w:p w:rsidR="0CCCA620" w:rsidP="260BA824" w:rsidRDefault="0CCCA620" w14:paraId="28103B65" w14:textId="6C79F447">
      <w:pPr>
        <w:pStyle w:val="Normal"/>
        <w:rPr>
          <w:rFonts w:ascii="Arial" w:hAnsi="Arial" w:eastAsia="Arial" w:cs="Arial"/>
          <w:u w:val="none"/>
        </w:rPr>
      </w:pPr>
      <w:r w:rsidRPr="260BA824" w:rsidR="66B476B1">
        <w:rPr>
          <w:rFonts w:ascii="Arial" w:hAnsi="Arial" w:eastAsia="Arial" w:cs="Arial"/>
          <w:u w:val="none"/>
        </w:rPr>
        <w:t xml:space="preserve">Case Study 1: Recognizing </w:t>
      </w:r>
      <w:r w:rsidRPr="260BA824" w:rsidR="6364F71C">
        <w:rPr>
          <w:rFonts w:ascii="Arial" w:hAnsi="Arial" w:eastAsia="Arial" w:cs="Arial"/>
          <w:u w:val="none"/>
        </w:rPr>
        <w:t>Behavioural</w:t>
      </w:r>
      <w:r w:rsidRPr="260BA824" w:rsidR="66B476B1">
        <w:rPr>
          <w:rFonts w:ascii="Arial" w:hAnsi="Arial" w:eastAsia="Arial" w:cs="Arial"/>
          <w:u w:val="none"/>
        </w:rPr>
        <w:t xml:space="preserve"> Changes and Signs of Abuse</w:t>
      </w:r>
    </w:p>
    <w:p w:rsidR="0CCCA620" w:rsidP="260BA824" w:rsidRDefault="0CCCA620" w14:paraId="769E03C9" w14:textId="7192A0AD">
      <w:pPr>
        <w:pStyle w:val="Normal"/>
        <w:rPr>
          <w:rFonts w:ascii="Arial" w:hAnsi="Arial" w:eastAsia="Arial" w:cs="Arial"/>
          <w:u w:val="none"/>
        </w:rPr>
      </w:pPr>
      <w:r w:rsidRPr="260BA824" w:rsidR="66B476B1">
        <w:rPr>
          <w:rFonts w:ascii="Arial" w:hAnsi="Arial" w:eastAsia="Arial" w:cs="Arial"/>
          <w:u w:val="none"/>
        </w:rPr>
        <w:t xml:space="preserve">In Case Study 1, the teaching assistant had built a strong rapport with Joanna, a young girl described as happy, confident, and independent. This relationship aligns with Solvason and Webb's (2022) assertion that quality interactions between children and practitioners are vital for a child's social development. Additionally, the NSPCC (2023) emphasizes that nurturing and healthy relationships create a sense of security for the child, making it easier for practitioners to notice </w:t>
      </w:r>
      <w:r w:rsidRPr="260BA824" w:rsidR="19B2C773">
        <w:rPr>
          <w:rFonts w:ascii="Arial" w:hAnsi="Arial" w:eastAsia="Arial" w:cs="Arial"/>
          <w:u w:val="none"/>
        </w:rPr>
        <w:t>behavioural</w:t>
      </w:r>
      <w:r w:rsidRPr="260BA824" w:rsidR="66B476B1">
        <w:rPr>
          <w:rFonts w:ascii="Arial" w:hAnsi="Arial" w:eastAsia="Arial" w:cs="Arial"/>
          <w:u w:val="none"/>
        </w:rPr>
        <w:t xml:space="preserve"> changes indicative of distress.</w:t>
      </w:r>
    </w:p>
    <w:p w:rsidR="0CCCA620" w:rsidP="260BA824" w:rsidRDefault="0CCCA620" w14:paraId="67DF0C6F" w14:textId="43298C52">
      <w:pPr>
        <w:pStyle w:val="Normal"/>
        <w:rPr>
          <w:rFonts w:ascii="Arial" w:hAnsi="Arial" w:eastAsia="Arial" w:cs="Arial"/>
          <w:u w:val="none"/>
        </w:rPr>
      </w:pPr>
      <w:r w:rsidRPr="260BA824" w:rsidR="66B476B1">
        <w:rPr>
          <w:rFonts w:ascii="Arial" w:hAnsi="Arial" w:eastAsia="Arial" w:cs="Arial"/>
          <w:u w:val="none"/>
        </w:rPr>
        <w:t xml:space="preserve">The All-Wales Child Protection Procedures (2008) further stress the importance of knowing the children in one's care to effectively recognize signs of abuse. In Joanna's case, the teaching assistant's close relationship with her allowed them to notice that Joanna had become quieter, clingier, and exhibited </w:t>
      </w:r>
      <w:r w:rsidRPr="260BA824" w:rsidR="7691799D">
        <w:rPr>
          <w:rFonts w:ascii="Arial" w:hAnsi="Arial" w:eastAsia="Arial" w:cs="Arial"/>
          <w:u w:val="none"/>
        </w:rPr>
        <w:t>behavioural</w:t>
      </w:r>
      <w:r w:rsidRPr="260BA824" w:rsidR="66B476B1">
        <w:rPr>
          <w:rFonts w:ascii="Arial" w:hAnsi="Arial" w:eastAsia="Arial" w:cs="Arial"/>
          <w:u w:val="none"/>
        </w:rPr>
        <w:t xml:space="preserve"> changes. According to the NSPCC (2016), such unexplained </w:t>
      </w:r>
      <w:r w:rsidRPr="260BA824" w:rsidR="68DD41BA">
        <w:rPr>
          <w:rFonts w:ascii="Arial" w:hAnsi="Arial" w:eastAsia="Arial" w:cs="Arial"/>
          <w:u w:val="none"/>
        </w:rPr>
        <w:t>behavioural</w:t>
      </w:r>
      <w:r w:rsidRPr="260BA824" w:rsidR="66B476B1">
        <w:rPr>
          <w:rFonts w:ascii="Arial" w:hAnsi="Arial" w:eastAsia="Arial" w:cs="Arial"/>
          <w:u w:val="none"/>
        </w:rPr>
        <w:t xml:space="preserve"> shifts, withdrawal, or anxiety are common indicators of abuse.</w:t>
      </w:r>
    </w:p>
    <w:p w:rsidR="0CCCA620" w:rsidP="260BA824" w:rsidRDefault="0CCCA620" w14:paraId="710B3D0A" w14:textId="03A83FEA">
      <w:pPr>
        <w:pStyle w:val="Normal"/>
        <w:rPr>
          <w:rFonts w:ascii="Arial" w:hAnsi="Arial" w:eastAsia="Arial" w:cs="Arial"/>
          <w:u w:val="none"/>
        </w:rPr>
      </w:pPr>
      <w:r w:rsidRPr="260BA824" w:rsidR="66B476B1">
        <w:rPr>
          <w:rFonts w:ascii="Arial" w:hAnsi="Arial" w:eastAsia="Arial" w:cs="Arial"/>
          <w:u w:val="none"/>
        </w:rPr>
        <w:t>The case study also notes Joanna's reluctance to remove her jumper even in warm weather and the observation of bruising near her ribs. When questioned, Joanna became upset and did not provide an explanation. Burke (2021) explains that children</w:t>
      </w:r>
      <w:r w:rsidRPr="260BA824" w:rsidR="340D0E63">
        <w:rPr>
          <w:rFonts w:ascii="Arial" w:hAnsi="Arial" w:eastAsia="Arial" w:cs="Arial"/>
          <w:u w:val="none"/>
        </w:rPr>
        <w:t xml:space="preserve"> </w:t>
      </w:r>
      <w:r w:rsidRPr="260BA824" w:rsidR="66B476B1">
        <w:rPr>
          <w:rFonts w:ascii="Arial" w:hAnsi="Arial" w:eastAsia="Arial" w:cs="Arial"/>
          <w:u w:val="none"/>
        </w:rPr>
        <w:t xml:space="preserve">may not always recognize their experiences as abusive, often seeing them as normal, which could explain Joanna's </w:t>
      </w:r>
      <w:r w:rsidRPr="260BA824" w:rsidR="4F2DBBE1">
        <w:rPr>
          <w:rFonts w:ascii="Arial" w:hAnsi="Arial" w:eastAsia="Arial" w:cs="Arial"/>
          <w:u w:val="none"/>
        </w:rPr>
        <w:t>behaviour</w:t>
      </w:r>
      <w:r w:rsidRPr="260BA824" w:rsidR="66B476B1">
        <w:rPr>
          <w:rFonts w:ascii="Arial" w:hAnsi="Arial" w:eastAsia="Arial" w:cs="Arial"/>
          <w:u w:val="none"/>
        </w:rPr>
        <w:t xml:space="preserve"> and withdrawal. Additionally, children may feel frightened to talk about any abuse that may be happening and want to protect their caregivers.</w:t>
      </w:r>
    </w:p>
    <w:p w:rsidR="0CCCA620" w:rsidP="260BA824" w:rsidRDefault="0CCCA620" w14:paraId="4CABFEB3" w14:textId="2B50A3A3">
      <w:pPr>
        <w:pStyle w:val="Normal"/>
      </w:pPr>
      <w:r w:rsidRPr="260BA824" w:rsidR="66B476B1">
        <w:rPr>
          <w:rFonts w:ascii="Arial" w:hAnsi="Arial" w:eastAsia="Arial" w:cs="Arial"/>
          <w:u w:val="single"/>
        </w:rPr>
        <w:t>The Importance of Prompt and Sensitive Intervention</w:t>
      </w:r>
    </w:p>
    <w:p w:rsidR="0CCCA620" w:rsidP="260BA824" w:rsidRDefault="0CCCA620" w14:paraId="62C99F63" w14:textId="674020B8">
      <w:pPr>
        <w:pStyle w:val="Normal"/>
        <w:rPr>
          <w:rFonts w:ascii="Arial" w:hAnsi="Arial" w:eastAsia="Arial" w:cs="Arial"/>
          <w:u w:val="none"/>
        </w:rPr>
      </w:pPr>
      <w:r w:rsidRPr="260BA824" w:rsidR="66B476B1">
        <w:rPr>
          <w:rFonts w:ascii="Arial" w:hAnsi="Arial" w:eastAsia="Arial" w:cs="Arial"/>
          <w:u w:val="none"/>
        </w:rPr>
        <w:t xml:space="preserve">Safeguarding Wales (n.d.) highlights the critical need for recognizing signs of abuse and intervening promptly to prevent further harm. However, the NSPCC (2019) cautions that directly confronting a child's caregivers can create </w:t>
      </w:r>
      <w:r w:rsidRPr="260BA824" w:rsidR="66B476B1">
        <w:rPr>
          <w:rFonts w:ascii="Arial" w:hAnsi="Arial" w:eastAsia="Arial" w:cs="Arial"/>
          <w:u w:val="none"/>
        </w:rPr>
        <w:t>additional</w:t>
      </w:r>
      <w:r w:rsidRPr="260BA824" w:rsidR="66B476B1">
        <w:rPr>
          <w:rFonts w:ascii="Arial" w:hAnsi="Arial" w:eastAsia="Arial" w:cs="Arial"/>
          <w:u w:val="none"/>
        </w:rPr>
        <w:t xml:space="preserve"> risks for the child.</w:t>
      </w:r>
      <w:r w:rsidRPr="260BA824" w:rsidR="66B476B1">
        <w:rPr>
          <w:rFonts w:ascii="Arial" w:hAnsi="Arial" w:eastAsia="Arial" w:cs="Arial"/>
          <w:u w:val="single"/>
        </w:rPr>
        <w:t xml:space="preserve"> </w:t>
      </w:r>
      <w:r w:rsidRPr="260BA824" w:rsidR="66B476B1">
        <w:rPr>
          <w:rFonts w:ascii="Arial" w:hAnsi="Arial" w:eastAsia="Arial" w:cs="Arial"/>
          <w:u w:val="none"/>
        </w:rPr>
        <w:t xml:space="preserve">Practitioners must navigate this delicate balance carefully to protect the child's welfare without </w:t>
      </w:r>
      <w:r w:rsidRPr="260BA824" w:rsidR="66B476B1">
        <w:rPr>
          <w:rFonts w:ascii="Arial" w:hAnsi="Arial" w:eastAsia="Arial" w:cs="Arial"/>
          <w:u w:val="none"/>
        </w:rPr>
        <w:t>exacerbating</w:t>
      </w:r>
      <w:r w:rsidRPr="260BA824" w:rsidR="66B476B1">
        <w:rPr>
          <w:rFonts w:ascii="Arial" w:hAnsi="Arial" w:eastAsia="Arial" w:cs="Arial"/>
          <w:u w:val="none"/>
        </w:rPr>
        <w:t xml:space="preserve"> the situation. The NSPCC (2022) also shares that </w:t>
      </w:r>
      <w:r w:rsidRPr="260BA824" w:rsidR="33BB1F47">
        <w:rPr>
          <w:rFonts w:ascii="Arial" w:hAnsi="Arial" w:eastAsia="Arial" w:cs="Arial"/>
          <w:u w:val="none"/>
        </w:rPr>
        <w:t>behavioural</w:t>
      </w:r>
      <w:r w:rsidRPr="260BA824" w:rsidR="66B476B1">
        <w:rPr>
          <w:rFonts w:ascii="Arial" w:hAnsi="Arial" w:eastAsia="Arial" w:cs="Arial"/>
          <w:u w:val="none"/>
        </w:rPr>
        <w:t xml:space="preserve"> changes in a child can </w:t>
      </w:r>
      <w:r w:rsidRPr="260BA824" w:rsidR="66B476B1">
        <w:rPr>
          <w:rFonts w:ascii="Arial" w:hAnsi="Arial" w:eastAsia="Arial" w:cs="Arial"/>
          <w:u w:val="none"/>
        </w:rPr>
        <w:t>indicate</w:t>
      </w:r>
      <w:r w:rsidRPr="260BA824" w:rsidR="66B476B1">
        <w:rPr>
          <w:rFonts w:ascii="Arial" w:hAnsi="Arial" w:eastAsia="Arial" w:cs="Arial"/>
          <w:u w:val="none"/>
        </w:rPr>
        <w:t xml:space="preserve"> emotional abuse, which often occurs alongside neglect.</w:t>
      </w:r>
    </w:p>
    <w:p w:rsidR="0CCCA620" w:rsidP="260BA824" w:rsidRDefault="0CCCA620" w14:paraId="4F7DBCD7" w14:textId="610D0C89">
      <w:pPr>
        <w:pStyle w:val="Normal"/>
        <w:rPr>
          <w:rFonts w:ascii="Arial" w:hAnsi="Arial" w:eastAsia="Arial" w:cs="Arial"/>
          <w:u w:val="none"/>
        </w:rPr>
      </w:pPr>
      <w:r w:rsidRPr="260BA824" w:rsidR="66B476B1">
        <w:rPr>
          <w:rFonts w:ascii="Arial" w:hAnsi="Arial" w:eastAsia="Arial" w:cs="Arial"/>
          <w:u w:val="none"/>
        </w:rPr>
        <w:t xml:space="preserve">Under the Children Act (1989), particularly Section 47, any suspicion of child abuse mandates immediate inquiries and </w:t>
      </w:r>
      <w:r w:rsidRPr="260BA824" w:rsidR="66B476B1">
        <w:rPr>
          <w:rFonts w:ascii="Arial" w:hAnsi="Arial" w:eastAsia="Arial" w:cs="Arial"/>
          <w:u w:val="none"/>
        </w:rPr>
        <w:t>appropriate actions</w:t>
      </w:r>
      <w:r w:rsidRPr="260BA824" w:rsidR="66B476B1">
        <w:rPr>
          <w:rFonts w:ascii="Arial" w:hAnsi="Arial" w:eastAsia="Arial" w:cs="Arial"/>
          <w:u w:val="none"/>
        </w:rPr>
        <w:t xml:space="preserve">. The NSPCC (2016a) </w:t>
      </w:r>
      <w:r w:rsidRPr="260BA824" w:rsidR="66B476B1">
        <w:rPr>
          <w:rFonts w:ascii="Arial" w:hAnsi="Arial" w:eastAsia="Arial" w:cs="Arial"/>
          <w:u w:val="none"/>
        </w:rPr>
        <w:t>indicates</w:t>
      </w:r>
      <w:r w:rsidRPr="260BA824" w:rsidR="66B476B1">
        <w:rPr>
          <w:rFonts w:ascii="Arial" w:hAnsi="Arial" w:eastAsia="Arial" w:cs="Arial"/>
          <w:u w:val="none"/>
        </w:rPr>
        <w:t xml:space="preserve"> that while bruising can be a sign of physical abuse, it is also important to consider accidental causes. Nonetheless, vigilance and prompt reporting of any concerns are crucial. Furthermore, anyone who works with children should always see and speak to the child where concerns are raised. As noted in Case Study 1, the teaching assistant asked Joanna about her bruises. The Working Together to Safeguard Children Act (2023) states that practitioners should </w:t>
      </w:r>
      <w:r w:rsidRPr="260BA824" w:rsidR="66B476B1">
        <w:rPr>
          <w:rFonts w:ascii="Arial" w:hAnsi="Arial" w:eastAsia="Arial" w:cs="Arial"/>
          <w:u w:val="none"/>
        </w:rPr>
        <w:t>observe</w:t>
      </w:r>
      <w:r w:rsidRPr="260BA824" w:rsidR="66B476B1">
        <w:rPr>
          <w:rFonts w:ascii="Arial" w:hAnsi="Arial" w:eastAsia="Arial" w:cs="Arial"/>
          <w:u w:val="none"/>
        </w:rPr>
        <w:t xml:space="preserve"> and take the child's views seriously. In compliance with the Equality Act (2010), practitioners should be aware that children may find it difficult to speak out and should create an environment where they feel safe to express themselves.</w:t>
      </w:r>
    </w:p>
    <w:p w:rsidR="0CCCA620" w:rsidP="260BA824" w:rsidRDefault="0CCCA620" w14:paraId="3345CE68" w14:textId="058A9F33">
      <w:pPr>
        <w:pStyle w:val="Normal"/>
        <w:rPr>
          <w:rFonts w:ascii="Arial" w:hAnsi="Arial" w:eastAsia="Arial" w:cs="Arial"/>
          <w:u w:val="single"/>
        </w:rPr>
      </w:pPr>
    </w:p>
    <w:p w:rsidR="0CCCA620" w:rsidP="260BA824" w:rsidRDefault="0CCCA620" w14:paraId="06AED9F6" w14:textId="7B9734B6">
      <w:pPr>
        <w:rPr>
          <w:rFonts w:ascii="Arial" w:hAnsi="Arial" w:eastAsia="Arial" w:cs="Arial"/>
          <w:u w:val="single"/>
        </w:rPr>
      </w:pPr>
    </w:p>
    <w:p w:rsidR="0CCCA620" w:rsidP="260BA824" w:rsidRDefault="0CCCA620" w14:paraId="749041E7" w14:textId="00526F8A">
      <w:pPr>
        <w:pStyle w:val="Normal"/>
        <w:rPr>
          <w:rFonts w:ascii="Arial" w:hAnsi="Arial" w:eastAsia="Arial" w:cs="Arial"/>
          <w:u w:val="single"/>
        </w:rPr>
      </w:pPr>
      <w:r w:rsidRPr="260BA824" w:rsidR="4853103D">
        <w:rPr>
          <w:rFonts w:ascii="Arial" w:hAnsi="Arial" w:eastAsia="Arial" w:cs="Arial"/>
          <w:u w:val="single"/>
        </w:rPr>
        <w:t>Recording and Managing Concerns</w:t>
      </w:r>
    </w:p>
    <w:p w:rsidR="0CCCA620" w:rsidP="260BA824" w:rsidRDefault="0CCCA620" w14:paraId="3C00544A" w14:textId="6424C619">
      <w:pPr>
        <w:pStyle w:val="Normal"/>
        <w:rPr>
          <w:rFonts w:ascii="Arial" w:hAnsi="Arial" w:eastAsia="Arial" w:cs="Arial"/>
          <w:u w:val="none"/>
        </w:rPr>
      </w:pPr>
      <w:r w:rsidRPr="260BA824" w:rsidR="4853103D">
        <w:rPr>
          <w:rFonts w:ascii="Arial" w:hAnsi="Arial" w:eastAsia="Arial" w:cs="Arial"/>
          <w:u w:val="none"/>
        </w:rPr>
        <w:t xml:space="preserve">Accurate and </w:t>
      </w:r>
      <w:r w:rsidRPr="260BA824" w:rsidR="4853103D">
        <w:rPr>
          <w:rFonts w:ascii="Arial" w:hAnsi="Arial" w:eastAsia="Arial" w:cs="Arial"/>
          <w:u w:val="none"/>
        </w:rPr>
        <w:t>timely</w:t>
      </w:r>
      <w:r w:rsidRPr="260BA824" w:rsidR="4853103D">
        <w:rPr>
          <w:rFonts w:ascii="Arial" w:hAnsi="Arial" w:eastAsia="Arial" w:cs="Arial"/>
          <w:u w:val="none"/>
        </w:rPr>
        <w:t xml:space="preserve"> recording of concerns is essential in safeguarding efforts. Swift action enables practitioners to document facts while they are fresh, ensuring the accuracy of information. Research (2022) </w:t>
      </w:r>
      <w:r w:rsidRPr="260BA824" w:rsidR="4853103D">
        <w:rPr>
          <w:rFonts w:ascii="Arial" w:hAnsi="Arial" w:eastAsia="Arial" w:cs="Arial"/>
          <w:u w:val="none"/>
        </w:rPr>
        <w:t>indicates</w:t>
      </w:r>
      <w:r w:rsidRPr="260BA824" w:rsidR="4853103D">
        <w:rPr>
          <w:rFonts w:ascii="Arial" w:hAnsi="Arial" w:eastAsia="Arial" w:cs="Arial"/>
          <w:u w:val="none"/>
        </w:rPr>
        <w:t xml:space="preserve"> that safeguarding records must be relevant, adequate, and clearly understood in terms of their purpose, which, in the context of Case Study 1, is child </w:t>
      </w:r>
      <w:r w:rsidRPr="260BA824" w:rsidR="5D528B2E">
        <w:rPr>
          <w:rFonts w:ascii="Arial" w:hAnsi="Arial" w:eastAsia="Arial" w:cs="Arial"/>
          <w:u w:val="none"/>
        </w:rPr>
        <w:t>protection. According</w:t>
      </w:r>
      <w:r w:rsidRPr="260BA824" w:rsidR="4853103D">
        <w:rPr>
          <w:rFonts w:ascii="Arial" w:hAnsi="Arial" w:eastAsia="Arial" w:cs="Arial"/>
          <w:u w:val="none"/>
        </w:rPr>
        <w:t xml:space="preserve"> to the Data Protection Act (2018), sensitive and confidential information must be securely </w:t>
      </w:r>
      <w:r w:rsidRPr="260BA824" w:rsidR="4853103D">
        <w:rPr>
          <w:rFonts w:ascii="Arial" w:hAnsi="Arial" w:eastAsia="Arial" w:cs="Arial"/>
          <w:u w:val="none"/>
        </w:rPr>
        <w:t>maintained</w:t>
      </w:r>
      <w:r w:rsidRPr="260BA824" w:rsidR="4853103D">
        <w:rPr>
          <w:rFonts w:ascii="Arial" w:hAnsi="Arial" w:eastAsia="Arial" w:cs="Arial"/>
          <w:u w:val="none"/>
        </w:rPr>
        <w:t xml:space="preserve"> and shared only on a need-to-know basis. The Wales Safeguarding Procedures Project Board (2019) further </w:t>
      </w:r>
      <w:r w:rsidRPr="260BA824" w:rsidR="4853103D">
        <w:rPr>
          <w:rFonts w:ascii="Arial" w:hAnsi="Arial" w:eastAsia="Arial" w:cs="Arial"/>
          <w:u w:val="none"/>
        </w:rPr>
        <w:t>advises</w:t>
      </w:r>
      <w:r w:rsidRPr="260BA824" w:rsidR="4853103D">
        <w:rPr>
          <w:rFonts w:ascii="Arial" w:hAnsi="Arial" w:eastAsia="Arial" w:cs="Arial"/>
          <w:u w:val="none"/>
        </w:rPr>
        <w:t xml:space="preserve"> that records should be signed, dated, and written in clear and simple language. Additionally, documentation should be done in pen to prevent alterations.</w:t>
      </w:r>
    </w:p>
    <w:p w:rsidR="0CCCA620" w:rsidP="260BA824" w:rsidRDefault="0CCCA620" w14:paraId="5EE87DF0" w14:textId="516E2393">
      <w:pPr>
        <w:pStyle w:val="Normal"/>
        <w:rPr>
          <w:rFonts w:ascii="Arial" w:hAnsi="Arial" w:eastAsia="Arial" w:cs="Arial"/>
          <w:u w:val="none"/>
        </w:rPr>
      </w:pPr>
    </w:p>
    <w:p w:rsidR="0CCCA620" w:rsidP="260BA824" w:rsidRDefault="0CCCA620" w14:paraId="1AA41B85" w14:textId="5E08B30E">
      <w:pPr>
        <w:pStyle w:val="Normal"/>
        <w:rPr>
          <w:rFonts w:ascii="Arial" w:hAnsi="Arial" w:eastAsia="Arial" w:cs="Arial"/>
          <w:u w:val="none"/>
        </w:rPr>
      </w:pPr>
    </w:p>
    <w:p w:rsidR="0CCCA620" w:rsidP="260BA824" w:rsidRDefault="0CCCA620" w14:paraId="3FCB00FA" w14:textId="307AAD3A">
      <w:pPr>
        <w:pStyle w:val="Normal"/>
        <w:rPr>
          <w:rFonts w:ascii="Arial" w:hAnsi="Arial" w:eastAsia="Arial" w:cs="Arial"/>
          <w:u w:val="none"/>
        </w:rPr>
      </w:pPr>
    </w:p>
    <w:p w:rsidR="0CCCA620" w:rsidP="260BA824" w:rsidRDefault="0CCCA620" w14:paraId="4FECB9F3" w14:textId="1FD9AD52">
      <w:pPr>
        <w:pStyle w:val="Normal"/>
        <w:rPr>
          <w:rFonts w:ascii="Arial" w:hAnsi="Arial" w:eastAsia="Arial" w:cs="Arial"/>
          <w:u w:val="single"/>
        </w:rPr>
      </w:pPr>
      <w:r w:rsidRPr="260BA824" w:rsidR="2DE70AF4">
        <w:rPr>
          <w:rFonts w:ascii="Arial" w:hAnsi="Arial" w:eastAsia="Arial" w:cs="Arial"/>
          <w:u w:val="single"/>
        </w:rPr>
        <w:t>Reporting and Referring</w:t>
      </w:r>
    </w:p>
    <w:p w:rsidR="0CCCA620" w:rsidP="260BA824" w:rsidRDefault="0CCCA620" w14:paraId="53570668" w14:textId="4A9F8189">
      <w:pPr>
        <w:pStyle w:val="Normal"/>
      </w:pPr>
      <w:r w:rsidRPr="260BA824" w:rsidR="2DE70AF4">
        <w:rPr>
          <w:rFonts w:ascii="Arial" w:hAnsi="Arial" w:eastAsia="Arial" w:cs="Arial"/>
          <w:u w:val="none"/>
        </w:rPr>
        <w:t xml:space="preserve">When an individual or agency suspects child abuse, it is crucial to report the matter urgently to the </w:t>
      </w:r>
      <w:r w:rsidRPr="260BA824" w:rsidR="2DE70AF4">
        <w:rPr>
          <w:rFonts w:ascii="Arial" w:hAnsi="Arial" w:eastAsia="Arial" w:cs="Arial"/>
          <w:u w:val="none"/>
        </w:rPr>
        <w:t>appropriate authorities</w:t>
      </w:r>
      <w:r w:rsidRPr="260BA824" w:rsidR="2DE70AF4">
        <w:rPr>
          <w:rFonts w:ascii="Arial" w:hAnsi="Arial" w:eastAsia="Arial" w:cs="Arial"/>
          <w:u w:val="none"/>
        </w:rPr>
        <w:t xml:space="preserve">. The Wales Safeguarding Procedures (2019) provide clear guidance and expectations for practitioners to </w:t>
      </w:r>
      <w:r w:rsidRPr="260BA824" w:rsidR="37F24A9D">
        <w:rPr>
          <w:rFonts w:ascii="Arial" w:hAnsi="Arial" w:eastAsia="Arial" w:cs="Arial"/>
          <w:u w:val="none"/>
        </w:rPr>
        <w:t>fulfil</w:t>
      </w:r>
      <w:r w:rsidRPr="260BA824" w:rsidR="2DE70AF4">
        <w:rPr>
          <w:rFonts w:ascii="Arial" w:hAnsi="Arial" w:eastAsia="Arial" w:cs="Arial"/>
          <w:u w:val="none"/>
        </w:rPr>
        <w:t xml:space="preserve"> their roles and responsibilities in safeguarding children, as outlined in the Social Services and Well-being (Wales) Act </w:t>
      </w:r>
      <w:r w:rsidRPr="260BA824" w:rsidR="0A71A438">
        <w:rPr>
          <w:rFonts w:ascii="Arial" w:hAnsi="Arial" w:eastAsia="Arial" w:cs="Arial"/>
          <w:u w:val="none"/>
        </w:rPr>
        <w:t>(</w:t>
      </w:r>
      <w:r w:rsidRPr="260BA824" w:rsidR="2DE70AF4">
        <w:rPr>
          <w:rFonts w:ascii="Arial" w:hAnsi="Arial" w:eastAsia="Arial" w:cs="Arial"/>
          <w:u w:val="none"/>
        </w:rPr>
        <w:t>2014</w:t>
      </w:r>
      <w:r w:rsidRPr="260BA824" w:rsidR="53266A34">
        <w:rPr>
          <w:rFonts w:ascii="Arial" w:hAnsi="Arial" w:eastAsia="Arial" w:cs="Arial"/>
          <w:u w:val="none"/>
        </w:rPr>
        <w:t>)</w:t>
      </w:r>
      <w:r w:rsidRPr="260BA824" w:rsidR="2DE70AF4">
        <w:rPr>
          <w:rFonts w:ascii="Arial" w:hAnsi="Arial" w:eastAsia="Arial" w:cs="Arial"/>
          <w:u w:val="none"/>
        </w:rPr>
        <w:t>.</w:t>
      </w:r>
    </w:p>
    <w:p w:rsidR="0CCCA620" w:rsidP="260BA824" w:rsidRDefault="0CCCA620" w14:paraId="3209CFBF" w14:textId="1AEBE23C">
      <w:pPr>
        <w:pStyle w:val="Normal"/>
      </w:pPr>
      <w:r w:rsidRPr="260BA824" w:rsidR="2DE70AF4">
        <w:rPr>
          <w:rFonts w:ascii="Arial" w:hAnsi="Arial" w:eastAsia="Arial" w:cs="Arial"/>
          <w:u w:val="none"/>
        </w:rPr>
        <w:t xml:space="preserve">According to gov.uk (n.d.), it is essential to contact the local safeguarding board when reporting safeguarding concerns. However, if a child is believed to be in immediate danger, calling 999 is necessary. Each setting or organization should have a designated safeguarding officer (DSO). According to NSPCC Learning (2020), the DSO is a trusted individual within the setting whom practitioners can approach with their concerns. The DSO helps ensure the right steps are taken for effective safeguarding and </w:t>
      </w:r>
      <w:r w:rsidRPr="260BA824" w:rsidR="2DE70AF4">
        <w:rPr>
          <w:rFonts w:ascii="Arial" w:hAnsi="Arial" w:eastAsia="Arial" w:cs="Arial"/>
          <w:u w:val="none"/>
        </w:rPr>
        <w:t>appropriate action</w:t>
      </w:r>
      <w:r w:rsidRPr="260BA824" w:rsidR="2DE70AF4">
        <w:rPr>
          <w:rFonts w:ascii="Arial" w:hAnsi="Arial" w:eastAsia="Arial" w:cs="Arial"/>
          <w:u w:val="none"/>
        </w:rPr>
        <w:t xml:space="preserve"> is implemented.</w:t>
      </w:r>
    </w:p>
    <w:p w:rsidR="0CCCA620" w:rsidP="260BA824" w:rsidRDefault="0CCCA620" w14:paraId="0216013A" w14:textId="763F3ECC">
      <w:pPr>
        <w:pStyle w:val="Normal"/>
      </w:pPr>
      <w:r w:rsidRPr="260BA824" w:rsidR="2DE70AF4">
        <w:rPr>
          <w:rFonts w:ascii="Arial" w:hAnsi="Arial" w:eastAsia="Arial" w:cs="Arial"/>
          <w:u w:val="none"/>
        </w:rPr>
        <w:t>However, safeguarding children is everyone's responsibility. In the absence of the DSO, another qualified individual must step in to ensure that the necessary actions are taken to protect the child.</w:t>
      </w:r>
    </w:p>
    <w:p w:rsidR="0CCCA620" w:rsidP="260BA824" w:rsidRDefault="0CCCA620" w14:paraId="70282887" w14:textId="3C9FCB8A">
      <w:pPr>
        <w:pStyle w:val="Normal"/>
      </w:pPr>
      <w:r w:rsidRPr="260BA824" w:rsidR="2DE70AF4">
        <w:rPr>
          <w:rFonts w:ascii="Arial" w:hAnsi="Arial" w:eastAsia="Arial" w:cs="Arial"/>
          <w:u w:val="none"/>
        </w:rPr>
        <w:t xml:space="preserve">Section 3, parts one and two of the Wales Safeguarding Procedures (2019), state that when a report is made to the regional safeguarding board, the relevant social services team must decide on the action they will take within one working day. If these checks </w:t>
      </w:r>
      <w:r w:rsidRPr="260BA824" w:rsidR="2DE70AF4">
        <w:rPr>
          <w:rFonts w:ascii="Arial" w:hAnsi="Arial" w:eastAsia="Arial" w:cs="Arial"/>
          <w:u w:val="none"/>
        </w:rPr>
        <w:t>indicate</w:t>
      </w:r>
      <w:r w:rsidRPr="260BA824" w:rsidR="2DE70AF4">
        <w:rPr>
          <w:rFonts w:ascii="Arial" w:hAnsi="Arial" w:eastAsia="Arial" w:cs="Arial"/>
          <w:u w:val="none"/>
        </w:rPr>
        <w:t xml:space="preserve"> harm, it may require a Section 47 inquiry under the Children Act (1989), which mandates gathering information from all professionals involved. This highlights the importance of correct and </w:t>
      </w:r>
      <w:r w:rsidRPr="260BA824" w:rsidR="2DE70AF4">
        <w:rPr>
          <w:rFonts w:ascii="Arial" w:hAnsi="Arial" w:eastAsia="Arial" w:cs="Arial"/>
          <w:u w:val="none"/>
        </w:rPr>
        <w:t>accurate</w:t>
      </w:r>
      <w:r w:rsidRPr="260BA824" w:rsidR="2DE70AF4">
        <w:rPr>
          <w:rFonts w:ascii="Arial" w:hAnsi="Arial" w:eastAsia="Arial" w:cs="Arial"/>
          <w:u w:val="none"/>
        </w:rPr>
        <w:t xml:space="preserve"> documentation from the setting or the first person with concerns. If the inquiries </w:t>
      </w:r>
      <w:r w:rsidRPr="260BA824" w:rsidR="2DE70AF4">
        <w:rPr>
          <w:rFonts w:ascii="Arial" w:hAnsi="Arial" w:eastAsia="Arial" w:cs="Arial"/>
          <w:u w:val="none"/>
        </w:rPr>
        <w:t>determine</w:t>
      </w:r>
      <w:r w:rsidRPr="260BA824" w:rsidR="2DE70AF4">
        <w:rPr>
          <w:rFonts w:ascii="Arial" w:hAnsi="Arial" w:eastAsia="Arial" w:cs="Arial"/>
          <w:u w:val="none"/>
        </w:rPr>
        <w:t xml:space="preserve"> that the child is at risk, a multi-agency meeting will occur, and plans to protect the child will be put into place.</w:t>
      </w:r>
    </w:p>
    <w:p w:rsidR="0CCCA620" w:rsidP="260BA824" w:rsidRDefault="0CCCA620" w14:paraId="3F95802E" w14:textId="6E8948C5">
      <w:pPr>
        <w:pStyle w:val="Normal"/>
        <w:rPr>
          <w:rFonts w:ascii="Arial" w:hAnsi="Arial" w:eastAsia="Arial" w:cs="Arial"/>
          <w:u w:val="none"/>
        </w:rPr>
      </w:pPr>
      <w:r w:rsidRPr="260BA824" w:rsidR="7F20941C">
        <w:rPr>
          <w:rFonts w:ascii="Arial" w:hAnsi="Arial" w:eastAsia="Arial" w:cs="Arial"/>
          <w:u w:val="none"/>
        </w:rPr>
        <w:t xml:space="preserve">When a practitioner makes a referral, it enables relevant and different agencies to share information efficiently. According to </w:t>
      </w:r>
      <w:r w:rsidRPr="260BA824" w:rsidR="7F20941C">
        <w:rPr>
          <w:rFonts w:ascii="Arial" w:hAnsi="Arial" w:eastAsia="Arial" w:cs="Arial"/>
          <w:u w:val="none"/>
        </w:rPr>
        <w:t>Kdk</w:t>
      </w:r>
      <w:r w:rsidRPr="260BA824" w:rsidR="7F20941C">
        <w:rPr>
          <w:rFonts w:ascii="Arial" w:hAnsi="Arial" w:eastAsia="Arial" w:cs="Arial"/>
          <w:u w:val="none"/>
        </w:rPr>
        <w:t xml:space="preserve"> (n.d.), the Multi-Agency Safeguarding Hub (MASH) is a safeguarding hub that </w:t>
      </w:r>
      <w:r w:rsidRPr="260BA824" w:rsidR="7F20941C">
        <w:rPr>
          <w:rFonts w:ascii="Arial" w:hAnsi="Arial" w:eastAsia="Arial" w:cs="Arial"/>
          <w:u w:val="none"/>
        </w:rPr>
        <w:t>facilitates</w:t>
      </w:r>
      <w:r w:rsidRPr="260BA824" w:rsidR="7F20941C">
        <w:rPr>
          <w:rFonts w:ascii="Arial" w:hAnsi="Arial" w:eastAsia="Arial" w:cs="Arial"/>
          <w:u w:val="none"/>
        </w:rPr>
        <w:t xml:space="preserve"> rapid information sharing among various agencies. This system allows organizations to gather necessary information quickly and appropriately. Urgent referrals are addressed within hours, while non-urgent referrals are reviewed within three days. This prompt response system helps vulnerable children receive swift attention and care tailored to their needs.</w:t>
      </w:r>
    </w:p>
    <w:p w:rsidR="0CCCA620" w:rsidP="260BA824" w:rsidRDefault="0CCCA620" w14:paraId="6B4DB436" w14:textId="42D38535">
      <w:pPr>
        <w:pStyle w:val="Normal"/>
        <w:rPr>
          <w:rFonts w:ascii="Arial" w:hAnsi="Arial" w:eastAsia="Arial" w:cs="Arial"/>
          <w:u w:val="none"/>
        </w:rPr>
      </w:pPr>
    </w:p>
    <w:p w:rsidR="0CCCA620" w:rsidP="260BA824" w:rsidRDefault="0CCCA620" w14:paraId="5F5CADFF" w14:textId="3BCC7A85">
      <w:pPr>
        <w:pStyle w:val="Normal"/>
        <w:rPr>
          <w:rFonts w:ascii="Arial" w:hAnsi="Arial" w:eastAsia="Arial" w:cs="Arial"/>
          <w:u w:val="none"/>
        </w:rPr>
      </w:pPr>
    </w:p>
    <w:p w:rsidR="0CCCA620" w:rsidP="260BA824" w:rsidRDefault="0CCCA620" w14:paraId="2EDC1E18" w14:textId="71F38D89">
      <w:pPr>
        <w:pStyle w:val="Normal"/>
        <w:rPr>
          <w:rFonts w:ascii="Arial" w:hAnsi="Arial" w:eastAsia="Arial" w:cs="Arial"/>
          <w:u w:val="none"/>
        </w:rPr>
      </w:pPr>
      <w:r w:rsidRPr="260BA824" w:rsidR="71186662">
        <w:rPr>
          <w:rFonts w:ascii="Arial" w:hAnsi="Arial" w:eastAsia="Arial" w:cs="Arial"/>
          <w:u w:val="none"/>
        </w:rPr>
        <w:t xml:space="preserve">When making referrals, it is crucial for early years practitioners, as specified in the Working Together to Safeguard Children Act (2023), to avoid </w:t>
      </w:r>
      <w:bookmarkStart w:name="_Int_ITqxsVT8" w:id="1280523555"/>
      <w:r w:rsidRPr="260BA824" w:rsidR="71186662">
        <w:rPr>
          <w:rFonts w:ascii="Arial" w:hAnsi="Arial" w:eastAsia="Arial" w:cs="Arial"/>
          <w:u w:val="none"/>
        </w:rPr>
        <w:t>assuming that</w:t>
      </w:r>
      <w:bookmarkEnd w:id="1280523555"/>
      <w:r w:rsidRPr="260BA824" w:rsidR="71186662">
        <w:rPr>
          <w:rFonts w:ascii="Arial" w:hAnsi="Arial" w:eastAsia="Arial" w:cs="Arial"/>
          <w:u w:val="none"/>
        </w:rPr>
        <w:t xml:space="preserve"> someone else will relay critical information necessary for a child's safety. Practitioners must never withhold information and should ensure it is shared with the relevant agencies. According to the Data Protection Act (2018), while the General Data Protection Regulation (GDPR) provides guidelines on sharing information, obtaining permission is not always </w:t>
      </w:r>
      <w:r w:rsidRPr="260BA824" w:rsidR="71186662">
        <w:rPr>
          <w:rFonts w:ascii="Arial" w:hAnsi="Arial" w:eastAsia="Arial" w:cs="Arial"/>
          <w:u w:val="none"/>
        </w:rPr>
        <w:t>required</w:t>
      </w:r>
      <w:r w:rsidRPr="260BA824" w:rsidR="71186662">
        <w:rPr>
          <w:rFonts w:ascii="Arial" w:hAnsi="Arial" w:eastAsia="Arial" w:cs="Arial"/>
          <w:u w:val="none"/>
        </w:rPr>
        <w:t xml:space="preserve"> when dealing with safeguarding concerns. Practitioners must be well-versed in the relevant laws and adhere to the principles of data sharing to protect children effectively.</w:t>
      </w:r>
    </w:p>
    <w:p w:rsidR="0CCCA620" w:rsidP="260BA824" w:rsidRDefault="0CCCA620" w14:paraId="5DB7A41D" w14:textId="132858AA">
      <w:pPr>
        <w:pStyle w:val="Normal"/>
        <w:rPr>
          <w:rFonts w:ascii="Arial" w:hAnsi="Arial" w:eastAsia="Arial" w:cs="Arial"/>
          <w:u w:val="none"/>
        </w:rPr>
      </w:pPr>
      <w:r w:rsidRPr="260BA824" w:rsidR="71186662">
        <w:rPr>
          <w:rFonts w:ascii="Arial" w:hAnsi="Arial" w:eastAsia="Arial" w:cs="Arial"/>
          <w:u w:val="none"/>
        </w:rPr>
        <w:t xml:space="preserve">Lord Laming (2023) emphasized that </w:t>
      </w:r>
      <w:r w:rsidRPr="260BA824" w:rsidR="71186662">
        <w:rPr>
          <w:rFonts w:ascii="Arial" w:hAnsi="Arial" w:eastAsia="Arial" w:cs="Arial"/>
          <w:u w:val="none"/>
        </w:rPr>
        <w:t>failing to report</w:t>
      </w:r>
      <w:r w:rsidRPr="260BA824" w:rsidR="71186662">
        <w:rPr>
          <w:rFonts w:ascii="Arial" w:hAnsi="Arial" w:eastAsia="Arial" w:cs="Arial"/>
          <w:u w:val="none"/>
        </w:rPr>
        <w:t xml:space="preserve"> and share information can lead to </w:t>
      </w:r>
      <w:r w:rsidRPr="260BA824" w:rsidR="7A89FB0A">
        <w:rPr>
          <w:rFonts w:ascii="Arial" w:hAnsi="Arial" w:eastAsia="Arial" w:cs="Arial"/>
          <w:u w:val="none"/>
        </w:rPr>
        <w:t>profound consequences</w:t>
      </w:r>
      <w:r w:rsidRPr="260BA824" w:rsidR="71186662">
        <w:rPr>
          <w:rFonts w:ascii="Arial" w:hAnsi="Arial" w:eastAsia="Arial" w:cs="Arial"/>
          <w:u w:val="none"/>
        </w:rPr>
        <w:t xml:space="preserve"> for a child, as illustrated by the Victoria Climbié case. Withholding or not sharing information can impede the flow of vital data, thereby delaying necessary actions. The Munro </w:t>
      </w:r>
      <w:r w:rsidRPr="260BA824" w:rsidR="2994490C">
        <w:rPr>
          <w:rFonts w:ascii="Arial" w:hAnsi="Arial" w:eastAsia="Arial" w:cs="Arial"/>
          <w:u w:val="none"/>
        </w:rPr>
        <w:t>Report,</w:t>
      </w:r>
      <w:r w:rsidRPr="260BA824" w:rsidR="23D7A563">
        <w:rPr>
          <w:rFonts w:ascii="Arial" w:hAnsi="Arial" w:eastAsia="Arial" w:cs="Arial"/>
          <w:u w:val="none"/>
        </w:rPr>
        <w:t xml:space="preserve"> </w:t>
      </w:r>
      <w:r w:rsidRPr="260BA824" w:rsidR="23D7A563">
        <w:rPr>
          <w:rFonts w:ascii="Arial" w:hAnsi="Arial" w:eastAsia="Arial" w:cs="Arial"/>
          <w:u w:val="none"/>
        </w:rPr>
        <w:t>stated</w:t>
      </w:r>
      <w:r w:rsidRPr="260BA824" w:rsidR="23D7A563">
        <w:rPr>
          <w:rFonts w:ascii="Arial" w:hAnsi="Arial" w:eastAsia="Arial" w:cs="Arial"/>
          <w:u w:val="none"/>
        </w:rPr>
        <w:t xml:space="preserve"> by the </w:t>
      </w:r>
      <w:r w:rsidRPr="260BA824" w:rsidR="64E9D15C">
        <w:rPr>
          <w:rFonts w:ascii="Arial" w:hAnsi="Arial" w:eastAsia="Arial" w:cs="Arial"/>
          <w:u w:val="none"/>
        </w:rPr>
        <w:t>department</w:t>
      </w:r>
      <w:r w:rsidRPr="260BA824" w:rsidR="23D7A563">
        <w:rPr>
          <w:rFonts w:ascii="Arial" w:hAnsi="Arial" w:eastAsia="Arial" w:cs="Arial"/>
          <w:u w:val="none"/>
        </w:rPr>
        <w:t xml:space="preserve"> of </w:t>
      </w:r>
      <w:r w:rsidRPr="260BA824" w:rsidR="4C8929FA">
        <w:rPr>
          <w:rFonts w:ascii="Arial" w:hAnsi="Arial" w:eastAsia="Arial" w:cs="Arial"/>
          <w:u w:val="none"/>
        </w:rPr>
        <w:t>education (</w:t>
      </w:r>
      <w:r w:rsidRPr="260BA824" w:rsidR="4E125A73">
        <w:rPr>
          <w:rFonts w:ascii="Arial" w:hAnsi="Arial" w:eastAsia="Arial" w:cs="Arial"/>
          <w:u w:val="none"/>
        </w:rPr>
        <w:t>2011</w:t>
      </w:r>
      <w:r w:rsidRPr="260BA824" w:rsidR="71186662">
        <w:rPr>
          <w:rFonts w:ascii="Arial" w:hAnsi="Arial" w:eastAsia="Arial" w:cs="Arial"/>
          <w:u w:val="none"/>
        </w:rPr>
        <w:t>) highlighted that efficient processing times and prompt responses are essential for safeguarding children. Delays in sharing information can have detrimental effects on child protection efforts.</w:t>
      </w:r>
    </w:p>
    <w:p w:rsidR="0CCCA620" w:rsidP="260BA824" w:rsidRDefault="0CCCA620" w14:paraId="3E2FA56B" w14:textId="21A728DE">
      <w:pPr>
        <w:pStyle w:val="Normal"/>
      </w:pPr>
      <w:r w:rsidRPr="260BA824" w:rsidR="71186662">
        <w:rPr>
          <w:rFonts w:ascii="Arial" w:hAnsi="Arial" w:eastAsia="Arial" w:cs="Arial"/>
          <w:u w:val="none"/>
        </w:rPr>
        <w:t>Everyone involved in safeguarding children must receive proper training to recognize signs of abuse and ensure effective inter-agency collaboration. Poor inter-agency work can significantly hinder the safeguarding process, making comprehensive training and awareness critical for all practitioners.</w:t>
      </w:r>
    </w:p>
    <w:p w:rsidR="0CCCA620" w:rsidP="260BA824" w:rsidRDefault="0CCCA620" w14:paraId="7C7EF26F" w14:textId="51CC08D1">
      <w:pPr>
        <w:pStyle w:val="Normal"/>
        <w:rPr>
          <w:rFonts w:ascii="Arial" w:hAnsi="Arial" w:eastAsia="Arial" w:cs="Arial"/>
          <w:u w:val="none"/>
        </w:rPr>
      </w:pPr>
      <w:r w:rsidRPr="260BA824" w:rsidR="09E6C524">
        <w:rPr>
          <w:rFonts w:ascii="Arial" w:hAnsi="Arial" w:eastAsia="Arial" w:cs="Arial"/>
          <w:u w:val="none"/>
        </w:rPr>
        <w:t xml:space="preserve">When a practitioner makes a referral, it is essential to provide clear and detailed information about the child. The practitioner should </w:t>
      </w:r>
      <w:r w:rsidRPr="260BA824" w:rsidR="09E6C524">
        <w:rPr>
          <w:rFonts w:ascii="Arial" w:hAnsi="Arial" w:eastAsia="Arial" w:cs="Arial"/>
          <w:u w:val="none"/>
        </w:rPr>
        <w:t>identify</w:t>
      </w:r>
      <w:r w:rsidRPr="260BA824" w:rsidR="09E6C524">
        <w:rPr>
          <w:rFonts w:ascii="Arial" w:hAnsi="Arial" w:eastAsia="Arial" w:cs="Arial"/>
          <w:u w:val="none"/>
        </w:rPr>
        <w:t xml:space="preserve"> the child by name and record the date and time of any abuse disclosure, using the exact language the child used. If no direct disclosure was made, the practitioner must document their observations and reasons for suspecting harm, noting when these observations were made. Adopting a child-centred approach, as emphasized in the Social Services and Well-being Act (2014), is crucial. Practitioners should always prioritize the rights of the child, aligning their actions with the Rights of Children and Young Persons (Wales) Measure </w:t>
      </w:r>
      <w:r w:rsidRPr="260BA824" w:rsidR="45FFFE26">
        <w:rPr>
          <w:rFonts w:ascii="Arial" w:hAnsi="Arial" w:eastAsia="Arial" w:cs="Arial"/>
          <w:u w:val="none"/>
        </w:rPr>
        <w:t>(</w:t>
      </w:r>
      <w:r w:rsidRPr="260BA824" w:rsidR="09E6C524">
        <w:rPr>
          <w:rFonts w:ascii="Arial" w:hAnsi="Arial" w:eastAsia="Arial" w:cs="Arial"/>
          <w:u w:val="none"/>
        </w:rPr>
        <w:t>2011</w:t>
      </w:r>
      <w:r w:rsidRPr="260BA824" w:rsidR="706DDDEA">
        <w:rPr>
          <w:rFonts w:ascii="Arial" w:hAnsi="Arial" w:eastAsia="Arial" w:cs="Arial"/>
          <w:u w:val="none"/>
        </w:rPr>
        <w:t>)</w:t>
      </w:r>
      <w:r w:rsidRPr="260BA824" w:rsidR="09E6C524">
        <w:rPr>
          <w:rFonts w:ascii="Arial" w:hAnsi="Arial" w:eastAsia="Arial" w:cs="Arial"/>
          <w:u w:val="none"/>
        </w:rPr>
        <w:t>, ensuring that the child's well-being and protection are at the forefront of any referral or intervention.</w:t>
      </w:r>
    </w:p>
    <w:p w:rsidR="0CCCA620" w:rsidP="260BA824" w:rsidRDefault="0CCCA620" w14:paraId="66C05D6E" w14:textId="182A6537">
      <w:pPr>
        <w:pStyle w:val="Normal"/>
        <w:rPr>
          <w:rFonts w:ascii="Arial" w:hAnsi="Arial" w:eastAsia="Arial" w:cs="Arial"/>
          <w:u w:val="none"/>
        </w:rPr>
      </w:pPr>
    </w:p>
    <w:p w:rsidR="0CCCA620" w:rsidP="260BA824" w:rsidRDefault="0CCCA620" w14:paraId="4362426F" w14:textId="4A200CA5">
      <w:pPr>
        <w:pStyle w:val="Normal"/>
        <w:rPr>
          <w:rFonts w:ascii="Arial" w:hAnsi="Arial" w:eastAsia="Arial" w:cs="Arial"/>
          <w:u w:val="none"/>
        </w:rPr>
      </w:pPr>
    </w:p>
    <w:p w:rsidR="0CCCA620" w:rsidP="260BA824" w:rsidRDefault="0CCCA620" w14:paraId="2B2BDFFE" w14:textId="01E1EC5F">
      <w:pPr>
        <w:pStyle w:val="Normal"/>
        <w:rPr>
          <w:rFonts w:ascii="Arial" w:hAnsi="Arial" w:eastAsia="Arial" w:cs="Arial"/>
          <w:u w:val="none"/>
        </w:rPr>
      </w:pPr>
    </w:p>
    <w:p w:rsidR="0CCCA620" w:rsidP="260BA824" w:rsidRDefault="0CCCA620" w14:paraId="56FF0C9A" w14:textId="1D2CE95F">
      <w:pPr>
        <w:pStyle w:val="Normal"/>
        <w:rPr>
          <w:rFonts w:ascii="Arial" w:hAnsi="Arial" w:eastAsia="Arial" w:cs="Arial"/>
          <w:u w:val="none"/>
        </w:rPr>
      </w:pPr>
    </w:p>
    <w:p w:rsidR="0CCCA620" w:rsidP="260BA824" w:rsidRDefault="0CCCA620" w14:paraId="1AFA292F" w14:textId="1F432797">
      <w:pPr>
        <w:pStyle w:val="Normal"/>
        <w:rPr>
          <w:rFonts w:ascii="Arial" w:hAnsi="Arial" w:eastAsia="Arial" w:cs="Arial"/>
          <w:u w:val="none"/>
        </w:rPr>
      </w:pPr>
    </w:p>
    <w:p w:rsidR="0CCCA620" w:rsidP="260BA824" w:rsidRDefault="0CCCA620" w14:paraId="07AC6CB3" w14:textId="2A43967C">
      <w:pPr>
        <w:pStyle w:val="Normal"/>
        <w:rPr>
          <w:rFonts w:ascii="Arial" w:hAnsi="Arial" w:eastAsia="Arial" w:cs="Arial"/>
          <w:u w:val="single"/>
        </w:rPr>
      </w:pPr>
    </w:p>
    <w:p w:rsidR="0CCCA620" w:rsidP="260BA824" w:rsidRDefault="0CCCA620" w14:paraId="6DD99067" w14:textId="670DCB96">
      <w:pPr>
        <w:pStyle w:val="Normal"/>
        <w:rPr>
          <w:rFonts w:ascii="Arial" w:hAnsi="Arial" w:eastAsia="Arial" w:cs="Arial"/>
          <w:u w:val="single"/>
        </w:rPr>
      </w:pPr>
      <w:r w:rsidRPr="260BA824" w:rsidR="2E60392B">
        <w:rPr>
          <w:rFonts w:ascii="Arial" w:hAnsi="Arial" w:eastAsia="Arial" w:cs="Arial"/>
          <w:u w:val="single"/>
        </w:rPr>
        <w:t xml:space="preserve">Settings roles and </w:t>
      </w:r>
      <w:r w:rsidRPr="260BA824" w:rsidR="732B0224">
        <w:rPr>
          <w:rFonts w:ascii="Arial" w:hAnsi="Arial" w:eastAsia="Arial" w:cs="Arial"/>
          <w:u w:val="single"/>
        </w:rPr>
        <w:t>re</w:t>
      </w:r>
      <w:r w:rsidRPr="260BA824" w:rsidR="12CDD553">
        <w:rPr>
          <w:rFonts w:ascii="Arial" w:hAnsi="Arial" w:eastAsia="Arial" w:cs="Arial"/>
          <w:u w:val="single"/>
        </w:rPr>
        <w:t>sp</w:t>
      </w:r>
      <w:r w:rsidRPr="260BA824" w:rsidR="732B0224">
        <w:rPr>
          <w:rFonts w:ascii="Arial" w:hAnsi="Arial" w:eastAsia="Arial" w:cs="Arial"/>
          <w:u w:val="single"/>
        </w:rPr>
        <w:t>onsibilities</w:t>
      </w:r>
      <w:r w:rsidRPr="260BA824" w:rsidR="2E60392B">
        <w:rPr>
          <w:rFonts w:ascii="Arial" w:hAnsi="Arial" w:eastAsia="Arial" w:cs="Arial"/>
          <w:u w:val="single"/>
        </w:rPr>
        <w:t>.</w:t>
      </w:r>
    </w:p>
    <w:p w:rsidR="0CCCA620" w:rsidP="260BA824" w:rsidRDefault="0CCCA620" w14:paraId="250A5AF3" w14:textId="2CC1A912">
      <w:pPr>
        <w:pStyle w:val="Normal"/>
        <w:rPr>
          <w:rFonts w:ascii="Arial" w:hAnsi="Arial" w:eastAsia="Arial" w:cs="Arial"/>
          <w:u w:val="none"/>
        </w:rPr>
      </w:pPr>
      <w:r w:rsidRPr="260BA824" w:rsidR="5EA266A2">
        <w:rPr>
          <w:rFonts w:ascii="Arial" w:hAnsi="Arial" w:eastAsia="Arial" w:cs="Arial"/>
          <w:u w:val="none"/>
        </w:rPr>
        <w:t>Educational settings have a vital role in safeguarding every child in their care. It is essential for all individuals working in these settings to have an up-to-date Enhanced Disclosure and Barring Service (DBS) check. According to gov.uk (n.d.), anyone working with children must have this enhanced check, which is in line with the Protection of Freedoms Act (2012). This Act updated the original CRB checks to be more comprehensive and to use a transferable system.</w:t>
      </w:r>
    </w:p>
    <w:p w:rsidR="0CCCA620" w:rsidP="260BA824" w:rsidRDefault="0CCCA620" w14:paraId="24B5F786" w14:textId="7094E8AA">
      <w:pPr>
        <w:pStyle w:val="Normal"/>
      </w:pPr>
      <w:r w:rsidRPr="260BA824" w:rsidR="5EA266A2">
        <w:rPr>
          <w:rFonts w:ascii="Arial" w:hAnsi="Arial" w:eastAsia="Arial" w:cs="Arial"/>
          <w:u w:val="none"/>
        </w:rPr>
        <w:t>In accordance with</w:t>
      </w:r>
      <w:r w:rsidRPr="260BA824" w:rsidR="5EA266A2">
        <w:rPr>
          <w:rFonts w:ascii="Arial" w:hAnsi="Arial" w:eastAsia="Arial" w:cs="Arial"/>
          <w:u w:val="none"/>
        </w:rPr>
        <w:t xml:space="preserve"> the Social Services and Well-being Act (2014), educational settings should adopt a child-</w:t>
      </w:r>
      <w:r w:rsidRPr="260BA824" w:rsidR="5EA266A2">
        <w:rPr>
          <w:rFonts w:ascii="Arial" w:hAnsi="Arial" w:eastAsia="Arial" w:cs="Arial"/>
          <w:u w:val="none"/>
        </w:rPr>
        <w:t>centred</w:t>
      </w:r>
      <w:r w:rsidRPr="260BA824" w:rsidR="5EA266A2">
        <w:rPr>
          <w:rFonts w:ascii="Arial" w:hAnsi="Arial" w:eastAsia="Arial" w:cs="Arial"/>
          <w:u w:val="none"/>
        </w:rPr>
        <w:t xml:space="preserve"> approach and be well-versed in the rights of children as outlined in the United Nations Convention on the Rights of the Child (UNCRC) (1989). They must also be aware of all statutory requirements related to child protection.</w:t>
      </w:r>
    </w:p>
    <w:p w:rsidR="0CCCA620" w:rsidP="260BA824" w:rsidRDefault="0CCCA620" w14:paraId="5E975A5B" w14:textId="0636AD4C">
      <w:pPr>
        <w:pStyle w:val="Normal"/>
      </w:pPr>
      <w:r w:rsidRPr="260BA824" w:rsidR="5EA266A2">
        <w:rPr>
          <w:rFonts w:ascii="Arial" w:hAnsi="Arial" w:eastAsia="Arial" w:cs="Arial"/>
          <w:u w:val="none"/>
        </w:rPr>
        <w:t xml:space="preserve">To effectively safeguard children, practitioners and educational settings should consistently reflect on their practices. McKeown and Yeung (2022) emphasize the importance of regular reflection, teamwork, and open discussions on how to ensure the setting is </w:t>
      </w:r>
      <w:r w:rsidRPr="260BA824" w:rsidR="5EA266A2">
        <w:rPr>
          <w:rFonts w:ascii="Arial" w:hAnsi="Arial" w:eastAsia="Arial" w:cs="Arial"/>
          <w:u w:val="none"/>
        </w:rPr>
        <w:t>centred</w:t>
      </w:r>
      <w:r w:rsidRPr="260BA824" w:rsidR="5EA266A2">
        <w:rPr>
          <w:rFonts w:ascii="Arial" w:hAnsi="Arial" w:eastAsia="Arial" w:cs="Arial"/>
          <w:u w:val="none"/>
        </w:rPr>
        <w:t xml:space="preserve"> around the rights of the child. This reflective practice is crucial for continuous improvement and for creating an environment that prioritizes the well-being and rights of children.</w:t>
      </w:r>
    </w:p>
    <w:p w:rsidR="0CCCA620" w:rsidP="260BA824" w:rsidRDefault="0CCCA620" w14:paraId="725389ED" w14:textId="114BD79D">
      <w:pPr>
        <w:pStyle w:val="Normal"/>
        <w:rPr>
          <w:rFonts w:ascii="Arial" w:hAnsi="Arial" w:eastAsia="Arial" w:cs="Arial"/>
          <w:u w:val="none"/>
        </w:rPr>
      </w:pPr>
      <w:r w:rsidRPr="260BA824" w:rsidR="266F2CE9">
        <w:rPr>
          <w:rFonts w:ascii="Arial" w:hAnsi="Arial" w:eastAsia="Arial" w:cs="Arial"/>
          <w:u w:val="none"/>
        </w:rPr>
        <w:t xml:space="preserve">Promoting a child's self-esteem and independence is crucial, as Article 13 of the </w:t>
      </w:r>
      <w:r w:rsidRPr="260BA824" w:rsidR="6C6E5307">
        <w:rPr>
          <w:rFonts w:ascii="Arial" w:hAnsi="Arial" w:eastAsia="Arial" w:cs="Arial"/>
          <w:u w:val="none"/>
        </w:rPr>
        <w:t>UNCRC (</w:t>
      </w:r>
      <w:r w:rsidRPr="260BA824" w:rsidR="6C6E5307">
        <w:rPr>
          <w:rFonts w:ascii="Arial" w:hAnsi="Arial" w:eastAsia="Arial" w:cs="Arial"/>
          <w:u w:val="none"/>
        </w:rPr>
        <w:t>1989)</w:t>
      </w:r>
      <w:r w:rsidRPr="260BA824" w:rsidR="266F2CE9">
        <w:rPr>
          <w:rFonts w:ascii="Arial" w:hAnsi="Arial" w:eastAsia="Arial" w:cs="Arial"/>
          <w:u w:val="none"/>
        </w:rPr>
        <w:t xml:space="preserve"> states that every child has the right to express themselves and have a voice. Cerino (2021) emphasizes that practitioners should design environments that cater to a child's need for independence. When children can express their potential, it satisfies their desire for independence and enhances their well-being. For example, a forest school setting allows children to express themselves freely, promoting both their independence and overall well-being. Ahmed (2023) highlights Montessori's philosophy that nurturing environments enable children to feel free, express themselves, and be independent. This approach not only boosts a child's self-esteem but also helps them feel valued.</w:t>
      </w:r>
    </w:p>
    <w:p w:rsidR="0E411329" w:rsidP="260BA824" w:rsidRDefault="0E411329" w14:paraId="182404B1" w14:textId="2E3B0D3D">
      <w:pPr>
        <w:pStyle w:val="Normal"/>
        <w:rPr>
          <w:rFonts w:ascii="Arial" w:hAnsi="Arial" w:eastAsia="Arial" w:cs="Arial"/>
          <w:u w:val="none"/>
        </w:rPr>
      </w:pPr>
      <w:r w:rsidRPr="260BA824" w:rsidR="0E411329">
        <w:rPr>
          <w:rFonts w:ascii="Arial" w:hAnsi="Arial" w:eastAsia="Arial" w:cs="Arial"/>
          <w:u w:val="none"/>
        </w:rPr>
        <w:t>As a setting, it is important to empower children for their health and well-being. The NSPCC (2022) emphasizes that mental health plays a key role in a child's overall well-being, which can be adversely affected by abuse, neglect, family circumstances, and the environment. Therefore, settings should provide a safe and secure space where children feel protected and know they can talk to someone if needed. Creating such an environment helps ensure that children feel supported and valued, which is essential for their mental and emotional health.</w:t>
      </w:r>
    </w:p>
    <w:p w:rsidR="158FACE0" w:rsidP="260BA824" w:rsidRDefault="158FACE0" w14:paraId="38EF916D" w14:textId="4D5EC41A">
      <w:pPr>
        <w:pStyle w:val="Normal"/>
        <w:rPr>
          <w:rFonts w:ascii="Arial" w:hAnsi="Arial" w:eastAsia="Arial" w:cs="Arial"/>
          <w:u w:val="none"/>
        </w:rPr>
      </w:pPr>
      <w:r w:rsidRPr="260BA824" w:rsidR="158FACE0">
        <w:rPr>
          <w:rFonts w:ascii="Arial" w:hAnsi="Arial" w:eastAsia="Arial" w:cs="Arial"/>
          <w:u w:val="none"/>
        </w:rPr>
        <w:t xml:space="preserve">It is essential that settings understand and </w:t>
      </w:r>
      <w:r w:rsidRPr="260BA824" w:rsidR="158FACE0">
        <w:rPr>
          <w:rFonts w:ascii="Arial" w:hAnsi="Arial" w:eastAsia="Arial" w:cs="Arial"/>
          <w:u w:val="none"/>
        </w:rPr>
        <w:t>maintain</w:t>
      </w:r>
      <w:r w:rsidRPr="260BA824" w:rsidR="158FACE0">
        <w:rPr>
          <w:rFonts w:ascii="Arial" w:hAnsi="Arial" w:eastAsia="Arial" w:cs="Arial"/>
          <w:u w:val="none"/>
        </w:rPr>
        <w:t xml:space="preserve"> their professional boundaries. According to the Care Standards Act (2000), it is important to ensure consistent care across services when working with children. Care Council Wales (2016) emphasizes that the relationship between early years practitioners (EYPs) and children should focus on promoting the child's well-being and be based on a thorough understanding of their needs. This professional relationship is crucial for providing consistent, high-quality care that supports each child's development and safety.</w:t>
      </w:r>
    </w:p>
    <w:p w:rsidR="25A0D96A" w:rsidP="260BA824" w:rsidRDefault="25A0D96A" w14:paraId="1B3C60A4" w14:textId="0D6DEE95">
      <w:pPr>
        <w:pStyle w:val="Normal"/>
        <w:rPr>
          <w:rFonts w:ascii="Arial" w:hAnsi="Arial" w:eastAsia="Arial" w:cs="Arial"/>
          <w:u w:val="none"/>
        </w:rPr>
      </w:pPr>
      <w:r w:rsidRPr="260BA824" w:rsidR="25A0D96A">
        <w:rPr>
          <w:rFonts w:ascii="Arial" w:hAnsi="Arial" w:eastAsia="Arial" w:cs="Arial"/>
          <w:u w:val="none"/>
        </w:rPr>
        <w:t xml:space="preserve">In conclusion, ensuring the safety and well-being of children within educational settings requires a comprehensive and consistent approach. Adhering to legal standards such as the Care Standards Act (2000) and guidelines from authoritative bodies like Care Council Wales is essential. Practitioners must foster environments that promote independence, self-esteem, and open communication, aligning with principles from the UNCRC and best practices highlighted by experts. By </w:t>
      </w:r>
      <w:r w:rsidRPr="260BA824" w:rsidR="25A0D96A">
        <w:rPr>
          <w:rFonts w:ascii="Arial" w:hAnsi="Arial" w:eastAsia="Arial" w:cs="Arial"/>
          <w:u w:val="none"/>
        </w:rPr>
        <w:t>maintaining</w:t>
      </w:r>
      <w:r w:rsidRPr="260BA824" w:rsidR="25A0D96A">
        <w:rPr>
          <w:rFonts w:ascii="Arial" w:hAnsi="Arial" w:eastAsia="Arial" w:cs="Arial"/>
          <w:u w:val="none"/>
        </w:rPr>
        <w:t xml:space="preserve"> professional boundaries and providing a supportive, secure space, settings can significantly contribute to the mental and emotional well-being of every child in their care.</w:t>
      </w:r>
    </w:p>
    <w:p w:rsidR="260BA824" w:rsidP="260BA824" w:rsidRDefault="260BA824" w14:paraId="4A5D5774" w14:textId="4AF695CB">
      <w:pPr>
        <w:pStyle w:val="Normal"/>
        <w:rPr>
          <w:rFonts w:ascii="Arial" w:hAnsi="Arial" w:eastAsia="Arial" w:cs="Arial"/>
          <w:u w:val="none"/>
        </w:rPr>
      </w:pPr>
    </w:p>
    <w:p w:rsidR="260BA824" w:rsidP="260BA824" w:rsidRDefault="260BA824" w14:paraId="6608ED51" w14:textId="30FC3B06">
      <w:pPr>
        <w:pStyle w:val="Normal"/>
        <w:rPr>
          <w:rFonts w:ascii="Arial" w:hAnsi="Arial" w:eastAsia="Arial" w:cs="Arial"/>
          <w:u w:val="none"/>
        </w:rPr>
      </w:pPr>
    </w:p>
    <w:p w:rsidR="260BA824" w:rsidP="260BA824" w:rsidRDefault="260BA824" w14:paraId="5E53699C" w14:textId="10FD2CC5">
      <w:pPr>
        <w:pStyle w:val="Normal"/>
        <w:rPr>
          <w:rFonts w:ascii="Arial" w:hAnsi="Arial" w:eastAsia="Arial" w:cs="Arial"/>
          <w:u w:val="none"/>
        </w:rPr>
      </w:pPr>
    </w:p>
    <w:p w:rsidR="260BA824" w:rsidP="260BA824" w:rsidRDefault="260BA824" w14:paraId="46C6552B" w14:textId="7E1210B6">
      <w:pPr>
        <w:pStyle w:val="Normal"/>
        <w:rPr>
          <w:rFonts w:ascii="Arial" w:hAnsi="Arial" w:eastAsia="Arial" w:cs="Arial"/>
          <w:u w:val="none"/>
        </w:rPr>
      </w:pPr>
    </w:p>
    <w:p w:rsidR="260BA824" w:rsidP="260BA824" w:rsidRDefault="260BA824" w14:paraId="08DFC07A" w14:textId="5AB0A2E3">
      <w:pPr>
        <w:pStyle w:val="Normal"/>
        <w:rPr>
          <w:rFonts w:ascii="Arial" w:hAnsi="Arial" w:eastAsia="Arial" w:cs="Arial"/>
          <w:u w:val="none"/>
        </w:rPr>
      </w:pPr>
    </w:p>
    <w:p w:rsidR="260BA824" w:rsidP="260BA824" w:rsidRDefault="260BA824" w14:paraId="2543E747" w14:textId="5661A8A9">
      <w:pPr>
        <w:pStyle w:val="Normal"/>
        <w:rPr>
          <w:rFonts w:ascii="Arial" w:hAnsi="Arial" w:eastAsia="Arial" w:cs="Arial"/>
          <w:u w:val="none"/>
        </w:rPr>
      </w:pPr>
    </w:p>
    <w:p w:rsidR="260BA824" w:rsidP="260BA824" w:rsidRDefault="260BA824" w14:paraId="3B46E51F" w14:textId="1B259872">
      <w:pPr>
        <w:pStyle w:val="Normal"/>
        <w:rPr>
          <w:rFonts w:ascii="Arial" w:hAnsi="Arial" w:eastAsia="Arial" w:cs="Arial"/>
          <w:u w:val="none"/>
        </w:rPr>
      </w:pPr>
    </w:p>
    <w:p w:rsidR="260BA824" w:rsidP="260BA824" w:rsidRDefault="260BA824" w14:paraId="0B4E0F0F" w14:textId="4925C13C">
      <w:pPr>
        <w:pStyle w:val="Normal"/>
        <w:rPr>
          <w:rFonts w:ascii="Arial" w:hAnsi="Arial" w:eastAsia="Arial" w:cs="Arial"/>
          <w:u w:val="none"/>
        </w:rPr>
      </w:pPr>
    </w:p>
    <w:p w:rsidR="260BA824" w:rsidP="260BA824" w:rsidRDefault="260BA824" w14:paraId="02A34823" w14:textId="0424236A">
      <w:pPr>
        <w:pStyle w:val="Normal"/>
        <w:rPr>
          <w:rFonts w:ascii="Arial" w:hAnsi="Arial" w:eastAsia="Arial" w:cs="Arial"/>
          <w:u w:val="none"/>
        </w:rPr>
      </w:pPr>
    </w:p>
    <w:p w:rsidR="260BA824" w:rsidP="260BA824" w:rsidRDefault="260BA824" w14:paraId="0BB6F1E1" w14:textId="1E36634E">
      <w:pPr>
        <w:pStyle w:val="Normal"/>
        <w:rPr>
          <w:rFonts w:ascii="Arial" w:hAnsi="Arial" w:eastAsia="Arial" w:cs="Arial"/>
          <w:u w:val="none"/>
        </w:rPr>
      </w:pPr>
    </w:p>
    <w:p w:rsidR="260BA824" w:rsidP="260BA824" w:rsidRDefault="260BA824" w14:paraId="064A9A40" w14:textId="2EE7E18B">
      <w:pPr>
        <w:pStyle w:val="Normal"/>
        <w:rPr>
          <w:rFonts w:ascii="Arial" w:hAnsi="Arial" w:eastAsia="Arial" w:cs="Arial"/>
          <w:u w:val="none"/>
        </w:rPr>
      </w:pPr>
    </w:p>
    <w:p w:rsidR="260BA824" w:rsidP="260BA824" w:rsidRDefault="260BA824" w14:paraId="42D6540A" w14:textId="368642A3">
      <w:pPr>
        <w:pStyle w:val="Normal"/>
        <w:rPr>
          <w:rFonts w:ascii="Arial" w:hAnsi="Arial" w:eastAsia="Arial" w:cs="Arial"/>
          <w:u w:val="none"/>
        </w:rPr>
      </w:pPr>
    </w:p>
    <w:p w:rsidR="260BA824" w:rsidP="260BA824" w:rsidRDefault="260BA824" w14:paraId="0F7459BF" w14:textId="786C6538">
      <w:pPr>
        <w:pStyle w:val="Normal"/>
        <w:rPr>
          <w:rFonts w:ascii="Arial" w:hAnsi="Arial" w:eastAsia="Arial" w:cs="Arial"/>
          <w:u w:val="none"/>
        </w:rPr>
      </w:pPr>
    </w:p>
    <w:p w:rsidR="260BA824" w:rsidP="260BA824" w:rsidRDefault="260BA824" w14:paraId="26F192B3" w14:textId="26101C1D">
      <w:pPr>
        <w:pStyle w:val="Normal"/>
        <w:rPr>
          <w:rFonts w:ascii="Arial" w:hAnsi="Arial" w:eastAsia="Arial" w:cs="Arial"/>
          <w:u w:val="none"/>
        </w:rPr>
      </w:pPr>
    </w:p>
    <w:p w:rsidR="260BA824" w:rsidP="260BA824" w:rsidRDefault="260BA824" w14:paraId="614246A2" w14:textId="538C6308">
      <w:pPr>
        <w:pStyle w:val="Normal"/>
        <w:rPr>
          <w:rFonts w:ascii="Arial" w:hAnsi="Arial" w:eastAsia="Arial" w:cs="Arial"/>
          <w:u w:val="none"/>
        </w:rPr>
      </w:pPr>
    </w:p>
    <w:p w:rsidR="260BA824" w:rsidP="260BA824" w:rsidRDefault="260BA824" w14:paraId="7DC28AEC" w14:textId="340A51AD">
      <w:pPr>
        <w:pStyle w:val="Normal"/>
        <w:rPr>
          <w:rFonts w:ascii="Arial" w:hAnsi="Arial" w:eastAsia="Arial" w:cs="Arial"/>
          <w:u w:val="none"/>
        </w:rPr>
      </w:pPr>
    </w:p>
    <w:p w:rsidR="260BA824" w:rsidP="260BA824" w:rsidRDefault="260BA824" w14:paraId="32ED813C" w14:textId="5A0E5C08">
      <w:pPr>
        <w:pStyle w:val="Normal"/>
        <w:rPr>
          <w:rFonts w:ascii="Arial" w:hAnsi="Arial" w:eastAsia="Arial" w:cs="Arial"/>
          <w:u w:val="none"/>
        </w:rPr>
      </w:pPr>
    </w:p>
    <w:p w:rsidR="260BA824" w:rsidP="260BA824" w:rsidRDefault="260BA824" w14:paraId="7FF2D824" w14:textId="39E783DB">
      <w:pPr>
        <w:pStyle w:val="Normal"/>
        <w:rPr>
          <w:rFonts w:ascii="Arial" w:hAnsi="Arial" w:eastAsia="Arial" w:cs="Arial"/>
          <w:u w:val="none"/>
        </w:rPr>
      </w:pPr>
    </w:p>
    <w:p w:rsidR="260BA824" w:rsidP="260BA824" w:rsidRDefault="260BA824" w14:paraId="1E7ABD82" w14:textId="481514C8">
      <w:pPr>
        <w:pStyle w:val="Normal"/>
        <w:rPr>
          <w:rFonts w:ascii="Arial" w:hAnsi="Arial" w:eastAsia="Arial" w:cs="Arial"/>
          <w:u w:val="none"/>
        </w:rPr>
      </w:pPr>
    </w:p>
    <w:p w:rsidR="260BA824" w:rsidP="260BA824" w:rsidRDefault="260BA824" w14:paraId="7BFFE2DB" w14:textId="59A9122C">
      <w:pPr>
        <w:pStyle w:val="Normal"/>
        <w:rPr>
          <w:rFonts w:ascii="Arial" w:hAnsi="Arial" w:eastAsia="Arial" w:cs="Arial"/>
          <w:u w:val="none"/>
        </w:rPr>
      </w:pPr>
    </w:p>
    <w:p w:rsidR="23FD6750" w:rsidP="260BA824" w:rsidRDefault="23FD6750" w14:paraId="4941EB71" w14:textId="457B0F97">
      <w:pPr>
        <w:pStyle w:val="Normal"/>
        <w:rPr>
          <w:rFonts w:ascii="Arial" w:hAnsi="Arial" w:eastAsia="Arial" w:cs="Arial"/>
          <w:u w:val="none"/>
        </w:rPr>
      </w:pPr>
      <w:r w:rsidRPr="260BA824" w:rsidR="23FD6750">
        <w:rPr>
          <w:rFonts w:ascii="Arial" w:hAnsi="Arial" w:eastAsia="Arial" w:cs="Arial"/>
          <w:u w:val="none"/>
        </w:rPr>
        <w:t>Reference list</w:t>
      </w:r>
    </w:p>
    <w:p w:rsidR="23FD6750" w:rsidP="260BA824" w:rsidRDefault="23FD6750" w14:paraId="3BF3B578" w14:textId="4376153D">
      <w:pPr>
        <w:pStyle w:val="Normal"/>
      </w:pPr>
      <w:r w:rsidRPr="260BA824" w:rsidR="23FD6750">
        <w:rPr>
          <w:rFonts w:ascii="Arial" w:hAnsi="Arial" w:eastAsia="Arial" w:cs="Arial"/>
          <w:u w:val="none"/>
        </w:rPr>
        <w:t>Ahmed, N. (2023). Montessori Parenting: Creating a Nurturing Environment for Your Child’s Growth and Development. [online] Montessori Lessons. Available at: https://montessorilessons.com/articles/montessori-parenting-creating-a-nurturing-environment-for-your-childs-growth-and-development/ [Accessed 12 Jul. 2024].</w:t>
      </w:r>
    </w:p>
    <w:p w:rsidR="23FD6750" w:rsidP="260BA824" w:rsidRDefault="23FD6750" w14:paraId="62AD09C4" w14:textId="2ED6D7D1">
      <w:pPr>
        <w:pStyle w:val="Normal"/>
      </w:pPr>
      <w:r w:rsidRPr="260BA824" w:rsidR="23FD6750">
        <w:rPr>
          <w:rFonts w:ascii="Arial" w:hAnsi="Arial" w:eastAsia="Arial" w:cs="Arial"/>
          <w:u w:val="none"/>
        </w:rPr>
        <w:t xml:space="preserve">Burke, L. (2021). Opinion | Speaking up about </w:t>
      </w:r>
      <w:bookmarkStart w:name="_Int_tCB8YXv7" w:id="1432827033"/>
      <w:r w:rsidRPr="260BA824" w:rsidR="23FD6750">
        <w:rPr>
          <w:rFonts w:ascii="Arial" w:hAnsi="Arial" w:eastAsia="Arial" w:cs="Arial"/>
          <w:u w:val="none"/>
        </w:rPr>
        <w:t>possible child</w:t>
      </w:r>
      <w:bookmarkEnd w:id="1432827033"/>
      <w:r w:rsidRPr="260BA824" w:rsidR="23FD6750">
        <w:rPr>
          <w:rFonts w:ascii="Arial" w:hAnsi="Arial" w:eastAsia="Arial" w:cs="Arial"/>
          <w:u w:val="none"/>
        </w:rPr>
        <w:t xml:space="preserve"> abuse and neglect is daunting but vital. [online] Press and Journal. Available at: https://www.pressandjournal.co.uk/fp/opinion/3502559/signs-child-abuse-neglect-speaking-up-daunting-vital-nspcc-opinion/ [Accessed 9 Jul. 2024].</w:t>
      </w:r>
    </w:p>
    <w:p w:rsidR="23FD6750" w:rsidP="260BA824" w:rsidRDefault="23FD6750" w14:paraId="106F564D" w14:textId="3DAE77F8">
      <w:pPr>
        <w:pStyle w:val="Normal"/>
      </w:pPr>
      <w:r w:rsidRPr="260BA824" w:rsidR="23FD6750">
        <w:rPr>
          <w:rFonts w:ascii="Arial" w:hAnsi="Arial" w:eastAsia="Arial" w:cs="Arial"/>
          <w:u w:val="none"/>
        </w:rPr>
        <w:t>Care Council for Wales (2016). Professional boundaries: A resource for managers. [online] Available at: https://socialcare.wales/cms-assets/documents/Professional-boundaries-A-resource-for-managers.pdf.</w:t>
      </w:r>
    </w:p>
    <w:p w:rsidR="23FD6750" w:rsidP="260BA824" w:rsidRDefault="23FD6750" w14:paraId="0A620553" w14:textId="0956E0E1">
      <w:pPr>
        <w:pStyle w:val="Normal"/>
      </w:pPr>
      <w:r w:rsidRPr="260BA824" w:rsidR="23FD6750">
        <w:rPr>
          <w:rFonts w:ascii="Arial" w:hAnsi="Arial" w:eastAsia="Arial" w:cs="Arial"/>
          <w:u w:val="none"/>
        </w:rPr>
        <w:t xml:space="preserve">Cerino, A. (2021). The importance of recognising and promoting independence in young children: The role of the environment and the Danish Forest school approach. Education 3-13, [online] 51(4), pp.685–694. </w:t>
      </w:r>
      <w:r w:rsidRPr="260BA824" w:rsidR="23FD6750">
        <w:rPr>
          <w:rFonts w:ascii="Arial" w:hAnsi="Arial" w:eastAsia="Arial" w:cs="Arial"/>
          <w:u w:val="none"/>
        </w:rPr>
        <w:t>Doi: HTTPs</w:t>
      </w:r>
      <w:r w:rsidRPr="260BA824" w:rsidR="23FD6750">
        <w:rPr>
          <w:rFonts w:ascii="Arial" w:hAnsi="Arial" w:eastAsia="Arial" w:cs="Arial"/>
          <w:u w:val="none"/>
        </w:rPr>
        <w:t>://doi.org/10.1080/03004279.2021.2000468.</w:t>
      </w:r>
    </w:p>
    <w:p w:rsidR="23FD6750" w:rsidP="260BA824" w:rsidRDefault="23FD6750" w14:paraId="466F2582" w14:textId="7577CCF1">
      <w:pPr>
        <w:pStyle w:val="Normal"/>
      </w:pPr>
      <w:r w:rsidRPr="260BA824" w:rsidR="23FD6750">
        <w:rPr>
          <w:rFonts w:ascii="Arial" w:hAnsi="Arial" w:eastAsia="Arial" w:cs="Arial"/>
          <w:u w:val="none"/>
        </w:rPr>
        <w:t xml:space="preserve">Childcare Act </w:t>
      </w:r>
      <w:r w:rsidRPr="260BA824" w:rsidR="23FD6750">
        <w:rPr>
          <w:rFonts w:ascii="Arial" w:hAnsi="Arial" w:eastAsia="Arial" w:cs="Arial"/>
          <w:u w:val="none"/>
        </w:rPr>
        <w:t>2006.</w:t>
      </w:r>
      <w:r w:rsidRPr="260BA824" w:rsidR="23FD6750">
        <w:rPr>
          <w:rFonts w:ascii="Arial" w:hAnsi="Arial" w:eastAsia="Arial" w:cs="Arial"/>
          <w:u w:val="none"/>
        </w:rPr>
        <w:t xml:space="preserve"> (2006). Available at: https://www.legislation.gov.uk/ukpga/2006/21/pdfs/ukpga_20060021_en.pdf.</w:t>
      </w:r>
    </w:p>
    <w:p w:rsidR="23FD6750" w:rsidP="260BA824" w:rsidRDefault="23FD6750" w14:paraId="235CBF25" w14:textId="1B76C15B">
      <w:pPr>
        <w:pStyle w:val="Normal"/>
      </w:pPr>
      <w:r w:rsidRPr="260BA824" w:rsidR="23FD6750">
        <w:rPr>
          <w:rFonts w:ascii="Arial" w:hAnsi="Arial" w:eastAsia="Arial" w:cs="Arial"/>
          <w:u w:val="none"/>
        </w:rPr>
        <w:t>Children’s rights in Wales. (2020). Available at: https://senedd.wales/laid%20documents/cr-ld13405-r/cr-ld13405-r-e.pdf.</w:t>
      </w:r>
    </w:p>
    <w:p w:rsidR="23FD6750" w:rsidP="260BA824" w:rsidRDefault="23FD6750" w14:paraId="4F9A6363" w14:textId="20C010BA">
      <w:pPr>
        <w:pStyle w:val="Normal"/>
      </w:pPr>
      <w:r w:rsidRPr="260BA824" w:rsidR="23FD6750">
        <w:rPr>
          <w:rFonts w:ascii="Arial" w:hAnsi="Arial" w:eastAsia="Arial" w:cs="Arial"/>
          <w:u w:val="none"/>
        </w:rPr>
        <w:t>Department for Education (2011). Munro review of child protection: a child-centred system. [online] GOV.UK. Available at: https://www.gov.uk/government/publications/munro-review-of-child-protection-final-report-a-child-centred-system [Accessed 12 Jul. 2024].</w:t>
      </w:r>
    </w:p>
    <w:p w:rsidR="23FD6750" w:rsidP="260BA824" w:rsidRDefault="23FD6750" w14:paraId="0DD87C1A" w14:textId="164AB4C5">
      <w:pPr>
        <w:pStyle w:val="Normal"/>
      </w:pPr>
      <w:r w:rsidRPr="260BA824" w:rsidR="23FD6750">
        <w:rPr>
          <w:rFonts w:ascii="Arial" w:hAnsi="Arial" w:eastAsia="Arial" w:cs="Arial"/>
          <w:u w:val="none"/>
        </w:rPr>
        <w:t>GOV.UK (2012). Protection of Freedoms Act 2012. [online] Legislation.gov.uk. Available at: https://www.legislation.gov.uk/ukpga/2012/9/contents [Accessed 12 Jul. 2024].</w:t>
      </w:r>
    </w:p>
    <w:p w:rsidR="23FD6750" w:rsidP="260BA824" w:rsidRDefault="23FD6750" w14:paraId="23DEBA5D" w14:textId="3992F434">
      <w:pPr>
        <w:pStyle w:val="Normal"/>
      </w:pPr>
      <w:r w:rsidRPr="260BA824" w:rsidR="23FD6750">
        <w:rPr>
          <w:rFonts w:ascii="Arial" w:hAnsi="Arial" w:eastAsia="Arial" w:cs="Arial"/>
          <w:u w:val="none"/>
        </w:rPr>
        <w:t>GOV.uk (1989a). Children Act 1989. [online] Legislation.gov.uk. Available at: https://www.legislation.gov.uk/ukpga/1989/41/section/47 [Accessed 9 Jul. 2024].</w:t>
      </w:r>
    </w:p>
    <w:p w:rsidR="23FD6750" w:rsidP="260BA824" w:rsidRDefault="23FD6750" w14:paraId="613F19EE" w14:textId="59D07B1E">
      <w:pPr>
        <w:pStyle w:val="Normal"/>
      </w:pPr>
      <w:r w:rsidRPr="260BA824" w:rsidR="23FD6750">
        <w:rPr>
          <w:rFonts w:ascii="Arial" w:hAnsi="Arial" w:eastAsia="Arial" w:cs="Arial"/>
          <w:u w:val="none"/>
        </w:rPr>
        <w:t>GOV.uk (1989b). Children Act 1989. [online] Legislation.gov.uk. Available at: https://www.legislation.gov.uk/ukpga/1989/41/section/47 [Accessed 11 Jul. 2024].</w:t>
      </w:r>
    </w:p>
    <w:p w:rsidR="23FD6750" w:rsidP="260BA824" w:rsidRDefault="23FD6750" w14:paraId="61F60EC0" w14:textId="40B8AFC6">
      <w:pPr>
        <w:pStyle w:val="Normal"/>
      </w:pPr>
      <w:r w:rsidRPr="260BA824" w:rsidR="23FD6750">
        <w:rPr>
          <w:rFonts w:ascii="Arial" w:hAnsi="Arial" w:eastAsia="Arial" w:cs="Arial"/>
          <w:u w:val="none"/>
        </w:rPr>
        <w:t>GOV.UK. (n.d.). About us. [online] Available at: https://www.gov.uk/government/organisations/disclosure-and-barring-service/about#SnippetTab [Accessed 12 Jul. 2024].</w:t>
      </w:r>
    </w:p>
    <w:p w:rsidR="23FD6750" w:rsidP="260BA824" w:rsidRDefault="23FD6750" w14:paraId="09C29A77" w14:textId="0A32EA63">
      <w:pPr>
        <w:pStyle w:val="Normal"/>
      </w:pPr>
      <w:r w:rsidRPr="260BA824" w:rsidR="23FD6750">
        <w:rPr>
          <w:rFonts w:ascii="Arial" w:hAnsi="Arial" w:eastAsia="Arial" w:cs="Arial"/>
          <w:u w:val="none"/>
        </w:rPr>
        <w:t>HM Government (2023a). Working Together to Safeguard Children. [online] HM Government. Available at: https://assets.publishing.service.gov.uk/media/65cb4349a7ded0000c79e4e1/Working_together_to_safeguard_children_2023_-_statutory_guidance.pdf.</w:t>
      </w:r>
    </w:p>
    <w:p w:rsidR="23FD6750" w:rsidP="260BA824" w:rsidRDefault="23FD6750" w14:paraId="5A2CC0E0" w14:textId="6331CE1C">
      <w:pPr>
        <w:pStyle w:val="Normal"/>
      </w:pPr>
      <w:r w:rsidRPr="260BA824" w:rsidR="23FD6750">
        <w:rPr>
          <w:rFonts w:ascii="Arial" w:hAnsi="Arial" w:eastAsia="Arial" w:cs="Arial"/>
          <w:u w:val="none"/>
        </w:rPr>
        <w:t>HM Government (2023b). Working Together to Safeguard Children. [online] HM Government. Available at: https://assets.publishing.service.gov.uk/media/65cb4349a7ded0000c79e4e1/Working_together_to_safeguard_children_2023_-_statutory_guidance.pdf.</w:t>
      </w:r>
    </w:p>
    <w:p w:rsidR="23FD6750" w:rsidP="260BA824" w:rsidRDefault="23FD6750" w14:paraId="1957FA9C" w14:textId="40EADC65">
      <w:pPr>
        <w:pStyle w:val="Normal"/>
      </w:pPr>
      <w:r w:rsidRPr="260BA824" w:rsidR="23FD6750">
        <w:rPr>
          <w:rFonts w:ascii="Arial" w:hAnsi="Arial" w:eastAsia="Arial" w:cs="Arial"/>
          <w:u w:val="none"/>
        </w:rPr>
        <w:t>kdk</w:t>
      </w:r>
      <w:r w:rsidRPr="260BA824" w:rsidR="23FD6750">
        <w:rPr>
          <w:rFonts w:ascii="Arial" w:hAnsi="Arial" w:eastAsia="Arial" w:cs="Arial"/>
          <w:u w:val="none"/>
        </w:rPr>
        <w:t xml:space="preserve"> (n.d.). What is a </w:t>
      </w:r>
      <w:r w:rsidRPr="260BA824" w:rsidR="23FD6750">
        <w:rPr>
          <w:rFonts w:ascii="Arial" w:hAnsi="Arial" w:eastAsia="Arial" w:cs="Arial"/>
          <w:u w:val="none"/>
        </w:rPr>
        <w:t>Multi-Agency</w:t>
      </w:r>
      <w:r w:rsidRPr="260BA824" w:rsidR="23FD6750">
        <w:rPr>
          <w:rFonts w:ascii="Arial" w:hAnsi="Arial" w:eastAsia="Arial" w:cs="Arial"/>
          <w:u w:val="none"/>
        </w:rPr>
        <w:t xml:space="preserve"> Safeguarding Hub? (MASH) | Multi Agency Safeguarding Hub. [online] Available at: https://www.multiagencysafeguardinghub.com/what-is-a-multiagency-safefuguarding-hub-mash/ [Accessed 11 Jul. 2024].</w:t>
      </w:r>
    </w:p>
    <w:p w:rsidR="23FD6750" w:rsidP="260BA824" w:rsidRDefault="23FD6750" w14:paraId="4D9B5B44" w14:textId="1B2CA4D8">
      <w:pPr>
        <w:pStyle w:val="Normal"/>
      </w:pPr>
      <w:r w:rsidRPr="260BA824" w:rsidR="23FD6750">
        <w:rPr>
          <w:rFonts w:ascii="Arial" w:hAnsi="Arial" w:eastAsia="Arial" w:cs="Arial"/>
          <w:u w:val="none"/>
        </w:rPr>
        <w:t>Lord Laming (2003). The Victoria Climbie Inquiry: report of an inquiry by Lord Laming. [online] GOV.UK. Available at: https://www.gov.uk/government/publications/the-victoria-climbie-inquiry-report-of-an-inquiry-by-lord-laming [Accessed 12 Jul. 2024].</w:t>
      </w:r>
    </w:p>
    <w:p w:rsidR="23FD6750" w:rsidP="260BA824" w:rsidRDefault="23FD6750" w14:paraId="5A9CF411" w14:textId="6D02F29A">
      <w:pPr>
        <w:pStyle w:val="Normal"/>
      </w:pPr>
      <w:r w:rsidRPr="260BA824" w:rsidR="23FD6750">
        <w:rPr>
          <w:rFonts w:ascii="Arial" w:hAnsi="Arial" w:eastAsia="Arial" w:cs="Arial"/>
          <w:u w:val="none"/>
        </w:rPr>
        <w:t>McKeown, M.-H.L. and Yeung, E.Y.W. (2022). Deepening Our Understanding of Reflective Practice in a Safeguarding Child Protection and Welfare Context. Practice, 35(2), pp.1–15. doi:https://doi.org/10.1080/09503153.2022.2038124.</w:t>
      </w:r>
    </w:p>
    <w:p w:rsidR="23FD6750" w:rsidP="260BA824" w:rsidRDefault="23FD6750" w14:paraId="52EC0E1D" w14:textId="260EDCD3">
      <w:pPr>
        <w:pStyle w:val="Normal"/>
      </w:pPr>
      <w:r w:rsidRPr="260BA824" w:rsidR="23FD6750">
        <w:rPr>
          <w:rFonts w:ascii="Arial" w:hAnsi="Arial" w:eastAsia="Arial" w:cs="Arial"/>
          <w:u w:val="none"/>
        </w:rPr>
        <w:t>NSPCC (2016a). Physical abuse. [online] NSPCC. Available at: https://www.nspcc.org.uk/what-is-child-abuse/types-of-abuse/physical-abuse/ [Accessed 9 Jul. 2024].</w:t>
      </w:r>
    </w:p>
    <w:p w:rsidR="23FD6750" w:rsidP="260BA824" w:rsidRDefault="23FD6750" w14:paraId="56DC46CC" w14:textId="2E4C0AE0">
      <w:pPr>
        <w:pStyle w:val="Normal"/>
      </w:pPr>
      <w:r w:rsidRPr="260BA824" w:rsidR="23FD6750">
        <w:rPr>
          <w:rFonts w:ascii="Arial" w:hAnsi="Arial" w:eastAsia="Arial" w:cs="Arial"/>
          <w:u w:val="none"/>
        </w:rPr>
        <w:t>NSPCC (2016b). Spotting the signs of child abuse. [online] NSPCC. Available at: https://www.nspcc.org.uk/what-is-child-abuse/spotting-signs-child-abuse/ [Accessed 9 Jul. 2024].</w:t>
      </w:r>
    </w:p>
    <w:p w:rsidR="23FD6750" w:rsidP="260BA824" w:rsidRDefault="23FD6750" w14:paraId="4F55A852" w14:textId="7EB9C81C">
      <w:pPr>
        <w:pStyle w:val="Normal"/>
      </w:pPr>
      <w:r w:rsidRPr="260BA824" w:rsidR="23FD6750">
        <w:rPr>
          <w:rFonts w:ascii="Arial" w:hAnsi="Arial" w:eastAsia="Arial" w:cs="Arial"/>
          <w:u w:val="none"/>
        </w:rPr>
        <w:t>NSPCC (2019). What to do if a child reveals abuse. [online] NSPCC. Available at: https://www.nspcc.org.uk/keeping-children-safe/reporting-abuse/what-to-do-child-reveals-abuse/ [Accessed 9 Jul. 2024].</w:t>
      </w:r>
    </w:p>
    <w:p w:rsidR="23FD6750" w:rsidP="260BA824" w:rsidRDefault="23FD6750" w14:paraId="51C49197" w14:textId="10741465">
      <w:pPr>
        <w:pStyle w:val="Normal"/>
      </w:pPr>
      <w:r w:rsidRPr="260BA824" w:rsidR="23FD6750">
        <w:rPr>
          <w:rFonts w:ascii="Arial" w:hAnsi="Arial" w:eastAsia="Arial" w:cs="Arial"/>
          <w:u w:val="none"/>
        </w:rPr>
        <w:t>NSPCC (2021). Promoting Mental Health and Wellbeing. [online] NSPCC Learning. Available at: https://learning.nspcc.org.uk/child-health-development/promoting-mental-health-wellbeing [Accessed 12 Jul. 2024].</w:t>
      </w:r>
    </w:p>
    <w:p w:rsidR="23FD6750" w:rsidP="260BA824" w:rsidRDefault="23FD6750" w14:paraId="40FF2562" w14:textId="0F079214">
      <w:pPr>
        <w:pStyle w:val="Normal"/>
      </w:pPr>
      <w:r w:rsidRPr="260BA824" w:rsidR="23FD6750">
        <w:rPr>
          <w:rFonts w:ascii="Arial" w:hAnsi="Arial" w:eastAsia="Arial" w:cs="Arial"/>
          <w:u w:val="none"/>
        </w:rPr>
        <w:t>NSPCC (2022). Emotional abuse. [online] NSPCC. Available at: https://www.nspcc.org.uk/what-is-child-abuse/types-of-abuse/emotional-abuse/ [Accessed 11 Jul. 2024].</w:t>
      </w:r>
    </w:p>
    <w:p w:rsidR="23FD6750" w:rsidP="260BA824" w:rsidRDefault="23FD6750" w14:paraId="699D5240" w14:textId="38F49099">
      <w:pPr>
        <w:pStyle w:val="Normal"/>
      </w:pPr>
      <w:r w:rsidRPr="260BA824" w:rsidR="23FD6750">
        <w:rPr>
          <w:rFonts w:ascii="Arial" w:hAnsi="Arial" w:eastAsia="Arial" w:cs="Arial"/>
          <w:u w:val="none"/>
        </w:rPr>
        <w:t>NSPCC Learning (2020). Named Child Protection or Safeguarding Lead. [online] NSPCC Learning. Available at: https://learning.nspcc.org.uk/research-resources/templates/nominated-child-protection-lead-role [Accessed 11 Jul. 2024].</w:t>
      </w:r>
    </w:p>
    <w:p w:rsidR="23FD6750" w:rsidP="260BA824" w:rsidRDefault="23FD6750" w14:paraId="0141B94D" w14:textId="68D6BE76">
      <w:pPr>
        <w:pStyle w:val="Normal"/>
      </w:pPr>
      <w:r w:rsidRPr="260BA824" w:rsidR="23FD6750">
        <w:rPr>
          <w:rFonts w:ascii="Arial" w:hAnsi="Arial" w:eastAsia="Arial" w:cs="Arial"/>
          <w:u w:val="none"/>
        </w:rPr>
        <w:t>NSPCC Learning. (2023). Promoting healthy relationships in schools. [online] Available at: https://learning.nspcc.org.uk/safeguarding-child-protection-schools/promoting-healthy-relationships#skip-to-content [Accessed 9 Jul. 2024].</w:t>
      </w:r>
    </w:p>
    <w:p w:rsidR="23FD6750" w:rsidP="260BA824" w:rsidRDefault="23FD6750" w14:paraId="0B3B35C4" w14:textId="28F00DFC">
      <w:pPr>
        <w:pStyle w:val="Normal"/>
      </w:pPr>
      <w:r w:rsidRPr="260BA824" w:rsidR="23FD6750">
        <w:rPr>
          <w:rFonts w:ascii="Arial" w:hAnsi="Arial" w:eastAsia="Arial" w:cs="Arial"/>
          <w:u w:val="none"/>
        </w:rPr>
        <w:t>Records retention and storage guidelines Child protection records retention and storage guidelines Guidance to help organisations understand the principles of keeping and managing records about child protection concerns. (2022). Available at: https://learning.nspcc.org.uk/media/3324/child-protection-records-retention-and-storage-guidelines_june_2023.pdf.</w:t>
      </w:r>
    </w:p>
    <w:p w:rsidR="23FD6750" w:rsidP="260BA824" w:rsidRDefault="23FD6750" w14:paraId="28A8ACDD" w14:textId="3A08107C">
      <w:pPr>
        <w:pStyle w:val="Normal"/>
      </w:pPr>
      <w:r w:rsidRPr="260BA824" w:rsidR="23FD6750">
        <w:rPr>
          <w:rFonts w:ascii="Arial" w:hAnsi="Arial" w:eastAsia="Arial" w:cs="Arial"/>
          <w:u w:val="none"/>
        </w:rPr>
        <w:t>safeguarding. Wales</w:t>
      </w:r>
      <w:r w:rsidRPr="260BA824" w:rsidR="23FD6750">
        <w:rPr>
          <w:rFonts w:ascii="Arial" w:hAnsi="Arial" w:eastAsia="Arial" w:cs="Arial"/>
          <w:u w:val="none"/>
        </w:rPr>
        <w:t>. (n.d.). Safeguarding Wales. [online] Available at: https://safeguarding.wales/en/chi-i/chi-i-c1/c1-p6/.</w:t>
      </w:r>
    </w:p>
    <w:p w:rsidR="23FD6750" w:rsidP="260BA824" w:rsidRDefault="23FD6750" w14:paraId="650D894D" w14:textId="4EADE011">
      <w:pPr>
        <w:pStyle w:val="Normal"/>
      </w:pPr>
      <w:r w:rsidRPr="260BA824" w:rsidR="23FD6750">
        <w:rPr>
          <w:rFonts w:ascii="Arial" w:hAnsi="Arial" w:eastAsia="Arial" w:cs="Arial"/>
          <w:u w:val="none"/>
        </w:rPr>
        <w:t>Solvason, C. and Webb, R. (2022). Exploring and Celebrating the Early Childhood Practitioner An Interrogation of Pedagogy, Professionalism and Practice. Milton: Taylor &amp; Francis Group.</w:t>
      </w:r>
    </w:p>
    <w:p w:rsidR="23FD6750" w:rsidP="260BA824" w:rsidRDefault="23FD6750" w14:paraId="6A8DA856" w14:textId="571BC25F">
      <w:pPr>
        <w:pStyle w:val="Normal"/>
      </w:pPr>
      <w:r w:rsidRPr="260BA824" w:rsidR="23FD6750">
        <w:rPr>
          <w:rFonts w:ascii="Arial" w:hAnsi="Arial" w:eastAsia="Arial" w:cs="Arial"/>
          <w:u w:val="none"/>
        </w:rPr>
        <w:t>UNICEF (1989). Convention on the Rights of the Child. [online] Unicef.org. Available at: https://www.unicef.org/child-rights-convention [Accessed 12 Jul. 2024].</w:t>
      </w:r>
    </w:p>
    <w:p w:rsidR="23FD6750" w:rsidP="260BA824" w:rsidRDefault="23FD6750" w14:paraId="21F25568" w14:textId="7ECE63F9">
      <w:pPr>
        <w:pStyle w:val="Normal"/>
      </w:pPr>
      <w:r w:rsidRPr="260BA824" w:rsidR="23FD6750">
        <w:rPr>
          <w:rFonts w:ascii="Arial" w:hAnsi="Arial" w:eastAsia="Arial" w:cs="Arial"/>
          <w:u w:val="none"/>
        </w:rPr>
        <w:t>www.gov.wales. (n.d.). Safeguarding children: reporting suspected abuse, neglect or harm | GOV.WALES. [online] Available at: https://www.gov.wales/safeguarding-children-reporting-suspected-abuse-neglect-or-harm [Accessed 11 Jul. 2024].</w:t>
      </w:r>
    </w:p>
    <w:p w:rsidR="260BA824" w:rsidP="260BA824" w:rsidRDefault="260BA824" w14:paraId="55642EAE" w14:textId="2D57D18F">
      <w:pPr>
        <w:pStyle w:val="Normal"/>
        <w:rPr>
          <w:rFonts w:ascii="Arial" w:hAnsi="Arial" w:eastAsia="Arial" w:cs="Arial"/>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CbPmTa1xbl03F" int2:id="hNtPDHRM">
      <int2:state int2:type="AugLoop_Text_Critique" int2:value="Rejected"/>
    </int2:textHash>
    <int2:textHash int2:hashCode="PHLMW3MyY28Fxl" int2:id="Ttq4ps8G">
      <int2:state int2:type="AugLoop_Text_Critique" int2:value="Rejected"/>
    </int2:textHash>
    <int2:textHash int2:hashCode="kuku5Ek2vmv0CX" int2:id="3WzN7eXz">
      <int2:state int2:type="AugLoop_Text_Critique" int2:value="Rejected"/>
    </int2:textHash>
    <int2:textHash int2:hashCode="NgrX/t/P+MQjXY" int2:id="cZuYc32b">
      <int2:state int2:type="AugLoop_Text_Critique" int2:value="Rejected"/>
    </int2:textHash>
    <int2:textHash int2:hashCode="FuYTT7tMl86aAD" int2:id="rdRda6bs">
      <int2:state int2:type="AugLoop_Text_Critique" int2:value="Rejected"/>
    </int2:textHash>
    <int2:textHash int2:hashCode="FC4SX6CUlHq0J0" int2:id="xAJ0Npag">
      <int2:state int2:type="AugLoop_Text_Critique" int2:value="Rejected"/>
    </int2:textHash>
    <int2:bookmark int2:bookmarkName="_Int_tCB8YXv7" int2:invalidationBookmarkName="" int2:hashCode="o2++if4sbhybCy" int2:id="UPADjJKF">
      <int2:state int2:type="AugLoop_Text_Critique" int2:value="Rejected"/>
    </int2:bookmark>
    <int2:bookmark int2:bookmarkName="_Int_ITqxsVT8" int2:invalidationBookmarkName="" int2:hashCode="vY4ocGfh5INqVr" int2:id="3qJpmIZ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91C82"/>
    <w:rsid w:val="003AA1B9"/>
    <w:rsid w:val="0132BDB7"/>
    <w:rsid w:val="01B07513"/>
    <w:rsid w:val="01FBA065"/>
    <w:rsid w:val="02179AA9"/>
    <w:rsid w:val="0267D7D1"/>
    <w:rsid w:val="02F52B75"/>
    <w:rsid w:val="03D01F43"/>
    <w:rsid w:val="03FB9430"/>
    <w:rsid w:val="049852A0"/>
    <w:rsid w:val="0531FEEC"/>
    <w:rsid w:val="055995F8"/>
    <w:rsid w:val="057C4C5A"/>
    <w:rsid w:val="05B54610"/>
    <w:rsid w:val="05E627D0"/>
    <w:rsid w:val="066001B7"/>
    <w:rsid w:val="06868818"/>
    <w:rsid w:val="06B80D7D"/>
    <w:rsid w:val="07E51578"/>
    <w:rsid w:val="0817E2DF"/>
    <w:rsid w:val="08DE7F7D"/>
    <w:rsid w:val="08FBD988"/>
    <w:rsid w:val="09E6C524"/>
    <w:rsid w:val="0A298708"/>
    <w:rsid w:val="0A71A438"/>
    <w:rsid w:val="0B3C84D7"/>
    <w:rsid w:val="0BA6D9A3"/>
    <w:rsid w:val="0BC21E43"/>
    <w:rsid w:val="0C4E0AD1"/>
    <w:rsid w:val="0CC2D0A5"/>
    <w:rsid w:val="0CC42DE5"/>
    <w:rsid w:val="0CC8BD5F"/>
    <w:rsid w:val="0CCCA620"/>
    <w:rsid w:val="0DF77071"/>
    <w:rsid w:val="0E411329"/>
    <w:rsid w:val="0EF07059"/>
    <w:rsid w:val="1010269F"/>
    <w:rsid w:val="10482707"/>
    <w:rsid w:val="105B02F9"/>
    <w:rsid w:val="1078D9F0"/>
    <w:rsid w:val="12027B6F"/>
    <w:rsid w:val="12CDD553"/>
    <w:rsid w:val="12D3BA3F"/>
    <w:rsid w:val="132CB232"/>
    <w:rsid w:val="133BCA24"/>
    <w:rsid w:val="1392A7A1"/>
    <w:rsid w:val="13C13EA8"/>
    <w:rsid w:val="13CF0A8F"/>
    <w:rsid w:val="143F704A"/>
    <w:rsid w:val="14B8664D"/>
    <w:rsid w:val="15311CEA"/>
    <w:rsid w:val="15346EFA"/>
    <w:rsid w:val="158FACE0"/>
    <w:rsid w:val="176D6F57"/>
    <w:rsid w:val="183E34AF"/>
    <w:rsid w:val="1888C647"/>
    <w:rsid w:val="1897668C"/>
    <w:rsid w:val="18A399F5"/>
    <w:rsid w:val="18C24BF7"/>
    <w:rsid w:val="19690F15"/>
    <w:rsid w:val="197F8E6F"/>
    <w:rsid w:val="198DC6E4"/>
    <w:rsid w:val="19B2C773"/>
    <w:rsid w:val="19B59BE4"/>
    <w:rsid w:val="1A4FFEDE"/>
    <w:rsid w:val="1AE68B7C"/>
    <w:rsid w:val="1B276864"/>
    <w:rsid w:val="1B963B84"/>
    <w:rsid w:val="1CFA67E1"/>
    <w:rsid w:val="1D55610E"/>
    <w:rsid w:val="1D7F1E7E"/>
    <w:rsid w:val="1E7FE032"/>
    <w:rsid w:val="2160D417"/>
    <w:rsid w:val="216BF6D1"/>
    <w:rsid w:val="216EF701"/>
    <w:rsid w:val="2309E294"/>
    <w:rsid w:val="2331DA32"/>
    <w:rsid w:val="234F6F00"/>
    <w:rsid w:val="23AC420E"/>
    <w:rsid w:val="23D7A563"/>
    <w:rsid w:val="23FD6750"/>
    <w:rsid w:val="24A66644"/>
    <w:rsid w:val="24E2AA48"/>
    <w:rsid w:val="24E44F44"/>
    <w:rsid w:val="251A0167"/>
    <w:rsid w:val="2598CA89"/>
    <w:rsid w:val="25A0D96A"/>
    <w:rsid w:val="25B1027A"/>
    <w:rsid w:val="260BA824"/>
    <w:rsid w:val="2623F125"/>
    <w:rsid w:val="264976BB"/>
    <w:rsid w:val="266F2CE9"/>
    <w:rsid w:val="26A717B0"/>
    <w:rsid w:val="26B8A823"/>
    <w:rsid w:val="26C126DE"/>
    <w:rsid w:val="26CC65F6"/>
    <w:rsid w:val="277793B9"/>
    <w:rsid w:val="2783C553"/>
    <w:rsid w:val="28FA4C24"/>
    <w:rsid w:val="290E7B4A"/>
    <w:rsid w:val="2994490C"/>
    <w:rsid w:val="29AF7A21"/>
    <w:rsid w:val="29BA397C"/>
    <w:rsid w:val="2AEB900E"/>
    <w:rsid w:val="2B43D48F"/>
    <w:rsid w:val="2B7EF82A"/>
    <w:rsid w:val="2BB75E90"/>
    <w:rsid w:val="2BD74F38"/>
    <w:rsid w:val="2C4CC679"/>
    <w:rsid w:val="2C69DE23"/>
    <w:rsid w:val="2CD5F57F"/>
    <w:rsid w:val="2CEA765E"/>
    <w:rsid w:val="2D82053A"/>
    <w:rsid w:val="2DB024E6"/>
    <w:rsid w:val="2DE70AF4"/>
    <w:rsid w:val="2DEC543B"/>
    <w:rsid w:val="2E3397E0"/>
    <w:rsid w:val="2E60392B"/>
    <w:rsid w:val="2EF2B20C"/>
    <w:rsid w:val="2F80B643"/>
    <w:rsid w:val="2FC6FAFF"/>
    <w:rsid w:val="2FE01402"/>
    <w:rsid w:val="301F87E1"/>
    <w:rsid w:val="3049B296"/>
    <w:rsid w:val="30BC7C08"/>
    <w:rsid w:val="30E77878"/>
    <w:rsid w:val="324D0072"/>
    <w:rsid w:val="32C8D4F5"/>
    <w:rsid w:val="33B93786"/>
    <w:rsid w:val="33BB1F47"/>
    <w:rsid w:val="340D0E63"/>
    <w:rsid w:val="34A77573"/>
    <w:rsid w:val="34E89AC2"/>
    <w:rsid w:val="350371CD"/>
    <w:rsid w:val="35204667"/>
    <w:rsid w:val="35D9EFDD"/>
    <w:rsid w:val="364C167B"/>
    <w:rsid w:val="36A4A5E2"/>
    <w:rsid w:val="371E89B6"/>
    <w:rsid w:val="37F24A9D"/>
    <w:rsid w:val="3848709B"/>
    <w:rsid w:val="384C33BB"/>
    <w:rsid w:val="3946229F"/>
    <w:rsid w:val="3970392A"/>
    <w:rsid w:val="3995C7B0"/>
    <w:rsid w:val="3A2FCD0A"/>
    <w:rsid w:val="3BD8DBCC"/>
    <w:rsid w:val="3C21AD65"/>
    <w:rsid w:val="3C45D9A5"/>
    <w:rsid w:val="3C60A56D"/>
    <w:rsid w:val="3C616CA4"/>
    <w:rsid w:val="3C7CD537"/>
    <w:rsid w:val="3CA22C4A"/>
    <w:rsid w:val="3CA56C30"/>
    <w:rsid w:val="3F5F20F3"/>
    <w:rsid w:val="3FF45DB3"/>
    <w:rsid w:val="407FDA38"/>
    <w:rsid w:val="408104C0"/>
    <w:rsid w:val="40EF9EC1"/>
    <w:rsid w:val="42478C4B"/>
    <w:rsid w:val="42CF5F74"/>
    <w:rsid w:val="433DDCC8"/>
    <w:rsid w:val="439D6F3D"/>
    <w:rsid w:val="44361AF8"/>
    <w:rsid w:val="4448723A"/>
    <w:rsid w:val="44B97E34"/>
    <w:rsid w:val="4572C0D3"/>
    <w:rsid w:val="45BB3E80"/>
    <w:rsid w:val="45FFFE26"/>
    <w:rsid w:val="4756E882"/>
    <w:rsid w:val="477493CF"/>
    <w:rsid w:val="4808EF27"/>
    <w:rsid w:val="4853103D"/>
    <w:rsid w:val="49744ED4"/>
    <w:rsid w:val="4A4ED621"/>
    <w:rsid w:val="4A583928"/>
    <w:rsid w:val="4A7C24D9"/>
    <w:rsid w:val="4B52738F"/>
    <w:rsid w:val="4B74DE97"/>
    <w:rsid w:val="4C627CE1"/>
    <w:rsid w:val="4C8929FA"/>
    <w:rsid w:val="4D40A8C4"/>
    <w:rsid w:val="4D7012DE"/>
    <w:rsid w:val="4E0977EF"/>
    <w:rsid w:val="4E125A73"/>
    <w:rsid w:val="4EA5645C"/>
    <w:rsid w:val="4F140CE4"/>
    <w:rsid w:val="4F2C033D"/>
    <w:rsid w:val="4F2DBBE1"/>
    <w:rsid w:val="4F67964F"/>
    <w:rsid w:val="4F96C67A"/>
    <w:rsid w:val="4F9E5B48"/>
    <w:rsid w:val="4FF58704"/>
    <w:rsid w:val="500E5974"/>
    <w:rsid w:val="50E60C10"/>
    <w:rsid w:val="51674AD2"/>
    <w:rsid w:val="516CF51A"/>
    <w:rsid w:val="5243C8F3"/>
    <w:rsid w:val="529B7EC0"/>
    <w:rsid w:val="52CCAABB"/>
    <w:rsid w:val="53266A34"/>
    <w:rsid w:val="538B75D1"/>
    <w:rsid w:val="53D64346"/>
    <w:rsid w:val="540FAED8"/>
    <w:rsid w:val="54790ABF"/>
    <w:rsid w:val="55695D28"/>
    <w:rsid w:val="55D91769"/>
    <w:rsid w:val="5665A0FF"/>
    <w:rsid w:val="5676EB98"/>
    <w:rsid w:val="56EB732B"/>
    <w:rsid w:val="58115033"/>
    <w:rsid w:val="58BB0390"/>
    <w:rsid w:val="5905595C"/>
    <w:rsid w:val="593E831C"/>
    <w:rsid w:val="5A7EDA62"/>
    <w:rsid w:val="5B223956"/>
    <w:rsid w:val="5B38D5A2"/>
    <w:rsid w:val="5B6995FD"/>
    <w:rsid w:val="5B743339"/>
    <w:rsid w:val="5B94CE73"/>
    <w:rsid w:val="5BDA2E33"/>
    <w:rsid w:val="5D528B2E"/>
    <w:rsid w:val="5D7D5019"/>
    <w:rsid w:val="5D7FD4FC"/>
    <w:rsid w:val="5D9029CC"/>
    <w:rsid w:val="5E63D7B7"/>
    <w:rsid w:val="5EA266A2"/>
    <w:rsid w:val="5EBBF805"/>
    <w:rsid w:val="5F06F452"/>
    <w:rsid w:val="5F3D39BB"/>
    <w:rsid w:val="5F497B9F"/>
    <w:rsid w:val="5F712381"/>
    <w:rsid w:val="5F7A03C0"/>
    <w:rsid w:val="5F8C233B"/>
    <w:rsid w:val="6054956A"/>
    <w:rsid w:val="6074093C"/>
    <w:rsid w:val="618A8AFE"/>
    <w:rsid w:val="61A2FC0A"/>
    <w:rsid w:val="61C87545"/>
    <w:rsid w:val="6220662E"/>
    <w:rsid w:val="6240B93F"/>
    <w:rsid w:val="62D9CD10"/>
    <w:rsid w:val="6364F71C"/>
    <w:rsid w:val="636DC5C8"/>
    <w:rsid w:val="63A31C9E"/>
    <w:rsid w:val="64211F4A"/>
    <w:rsid w:val="6454F4CD"/>
    <w:rsid w:val="64E9D15C"/>
    <w:rsid w:val="65BF0525"/>
    <w:rsid w:val="65D91C82"/>
    <w:rsid w:val="66A1B36A"/>
    <w:rsid w:val="66B476B1"/>
    <w:rsid w:val="6859EB9F"/>
    <w:rsid w:val="68AF9058"/>
    <w:rsid w:val="68B7732F"/>
    <w:rsid w:val="68DD41BA"/>
    <w:rsid w:val="6915B959"/>
    <w:rsid w:val="691779B8"/>
    <w:rsid w:val="695CAF69"/>
    <w:rsid w:val="697E7265"/>
    <w:rsid w:val="698B8E45"/>
    <w:rsid w:val="6A8B4781"/>
    <w:rsid w:val="6B152CC1"/>
    <w:rsid w:val="6B97D013"/>
    <w:rsid w:val="6C6C02CE"/>
    <w:rsid w:val="6C6E5307"/>
    <w:rsid w:val="6C8460B4"/>
    <w:rsid w:val="6D3744CE"/>
    <w:rsid w:val="6D9F39EC"/>
    <w:rsid w:val="6DCF8803"/>
    <w:rsid w:val="6E474378"/>
    <w:rsid w:val="6E4779E9"/>
    <w:rsid w:val="6E658F91"/>
    <w:rsid w:val="6E9F99C4"/>
    <w:rsid w:val="6EC5F799"/>
    <w:rsid w:val="6ED52010"/>
    <w:rsid w:val="6EE7F4E3"/>
    <w:rsid w:val="6F01463A"/>
    <w:rsid w:val="6F5AAA17"/>
    <w:rsid w:val="6FE014CA"/>
    <w:rsid w:val="703FCDBA"/>
    <w:rsid w:val="706DDDEA"/>
    <w:rsid w:val="708B66D1"/>
    <w:rsid w:val="70E939D6"/>
    <w:rsid w:val="71186662"/>
    <w:rsid w:val="71D3AC46"/>
    <w:rsid w:val="72E6BEAF"/>
    <w:rsid w:val="732B0224"/>
    <w:rsid w:val="732E1185"/>
    <w:rsid w:val="73398DFC"/>
    <w:rsid w:val="73406A14"/>
    <w:rsid w:val="73424FD6"/>
    <w:rsid w:val="73530F97"/>
    <w:rsid w:val="7382C8EB"/>
    <w:rsid w:val="73868E58"/>
    <w:rsid w:val="740E15FB"/>
    <w:rsid w:val="743E8688"/>
    <w:rsid w:val="744ADB67"/>
    <w:rsid w:val="74D90A2E"/>
    <w:rsid w:val="75A5477D"/>
    <w:rsid w:val="75AE23F5"/>
    <w:rsid w:val="75B530C4"/>
    <w:rsid w:val="76010CF8"/>
    <w:rsid w:val="7691799D"/>
    <w:rsid w:val="7693E614"/>
    <w:rsid w:val="76B55D58"/>
    <w:rsid w:val="76F6FAD2"/>
    <w:rsid w:val="777823B7"/>
    <w:rsid w:val="7841A56D"/>
    <w:rsid w:val="78F2408C"/>
    <w:rsid w:val="790EB0DC"/>
    <w:rsid w:val="79F72C9D"/>
    <w:rsid w:val="7A16A040"/>
    <w:rsid w:val="7A89FB0A"/>
    <w:rsid w:val="7AAEAB99"/>
    <w:rsid w:val="7ACF1804"/>
    <w:rsid w:val="7B48727A"/>
    <w:rsid w:val="7B85C2B9"/>
    <w:rsid w:val="7C9CEA2A"/>
    <w:rsid w:val="7F0123FC"/>
    <w:rsid w:val="7F1EEBC8"/>
    <w:rsid w:val="7F20941C"/>
    <w:rsid w:val="7F8A0B79"/>
    <w:rsid w:val="7FA489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79A0F"/>
  <w15:chartTrackingRefBased/>
  <w15:docId w15:val="{934C064E-4F5B-4CEF-87D1-F99A7D4AC5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0BA82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60BA82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60BA82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60BA82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60BA82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60BA82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60BA82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60BA82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60BA82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60BA82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60BA82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60BA82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60BA82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60BA82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60BA824"/>
    <w:pPr>
      <w:spacing/>
      <w:ind w:left="720"/>
      <w:contextualSpacing/>
    </w:pPr>
  </w:style>
  <w:style w:type="paragraph" w:styleId="TOC1">
    <w:uiPriority w:val="39"/>
    <w:name w:val="toc 1"/>
    <w:basedOn w:val="Normal"/>
    <w:next w:val="Normal"/>
    <w:unhideWhenUsed/>
    <w:rsid w:val="260BA824"/>
    <w:pPr>
      <w:spacing w:after="100"/>
    </w:pPr>
  </w:style>
  <w:style w:type="paragraph" w:styleId="TOC2">
    <w:uiPriority w:val="39"/>
    <w:name w:val="toc 2"/>
    <w:basedOn w:val="Normal"/>
    <w:next w:val="Normal"/>
    <w:unhideWhenUsed/>
    <w:rsid w:val="260BA824"/>
    <w:pPr>
      <w:spacing w:after="100"/>
      <w:ind w:left="220"/>
    </w:pPr>
  </w:style>
  <w:style w:type="paragraph" w:styleId="TOC3">
    <w:uiPriority w:val="39"/>
    <w:name w:val="toc 3"/>
    <w:basedOn w:val="Normal"/>
    <w:next w:val="Normal"/>
    <w:unhideWhenUsed/>
    <w:rsid w:val="260BA824"/>
    <w:pPr>
      <w:spacing w:after="100"/>
      <w:ind w:left="440"/>
    </w:pPr>
  </w:style>
  <w:style w:type="paragraph" w:styleId="TOC4">
    <w:uiPriority w:val="39"/>
    <w:name w:val="toc 4"/>
    <w:basedOn w:val="Normal"/>
    <w:next w:val="Normal"/>
    <w:unhideWhenUsed/>
    <w:rsid w:val="260BA824"/>
    <w:pPr>
      <w:spacing w:after="100"/>
      <w:ind w:left="660"/>
    </w:pPr>
  </w:style>
  <w:style w:type="paragraph" w:styleId="TOC5">
    <w:uiPriority w:val="39"/>
    <w:name w:val="toc 5"/>
    <w:basedOn w:val="Normal"/>
    <w:next w:val="Normal"/>
    <w:unhideWhenUsed/>
    <w:rsid w:val="260BA824"/>
    <w:pPr>
      <w:spacing w:after="100"/>
      <w:ind w:left="880"/>
    </w:pPr>
  </w:style>
  <w:style w:type="paragraph" w:styleId="TOC6">
    <w:uiPriority w:val="39"/>
    <w:name w:val="toc 6"/>
    <w:basedOn w:val="Normal"/>
    <w:next w:val="Normal"/>
    <w:unhideWhenUsed/>
    <w:rsid w:val="260BA824"/>
    <w:pPr>
      <w:spacing w:after="100"/>
      <w:ind w:left="1100"/>
    </w:pPr>
  </w:style>
  <w:style w:type="paragraph" w:styleId="TOC7">
    <w:uiPriority w:val="39"/>
    <w:name w:val="toc 7"/>
    <w:basedOn w:val="Normal"/>
    <w:next w:val="Normal"/>
    <w:unhideWhenUsed/>
    <w:rsid w:val="260BA824"/>
    <w:pPr>
      <w:spacing w:after="100"/>
      <w:ind w:left="1320"/>
    </w:pPr>
  </w:style>
  <w:style w:type="paragraph" w:styleId="TOC8">
    <w:uiPriority w:val="39"/>
    <w:name w:val="toc 8"/>
    <w:basedOn w:val="Normal"/>
    <w:next w:val="Normal"/>
    <w:unhideWhenUsed/>
    <w:rsid w:val="260BA824"/>
    <w:pPr>
      <w:spacing w:after="100"/>
      <w:ind w:left="1540"/>
    </w:pPr>
  </w:style>
  <w:style w:type="paragraph" w:styleId="TOC9">
    <w:uiPriority w:val="39"/>
    <w:name w:val="toc 9"/>
    <w:basedOn w:val="Normal"/>
    <w:next w:val="Normal"/>
    <w:unhideWhenUsed/>
    <w:rsid w:val="260BA824"/>
    <w:pPr>
      <w:spacing w:after="100"/>
      <w:ind w:left="1760"/>
    </w:pPr>
  </w:style>
  <w:style w:type="paragraph" w:styleId="EndnoteText">
    <w:uiPriority w:val="99"/>
    <w:name w:val="endnote text"/>
    <w:basedOn w:val="Normal"/>
    <w:semiHidden/>
    <w:unhideWhenUsed/>
    <w:link w:val="EndnoteTextChar"/>
    <w:rsid w:val="260BA824"/>
    <w:rPr>
      <w:sz w:val="20"/>
      <w:szCs w:val="20"/>
    </w:rPr>
    <w:pPr>
      <w:spacing w:after="0" w:line="240" w:lineRule="auto"/>
    </w:pPr>
  </w:style>
  <w:style w:type="paragraph" w:styleId="Footer">
    <w:uiPriority w:val="99"/>
    <w:name w:val="footer"/>
    <w:basedOn w:val="Normal"/>
    <w:unhideWhenUsed/>
    <w:link w:val="FooterChar"/>
    <w:rsid w:val="260BA82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60BA824"/>
    <w:rPr>
      <w:sz w:val="20"/>
      <w:szCs w:val="20"/>
    </w:rPr>
    <w:pPr>
      <w:spacing w:after="0" w:line="240" w:lineRule="auto"/>
    </w:pPr>
  </w:style>
  <w:style w:type="paragraph" w:styleId="Header">
    <w:uiPriority w:val="99"/>
    <w:name w:val="header"/>
    <w:basedOn w:val="Normal"/>
    <w:unhideWhenUsed/>
    <w:link w:val="HeaderChar"/>
    <w:rsid w:val="260BA82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144f940fe7948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2024-07-09T08:01:47.4343840Z</dcterms:created>
  <dcterms:modified xsi:type="dcterms:W3CDTF">2024-07-12T12:46:55.2530021Z</dcterms:modified>
  <dc:creator>Amy Williams (2307162)</dc:creator>
  <lastModifiedBy>Amy Williams (2307162)</lastModifiedBy>
</coreProperties>
</file>