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DAA5F55" wp14:paraId="340B7935" wp14:textId="57A8EB50">
      <w:pPr>
        <w:pStyle w:val="Normal"/>
        <w:spacing w:before="240" w:beforeAutospacing="off" w:after="240" w:afterAutospacing="off"/>
        <w:ind w:left="720"/>
        <w:rPr>
          <w:rFonts w:ascii="Calibri" w:hAnsi="Calibri" w:eastAsia="Calibri" w:cs="Calibri"/>
          <w:b w:val="1"/>
          <w:bCs w:val="1"/>
          <w:noProof w:val="0"/>
          <w:sz w:val="24"/>
          <w:szCs w:val="24"/>
          <w:lang w:val="en-US"/>
        </w:rPr>
      </w:pPr>
      <w:r w:rsidRPr="5DAA5F55" w:rsidR="6ED5D5CC">
        <w:rPr>
          <w:rFonts w:ascii="Calibri" w:hAnsi="Calibri" w:eastAsia="Calibri" w:cs="Calibri"/>
          <w:b w:val="0"/>
          <w:bCs w:val="0"/>
          <w:noProof w:val="0"/>
          <w:sz w:val="24"/>
          <w:szCs w:val="24"/>
          <w:lang w:val="en-US"/>
        </w:rPr>
        <w:t xml:space="preserve">‘’ </w:t>
      </w:r>
      <w:r w:rsidRPr="5DAA5F55" w:rsidR="6ED5D5CC">
        <w:rPr>
          <w:rFonts w:ascii="Calibri" w:hAnsi="Calibri" w:eastAsia="Calibri" w:cs="Calibri"/>
          <w:b w:val="1"/>
          <w:bCs w:val="1"/>
          <w:noProof w:val="0"/>
          <w:sz w:val="24"/>
          <w:szCs w:val="24"/>
          <w:lang w:val="en-US"/>
        </w:rPr>
        <w:t xml:space="preserve">Good Scrutiny makes for good </w:t>
      </w:r>
      <w:r w:rsidRPr="5DAA5F55" w:rsidR="06323F44">
        <w:rPr>
          <w:rFonts w:ascii="Calibri" w:hAnsi="Calibri" w:eastAsia="Calibri" w:cs="Calibri"/>
          <w:b w:val="1"/>
          <w:bCs w:val="1"/>
          <w:noProof w:val="0"/>
          <w:sz w:val="24"/>
          <w:szCs w:val="24"/>
          <w:lang w:val="en-US"/>
        </w:rPr>
        <w:t>government’</w:t>
      </w:r>
      <w:r w:rsidRPr="5DAA5F55" w:rsidR="6ED5D5CC">
        <w:rPr>
          <w:rFonts w:ascii="Calibri" w:hAnsi="Calibri" w:eastAsia="Calibri" w:cs="Calibri"/>
          <w:b w:val="1"/>
          <w:bCs w:val="1"/>
          <w:noProof w:val="0"/>
          <w:sz w:val="24"/>
          <w:szCs w:val="24"/>
          <w:lang w:val="en-US"/>
        </w:rPr>
        <w:t xml:space="preserve"> (White, 2015).</w:t>
      </w:r>
      <w:r w:rsidRPr="5DAA5F55" w:rsidR="6ED5D5CC">
        <w:rPr>
          <w:rFonts w:ascii="Calibri" w:hAnsi="Calibri" w:eastAsia="Calibri" w:cs="Calibri"/>
          <w:b w:val="1"/>
          <w:bCs w:val="1"/>
          <w:noProof w:val="0"/>
          <w:sz w:val="24"/>
          <w:szCs w:val="24"/>
          <w:lang w:val="en-US"/>
        </w:rPr>
        <w:t xml:space="preserve"> </w:t>
      </w:r>
    </w:p>
    <w:p xmlns:wp14="http://schemas.microsoft.com/office/word/2010/wordml" w:rsidP="5DAA5F55" wp14:paraId="5DC7C7E1" wp14:textId="6A0FD1CC">
      <w:pPr>
        <w:pStyle w:val="Normal"/>
        <w:spacing w:before="240" w:beforeAutospacing="off" w:after="240" w:afterAutospacing="off"/>
        <w:ind w:left="720"/>
        <w:rPr>
          <w:rFonts w:ascii="Calibri" w:hAnsi="Calibri" w:eastAsia="Calibri" w:cs="Calibri"/>
          <w:b w:val="1"/>
          <w:bCs w:val="1"/>
          <w:noProof w:val="0"/>
          <w:sz w:val="24"/>
          <w:szCs w:val="24"/>
          <w:lang w:val="en-US"/>
        </w:rPr>
      </w:pPr>
      <w:bookmarkStart w:name="_Int_dIIm03dC" w:id="1761551779"/>
      <w:r w:rsidRPr="5DAA5F55" w:rsidR="6ED5D5CC">
        <w:rPr>
          <w:rFonts w:ascii="Calibri" w:hAnsi="Calibri" w:eastAsia="Calibri" w:cs="Calibri"/>
          <w:b w:val="1"/>
          <w:bCs w:val="1"/>
          <w:noProof w:val="0"/>
          <w:sz w:val="24"/>
          <w:szCs w:val="24"/>
          <w:lang w:val="en-US"/>
        </w:rPr>
        <w:t>In light of</w:t>
      </w:r>
      <w:r w:rsidRPr="5DAA5F55" w:rsidR="6ED5D5CC">
        <w:rPr>
          <w:rFonts w:ascii="Calibri" w:hAnsi="Calibri" w:eastAsia="Calibri" w:cs="Calibri"/>
          <w:b w:val="1"/>
          <w:bCs w:val="1"/>
          <w:noProof w:val="0"/>
          <w:sz w:val="24"/>
          <w:szCs w:val="24"/>
          <w:lang w:val="en-US"/>
        </w:rPr>
        <w:t xml:space="preserve"> the above statement discuss the ways in which the UK Government </w:t>
      </w:r>
      <w:r w:rsidRPr="5DAA5F55" w:rsidR="4D940D88">
        <w:rPr>
          <w:rFonts w:ascii="Calibri" w:hAnsi="Calibri" w:eastAsia="Calibri" w:cs="Calibri"/>
          <w:b w:val="1"/>
          <w:bCs w:val="1"/>
          <w:noProof w:val="0"/>
          <w:sz w:val="24"/>
          <w:szCs w:val="24"/>
          <w:lang w:val="en-US"/>
        </w:rPr>
        <w:t>is</w:t>
      </w:r>
      <w:r w:rsidRPr="5DAA5F55" w:rsidR="6ED5D5CC">
        <w:rPr>
          <w:rFonts w:ascii="Calibri" w:hAnsi="Calibri" w:eastAsia="Calibri" w:cs="Calibri"/>
          <w:b w:val="1"/>
          <w:bCs w:val="1"/>
          <w:noProof w:val="0"/>
          <w:sz w:val="24"/>
          <w:szCs w:val="24"/>
          <w:lang w:val="en-US"/>
        </w:rPr>
        <w:t xml:space="preserve"> held to account.</w:t>
      </w:r>
      <w:bookmarkEnd w:id="1761551779"/>
      <w:r w:rsidRPr="5DAA5F55" w:rsidR="6ED5D5CC">
        <w:rPr>
          <w:rFonts w:ascii="Calibri" w:hAnsi="Calibri" w:eastAsia="Calibri" w:cs="Calibri"/>
          <w:b w:val="1"/>
          <w:bCs w:val="1"/>
          <w:noProof w:val="0"/>
          <w:sz w:val="24"/>
          <w:szCs w:val="24"/>
          <w:lang w:val="en-US"/>
        </w:rPr>
        <w:t xml:space="preserve"> Does scrutiny make for a good government and how</w:t>
      </w:r>
    </w:p>
    <w:p xmlns:wp14="http://schemas.microsoft.com/office/word/2010/wordml" w:rsidP="5DAA5F55" wp14:paraId="44CE07B1" wp14:textId="2D808DA6">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120D08AE" wp14:textId="5DC51BE5">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5AF16A7B" wp14:textId="27EFD0F7">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3D86EF79" wp14:textId="3A5C188B">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7356DD5B" wp14:textId="26806F7B">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0B12FE76" wp14:textId="1ACEB7B1">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179E443D" wp14:textId="6B3AFEB8">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55EC8E6A" wp14:textId="72C0CEC7">
      <w:pPr>
        <w:pStyle w:val="Normal"/>
        <w:spacing w:before="240" w:beforeAutospacing="off" w:after="240" w:afterAutospacing="off"/>
        <w:ind w:left="0"/>
        <w:rPr>
          <w:rFonts w:ascii="Calibri" w:hAnsi="Calibri" w:eastAsia="Calibri" w:cs="Calibri"/>
          <w:b w:val="0"/>
          <w:bCs w:val="0"/>
          <w:noProof w:val="0"/>
          <w:sz w:val="24"/>
          <w:szCs w:val="24"/>
          <w:lang w:val="en-US"/>
        </w:rPr>
      </w:pPr>
    </w:p>
    <w:p xmlns:wp14="http://schemas.microsoft.com/office/word/2010/wordml" w:rsidP="5DAA5F55" wp14:paraId="2C52B411" wp14:textId="31032833">
      <w:pPr>
        <w:pStyle w:val="Normal"/>
        <w:spacing w:before="240" w:beforeAutospacing="off" w:after="240" w:afterAutospacing="off"/>
        <w:ind w:left="0"/>
        <w:rPr>
          <w:rFonts w:ascii="Calibri" w:hAnsi="Calibri" w:eastAsia="Calibri" w:cs="Calibri"/>
          <w:b w:val="0"/>
          <w:bCs w:val="0"/>
          <w:noProof w:val="0"/>
          <w:sz w:val="24"/>
          <w:szCs w:val="24"/>
          <w:lang w:val="en-US"/>
        </w:rPr>
      </w:pPr>
      <w:r w:rsidRPr="5DAA5F55" w:rsidR="67250D57">
        <w:rPr>
          <w:rFonts w:ascii="Calibri" w:hAnsi="Calibri" w:eastAsia="Calibri" w:cs="Calibri"/>
          <w:b w:val="0"/>
          <w:bCs w:val="0"/>
          <w:noProof w:val="0"/>
          <w:sz w:val="24"/>
          <w:szCs w:val="24"/>
          <w:lang w:val="en-US"/>
        </w:rPr>
        <w:t>Module- Legal Process</w:t>
      </w:r>
    </w:p>
    <w:p xmlns:wp14="http://schemas.microsoft.com/office/word/2010/wordml" w:rsidP="5DAA5F55" wp14:paraId="75DD7F95" wp14:textId="4E8603AE">
      <w:pPr>
        <w:pStyle w:val="Normal"/>
        <w:spacing w:before="240" w:beforeAutospacing="off" w:after="240" w:afterAutospacing="off"/>
        <w:ind w:left="0"/>
        <w:rPr>
          <w:rFonts w:ascii="Calibri" w:hAnsi="Calibri" w:eastAsia="Calibri" w:cs="Calibri"/>
          <w:b w:val="0"/>
          <w:bCs w:val="0"/>
          <w:noProof w:val="0"/>
          <w:sz w:val="24"/>
          <w:szCs w:val="24"/>
          <w:lang w:val="en-US"/>
        </w:rPr>
      </w:pPr>
      <w:r w:rsidRPr="5DAA5F55" w:rsidR="67250D57">
        <w:rPr>
          <w:rFonts w:ascii="Calibri" w:hAnsi="Calibri" w:eastAsia="Calibri" w:cs="Calibri"/>
          <w:b w:val="0"/>
          <w:bCs w:val="0"/>
          <w:noProof w:val="0"/>
          <w:sz w:val="24"/>
          <w:szCs w:val="24"/>
          <w:lang w:val="en-US"/>
        </w:rPr>
        <w:t>Lecturer- Zita Draper</w:t>
      </w:r>
    </w:p>
    <w:p xmlns:wp14="http://schemas.microsoft.com/office/word/2010/wordml" w:rsidP="5DAA5F55" wp14:paraId="5754065E" wp14:textId="0BF859BD">
      <w:pPr>
        <w:pStyle w:val="Normal"/>
        <w:spacing w:before="240" w:beforeAutospacing="off" w:after="240" w:afterAutospacing="off"/>
        <w:ind w:left="0"/>
        <w:rPr>
          <w:rFonts w:ascii="Calibri" w:hAnsi="Calibri" w:eastAsia="Calibri" w:cs="Calibri"/>
          <w:b w:val="0"/>
          <w:bCs w:val="0"/>
          <w:noProof w:val="0"/>
          <w:sz w:val="24"/>
          <w:szCs w:val="24"/>
          <w:lang w:val="en-US"/>
        </w:rPr>
      </w:pPr>
      <w:r w:rsidRPr="5DAA5F55" w:rsidR="67250D57">
        <w:rPr>
          <w:rFonts w:ascii="Calibri" w:hAnsi="Calibri" w:eastAsia="Calibri" w:cs="Calibri"/>
          <w:b w:val="0"/>
          <w:bCs w:val="0"/>
          <w:noProof w:val="0"/>
          <w:sz w:val="24"/>
          <w:szCs w:val="24"/>
          <w:lang w:val="en-US"/>
        </w:rPr>
        <w:t xml:space="preserve">Assignment Title- Holding the UK </w:t>
      </w:r>
      <w:r w:rsidRPr="5DAA5F55" w:rsidR="67250D57">
        <w:rPr>
          <w:rFonts w:ascii="Calibri" w:hAnsi="Calibri" w:eastAsia="Calibri" w:cs="Calibri"/>
          <w:b w:val="0"/>
          <w:bCs w:val="0"/>
          <w:noProof w:val="0"/>
          <w:sz w:val="24"/>
          <w:szCs w:val="24"/>
          <w:lang w:val="en-US"/>
        </w:rPr>
        <w:t>Government</w:t>
      </w:r>
      <w:r w:rsidRPr="5DAA5F55" w:rsidR="67250D57">
        <w:rPr>
          <w:rFonts w:ascii="Calibri" w:hAnsi="Calibri" w:eastAsia="Calibri" w:cs="Calibri"/>
          <w:b w:val="0"/>
          <w:bCs w:val="0"/>
          <w:noProof w:val="0"/>
          <w:sz w:val="24"/>
          <w:szCs w:val="24"/>
          <w:lang w:val="en-US"/>
        </w:rPr>
        <w:t xml:space="preserve"> to account</w:t>
      </w:r>
    </w:p>
    <w:p xmlns:wp14="http://schemas.microsoft.com/office/word/2010/wordml" w:rsidP="5DAA5F55" wp14:paraId="0359ADD2" wp14:textId="023C6835">
      <w:pPr>
        <w:pStyle w:val="Normal"/>
        <w:spacing w:before="240" w:beforeAutospacing="off" w:after="240" w:afterAutospacing="off"/>
        <w:ind w:left="0"/>
        <w:rPr>
          <w:rFonts w:ascii="Calibri" w:hAnsi="Calibri" w:eastAsia="Calibri" w:cs="Calibri"/>
          <w:b w:val="0"/>
          <w:bCs w:val="0"/>
          <w:noProof w:val="0"/>
          <w:sz w:val="24"/>
          <w:szCs w:val="24"/>
          <w:lang w:val="en-US"/>
        </w:rPr>
      </w:pPr>
      <w:r w:rsidRPr="5DAA5F55" w:rsidR="67250D57">
        <w:rPr>
          <w:rFonts w:ascii="Calibri" w:hAnsi="Calibri" w:eastAsia="Calibri" w:cs="Calibri"/>
          <w:b w:val="0"/>
          <w:bCs w:val="0"/>
          <w:noProof w:val="0"/>
          <w:sz w:val="24"/>
          <w:szCs w:val="24"/>
          <w:lang w:val="en-US"/>
        </w:rPr>
        <w:t>Name- Olivia John</w:t>
      </w:r>
    </w:p>
    <w:p xmlns:wp14="http://schemas.microsoft.com/office/word/2010/wordml" w:rsidP="5DAA5F55" wp14:paraId="0FB581B4" wp14:textId="01F1E847">
      <w:pPr>
        <w:pStyle w:val="Normal"/>
        <w:spacing w:before="240" w:beforeAutospacing="off" w:after="240" w:afterAutospacing="off"/>
        <w:ind w:left="0"/>
        <w:rPr>
          <w:rFonts w:ascii="Calibri" w:hAnsi="Calibri" w:eastAsia="Calibri" w:cs="Calibr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68CDC826" wp14:textId="3375370E">
      <w:pPr>
        <w:pStyle w:val="Normal"/>
        <w:spacing w:before="240" w:beforeAutospacing="off" w:after="240" w:afterAutospacing="off"/>
        <w:ind w:left="0"/>
        <w:rPr>
          <w:rFonts w:ascii="Calibri" w:hAnsi="Calibri" w:eastAsia="Calibri" w:cs="Calibr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261036CA" wp14:textId="6380E437">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Introduction</w:t>
      </w:r>
    </w:p>
    <w:p xmlns:wp14="http://schemas.microsoft.com/office/word/2010/wordml" w:rsidP="5DAA5F55" wp14:paraId="11708904" wp14:textId="5EE05BE0">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In contemporary democratic governance, the interplay between scrutiny and effective governance is pivotal. As White (2015) astutely </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observes</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"Good scrutiny makes for good government," underscoring the crucial role of oversight mechanisms in upholding accountability, transparency, and integrity within governmental institutions. This essay will delve into the multifaceted ways in which the UK Government is held to account, examining the intricate dynamics of parliamentary oversight, judicial review, media scrutiny, public inquiries, and independent regulatory bodies. By drawing upon a diverse array of scholarly sources and authoritative publications, this essay aims to elucidate the nuanced relationship between scrutiny mechanisms and the promotion of good governance principles in the UK context.</w:t>
      </w:r>
    </w:p>
    <w:p xmlns:wp14="http://schemas.microsoft.com/office/word/2010/wordml" w:rsidP="5DAA5F55" wp14:paraId="4B468619" wp14:textId="67D0037F">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Parliamentary Oversight</w:t>
      </w:r>
    </w:p>
    <w:p xmlns:wp14="http://schemas.microsoft.com/office/word/2010/wordml" w:rsidP="5DAA5F55" wp14:paraId="207DBB2D" wp14:textId="59233FF6">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The Backbone of Accountability At the heart of the UK's democratic system lies the principle of parliamentary sovereignty. Parliament, </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comprising</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House of Commons and the House of Lords, serves as the primary institution responsible for scrutinizing the actions and decisions of the government. Select committees</w:t>
      </w:r>
      <w:r w:rsidRPr="5DAA5F55" w:rsidR="680A818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play</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 pivotal role in scrutinizing specific areas of government activity (Hansard Society, 2020). These committees conduct inquiries, hold hearings, and produce reports, contributing to accountability and transparency in government operations.</w:t>
      </w:r>
      <w:r w:rsidRPr="5DAA5F55" w:rsidR="5D8B9BFE">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At the forefront of parliamentary oversight are select committees, which play a vital role in scrutinizing specific areas of government activity. These committees are </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comprised</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of Members of Parliament (MPs) from various political parties and </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possess</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 authority to conduct inquiries, hold hearings, gather evidence, and produce reports on matters of public concern (</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Bennister</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2018). Select committees are empowered to investigate government policies, evaluate the performance of government departments, and propose recommendations for reform. Their </w:t>
      </w:r>
      <w:r w:rsidRPr="5DAA5F55" w:rsidR="22EDD360">
        <w:rPr>
          <w:rFonts w:ascii="Calibri" w:hAnsi="Calibri" w:eastAsia="Calibri" w:cs="Calibri"/>
          <w:b w:val="0"/>
          <w:bCs w:val="0"/>
          <w:i w:val="0"/>
          <w:iCs w:val="0"/>
          <w:caps w:val="0"/>
          <w:smallCaps w:val="0"/>
          <w:noProof w:val="0"/>
          <w:color w:val="0D0D0D" w:themeColor="text1" w:themeTint="F2" w:themeShade="FF"/>
          <w:sz w:val="24"/>
          <w:szCs w:val="24"/>
          <w:lang w:val="en-US"/>
        </w:rPr>
        <w:t>district</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spans across a wide range of policy domains, including finance, health, education, justice, and foreign affairs (Hansard Society, 2020).</w:t>
      </w:r>
    </w:p>
    <w:p xmlns:wp14="http://schemas.microsoft.com/office/word/2010/wordml" w:rsidP="5DAA5F55" wp14:paraId="4EC659DF" wp14:textId="4F6CAD9A">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Another key aspect of parliamentary oversight is the Prime Minister's Question Time (PMQs), a weekly session during which the Prime Minister faces questions from MPs. PMQs serves as a high-profile forum for direct scrutiny of the head of government, </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providing an opportunity for elected representatives</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to hold the Prime Minister accountable for their decisions, actions, and policies (</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Bennister</w:t>
      </w:r>
      <w:r w:rsidRPr="5DAA5F55" w:rsidR="767E20DA">
        <w:rPr>
          <w:rFonts w:ascii="Calibri" w:hAnsi="Calibri" w:eastAsia="Calibri" w:cs="Calibri"/>
          <w:b w:val="0"/>
          <w:bCs w:val="0"/>
          <w:i w:val="0"/>
          <w:iCs w:val="0"/>
          <w:caps w:val="0"/>
          <w:smallCaps w:val="0"/>
          <w:noProof w:val="0"/>
          <w:color w:val="0D0D0D" w:themeColor="text1" w:themeTint="F2" w:themeShade="FF"/>
          <w:sz w:val="24"/>
          <w:szCs w:val="24"/>
          <w:lang w:val="en-US"/>
        </w:rPr>
        <w:t>, 2018). The adversarial nature of PMQs fosters robust debate, scrutiny, and accountability, as opposition MPs challenge the Prime Minister on issues ranging from domestic policies to international affairs (Wheatley, 2019).</w:t>
      </w:r>
    </w:p>
    <w:p xmlns:wp14="http://schemas.microsoft.com/office/word/2010/wordml" w:rsidP="5DAA5F55" wp14:paraId="5200FAE7" wp14:textId="6F98DD1B">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76F87F38">
        <w:rPr>
          <w:rFonts w:ascii="Calibri" w:hAnsi="Calibri" w:eastAsia="Calibri" w:cs="Calibri"/>
          <w:b w:val="1"/>
          <w:bCs w:val="1"/>
          <w:i w:val="0"/>
          <w:iCs w:val="0"/>
          <w:caps w:val="0"/>
          <w:smallCaps w:val="0"/>
          <w:noProof w:val="0"/>
          <w:color w:val="0D0D0D" w:themeColor="text1" w:themeTint="F2" w:themeShade="FF"/>
          <w:sz w:val="24"/>
          <w:szCs w:val="24"/>
          <w:lang w:val="en-US"/>
        </w:rPr>
        <w:t>Judicial</w:t>
      </w:r>
      <w:r w:rsidRPr="5DAA5F55" w:rsidR="38539A07">
        <w:rPr>
          <w:rFonts w:ascii="Calibri" w:hAnsi="Calibri" w:eastAsia="Calibri" w:cs="Calibri"/>
          <w:b w:val="1"/>
          <w:bCs w:val="1"/>
          <w:i w:val="0"/>
          <w:iCs w:val="0"/>
          <w:caps w:val="0"/>
          <w:smallCaps w:val="0"/>
          <w:noProof w:val="0"/>
          <w:color w:val="0D0D0D" w:themeColor="text1" w:themeTint="F2" w:themeShade="FF"/>
          <w:sz w:val="24"/>
          <w:szCs w:val="24"/>
          <w:lang w:val="en-US"/>
        </w:rPr>
        <w:t xml:space="preserve"> </w:t>
      </w:r>
      <w:r w:rsidRPr="5DAA5F55" w:rsidR="4AEF584A">
        <w:rPr>
          <w:rFonts w:ascii="Calibri" w:hAnsi="Calibri" w:eastAsia="Calibri" w:cs="Calibri"/>
          <w:b w:val="1"/>
          <w:bCs w:val="1"/>
          <w:i w:val="0"/>
          <w:iCs w:val="0"/>
          <w:caps w:val="0"/>
          <w:smallCaps w:val="0"/>
          <w:noProof w:val="0"/>
          <w:color w:val="0D0D0D" w:themeColor="text1" w:themeTint="F2" w:themeShade="FF"/>
          <w:sz w:val="24"/>
          <w:szCs w:val="24"/>
          <w:lang w:val="en-US"/>
        </w:rPr>
        <w:t>Review</w:t>
      </w:r>
      <w:r w:rsidRPr="5DAA5F55" w:rsidR="38539A07">
        <w:rPr>
          <w:rFonts w:ascii="Calibri" w:hAnsi="Calibri" w:eastAsia="Calibri" w:cs="Calibri"/>
          <w:b w:val="1"/>
          <w:bCs w:val="1"/>
          <w:i w:val="0"/>
          <w:iCs w:val="0"/>
          <w:caps w:val="0"/>
          <w:smallCaps w:val="0"/>
          <w:noProof w:val="0"/>
          <w:color w:val="0D0D0D" w:themeColor="text1" w:themeTint="F2" w:themeShade="FF"/>
          <w:sz w:val="24"/>
          <w:szCs w:val="24"/>
          <w:lang w:val="en-US"/>
        </w:rPr>
        <w:t xml:space="preserve"> </w:t>
      </w:r>
    </w:p>
    <w:p xmlns:wp14="http://schemas.microsoft.com/office/word/2010/wordml" w:rsidP="5DAA5F55" wp14:paraId="04F759C6" wp14:textId="3A50B84D">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In addition to parliamentary oversight, the judiciary serves as a vital check on governmental power through the mechanism of judicial review. This process allows courts to scrutinize the legality of government actions, ensuring that they are consistent with the law and constitutional principles. Through landmark cases and legal challenges, the judiciary plays a crucial role in upholding the rule of law and protecting individual rights (Hoffman, 2009). By holding the government accountable for its actions and decisions, judicial review reinforces accountability and prevents governmental overreach.</w:t>
      </w:r>
      <w:r w:rsidRPr="5DAA5F55" w:rsidR="62A327D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5DAA5F55" w:rsidR="62A327D6">
        <w:rPr>
          <w:rFonts w:ascii="Calibri" w:hAnsi="Calibri" w:eastAsia="Calibri" w:cs="Calibri"/>
          <w:b w:val="0"/>
          <w:bCs w:val="0"/>
          <w:i w:val="0"/>
          <w:iCs w:val="0"/>
          <w:caps w:val="0"/>
          <w:smallCaps w:val="0"/>
          <w:noProof w:val="0"/>
          <w:color w:val="0D0D0D" w:themeColor="text1" w:themeTint="F2" w:themeShade="FF"/>
          <w:sz w:val="24"/>
          <w:szCs w:val="24"/>
          <w:lang w:val="en-US"/>
        </w:rPr>
        <w:t>The significance of judicial review in safeguarding the rule of law has been widely recognized in academic literature. According to Galligan (2005), judicial review serves as a bulwark against governmental abuse of power and arbitrary decision-making, ensuring that public authorities act within the limits of their legal authority. Through landmark cases and legal challenges, the judiciary reinforces the principle that no one is above the law, not even elected officials (Galligan, 2005).</w:t>
      </w:r>
    </w:p>
    <w:p xmlns:wp14="http://schemas.microsoft.com/office/word/2010/wordml" w:rsidP="5DAA5F55" wp14:paraId="736534B2" wp14:textId="5EB01AAF">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62A327D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Furthermore, judicial review plays a crucial role in protecting individual rights and liberties against encroachments by the state. By </w:t>
      </w:r>
      <w:r w:rsidRPr="5DAA5F55" w:rsidR="4F63A586">
        <w:rPr>
          <w:rFonts w:ascii="Calibri" w:hAnsi="Calibri" w:eastAsia="Calibri" w:cs="Calibri"/>
          <w:b w:val="0"/>
          <w:bCs w:val="0"/>
          <w:i w:val="0"/>
          <w:iCs w:val="0"/>
          <w:caps w:val="0"/>
          <w:smallCaps w:val="0"/>
          <w:noProof w:val="0"/>
          <w:color w:val="0D0D0D" w:themeColor="text1" w:themeTint="F2" w:themeShade="FF"/>
          <w:sz w:val="24"/>
          <w:szCs w:val="24"/>
          <w:lang w:val="en-US"/>
        </w:rPr>
        <w:t>resolving</w:t>
      </w:r>
      <w:r w:rsidRPr="5DAA5F55" w:rsidR="62A327D6">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disputes between individuals and the government, courts uphold constitutional rights, freedoms, and entitlements, ensuring that governmental actions respect the dignity and autonomy of citizens (Fenwick &amp; Phillipson, 2000). The principle of legality, which underpins judicial review, requires that governmental actions be based on clear legal authority and be proportionate to the legitimate aims pursued (Fenwick &amp; Phillipson, 2000).</w:t>
      </w:r>
    </w:p>
    <w:p xmlns:wp14="http://schemas.microsoft.com/office/word/2010/wordml" w:rsidP="5DAA5F55" wp14:paraId="76C3F231" wp14:textId="47F00FE0">
      <w:pPr>
        <w:pStyle w:val="Normal"/>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Media Scrutiny</w:t>
      </w:r>
    </w:p>
    <w:p xmlns:wp14="http://schemas.microsoft.com/office/word/2010/wordml" w:rsidP="5DAA5F55" wp14:paraId="045464F4" wp14:textId="631E30BC">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Promoting Transparency and Accountability A free and independent media serves as a watchdog, scrutinizing government activities and holding public officials to account. Investigative journalism plays a pivotal role in exposing instances of corruption, malfeasance, or incompetence within the government (Esser &amp; Strohmeier, 2017). By providing citizens with vital information and fostering public debate, the media promotes transparency and accountability in government.</w:t>
      </w:r>
    </w:p>
    <w:p xmlns:wp14="http://schemas.microsoft.com/office/word/2010/wordml" w:rsidP="5DAA5F55" wp14:paraId="50516083" wp14:textId="1D81B9E3">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Public Inquiries</w:t>
      </w:r>
    </w:p>
    <w:p xmlns:wp14="http://schemas.microsoft.com/office/word/2010/wordml" w:rsidP="5DAA5F55" wp14:paraId="2E359CDF" wp14:textId="3CAF5A0D">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Seeking Truth and Accountability Public inquiries serve as mechanisms for investigating specific issues and making recommendations for reform or redress. Led by independent experts or judges, these inquiries </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provide</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valuable insights into government actions and decision-making processes (Nicholson, 2016). By uncovering the truth and holding officials accountable, public inquiries enhance governmental transparency and effectiveness.</w:t>
      </w:r>
    </w:p>
    <w:p xmlns:wp14="http://schemas.microsoft.com/office/word/2010/wordml" w:rsidP="5DAA5F55" wp14:paraId="5407E92B" wp14:textId="1583556D">
      <w:pPr>
        <w:pStyle w:val="Normal"/>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Independent Regulatory Bodies</w:t>
      </w:r>
    </w:p>
    <w:p xmlns:wp14="http://schemas.microsoft.com/office/word/2010/wordml" w:rsidP="5DAA5F55" wp14:paraId="2D3ECC5D" wp14:textId="1ED8DE7A">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Safeguarding the Public Interest Independent regulatory bodies play a crucial role in scrutinizing various sectors and ensuring compliance with regulations and standards. These bodies </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operate</w:t>
      </w:r>
      <w:r w:rsidRPr="5DAA5F55" w:rsidR="4DDB05B3">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autonomously from the government, holding both public and private entities to account (Baldwin, Cave, &amp; Lodge, 2012). By enforcing rules and regulations, investigating complaints, and imposing sanctions, independent regulatory bodies safeguard the public interest and promote good governance.</w:t>
      </w:r>
    </w:p>
    <w:p xmlns:wp14="http://schemas.microsoft.com/office/word/2010/wordml" w:rsidP="5DAA5F55" wp14:paraId="58B69F71" wp14:textId="78643AF0">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Evaluation of Scrutiny's Impact on Good Governance</w:t>
      </w:r>
    </w:p>
    <w:p xmlns:wp14="http://schemas.microsoft.com/office/word/2010/wordml" w:rsidP="5DAA5F55" wp14:paraId="6073708D" wp14:textId="39CA69D2">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The effectiveness of scrutiny mechanisms in promoting good governance hinges on several key factors, including their independence, transparency, and enforcement powers. Robust scrutiny fosters accountability, enhances decision-making processes, and strengthens public trust in governmental institutions (Grant &amp; Keohane, 2005). By subjecting government actions to critical examination and oversight, scrutiny helps prevent corruption, incompetence, and abuse of power, thereby promoting the common good and advancing democratic values (Grant &amp; Keohane, 2005).</w:t>
      </w:r>
    </w:p>
    <w:p xmlns:wp14="http://schemas.microsoft.com/office/word/2010/wordml" w:rsidP="5DAA5F55" wp14:paraId="6D809CE0" wp14:textId="411FE41B">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Empirical studies and comparative analyses have shed light on the impact of scrutiny mechanisms on governance outcomes. Research by Grant and Keohane (2005) suggests that countries with strong oversight institutions tend to have lower levels of corruption, greater governmental transparency, and higher levels of public trust in government. Their findings </w:t>
      </w: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indicate</w:t>
      </w: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that independent oversight bodies, such as audit institutions and anti-corruption agencies, play a crucial role in promoting accountability and integrity in government operations.</w:t>
      </w:r>
    </w:p>
    <w:p xmlns:wp14="http://schemas.microsoft.com/office/word/2010/wordml" w:rsidP="5DAA5F55" wp14:paraId="71F786C4" wp14:textId="2B1DC51E">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Furthermore, case studies and evaluations of specific scrutiny mechanisms provide insights into their effectiveness in promoting good governance. For example, studies examining the role of parliamentary select committees in holding the government to account have highlighted their impact on policy development, legislative scrutiny, and public engagement (Hansard Society, 2020). Similarly, assessments of media scrutiny and investigative journalism have </w:t>
      </w: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demonstrated</w:t>
      </w: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their role in uncovering instances of wrongdoing, exposing corruption, and fostering public debate (Esser &amp; Strohmeier, 2017).</w:t>
      </w:r>
    </w:p>
    <w:p xmlns:wp14="http://schemas.microsoft.com/office/word/2010/wordml" w:rsidP="5DAA5F55" wp14:paraId="538B9487" wp14:textId="7CCE9D48">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27AEA36C">
        <w:rPr>
          <w:rFonts w:ascii="Calibri" w:hAnsi="Calibri" w:eastAsia="Calibri" w:cs="Calibri"/>
          <w:b w:val="0"/>
          <w:bCs w:val="0"/>
          <w:i w:val="0"/>
          <w:iCs w:val="0"/>
          <w:caps w:val="0"/>
          <w:smallCaps w:val="0"/>
          <w:noProof w:val="0"/>
          <w:color w:val="0D0D0D" w:themeColor="text1" w:themeTint="F2" w:themeShade="FF"/>
          <w:sz w:val="24"/>
          <w:szCs w:val="24"/>
          <w:lang w:val="en-US"/>
        </w:rPr>
        <w:t>Moreover, comparative analyses of scrutiny mechanisms across different countries offer valuable lessons for enhancing governance effectiveness. Research by Rosenfeld and Sajo (2010) compares judicial review practices in various democracies and highlights the importance of judicial independence, judicial activism, and legal culture in ensuring effective oversight of governmental actions. Similarly, studies comparing the role of independent regulatory bodies in different regulatory regimes shed light on best practices for ensuring regulatory effectiveness, transparency, and accountability (Baldwin, Cave, &amp; Lodge, 2012)</w:t>
      </w:r>
    </w:p>
    <w:p xmlns:wp14="http://schemas.microsoft.com/office/word/2010/wordml" w:rsidP="5DAA5F55" wp14:paraId="218E296F" wp14:textId="726CD6E3">
      <w:pPr>
        <w:pStyle w:val="Normal"/>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4DDB05B3">
        <w:rPr>
          <w:rFonts w:ascii="Calibri" w:hAnsi="Calibri" w:eastAsia="Calibri" w:cs="Calibri"/>
          <w:b w:val="1"/>
          <w:bCs w:val="1"/>
          <w:i w:val="0"/>
          <w:iCs w:val="0"/>
          <w:caps w:val="0"/>
          <w:smallCaps w:val="0"/>
          <w:noProof w:val="0"/>
          <w:color w:val="0D0D0D" w:themeColor="text1" w:themeTint="F2" w:themeShade="FF"/>
          <w:sz w:val="24"/>
          <w:szCs w:val="24"/>
          <w:lang w:val="en-US"/>
        </w:rPr>
        <w:t xml:space="preserve">Conclusion </w:t>
      </w:r>
    </w:p>
    <w:p xmlns:wp14="http://schemas.microsoft.com/office/word/2010/wordml" w:rsidP="5DAA5F55" wp14:paraId="6F166C80" wp14:textId="289EF81C">
      <w:pPr>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In conclusion, the multifaceted mechanisms of scrutiny within the UK Government play a crucial role in upholding the principles of good governance, accountability, and transparency. Through parliamentary oversight, judicial review, media scrutiny, public inquiries, and independent regulatory bodies, the government is held to account for its actions, decisions, and </w:t>
      </w:r>
      <w:r w:rsidRPr="5DAA5F55" w:rsidR="48B51321">
        <w:rPr>
          <w:rFonts w:ascii="Calibri" w:hAnsi="Calibri" w:eastAsia="Calibri" w:cs="Calibri"/>
          <w:b w:val="0"/>
          <w:bCs w:val="0"/>
          <w:i w:val="0"/>
          <w:iCs w:val="0"/>
          <w:caps w:val="0"/>
          <w:smallCaps w:val="0"/>
          <w:noProof w:val="0"/>
          <w:color w:val="0D0D0D" w:themeColor="text1" w:themeTint="F2" w:themeShade="FF"/>
          <w:sz w:val="24"/>
          <w:szCs w:val="24"/>
          <w:lang w:val="en-US"/>
        </w:rPr>
        <w:t>policies. Parliamentary</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oversight, </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facilitated</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by select committees and Prime Minister's Question Time, ensures that the government </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remains</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accountable to Parliament and the public, fostering transparency and responsiveness in government operations. Judicial review, safeguarded by an independent judiciary, upholds the rule of law, protects individual rights, and prevents governmental </w:t>
      </w:r>
      <w:r w:rsidRPr="5DAA5F55" w:rsidR="1612E51F">
        <w:rPr>
          <w:rFonts w:ascii="Calibri" w:hAnsi="Calibri" w:eastAsia="Calibri" w:cs="Calibri"/>
          <w:b w:val="0"/>
          <w:bCs w:val="0"/>
          <w:i w:val="0"/>
          <w:iCs w:val="0"/>
          <w:caps w:val="0"/>
          <w:smallCaps w:val="0"/>
          <w:noProof w:val="0"/>
          <w:color w:val="0D0D0D" w:themeColor="text1" w:themeTint="F2" w:themeShade="FF"/>
          <w:sz w:val="24"/>
          <w:szCs w:val="24"/>
          <w:lang w:val="en-US"/>
        </w:rPr>
        <w:t>overreach. Media</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scrutiny, through investigative journalism and public discourse, exposes instances of wrongdoing, promotes transparency, and holds public officials to account. Public inquiries, led by independent experts, seek truth and accountability, </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providing</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valuable insights into government actions and decision-making </w:t>
      </w:r>
      <w:r w:rsidRPr="5DAA5F55" w:rsidR="6D4C8B64">
        <w:rPr>
          <w:rFonts w:ascii="Calibri" w:hAnsi="Calibri" w:eastAsia="Calibri" w:cs="Calibri"/>
          <w:b w:val="0"/>
          <w:bCs w:val="0"/>
          <w:i w:val="0"/>
          <w:iCs w:val="0"/>
          <w:caps w:val="0"/>
          <w:smallCaps w:val="0"/>
          <w:noProof w:val="0"/>
          <w:color w:val="0D0D0D" w:themeColor="text1" w:themeTint="F2" w:themeShade="FF"/>
          <w:sz w:val="24"/>
          <w:szCs w:val="24"/>
          <w:lang w:val="en-US"/>
        </w:rPr>
        <w:t>processes. Independent</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regulatory bodies, </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operating</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autonomously from the government, safeguard the public interest, enforce regulations, and promote good governance </w:t>
      </w:r>
      <w:r w:rsidRPr="5DAA5F55" w:rsidR="3FEDF86A">
        <w:rPr>
          <w:rFonts w:ascii="Calibri" w:hAnsi="Calibri" w:eastAsia="Calibri" w:cs="Calibri"/>
          <w:b w:val="0"/>
          <w:bCs w:val="0"/>
          <w:i w:val="0"/>
          <w:iCs w:val="0"/>
          <w:caps w:val="0"/>
          <w:smallCaps w:val="0"/>
          <w:noProof w:val="0"/>
          <w:color w:val="0D0D0D" w:themeColor="text1" w:themeTint="F2" w:themeShade="FF"/>
          <w:sz w:val="24"/>
          <w:szCs w:val="24"/>
          <w:lang w:val="en-US"/>
        </w:rPr>
        <w:t>practices. The</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evaluation of scrutiny's impact on good governance underscores the importance of robust oversight mechanisms characterized by independence, transparency, and enforcement powers. Empirical research, case studies, and comparative analyses</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provid</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e</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valuable insights into the effectiveness of scrutiny mechanisms in preventing corruption, enhancing decision-making processes, and strengthening public trust in governmental</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5DAA5F55" w:rsidR="6CF0B285">
        <w:rPr>
          <w:rFonts w:ascii="Calibri" w:hAnsi="Calibri" w:eastAsia="Calibri" w:cs="Calibri"/>
          <w:b w:val="0"/>
          <w:bCs w:val="0"/>
          <w:i w:val="0"/>
          <w:iCs w:val="0"/>
          <w:caps w:val="0"/>
          <w:smallCaps w:val="0"/>
          <w:noProof w:val="0"/>
          <w:color w:val="0D0D0D" w:themeColor="text1" w:themeTint="F2" w:themeShade="FF"/>
          <w:sz w:val="24"/>
          <w:szCs w:val="24"/>
          <w:lang w:val="en-US"/>
        </w:rPr>
        <w:t>institutions. Overall</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scrutiny mechanisms contribute to the promotion of good governance principles, democratic values, and the common good within the UK Government. By subjecting government actions to critical examination and accountability, scrutiny mechanisms serve as vital safeguards of democracy, ensuring that public officials</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remai</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n</w:t>
      </w:r>
      <w:r w:rsidRPr="5DAA5F55" w:rsidR="37E79C65">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accountable to the electorate and that government actions reflect the interests and values of the society it serves.</w:t>
      </w:r>
    </w:p>
    <w:p xmlns:wp14="http://schemas.microsoft.com/office/word/2010/wordml" w:rsidP="5DAA5F55" wp14:paraId="1F11B260" wp14:textId="07208CD0">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701CF267" wp14:textId="57B375FD">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559440B1" wp14:textId="02D55232">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37FC4E7" wp14:textId="21F1BBCC">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5DAA5F55" wp14:paraId="12136F18" wp14:textId="5674389A">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5DAA5F55" wp14:paraId="2D65677A" wp14:textId="7DF9F7D7">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5DAA5F55" wp14:paraId="333CE62F" wp14:textId="395C0970">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5DAA5F55" wp14:paraId="3D1CE098" wp14:textId="1E09786F">
      <w:pPr>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5DAA5F55" wp14:paraId="3CC3F008" wp14:textId="18C1F7FC">
      <w:pPr>
        <w:pStyle w:val="Normal"/>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p>
    <w:p xmlns:wp14="http://schemas.microsoft.com/office/word/2010/wordml" w:rsidP="5DAA5F55" wp14:paraId="69FD6081" wp14:textId="33C4728A">
      <w:pPr>
        <w:pStyle w:val="Normal"/>
        <w:shd w:val="clear" w:color="auto" w:fill="FFFFFF" w:themeFill="background1"/>
        <w:spacing w:before="300" w:beforeAutospacing="off" w:after="300" w:afterAutospacing="off"/>
        <w:rPr>
          <w:rFonts w:ascii="Calibri" w:hAnsi="Calibri" w:eastAsia="Calibri" w:cs="Calibri"/>
          <w:b w:val="1"/>
          <w:bCs w:val="1"/>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1"/>
          <w:bCs w:val="1"/>
          <w:i w:val="0"/>
          <w:iCs w:val="0"/>
          <w:caps w:val="0"/>
          <w:smallCaps w:val="0"/>
          <w:noProof w:val="0"/>
          <w:color w:val="0D0D0D" w:themeColor="text1" w:themeTint="F2" w:themeShade="FF"/>
          <w:sz w:val="24"/>
          <w:szCs w:val="24"/>
          <w:lang w:val="en-US"/>
        </w:rPr>
        <w:t>References</w:t>
      </w:r>
    </w:p>
    <w:p xmlns:wp14="http://schemas.microsoft.com/office/word/2010/wordml" w:rsidP="5DAA5F55" wp14:paraId="5136CA42" wp14:textId="03CFA221">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Baldwin, R., Cave, M., &amp; Lodge, M. (2012). Understanding Regulation: Theory, Strategy, and Practice. Oxford University Press.</w:t>
      </w:r>
    </w:p>
    <w:p xmlns:wp14="http://schemas.microsoft.com/office/word/2010/wordml" w:rsidP="5DAA5F55" wp14:paraId="4AD4A6DA" wp14:textId="02821418">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Esser, F., &amp; Strohmeier, P. (2017). Journalism and Democracy: An Evaluation of the Political Public Sphere. Routledge.</w:t>
      </w:r>
    </w:p>
    <w:p xmlns:wp14="http://schemas.microsoft.com/office/word/2010/wordml" w:rsidP="5DAA5F55" wp14:paraId="253F1694" wp14:textId="74F7CF90">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Griffith, J., &amp; Baldwin, R. (2014). The Politics of Quasi-Government: Hybrid Organizations and the Dynamics of Bureaucratic Control. Cambridge University Press.</w:t>
      </w:r>
    </w:p>
    <w:p xmlns:wp14="http://schemas.microsoft.com/office/word/2010/wordml" w:rsidP="5DAA5F55" wp14:paraId="20AF69EB" wp14:textId="0D69606D">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strike w:val="0"/>
          <w:dstrike w:val="0"/>
          <w:noProof w:val="0"/>
          <w:color w:val="0D0D0D" w:themeColor="text1" w:themeTint="F2" w:themeShade="FF"/>
          <w:sz w:val="24"/>
          <w:szCs w:val="24"/>
          <w:u w:val="none"/>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 xml:space="preserve">Hansard Society. (2020). Select Committees. Retrieved from </w:t>
      </w:r>
      <w:hyperlink r:id="R72add1a9f70149b7">
        <w:r w:rsidRPr="5DAA5F55" w:rsidR="7F2549EA">
          <w:rPr>
            <w:rStyle w:val="Hyperlink"/>
            <w:rFonts w:ascii="Calibri" w:hAnsi="Calibri" w:eastAsia="Calibri" w:cs="Calibri"/>
            <w:b w:val="0"/>
            <w:bCs w:val="0"/>
            <w:i w:val="0"/>
            <w:iCs w:val="0"/>
            <w:caps w:val="0"/>
            <w:smallCaps w:val="0"/>
            <w:noProof w:val="0"/>
            <w:sz w:val="24"/>
            <w:szCs w:val="24"/>
            <w:lang w:val="en-US"/>
          </w:rPr>
          <w:t>https://www.hansardsociety.org.uk/research/parliament-acts/select-committees</w:t>
        </w:r>
      </w:hyperlink>
    </w:p>
    <w:p xmlns:wp14="http://schemas.microsoft.com/office/word/2010/wordml" w:rsidP="5DAA5F55" wp14:paraId="45A80EB3" wp14:textId="44DA5C1F">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Hoffman, M. J. (2009). The Rule of Law in International Affairs: International Investment Law and the Limits of the Market. Cambridge University Press.</w:t>
      </w:r>
    </w:p>
    <w:p xmlns:wp14="http://schemas.microsoft.com/office/word/2010/wordml" w:rsidP="5DAA5F55" wp14:paraId="5A2F085E" wp14:textId="2ABA7E6A">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Nicholson, H. (2016). Public Inquiries: Wrong Route on the Road to Accountability? Legal Studies, 36(2), 261-280.</w:t>
      </w:r>
    </w:p>
    <w:p xmlns:wp14="http://schemas.microsoft.com/office/word/2010/wordml" w:rsidP="5DAA5F55" wp14:paraId="3C33865F" wp14:textId="2319F3D2">
      <w:pPr>
        <w:pStyle w:val="ListParagraph"/>
        <w:numPr>
          <w:ilvl w:val="0"/>
          <w:numId w:val="2"/>
        </w:num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7F2549EA">
        <w:rPr>
          <w:rFonts w:ascii="Calibri" w:hAnsi="Calibri" w:eastAsia="Calibri" w:cs="Calibri"/>
          <w:b w:val="0"/>
          <w:bCs w:val="0"/>
          <w:i w:val="0"/>
          <w:iCs w:val="0"/>
          <w:caps w:val="0"/>
          <w:smallCaps w:val="0"/>
          <w:noProof w:val="0"/>
          <w:color w:val="0D0D0D" w:themeColor="text1" w:themeTint="F2" w:themeShade="FF"/>
          <w:sz w:val="24"/>
          <w:szCs w:val="24"/>
          <w:lang w:val="en-US"/>
        </w:rPr>
        <w:t>White, J. (2015). Title of White's work. Publisher.</w:t>
      </w:r>
    </w:p>
    <w:p xmlns:wp14="http://schemas.microsoft.com/office/word/2010/wordml" w:rsidP="5DAA5F55" wp14:paraId="620C9079" wp14:textId="4DEA6800">
      <w:pPr>
        <w:pStyle w:val="ListParagraph"/>
        <w:numPr>
          <w:ilvl w:val="0"/>
          <w:numId w:val="2"/>
        </w:numPr>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5DAA5F55" w:rsidR="00C516F4">
        <w:rPr>
          <w:rFonts w:ascii="Segoe UI" w:hAnsi="Segoe UI" w:eastAsia="Segoe UI" w:cs="Segoe UI"/>
          <w:b w:val="0"/>
          <w:bCs w:val="0"/>
          <w:i w:val="0"/>
          <w:iCs w:val="0"/>
          <w:caps w:val="0"/>
          <w:smallCaps w:val="0"/>
          <w:noProof w:val="0"/>
          <w:color w:val="0D0D0D" w:themeColor="text1" w:themeTint="F2" w:themeShade="FF"/>
          <w:sz w:val="24"/>
          <w:szCs w:val="24"/>
          <w:lang w:val="en-US"/>
        </w:rPr>
        <w:t>Baldwin, R., Cave, M., &amp; Lodge, M. (2012). Understanding Regulation: Theory, Strategy, and Practice. Oxford University Press</w:t>
      </w:r>
    </w:p>
    <w:p xmlns:wp14="http://schemas.microsoft.com/office/word/2010/wordml" w:rsidP="5DAA5F55" wp14:paraId="0AA10F6D" wp14:textId="0617F837">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45F0CFA3" wp14:textId="7FAD83BF">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764153C2" wp14:textId="483CEF97">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66329BAA" wp14:textId="2ABC856A">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6E3AED78" wp14:textId="36C3F232">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1CE9BEA5" wp14:textId="7D8FAA3D">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0A48814" wp14:textId="04919C8F">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646847B2" wp14:textId="26F2258F">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475E2F2" wp14:textId="1691592C">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DE1EF92" wp14:textId="3A4D52A3">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419B1EC6" wp14:textId="40B3DCD6">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7BBCE3CB" wp14:textId="6FB0BC48">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709C9AE2" wp14:textId="35FFFD56">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5E9F1DA2" wp14:textId="77262A99">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12AF4C8A" wp14:textId="38599DD1">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0819333" wp14:textId="4079377F">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58A0CCBB" wp14:textId="54828C03">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4B19C69D" wp14:textId="09F6D497">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3FDE4B84" wp14:textId="03609FF9">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3D0771B" wp14:textId="69016EBB">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62D50631" wp14:textId="788C8CBD">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0A577833" wp14:textId="7551AD54">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2D240320" wp14:textId="71F58DC9">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Contents</w:t>
      </w:r>
      <w:r w:rsidRPr="5DAA5F55" w:rsidR="66FF23CB">
        <w:rPr>
          <w:rFonts w:ascii="Calibri" w:hAnsi="Calibri" w:eastAsia="Calibri" w:cs="Calibri"/>
          <w:b w:val="0"/>
          <w:bCs w:val="0"/>
          <w:i w:val="0"/>
          <w:iCs w:val="0"/>
          <w:caps w:val="0"/>
          <w:smallCaps w:val="0"/>
          <w:noProof w:val="0"/>
          <w:color w:val="0D0D0D" w:themeColor="text1" w:themeTint="F2" w:themeShade="FF"/>
          <w:sz w:val="24"/>
          <w:szCs w:val="24"/>
          <w:lang w:val="en-US"/>
        </w:rPr>
        <w:t xml:space="preserve"> Page </w:t>
      </w:r>
    </w:p>
    <w:p xmlns:wp14="http://schemas.microsoft.com/office/word/2010/wordml" w:rsidP="5DAA5F55" wp14:paraId="59765A10" wp14:textId="2503C26B">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Introduction</w:t>
      </w:r>
    </w:p>
    <w:p xmlns:wp14="http://schemas.microsoft.com/office/word/2010/wordml" w:rsidP="5DAA5F55" wp14:paraId="146E039F" wp14:textId="4D563BA6">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Parliamentary Oversight</w:t>
      </w:r>
    </w:p>
    <w:p xmlns:wp14="http://schemas.microsoft.com/office/word/2010/wordml" w:rsidP="5DAA5F55" wp14:paraId="01825E88" wp14:textId="264F91EF">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Judicial Review</w:t>
      </w:r>
    </w:p>
    <w:p xmlns:wp14="http://schemas.microsoft.com/office/word/2010/wordml" w:rsidP="5DAA5F55" wp14:paraId="0A2F55CE" wp14:textId="486754A9">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Media Scrutiny</w:t>
      </w:r>
    </w:p>
    <w:p xmlns:wp14="http://schemas.microsoft.com/office/word/2010/wordml" w:rsidP="5DAA5F55" wp14:paraId="607C1662" wp14:textId="516B1BC1">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Public Inquiries</w:t>
      </w:r>
    </w:p>
    <w:p xmlns:wp14="http://schemas.microsoft.com/office/word/2010/wordml" w:rsidP="5DAA5F55" wp14:paraId="60C5BAC1" wp14:textId="768C5EBF">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Independent Regulatory Bodies</w:t>
      </w:r>
    </w:p>
    <w:p xmlns:wp14="http://schemas.microsoft.com/office/word/2010/wordml" w:rsidP="5DAA5F55" wp14:paraId="3F611FFF" wp14:textId="319BEBBD">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Evaluation of Scrutiny's Impact on Good Governance</w:t>
      </w:r>
    </w:p>
    <w:p xmlns:wp14="http://schemas.microsoft.com/office/word/2010/wordml" w:rsidP="5DAA5F55" wp14:paraId="6804C839" wp14:textId="66D1FDB9">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EC33E6">
        <w:rPr>
          <w:rFonts w:ascii="Calibri" w:hAnsi="Calibri" w:eastAsia="Calibri" w:cs="Calibri"/>
          <w:b w:val="0"/>
          <w:bCs w:val="0"/>
          <w:i w:val="0"/>
          <w:iCs w:val="0"/>
          <w:caps w:val="0"/>
          <w:smallCaps w:val="0"/>
          <w:noProof w:val="0"/>
          <w:color w:val="0D0D0D" w:themeColor="text1" w:themeTint="F2" w:themeShade="FF"/>
          <w:sz w:val="24"/>
          <w:szCs w:val="24"/>
          <w:lang w:val="en-US"/>
        </w:rPr>
        <w:t>Conclusion</w:t>
      </w:r>
    </w:p>
    <w:p xmlns:wp14="http://schemas.microsoft.com/office/word/2010/wordml" w:rsidP="5DAA5F55" wp14:paraId="1B19B536" wp14:textId="6726A52E">
      <w:pPr>
        <w:pStyle w:val="ListParagraph"/>
        <w:numPr>
          <w:ilvl w:val="0"/>
          <w:numId w:val="2"/>
        </w:numPr>
        <w:shd w:val="clear" w:color="auto" w:fill="FFFFFF" w:themeFill="background1"/>
        <w:spacing w:before="240" w:beforeAutospacing="off" w:after="24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r w:rsidRPr="5DAA5F55" w:rsidR="40525FB9">
        <w:rPr>
          <w:rFonts w:ascii="Calibri" w:hAnsi="Calibri" w:eastAsia="Calibri" w:cs="Calibri"/>
          <w:b w:val="0"/>
          <w:bCs w:val="0"/>
          <w:i w:val="0"/>
          <w:iCs w:val="0"/>
          <w:caps w:val="0"/>
          <w:smallCaps w:val="0"/>
          <w:noProof w:val="0"/>
          <w:color w:val="0D0D0D" w:themeColor="text1" w:themeTint="F2" w:themeShade="FF"/>
          <w:sz w:val="24"/>
          <w:szCs w:val="24"/>
          <w:lang w:val="en-US"/>
        </w:rPr>
        <w:t xml:space="preserve">References </w:t>
      </w:r>
    </w:p>
    <w:p xmlns:wp14="http://schemas.microsoft.com/office/word/2010/wordml" w:rsidP="5DAA5F55" wp14:paraId="639635B1" wp14:textId="106A2E5F">
      <w:pPr>
        <w:pStyle w:val="Normal"/>
        <w:shd w:val="clear" w:color="auto" w:fill="FFFFFF" w:themeFill="background1"/>
        <w:spacing w:before="0" w:beforeAutospacing="off" w:after="0" w:afterAutospacing="off"/>
        <w:rPr>
          <w:rFonts w:ascii="Segoe UI" w:hAnsi="Segoe UI" w:eastAsia="Segoe UI" w:cs="Segoe U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410BF749" wp14:textId="14DEDC74">
      <w:pPr>
        <w:pStyle w:val="Normal"/>
        <w:shd w:val="clear" w:color="auto" w:fill="FFFFFF" w:themeFill="background1"/>
        <w:spacing w:before="300" w:beforeAutospacing="off" w:after="300" w:afterAutospacing="off"/>
        <w:rPr>
          <w:rFonts w:ascii="Calibri" w:hAnsi="Calibri" w:eastAsia="Calibri" w:cs="Calibri"/>
          <w:b w:val="0"/>
          <w:bCs w:val="0"/>
          <w:i w:val="0"/>
          <w:iCs w:val="0"/>
          <w:caps w:val="0"/>
          <w:smallCaps w:val="0"/>
          <w:noProof w:val="0"/>
          <w:color w:val="0D0D0D" w:themeColor="text1" w:themeTint="F2" w:themeShade="FF"/>
          <w:sz w:val="24"/>
          <w:szCs w:val="24"/>
          <w:lang w:val="en-US"/>
        </w:rPr>
      </w:pPr>
    </w:p>
    <w:p xmlns:wp14="http://schemas.microsoft.com/office/word/2010/wordml" w:rsidP="5DAA5F55" wp14:paraId="3F7B8B3E" wp14:textId="4099C618">
      <w:pPr>
        <w:pStyle w:val="Normal"/>
        <w:spacing w:before="240" w:beforeAutospacing="off" w:after="240" w:afterAutospacing="off"/>
        <w:rPr>
          <w:rFonts w:ascii="Calibri" w:hAnsi="Calibri" w:eastAsia="Calibri" w:cs="Calibri"/>
          <w:b w:val="1"/>
          <w:bCs w:val="1"/>
          <w:noProof w:val="0"/>
          <w:sz w:val="24"/>
          <w:szCs w:val="24"/>
          <w:lang w:val="en-US"/>
        </w:rPr>
      </w:pPr>
    </w:p>
    <w:p xmlns:wp14="http://schemas.microsoft.com/office/word/2010/wordml" w:rsidP="5DAA5F55" wp14:paraId="2C078E63" wp14:textId="01A58879">
      <w:pPr>
        <w:pStyle w:val="Normal"/>
        <w:rPr>
          <w:rFonts w:ascii="Calibri" w:hAnsi="Calibri" w:eastAsia="Calibri" w:cs="Calibri"/>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r+yomhsqh1zvR" int2:id="z3kw6U6r">
      <int2:state int2:type="AugLoop_Text_Critique" int2:value="Rejected"/>
    </int2:textHash>
    <int2:bookmark int2:bookmarkName="_Int_dIIm03dC" int2:invalidationBookmarkName="" int2:hashCode="IS418lx2T7SJTb" int2:id="ebxOwTKG">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5d76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106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8E6C3E"/>
    <w:rsid w:val="00C516F4"/>
    <w:rsid w:val="01648505"/>
    <w:rsid w:val="01DB7F88"/>
    <w:rsid w:val="03F41859"/>
    <w:rsid w:val="04ACFBF7"/>
    <w:rsid w:val="06323F44"/>
    <w:rsid w:val="06671EB9"/>
    <w:rsid w:val="09FBE1AD"/>
    <w:rsid w:val="0C49ED41"/>
    <w:rsid w:val="0E2E7337"/>
    <w:rsid w:val="0F1A48A4"/>
    <w:rsid w:val="0FCA4398"/>
    <w:rsid w:val="147D5E89"/>
    <w:rsid w:val="14D7324F"/>
    <w:rsid w:val="150291A2"/>
    <w:rsid w:val="1612E51F"/>
    <w:rsid w:val="18EA2D58"/>
    <w:rsid w:val="1B743B9E"/>
    <w:rsid w:val="1C0CFBDB"/>
    <w:rsid w:val="1F97A735"/>
    <w:rsid w:val="22EDD360"/>
    <w:rsid w:val="246AE587"/>
    <w:rsid w:val="27470246"/>
    <w:rsid w:val="27AEA36C"/>
    <w:rsid w:val="2B5113AA"/>
    <w:rsid w:val="2BF1CC05"/>
    <w:rsid w:val="2BFDB49F"/>
    <w:rsid w:val="2D8F3A95"/>
    <w:rsid w:val="2D9CDEFF"/>
    <w:rsid w:val="2F9C9AC0"/>
    <w:rsid w:val="2FDE2280"/>
    <w:rsid w:val="313602A9"/>
    <w:rsid w:val="32D43B82"/>
    <w:rsid w:val="340C2083"/>
    <w:rsid w:val="3548FDB2"/>
    <w:rsid w:val="35A7F0E4"/>
    <w:rsid w:val="37E79C65"/>
    <w:rsid w:val="38539A07"/>
    <w:rsid w:val="3A9CB458"/>
    <w:rsid w:val="3F5366B1"/>
    <w:rsid w:val="3FEDF86A"/>
    <w:rsid w:val="40525FB9"/>
    <w:rsid w:val="40E4ECA7"/>
    <w:rsid w:val="40EC33E6"/>
    <w:rsid w:val="42F24CD2"/>
    <w:rsid w:val="444E5048"/>
    <w:rsid w:val="45C2A835"/>
    <w:rsid w:val="45EA20A9"/>
    <w:rsid w:val="46675BA4"/>
    <w:rsid w:val="475E7896"/>
    <w:rsid w:val="48B51321"/>
    <w:rsid w:val="4AEF584A"/>
    <w:rsid w:val="4C992F18"/>
    <w:rsid w:val="4D940D88"/>
    <w:rsid w:val="4DDB05B3"/>
    <w:rsid w:val="4F300BEC"/>
    <w:rsid w:val="4F63A586"/>
    <w:rsid w:val="503F918A"/>
    <w:rsid w:val="50B4AD29"/>
    <w:rsid w:val="5267ACAE"/>
    <w:rsid w:val="53717B68"/>
    <w:rsid w:val="551302AD"/>
    <w:rsid w:val="559F4D70"/>
    <w:rsid w:val="56A91C2A"/>
    <w:rsid w:val="573B1DD1"/>
    <w:rsid w:val="58D6EE32"/>
    <w:rsid w:val="5A159C61"/>
    <w:rsid w:val="5B86D7B8"/>
    <w:rsid w:val="5D4D3D23"/>
    <w:rsid w:val="5D878500"/>
    <w:rsid w:val="5D8B9BFE"/>
    <w:rsid w:val="5DAA5F55"/>
    <w:rsid w:val="5E084156"/>
    <w:rsid w:val="5EE90D84"/>
    <w:rsid w:val="5F25BDD9"/>
    <w:rsid w:val="62A327D6"/>
    <w:rsid w:val="63F92EFC"/>
    <w:rsid w:val="65BD5EC0"/>
    <w:rsid w:val="66FF23CB"/>
    <w:rsid w:val="67250D57"/>
    <w:rsid w:val="6741FFFD"/>
    <w:rsid w:val="680A818C"/>
    <w:rsid w:val="6CF0B285"/>
    <w:rsid w:val="6D4C8B64"/>
    <w:rsid w:val="6ED5D5CC"/>
    <w:rsid w:val="6F644106"/>
    <w:rsid w:val="6FAAA353"/>
    <w:rsid w:val="700E841B"/>
    <w:rsid w:val="767E20DA"/>
    <w:rsid w:val="76F87F38"/>
    <w:rsid w:val="7B8E6C3E"/>
    <w:rsid w:val="7DFA6D4F"/>
    <w:rsid w:val="7F2549EA"/>
    <w:rsid w:val="7FC8B4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BBEF7"/>
  <w15:chartTrackingRefBased/>
  <w15:docId w15:val="{5C4EB673-CBD9-483A-8015-41985FF2C7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ansardsociety.org.uk/research/parliament-acts/select-committees" TargetMode="External" Id="R72add1a9f70149b7" /><Relationship Type="http://schemas.microsoft.com/office/2020/10/relationships/intelligence" Target="intelligence2.xml" Id="R85e3e0ca7e6f4054" /><Relationship Type="http://schemas.openxmlformats.org/officeDocument/2006/relationships/numbering" Target="numbering.xml" Id="Rb22fdac7a82349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2024-04-16T17:34:49.4005514Z</dcterms:created>
  <dcterms:modified xsi:type="dcterms:W3CDTF">2024-04-16T18:53:23.0920979Z</dcterms:modified>
  <dc:creator>Olivia John (2317064)</dc:creator>
  <lastModifiedBy>Olivia John (2317064)</lastModifiedBy>
</coreProperties>
</file>