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431B1F" w:rsidRDefault="00431B1F">
      <w:pPr>
        <w:spacing w:line="360" w:lineRule="auto"/>
        <w:jc w:val="center"/>
        <w:rPr>
          <w:rFonts w:ascii="Times New Roman" w:hAnsi="Times New Roman" w:cs="Times New Roman"/>
          <w:sz w:val="24"/>
          <w:szCs w:val="24"/>
        </w:rPr>
      </w:pPr>
    </w:p>
    <w:p w:rsidR="00431B1F" w:rsidRDefault="00431B1F">
      <w:pPr>
        <w:spacing w:line="360" w:lineRule="auto"/>
        <w:jc w:val="center"/>
        <w:rPr>
          <w:rFonts w:ascii="Times New Roman" w:hAnsi="Times New Roman" w:cs="Times New Roman"/>
          <w:sz w:val="24"/>
          <w:szCs w:val="24"/>
        </w:rPr>
      </w:pPr>
    </w:p>
    <w:p w:rsidR="00431B1F" w:rsidRDefault="00431B1F">
      <w:pPr>
        <w:spacing w:line="360" w:lineRule="auto"/>
        <w:jc w:val="center"/>
        <w:rPr>
          <w:rFonts w:ascii="Times New Roman" w:hAnsi="Times New Roman" w:cs="Times New Roman"/>
          <w:sz w:val="24"/>
          <w:szCs w:val="24"/>
        </w:rPr>
      </w:pPr>
    </w:p>
    <w:p w:rsidR="00431B1F" w:rsidRDefault="00000000">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3449955" cy="1379855"/>
            <wp:effectExtent l="0" t="0" r="0" b="0"/>
            <wp:docPr id="13657675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767572" name="Picture 1"/>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3479933" cy="1391973"/>
                    </a:xfrm>
                    <a:prstGeom prst="rect">
                      <a:avLst/>
                    </a:prstGeom>
                  </pic:spPr>
                </pic:pic>
              </a:graphicData>
            </a:graphic>
          </wp:inline>
        </w:drawing>
      </w:r>
    </w:p>
    <w:p w:rsidR="00431B1F" w:rsidRDefault="00000000">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University of Wales Trinity Saint David, London</w:t>
      </w:r>
    </w:p>
    <w:p w:rsidR="00431B1F" w:rsidRDefault="00000000">
      <w:pPr>
        <w:spacing w:line="360" w:lineRule="auto"/>
        <w:jc w:val="center"/>
        <w:rPr>
          <w:rFonts w:ascii="Times New Roman" w:hAnsi="Times New Roman" w:cs="Times New Roman"/>
          <w:b/>
          <w:bCs/>
          <w:sz w:val="32"/>
          <w:szCs w:val="32"/>
        </w:rPr>
      </w:pPr>
      <w:r>
        <w:rPr>
          <w:rFonts w:ascii="Times New Roman" w:hAnsi="Times New Roman" w:cs="Times New Roman"/>
          <w:b/>
          <w:bCs/>
          <w:sz w:val="28"/>
          <w:szCs w:val="28"/>
        </w:rPr>
        <w:t xml:space="preserve">Assessment Title: The Influence of National and International </w:t>
      </w:r>
      <w:proofErr w:type="spellStart"/>
      <w:r>
        <w:rPr>
          <w:rFonts w:ascii="Times New Roman" w:hAnsi="Times New Roman" w:cs="Times New Roman"/>
          <w:b/>
          <w:bCs/>
          <w:sz w:val="28"/>
          <w:szCs w:val="28"/>
        </w:rPr>
        <w:t>Labour</w:t>
      </w:r>
      <w:proofErr w:type="spellEnd"/>
      <w:r>
        <w:rPr>
          <w:rFonts w:ascii="Times New Roman" w:hAnsi="Times New Roman" w:cs="Times New Roman"/>
          <w:b/>
          <w:bCs/>
          <w:sz w:val="28"/>
          <w:szCs w:val="28"/>
        </w:rPr>
        <w:t xml:space="preserve"> Markets on HRM and IHRM Strategies</w:t>
      </w:r>
    </w:p>
    <w:p w:rsidR="00431B1F" w:rsidRDefault="00000000">
      <w:pPr>
        <w:spacing w:line="480" w:lineRule="auto"/>
        <w:jc w:val="center"/>
        <w:rPr>
          <w:rFonts w:ascii="Times New Roman" w:hAnsi="Times New Roman" w:cs="Times New Roman"/>
          <w:sz w:val="28"/>
          <w:szCs w:val="28"/>
        </w:rPr>
      </w:pPr>
      <w:proofErr w:type="spellStart"/>
      <w:r>
        <w:rPr>
          <w:rFonts w:ascii="Times New Roman" w:hAnsi="Times New Roman" w:cs="Times New Roman"/>
          <w:b/>
          <w:bCs/>
          <w:sz w:val="28"/>
          <w:szCs w:val="28"/>
        </w:rPr>
        <w:t>Programme</w:t>
      </w:r>
      <w:proofErr w:type="spellEnd"/>
      <w:r>
        <w:rPr>
          <w:rFonts w:ascii="Times New Roman" w:hAnsi="Times New Roman" w:cs="Times New Roman"/>
          <w:b/>
          <w:bCs/>
          <w:sz w:val="28"/>
          <w:szCs w:val="28"/>
        </w:rPr>
        <w:t>: </w:t>
      </w:r>
      <w:r>
        <w:rPr>
          <w:rFonts w:ascii="Times New Roman" w:hAnsi="Times New Roman" w:cs="Times New Roman"/>
          <w:sz w:val="28"/>
          <w:szCs w:val="28"/>
        </w:rPr>
        <w:t>Master of Business Administration</w:t>
      </w:r>
      <w:r>
        <w:rPr>
          <w:rFonts w:ascii="Times New Roman" w:hAnsi="Times New Roman" w:cs="Times New Roman"/>
          <w:b/>
          <w:bCs/>
          <w:sz w:val="28"/>
          <w:szCs w:val="28"/>
        </w:rPr>
        <w:br/>
        <w:t>Module: </w:t>
      </w:r>
      <w:r>
        <w:rPr>
          <w:rFonts w:ascii="Times New Roman" w:hAnsi="Times New Roman" w:cs="Times New Roman"/>
          <w:sz w:val="28"/>
          <w:szCs w:val="28"/>
        </w:rPr>
        <w:t>Human Capital Management (LCMB7023)</w:t>
      </w:r>
      <w:r>
        <w:rPr>
          <w:rFonts w:ascii="Times New Roman" w:hAnsi="Times New Roman" w:cs="Times New Roman"/>
          <w:b/>
          <w:bCs/>
          <w:sz w:val="28"/>
          <w:szCs w:val="28"/>
        </w:rPr>
        <w:br/>
        <w:t>Lecturer: </w:t>
      </w:r>
      <w:r>
        <w:rPr>
          <w:rFonts w:ascii="Times New Roman" w:hAnsi="Times New Roman" w:cs="Times New Roman"/>
          <w:sz w:val="28"/>
          <w:szCs w:val="28"/>
        </w:rPr>
        <w:t>Gladius Kulothungan</w:t>
      </w:r>
      <w:r>
        <w:rPr>
          <w:rFonts w:ascii="Times New Roman" w:hAnsi="Times New Roman" w:cs="Times New Roman"/>
          <w:b/>
          <w:bCs/>
          <w:sz w:val="28"/>
          <w:szCs w:val="28"/>
        </w:rPr>
        <w:br/>
        <w:t>Student Name: </w:t>
      </w:r>
      <w:r>
        <w:rPr>
          <w:rFonts w:ascii="Times New Roman" w:hAnsi="Times New Roman" w:cs="Times New Roman"/>
          <w:sz w:val="28"/>
          <w:szCs w:val="28"/>
        </w:rPr>
        <w:t>Kamran Akhtar</w:t>
      </w:r>
      <w:r>
        <w:rPr>
          <w:rFonts w:ascii="Times New Roman" w:hAnsi="Times New Roman" w:cs="Times New Roman"/>
          <w:b/>
          <w:bCs/>
          <w:sz w:val="28"/>
          <w:szCs w:val="28"/>
        </w:rPr>
        <w:t xml:space="preserve"> </w:t>
      </w:r>
      <w:r>
        <w:rPr>
          <w:rFonts w:ascii="Times New Roman" w:hAnsi="Times New Roman" w:cs="Times New Roman"/>
          <w:b/>
          <w:bCs/>
          <w:sz w:val="28"/>
          <w:szCs w:val="28"/>
        </w:rPr>
        <w:br/>
        <w:t>Student ID: </w:t>
      </w:r>
      <w:r>
        <w:rPr>
          <w:rFonts w:ascii="Times New Roman" w:hAnsi="Times New Roman" w:cs="Times New Roman"/>
          <w:sz w:val="28"/>
          <w:szCs w:val="28"/>
        </w:rPr>
        <w:t>2433466</w:t>
      </w:r>
    </w:p>
    <w:p w:rsidR="00431B1F" w:rsidRDefault="00000000">
      <w:pPr>
        <w:spacing w:line="480" w:lineRule="auto"/>
        <w:jc w:val="center"/>
        <w:rPr>
          <w:rFonts w:ascii="Times New Roman" w:hAnsi="Times New Roman" w:cs="Times New Roman"/>
          <w:b/>
          <w:bCs/>
          <w:sz w:val="28"/>
          <w:szCs w:val="28"/>
        </w:rPr>
      </w:pPr>
      <w:r>
        <w:rPr>
          <w:rFonts w:ascii="Times New Roman" w:hAnsi="Times New Roman" w:cs="Times New Roman"/>
          <w:sz w:val="28"/>
          <w:szCs w:val="28"/>
        </w:rPr>
        <w:t>Word Count: 2</w:t>
      </w:r>
      <w:r w:rsidR="00F951E2">
        <w:rPr>
          <w:rFonts w:ascii="Times New Roman" w:hAnsi="Times New Roman" w:cs="Times New Roman"/>
          <w:sz w:val="28"/>
          <w:szCs w:val="28"/>
        </w:rPr>
        <w:t>718</w:t>
      </w:r>
      <w:r>
        <w:rPr>
          <w:rFonts w:ascii="Times New Roman" w:hAnsi="Times New Roman" w:cs="Times New Roman"/>
          <w:b/>
          <w:bCs/>
          <w:sz w:val="28"/>
          <w:szCs w:val="28"/>
        </w:rPr>
        <w:br/>
        <w:t>Submission Date: </w:t>
      </w:r>
      <w:r w:rsidR="00514746">
        <w:rPr>
          <w:rFonts w:ascii="Times New Roman" w:hAnsi="Times New Roman" w:cs="Times New Roman"/>
          <w:sz w:val="28"/>
          <w:szCs w:val="28"/>
        </w:rPr>
        <w:t>12</w:t>
      </w:r>
      <w:r w:rsidR="00514746" w:rsidRPr="00514746">
        <w:rPr>
          <w:rFonts w:ascii="Times New Roman" w:hAnsi="Times New Roman" w:cs="Times New Roman"/>
          <w:sz w:val="28"/>
          <w:szCs w:val="28"/>
          <w:vertAlign w:val="superscript"/>
        </w:rPr>
        <w:t>th</w:t>
      </w:r>
      <w:r w:rsidR="00514746">
        <w:rPr>
          <w:rFonts w:ascii="Times New Roman" w:hAnsi="Times New Roman" w:cs="Times New Roman"/>
          <w:sz w:val="28"/>
          <w:szCs w:val="28"/>
        </w:rPr>
        <w:t xml:space="preserve"> </w:t>
      </w:r>
      <w:r>
        <w:rPr>
          <w:rFonts w:ascii="Times New Roman" w:hAnsi="Times New Roman" w:cs="Times New Roman"/>
          <w:sz w:val="28"/>
          <w:szCs w:val="28"/>
        </w:rPr>
        <w:t>November, 2025</w:t>
      </w:r>
    </w:p>
    <w:p w:rsidR="00431B1F" w:rsidRDefault="00431B1F">
      <w:pPr>
        <w:spacing w:line="360" w:lineRule="auto"/>
        <w:rPr>
          <w:rFonts w:ascii="Times New Roman" w:hAnsi="Times New Roman" w:cs="Times New Roman"/>
          <w:sz w:val="24"/>
          <w:szCs w:val="24"/>
        </w:rPr>
      </w:pPr>
    </w:p>
    <w:p w:rsidR="00431B1F" w:rsidRDefault="00431B1F">
      <w:pPr>
        <w:spacing w:line="360" w:lineRule="auto"/>
        <w:rPr>
          <w:rFonts w:ascii="Times New Roman" w:hAnsi="Times New Roman" w:cs="Times New Roman"/>
          <w:sz w:val="24"/>
          <w:szCs w:val="24"/>
        </w:rPr>
      </w:pPr>
    </w:p>
    <w:p w:rsidR="00431B1F" w:rsidRDefault="00431B1F">
      <w:pPr>
        <w:spacing w:line="360" w:lineRule="auto"/>
        <w:rPr>
          <w:rFonts w:ascii="Times New Roman" w:hAnsi="Times New Roman" w:cs="Times New Roman"/>
          <w:sz w:val="24"/>
          <w:szCs w:val="24"/>
        </w:rPr>
      </w:pPr>
    </w:p>
    <w:p w:rsidR="00431B1F" w:rsidRDefault="00431B1F">
      <w:pPr>
        <w:spacing w:line="360" w:lineRule="auto"/>
        <w:rPr>
          <w:rFonts w:ascii="Times New Roman" w:hAnsi="Times New Roman" w:cs="Times New Roman"/>
          <w:sz w:val="24"/>
          <w:szCs w:val="24"/>
        </w:rPr>
      </w:pPr>
    </w:p>
    <w:sdt>
      <w:sdtPr>
        <w:rPr>
          <w:rFonts w:asciiTheme="minorHAnsi" w:eastAsiaTheme="minorHAnsi" w:hAnsiTheme="minorHAnsi" w:cstheme="minorBidi"/>
          <w:color w:val="auto"/>
          <w:kern w:val="2"/>
          <w:sz w:val="22"/>
          <w:szCs w:val="22"/>
          <w14:ligatures w14:val="standardContextual"/>
        </w:rPr>
        <w:id w:val="-1873063716"/>
        <w:docPartObj>
          <w:docPartGallery w:val="Table of Contents"/>
          <w:docPartUnique/>
        </w:docPartObj>
      </w:sdtPr>
      <w:sdtEndPr>
        <w:rPr>
          <w:b/>
          <w:bCs/>
        </w:rPr>
      </w:sdtEndPr>
      <w:sdtContent>
        <w:p w:rsidR="00431B1F" w:rsidRDefault="00000000">
          <w:pPr>
            <w:pStyle w:val="TOCHeading1"/>
            <w:spacing w:line="360" w:lineRule="auto"/>
            <w:rPr>
              <w:rFonts w:ascii="Times New Roman" w:hAnsi="Times New Roman" w:cs="Times New Roman"/>
              <w:b/>
              <w:bCs/>
            </w:rPr>
          </w:pPr>
          <w:r>
            <w:rPr>
              <w:rFonts w:ascii="Times New Roman" w:hAnsi="Times New Roman" w:cs="Times New Roman"/>
              <w:b/>
              <w:bCs/>
            </w:rPr>
            <w:t>Table of Contents</w:t>
          </w:r>
        </w:p>
        <w:p w:rsidR="00431B1F" w:rsidRDefault="00000000">
          <w:pPr>
            <w:pStyle w:val="TOC1"/>
            <w:rPr>
              <w:rFonts w:eastAsiaTheme="minorEastAsia"/>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hyperlink w:anchor="_Toc213026644" w:history="1">
            <w:r w:rsidR="00431B1F">
              <w:rPr>
                <w:rStyle w:val="Hyperlink"/>
              </w:rPr>
              <w:t>1.0 Executive Summary</w:t>
            </w:r>
            <w:r w:rsidR="00431B1F">
              <w:tab/>
            </w:r>
            <w:r w:rsidR="00431B1F">
              <w:fldChar w:fldCharType="begin"/>
            </w:r>
            <w:r w:rsidR="00431B1F">
              <w:instrText xml:space="preserve"> PAGEREF _Toc213026644 \h </w:instrText>
            </w:r>
            <w:r w:rsidR="00431B1F">
              <w:fldChar w:fldCharType="separate"/>
            </w:r>
            <w:r w:rsidR="00431B1F">
              <w:t>4</w:t>
            </w:r>
            <w:r w:rsidR="00431B1F">
              <w:fldChar w:fldCharType="end"/>
            </w:r>
          </w:hyperlink>
        </w:p>
        <w:p w:rsidR="00431B1F" w:rsidRDefault="00431B1F">
          <w:pPr>
            <w:pStyle w:val="TOC1"/>
            <w:rPr>
              <w:rFonts w:eastAsiaTheme="minorEastAsia"/>
              <w:sz w:val="24"/>
              <w:szCs w:val="24"/>
            </w:rPr>
          </w:pPr>
          <w:hyperlink w:anchor="_Toc213026645" w:history="1">
            <w:r>
              <w:rPr>
                <w:rStyle w:val="Hyperlink"/>
              </w:rPr>
              <w:t>2.0 Introduction</w:t>
            </w:r>
            <w:r>
              <w:tab/>
            </w:r>
            <w:r>
              <w:fldChar w:fldCharType="begin"/>
            </w:r>
            <w:r>
              <w:instrText xml:space="preserve"> PAGEREF _Toc213026645 \h </w:instrText>
            </w:r>
            <w:r>
              <w:fldChar w:fldCharType="separate"/>
            </w:r>
            <w:r>
              <w:t>4</w:t>
            </w:r>
            <w:r>
              <w:fldChar w:fldCharType="end"/>
            </w:r>
          </w:hyperlink>
        </w:p>
        <w:p w:rsidR="00431B1F" w:rsidRDefault="00431B1F">
          <w:pPr>
            <w:pStyle w:val="TOC1"/>
            <w:rPr>
              <w:rFonts w:eastAsiaTheme="minorEastAsia"/>
              <w:sz w:val="24"/>
              <w:szCs w:val="24"/>
            </w:rPr>
          </w:pPr>
          <w:hyperlink w:anchor="_Toc213026646" w:history="1">
            <w:r>
              <w:rPr>
                <w:rStyle w:val="Hyperlink"/>
              </w:rPr>
              <w:t>3.0 Technological Advancements Reshaping Labour Markets</w:t>
            </w:r>
            <w:r>
              <w:tab/>
            </w:r>
            <w:r>
              <w:fldChar w:fldCharType="begin"/>
            </w:r>
            <w:r>
              <w:instrText xml:space="preserve"> PAGEREF _Toc213026646 \h </w:instrText>
            </w:r>
            <w:r>
              <w:fldChar w:fldCharType="separate"/>
            </w:r>
            <w:r>
              <w:t>5</w:t>
            </w:r>
            <w:r>
              <w:fldChar w:fldCharType="end"/>
            </w:r>
          </w:hyperlink>
        </w:p>
        <w:p w:rsidR="00431B1F" w:rsidRDefault="00431B1F">
          <w:pPr>
            <w:pStyle w:val="TOC2"/>
            <w:tabs>
              <w:tab w:val="right" w:leader="dot" w:pos="9350"/>
            </w:tabs>
            <w:rPr>
              <w:rFonts w:eastAsiaTheme="minorEastAsia"/>
              <w:sz w:val="24"/>
              <w:szCs w:val="24"/>
            </w:rPr>
          </w:pPr>
          <w:hyperlink w:anchor="_Toc213026647" w:history="1">
            <w:r>
              <w:rPr>
                <w:rStyle w:val="Hyperlink"/>
              </w:rPr>
              <w:t>3.1 Drivers</w:t>
            </w:r>
            <w:r>
              <w:tab/>
            </w:r>
            <w:r>
              <w:fldChar w:fldCharType="begin"/>
            </w:r>
            <w:r>
              <w:instrText xml:space="preserve"> PAGEREF _Toc213026647 \h </w:instrText>
            </w:r>
            <w:r>
              <w:fldChar w:fldCharType="separate"/>
            </w:r>
            <w:r>
              <w:t>5</w:t>
            </w:r>
            <w:r>
              <w:fldChar w:fldCharType="end"/>
            </w:r>
          </w:hyperlink>
        </w:p>
        <w:p w:rsidR="00431B1F" w:rsidRDefault="00431B1F">
          <w:pPr>
            <w:pStyle w:val="TOC2"/>
            <w:tabs>
              <w:tab w:val="right" w:leader="dot" w:pos="9350"/>
            </w:tabs>
            <w:rPr>
              <w:rFonts w:eastAsiaTheme="minorEastAsia"/>
              <w:sz w:val="24"/>
              <w:szCs w:val="24"/>
            </w:rPr>
          </w:pPr>
          <w:hyperlink w:anchor="_Toc213026648" w:history="1">
            <w:r>
              <w:rPr>
                <w:rStyle w:val="Hyperlink"/>
              </w:rPr>
              <w:t>3.2 Labour Market Impact</w:t>
            </w:r>
            <w:r>
              <w:tab/>
            </w:r>
            <w:r>
              <w:fldChar w:fldCharType="begin"/>
            </w:r>
            <w:r>
              <w:instrText xml:space="preserve"> PAGEREF _Toc213026648 \h </w:instrText>
            </w:r>
            <w:r>
              <w:fldChar w:fldCharType="separate"/>
            </w:r>
            <w:r>
              <w:t>5</w:t>
            </w:r>
            <w:r>
              <w:fldChar w:fldCharType="end"/>
            </w:r>
          </w:hyperlink>
        </w:p>
        <w:p w:rsidR="00431B1F" w:rsidRDefault="00431B1F">
          <w:pPr>
            <w:pStyle w:val="TOC2"/>
            <w:tabs>
              <w:tab w:val="right" w:leader="dot" w:pos="9350"/>
            </w:tabs>
            <w:rPr>
              <w:rFonts w:eastAsiaTheme="minorEastAsia"/>
              <w:sz w:val="24"/>
              <w:szCs w:val="24"/>
            </w:rPr>
          </w:pPr>
          <w:hyperlink w:anchor="_Toc213026649" w:history="1">
            <w:r>
              <w:rPr>
                <w:rStyle w:val="Hyperlink"/>
              </w:rPr>
              <w:t>3.3 HRM Implications</w:t>
            </w:r>
            <w:r>
              <w:tab/>
            </w:r>
            <w:r>
              <w:fldChar w:fldCharType="begin"/>
            </w:r>
            <w:r>
              <w:instrText xml:space="preserve"> PAGEREF _Toc213026649 \h </w:instrText>
            </w:r>
            <w:r>
              <w:fldChar w:fldCharType="separate"/>
            </w:r>
            <w:r>
              <w:t>5</w:t>
            </w:r>
            <w:r>
              <w:fldChar w:fldCharType="end"/>
            </w:r>
          </w:hyperlink>
        </w:p>
        <w:p w:rsidR="00431B1F" w:rsidRDefault="00431B1F">
          <w:pPr>
            <w:pStyle w:val="TOC2"/>
            <w:tabs>
              <w:tab w:val="right" w:leader="dot" w:pos="9350"/>
            </w:tabs>
            <w:rPr>
              <w:rFonts w:eastAsiaTheme="minorEastAsia"/>
              <w:sz w:val="24"/>
              <w:szCs w:val="24"/>
            </w:rPr>
          </w:pPr>
          <w:hyperlink w:anchor="_Toc213026650" w:history="1">
            <w:r>
              <w:rPr>
                <w:rStyle w:val="Hyperlink"/>
              </w:rPr>
              <w:t>3.4 IHRM Implications</w:t>
            </w:r>
            <w:r>
              <w:tab/>
            </w:r>
            <w:r>
              <w:fldChar w:fldCharType="begin"/>
            </w:r>
            <w:r>
              <w:instrText xml:space="preserve"> PAGEREF _Toc213026650 \h </w:instrText>
            </w:r>
            <w:r>
              <w:fldChar w:fldCharType="separate"/>
            </w:r>
            <w:r>
              <w:t>6</w:t>
            </w:r>
            <w:r>
              <w:fldChar w:fldCharType="end"/>
            </w:r>
          </w:hyperlink>
        </w:p>
        <w:p w:rsidR="00431B1F" w:rsidRDefault="00431B1F">
          <w:pPr>
            <w:pStyle w:val="TOC2"/>
            <w:tabs>
              <w:tab w:val="right" w:leader="dot" w:pos="9350"/>
            </w:tabs>
            <w:rPr>
              <w:rFonts w:eastAsiaTheme="minorEastAsia"/>
              <w:sz w:val="24"/>
              <w:szCs w:val="24"/>
            </w:rPr>
          </w:pPr>
          <w:hyperlink w:anchor="_Toc213026651" w:history="1">
            <w:r>
              <w:rPr>
                <w:rStyle w:val="Hyperlink"/>
              </w:rPr>
              <w:t>3.5 Implementation Challenges and Ethical Considerations</w:t>
            </w:r>
            <w:r>
              <w:tab/>
            </w:r>
            <w:r>
              <w:fldChar w:fldCharType="begin"/>
            </w:r>
            <w:r>
              <w:instrText xml:space="preserve"> PAGEREF _Toc213026651 \h </w:instrText>
            </w:r>
            <w:r>
              <w:fldChar w:fldCharType="separate"/>
            </w:r>
            <w:r>
              <w:t>7</w:t>
            </w:r>
            <w:r>
              <w:fldChar w:fldCharType="end"/>
            </w:r>
          </w:hyperlink>
        </w:p>
        <w:p w:rsidR="00431B1F" w:rsidRDefault="00431B1F">
          <w:pPr>
            <w:pStyle w:val="TOC2"/>
            <w:tabs>
              <w:tab w:val="right" w:leader="dot" w:pos="9350"/>
            </w:tabs>
            <w:rPr>
              <w:rFonts w:eastAsiaTheme="minorEastAsia"/>
              <w:sz w:val="24"/>
              <w:szCs w:val="24"/>
            </w:rPr>
          </w:pPr>
          <w:hyperlink w:anchor="_Toc213026652" w:history="1">
            <w:r>
              <w:rPr>
                <w:rStyle w:val="Hyperlink"/>
              </w:rPr>
              <w:t>3.6 Future Trends and Strategic Preparation</w:t>
            </w:r>
            <w:r>
              <w:tab/>
            </w:r>
            <w:r>
              <w:fldChar w:fldCharType="begin"/>
            </w:r>
            <w:r>
              <w:instrText xml:space="preserve"> PAGEREF _Toc213026652 \h </w:instrText>
            </w:r>
            <w:r>
              <w:fldChar w:fldCharType="separate"/>
            </w:r>
            <w:r>
              <w:t>8</w:t>
            </w:r>
            <w:r>
              <w:fldChar w:fldCharType="end"/>
            </w:r>
          </w:hyperlink>
        </w:p>
        <w:p w:rsidR="00431B1F" w:rsidRDefault="00431B1F">
          <w:pPr>
            <w:pStyle w:val="TOC1"/>
            <w:rPr>
              <w:rFonts w:eastAsiaTheme="minorEastAsia"/>
              <w:sz w:val="24"/>
              <w:szCs w:val="24"/>
            </w:rPr>
          </w:pPr>
          <w:hyperlink w:anchor="_Toc213026653" w:history="1">
            <w:r>
              <w:rPr>
                <w:rStyle w:val="Hyperlink"/>
              </w:rPr>
              <w:t>4.0 Demographic and Geopolitical Influences on Employment</w:t>
            </w:r>
            <w:r>
              <w:tab/>
            </w:r>
            <w:r>
              <w:fldChar w:fldCharType="begin"/>
            </w:r>
            <w:r>
              <w:instrText xml:space="preserve"> PAGEREF _Toc213026653 \h </w:instrText>
            </w:r>
            <w:r>
              <w:fldChar w:fldCharType="separate"/>
            </w:r>
            <w:r>
              <w:t>8</w:t>
            </w:r>
            <w:r>
              <w:fldChar w:fldCharType="end"/>
            </w:r>
          </w:hyperlink>
        </w:p>
        <w:p w:rsidR="00431B1F" w:rsidRDefault="00431B1F">
          <w:pPr>
            <w:pStyle w:val="TOC2"/>
            <w:tabs>
              <w:tab w:val="right" w:leader="dot" w:pos="9350"/>
            </w:tabs>
            <w:rPr>
              <w:rFonts w:eastAsiaTheme="minorEastAsia"/>
              <w:sz w:val="24"/>
              <w:szCs w:val="24"/>
            </w:rPr>
          </w:pPr>
          <w:hyperlink w:anchor="_Toc213026654" w:history="1">
            <w:r>
              <w:rPr>
                <w:rStyle w:val="Hyperlink"/>
              </w:rPr>
              <w:t>4.1 Demographic Shifts</w:t>
            </w:r>
            <w:r>
              <w:tab/>
            </w:r>
            <w:r>
              <w:fldChar w:fldCharType="begin"/>
            </w:r>
            <w:r>
              <w:instrText xml:space="preserve"> PAGEREF _Toc213026654 \h </w:instrText>
            </w:r>
            <w:r>
              <w:fldChar w:fldCharType="separate"/>
            </w:r>
            <w:r>
              <w:t>8</w:t>
            </w:r>
            <w:r>
              <w:fldChar w:fldCharType="end"/>
            </w:r>
          </w:hyperlink>
        </w:p>
        <w:p w:rsidR="00431B1F" w:rsidRDefault="00431B1F">
          <w:pPr>
            <w:pStyle w:val="TOC2"/>
            <w:tabs>
              <w:tab w:val="right" w:leader="dot" w:pos="9350"/>
            </w:tabs>
            <w:rPr>
              <w:rFonts w:eastAsiaTheme="minorEastAsia"/>
              <w:sz w:val="24"/>
              <w:szCs w:val="24"/>
            </w:rPr>
          </w:pPr>
          <w:hyperlink w:anchor="_Toc213026655" w:history="1">
            <w:r>
              <w:rPr>
                <w:rStyle w:val="Hyperlink"/>
              </w:rPr>
              <w:t>4.2 Geopolitical Forces</w:t>
            </w:r>
            <w:r>
              <w:tab/>
            </w:r>
            <w:r>
              <w:fldChar w:fldCharType="begin"/>
            </w:r>
            <w:r>
              <w:instrText xml:space="preserve"> PAGEREF _Toc213026655 \h </w:instrText>
            </w:r>
            <w:r>
              <w:fldChar w:fldCharType="separate"/>
            </w:r>
            <w:r>
              <w:t>9</w:t>
            </w:r>
            <w:r>
              <w:fldChar w:fldCharType="end"/>
            </w:r>
          </w:hyperlink>
        </w:p>
        <w:p w:rsidR="00431B1F" w:rsidRDefault="00431B1F">
          <w:pPr>
            <w:pStyle w:val="TOC2"/>
            <w:tabs>
              <w:tab w:val="right" w:leader="dot" w:pos="9350"/>
            </w:tabs>
            <w:rPr>
              <w:rFonts w:eastAsiaTheme="minorEastAsia"/>
              <w:sz w:val="24"/>
              <w:szCs w:val="24"/>
            </w:rPr>
          </w:pPr>
          <w:hyperlink w:anchor="_Toc213026656" w:history="1">
            <w:r>
              <w:rPr>
                <w:rStyle w:val="Hyperlink"/>
              </w:rPr>
              <w:t>4.3 HRM/IHRM Challenges</w:t>
            </w:r>
            <w:r>
              <w:tab/>
            </w:r>
            <w:r>
              <w:fldChar w:fldCharType="begin"/>
            </w:r>
            <w:r>
              <w:instrText xml:space="preserve"> PAGEREF _Toc213026656 \h </w:instrText>
            </w:r>
            <w:r>
              <w:fldChar w:fldCharType="separate"/>
            </w:r>
            <w:r>
              <w:t>9</w:t>
            </w:r>
            <w:r>
              <w:fldChar w:fldCharType="end"/>
            </w:r>
          </w:hyperlink>
        </w:p>
        <w:p w:rsidR="00431B1F" w:rsidRDefault="00431B1F">
          <w:pPr>
            <w:pStyle w:val="TOC1"/>
            <w:rPr>
              <w:rFonts w:eastAsiaTheme="minorEastAsia"/>
              <w:sz w:val="24"/>
              <w:szCs w:val="24"/>
            </w:rPr>
          </w:pPr>
          <w:hyperlink w:anchor="_Toc213026657" w:history="1">
            <w:r>
              <w:rPr>
                <w:rStyle w:val="Hyperlink"/>
              </w:rPr>
              <w:t>5.0 Strategic HRM Solutions for Skills Gaps</w:t>
            </w:r>
            <w:r>
              <w:tab/>
            </w:r>
            <w:r>
              <w:fldChar w:fldCharType="begin"/>
            </w:r>
            <w:r>
              <w:instrText xml:space="preserve"> PAGEREF _Toc213026657 \h </w:instrText>
            </w:r>
            <w:r>
              <w:fldChar w:fldCharType="separate"/>
            </w:r>
            <w:r>
              <w:t>10</w:t>
            </w:r>
            <w:r>
              <w:fldChar w:fldCharType="end"/>
            </w:r>
          </w:hyperlink>
        </w:p>
        <w:p w:rsidR="00431B1F" w:rsidRDefault="00431B1F">
          <w:pPr>
            <w:pStyle w:val="TOC2"/>
            <w:tabs>
              <w:tab w:val="right" w:leader="dot" w:pos="9350"/>
            </w:tabs>
            <w:rPr>
              <w:rFonts w:eastAsiaTheme="minorEastAsia"/>
              <w:sz w:val="24"/>
              <w:szCs w:val="24"/>
            </w:rPr>
          </w:pPr>
          <w:hyperlink w:anchor="_Toc213026658" w:history="1">
            <w:r>
              <w:rPr>
                <w:rStyle w:val="Hyperlink"/>
              </w:rPr>
              <w:t>5.1 The Shortage Crisis</w:t>
            </w:r>
            <w:r>
              <w:tab/>
            </w:r>
            <w:r>
              <w:fldChar w:fldCharType="begin"/>
            </w:r>
            <w:r>
              <w:instrText xml:space="preserve"> PAGEREF _Toc213026658 \h </w:instrText>
            </w:r>
            <w:r>
              <w:fldChar w:fldCharType="separate"/>
            </w:r>
            <w:r>
              <w:t>10</w:t>
            </w:r>
            <w:r>
              <w:fldChar w:fldCharType="end"/>
            </w:r>
          </w:hyperlink>
        </w:p>
        <w:p w:rsidR="00431B1F" w:rsidRDefault="00431B1F">
          <w:pPr>
            <w:pStyle w:val="TOC2"/>
            <w:tabs>
              <w:tab w:val="right" w:leader="dot" w:pos="9350"/>
            </w:tabs>
            <w:rPr>
              <w:rFonts w:eastAsiaTheme="minorEastAsia"/>
              <w:sz w:val="24"/>
              <w:szCs w:val="24"/>
            </w:rPr>
          </w:pPr>
          <w:hyperlink w:anchor="_Toc213026659" w:history="1">
            <w:r>
              <w:rPr>
                <w:rStyle w:val="Hyperlink"/>
              </w:rPr>
              <w:t>5.2 Strategic HRM Responses</w:t>
            </w:r>
            <w:r>
              <w:tab/>
            </w:r>
            <w:r>
              <w:fldChar w:fldCharType="begin"/>
            </w:r>
            <w:r>
              <w:instrText xml:space="preserve"> PAGEREF _Toc213026659 \h </w:instrText>
            </w:r>
            <w:r>
              <w:fldChar w:fldCharType="separate"/>
            </w:r>
            <w:r>
              <w:t>11</w:t>
            </w:r>
            <w:r>
              <w:fldChar w:fldCharType="end"/>
            </w:r>
          </w:hyperlink>
        </w:p>
        <w:p w:rsidR="00431B1F" w:rsidRDefault="00431B1F">
          <w:pPr>
            <w:pStyle w:val="TOC2"/>
            <w:tabs>
              <w:tab w:val="right" w:leader="dot" w:pos="9350"/>
            </w:tabs>
            <w:rPr>
              <w:rFonts w:eastAsiaTheme="minorEastAsia"/>
              <w:sz w:val="24"/>
              <w:szCs w:val="24"/>
            </w:rPr>
          </w:pPr>
          <w:hyperlink w:anchor="_Toc213026660" w:history="1">
            <w:r>
              <w:rPr>
                <w:rStyle w:val="Hyperlink"/>
              </w:rPr>
              <w:t>5.3 IHRM &amp; Work Redesign</w:t>
            </w:r>
            <w:r>
              <w:tab/>
            </w:r>
            <w:r>
              <w:fldChar w:fldCharType="begin"/>
            </w:r>
            <w:r>
              <w:instrText xml:space="preserve"> PAGEREF _Toc213026660 \h </w:instrText>
            </w:r>
            <w:r>
              <w:fldChar w:fldCharType="separate"/>
            </w:r>
            <w:r>
              <w:t>11</w:t>
            </w:r>
            <w:r>
              <w:fldChar w:fldCharType="end"/>
            </w:r>
          </w:hyperlink>
        </w:p>
        <w:p w:rsidR="00431B1F" w:rsidRDefault="00431B1F">
          <w:pPr>
            <w:pStyle w:val="TOC2"/>
            <w:tabs>
              <w:tab w:val="right" w:leader="dot" w:pos="9350"/>
            </w:tabs>
            <w:rPr>
              <w:rFonts w:eastAsiaTheme="minorEastAsia"/>
              <w:sz w:val="24"/>
              <w:szCs w:val="24"/>
            </w:rPr>
          </w:pPr>
          <w:hyperlink w:anchor="_Toc213026661" w:history="1">
            <w:r>
              <w:rPr>
                <w:rStyle w:val="Hyperlink"/>
              </w:rPr>
              <w:t>5.4 Implementation and Measurement Framework</w:t>
            </w:r>
            <w:r>
              <w:tab/>
            </w:r>
            <w:r>
              <w:fldChar w:fldCharType="begin"/>
            </w:r>
            <w:r>
              <w:instrText xml:space="preserve"> PAGEREF _Toc213026661 \h </w:instrText>
            </w:r>
            <w:r>
              <w:fldChar w:fldCharType="separate"/>
            </w:r>
            <w:r>
              <w:t>12</w:t>
            </w:r>
            <w:r>
              <w:fldChar w:fldCharType="end"/>
            </w:r>
          </w:hyperlink>
        </w:p>
        <w:p w:rsidR="00431B1F" w:rsidRDefault="00431B1F">
          <w:pPr>
            <w:pStyle w:val="TOC1"/>
            <w:rPr>
              <w:rFonts w:eastAsiaTheme="minorEastAsia"/>
              <w:sz w:val="24"/>
              <w:szCs w:val="24"/>
            </w:rPr>
          </w:pPr>
          <w:hyperlink w:anchor="_Toc213026662" w:history="1">
            <w:r>
              <w:rPr>
                <w:rStyle w:val="Hyperlink"/>
              </w:rPr>
              <w:t>6.0 Personal Reflective Report to Global Capabilities.</w:t>
            </w:r>
            <w:r>
              <w:tab/>
            </w:r>
            <w:r>
              <w:fldChar w:fldCharType="begin"/>
            </w:r>
            <w:r>
              <w:instrText xml:space="preserve"> PAGEREF _Toc213026662 \h </w:instrText>
            </w:r>
            <w:r>
              <w:fldChar w:fldCharType="separate"/>
            </w:r>
            <w:r>
              <w:t>13</w:t>
            </w:r>
            <w:r>
              <w:fldChar w:fldCharType="end"/>
            </w:r>
          </w:hyperlink>
        </w:p>
        <w:p w:rsidR="00431B1F" w:rsidRDefault="00431B1F">
          <w:pPr>
            <w:pStyle w:val="TOC2"/>
            <w:tabs>
              <w:tab w:val="right" w:leader="dot" w:pos="9350"/>
            </w:tabs>
            <w:rPr>
              <w:rFonts w:eastAsiaTheme="minorEastAsia"/>
              <w:sz w:val="24"/>
              <w:szCs w:val="24"/>
            </w:rPr>
          </w:pPr>
          <w:hyperlink w:anchor="_Toc213026663" w:history="1">
            <w:r>
              <w:rPr>
                <w:rStyle w:val="Hyperlink"/>
              </w:rPr>
              <w:t>6.1 Technology</w:t>
            </w:r>
            <w:r>
              <w:tab/>
            </w:r>
            <w:r>
              <w:fldChar w:fldCharType="begin"/>
            </w:r>
            <w:r>
              <w:instrText xml:space="preserve"> PAGEREF _Toc213026663 \h </w:instrText>
            </w:r>
            <w:r>
              <w:fldChar w:fldCharType="separate"/>
            </w:r>
            <w:r>
              <w:t>14</w:t>
            </w:r>
            <w:r>
              <w:fldChar w:fldCharType="end"/>
            </w:r>
          </w:hyperlink>
        </w:p>
        <w:p w:rsidR="00431B1F" w:rsidRDefault="00431B1F">
          <w:pPr>
            <w:pStyle w:val="TOC2"/>
            <w:tabs>
              <w:tab w:val="right" w:leader="dot" w:pos="9350"/>
            </w:tabs>
            <w:rPr>
              <w:rFonts w:eastAsiaTheme="minorEastAsia"/>
              <w:sz w:val="24"/>
              <w:szCs w:val="24"/>
            </w:rPr>
          </w:pPr>
          <w:hyperlink w:anchor="_Toc213026664" w:history="1">
            <w:r>
              <w:rPr>
                <w:rStyle w:val="Hyperlink"/>
              </w:rPr>
              <w:t>6.2 Communication</w:t>
            </w:r>
            <w:r>
              <w:tab/>
            </w:r>
            <w:r>
              <w:fldChar w:fldCharType="begin"/>
            </w:r>
            <w:r>
              <w:instrText xml:space="preserve"> PAGEREF _Toc213026664 \h </w:instrText>
            </w:r>
            <w:r>
              <w:fldChar w:fldCharType="separate"/>
            </w:r>
            <w:r>
              <w:t>14</w:t>
            </w:r>
            <w:r>
              <w:fldChar w:fldCharType="end"/>
            </w:r>
          </w:hyperlink>
        </w:p>
        <w:p w:rsidR="00431B1F" w:rsidRDefault="00431B1F">
          <w:pPr>
            <w:pStyle w:val="TOC2"/>
            <w:tabs>
              <w:tab w:val="right" w:leader="dot" w:pos="9350"/>
            </w:tabs>
            <w:rPr>
              <w:rFonts w:eastAsiaTheme="minorEastAsia"/>
              <w:sz w:val="24"/>
              <w:szCs w:val="24"/>
            </w:rPr>
          </w:pPr>
          <w:hyperlink w:anchor="_Toc213026665" w:history="1">
            <w:r>
              <w:rPr>
                <w:rStyle w:val="Hyperlink"/>
              </w:rPr>
              <w:t>6.3 Teamwork and Leadership</w:t>
            </w:r>
            <w:r>
              <w:tab/>
            </w:r>
            <w:r>
              <w:fldChar w:fldCharType="begin"/>
            </w:r>
            <w:r>
              <w:instrText xml:space="preserve"> PAGEREF _Toc213026665 \h </w:instrText>
            </w:r>
            <w:r>
              <w:fldChar w:fldCharType="separate"/>
            </w:r>
            <w:r>
              <w:t>14</w:t>
            </w:r>
            <w:r>
              <w:fldChar w:fldCharType="end"/>
            </w:r>
          </w:hyperlink>
        </w:p>
        <w:p w:rsidR="00431B1F" w:rsidRDefault="00431B1F">
          <w:pPr>
            <w:pStyle w:val="TOC2"/>
            <w:tabs>
              <w:tab w:val="right" w:leader="dot" w:pos="9350"/>
            </w:tabs>
            <w:rPr>
              <w:rFonts w:eastAsiaTheme="minorEastAsia"/>
              <w:sz w:val="24"/>
              <w:szCs w:val="24"/>
            </w:rPr>
          </w:pPr>
          <w:hyperlink w:anchor="_Toc213026666" w:history="1">
            <w:r>
              <w:rPr>
                <w:rStyle w:val="Hyperlink"/>
              </w:rPr>
              <w:t>6.4 Self-directed Learning</w:t>
            </w:r>
            <w:r>
              <w:tab/>
            </w:r>
            <w:r>
              <w:fldChar w:fldCharType="begin"/>
            </w:r>
            <w:r>
              <w:instrText xml:space="preserve"> PAGEREF _Toc213026666 \h </w:instrText>
            </w:r>
            <w:r>
              <w:fldChar w:fldCharType="separate"/>
            </w:r>
            <w:r>
              <w:t>15</w:t>
            </w:r>
            <w:r>
              <w:fldChar w:fldCharType="end"/>
            </w:r>
          </w:hyperlink>
        </w:p>
        <w:p w:rsidR="00431B1F" w:rsidRDefault="00431B1F">
          <w:pPr>
            <w:pStyle w:val="TOC1"/>
            <w:rPr>
              <w:rFonts w:eastAsiaTheme="minorEastAsia"/>
              <w:sz w:val="24"/>
              <w:szCs w:val="24"/>
            </w:rPr>
          </w:pPr>
          <w:hyperlink w:anchor="_Toc213026667" w:history="1">
            <w:r>
              <w:rPr>
                <w:rStyle w:val="Hyperlink"/>
              </w:rPr>
              <w:t>7.0 Strategic HCM Recommendations.</w:t>
            </w:r>
            <w:r>
              <w:tab/>
            </w:r>
            <w:r>
              <w:fldChar w:fldCharType="begin"/>
            </w:r>
            <w:r>
              <w:instrText xml:space="preserve"> PAGEREF _Toc213026667 \h </w:instrText>
            </w:r>
            <w:r>
              <w:fldChar w:fldCharType="separate"/>
            </w:r>
            <w:r>
              <w:t>15</w:t>
            </w:r>
            <w:r>
              <w:fldChar w:fldCharType="end"/>
            </w:r>
          </w:hyperlink>
        </w:p>
        <w:p w:rsidR="00431B1F" w:rsidRDefault="00431B1F">
          <w:pPr>
            <w:pStyle w:val="TOC2"/>
            <w:tabs>
              <w:tab w:val="right" w:leader="dot" w:pos="9350"/>
            </w:tabs>
            <w:rPr>
              <w:rFonts w:eastAsiaTheme="minorEastAsia"/>
              <w:sz w:val="24"/>
              <w:szCs w:val="24"/>
            </w:rPr>
          </w:pPr>
          <w:hyperlink w:anchor="_Toc213026668" w:history="1">
            <w:r>
              <w:rPr>
                <w:rStyle w:val="Hyperlink"/>
              </w:rPr>
              <w:t>7.1 Invest in Agile Workforce Planning &amp; Internal Talent Development</w:t>
            </w:r>
            <w:r>
              <w:tab/>
            </w:r>
            <w:r>
              <w:fldChar w:fldCharType="begin"/>
            </w:r>
            <w:r>
              <w:instrText xml:space="preserve"> PAGEREF _Toc213026668 \h </w:instrText>
            </w:r>
            <w:r>
              <w:fldChar w:fldCharType="separate"/>
            </w:r>
            <w:r>
              <w:t>15</w:t>
            </w:r>
            <w:r>
              <w:fldChar w:fldCharType="end"/>
            </w:r>
          </w:hyperlink>
        </w:p>
        <w:p w:rsidR="00431B1F" w:rsidRDefault="00431B1F">
          <w:pPr>
            <w:pStyle w:val="TOC2"/>
            <w:tabs>
              <w:tab w:val="right" w:leader="dot" w:pos="9350"/>
            </w:tabs>
            <w:rPr>
              <w:rFonts w:eastAsiaTheme="minorEastAsia"/>
              <w:sz w:val="24"/>
              <w:szCs w:val="24"/>
            </w:rPr>
          </w:pPr>
          <w:hyperlink w:anchor="_Toc213026669" w:history="1">
            <w:r>
              <w:rPr>
                <w:rStyle w:val="Hyperlink"/>
              </w:rPr>
              <w:t>7.2 Develop Geopolitically Resilient and Inclusive Mobility Policies</w:t>
            </w:r>
            <w:r>
              <w:tab/>
            </w:r>
            <w:r>
              <w:fldChar w:fldCharType="begin"/>
            </w:r>
            <w:r>
              <w:instrText xml:space="preserve"> PAGEREF _Toc213026669 \h </w:instrText>
            </w:r>
            <w:r>
              <w:fldChar w:fldCharType="separate"/>
            </w:r>
            <w:r>
              <w:t>15</w:t>
            </w:r>
            <w:r>
              <w:fldChar w:fldCharType="end"/>
            </w:r>
          </w:hyperlink>
        </w:p>
        <w:p w:rsidR="00431B1F" w:rsidRDefault="00431B1F">
          <w:pPr>
            <w:pStyle w:val="TOC2"/>
            <w:tabs>
              <w:tab w:val="right" w:leader="dot" w:pos="9350"/>
            </w:tabs>
            <w:rPr>
              <w:rFonts w:eastAsiaTheme="minorEastAsia"/>
              <w:sz w:val="24"/>
              <w:szCs w:val="24"/>
            </w:rPr>
          </w:pPr>
          <w:hyperlink w:anchor="_Toc213026670" w:history="1">
            <w:r>
              <w:rPr>
                <w:rStyle w:val="Hyperlink"/>
              </w:rPr>
              <w:t>7.3 Champion Ethical Technology Integration and People-Centric Work Design</w:t>
            </w:r>
            <w:r>
              <w:tab/>
            </w:r>
            <w:r>
              <w:fldChar w:fldCharType="begin"/>
            </w:r>
            <w:r>
              <w:instrText xml:space="preserve"> PAGEREF _Toc213026670 \h </w:instrText>
            </w:r>
            <w:r>
              <w:fldChar w:fldCharType="separate"/>
            </w:r>
            <w:r>
              <w:t>16</w:t>
            </w:r>
            <w:r>
              <w:fldChar w:fldCharType="end"/>
            </w:r>
          </w:hyperlink>
        </w:p>
        <w:p w:rsidR="00431B1F" w:rsidRDefault="00431B1F">
          <w:pPr>
            <w:pStyle w:val="TOC1"/>
            <w:rPr>
              <w:rFonts w:eastAsiaTheme="minorEastAsia"/>
              <w:sz w:val="24"/>
              <w:szCs w:val="24"/>
            </w:rPr>
          </w:pPr>
          <w:hyperlink w:anchor="_Toc213026671" w:history="1">
            <w:r>
              <w:rPr>
                <w:rStyle w:val="Hyperlink"/>
              </w:rPr>
              <w:t>8.0 Conclusion</w:t>
            </w:r>
            <w:r>
              <w:tab/>
            </w:r>
            <w:r>
              <w:fldChar w:fldCharType="begin"/>
            </w:r>
            <w:r>
              <w:instrText xml:space="preserve"> PAGEREF _Toc213026671 \h </w:instrText>
            </w:r>
            <w:r>
              <w:fldChar w:fldCharType="separate"/>
            </w:r>
            <w:r>
              <w:t>16</w:t>
            </w:r>
            <w:r>
              <w:fldChar w:fldCharType="end"/>
            </w:r>
          </w:hyperlink>
        </w:p>
        <w:p w:rsidR="00431B1F" w:rsidRDefault="00431B1F">
          <w:pPr>
            <w:pStyle w:val="TOC1"/>
            <w:rPr>
              <w:rFonts w:eastAsiaTheme="minorEastAsia"/>
              <w:sz w:val="24"/>
              <w:szCs w:val="24"/>
            </w:rPr>
          </w:pPr>
          <w:hyperlink w:anchor="_Toc213026672" w:history="1">
            <w:r>
              <w:rPr>
                <w:rStyle w:val="Hyperlink"/>
              </w:rPr>
              <w:t>References</w:t>
            </w:r>
            <w:r>
              <w:tab/>
            </w:r>
            <w:r>
              <w:fldChar w:fldCharType="begin"/>
            </w:r>
            <w:r>
              <w:instrText xml:space="preserve"> PAGEREF _Toc213026672 \h </w:instrText>
            </w:r>
            <w:r>
              <w:fldChar w:fldCharType="separate"/>
            </w:r>
            <w:r>
              <w:t>17</w:t>
            </w:r>
            <w:r>
              <w:fldChar w:fldCharType="end"/>
            </w:r>
          </w:hyperlink>
        </w:p>
        <w:p w:rsidR="00431B1F" w:rsidRDefault="00431B1F">
          <w:pPr>
            <w:pStyle w:val="TOC1"/>
            <w:rPr>
              <w:rFonts w:eastAsiaTheme="minorEastAsia"/>
              <w:sz w:val="24"/>
              <w:szCs w:val="24"/>
            </w:rPr>
          </w:pPr>
          <w:hyperlink w:anchor="_Toc213026673" w:history="1">
            <w:r>
              <w:rPr>
                <w:rStyle w:val="Hyperlink"/>
              </w:rPr>
              <w:t>Appendices</w:t>
            </w:r>
            <w:r>
              <w:tab/>
            </w:r>
            <w:r>
              <w:fldChar w:fldCharType="begin"/>
            </w:r>
            <w:r>
              <w:instrText xml:space="preserve"> PAGEREF _Toc213026673 \h </w:instrText>
            </w:r>
            <w:r>
              <w:fldChar w:fldCharType="separate"/>
            </w:r>
            <w:r>
              <w:t>18</w:t>
            </w:r>
            <w:r>
              <w:fldChar w:fldCharType="end"/>
            </w:r>
          </w:hyperlink>
        </w:p>
        <w:p w:rsidR="00431B1F" w:rsidRDefault="00000000">
          <w:pPr>
            <w:spacing w:line="360" w:lineRule="auto"/>
          </w:pPr>
          <w:r>
            <w:rPr>
              <w:rFonts w:ascii="Times New Roman" w:hAnsi="Times New Roman" w:cs="Times New Roman"/>
              <w:b/>
              <w:bCs/>
              <w:sz w:val="24"/>
              <w:szCs w:val="24"/>
            </w:rPr>
            <w:fldChar w:fldCharType="end"/>
          </w:r>
        </w:p>
      </w:sdtContent>
    </w:sdt>
    <w:p w:rsidR="00431B1F" w:rsidRDefault="00000000">
      <w:pPr>
        <w:pStyle w:val="TOCHeading1"/>
        <w:spacing w:line="360" w:lineRule="auto"/>
        <w:rPr>
          <w:rFonts w:ascii="Times New Roman" w:hAnsi="Times New Roman" w:cs="Times New Roman"/>
          <w:b/>
          <w:bCs/>
        </w:rPr>
      </w:pPr>
      <w:r>
        <w:rPr>
          <w:rFonts w:ascii="Times New Roman" w:hAnsi="Times New Roman" w:cs="Times New Roman"/>
          <w:b/>
          <w:bCs/>
        </w:rPr>
        <w:t>Table of Figures</w:t>
      </w:r>
    </w:p>
    <w:p w:rsidR="00431B1F" w:rsidRDefault="00431B1F">
      <w:pPr>
        <w:pStyle w:val="TableofFigures"/>
        <w:tabs>
          <w:tab w:val="right" w:leader="dot" w:pos="9350"/>
        </w:tabs>
        <w:rPr>
          <w:rFonts w:ascii="Times New Roman" w:hAnsi="Times New Roman" w:cs="Times New Roman"/>
          <w:sz w:val="24"/>
          <w:szCs w:val="24"/>
        </w:rPr>
      </w:pPr>
    </w:p>
    <w:p w:rsidR="00431B1F" w:rsidRDefault="00000000">
      <w:pPr>
        <w:pStyle w:val="TableofFigures"/>
        <w:tabs>
          <w:tab w:val="right" w:leader="dot" w:pos="9350"/>
        </w:tabs>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\h \z \c "Figure" </w:instrText>
      </w:r>
      <w:r>
        <w:rPr>
          <w:rFonts w:ascii="Times New Roman" w:hAnsi="Times New Roman" w:cs="Times New Roman"/>
          <w:sz w:val="24"/>
          <w:szCs w:val="24"/>
        </w:rPr>
        <w:fldChar w:fldCharType="separate"/>
      </w:r>
      <w:hyperlink w:anchor="_Toc213023786" w:history="1">
        <w:r w:rsidR="00431B1F">
          <w:rPr>
            <w:rStyle w:val="Hyperlink"/>
            <w:rFonts w:ascii="Times New Roman" w:hAnsi="Times New Roman" w:cs="Times New Roman"/>
            <w:sz w:val="24"/>
            <w:szCs w:val="24"/>
          </w:rPr>
          <w:t>Figure 1: Global AI Adoption and Use of Generative AI (2017–2024), Source: McKinsey &amp; Company (2024),</w:t>
        </w:r>
        <w:r w:rsidR="00431B1F">
          <w:rPr>
            <w:rFonts w:ascii="Times New Roman" w:hAnsi="Times New Roman" w:cs="Times New Roman"/>
            <w:sz w:val="24"/>
            <w:szCs w:val="24"/>
          </w:rPr>
          <w:tab/>
        </w:r>
        <w:r w:rsidR="00431B1F">
          <w:rPr>
            <w:rFonts w:ascii="Times New Roman" w:hAnsi="Times New Roman" w:cs="Times New Roman"/>
            <w:sz w:val="24"/>
            <w:szCs w:val="24"/>
          </w:rPr>
          <w:fldChar w:fldCharType="begin"/>
        </w:r>
        <w:r w:rsidR="00431B1F">
          <w:rPr>
            <w:rFonts w:ascii="Times New Roman" w:hAnsi="Times New Roman" w:cs="Times New Roman"/>
            <w:sz w:val="24"/>
            <w:szCs w:val="24"/>
          </w:rPr>
          <w:instrText xml:space="preserve"> PAGEREF _Toc213023786 \h </w:instrText>
        </w:r>
        <w:r w:rsidR="00431B1F">
          <w:rPr>
            <w:rFonts w:ascii="Times New Roman" w:hAnsi="Times New Roman" w:cs="Times New Roman"/>
            <w:sz w:val="24"/>
            <w:szCs w:val="24"/>
          </w:rPr>
        </w:r>
        <w:r w:rsidR="00431B1F">
          <w:rPr>
            <w:rFonts w:ascii="Times New Roman" w:hAnsi="Times New Roman" w:cs="Times New Roman"/>
            <w:sz w:val="24"/>
            <w:szCs w:val="24"/>
          </w:rPr>
          <w:fldChar w:fldCharType="separate"/>
        </w:r>
        <w:r w:rsidR="00431B1F">
          <w:rPr>
            <w:rFonts w:ascii="Times New Roman" w:hAnsi="Times New Roman" w:cs="Times New Roman"/>
            <w:sz w:val="24"/>
            <w:szCs w:val="24"/>
          </w:rPr>
          <w:t>6</w:t>
        </w:r>
        <w:r w:rsidR="00431B1F">
          <w:rPr>
            <w:rFonts w:ascii="Times New Roman" w:hAnsi="Times New Roman" w:cs="Times New Roman"/>
            <w:sz w:val="24"/>
            <w:szCs w:val="24"/>
          </w:rPr>
          <w:fldChar w:fldCharType="end"/>
        </w:r>
      </w:hyperlink>
    </w:p>
    <w:p w:rsidR="00431B1F" w:rsidRDefault="00431B1F">
      <w:pPr>
        <w:pStyle w:val="TableofFigures"/>
        <w:tabs>
          <w:tab w:val="right" w:leader="dot" w:pos="9350"/>
        </w:tabs>
        <w:rPr>
          <w:rFonts w:ascii="Times New Roman" w:hAnsi="Times New Roman" w:cs="Times New Roman"/>
          <w:sz w:val="24"/>
          <w:szCs w:val="24"/>
        </w:rPr>
      </w:pPr>
      <w:hyperlink w:anchor="_Toc213023787" w:history="1">
        <w:r>
          <w:rPr>
            <w:rStyle w:val="Hyperlink"/>
            <w:rFonts w:ascii="Times New Roman" w:hAnsi="Times New Roman" w:cs="Times New Roman"/>
            <w:sz w:val="24"/>
            <w:szCs w:val="24"/>
          </w:rPr>
          <w:t>Figure 2: Global Talent Shortage Over Time (2006–2025), Source: ManpowerGroup (2025)</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_Toc213023787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11</w:t>
        </w:r>
        <w:r>
          <w:rPr>
            <w:rFonts w:ascii="Times New Roman" w:hAnsi="Times New Roman" w:cs="Times New Roman"/>
            <w:sz w:val="24"/>
            <w:szCs w:val="24"/>
          </w:rPr>
          <w:fldChar w:fldCharType="end"/>
        </w:r>
      </w:hyperlink>
    </w:p>
    <w:p w:rsidR="00E0567C" w:rsidRDefault="00000000" w:rsidP="00E0567C">
      <w:pPr>
        <w:pStyle w:val="TOCHeading1"/>
        <w:spacing w:line="360" w:lineRule="auto"/>
        <w:rPr>
          <w:noProof/>
        </w:rPr>
      </w:pPr>
      <w:r>
        <w:rPr>
          <w:rFonts w:ascii="Times New Roman" w:hAnsi="Times New Roman" w:cs="Times New Roman"/>
          <w:sz w:val="24"/>
          <w:szCs w:val="24"/>
        </w:rPr>
        <w:fldChar w:fldCharType="end"/>
      </w:r>
      <w:r>
        <w:rPr>
          <w:rFonts w:ascii="Times New Roman" w:hAnsi="Times New Roman" w:cs="Times New Roman"/>
          <w:b/>
          <w:bCs/>
        </w:rPr>
        <w:t>Table of Tables</w:t>
      </w:r>
      <w:r w:rsidR="00E0567C">
        <w:rPr>
          <w:rFonts w:ascii="Times New Roman" w:hAnsi="Times New Roman" w:cs="Times New Roman"/>
          <w:sz w:val="24"/>
          <w:szCs w:val="24"/>
        </w:rPr>
        <w:fldChar w:fldCharType="begin"/>
      </w:r>
      <w:r w:rsidR="00E0567C">
        <w:rPr>
          <w:rFonts w:ascii="Times New Roman" w:hAnsi="Times New Roman" w:cs="Times New Roman"/>
          <w:sz w:val="24"/>
          <w:szCs w:val="24"/>
        </w:rPr>
        <w:instrText xml:space="preserve"> TOC \h \z \c "Table" </w:instrText>
      </w:r>
      <w:r w:rsidR="00E0567C">
        <w:rPr>
          <w:rFonts w:ascii="Times New Roman" w:hAnsi="Times New Roman" w:cs="Times New Roman"/>
          <w:sz w:val="24"/>
          <w:szCs w:val="24"/>
        </w:rPr>
        <w:fldChar w:fldCharType="separate"/>
      </w:r>
    </w:p>
    <w:p w:rsidR="00E0567C" w:rsidRDefault="00E0567C" w:rsidP="00E0567C">
      <w:pPr>
        <w:pStyle w:val="TableofFigures"/>
        <w:tabs>
          <w:tab w:val="right" w:leader="dot" w:pos="9350"/>
        </w:tabs>
        <w:spacing w:line="360" w:lineRule="auto"/>
        <w:rPr>
          <w:rFonts w:eastAsiaTheme="minorEastAsia"/>
          <w:noProof/>
          <w:sz w:val="24"/>
          <w:szCs w:val="24"/>
        </w:rPr>
      </w:pPr>
      <w:hyperlink w:anchor="_Toc213044040" w:history="1">
        <w:r w:rsidRPr="00771EF8">
          <w:rPr>
            <w:rStyle w:val="Hyperlink"/>
            <w:rFonts w:ascii="Times New Roman" w:hAnsi="Times New Roman" w:cs="Times New Roman"/>
            <w:b/>
            <w:bCs/>
            <w:noProof/>
          </w:rPr>
          <w:t>Table 1: Implications of Key Technological Trends for HRM and IHRM</w:t>
        </w:r>
        <w:r>
          <w:rPr>
            <w:noProof/>
            <w:webHidden/>
          </w:rPr>
          <w:tab/>
        </w:r>
        <w:r>
          <w:rPr>
            <w:noProof/>
            <w:webHidden/>
          </w:rPr>
          <w:fldChar w:fldCharType="begin"/>
        </w:r>
        <w:r>
          <w:rPr>
            <w:noProof/>
            <w:webHidden/>
          </w:rPr>
          <w:instrText xml:space="preserve"> PAGEREF _Toc213044040 \h </w:instrText>
        </w:r>
        <w:r>
          <w:rPr>
            <w:noProof/>
            <w:webHidden/>
          </w:rPr>
        </w:r>
        <w:r>
          <w:rPr>
            <w:noProof/>
            <w:webHidden/>
          </w:rPr>
          <w:fldChar w:fldCharType="separate"/>
        </w:r>
        <w:r>
          <w:rPr>
            <w:noProof/>
            <w:webHidden/>
          </w:rPr>
          <w:t>7</w:t>
        </w:r>
        <w:r>
          <w:rPr>
            <w:noProof/>
            <w:webHidden/>
          </w:rPr>
          <w:fldChar w:fldCharType="end"/>
        </w:r>
      </w:hyperlink>
    </w:p>
    <w:p w:rsidR="00E0567C" w:rsidRPr="00E0567C" w:rsidRDefault="00E0567C" w:rsidP="00E0567C">
      <w:pPr>
        <w:pStyle w:val="TableofFigures"/>
        <w:tabs>
          <w:tab w:val="right" w:leader="dot" w:pos="9350"/>
        </w:tabs>
        <w:spacing w:line="360" w:lineRule="auto"/>
        <w:rPr>
          <w:rFonts w:ascii="Times New Roman" w:eastAsiaTheme="minorEastAsia" w:hAnsi="Times New Roman" w:cs="Times New Roman"/>
          <w:noProof/>
          <w:sz w:val="24"/>
          <w:szCs w:val="24"/>
        </w:rPr>
      </w:pPr>
      <w:hyperlink w:anchor="_Toc213044041" w:history="1">
        <w:r w:rsidRPr="00E0567C">
          <w:rPr>
            <w:rStyle w:val="Hyperlink"/>
            <w:rFonts w:ascii="Times New Roman" w:hAnsi="Times New Roman" w:cs="Times New Roman"/>
            <w:noProof/>
          </w:rPr>
          <w:t>Table 2: Regional Workforce Challenges and Strategic HR Responses</w:t>
        </w:r>
        <w:r w:rsidRPr="00E0567C">
          <w:rPr>
            <w:rFonts w:ascii="Times New Roman" w:hAnsi="Times New Roman" w:cs="Times New Roman"/>
            <w:noProof/>
            <w:webHidden/>
          </w:rPr>
          <w:tab/>
        </w:r>
        <w:r w:rsidRPr="00E0567C">
          <w:rPr>
            <w:rFonts w:ascii="Times New Roman" w:hAnsi="Times New Roman" w:cs="Times New Roman"/>
            <w:noProof/>
            <w:webHidden/>
          </w:rPr>
          <w:fldChar w:fldCharType="begin"/>
        </w:r>
        <w:r w:rsidRPr="00E0567C">
          <w:rPr>
            <w:rFonts w:ascii="Times New Roman" w:hAnsi="Times New Roman" w:cs="Times New Roman"/>
            <w:noProof/>
            <w:webHidden/>
          </w:rPr>
          <w:instrText xml:space="preserve"> PAGEREF _Toc213044041 \h </w:instrText>
        </w:r>
        <w:r w:rsidRPr="00E0567C">
          <w:rPr>
            <w:rFonts w:ascii="Times New Roman" w:hAnsi="Times New Roman" w:cs="Times New Roman"/>
            <w:noProof/>
            <w:webHidden/>
          </w:rPr>
        </w:r>
        <w:r w:rsidRPr="00E0567C">
          <w:rPr>
            <w:rFonts w:ascii="Times New Roman" w:hAnsi="Times New Roman" w:cs="Times New Roman"/>
            <w:noProof/>
            <w:webHidden/>
          </w:rPr>
          <w:fldChar w:fldCharType="separate"/>
        </w:r>
        <w:r w:rsidRPr="00E0567C">
          <w:rPr>
            <w:rFonts w:ascii="Times New Roman" w:hAnsi="Times New Roman" w:cs="Times New Roman"/>
            <w:noProof/>
            <w:webHidden/>
          </w:rPr>
          <w:t>9</w:t>
        </w:r>
        <w:r w:rsidRPr="00E0567C">
          <w:rPr>
            <w:rFonts w:ascii="Times New Roman" w:hAnsi="Times New Roman" w:cs="Times New Roman"/>
            <w:noProof/>
            <w:webHidden/>
          </w:rPr>
          <w:fldChar w:fldCharType="end"/>
        </w:r>
      </w:hyperlink>
    </w:p>
    <w:p w:rsidR="00E0567C" w:rsidRPr="00E0567C" w:rsidRDefault="00E0567C" w:rsidP="00E0567C">
      <w:pPr>
        <w:pStyle w:val="TableofFigures"/>
        <w:tabs>
          <w:tab w:val="right" w:leader="dot" w:pos="9350"/>
        </w:tabs>
        <w:spacing w:line="360" w:lineRule="auto"/>
        <w:rPr>
          <w:rFonts w:ascii="Times New Roman" w:eastAsiaTheme="minorEastAsia" w:hAnsi="Times New Roman" w:cs="Times New Roman"/>
          <w:noProof/>
          <w:sz w:val="24"/>
          <w:szCs w:val="24"/>
        </w:rPr>
      </w:pPr>
      <w:hyperlink w:anchor="_Toc213044042" w:history="1">
        <w:r w:rsidRPr="00E0567C">
          <w:rPr>
            <w:rStyle w:val="Hyperlink"/>
            <w:rFonts w:ascii="Times New Roman" w:hAnsi="Times New Roman" w:cs="Times New Roman"/>
            <w:noProof/>
          </w:rPr>
          <w:t>Table 3: Strategic HRM Responses to Sector-Specific Skills Shortages</w:t>
        </w:r>
        <w:r w:rsidRPr="00E0567C">
          <w:rPr>
            <w:rFonts w:ascii="Times New Roman" w:hAnsi="Times New Roman" w:cs="Times New Roman"/>
            <w:noProof/>
            <w:webHidden/>
          </w:rPr>
          <w:tab/>
        </w:r>
        <w:r w:rsidRPr="00E0567C">
          <w:rPr>
            <w:rFonts w:ascii="Times New Roman" w:hAnsi="Times New Roman" w:cs="Times New Roman"/>
            <w:noProof/>
            <w:webHidden/>
          </w:rPr>
          <w:fldChar w:fldCharType="begin"/>
        </w:r>
        <w:r w:rsidRPr="00E0567C">
          <w:rPr>
            <w:rFonts w:ascii="Times New Roman" w:hAnsi="Times New Roman" w:cs="Times New Roman"/>
            <w:noProof/>
            <w:webHidden/>
          </w:rPr>
          <w:instrText xml:space="preserve"> PAGEREF _Toc213044042 \h </w:instrText>
        </w:r>
        <w:r w:rsidRPr="00E0567C">
          <w:rPr>
            <w:rFonts w:ascii="Times New Roman" w:hAnsi="Times New Roman" w:cs="Times New Roman"/>
            <w:noProof/>
            <w:webHidden/>
          </w:rPr>
        </w:r>
        <w:r w:rsidRPr="00E0567C">
          <w:rPr>
            <w:rFonts w:ascii="Times New Roman" w:hAnsi="Times New Roman" w:cs="Times New Roman"/>
            <w:noProof/>
            <w:webHidden/>
          </w:rPr>
          <w:fldChar w:fldCharType="separate"/>
        </w:r>
        <w:r w:rsidRPr="00E0567C">
          <w:rPr>
            <w:rFonts w:ascii="Times New Roman" w:hAnsi="Times New Roman" w:cs="Times New Roman"/>
            <w:noProof/>
            <w:webHidden/>
          </w:rPr>
          <w:t>12</w:t>
        </w:r>
        <w:r w:rsidRPr="00E0567C">
          <w:rPr>
            <w:rFonts w:ascii="Times New Roman" w:hAnsi="Times New Roman" w:cs="Times New Roman"/>
            <w:noProof/>
            <w:webHidden/>
          </w:rPr>
          <w:fldChar w:fldCharType="end"/>
        </w:r>
      </w:hyperlink>
    </w:p>
    <w:p w:rsidR="00E0567C" w:rsidRPr="00E0567C" w:rsidRDefault="00E0567C" w:rsidP="00E0567C">
      <w:pPr>
        <w:pStyle w:val="TableofFigures"/>
        <w:tabs>
          <w:tab w:val="right" w:leader="dot" w:pos="9350"/>
        </w:tabs>
        <w:spacing w:line="360" w:lineRule="auto"/>
        <w:rPr>
          <w:rFonts w:ascii="Times New Roman" w:eastAsiaTheme="minorEastAsia" w:hAnsi="Times New Roman" w:cs="Times New Roman"/>
          <w:noProof/>
          <w:sz w:val="24"/>
          <w:szCs w:val="24"/>
        </w:rPr>
      </w:pPr>
      <w:hyperlink w:anchor="_Toc213044043" w:history="1">
        <w:r w:rsidRPr="00E0567C">
          <w:rPr>
            <w:rStyle w:val="Hyperlink"/>
            <w:rFonts w:ascii="Times New Roman" w:hAnsi="Times New Roman" w:cs="Times New Roman"/>
            <w:noProof/>
          </w:rPr>
          <w:t>Table 4: HR Implementation Framework and Success Measurement</w:t>
        </w:r>
        <w:r w:rsidRPr="00E0567C">
          <w:rPr>
            <w:rFonts w:ascii="Times New Roman" w:hAnsi="Times New Roman" w:cs="Times New Roman"/>
            <w:noProof/>
            <w:webHidden/>
          </w:rPr>
          <w:tab/>
        </w:r>
        <w:r w:rsidRPr="00E0567C">
          <w:rPr>
            <w:rFonts w:ascii="Times New Roman" w:hAnsi="Times New Roman" w:cs="Times New Roman"/>
            <w:noProof/>
            <w:webHidden/>
          </w:rPr>
          <w:fldChar w:fldCharType="begin"/>
        </w:r>
        <w:r w:rsidRPr="00E0567C">
          <w:rPr>
            <w:rFonts w:ascii="Times New Roman" w:hAnsi="Times New Roman" w:cs="Times New Roman"/>
            <w:noProof/>
            <w:webHidden/>
          </w:rPr>
          <w:instrText xml:space="preserve"> PAGEREF _Toc213044043 \h </w:instrText>
        </w:r>
        <w:r w:rsidRPr="00E0567C">
          <w:rPr>
            <w:rFonts w:ascii="Times New Roman" w:hAnsi="Times New Roman" w:cs="Times New Roman"/>
            <w:noProof/>
            <w:webHidden/>
          </w:rPr>
        </w:r>
        <w:r w:rsidRPr="00E0567C">
          <w:rPr>
            <w:rFonts w:ascii="Times New Roman" w:hAnsi="Times New Roman" w:cs="Times New Roman"/>
            <w:noProof/>
            <w:webHidden/>
          </w:rPr>
          <w:fldChar w:fldCharType="separate"/>
        </w:r>
        <w:r w:rsidRPr="00E0567C">
          <w:rPr>
            <w:rFonts w:ascii="Times New Roman" w:hAnsi="Times New Roman" w:cs="Times New Roman"/>
            <w:noProof/>
            <w:webHidden/>
          </w:rPr>
          <w:t>13</w:t>
        </w:r>
        <w:r w:rsidRPr="00E0567C">
          <w:rPr>
            <w:rFonts w:ascii="Times New Roman" w:hAnsi="Times New Roman" w:cs="Times New Roman"/>
            <w:noProof/>
            <w:webHidden/>
          </w:rPr>
          <w:fldChar w:fldCharType="end"/>
        </w:r>
      </w:hyperlink>
    </w:p>
    <w:p w:rsidR="00E0567C" w:rsidRPr="00E0567C" w:rsidRDefault="00E0567C" w:rsidP="00E0567C">
      <w:pPr>
        <w:pStyle w:val="TableofFigures"/>
        <w:tabs>
          <w:tab w:val="right" w:leader="dot" w:pos="9350"/>
        </w:tabs>
        <w:spacing w:line="360" w:lineRule="auto"/>
        <w:rPr>
          <w:rFonts w:ascii="Times New Roman" w:eastAsiaTheme="minorEastAsia" w:hAnsi="Times New Roman" w:cs="Times New Roman"/>
          <w:noProof/>
          <w:sz w:val="24"/>
          <w:szCs w:val="24"/>
        </w:rPr>
      </w:pPr>
      <w:hyperlink w:anchor="_Toc213044044" w:history="1">
        <w:r w:rsidRPr="00E0567C">
          <w:rPr>
            <w:rStyle w:val="Hyperlink"/>
            <w:rFonts w:ascii="Times New Roman" w:hAnsi="Times New Roman" w:cs="Times New Roman"/>
            <w:noProof/>
          </w:rPr>
          <w:t>Table 5: PESTLE Analysis of Labour Market Pressures</w:t>
        </w:r>
        <w:r w:rsidRPr="00E0567C">
          <w:rPr>
            <w:rFonts w:ascii="Times New Roman" w:hAnsi="Times New Roman" w:cs="Times New Roman"/>
            <w:noProof/>
            <w:webHidden/>
          </w:rPr>
          <w:tab/>
        </w:r>
        <w:r w:rsidRPr="00E0567C">
          <w:rPr>
            <w:rFonts w:ascii="Times New Roman" w:hAnsi="Times New Roman" w:cs="Times New Roman"/>
            <w:noProof/>
            <w:webHidden/>
          </w:rPr>
          <w:fldChar w:fldCharType="begin"/>
        </w:r>
        <w:r w:rsidRPr="00E0567C">
          <w:rPr>
            <w:rFonts w:ascii="Times New Roman" w:hAnsi="Times New Roman" w:cs="Times New Roman"/>
            <w:noProof/>
            <w:webHidden/>
          </w:rPr>
          <w:instrText xml:space="preserve"> PAGEREF _Toc213044044 \h </w:instrText>
        </w:r>
        <w:r w:rsidRPr="00E0567C">
          <w:rPr>
            <w:rFonts w:ascii="Times New Roman" w:hAnsi="Times New Roman" w:cs="Times New Roman"/>
            <w:noProof/>
            <w:webHidden/>
          </w:rPr>
        </w:r>
        <w:r w:rsidRPr="00E0567C">
          <w:rPr>
            <w:rFonts w:ascii="Times New Roman" w:hAnsi="Times New Roman" w:cs="Times New Roman"/>
            <w:noProof/>
            <w:webHidden/>
          </w:rPr>
          <w:fldChar w:fldCharType="separate"/>
        </w:r>
        <w:r w:rsidRPr="00E0567C">
          <w:rPr>
            <w:rFonts w:ascii="Times New Roman" w:hAnsi="Times New Roman" w:cs="Times New Roman"/>
            <w:noProof/>
            <w:webHidden/>
          </w:rPr>
          <w:t>20</w:t>
        </w:r>
        <w:r w:rsidRPr="00E0567C">
          <w:rPr>
            <w:rFonts w:ascii="Times New Roman" w:hAnsi="Times New Roman" w:cs="Times New Roman"/>
            <w:noProof/>
            <w:webHidden/>
          </w:rPr>
          <w:fldChar w:fldCharType="end"/>
        </w:r>
      </w:hyperlink>
    </w:p>
    <w:p w:rsidR="00431B1F" w:rsidRDefault="00E0567C" w:rsidP="00E0567C">
      <w:pPr>
        <w:pStyle w:val="TOCHeading1"/>
        <w:spacing w:line="360" w:lineRule="auto"/>
      </w:pPr>
      <w:r>
        <w:rPr>
          <w:rFonts w:ascii="Times New Roman" w:hAnsi="Times New Roman" w:cs="Times New Roman"/>
          <w:sz w:val="24"/>
          <w:szCs w:val="24"/>
        </w:rPr>
        <w:fldChar w:fldCharType="end"/>
      </w:r>
    </w:p>
    <w:p w:rsidR="00431B1F" w:rsidRDefault="00431B1F">
      <w:pPr>
        <w:pStyle w:val="Heading1"/>
      </w:pPr>
    </w:p>
    <w:p w:rsidR="00431B1F" w:rsidRDefault="00431B1F">
      <w:pPr>
        <w:pStyle w:val="Heading1"/>
      </w:pPr>
    </w:p>
    <w:p w:rsidR="00431B1F" w:rsidRDefault="00431B1F">
      <w:pPr>
        <w:pStyle w:val="Heading1"/>
      </w:pPr>
    </w:p>
    <w:p w:rsidR="00431B1F" w:rsidRDefault="00431B1F"/>
    <w:p w:rsidR="00431B1F" w:rsidRDefault="00431B1F"/>
    <w:p w:rsidR="00431B1F" w:rsidRDefault="00431B1F"/>
    <w:p w:rsidR="00431B1F" w:rsidRDefault="00431B1F"/>
    <w:p w:rsidR="00431B1F" w:rsidRDefault="00431B1F"/>
    <w:p w:rsidR="00CE7E82" w:rsidRDefault="00CE7E82">
      <w:bookmarkStart w:id="0" w:name="_Toc213026644"/>
    </w:p>
    <w:p w:rsidR="00CE7E82" w:rsidRDefault="00CE7E82"/>
    <w:p w:rsidR="00431B1F" w:rsidRDefault="00000000">
      <w:pPr>
        <w:pStyle w:val="Heading1"/>
      </w:pPr>
      <w:r>
        <w:lastRenderedPageBreak/>
        <w:t>1.0 Executive Summary</w:t>
      </w:r>
      <w:bookmarkEnd w:id="0"/>
    </w:p>
    <w:p w:rsidR="00431B1F" w:rsidRDefault="00000000">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report includes a critical examination of the impact of national and international </w:t>
      </w:r>
      <w:proofErr w:type="spellStart"/>
      <w:r>
        <w:rPr>
          <w:rFonts w:ascii="Times New Roman" w:hAnsi="Times New Roman" w:cs="Times New Roman"/>
          <w:sz w:val="24"/>
          <w:szCs w:val="24"/>
        </w:rPr>
        <w:t>labour</w:t>
      </w:r>
      <w:proofErr w:type="spellEnd"/>
      <w:r>
        <w:rPr>
          <w:rFonts w:ascii="Times New Roman" w:hAnsi="Times New Roman" w:cs="Times New Roman"/>
          <w:sz w:val="24"/>
          <w:szCs w:val="24"/>
        </w:rPr>
        <w:t xml:space="preserve"> markets on HRM and IHRM strategies to answer four essential questions. Section 3 analyses technological disruptions (Q1), Section 4 examines demographic and geopolitical pressures (Q2), Section 5 proposes HRM solutions to skills gaps (Q3), and Section 6 reflects on personal global capabilities (Q4). The analysis reveals that AI, automation and digital platforms are fundamentally reshaping work, while ageing populations and geopolitical instability compound talent challenges. HRM/IHRM has to change towards non-transactional administration, but strategic workforce design aimed at resilience, internal capacity building, and ethical technology </w:t>
      </w:r>
      <w:proofErr w:type="spellStart"/>
      <w:r>
        <w:rPr>
          <w:rFonts w:ascii="Times New Roman" w:hAnsi="Times New Roman" w:cs="Times New Roman"/>
          <w:sz w:val="24"/>
          <w:szCs w:val="24"/>
        </w:rPr>
        <w:t>utilisation</w:t>
      </w:r>
      <w:proofErr w:type="spellEnd"/>
      <w:r>
        <w:rPr>
          <w:rFonts w:ascii="Times New Roman" w:hAnsi="Times New Roman" w:cs="Times New Roman"/>
          <w:sz w:val="24"/>
          <w:szCs w:val="24"/>
        </w:rPr>
        <w:t xml:space="preserve">. Some of the main suggestions are that it should invest in agile workforce planning, craft geopolitically robust mobility policies, and </w:t>
      </w:r>
      <w:proofErr w:type="spellStart"/>
      <w:r>
        <w:rPr>
          <w:rFonts w:ascii="Times New Roman" w:hAnsi="Times New Roman" w:cs="Times New Roman"/>
          <w:sz w:val="24"/>
          <w:szCs w:val="24"/>
        </w:rPr>
        <w:t>proselytise</w:t>
      </w:r>
      <w:proofErr w:type="spellEnd"/>
      <w:r>
        <w:rPr>
          <w:rFonts w:ascii="Times New Roman" w:hAnsi="Times New Roman" w:cs="Times New Roman"/>
          <w:sz w:val="24"/>
          <w:szCs w:val="24"/>
        </w:rPr>
        <w:t xml:space="preserve"> ethical technology adoption. On a personal level, there are strengths in self-directed learning and development, in cross-cultural leadership is required.</w:t>
      </w:r>
    </w:p>
    <w:p w:rsidR="00431B1F" w:rsidRDefault="00000000">
      <w:pPr>
        <w:pStyle w:val="Heading1"/>
      </w:pPr>
      <w:bookmarkStart w:id="1" w:name="_Toc213026645"/>
      <w:r>
        <w:t>2.0 Introduction</w:t>
      </w:r>
      <w:bookmarkEnd w:id="1"/>
    </w:p>
    <w:p w:rsidR="00431B1F" w:rsidRDefault="00000000">
      <w:pPr>
        <w:spacing w:line="360" w:lineRule="auto"/>
        <w:rPr>
          <w:rFonts w:ascii="Times New Roman" w:hAnsi="Times New Roman" w:cs="Times New Roman"/>
          <w:sz w:val="24"/>
          <w:szCs w:val="24"/>
        </w:rPr>
      </w:pPr>
      <w:r>
        <w:rPr>
          <w:rFonts w:ascii="Times New Roman" w:hAnsi="Times New Roman" w:cs="Times New Roman"/>
          <w:sz w:val="24"/>
          <w:szCs w:val="24"/>
        </w:rPr>
        <w:t xml:space="preserve">Business environment nowadays is volatile, uncertain, complex, and ambiguous (VUCA), and </w:t>
      </w:r>
      <w:proofErr w:type="spellStart"/>
      <w:r>
        <w:rPr>
          <w:rFonts w:ascii="Times New Roman" w:hAnsi="Times New Roman" w:cs="Times New Roman"/>
          <w:sz w:val="24"/>
          <w:szCs w:val="24"/>
        </w:rPr>
        <w:t>labour</w:t>
      </w:r>
      <w:proofErr w:type="spellEnd"/>
      <w:r>
        <w:rPr>
          <w:rFonts w:ascii="Times New Roman" w:hAnsi="Times New Roman" w:cs="Times New Roman"/>
          <w:sz w:val="24"/>
          <w:szCs w:val="24"/>
        </w:rPr>
        <w:t xml:space="preserve"> markets are one of the most important nexuses of such forces. This report is aimed at critically assessing and evaluating how technological, demographic, and geopolitical changes in these </w:t>
      </w:r>
      <w:proofErr w:type="spellStart"/>
      <w:r>
        <w:rPr>
          <w:rFonts w:ascii="Times New Roman" w:hAnsi="Times New Roman" w:cs="Times New Roman"/>
          <w:sz w:val="24"/>
          <w:szCs w:val="24"/>
        </w:rPr>
        <w:t>labour</w:t>
      </w:r>
      <w:proofErr w:type="spellEnd"/>
      <w:r>
        <w:rPr>
          <w:rFonts w:ascii="Times New Roman" w:hAnsi="Times New Roman" w:cs="Times New Roman"/>
          <w:sz w:val="24"/>
          <w:szCs w:val="24"/>
        </w:rPr>
        <w:t xml:space="preserve"> markets require a change in HRM and IHRM strategies. This report will address in an </w:t>
      </w:r>
      <w:proofErr w:type="spellStart"/>
      <w:r>
        <w:rPr>
          <w:rFonts w:ascii="Times New Roman" w:hAnsi="Times New Roman" w:cs="Times New Roman"/>
          <w:sz w:val="24"/>
          <w:szCs w:val="24"/>
        </w:rPr>
        <w:t>organised</w:t>
      </w:r>
      <w:proofErr w:type="spellEnd"/>
      <w:r>
        <w:rPr>
          <w:rFonts w:ascii="Times New Roman" w:hAnsi="Times New Roman" w:cs="Times New Roman"/>
          <w:sz w:val="24"/>
          <w:szCs w:val="24"/>
        </w:rPr>
        <w:t xml:space="preserve"> manner the four major tasks identified: it will first discuss the effect of technological changes, then discuss demographic and geopolitical changes, and finally discuss strategic responses to skills gaps. The report ends with </w:t>
      </w:r>
      <w:r w:rsidR="00332980">
        <w:rPr>
          <w:rFonts w:ascii="Times New Roman" w:hAnsi="Times New Roman" w:cs="Times New Roman"/>
          <w:sz w:val="24"/>
          <w:szCs w:val="24"/>
        </w:rPr>
        <w:t>a</w:t>
      </w:r>
      <w:r>
        <w:rPr>
          <w:rFonts w:ascii="Times New Roman" w:hAnsi="Times New Roman" w:cs="Times New Roman"/>
          <w:sz w:val="24"/>
          <w:szCs w:val="24"/>
        </w:rPr>
        <w:t xml:space="preserve"> reflection on the individual preparation to work in the international workplace. It is based on the synthesis of current academic literature, encompassing the seminal works like Cappelli and Keller (2020) and Ulrich (2017) on the topic and current data, such as the report by Deloitte Global Human Capital Trends (2023). </w:t>
      </w:r>
      <w:r w:rsidR="00F807C5" w:rsidRPr="00F807C5">
        <w:rPr>
          <w:rFonts w:ascii="Times New Roman" w:hAnsi="Times New Roman" w:cs="Times New Roman"/>
          <w:sz w:val="24"/>
          <w:szCs w:val="24"/>
        </w:rPr>
        <w:t xml:space="preserve">The systematic review will provide a comprehensive view that will play a key role in the 21st -century human capital management. </w:t>
      </w:r>
      <w:r>
        <w:rPr>
          <w:rFonts w:ascii="Times New Roman" w:hAnsi="Times New Roman" w:cs="Times New Roman"/>
          <w:sz w:val="24"/>
          <w:szCs w:val="24"/>
        </w:rPr>
        <w:t xml:space="preserve">The report concludes with evidence-based suggestions on how </w:t>
      </w:r>
      <w:proofErr w:type="spellStart"/>
      <w:r>
        <w:rPr>
          <w:rFonts w:ascii="Times New Roman" w:hAnsi="Times New Roman" w:cs="Times New Roman"/>
          <w:sz w:val="24"/>
          <w:szCs w:val="24"/>
        </w:rPr>
        <w:t>organisations</w:t>
      </w:r>
      <w:proofErr w:type="spellEnd"/>
      <w:r>
        <w:rPr>
          <w:rFonts w:ascii="Times New Roman" w:hAnsi="Times New Roman" w:cs="Times New Roman"/>
          <w:sz w:val="24"/>
          <w:szCs w:val="24"/>
        </w:rPr>
        <w:t xml:space="preserve"> can build resilience and strategic capability in the workforce in the volatile </w:t>
      </w:r>
      <w:proofErr w:type="spellStart"/>
      <w:r>
        <w:rPr>
          <w:rFonts w:ascii="Times New Roman" w:hAnsi="Times New Roman" w:cs="Times New Roman"/>
          <w:sz w:val="24"/>
          <w:szCs w:val="24"/>
        </w:rPr>
        <w:t>labour</w:t>
      </w:r>
      <w:proofErr w:type="spellEnd"/>
      <w:r>
        <w:rPr>
          <w:rFonts w:ascii="Times New Roman" w:hAnsi="Times New Roman" w:cs="Times New Roman"/>
          <w:sz w:val="24"/>
          <w:szCs w:val="24"/>
        </w:rPr>
        <w:t xml:space="preserve"> markets.</w:t>
      </w:r>
    </w:p>
    <w:p w:rsidR="00431B1F" w:rsidRDefault="00000000">
      <w:pPr>
        <w:pStyle w:val="Heading1"/>
      </w:pPr>
      <w:bookmarkStart w:id="2" w:name="_Toc213026646"/>
      <w:r>
        <w:lastRenderedPageBreak/>
        <w:t xml:space="preserve">3.0 Technological Advancements Reshaping </w:t>
      </w:r>
      <w:proofErr w:type="spellStart"/>
      <w:r>
        <w:t>Labour</w:t>
      </w:r>
      <w:proofErr w:type="spellEnd"/>
      <w:r>
        <w:t xml:space="preserve"> Markets</w:t>
      </w:r>
      <w:bookmarkEnd w:id="2"/>
      <w:r>
        <w:t> </w:t>
      </w:r>
    </w:p>
    <w:p w:rsidR="00431B1F" w:rsidRDefault="00000000">
      <w:pPr>
        <w:pStyle w:val="Heading2"/>
      </w:pPr>
      <w:bookmarkStart w:id="3" w:name="_Toc213026647"/>
      <w:r>
        <w:t>3.1 Drivers</w:t>
      </w:r>
      <w:bookmarkEnd w:id="3"/>
    </w:p>
    <w:p w:rsidR="00431B1F" w:rsidRDefault="00000000">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work is essentially changing with the use of artificial intelligence, automation and digital platforms. According to Cappelli and Keller (2020), this is the technological implication, which means that the concept of work architecture must be reconsidered rather than just making it more efficient (which is a paradigm shift in how we consider the concept of productivity in </w:t>
      </w:r>
      <w:proofErr w:type="spellStart"/>
      <w:r>
        <w:rPr>
          <w:rFonts w:ascii="Times New Roman" w:hAnsi="Times New Roman" w:cs="Times New Roman"/>
          <w:sz w:val="24"/>
          <w:szCs w:val="24"/>
        </w:rPr>
        <w:t>organisations</w:t>
      </w:r>
      <w:proofErr w:type="spellEnd"/>
      <w:r>
        <w:rPr>
          <w:rFonts w:ascii="Times New Roman" w:hAnsi="Times New Roman" w:cs="Times New Roman"/>
          <w:sz w:val="24"/>
          <w:szCs w:val="24"/>
        </w:rPr>
        <w:t>).</w:t>
      </w:r>
    </w:p>
    <w:p w:rsidR="00431B1F" w:rsidRDefault="00000000">
      <w:pPr>
        <w:pStyle w:val="Heading2"/>
      </w:pPr>
      <w:bookmarkStart w:id="4" w:name="_Toc213026648"/>
      <w:r>
        <w:t>3.2 Labour Market Impact</w:t>
      </w:r>
      <w:bookmarkEnd w:id="4"/>
    </w:p>
    <w:p w:rsidR="00431B1F" w:rsidRDefault="00000000">
      <w:pPr>
        <w:spacing w:line="360" w:lineRule="auto"/>
        <w:rPr>
          <w:rFonts w:ascii="Times New Roman" w:hAnsi="Times New Roman" w:cs="Times New Roman"/>
          <w:sz w:val="24"/>
          <w:szCs w:val="24"/>
        </w:rPr>
      </w:pPr>
      <w:r>
        <w:rPr>
          <w:rFonts w:ascii="Times New Roman" w:hAnsi="Times New Roman" w:cs="Times New Roman"/>
          <w:sz w:val="24"/>
          <w:szCs w:val="24"/>
        </w:rPr>
        <w:t xml:space="preserve">These technologies result in a high level of </w:t>
      </w:r>
      <w:proofErr w:type="spellStart"/>
      <w:r>
        <w:rPr>
          <w:rFonts w:ascii="Times New Roman" w:hAnsi="Times New Roman" w:cs="Times New Roman"/>
          <w:sz w:val="24"/>
          <w:szCs w:val="24"/>
        </w:rPr>
        <w:t>polarisation</w:t>
      </w:r>
      <w:proofErr w:type="spellEnd"/>
      <w:r>
        <w:rPr>
          <w:rFonts w:ascii="Times New Roman" w:hAnsi="Times New Roman" w:cs="Times New Roman"/>
          <w:sz w:val="24"/>
          <w:szCs w:val="24"/>
        </w:rPr>
        <w:t xml:space="preserve"> of skills, both creating the demand for high levels of digital skills or, at a more structural level, pushing out repetitive positions. The adoption of remote working technology has led to unprecedented borderless talent pools, and industry surveys indicate that, accurately, the vast majority of large employers have accelerated the speed of the digital workplace </w:t>
      </w:r>
      <w:proofErr w:type="spellStart"/>
      <w:r>
        <w:rPr>
          <w:rFonts w:ascii="Times New Roman" w:hAnsi="Times New Roman" w:cs="Times New Roman"/>
          <w:sz w:val="24"/>
          <w:szCs w:val="24"/>
        </w:rPr>
        <w:t>programmes</w:t>
      </w:r>
      <w:proofErr w:type="spellEnd"/>
      <w:r>
        <w:rPr>
          <w:rFonts w:ascii="Times New Roman" w:hAnsi="Times New Roman" w:cs="Times New Roman"/>
          <w:sz w:val="24"/>
          <w:szCs w:val="24"/>
        </w:rPr>
        <w:t xml:space="preserve"> after the pandemic (Deloitte, 2023). </w:t>
      </w:r>
      <w:r w:rsidR="00BD07B5" w:rsidRPr="00BD07B5">
        <w:rPr>
          <w:rFonts w:ascii="Times New Roman" w:hAnsi="Times New Roman" w:cs="Times New Roman"/>
          <w:sz w:val="24"/>
          <w:szCs w:val="24"/>
        </w:rPr>
        <w:t>This democratic opportunity</w:t>
      </w:r>
      <w:r w:rsidR="008A34BC">
        <w:rPr>
          <w:rFonts w:ascii="Times New Roman" w:hAnsi="Times New Roman" w:cs="Times New Roman"/>
          <w:sz w:val="24"/>
          <w:szCs w:val="24"/>
        </w:rPr>
        <w:t xml:space="preserve"> </w:t>
      </w:r>
      <w:r w:rsidR="008A34BC" w:rsidRPr="008A34BC">
        <w:rPr>
          <w:rFonts w:ascii="Times New Roman" w:hAnsi="Times New Roman" w:cs="Times New Roman"/>
          <w:sz w:val="24"/>
          <w:szCs w:val="24"/>
        </w:rPr>
        <w:t>is</w:t>
      </w:r>
      <w:r w:rsidR="008A34BC">
        <w:rPr>
          <w:rFonts w:ascii="Times New Roman" w:hAnsi="Times New Roman" w:cs="Times New Roman"/>
          <w:sz w:val="24"/>
          <w:szCs w:val="24"/>
        </w:rPr>
        <w:t>,</w:t>
      </w:r>
      <w:r w:rsidR="008A34BC" w:rsidRPr="008A34BC">
        <w:rPr>
          <w:rFonts w:ascii="Times New Roman" w:hAnsi="Times New Roman" w:cs="Times New Roman"/>
          <w:sz w:val="24"/>
          <w:szCs w:val="24"/>
        </w:rPr>
        <w:t xml:space="preserve"> however</w:t>
      </w:r>
      <w:r w:rsidR="008A34BC">
        <w:rPr>
          <w:rFonts w:ascii="Times New Roman" w:hAnsi="Times New Roman" w:cs="Times New Roman"/>
          <w:sz w:val="24"/>
          <w:szCs w:val="24"/>
        </w:rPr>
        <w:t>,</w:t>
      </w:r>
      <w:r w:rsidR="008A34BC" w:rsidRPr="008A34BC">
        <w:rPr>
          <w:rFonts w:ascii="Times New Roman" w:hAnsi="Times New Roman" w:cs="Times New Roman"/>
          <w:sz w:val="24"/>
          <w:szCs w:val="24"/>
        </w:rPr>
        <w:t xml:space="preserve"> subjecting the </w:t>
      </w:r>
      <w:r w:rsidR="008A34BC">
        <w:rPr>
          <w:rFonts w:ascii="Times New Roman" w:hAnsi="Times New Roman" w:cs="Times New Roman"/>
          <w:sz w:val="24"/>
          <w:szCs w:val="24"/>
        </w:rPr>
        <w:t>high-quality</w:t>
      </w:r>
      <w:r w:rsidR="008A34BC" w:rsidRPr="008A34BC">
        <w:rPr>
          <w:rFonts w:ascii="Times New Roman" w:hAnsi="Times New Roman" w:cs="Times New Roman"/>
          <w:sz w:val="24"/>
          <w:szCs w:val="24"/>
        </w:rPr>
        <w:t xml:space="preserve"> global talent to fierce competition. At the same time, the datafication of work also gives an opportunity to monitor </w:t>
      </w:r>
      <w:r w:rsidR="008A34BC">
        <w:rPr>
          <w:rFonts w:ascii="Times New Roman" w:hAnsi="Times New Roman" w:cs="Times New Roman"/>
          <w:sz w:val="24"/>
          <w:szCs w:val="24"/>
        </w:rPr>
        <w:t xml:space="preserve">the </w:t>
      </w:r>
      <w:r w:rsidR="008A34BC" w:rsidRPr="008A34BC">
        <w:rPr>
          <w:rFonts w:ascii="Times New Roman" w:hAnsi="Times New Roman" w:cs="Times New Roman"/>
          <w:sz w:val="24"/>
          <w:szCs w:val="24"/>
        </w:rPr>
        <w:t xml:space="preserve">workforce at </w:t>
      </w:r>
      <w:r w:rsidR="008A34BC">
        <w:rPr>
          <w:rFonts w:ascii="Times New Roman" w:hAnsi="Times New Roman" w:cs="Times New Roman"/>
          <w:sz w:val="24"/>
          <w:szCs w:val="24"/>
        </w:rPr>
        <w:t xml:space="preserve">a </w:t>
      </w:r>
      <w:r w:rsidR="008A34BC" w:rsidRPr="008A34BC">
        <w:rPr>
          <w:rFonts w:ascii="Times New Roman" w:hAnsi="Times New Roman" w:cs="Times New Roman"/>
          <w:sz w:val="24"/>
          <w:szCs w:val="24"/>
        </w:rPr>
        <w:t>more specific level by productivity analytics and algorithmic management, which also evokes serious concerns about privacy and autonomy</w:t>
      </w:r>
      <w:r w:rsidR="008A34BC">
        <w:rPr>
          <w:rFonts w:ascii="Times New Roman" w:hAnsi="Times New Roman" w:cs="Times New Roman"/>
          <w:sz w:val="24"/>
          <w:szCs w:val="24"/>
        </w:rPr>
        <w:t>,</w:t>
      </w:r>
      <w:r w:rsidR="008A34BC" w:rsidRPr="008A34BC">
        <w:rPr>
          <w:rFonts w:ascii="Times New Roman" w:hAnsi="Times New Roman" w:cs="Times New Roman"/>
          <w:sz w:val="24"/>
          <w:szCs w:val="24"/>
        </w:rPr>
        <w:t xml:space="preserve"> and HR is required to respond to them</w:t>
      </w:r>
      <w:r>
        <w:rPr>
          <w:rFonts w:ascii="Times New Roman" w:hAnsi="Times New Roman" w:cs="Times New Roman"/>
          <w:sz w:val="24"/>
          <w:szCs w:val="24"/>
        </w:rPr>
        <w:t>.</w:t>
      </w:r>
    </w:p>
    <w:p w:rsidR="00431B1F" w:rsidRDefault="00000000">
      <w:pPr>
        <w:pStyle w:val="Heading2"/>
      </w:pPr>
      <w:bookmarkStart w:id="5" w:name="_Toc213026649"/>
      <w:r>
        <w:t>3.3 HRM Implications</w:t>
      </w:r>
      <w:bookmarkEnd w:id="5"/>
    </w:p>
    <w:p w:rsidR="00431B1F" w:rsidRDefault="00000000">
      <w:pPr>
        <w:spacing w:line="360" w:lineRule="auto"/>
        <w:rPr>
          <w:rFonts w:ascii="Times New Roman" w:hAnsi="Times New Roman" w:cs="Times New Roman"/>
          <w:sz w:val="24"/>
          <w:szCs w:val="24"/>
        </w:rPr>
      </w:pPr>
      <w:r>
        <w:rPr>
          <w:rFonts w:ascii="Times New Roman" w:hAnsi="Times New Roman" w:cs="Times New Roman"/>
          <w:sz w:val="24"/>
          <w:szCs w:val="24"/>
        </w:rPr>
        <w:t xml:space="preserve">HR should spearhead strategic reactions such as extensive reskilling initiatives, job redesign fundamentals and ethical AI governance frameworks. Armstrong (2021) points out that continuous learning is becoming a strategic imperative </w:t>
      </w:r>
      <w:r w:rsidR="008A34BC">
        <w:rPr>
          <w:rFonts w:ascii="Times New Roman" w:hAnsi="Times New Roman" w:cs="Times New Roman"/>
          <w:sz w:val="24"/>
          <w:szCs w:val="24"/>
        </w:rPr>
        <w:t xml:space="preserve">for </w:t>
      </w:r>
      <w:proofErr w:type="spellStart"/>
      <w:r w:rsidR="008A34BC">
        <w:rPr>
          <w:rFonts w:ascii="Times New Roman" w:hAnsi="Times New Roman" w:cs="Times New Roman"/>
          <w:sz w:val="24"/>
          <w:szCs w:val="24"/>
        </w:rPr>
        <w:t>organisations</w:t>
      </w:r>
      <w:proofErr w:type="spellEnd"/>
      <w:r>
        <w:rPr>
          <w:rFonts w:ascii="Times New Roman" w:hAnsi="Times New Roman" w:cs="Times New Roman"/>
          <w:sz w:val="24"/>
          <w:szCs w:val="24"/>
        </w:rPr>
        <w:t xml:space="preserve"> to achieve resilience. This introduces fresh responsibilities to HRM to control algorithmic decision-making, safeguard employee welfare, and secure performance analytics transparency, and now go beyond the conventional compliance functions of the HRM and become morally responsible custodians of technology in the workplace.</w:t>
      </w:r>
      <w:r w:rsidR="00F951E2">
        <w:rPr>
          <w:rFonts w:ascii="Times New Roman" w:hAnsi="Times New Roman" w:cs="Times New Roman"/>
          <w:sz w:val="24"/>
          <w:szCs w:val="24"/>
        </w:rPr>
        <w:t xml:space="preserve"> </w:t>
      </w:r>
      <w:r w:rsidR="00F951E2" w:rsidRPr="00F951E2">
        <w:rPr>
          <w:rFonts w:ascii="Times New Roman" w:hAnsi="Times New Roman" w:cs="Times New Roman"/>
          <w:sz w:val="24"/>
          <w:szCs w:val="24"/>
        </w:rPr>
        <w:t xml:space="preserve">But there are great practical difficulties with this ethical stewardship. As much as Armstrong (2021) recommends continuous learning, upskilling is often </w:t>
      </w:r>
      <w:r w:rsidR="00F951E2" w:rsidRPr="00F951E2">
        <w:rPr>
          <w:rFonts w:ascii="Times New Roman" w:hAnsi="Times New Roman" w:cs="Times New Roman"/>
          <w:sz w:val="24"/>
          <w:szCs w:val="24"/>
        </w:rPr>
        <w:lastRenderedPageBreak/>
        <w:t xml:space="preserve">viewed by many </w:t>
      </w:r>
      <w:proofErr w:type="spellStart"/>
      <w:r w:rsidR="00F951E2" w:rsidRPr="00F951E2">
        <w:rPr>
          <w:rFonts w:ascii="Times New Roman" w:hAnsi="Times New Roman" w:cs="Times New Roman"/>
          <w:sz w:val="24"/>
          <w:szCs w:val="24"/>
        </w:rPr>
        <w:t>organisations</w:t>
      </w:r>
      <w:proofErr w:type="spellEnd"/>
      <w:r w:rsidR="00F951E2" w:rsidRPr="00F951E2">
        <w:rPr>
          <w:rFonts w:ascii="Times New Roman" w:hAnsi="Times New Roman" w:cs="Times New Roman"/>
          <w:sz w:val="24"/>
          <w:szCs w:val="24"/>
        </w:rPr>
        <w:t xml:space="preserve"> as a cost </w:t>
      </w:r>
      <w:proofErr w:type="spellStart"/>
      <w:r w:rsidR="00F951E2" w:rsidRPr="00F951E2">
        <w:rPr>
          <w:rFonts w:ascii="Times New Roman" w:hAnsi="Times New Roman" w:cs="Times New Roman"/>
          <w:sz w:val="24"/>
          <w:szCs w:val="24"/>
        </w:rPr>
        <w:t>centre</w:t>
      </w:r>
      <w:proofErr w:type="spellEnd"/>
      <w:r w:rsidR="00F951E2" w:rsidRPr="00F951E2">
        <w:rPr>
          <w:rFonts w:ascii="Times New Roman" w:hAnsi="Times New Roman" w:cs="Times New Roman"/>
          <w:sz w:val="24"/>
          <w:szCs w:val="24"/>
        </w:rPr>
        <w:t xml:space="preserve"> but not </w:t>
      </w:r>
      <w:r w:rsidR="00332980">
        <w:rPr>
          <w:rFonts w:ascii="Times New Roman" w:hAnsi="Times New Roman" w:cs="Times New Roman"/>
          <w:sz w:val="24"/>
          <w:szCs w:val="24"/>
        </w:rPr>
        <w:t xml:space="preserve">a </w:t>
      </w:r>
      <w:r w:rsidR="00F951E2" w:rsidRPr="00F951E2">
        <w:rPr>
          <w:rFonts w:ascii="Times New Roman" w:hAnsi="Times New Roman" w:cs="Times New Roman"/>
          <w:sz w:val="24"/>
          <w:szCs w:val="24"/>
        </w:rPr>
        <w:t xml:space="preserve">strategic investment. The conflict between </w:t>
      </w:r>
      <w:r w:rsidR="00332980">
        <w:rPr>
          <w:rFonts w:ascii="Times New Roman" w:hAnsi="Times New Roman" w:cs="Times New Roman"/>
          <w:sz w:val="24"/>
          <w:szCs w:val="24"/>
        </w:rPr>
        <w:t>short-term</w:t>
      </w:r>
      <w:r w:rsidR="00F951E2" w:rsidRPr="00F951E2">
        <w:rPr>
          <w:rFonts w:ascii="Times New Roman" w:hAnsi="Times New Roman" w:cs="Times New Roman"/>
          <w:sz w:val="24"/>
          <w:szCs w:val="24"/>
        </w:rPr>
        <w:t xml:space="preserve"> productivity gains and </w:t>
      </w:r>
      <w:r w:rsidR="00332980">
        <w:rPr>
          <w:rFonts w:ascii="Times New Roman" w:hAnsi="Times New Roman" w:cs="Times New Roman"/>
          <w:sz w:val="24"/>
          <w:szCs w:val="24"/>
        </w:rPr>
        <w:t>long-term</w:t>
      </w:r>
      <w:r w:rsidR="00F951E2" w:rsidRPr="00F951E2">
        <w:rPr>
          <w:rFonts w:ascii="Times New Roman" w:hAnsi="Times New Roman" w:cs="Times New Roman"/>
          <w:sz w:val="24"/>
          <w:szCs w:val="24"/>
        </w:rPr>
        <w:t xml:space="preserve"> capability building is a fundamental paradox that HR has to walk through without sufficient resources and executive support.</w:t>
      </w:r>
    </w:p>
    <w:p w:rsidR="00431B1F" w:rsidRDefault="00000000">
      <w:pPr>
        <w:spacing w:line="360" w:lineRule="auto"/>
        <w:rPr>
          <w:rFonts w:ascii="Times New Roman" w:hAnsi="Times New Roman" w:cs="Times New Roman"/>
          <w:sz w:val="24"/>
          <w:szCs w:val="24"/>
        </w:rPr>
      </w:pPr>
      <w:r>
        <w:rPr>
          <w:rFonts w:ascii="Times New Roman" w:hAnsi="Times New Roman" w:cs="Times New Roman"/>
          <w:sz w:val="24"/>
          <w:szCs w:val="24"/>
        </w:rPr>
        <w:t xml:space="preserve">The figure in Figure 1 indicates that the ratio of </w:t>
      </w:r>
      <w:proofErr w:type="spellStart"/>
      <w:r>
        <w:rPr>
          <w:rFonts w:ascii="Times New Roman" w:hAnsi="Times New Roman" w:cs="Times New Roman"/>
          <w:sz w:val="24"/>
          <w:szCs w:val="24"/>
        </w:rPr>
        <w:t>organisations</w:t>
      </w:r>
      <w:proofErr w:type="spellEnd"/>
      <w:r>
        <w:rPr>
          <w:rFonts w:ascii="Times New Roman" w:hAnsi="Times New Roman" w:cs="Times New Roman"/>
          <w:sz w:val="24"/>
          <w:szCs w:val="24"/>
        </w:rPr>
        <w:t xml:space="preserve"> that transitioned to using AI in at least one of their business operations increased by the percentage: 20% in 2017 and 72% in 2024, exhibiting the extent and rate of technological change in the global </w:t>
      </w:r>
      <w:proofErr w:type="spellStart"/>
      <w:r>
        <w:rPr>
          <w:rFonts w:ascii="Times New Roman" w:hAnsi="Times New Roman" w:cs="Times New Roman"/>
          <w:sz w:val="24"/>
          <w:szCs w:val="24"/>
        </w:rPr>
        <w:t>labour</w:t>
      </w:r>
      <w:proofErr w:type="spellEnd"/>
      <w:r>
        <w:rPr>
          <w:rFonts w:ascii="Times New Roman" w:hAnsi="Times New Roman" w:cs="Times New Roman"/>
          <w:sz w:val="24"/>
          <w:szCs w:val="24"/>
        </w:rPr>
        <w:t xml:space="preserve"> markets (McKinsey &amp; Company, 2024).</w:t>
      </w:r>
    </w:p>
    <w:p w:rsidR="00431B1F" w:rsidRDefault="00000000">
      <w:pPr>
        <w:keepNext/>
        <w:spacing w:line="360" w:lineRule="auto"/>
      </w:pPr>
      <w:r>
        <w:rPr>
          <w:rFonts w:ascii="Times New Roman" w:hAnsi="Times New Roman" w:cs="Times New Roman"/>
          <w:noProof/>
          <w:sz w:val="24"/>
          <w:szCs w:val="24"/>
        </w:rPr>
        <w:drawing>
          <wp:inline distT="0" distB="0" distL="0" distR="0">
            <wp:extent cx="5943600" cy="4377055"/>
            <wp:effectExtent l="0" t="0" r="0" b="4445"/>
            <wp:docPr id="9741976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197608" name="Picture 1"/>
                    <pic:cNvPicPr>
                      <a:picLocks noChangeAspect="1"/>
                    </pic:cNvPicPr>
                  </pic:nvPicPr>
                  <pic:blipFill>
                    <a:blip r:embed="rId8"/>
                    <a:stretch>
                      <a:fillRect/>
                    </a:stretch>
                  </pic:blipFill>
                  <pic:spPr>
                    <a:xfrm>
                      <a:off x="0" y="0"/>
                      <a:ext cx="5943600" cy="4377055"/>
                    </a:xfrm>
                    <a:prstGeom prst="rect">
                      <a:avLst/>
                    </a:prstGeom>
                  </pic:spPr>
                </pic:pic>
              </a:graphicData>
            </a:graphic>
          </wp:inline>
        </w:drawing>
      </w:r>
    </w:p>
    <w:p w:rsidR="00431B1F" w:rsidRDefault="00000000">
      <w:pPr>
        <w:pStyle w:val="Caption"/>
        <w:rPr>
          <w:rFonts w:ascii="Times New Roman" w:hAnsi="Times New Roman" w:cs="Times New Roman"/>
          <w:b/>
          <w:bCs/>
          <w:sz w:val="32"/>
          <w:szCs w:val="32"/>
        </w:rPr>
      </w:pPr>
      <w:bookmarkStart w:id="6" w:name="_Toc213023786"/>
      <w:r>
        <w:rPr>
          <w:b/>
          <w:bCs/>
          <w:sz w:val="22"/>
          <w:szCs w:val="22"/>
        </w:rPr>
        <w:t xml:space="preserve">Figure </w:t>
      </w:r>
      <w:r>
        <w:rPr>
          <w:b/>
          <w:bCs/>
          <w:sz w:val="22"/>
          <w:szCs w:val="22"/>
        </w:rPr>
        <w:fldChar w:fldCharType="begin"/>
      </w:r>
      <w:r>
        <w:rPr>
          <w:b/>
          <w:bCs/>
          <w:sz w:val="22"/>
          <w:szCs w:val="22"/>
        </w:rPr>
        <w:instrText xml:space="preserve"> SEQ Figure \* ARABIC </w:instrText>
      </w:r>
      <w:r>
        <w:rPr>
          <w:b/>
          <w:bCs/>
          <w:sz w:val="22"/>
          <w:szCs w:val="22"/>
        </w:rPr>
        <w:fldChar w:fldCharType="separate"/>
      </w:r>
      <w:r>
        <w:rPr>
          <w:b/>
          <w:bCs/>
          <w:sz w:val="22"/>
          <w:szCs w:val="22"/>
        </w:rPr>
        <w:t>1</w:t>
      </w:r>
      <w:r>
        <w:rPr>
          <w:b/>
          <w:bCs/>
          <w:sz w:val="22"/>
          <w:szCs w:val="22"/>
        </w:rPr>
        <w:fldChar w:fldCharType="end"/>
      </w:r>
      <w:r>
        <w:rPr>
          <w:b/>
          <w:bCs/>
          <w:sz w:val="22"/>
          <w:szCs w:val="22"/>
        </w:rPr>
        <w:t xml:space="preserve">: Global AI Adoption and Use of Generative AI (2017–2024), </w:t>
      </w:r>
      <w:r>
        <w:rPr>
          <w:rFonts w:ascii="Times New Roman" w:hAnsi="Times New Roman" w:cs="Times New Roman"/>
          <w:b/>
          <w:bCs/>
          <w:sz w:val="24"/>
          <w:szCs w:val="24"/>
        </w:rPr>
        <w:t>Source: McKinsey &amp; Company (2024),</w:t>
      </w:r>
      <w:bookmarkEnd w:id="6"/>
      <w:r>
        <w:rPr>
          <w:rFonts w:ascii="Times New Roman" w:hAnsi="Times New Roman" w:cs="Times New Roman"/>
          <w:sz w:val="24"/>
          <w:szCs w:val="24"/>
        </w:rPr>
        <w:t xml:space="preserve"> </w:t>
      </w:r>
    </w:p>
    <w:p w:rsidR="00431B1F" w:rsidRDefault="00000000">
      <w:pPr>
        <w:pStyle w:val="Heading2"/>
      </w:pPr>
      <w:bookmarkStart w:id="7" w:name="_Toc213026650"/>
      <w:r>
        <w:t>3.4 IHRM Implications</w:t>
      </w:r>
      <w:bookmarkEnd w:id="7"/>
    </w:p>
    <w:p w:rsidR="00431B1F" w:rsidRDefault="00000000">
      <w:pPr>
        <w:spacing w:line="360" w:lineRule="auto"/>
        <w:rPr>
          <w:rFonts w:ascii="Times New Roman" w:hAnsi="Times New Roman" w:cs="Times New Roman"/>
          <w:sz w:val="24"/>
          <w:szCs w:val="24"/>
        </w:rPr>
      </w:pPr>
      <w:r>
        <w:rPr>
          <w:rFonts w:ascii="Times New Roman" w:hAnsi="Times New Roman" w:cs="Times New Roman"/>
          <w:b/>
          <w:bCs/>
          <w:sz w:val="24"/>
          <w:szCs w:val="24"/>
        </w:rPr>
        <w:t xml:space="preserve">In this environment, global talent sourcing would be necessary and complicated. </w:t>
      </w:r>
      <w:r>
        <w:rPr>
          <w:rFonts w:ascii="Times New Roman" w:hAnsi="Times New Roman" w:cs="Times New Roman"/>
          <w:sz w:val="24"/>
          <w:szCs w:val="24"/>
        </w:rPr>
        <w:t xml:space="preserve">IHRM must navigate intricate cross-border compliance requirements, data privacy regulations like </w:t>
      </w:r>
      <w:r>
        <w:rPr>
          <w:rFonts w:ascii="Times New Roman" w:hAnsi="Times New Roman" w:cs="Times New Roman"/>
          <w:sz w:val="24"/>
          <w:szCs w:val="24"/>
        </w:rPr>
        <w:lastRenderedPageBreak/>
        <w:t xml:space="preserve">GDPR, and develop new competencies in virtual team leadership across diverse cultures (Ulrich et al., 2017). The traditional model of long-term expatriate is being rapidly complemented by more flexible assignments in the form of short-term projects and fully virtual assignments, which require an increased level of agility in the design and implementation of IHRM policies. </w:t>
      </w:r>
    </w:p>
    <w:p w:rsidR="00431B1F" w:rsidRDefault="00000000">
      <w:pPr>
        <w:pStyle w:val="Caption"/>
        <w:rPr>
          <w:rFonts w:ascii="Times New Roman" w:hAnsi="Times New Roman" w:cs="Times New Roman"/>
          <w:b/>
          <w:bCs/>
          <w:sz w:val="22"/>
          <w:szCs w:val="22"/>
        </w:rPr>
      </w:pPr>
      <w:bookmarkStart w:id="8" w:name="_Toc213044040"/>
      <w:r>
        <w:rPr>
          <w:rFonts w:ascii="Times New Roman" w:hAnsi="Times New Roman" w:cs="Times New Roman"/>
          <w:b/>
          <w:bCs/>
          <w:sz w:val="22"/>
          <w:szCs w:val="22"/>
        </w:rPr>
        <w:t xml:space="preserve">Table </w:t>
      </w:r>
      <w:r>
        <w:rPr>
          <w:rFonts w:ascii="Times New Roman" w:hAnsi="Times New Roman" w:cs="Times New Roman"/>
          <w:b/>
          <w:bCs/>
          <w:sz w:val="22"/>
          <w:szCs w:val="22"/>
        </w:rPr>
        <w:fldChar w:fldCharType="begin"/>
      </w:r>
      <w:r>
        <w:rPr>
          <w:rFonts w:ascii="Times New Roman" w:hAnsi="Times New Roman" w:cs="Times New Roman"/>
          <w:b/>
          <w:bCs/>
          <w:sz w:val="22"/>
          <w:szCs w:val="22"/>
        </w:rPr>
        <w:instrText xml:space="preserve"> SEQ Table \* ARABIC </w:instrText>
      </w:r>
      <w:r>
        <w:rPr>
          <w:rFonts w:ascii="Times New Roman" w:hAnsi="Times New Roman" w:cs="Times New Roman"/>
          <w:b/>
          <w:bCs/>
          <w:sz w:val="22"/>
          <w:szCs w:val="22"/>
        </w:rPr>
        <w:fldChar w:fldCharType="separate"/>
      </w:r>
      <w:r w:rsidR="00A50F76">
        <w:rPr>
          <w:rFonts w:ascii="Times New Roman" w:hAnsi="Times New Roman" w:cs="Times New Roman"/>
          <w:b/>
          <w:bCs/>
          <w:noProof/>
          <w:sz w:val="22"/>
          <w:szCs w:val="22"/>
        </w:rPr>
        <w:t>1</w:t>
      </w:r>
      <w:r>
        <w:rPr>
          <w:rFonts w:ascii="Times New Roman" w:hAnsi="Times New Roman" w:cs="Times New Roman"/>
          <w:b/>
          <w:bCs/>
          <w:sz w:val="22"/>
          <w:szCs w:val="22"/>
        </w:rPr>
        <w:fldChar w:fldCharType="end"/>
      </w:r>
      <w:r>
        <w:rPr>
          <w:rFonts w:ascii="Times New Roman" w:hAnsi="Times New Roman" w:cs="Times New Roman"/>
          <w:b/>
          <w:bCs/>
          <w:sz w:val="22"/>
          <w:szCs w:val="22"/>
        </w:rPr>
        <w:t>: Implications of Key Technological Trends for HRM and IHRM</w:t>
      </w:r>
      <w:bookmarkEnd w:id="8"/>
    </w:p>
    <w:tbl>
      <w:tblPr>
        <w:tblStyle w:val="GridTable5Dark-Accent11"/>
        <w:tblW w:w="0" w:type="auto"/>
        <w:tblLook w:val="04A0" w:firstRow="1" w:lastRow="0" w:firstColumn="1" w:lastColumn="0" w:noHBand="0" w:noVBand="1"/>
      </w:tblPr>
      <w:tblGrid>
        <w:gridCol w:w="2263"/>
        <w:gridCol w:w="3354"/>
        <w:gridCol w:w="3733"/>
      </w:tblGrid>
      <w:tr w:rsidR="00431B1F" w:rsidTr="00431B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431B1F" w:rsidRDefault="00000000">
            <w:pPr>
              <w:spacing w:after="0" w:line="360" w:lineRule="auto"/>
              <w:rPr>
                <w:rFonts w:ascii="Times New Roman" w:hAnsi="Times New Roman" w:cs="Times New Roman"/>
                <w:b w:val="0"/>
                <w:bCs w:val="0"/>
                <w:sz w:val="28"/>
                <w:szCs w:val="28"/>
              </w:rPr>
            </w:pPr>
            <w:r>
              <w:rPr>
                <w:rFonts w:ascii="Times New Roman" w:hAnsi="Times New Roman" w:cs="Times New Roman"/>
                <w:sz w:val="28"/>
                <w:szCs w:val="28"/>
              </w:rPr>
              <w:t>Technological Trend</w:t>
            </w:r>
          </w:p>
        </w:tc>
        <w:tc>
          <w:tcPr>
            <w:tcW w:w="0" w:type="auto"/>
          </w:tcPr>
          <w:p w:rsidR="00431B1F" w:rsidRDefault="00000000">
            <w:pPr>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8"/>
                <w:szCs w:val="28"/>
              </w:rPr>
            </w:pPr>
            <w:r>
              <w:rPr>
                <w:rFonts w:ascii="Times New Roman" w:hAnsi="Times New Roman" w:cs="Times New Roman"/>
                <w:sz w:val="28"/>
                <w:szCs w:val="28"/>
              </w:rPr>
              <w:t>Implication for HRM</w:t>
            </w:r>
          </w:p>
        </w:tc>
        <w:tc>
          <w:tcPr>
            <w:tcW w:w="0" w:type="auto"/>
          </w:tcPr>
          <w:p w:rsidR="00431B1F" w:rsidRDefault="00000000">
            <w:pPr>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8"/>
                <w:szCs w:val="28"/>
              </w:rPr>
            </w:pPr>
            <w:r>
              <w:rPr>
                <w:rFonts w:ascii="Times New Roman" w:hAnsi="Times New Roman" w:cs="Times New Roman"/>
                <w:sz w:val="28"/>
                <w:szCs w:val="28"/>
              </w:rPr>
              <w:t>Implication for IHRM</w:t>
            </w:r>
          </w:p>
        </w:tc>
      </w:tr>
      <w:tr w:rsidR="00431B1F" w:rsidTr="00431B1F">
        <w:tc>
          <w:tcPr>
            <w:cnfStyle w:val="001000000000" w:firstRow="0" w:lastRow="0" w:firstColumn="1" w:lastColumn="0" w:oddVBand="0" w:evenVBand="0" w:oddHBand="0" w:evenHBand="0" w:firstRowFirstColumn="0" w:firstRowLastColumn="0" w:lastRowFirstColumn="0" w:lastRowLastColumn="0"/>
            <w:tcW w:w="0" w:type="auto"/>
          </w:tcPr>
          <w:p w:rsidR="00431B1F" w:rsidRDefault="00000000">
            <w:pPr>
              <w:spacing w:after="0" w:line="360" w:lineRule="auto"/>
              <w:rPr>
                <w:rFonts w:ascii="Times New Roman" w:hAnsi="Times New Roman" w:cs="Times New Roman"/>
                <w:b w:val="0"/>
                <w:bCs w:val="0"/>
                <w:sz w:val="28"/>
                <w:szCs w:val="28"/>
              </w:rPr>
            </w:pPr>
            <w:r>
              <w:rPr>
                <w:rFonts w:ascii="Times New Roman" w:hAnsi="Times New Roman" w:cs="Times New Roman"/>
                <w:sz w:val="28"/>
                <w:szCs w:val="28"/>
              </w:rPr>
              <w:t>AI &amp; Automation</w:t>
            </w:r>
          </w:p>
        </w:tc>
        <w:tc>
          <w:tcPr>
            <w:tcW w:w="0" w:type="auto"/>
            <w:shd w:val="clear" w:color="auto" w:fill="B4C6E7" w:themeFill="accent1" w:themeFillTint="66"/>
          </w:tcPr>
          <w:p w:rsidR="00431B1F" w:rsidRDefault="00000000">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Job redesign, reskilling </w:t>
            </w:r>
            <w:proofErr w:type="spellStart"/>
            <w:r>
              <w:rPr>
                <w:rFonts w:ascii="Times New Roman" w:hAnsi="Times New Roman" w:cs="Times New Roman"/>
                <w:sz w:val="24"/>
                <w:szCs w:val="24"/>
              </w:rPr>
              <w:t>programmes</w:t>
            </w:r>
            <w:proofErr w:type="spellEnd"/>
            <w:r>
              <w:rPr>
                <w:rFonts w:ascii="Times New Roman" w:hAnsi="Times New Roman" w:cs="Times New Roman"/>
                <w:sz w:val="24"/>
                <w:szCs w:val="24"/>
              </w:rPr>
              <w:t>, ethical AI governance, managing displacement anxiety.</w:t>
            </w:r>
          </w:p>
        </w:tc>
        <w:tc>
          <w:tcPr>
            <w:tcW w:w="0" w:type="auto"/>
            <w:shd w:val="clear" w:color="auto" w:fill="B4C6E7" w:themeFill="accent1" w:themeFillTint="66"/>
          </w:tcPr>
          <w:p w:rsidR="00431B1F" w:rsidRDefault="00000000">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Global standards of algorithmic management, across jurisdictions managing displacement, ethical global implementation.</w:t>
            </w:r>
          </w:p>
        </w:tc>
      </w:tr>
      <w:tr w:rsidR="00431B1F" w:rsidTr="00431B1F">
        <w:tc>
          <w:tcPr>
            <w:cnfStyle w:val="001000000000" w:firstRow="0" w:lastRow="0" w:firstColumn="1" w:lastColumn="0" w:oddVBand="0" w:evenVBand="0" w:oddHBand="0" w:evenHBand="0" w:firstRowFirstColumn="0" w:firstRowLastColumn="0" w:lastRowFirstColumn="0" w:lastRowLastColumn="0"/>
            <w:tcW w:w="0" w:type="auto"/>
          </w:tcPr>
          <w:p w:rsidR="00431B1F" w:rsidRDefault="00000000">
            <w:pPr>
              <w:spacing w:after="0" w:line="360" w:lineRule="auto"/>
              <w:rPr>
                <w:rFonts w:ascii="Times New Roman" w:hAnsi="Times New Roman" w:cs="Times New Roman"/>
                <w:b w:val="0"/>
                <w:bCs w:val="0"/>
                <w:sz w:val="28"/>
                <w:szCs w:val="28"/>
              </w:rPr>
            </w:pPr>
            <w:r>
              <w:rPr>
                <w:rFonts w:ascii="Times New Roman" w:hAnsi="Times New Roman" w:cs="Times New Roman"/>
                <w:sz w:val="28"/>
                <w:szCs w:val="28"/>
              </w:rPr>
              <w:t>Digital Platforms &amp; Gig Economy</w:t>
            </w:r>
          </w:p>
        </w:tc>
        <w:tc>
          <w:tcPr>
            <w:tcW w:w="0" w:type="auto"/>
          </w:tcPr>
          <w:p w:rsidR="00431B1F" w:rsidRDefault="00000000">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Building new models of engagement for non-standard workers, incorporating gig talent, ensuring fair pay.</w:t>
            </w:r>
          </w:p>
        </w:tc>
        <w:tc>
          <w:tcPr>
            <w:tcW w:w="0" w:type="auto"/>
          </w:tcPr>
          <w:p w:rsidR="00431B1F" w:rsidRDefault="00000000">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Understanding international contractor laws, creating a global talent marketplace, managing cross-border gig worker rights.</w:t>
            </w:r>
          </w:p>
        </w:tc>
      </w:tr>
      <w:tr w:rsidR="00431B1F" w:rsidTr="00431B1F">
        <w:tc>
          <w:tcPr>
            <w:cnfStyle w:val="001000000000" w:firstRow="0" w:lastRow="0" w:firstColumn="1" w:lastColumn="0" w:oddVBand="0" w:evenVBand="0" w:oddHBand="0" w:evenHBand="0" w:firstRowFirstColumn="0" w:firstRowLastColumn="0" w:lastRowFirstColumn="0" w:lastRowLastColumn="0"/>
            <w:tcW w:w="0" w:type="auto"/>
          </w:tcPr>
          <w:p w:rsidR="00431B1F" w:rsidRDefault="00000000">
            <w:pPr>
              <w:spacing w:after="0" w:line="360" w:lineRule="auto"/>
              <w:rPr>
                <w:rFonts w:ascii="Times New Roman" w:hAnsi="Times New Roman" w:cs="Times New Roman"/>
                <w:b w:val="0"/>
                <w:bCs w:val="0"/>
                <w:sz w:val="28"/>
                <w:szCs w:val="28"/>
              </w:rPr>
            </w:pPr>
            <w:r>
              <w:rPr>
                <w:rFonts w:ascii="Times New Roman" w:hAnsi="Times New Roman" w:cs="Times New Roman"/>
                <w:sz w:val="28"/>
                <w:szCs w:val="28"/>
              </w:rPr>
              <w:t>Remote Collaboration Tech</w:t>
            </w:r>
          </w:p>
        </w:tc>
        <w:tc>
          <w:tcPr>
            <w:tcW w:w="0" w:type="auto"/>
            <w:shd w:val="clear" w:color="auto" w:fill="B4C6E7" w:themeFill="accent1" w:themeFillTint="66"/>
          </w:tcPr>
          <w:p w:rsidR="00431B1F" w:rsidRDefault="00000000">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Designing hybrid working policies, focusing on outcomes-based performance management, and preventing digital presenteeism.</w:t>
            </w:r>
          </w:p>
        </w:tc>
        <w:tc>
          <w:tcPr>
            <w:tcW w:w="0" w:type="auto"/>
            <w:shd w:val="clear" w:color="auto" w:fill="B4C6E7" w:themeFill="accent1" w:themeFillTint="66"/>
          </w:tcPr>
          <w:p w:rsidR="00431B1F" w:rsidRDefault="00000000">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Managing teams across time zones, ensuring inclusive collaboration, maintaining </w:t>
            </w:r>
            <w:proofErr w:type="spellStart"/>
            <w:r>
              <w:rPr>
                <w:rFonts w:ascii="Times New Roman" w:hAnsi="Times New Roman" w:cs="Times New Roman"/>
                <w:sz w:val="24"/>
                <w:szCs w:val="24"/>
              </w:rPr>
              <w:t>organisational</w:t>
            </w:r>
            <w:proofErr w:type="spellEnd"/>
            <w:r>
              <w:rPr>
                <w:rFonts w:ascii="Times New Roman" w:hAnsi="Times New Roman" w:cs="Times New Roman"/>
                <w:sz w:val="24"/>
                <w:szCs w:val="24"/>
              </w:rPr>
              <w:t xml:space="preserve"> culture globally, addressing digital exhaustion.</w:t>
            </w:r>
          </w:p>
        </w:tc>
      </w:tr>
    </w:tbl>
    <w:p w:rsidR="00431B1F" w:rsidRDefault="00000000">
      <w:pPr>
        <w:spacing w:line="360" w:lineRule="auto"/>
        <w:rPr>
          <w:rFonts w:ascii="Times New Roman" w:hAnsi="Times New Roman" w:cs="Times New Roman"/>
        </w:rPr>
      </w:pPr>
      <w:r>
        <w:rPr>
          <w:rFonts w:ascii="Times New Roman" w:hAnsi="Times New Roman" w:cs="Times New Roman"/>
          <w:i/>
          <w:iCs/>
        </w:rPr>
        <w:t>Source: Compiled from Cappelli &amp; Keller (2020); Ulrich et al. (2017); Deloitte (2023); and industry analysis</w:t>
      </w:r>
    </w:p>
    <w:p w:rsidR="00431B1F" w:rsidRDefault="00000000">
      <w:pPr>
        <w:spacing w:line="360" w:lineRule="auto"/>
        <w:rPr>
          <w:rFonts w:ascii="Times New Roman" w:hAnsi="Times New Roman" w:cs="Times New Roman"/>
          <w:sz w:val="24"/>
          <w:szCs w:val="24"/>
        </w:rPr>
      </w:pPr>
      <w:bookmarkStart w:id="9" w:name="_Toc213026651"/>
      <w:r>
        <w:rPr>
          <w:rStyle w:val="Heading2Char"/>
        </w:rPr>
        <w:t>3.5 Implementation Challenges and Ethical Considerations</w:t>
      </w:r>
      <w:bookmarkEnd w:id="9"/>
      <w:r>
        <w:rPr>
          <w:rFonts w:ascii="Times New Roman" w:hAnsi="Times New Roman" w:cs="Times New Roman"/>
          <w:sz w:val="24"/>
          <w:szCs w:val="24"/>
        </w:rPr>
        <w:br/>
        <w:t xml:space="preserve">The transition toward technology-driven HR practices presents significant implementation barriers that </w:t>
      </w:r>
      <w:proofErr w:type="spellStart"/>
      <w:r>
        <w:rPr>
          <w:rFonts w:ascii="Times New Roman" w:hAnsi="Times New Roman" w:cs="Times New Roman"/>
          <w:sz w:val="24"/>
          <w:szCs w:val="24"/>
        </w:rPr>
        <w:t>organisations</w:t>
      </w:r>
      <w:proofErr w:type="spellEnd"/>
      <w:r>
        <w:rPr>
          <w:rFonts w:ascii="Times New Roman" w:hAnsi="Times New Roman" w:cs="Times New Roman"/>
          <w:sz w:val="24"/>
          <w:szCs w:val="24"/>
        </w:rPr>
        <w:t xml:space="preserve"> must navigate. Research on digital transformation consistently shows that most large-scale technology </w:t>
      </w:r>
      <w:proofErr w:type="spellStart"/>
      <w:r>
        <w:rPr>
          <w:rFonts w:ascii="Times New Roman" w:hAnsi="Times New Roman" w:cs="Times New Roman"/>
          <w:sz w:val="24"/>
          <w:szCs w:val="24"/>
        </w:rPr>
        <w:t>programmes</w:t>
      </w:r>
      <w:proofErr w:type="spellEnd"/>
      <w:r>
        <w:rPr>
          <w:rFonts w:ascii="Times New Roman" w:hAnsi="Times New Roman" w:cs="Times New Roman"/>
          <w:sz w:val="24"/>
          <w:szCs w:val="24"/>
        </w:rPr>
        <w:t xml:space="preserve"> underperform primarily due to </w:t>
      </w:r>
      <w:proofErr w:type="spellStart"/>
      <w:r>
        <w:rPr>
          <w:rFonts w:ascii="Times New Roman" w:hAnsi="Times New Roman" w:cs="Times New Roman"/>
          <w:sz w:val="24"/>
          <w:szCs w:val="24"/>
        </w:rPr>
        <w:t>behavioural</w:t>
      </w:r>
      <w:proofErr w:type="spellEnd"/>
      <w:r>
        <w:rPr>
          <w:rFonts w:ascii="Times New Roman" w:hAnsi="Times New Roman" w:cs="Times New Roman"/>
          <w:sz w:val="24"/>
          <w:szCs w:val="24"/>
        </w:rPr>
        <w:t xml:space="preserve"> and cultural resistance rather than technical failure (Kane et al., 2020). This highlights the fact that adopting AI and analytics in HR is not only a system initiative, but also a leadership change issue. In addition to ethical issues regarding surveillance, </w:t>
      </w:r>
      <w:proofErr w:type="spellStart"/>
      <w:r>
        <w:rPr>
          <w:rFonts w:ascii="Times New Roman" w:hAnsi="Times New Roman" w:cs="Times New Roman"/>
          <w:sz w:val="24"/>
          <w:szCs w:val="24"/>
        </w:rPr>
        <w:t>organisations</w:t>
      </w:r>
      <w:proofErr w:type="spellEnd"/>
      <w:r>
        <w:rPr>
          <w:rFonts w:ascii="Times New Roman" w:hAnsi="Times New Roman" w:cs="Times New Roman"/>
          <w:sz w:val="24"/>
          <w:szCs w:val="24"/>
        </w:rPr>
        <w:t xml:space="preserve"> have practical issues about the efficiency versus employee trust. Although AI in hiring is said to bring about increased </w:t>
      </w:r>
      <w:r>
        <w:rPr>
          <w:rFonts w:ascii="Times New Roman" w:hAnsi="Times New Roman" w:cs="Times New Roman"/>
          <w:sz w:val="24"/>
          <w:szCs w:val="24"/>
        </w:rPr>
        <w:lastRenderedPageBreak/>
        <w:t xml:space="preserve">objectivity, in many cases, it recreates the existing biases, as long as the training data is based on historical disparities. Moreover, collaboration technologies have been rapidly deployed to such an extent that there is a phenomenon of digital fatigue, which is reported by the Microsoft Work Trend Index at approximately 250% more hours of weekly meetings, which hurts deep work and innovation capacity (Microsoft, 2023). Such issues highlight that adoption of technology needs advanced change leadership, digital instruments add value rather than eliminating human potential and </w:t>
      </w:r>
      <w:proofErr w:type="spellStart"/>
      <w:r>
        <w:rPr>
          <w:rFonts w:ascii="Times New Roman" w:hAnsi="Times New Roman" w:cs="Times New Roman"/>
          <w:sz w:val="24"/>
          <w:szCs w:val="24"/>
        </w:rPr>
        <w:t>organisational</w:t>
      </w:r>
      <w:proofErr w:type="spellEnd"/>
      <w:r>
        <w:rPr>
          <w:rFonts w:ascii="Times New Roman" w:hAnsi="Times New Roman" w:cs="Times New Roman"/>
          <w:sz w:val="24"/>
          <w:szCs w:val="24"/>
        </w:rPr>
        <w:t xml:space="preserve"> efficiency.</w:t>
      </w:r>
    </w:p>
    <w:p w:rsidR="00431B1F" w:rsidRDefault="00000000">
      <w:pPr>
        <w:pStyle w:val="Heading2"/>
      </w:pPr>
      <w:bookmarkStart w:id="10" w:name="_Toc213026652"/>
      <w:r>
        <w:t>3.6 Future Trends and Strategic Preparation</w:t>
      </w:r>
      <w:bookmarkEnd w:id="10"/>
    </w:p>
    <w:p w:rsidR="00431B1F" w:rsidRDefault="00000000">
      <w:pPr>
        <w:spacing w:line="360" w:lineRule="auto"/>
        <w:rPr>
          <w:rFonts w:ascii="Times New Roman" w:hAnsi="Times New Roman" w:cs="Times New Roman"/>
          <w:sz w:val="24"/>
          <w:szCs w:val="24"/>
        </w:rPr>
      </w:pPr>
      <w:r>
        <w:rPr>
          <w:rFonts w:ascii="Times New Roman" w:hAnsi="Times New Roman" w:cs="Times New Roman"/>
          <w:sz w:val="24"/>
          <w:szCs w:val="24"/>
        </w:rPr>
        <w:t xml:space="preserve">The future of work will be driven by the introduction of new technologies into the sphere, such as AI, quantum computers, and immersive reality. HR professionals should also consider the future consequences of these disruptions, and the solution is constant environmental scanning and strategic planning of the workforce. These include coming up with policies which are flexible and can accommodate technological change, forming partnerships with technology suppliers and establishing innovation laboratories to test new tools. Those </w:t>
      </w:r>
      <w:proofErr w:type="spellStart"/>
      <w:r>
        <w:rPr>
          <w:rFonts w:ascii="Times New Roman" w:hAnsi="Times New Roman" w:cs="Times New Roman"/>
          <w:sz w:val="24"/>
          <w:szCs w:val="24"/>
        </w:rPr>
        <w:t>organisations</w:t>
      </w:r>
      <w:proofErr w:type="spellEnd"/>
      <w:r>
        <w:rPr>
          <w:rFonts w:ascii="Times New Roman" w:hAnsi="Times New Roman" w:cs="Times New Roman"/>
          <w:sz w:val="24"/>
          <w:szCs w:val="24"/>
        </w:rPr>
        <w:t xml:space="preserve"> that actively create digital literacy and agile working </w:t>
      </w:r>
      <w:proofErr w:type="spellStart"/>
      <w:r>
        <w:rPr>
          <w:rFonts w:ascii="Times New Roman" w:hAnsi="Times New Roman" w:cs="Times New Roman"/>
          <w:sz w:val="24"/>
          <w:szCs w:val="24"/>
        </w:rPr>
        <w:t>practise</w:t>
      </w:r>
      <w:proofErr w:type="spellEnd"/>
      <w:r>
        <w:rPr>
          <w:rFonts w:ascii="Times New Roman" w:hAnsi="Times New Roman" w:cs="Times New Roman"/>
          <w:sz w:val="24"/>
          <w:szCs w:val="24"/>
        </w:rPr>
        <w:t xml:space="preserve"> will be in a better position to </w:t>
      </w:r>
      <w:proofErr w:type="spellStart"/>
      <w:r>
        <w:rPr>
          <w:rFonts w:ascii="Times New Roman" w:hAnsi="Times New Roman" w:cs="Times New Roman"/>
          <w:sz w:val="24"/>
          <w:szCs w:val="24"/>
        </w:rPr>
        <w:t>capitalise</w:t>
      </w:r>
      <w:proofErr w:type="spellEnd"/>
      <w:r>
        <w:rPr>
          <w:rFonts w:ascii="Times New Roman" w:hAnsi="Times New Roman" w:cs="Times New Roman"/>
          <w:sz w:val="24"/>
          <w:szCs w:val="24"/>
        </w:rPr>
        <w:t xml:space="preserve"> on the emerging technology and uphold faith in ethical standards and employee wellbeing.</w:t>
      </w:r>
    </w:p>
    <w:p w:rsidR="00431B1F" w:rsidRDefault="00000000">
      <w:pPr>
        <w:pStyle w:val="Heading1"/>
      </w:pPr>
      <w:bookmarkStart w:id="11" w:name="_Toc213026653"/>
      <w:r>
        <w:t>4.0 Demographic and Geopolitical Influences on Employment</w:t>
      </w:r>
      <w:bookmarkEnd w:id="11"/>
    </w:p>
    <w:p w:rsidR="00431B1F" w:rsidRDefault="00000000">
      <w:pPr>
        <w:pStyle w:val="Heading2"/>
      </w:pPr>
      <w:bookmarkStart w:id="12" w:name="_Toc213026654"/>
      <w:r>
        <w:t>4.1 Demographic Shifts</w:t>
      </w:r>
      <w:bookmarkEnd w:id="12"/>
    </w:p>
    <w:p w:rsidR="00431B1F" w:rsidRDefault="00000000">
      <w:pPr>
        <w:spacing w:line="360" w:lineRule="auto"/>
        <w:rPr>
          <w:rFonts w:ascii="Times New Roman" w:hAnsi="Times New Roman" w:cs="Times New Roman"/>
          <w:sz w:val="24"/>
          <w:szCs w:val="24"/>
        </w:rPr>
      </w:pPr>
      <w:r>
        <w:rPr>
          <w:rFonts w:ascii="Times New Roman" w:hAnsi="Times New Roman" w:cs="Times New Roman"/>
          <w:sz w:val="24"/>
          <w:szCs w:val="24"/>
        </w:rPr>
        <w:t xml:space="preserve">An ageing population in developed economies is causing structural </w:t>
      </w:r>
      <w:proofErr w:type="spellStart"/>
      <w:r>
        <w:rPr>
          <w:rFonts w:ascii="Times New Roman" w:hAnsi="Times New Roman" w:cs="Times New Roman"/>
          <w:sz w:val="24"/>
          <w:szCs w:val="24"/>
        </w:rPr>
        <w:t>labour</w:t>
      </w:r>
      <w:proofErr w:type="spellEnd"/>
      <w:r>
        <w:rPr>
          <w:rFonts w:ascii="Times New Roman" w:hAnsi="Times New Roman" w:cs="Times New Roman"/>
          <w:sz w:val="24"/>
          <w:szCs w:val="24"/>
        </w:rPr>
        <w:t xml:space="preserve"> shortages, and the OECD predicts that in most developed economies, the population share of those over 65 will increase to historic highs by 2030, putting strain on pension systems and reducing the working-age </w:t>
      </w:r>
      <w:proofErr w:type="spellStart"/>
      <w:r>
        <w:rPr>
          <w:rFonts w:ascii="Times New Roman" w:hAnsi="Times New Roman" w:cs="Times New Roman"/>
          <w:sz w:val="24"/>
          <w:szCs w:val="24"/>
        </w:rPr>
        <w:t>labour</w:t>
      </w:r>
      <w:proofErr w:type="spellEnd"/>
      <w:r>
        <w:rPr>
          <w:rFonts w:ascii="Times New Roman" w:hAnsi="Times New Roman" w:cs="Times New Roman"/>
          <w:sz w:val="24"/>
          <w:szCs w:val="24"/>
        </w:rPr>
        <w:t xml:space="preserve"> supply (OECD, 2023). At the same time, the concept of workforce diversity is growing in a variety of aspects such as ethnicity, gender identity and neurodiversity. According to recent world surveys, about 40% of workers are thinking about quitting their jobs in the next three to six months because of burnout and not being aligned with their values (McKinsey, 2023). Multi-generational workforces are new and need distinct engagement strategies, whereas diversity, equity and inclusion are no longer matters of compliance, but strategic employer </w:t>
      </w:r>
      <w:r>
        <w:rPr>
          <w:rFonts w:ascii="Times New Roman" w:hAnsi="Times New Roman" w:cs="Times New Roman"/>
          <w:sz w:val="24"/>
          <w:szCs w:val="24"/>
        </w:rPr>
        <w:lastRenderedPageBreak/>
        <w:t xml:space="preserve">branding and retention (Bratton and Gold, 2017). </w:t>
      </w:r>
      <w:r w:rsidR="00F951E2" w:rsidRPr="00F951E2">
        <w:rPr>
          <w:rFonts w:ascii="Times New Roman" w:hAnsi="Times New Roman" w:cs="Times New Roman"/>
          <w:sz w:val="24"/>
          <w:szCs w:val="24"/>
        </w:rPr>
        <w:t xml:space="preserve">More fundamentally, such demographic pressures are revealing a more underlying structural problem: the old systems of HR, which were built to serve stable, homogeneous </w:t>
      </w:r>
      <w:proofErr w:type="spellStart"/>
      <w:r w:rsidR="00F951E2" w:rsidRPr="00F951E2">
        <w:rPr>
          <w:rFonts w:ascii="Times New Roman" w:hAnsi="Times New Roman" w:cs="Times New Roman"/>
          <w:sz w:val="24"/>
          <w:szCs w:val="24"/>
        </w:rPr>
        <w:t>labour</w:t>
      </w:r>
      <w:proofErr w:type="spellEnd"/>
      <w:r w:rsidR="00F951E2" w:rsidRPr="00F951E2">
        <w:rPr>
          <w:rFonts w:ascii="Times New Roman" w:hAnsi="Times New Roman" w:cs="Times New Roman"/>
          <w:sz w:val="24"/>
          <w:szCs w:val="24"/>
        </w:rPr>
        <w:t xml:space="preserve"> markets, are not fit to serve dynamic and diverse </w:t>
      </w:r>
      <w:proofErr w:type="spellStart"/>
      <w:r w:rsidR="00F951E2" w:rsidRPr="00F951E2">
        <w:rPr>
          <w:rFonts w:ascii="Times New Roman" w:hAnsi="Times New Roman" w:cs="Times New Roman"/>
          <w:sz w:val="24"/>
          <w:szCs w:val="24"/>
        </w:rPr>
        <w:t>labour</w:t>
      </w:r>
      <w:proofErr w:type="spellEnd"/>
      <w:r w:rsidR="00F951E2" w:rsidRPr="00F951E2">
        <w:rPr>
          <w:rFonts w:ascii="Times New Roman" w:hAnsi="Times New Roman" w:cs="Times New Roman"/>
          <w:sz w:val="24"/>
          <w:szCs w:val="24"/>
        </w:rPr>
        <w:t xml:space="preserve"> markets today. This 40</w:t>
      </w:r>
      <w:r w:rsidR="00F951E2">
        <w:rPr>
          <w:rFonts w:ascii="Times New Roman" w:hAnsi="Times New Roman" w:cs="Times New Roman"/>
          <w:sz w:val="24"/>
          <w:szCs w:val="24"/>
        </w:rPr>
        <w:t xml:space="preserve">% </w:t>
      </w:r>
      <w:r w:rsidR="00BD07B5" w:rsidRPr="00BD07B5">
        <w:rPr>
          <w:rFonts w:ascii="Times New Roman" w:hAnsi="Times New Roman" w:cs="Times New Roman"/>
          <w:sz w:val="24"/>
          <w:szCs w:val="24"/>
        </w:rPr>
        <w:t xml:space="preserve">potential turnover rate (McKinsey, 2023) is an HR issue but structural imbalance between </w:t>
      </w:r>
      <w:proofErr w:type="spellStart"/>
      <w:r w:rsidR="00BD07B5" w:rsidRPr="00BD07B5">
        <w:rPr>
          <w:rFonts w:ascii="Times New Roman" w:hAnsi="Times New Roman" w:cs="Times New Roman"/>
          <w:sz w:val="24"/>
          <w:szCs w:val="24"/>
        </w:rPr>
        <w:t>organisational</w:t>
      </w:r>
      <w:proofErr w:type="spellEnd"/>
      <w:r w:rsidR="00BD07B5" w:rsidRPr="00BD07B5">
        <w:rPr>
          <w:rFonts w:ascii="Times New Roman" w:hAnsi="Times New Roman" w:cs="Times New Roman"/>
          <w:sz w:val="24"/>
          <w:szCs w:val="24"/>
        </w:rPr>
        <w:t xml:space="preserve"> design and contemporary workforce needs that requires solutions in the form of systems and interventions</w:t>
      </w:r>
      <w:r w:rsidR="00F951E2" w:rsidRPr="00F951E2">
        <w:rPr>
          <w:rFonts w:ascii="Times New Roman" w:hAnsi="Times New Roman" w:cs="Times New Roman"/>
          <w:sz w:val="24"/>
          <w:szCs w:val="24"/>
        </w:rPr>
        <w:t>.</w:t>
      </w:r>
    </w:p>
    <w:p w:rsidR="00431B1F" w:rsidRDefault="00000000">
      <w:pPr>
        <w:pStyle w:val="Heading2"/>
      </w:pPr>
      <w:bookmarkStart w:id="13" w:name="_Toc213026655"/>
      <w:r>
        <w:t>4.2 Geopolitical Forces</w:t>
      </w:r>
      <w:bookmarkEnd w:id="13"/>
    </w:p>
    <w:p w:rsidR="00431B1F" w:rsidRDefault="00332980">
      <w:pPr>
        <w:spacing w:line="360" w:lineRule="auto"/>
        <w:rPr>
          <w:rFonts w:ascii="Times New Roman" w:hAnsi="Times New Roman" w:cs="Times New Roman"/>
          <w:sz w:val="24"/>
          <w:szCs w:val="24"/>
        </w:rPr>
      </w:pPr>
      <w:r w:rsidRPr="00332980">
        <w:rPr>
          <w:rFonts w:ascii="Times New Roman" w:hAnsi="Times New Roman" w:cs="Times New Roman"/>
          <w:sz w:val="24"/>
          <w:szCs w:val="24"/>
        </w:rPr>
        <w:t xml:space="preserve">The world talent movement is to a large degree being interrupted by political unrest, trade wars and more confining immigration policies. The supply chain reshoring and nearshoring efforts mean that the borderlands redeploy workforce within a short time and put a strain on </w:t>
      </w:r>
      <w:proofErr w:type="spellStart"/>
      <w:r w:rsidRPr="00332980">
        <w:rPr>
          <w:rFonts w:ascii="Times New Roman" w:hAnsi="Times New Roman" w:cs="Times New Roman"/>
          <w:sz w:val="24"/>
          <w:szCs w:val="24"/>
        </w:rPr>
        <w:t>organisational</w:t>
      </w:r>
      <w:proofErr w:type="spellEnd"/>
      <w:r w:rsidRPr="00332980">
        <w:rPr>
          <w:rFonts w:ascii="Times New Roman" w:hAnsi="Times New Roman" w:cs="Times New Roman"/>
          <w:sz w:val="24"/>
          <w:szCs w:val="24"/>
        </w:rPr>
        <w:t xml:space="preserve"> agility</w:t>
      </w:r>
      <w:r>
        <w:rPr>
          <w:rFonts w:ascii="Times New Roman" w:hAnsi="Times New Roman" w:cs="Times New Roman"/>
          <w:sz w:val="24"/>
          <w:szCs w:val="24"/>
        </w:rPr>
        <w:t xml:space="preserve">. These considerations prompt the need to have advanced geopolitical risk determination logically instilled into strategic workforce planning to transform HR into an anticipatory </w:t>
      </w:r>
      <w:proofErr w:type="spellStart"/>
      <w:r>
        <w:rPr>
          <w:rFonts w:ascii="Times New Roman" w:hAnsi="Times New Roman" w:cs="Times New Roman"/>
          <w:sz w:val="24"/>
          <w:szCs w:val="24"/>
        </w:rPr>
        <w:t>practise</w:t>
      </w:r>
      <w:proofErr w:type="spellEnd"/>
      <w:r>
        <w:rPr>
          <w:rFonts w:ascii="Times New Roman" w:hAnsi="Times New Roman" w:cs="Times New Roman"/>
          <w:sz w:val="24"/>
          <w:szCs w:val="24"/>
        </w:rPr>
        <w:t xml:space="preserve"> instead of a reactive one. These geopolitical pressures can be systematically </w:t>
      </w:r>
      <w:proofErr w:type="spellStart"/>
      <w:r>
        <w:rPr>
          <w:rFonts w:ascii="Times New Roman" w:hAnsi="Times New Roman" w:cs="Times New Roman"/>
          <w:sz w:val="24"/>
          <w:szCs w:val="24"/>
        </w:rPr>
        <w:t>analysed</w:t>
      </w:r>
      <w:proofErr w:type="spellEnd"/>
      <w:r>
        <w:rPr>
          <w:rFonts w:ascii="Times New Roman" w:hAnsi="Times New Roman" w:cs="Times New Roman"/>
          <w:sz w:val="24"/>
          <w:szCs w:val="24"/>
        </w:rPr>
        <w:t xml:space="preserve"> using a PESTLE lens, as shown in Appendix A, where political risk, regulatory fragmentation, social expectations for inclusion, and technological dependency all converge to make workforce planning more volatile than in previous decades.</w:t>
      </w:r>
    </w:p>
    <w:p w:rsidR="00431B1F" w:rsidRDefault="00000000">
      <w:pPr>
        <w:pStyle w:val="Heading2"/>
      </w:pPr>
      <w:bookmarkStart w:id="14" w:name="_Toc213026656"/>
      <w:r>
        <w:t>4.3 HRM/IHRM Challenges</w:t>
      </w:r>
      <w:bookmarkEnd w:id="14"/>
    </w:p>
    <w:p w:rsidR="00431B1F" w:rsidRDefault="00000000">
      <w:pPr>
        <w:spacing w:line="360" w:lineRule="auto"/>
        <w:rPr>
          <w:rFonts w:ascii="Times New Roman" w:hAnsi="Times New Roman" w:cs="Times New Roman"/>
          <w:sz w:val="24"/>
          <w:szCs w:val="24"/>
        </w:rPr>
      </w:pPr>
      <w:r>
        <w:rPr>
          <w:rFonts w:ascii="Times New Roman" w:hAnsi="Times New Roman" w:cs="Times New Roman"/>
          <w:sz w:val="24"/>
          <w:szCs w:val="24"/>
        </w:rPr>
        <w:t xml:space="preserve">HR professionals have to deal with a greater level of complex workforce planning, multi-jurisdictional compliance, and talent retention strategies that have never been seen before. Gen Z expectations around meaningful work, flexibility and support for mental health push even more pressure to evolve toward getting beyond traditional HR practices. For IHRM, geopolitical volatility demands strong duty-of-care models for employees working in politically unstable territories and fast scenario planning for talent redeployment, which makes HR the critical risk management function rather than a supportive service (Boxall, Purcell &amp; Wright, 2022). This change reflects Marchington and Wilkinson's (2020) focus on HRM as a strategic activity rather than a </w:t>
      </w:r>
      <w:proofErr w:type="spellStart"/>
      <w:r>
        <w:rPr>
          <w:rFonts w:ascii="Times New Roman" w:hAnsi="Times New Roman" w:cs="Times New Roman"/>
          <w:sz w:val="24"/>
          <w:szCs w:val="24"/>
        </w:rPr>
        <w:t>centralised</w:t>
      </w:r>
      <w:proofErr w:type="spellEnd"/>
      <w:r>
        <w:rPr>
          <w:rFonts w:ascii="Times New Roman" w:hAnsi="Times New Roman" w:cs="Times New Roman"/>
          <w:sz w:val="24"/>
          <w:szCs w:val="24"/>
        </w:rPr>
        <w:t xml:space="preserve"> administrative activity embedded in daily management </w:t>
      </w:r>
      <w:proofErr w:type="spellStart"/>
      <w:r>
        <w:rPr>
          <w:rFonts w:ascii="Times New Roman" w:hAnsi="Times New Roman" w:cs="Times New Roman"/>
          <w:sz w:val="24"/>
          <w:szCs w:val="24"/>
        </w:rPr>
        <w:t>practise</w:t>
      </w:r>
      <w:proofErr w:type="spellEnd"/>
      <w:r>
        <w:rPr>
          <w:rFonts w:ascii="Times New Roman" w:hAnsi="Times New Roman" w:cs="Times New Roman"/>
          <w:sz w:val="24"/>
          <w:szCs w:val="24"/>
        </w:rPr>
        <w:t>. These pressures in the region coincide with other trends of emerging work risk in the latest year on the future of jobs (World Economic Forum, 2024):</w:t>
      </w:r>
    </w:p>
    <w:p w:rsidR="00431B1F" w:rsidRDefault="00000000">
      <w:pPr>
        <w:pStyle w:val="Caption"/>
        <w:rPr>
          <w:rFonts w:ascii="Times New Roman" w:hAnsi="Times New Roman" w:cs="Times New Roman"/>
          <w:b/>
          <w:bCs/>
          <w:sz w:val="22"/>
          <w:szCs w:val="22"/>
        </w:rPr>
      </w:pPr>
      <w:bookmarkStart w:id="15" w:name="_Toc213044041"/>
      <w:r>
        <w:rPr>
          <w:rFonts w:ascii="Times New Roman" w:hAnsi="Times New Roman" w:cs="Times New Roman"/>
          <w:b/>
          <w:bCs/>
          <w:sz w:val="22"/>
          <w:szCs w:val="22"/>
        </w:rPr>
        <w:lastRenderedPageBreak/>
        <w:t xml:space="preserve">Table </w:t>
      </w:r>
      <w:r>
        <w:rPr>
          <w:rFonts w:ascii="Times New Roman" w:hAnsi="Times New Roman" w:cs="Times New Roman"/>
          <w:b/>
          <w:bCs/>
          <w:sz w:val="22"/>
          <w:szCs w:val="22"/>
        </w:rPr>
        <w:fldChar w:fldCharType="begin"/>
      </w:r>
      <w:r>
        <w:rPr>
          <w:rFonts w:ascii="Times New Roman" w:hAnsi="Times New Roman" w:cs="Times New Roman"/>
          <w:b/>
          <w:bCs/>
          <w:sz w:val="22"/>
          <w:szCs w:val="22"/>
        </w:rPr>
        <w:instrText xml:space="preserve"> SEQ Table \* ARABIC </w:instrText>
      </w:r>
      <w:r>
        <w:rPr>
          <w:rFonts w:ascii="Times New Roman" w:hAnsi="Times New Roman" w:cs="Times New Roman"/>
          <w:b/>
          <w:bCs/>
          <w:sz w:val="22"/>
          <w:szCs w:val="22"/>
        </w:rPr>
        <w:fldChar w:fldCharType="separate"/>
      </w:r>
      <w:r w:rsidR="00A50F76">
        <w:rPr>
          <w:rFonts w:ascii="Times New Roman" w:hAnsi="Times New Roman" w:cs="Times New Roman"/>
          <w:b/>
          <w:bCs/>
          <w:noProof/>
          <w:sz w:val="22"/>
          <w:szCs w:val="22"/>
        </w:rPr>
        <w:t>2</w:t>
      </w:r>
      <w:r>
        <w:rPr>
          <w:rFonts w:ascii="Times New Roman" w:hAnsi="Times New Roman" w:cs="Times New Roman"/>
          <w:b/>
          <w:bCs/>
          <w:sz w:val="22"/>
          <w:szCs w:val="22"/>
        </w:rPr>
        <w:fldChar w:fldCharType="end"/>
      </w:r>
      <w:r>
        <w:rPr>
          <w:rFonts w:ascii="Times New Roman" w:hAnsi="Times New Roman" w:cs="Times New Roman"/>
          <w:b/>
          <w:bCs/>
          <w:sz w:val="22"/>
          <w:szCs w:val="22"/>
        </w:rPr>
        <w:t>: Regional Workforce Challenges and Strategic HR Responses</w:t>
      </w:r>
      <w:bookmarkEnd w:id="15"/>
    </w:p>
    <w:tbl>
      <w:tblPr>
        <w:tblStyle w:val="GridTable5Dark-Accent11"/>
        <w:tblW w:w="0" w:type="auto"/>
        <w:tblLook w:val="04A0" w:firstRow="1" w:lastRow="0" w:firstColumn="1" w:lastColumn="0" w:noHBand="0" w:noVBand="1"/>
      </w:tblPr>
      <w:tblGrid>
        <w:gridCol w:w="1199"/>
        <w:gridCol w:w="4460"/>
        <w:gridCol w:w="3691"/>
      </w:tblGrid>
      <w:tr w:rsidR="00431B1F" w:rsidTr="00431B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431B1F" w:rsidRDefault="00000000">
            <w:pPr>
              <w:spacing w:after="0" w:line="360" w:lineRule="auto"/>
              <w:rPr>
                <w:rFonts w:ascii="Times New Roman" w:hAnsi="Times New Roman" w:cs="Times New Roman"/>
                <w:b w:val="0"/>
                <w:bCs w:val="0"/>
                <w:sz w:val="28"/>
                <w:szCs w:val="28"/>
              </w:rPr>
            </w:pPr>
            <w:r>
              <w:rPr>
                <w:rFonts w:ascii="Times New Roman" w:hAnsi="Times New Roman" w:cs="Times New Roman"/>
                <w:sz w:val="28"/>
                <w:szCs w:val="28"/>
              </w:rPr>
              <w:t>Region</w:t>
            </w:r>
          </w:p>
        </w:tc>
        <w:tc>
          <w:tcPr>
            <w:tcW w:w="0" w:type="auto"/>
          </w:tcPr>
          <w:p w:rsidR="00431B1F" w:rsidRDefault="00000000">
            <w:pPr>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8"/>
                <w:szCs w:val="28"/>
              </w:rPr>
            </w:pPr>
            <w:r>
              <w:rPr>
                <w:rFonts w:ascii="Times New Roman" w:hAnsi="Times New Roman" w:cs="Times New Roman"/>
                <w:sz w:val="28"/>
                <w:szCs w:val="28"/>
              </w:rPr>
              <w:t>Key Demographic/Geopolitical Challenges</w:t>
            </w:r>
          </w:p>
        </w:tc>
        <w:tc>
          <w:tcPr>
            <w:tcW w:w="0" w:type="auto"/>
          </w:tcPr>
          <w:p w:rsidR="00431B1F" w:rsidRDefault="00000000">
            <w:pPr>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8"/>
                <w:szCs w:val="28"/>
              </w:rPr>
            </w:pPr>
            <w:r>
              <w:rPr>
                <w:rFonts w:ascii="Times New Roman" w:hAnsi="Times New Roman" w:cs="Times New Roman"/>
                <w:sz w:val="28"/>
                <w:szCs w:val="28"/>
              </w:rPr>
              <w:t>Strategic HR Responses</w:t>
            </w:r>
          </w:p>
        </w:tc>
      </w:tr>
      <w:tr w:rsidR="00431B1F" w:rsidTr="00431B1F">
        <w:tc>
          <w:tcPr>
            <w:cnfStyle w:val="001000000000" w:firstRow="0" w:lastRow="0" w:firstColumn="1" w:lastColumn="0" w:oddVBand="0" w:evenVBand="0" w:oddHBand="0" w:evenHBand="0" w:firstRowFirstColumn="0" w:firstRowLastColumn="0" w:lastRowFirstColumn="0" w:lastRowLastColumn="0"/>
            <w:tcW w:w="0" w:type="auto"/>
          </w:tcPr>
          <w:p w:rsidR="00431B1F" w:rsidRDefault="00000000">
            <w:pPr>
              <w:spacing w:after="0" w:line="360" w:lineRule="auto"/>
              <w:rPr>
                <w:rFonts w:ascii="Times New Roman" w:hAnsi="Times New Roman" w:cs="Times New Roman"/>
                <w:b w:val="0"/>
                <w:bCs w:val="0"/>
                <w:sz w:val="24"/>
                <w:szCs w:val="24"/>
              </w:rPr>
            </w:pPr>
            <w:r>
              <w:rPr>
                <w:rFonts w:ascii="Times New Roman" w:hAnsi="Times New Roman" w:cs="Times New Roman"/>
                <w:sz w:val="24"/>
                <w:szCs w:val="24"/>
              </w:rPr>
              <w:t>UK &amp; Europe</w:t>
            </w:r>
          </w:p>
        </w:tc>
        <w:tc>
          <w:tcPr>
            <w:tcW w:w="0" w:type="auto"/>
            <w:shd w:val="clear" w:color="auto" w:fill="B4C6E7" w:themeFill="accent1" w:themeFillTint="66"/>
          </w:tcPr>
          <w:p w:rsidR="00431B1F" w:rsidRDefault="00000000">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Brexit immigration barriers, ageing workforce, skills mobility restrictions</w:t>
            </w:r>
          </w:p>
        </w:tc>
        <w:tc>
          <w:tcPr>
            <w:tcW w:w="0" w:type="auto"/>
            <w:shd w:val="clear" w:color="auto" w:fill="B4C6E7" w:themeFill="accent1" w:themeFillTint="66"/>
          </w:tcPr>
          <w:p w:rsidR="00431B1F" w:rsidRDefault="00000000">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Local talent pipeline development, complex visa management, extended retirement policies, and regional skills partnerships</w:t>
            </w:r>
          </w:p>
        </w:tc>
      </w:tr>
      <w:tr w:rsidR="00431B1F" w:rsidTr="00431B1F">
        <w:tc>
          <w:tcPr>
            <w:cnfStyle w:val="001000000000" w:firstRow="0" w:lastRow="0" w:firstColumn="1" w:lastColumn="0" w:oddVBand="0" w:evenVBand="0" w:oddHBand="0" w:evenHBand="0" w:firstRowFirstColumn="0" w:firstRowLastColumn="0" w:lastRowFirstColumn="0" w:lastRowLastColumn="0"/>
            <w:tcW w:w="0" w:type="auto"/>
          </w:tcPr>
          <w:p w:rsidR="00431B1F" w:rsidRDefault="00000000">
            <w:pPr>
              <w:spacing w:after="0" w:line="360" w:lineRule="auto"/>
              <w:rPr>
                <w:rFonts w:ascii="Times New Roman" w:hAnsi="Times New Roman" w:cs="Times New Roman"/>
                <w:b w:val="0"/>
                <w:bCs w:val="0"/>
                <w:sz w:val="24"/>
                <w:szCs w:val="24"/>
              </w:rPr>
            </w:pPr>
            <w:r>
              <w:rPr>
                <w:rFonts w:ascii="Times New Roman" w:hAnsi="Times New Roman" w:cs="Times New Roman"/>
                <w:sz w:val="24"/>
                <w:szCs w:val="24"/>
              </w:rPr>
              <w:t>Asia-Pacific</w:t>
            </w:r>
          </w:p>
        </w:tc>
        <w:tc>
          <w:tcPr>
            <w:tcW w:w="0" w:type="auto"/>
          </w:tcPr>
          <w:p w:rsidR="00431B1F" w:rsidRDefault="00000000">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Extreme ageing populations (Japan, S. Korea), rapid digital transformation, cultural diversity complexities</w:t>
            </w:r>
          </w:p>
        </w:tc>
        <w:tc>
          <w:tcPr>
            <w:tcW w:w="0" w:type="auto"/>
          </w:tcPr>
          <w:p w:rsidR="00431B1F" w:rsidRDefault="00000000">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Automation integration strategies, cross-cultural leadership development, digital literacy programs, and intergenerational knowledge transfer</w:t>
            </w:r>
          </w:p>
        </w:tc>
      </w:tr>
      <w:tr w:rsidR="00431B1F" w:rsidTr="00431B1F">
        <w:tc>
          <w:tcPr>
            <w:cnfStyle w:val="001000000000" w:firstRow="0" w:lastRow="0" w:firstColumn="1" w:lastColumn="0" w:oddVBand="0" w:evenVBand="0" w:oddHBand="0" w:evenHBand="0" w:firstRowFirstColumn="0" w:firstRowLastColumn="0" w:lastRowFirstColumn="0" w:lastRowLastColumn="0"/>
            <w:tcW w:w="0" w:type="auto"/>
          </w:tcPr>
          <w:p w:rsidR="00431B1F" w:rsidRDefault="00000000">
            <w:pPr>
              <w:spacing w:after="0" w:line="360" w:lineRule="auto"/>
              <w:rPr>
                <w:rFonts w:ascii="Times New Roman" w:hAnsi="Times New Roman" w:cs="Times New Roman"/>
                <w:b w:val="0"/>
                <w:bCs w:val="0"/>
                <w:sz w:val="24"/>
                <w:szCs w:val="24"/>
              </w:rPr>
            </w:pPr>
            <w:r>
              <w:rPr>
                <w:rFonts w:ascii="Times New Roman" w:hAnsi="Times New Roman" w:cs="Times New Roman"/>
                <w:sz w:val="24"/>
                <w:szCs w:val="24"/>
              </w:rPr>
              <w:t>North America</w:t>
            </w:r>
          </w:p>
        </w:tc>
        <w:tc>
          <w:tcPr>
            <w:tcW w:w="0" w:type="auto"/>
            <w:shd w:val="clear" w:color="auto" w:fill="B4C6E7" w:themeFill="accent1" w:themeFillTint="66"/>
          </w:tcPr>
          <w:p w:rsidR="00431B1F" w:rsidRDefault="00000000">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Remote work regulation fragmentation, immigration policy volatility, and generational diversity tensions</w:t>
            </w:r>
          </w:p>
        </w:tc>
        <w:tc>
          <w:tcPr>
            <w:tcW w:w="0" w:type="auto"/>
            <w:shd w:val="clear" w:color="auto" w:fill="B4C6E7" w:themeFill="accent1" w:themeFillTint="66"/>
          </w:tcPr>
          <w:p w:rsidR="00431B1F" w:rsidRDefault="00000000">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Multi-state compliance frameworks, flexible work arrangement policies, </w:t>
            </w:r>
            <w:proofErr w:type="spellStart"/>
            <w:r>
              <w:rPr>
                <w:rFonts w:ascii="Times New Roman" w:hAnsi="Times New Roman" w:cs="Times New Roman"/>
                <w:sz w:val="24"/>
                <w:szCs w:val="24"/>
              </w:rPr>
              <w:t>customised</w:t>
            </w:r>
            <w:proofErr w:type="spellEnd"/>
            <w:r>
              <w:rPr>
                <w:rFonts w:ascii="Times New Roman" w:hAnsi="Times New Roman" w:cs="Times New Roman"/>
                <w:sz w:val="24"/>
                <w:szCs w:val="24"/>
              </w:rPr>
              <w:t xml:space="preserve"> benefits packages, and inclusive leadership training</w:t>
            </w:r>
          </w:p>
        </w:tc>
      </w:tr>
    </w:tbl>
    <w:p w:rsidR="00431B1F" w:rsidRDefault="00000000">
      <w:pPr>
        <w:spacing w:line="360" w:lineRule="auto"/>
        <w:rPr>
          <w:rFonts w:ascii="Times New Roman" w:hAnsi="Times New Roman" w:cs="Times New Roman"/>
          <w:i/>
          <w:iCs/>
        </w:rPr>
      </w:pPr>
      <w:r>
        <w:rPr>
          <w:rFonts w:ascii="Times New Roman" w:hAnsi="Times New Roman" w:cs="Times New Roman"/>
          <w:i/>
          <w:iCs/>
        </w:rPr>
        <w:t>Source: Regional analysis based on data statistically compiled by the OECD (2023) on demographic data and the World Economic Forum (2024) on the employment trends in the region.</w:t>
      </w:r>
    </w:p>
    <w:p w:rsidR="00431B1F" w:rsidRDefault="00000000">
      <w:pPr>
        <w:pStyle w:val="Heading1"/>
      </w:pPr>
      <w:bookmarkStart w:id="16" w:name="_Toc213026657"/>
      <w:r>
        <w:t>5.0 Strategic HRM Solutions for Skills Gaps</w:t>
      </w:r>
      <w:bookmarkEnd w:id="16"/>
      <w:r>
        <w:t> </w:t>
      </w:r>
    </w:p>
    <w:p w:rsidR="00431B1F" w:rsidRDefault="00000000">
      <w:pPr>
        <w:pStyle w:val="Heading2"/>
      </w:pPr>
      <w:bookmarkStart w:id="17" w:name="_Toc213026658"/>
      <w:r>
        <w:t>5.1 The Shortage Crisis</w:t>
      </w:r>
      <w:bookmarkEnd w:id="17"/>
    </w:p>
    <w:p w:rsidR="00431B1F" w:rsidRDefault="00000000">
      <w:pPr>
        <w:spacing w:line="360" w:lineRule="auto"/>
        <w:rPr>
          <w:rFonts w:ascii="Times New Roman" w:hAnsi="Times New Roman" w:cs="Times New Roman"/>
          <w:sz w:val="24"/>
          <w:szCs w:val="24"/>
        </w:rPr>
      </w:pPr>
      <w:r>
        <w:rPr>
          <w:rFonts w:ascii="Times New Roman" w:hAnsi="Times New Roman" w:cs="Times New Roman"/>
          <w:sz w:val="24"/>
          <w:szCs w:val="24"/>
        </w:rPr>
        <w:t xml:space="preserve">Technology is afflicted by rapidly changing digital skill demands; healthcare is plagued by burnout-induced attrition abetted by demographic demands; and hospitality regards itself as a chronically high-turnover industry where employees perceive their work as low-skilled and low-paying. The central strategic risk that transcends all three sectors is the failure of innovation and service delivery: vacancies and churn have a direct impact on service quality, regulatory compliance, and customer experience and ultimately, </w:t>
      </w:r>
      <w:proofErr w:type="spellStart"/>
      <w:r>
        <w:rPr>
          <w:rFonts w:ascii="Times New Roman" w:hAnsi="Times New Roman" w:cs="Times New Roman"/>
          <w:sz w:val="24"/>
          <w:szCs w:val="24"/>
        </w:rPr>
        <w:t>organisational</w:t>
      </w:r>
      <w:proofErr w:type="spellEnd"/>
      <w:r>
        <w:rPr>
          <w:rFonts w:ascii="Times New Roman" w:hAnsi="Times New Roman" w:cs="Times New Roman"/>
          <w:sz w:val="24"/>
          <w:szCs w:val="24"/>
        </w:rPr>
        <w:t xml:space="preserve"> viability.</w:t>
      </w:r>
    </w:p>
    <w:p w:rsidR="00431B1F" w:rsidRDefault="00000000">
      <w:pPr>
        <w:keepNext/>
        <w:spacing w:line="360" w:lineRule="auto"/>
      </w:pPr>
      <w:r>
        <w:rPr>
          <w:rFonts w:ascii="Times New Roman" w:hAnsi="Times New Roman" w:cs="Times New Roman"/>
          <w:noProof/>
          <w:sz w:val="24"/>
          <w:szCs w:val="24"/>
        </w:rPr>
        <w:lastRenderedPageBreak/>
        <w:drawing>
          <wp:inline distT="0" distB="0" distL="0" distR="0">
            <wp:extent cx="5943600" cy="3302000"/>
            <wp:effectExtent l="0" t="0" r="0" b="0"/>
            <wp:docPr id="1648764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764530" name="Picture 1"/>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5943600" cy="3302000"/>
                    </a:xfrm>
                    <a:prstGeom prst="rect">
                      <a:avLst/>
                    </a:prstGeom>
                  </pic:spPr>
                </pic:pic>
              </a:graphicData>
            </a:graphic>
          </wp:inline>
        </w:drawing>
      </w:r>
    </w:p>
    <w:p w:rsidR="00431B1F" w:rsidRDefault="00000000">
      <w:pPr>
        <w:pStyle w:val="Caption"/>
        <w:rPr>
          <w:rFonts w:ascii="Times New Roman" w:hAnsi="Times New Roman" w:cs="Times New Roman"/>
          <w:b/>
          <w:bCs/>
          <w:sz w:val="32"/>
          <w:szCs w:val="32"/>
        </w:rPr>
      </w:pPr>
      <w:bookmarkStart w:id="18" w:name="_Toc213023787"/>
      <w:r>
        <w:rPr>
          <w:rFonts w:ascii="Times New Roman" w:hAnsi="Times New Roman" w:cs="Times New Roman"/>
          <w:b/>
          <w:bCs/>
          <w:sz w:val="22"/>
          <w:szCs w:val="22"/>
        </w:rPr>
        <w:t xml:space="preserve">Figure </w:t>
      </w:r>
      <w:r>
        <w:rPr>
          <w:rFonts w:ascii="Times New Roman" w:hAnsi="Times New Roman" w:cs="Times New Roman"/>
          <w:b/>
          <w:bCs/>
          <w:sz w:val="22"/>
          <w:szCs w:val="22"/>
        </w:rPr>
        <w:fldChar w:fldCharType="begin"/>
      </w:r>
      <w:r>
        <w:rPr>
          <w:rFonts w:ascii="Times New Roman" w:hAnsi="Times New Roman" w:cs="Times New Roman"/>
          <w:b/>
          <w:bCs/>
          <w:sz w:val="22"/>
          <w:szCs w:val="22"/>
        </w:rPr>
        <w:instrText xml:space="preserve"> SEQ Figure \* ARABIC </w:instrText>
      </w:r>
      <w:r>
        <w:rPr>
          <w:rFonts w:ascii="Times New Roman" w:hAnsi="Times New Roman" w:cs="Times New Roman"/>
          <w:b/>
          <w:bCs/>
          <w:sz w:val="22"/>
          <w:szCs w:val="22"/>
        </w:rPr>
        <w:fldChar w:fldCharType="separate"/>
      </w:r>
      <w:r>
        <w:rPr>
          <w:rFonts w:ascii="Times New Roman" w:hAnsi="Times New Roman" w:cs="Times New Roman"/>
          <w:b/>
          <w:bCs/>
          <w:sz w:val="22"/>
          <w:szCs w:val="22"/>
        </w:rPr>
        <w:t>2</w:t>
      </w:r>
      <w:r>
        <w:rPr>
          <w:rFonts w:ascii="Times New Roman" w:hAnsi="Times New Roman" w:cs="Times New Roman"/>
          <w:b/>
          <w:bCs/>
          <w:sz w:val="22"/>
          <w:szCs w:val="22"/>
        </w:rPr>
        <w:fldChar w:fldCharType="end"/>
      </w:r>
      <w:r>
        <w:rPr>
          <w:rFonts w:ascii="Times New Roman" w:hAnsi="Times New Roman" w:cs="Times New Roman"/>
          <w:b/>
          <w:bCs/>
          <w:sz w:val="22"/>
          <w:szCs w:val="22"/>
        </w:rPr>
        <w:t>: Global Talent Shortage Over Time (2006–2025), Source: ManpowerGroup (2025)</w:t>
      </w:r>
      <w:bookmarkEnd w:id="18"/>
    </w:p>
    <w:p w:rsidR="00431B1F" w:rsidRDefault="00000000">
      <w:pPr>
        <w:spacing w:line="360" w:lineRule="auto"/>
        <w:rPr>
          <w:rFonts w:ascii="Times New Roman" w:hAnsi="Times New Roman" w:cs="Times New Roman"/>
          <w:sz w:val="24"/>
          <w:szCs w:val="24"/>
        </w:rPr>
      </w:pPr>
      <w:r>
        <w:rPr>
          <w:rFonts w:ascii="Times New Roman" w:hAnsi="Times New Roman" w:cs="Times New Roman"/>
          <w:sz w:val="24"/>
          <w:szCs w:val="24"/>
        </w:rPr>
        <w:t xml:space="preserve">As shown in Figure 2, the global talent shortage has escalated from 36% in 2014 to 74% in 2025, which demonstrates a systemic and continuous shortage of skilled </w:t>
      </w:r>
      <w:proofErr w:type="spellStart"/>
      <w:r>
        <w:rPr>
          <w:rFonts w:ascii="Times New Roman" w:hAnsi="Times New Roman" w:cs="Times New Roman"/>
          <w:sz w:val="24"/>
          <w:szCs w:val="24"/>
        </w:rPr>
        <w:t>labour</w:t>
      </w:r>
      <w:proofErr w:type="spellEnd"/>
      <w:r>
        <w:rPr>
          <w:rFonts w:ascii="Times New Roman" w:hAnsi="Times New Roman" w:cs="Times New Roman"/>
          <w:sz w:val="24"/>
          <w:szCs w:val="24"/>
        </w:rPr>
        <w:t xml:space="preserve"> across the world (ManpowerGroup, 2025).</w:t>
      </w:r>
    </w:p>
    <w:p w:rsidR="00431B1F" w:rsidRDefault="00000000">
      <w:pPr>
        <w:pStyle w:val="Heading2"/>
      </w:pPr>
      <w:bookmarkStart w:id="19" w:name="_Toc213026659"/>
      <w:r>
        <w:t>5.2 Strategic HRM Responses</w:t>
      </w:r>
      <w:bookmarkEnd w:id="19"/>
    </w:p>
    <w:p w:rsidR="00431B1F" w:rsidRDefault="00000000">
      <w:pPr>
        <w:spacing w:line="360" w:lineRule="auto"/>
        <w:rPr>
          <w:rFonts w:ascii="Times New Roman" w:hAnsi="Times New Roman" w:cs="Times New Roman"/>
          <w:sz w:val="24"/>
          <w:szCs w:val="24"/>
        </w:rPr>
      </w:pPr>
      <w:r>
        <w:rPr>
          <w:rFonts w:ascii="Times New Roman" w:hAnsi="Times New Roman" w:cs="Times New Roman"/>
          <w:sz w:val="24"/>
          <w:szCs w:val="24"/>
        </w:rPr>
        <w:t xml:space="preserve">The key foundations are building strategic talent pipelines and attractive employer branding (Pilbeam &amp; Corbridge, 2019). However, in order to really address scarcity, internal development and upskilling </w:t>
      </w:r>
      <w:proofErr w:type="spellStart"/>
      <w:r>
        <w:rPr>
          <w:rFonts w:ascii="Times New Roman" w:hAnsi="Times New Roman" w:cs="Times New Roman"/>
          <w:sz w:val="24"/>
          <w:szCs w:val="24"/>
        </w:rPr>
        <w:t>programmes</w:t>
      </w:r>
      <w:proofErr w:type="spellEnd"/>
      <w:r>
        <w:rPr>
          <w:rFonts w:ascii="Times New Roman" w:hAnsi="Times New Roman" w:cs="Times New Roman"/>
          <w:sz w:val="24"/>
          <w:szCs w:val="24"/>
        </w:rPr>
        <w:t xml:space="preserve"> should be seen as strategic investments in </w:t>
      </w:r>
      <w:proofErr w:type="spellStart"/>
      <w:r>
        <w:rPr>
          <w:rFonts w:ascii="Times New Roman" w:hAnsi="Times New Roman" w:cs="Times New Roman"/>
          <w:sz w:val="24"/>
          <w:szCs w:val="24"/>
        </w:rPr>
        <w:t>organisational</w:t>
      </w:r>
      <w:proofErr w:type="spellEnd"/>
      <w:r>
        <w:rPr>
          <w:rFonts w:ascii="Times New Roman" w:hAnsi="Times New Roman" w:cs="Times New Roman"/>
          <w:sz w:val="24"/>
          <w:szCs w:val="24"/>
        </w:rPr>
        <w:t xml:space="preserve"> capability (Armstrong, 2021) to develop home-grown talent that is well versed with </w:t>
      </w:r>
      <w:proofErr w:type="spellStart"/>
      <w:r>
        <w:rPr>
          <w:rFonts w:ascii="Times New Roman" w:hAnsi="Times New Roman" w:cs="Times New Roman"/>
          <w:sz w:val="24"/>
          <w:szCs w:val="24"/>
        </w:rPr>
        <w:t>organisational</w:t>
      </w:r>
      <w:proofErr w:type="spellEnd"/>
      <w:r>
        <w:rPr>
          <w:rFonts w:ascii="Times New Roman" w:hAnsi="Times New Roman" w:cs="Times New Roman"/>
          <w:sz w:val="24"/>
          <w:szCs w:val="24"/>
        </w:rPr>
        <w:t xml:space="preserve"> culture and processes.</w:t>
      </w:r>
    </w:p>
    <w:p w:rsidR="00431B1F" w:rsidRDefault="00000000">
      <w:pPr>
        <w:pStyle w:val="Heading2"/>
      </w:pPr>
      <w:bookmarkStart w:id="20" w:name="_Toc213026660"/>
      <w:r>
        <w:t>5.3 IHRM &amp; Work Redesign</w:t>
      </w:r>
      <w:bookmarkEnd w:id="20"/>
    </w:p>
    <w:p w:rsidR="00431B1F" w:rsidRDefault="00000000">
      <w:pPr>
        <w:spacing w:line="360" w:lineRule="auto"/>
        <w:rPr>
          <w:rFonts w:ascii="Times New Roman" w:hAnsi="Times New Roman" w:cs="Times New Roman"/>
          <w:sz w:val="24"/>
          <w:szCs w:val="24"/>
        </w:rPr>
      </w:pPr>
      <w:r>
        <w:rPr>
          <w:rFonts w:ascii="Times New Roman" w:hAnsi="Times New Roman" w:cs="Times New Roman"/>
          <w:sz w:val="24"/>
          <w:szCs w:val="24"/>
        </w:rPr>
        <w:t xml:space="preserve">Ethical talent sourcing from abroad should be carefully applied so as not to create negative brain drain effects in developing economies. More crucially, work redesign, the breaking down of standard jobs into tasks and projects, presents creative structural solutions to talent shortage </w:t>
      </w:r>
      <w:r>
        <w:rPr>
          <w:rFonts w:ascii="Times New Roman" w:hAnsi="Times New Roman" w:cs="Times New Roman"/>
          <w:sz w:val="24"/>
          <w:szCs w:val="24"/>
        </w:rPr>
        <w:lastRenderedPageBreak/>
        <w:t>(</w:t>
      </w:r>
      <w:proofErr w:type="spellStart"/>
      <w:r>
        <w:rPr>
          <w:rFonts w:ascii="Times New Roman" w:hAnsi="Times New Roman" w:cs="Times New Roman"/>
          <w:sz w:val="24"/>
          <w:szCs w:val="24"/>
        </w:rPr>
        <w:t>Jesuthasan</w:t>
      </w:r>
      <w:proofErr w:type="spellEnd"/>
      <w:r>
        <w:rPr>
          <w:rFonts w:ascii="Times New Roman" w:hAnsi="Times New Roman" w:cs="Times New Roman"/>
          <w:sz w:val="24"/>
          <w:szCs w:val="24"/>
        </w:rPr>
        <w:t xml:space="preserve"> &amp; Boudreau, 2022). These strategic interventions have a direct bearing on the recommendations for evidence-based practice, which are brought to bear at Section 7.</w:t>
      </w:r>
    </w:p>
    <w:p w:rsidR="00431B1F" w:rsidRDefault="00000000">
      <w:pPr>
        <w:spacing w:line="360" w:lineRule="auto"/>
        <w:rPr>
          <w:rFonts w:ascii="Times New Roman" w:hAnsi="Times New Roman" w:cs="Times New Roman"/>
          <w:sz w:val="24"/>
          <w:szCs w:val="24"/>
        </w:rPr>
      </w:pPr>
      <w:r>
        <w:rPr>
          <w:rFonts w:ascii="Times New Roman" w:hAnsi="Times New Roman" w:cs="Times New Roman"/>
          <w:sz w:val="24"/>
          <w:szCs w:val="24"/>
        </w:rPr>
        <w:t>These interventions have to be accompanied by clear success measures. For example, internal mobility rates, healthcare-associated burnout turnover, and 90-day retention in hospitality are leading indicators of whether strategic HR interventions are actually bridging the skills gap instead of merely shuffling vacancies.</w:t>
      </w:r>
    </w:p>
    <w:p w:rsidR="00431B1F" w:rsidRDefault="00000000">
      <w:pPr>
        <w:pStyle w:val="Caption"/>
        <w:rPr>
          <w:rFonts w:ascii="Times New Roman" w:hAnsi="Times New Roman" w:cs="Times New Roman"/>
          <w:b/>
          <w:bCs/>
          <w:sz w:val="24"/>
          <w:szCs w:val="24"/>
        </w:rPr>
      </w:pPr>
      <w:bookmarkStart w:id="21" w:name="_Toc213044042"/>
      <w:r>
        <w:rPr>
          <w:rFonts w:ascii="Times New Roman" w:hAnsi="Times New Roman" w:cs="Times New Roman"/>
          <w:b/>
          <w:bCs/>
          <w:sz w:val="24"/>
          <w:szCs w:val="24"/>
        </w:rPr>
        <w:t xml:space="preserve">Table </w:t>
      </w:r>
      <w:r>
        <w:rPr>
          <w:rFonts w:ascii="Times New Roman" w:hAnsi="Times New Roman" w:cs="Times New Roman"/>
          <w:b/>
          <w:bCs/>
          <w:sz w:val="24"/>
          <w:szCs w:val="24"/>
        </w:rPr>
        <w:fldChar w:fldCharType="begin"/>
      </w:r>
      <w:r>
        <w:rPr>
          <w:rFonts w:ascii="Times New Roman" w:hAnsi="Times New Roman" w:cs="Times New Roman"/>
          <w:b/>
          <w:bCs/>
          <w:sz w:val="24"/>
          <w:szCs w:val="24"/>
        </w:rPr>
        <w:instrText xml:space="preserve"> SEQ Table \* ARABIC </w:instrText>
      </w:r>
      <w:r>
        <w:rPr>
          <w:rFonts w:ascii="Times New Roman" w:hAnsi="Times New Roman" w:cs="Times New Roman"/>
          <w:b/>
          <w:bCs/>
          <w:sz w:val="24"/>
          <w:szCs w:val="24"/>
        </w:rPr>
        <w:fldChar w:fldCharType="separate"/>
      </w:r>
      <w:r w:rsidR="00A50F76">
        <w:rPr>
          <w:rFonts w:ascii="Times New Roman" w:hAnsi="Times New Roman" w:cs="Times New Roman"/>
          <w:b/>
          <w:bCs/>
          <w:noProof/>
          <w:sz w:val="24"/>
          <w:szCs w:val="24"/>
        </w:rPr>
        <w:t>3</w:t>
      </w:r>
      <w:r>
        <w:rPr>
          <w:rFonts w:ascii="Times New Roman" w:hAnsi="Times New Roman" w:cs="Times New Roman"/>
          <w:b/>
          <w:bCs/>
          <w:sz w:val="24"/>
          <w:szCs w:val="24"/>
        </w:rPr>
        <w:fldChar w:fldCharType="end"/>
      </w:r>
      <w:r>
        <w:rPr>
          <w:rFonts w:ascii="Times New Roman" w:hAnsi="Times New Roman" w:cs="Times New Roman"/>
          <w:b/>
          <w:bCs/>
          <w:sz w:val="24"/>
          <w:szCs w:val="24"/>
        </w:rPr>
        <w:t>: Strategic HRM Responses to Sector-Specific Skills Shortages</w:t>
      </w:r>
      <w:bookmarkEnd w:id="21"/>
    </w:p>
    <w:tbl>
      <w:tblPr>
        <w:tblStyle w:val="GridTable5Dark-Accent11"/>
        <w:tblW w:w="0" w:type="auto"/>
        <w:tblLook w:val="04A0" w:firstRow="1" w:lastRow="0" w:firstColumn="1" w:lastColumn="0" w:noHBand="0" w:noVBand="1"/>
      </w:tblPr>
      <w:tblGrid>
        <w:gridCol w:w="1381"/>
        <w:gridCol w:w="3001"/>
        <w:gridCol w:w="4968"/>
      </w:tblGrid>
      <w:tr w:rsidR="00431B1F" w:rsidTr="00431B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431B1F" w:rsidRDefault="00000000">
            <w:pPr>
              <w:spacing w:after="0" w:line="360" w:lineRule="auto"/>
              <w:rPr>
                <w:rFonts w:ascii="Times New Roman" w:hAnsi="Times New Roman" w:cs="Times New Roman"/>
                <w:b w:val="0"/>
                <w:bCs w:val="0"/>
                <w:sz w:val="28"/>
                <w:szCs w:val="28"/>
              </w:rPr>
            </w:pPr>
            <w:r>
              <w:rPr>
                <w:rFonts w:ascii="Times New Roman" w:hAnsi="Times New Roman" w:cs="Times New Roman"/>
                <w:sz w:val="28"/>
                <w:szCs w:val="28"/>
              </w:rPr>
              <w:t>Sector</w:t>
            </w:r>
          </w:p>
        </w:tc>
        <w:tc>
          <w:tcPr>
            <w:tcW w:w="0" w:type="auto"/>
          </w:tcPr>
          <w:p w:rsidR="00431B1F" w:rsidRDefault="00000000">
            <w:pPr>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8"/>
                <w:szCs w:val="28"/>
              </w:rPr>
            </w:pPr>
            <w:r>
              <w:rPr>
                <w:rFonts w:ascii="Times New Roman" w:hAnsi="Times New Roman" w:cs="Times New Roman"/>
                <w:sz w:val="28"/>
                <w:szCs w:val="28"/>
              </w:rPr>
              <w:t>Nature of Shortage</w:t>
            </w:r>
          </w:p>
        </w:tc>
        <w:tc>
          <w:tcPr>
            <w:tcW w:w="0" w:type="auto"/>
          </w:tcPr>
          <w:p w:rsidR="00431B1F" w:rsidRDefault="00000000">
            <w:pPr>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8"/>
                <w:szCs w:val="28"/>
              </w:rPr>
            </w:pPr>
            <w:r>
              <w:rPr>
                <w:rFonts w:ascii="Times New Roman" w:hAnsi="Times New Roman" w:cs="Times New Roman"/>
                <w:sz w:val="28"/>
                <w:szCs w:val="28"/>
              </w:rPr>
              <w:t>Strategic HRM Response</w:t>
            </w:r>
          </w:p>
        </w:tc>
      </w:tr>
      <w:tr w:rsidR="00431B1F" w:rsidTr="00431B1F">
        <w:tc>
          <w:tcPr>
            <w:cnfStyle w:val="001000000000" w:firstRow="0" w:lastRow="0" w:firstColumn="1" w:lastColumn="0" w:oddVBand="0" w:evenVBand="0" w:oddHBand="0" w:evenHBand="0" w:firstRowFirstColumn="0" w:firstRowLastColumn="0" w:lastRowFirstColumn="0" w:lastRowLastColumn="0"/>
            <w:tcW w:w="0" w:type="auto"/>
          </w:tcPr>
          <w:p w:rsidR="00431B1F" w:rsidRDefault="00000000">
            <w:pPr>
              <w:spacing w:after="0" w:line="360" w:lineRule="auto"/>
              <w:rPr>
                <w:rFonts w:ascii="Times New Roman" w:hAnsi="Times New Roman" w:cs="Times New Roman"/>
                <w:b w:val="0"/>
                <w:bCs w:val="0"/>
                <w:sz w:val="24"/>
                <w:szCs w:val="24"/>
              </w:rPr>
            </w:pPr>
            <w:r>
              <w:rPr>
                <w:rFonts w:ascii="Times New Roman" w:hAnsi="Times New Roman" w:cs="Times New Roman"/>
                <w:sz w:val="24"/>
                <w:szCs w:val="24"/>
              </w:rPr>
              <w:t>Technology</w:t>
            </w:r>
          </w:p>
        </w:tc>
        <w:tc>
          <w:tcPr>
            <w:tcW w:w="0" w:type="auto"/>
            <w:shd w:val="clear" w:color="auto" w:fill="B4C6E7" w:themeFill="accent1" w:themeFillTint="66"/>
          </w:tcPr>
          <w:p w:rsidR="00431B1F" w:rsidRDefault="00000000">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Rapidly evolving digital skills (AI, Cybersecurity, Data Science).</w:t>
            </w:r>
          </w:p>
        </w:tc>
        <w:tc>
          <w:tcPr>
            <w:tcW w:w="0" w:type="auto"/>
            <w:shd w:val="clear" w:color="auto" w:fill="B4C6E7" w:themeFill="accent1" w:themeFillTint="66"/>
          </w:tcPr>
          <w:p w:rsidR="00431B1F" w:rsidRDefault="00000000">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Internal "tech academies," partnerships with universities, promoting STEM outreach, leveraging global remote talent, and creating innovation career pathways.</w:t>
            </w:r>
          </w:p>
        </w:tc>
      </w:tr>
      <w:tr w:rsidR="00431B1F" w:rsidTr="00431B1F">
        <w:tc>
          <w:tcPr>
            <w:cnfStyle w:val="001000000000" w:firstRow="0" w:lastRow="0" w:firstColumn="1" w:lastColumn="0" w:oddVBand="0" w:evenVBand="0" w:oddHBand="0" w:evenHBand="0" w:firstRowFirstColumn="0" w:firstRowLastColumn="0" w:lastRowFirstColumn="0" w:lastRowLastColumn="0"/>
            <w:tcW w:w="0" w:type="auto"/>
          </w:tcPr>
          <w:p w:rsidR="00431B1F" w:rsidRDefault="00000000">
            <w:pPr>
              <w:spacing w:after="0" w:line="360" w:lineRule="auto"/>
              <w:rPr>
                <w:rFonts w:ascii="Times New Roman" w:hAnsi="Times New Roman" w:cs="Times New Roman"/>
                <w:b w:val="0"/>
                <w:bCs w:val="0"/>
                <w:sz w:val="24"/>
                <w:szCs w:val="24"/>
              </w:rPr>
            </w:pPr>
            <w:r>
              <w:rPr>
                <w:rFonts w:ascii="Times New Roman" w:hAnsi="Times New Roman" w:cs="Times New Roman"/>
                <w:sz w:val="24"/>
                <w:szCs w:val="24"/>
              </w:rPr>
              <w:t>Healthcare</w:t>
            </w:r>
          </w:p>
        </w:tc>
        <w:tc>
          <w:tcPr>
            <w:tcW w:w="0" w:type="auto"/>
          </w:tcPr>
          <w:p w:rsidR="00431B1F" w:rsidRDefault="00000000">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Shortage of qualified professionals (nurses, GPs), high burnout, and physical scarcity.</w:t>
            </w:r>
          </w:p>
        </w:tc>
        <w:tc>
          <w:tcPr>
            <w:tcW w:w="0" w:type="auto"/>
          </w:tcPr>
          <w:p w:rsidR="00431B1F" w:rsidRDefault="00000000">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Sponsored training and education, well-being and retention </w:t>
            </w:r>
            <w:proofErr w:type="spellStart"/>
            <w:r>
              <w:rPr>
                <w:rFonts w:ascii="Times New Roman" w:hAnsi="Times New Roman" w:cs="Times New Roman"/>
                <w:sz w:val="24"/>
                <w:szCs w:val="24"/>
              </w:rPr>
              <w:t>programmes</w:t>
            </w:r>
            <w:proofErr w:type="spellEnd"/>
            <w:r>
              <w:rPr>
                <w:rFonts w:ascii="Times New Roman" w:hAnsi="Times New Roman" w:cs="Times New Roman"/>
                <w:sz w:val="24"/>
                <w:szCs w:val="24"/>
              </w:rPr>
              <w:t>, international recruitment (with ethical safeguards), and role redesign using AI for administrative tasks.</w:t>
            </w:r>
          </w:p>
        </w:tc>
      </w:tr>
      <w:tr w:rsidR="00431B1F" w:rsidTr="00431B1F">
        <w:tc>
          <w:tcPr>
            <w:cnfStyle w:val="001000000000" w:firstRow="0" w:lastRow="0" w:firstColumn="1" w:lastColumn="0" w:oddVBand="0" w:evenVBand="0" w:oddHBand="0" w:evenHBand="0" w:firstRowFirstColumn="0" w:firstRowLastColumn="0" w:lastRowFirstColumn="0" w:lastRowLastColumn="0"/>
            <w:tcW w:w="0" w:type="auto"/>
          </w:tcPr>
          <w:p w:rsidR="00431B1F" w:rsidRDefault="00000000">
            <w:pPr>
              <w:spacing w:after="0" w:line="360" w:lineRule="auto"/>
              <w:rPr>
                <w:rFonts w:ascii="Times New Roman" w:hAnsi="Times New Roman" w:cs="Times New Roman"/>
                <w:b w:val="0"/>
                <w:bCs w:val="0"/>
                <w:sz w:val="24"/>
                <w:szCs w:val="24"/>
              </w:rPr>
            </w:pPr>
            <w:r>
              <w:rPr>
                <w:rFonts w:ascii="Times New Roman" w:hAnsi="Times New Roman" w:cs="Times New Roman"/>
                <w:sz w:val="24"/>
                <w:szCs w:val="24"/>
              </w:rPr>
              <w:t>Hospitality</w:t>
            </w:r>
          </w:p>
        </w:tc>
        <w:tc>
          <w:tcPr>
            <w:tcW w:w="0" w:type="auto"/>
            <w:shd w:val="clear" w:color="auto" w:fill="B4C6E7" w:themeFill="accent1" w:themeFillTint="66"/>
          </w:tcPr>
          <w:p w:rsidR="00431B1F" w:rsidRDefault="00000000">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High turnover, perception of low-skilled, low-pay work, and seasonal vulnerability.</w:t>
            </w:r>
          </w:p>
        </w:tc>
        <w:tc>
          <w:tcPr>
            <w:tcW w:w="0" w:type="auto"/>
            <w:shd w:val="clear" w:color="auto" w:fill="B4C6E7" w:themeFill="accent1" w:themeFillTint="66"/>
          </w:tcPr>
          <w:p w:rsidR="00431B1F" w:rsidRDefault="00000000">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Revamping EVP to highlight flexibility and career growth, improving working conditions and job security, implementing profit-sharing schemes, and creating cross-training opportunities.</w:t>
            </w:r>
          </w:p>
        </w:tc>
      </w:tr>
    </w:tbl>
    <w:p w:rsidR="00431B1F" w:rsidRDefault="00000000">
      <w:pPr>
        <w:spacing w:line="360" w:lineRule="auto"/>
        <w:rPr>
          <w:rFonts w:ascii="Times New Roman" w:hAnsi="Times New Roman" w:cs="Times New Roman"/>
          <w:sz w:val="24"/>
          <w:szCs w:val="24"/>
        </w:rPr>
      </w:pPr>
      <w:r>
        <w:rPr>
          <w:rFonts w:ascii="Times New Roman" w:hAnsi="Times New Roman" w:cs="Times New Roman"/>
          <w:i/>
          <w:iCs/>
          <w:sz w:val="24"/>
          <w:szCs w:val="24"/>
        </w:rPr>
        <w:t xml:space="preserve">Source: Analysis based on Pilbeam &amp; Corbridge (2019); Armstrong (2021); </w:t>
      </w:r>
      <w:proofErr w:type="spellStart"/>
      <w:r>
        <w:rPr>
          <w:rFonts w:ascii="Times New Roman" w:hAnsi="Times New Roman" w:cs="Times New Roman"/>
          <w:i/>
          <w:iCs/>
          <w:sz w:val="24"/>
          <w:szCs w:val="24"/>
        </w:rPr>
        <w:t>Jesuthasan</w:t>
      </w:r>
      <w:proofErr w:type="spellEnd"/>
      <w:r>
        <w:rPr>
          <w:rFonts w:ascii="Times New Roman" w:hAnsi="Times New Roman" w:cs="Times New Roman"/>
          <w:i/>
          <w:iCs/>
          <w:sz w:val="24"/>
          <w:szCs w:val="24"/>
        </w:rPr>
        <w:t xml:space="preserve"> &amp; Boudreau (2022); and sector workforce data.</w:t>
      </w:r>
    </w:p>
    <w:p w:rsidR="00431B1F" w:rsidRDefault="00000000">
      <w:pPr>
        <w:pStyle w:val="Heading2"/>
      </w:pPr>
      <w:bookmarkStart w:id="22" w:name="_Toc213026661"/>
      <w:r>
        <w:t>5.4 Implementation and Measurement Framework</w:t>
      </w:r>
      <w:bookmarkEnd w:id="22"/>
      <w:r>
        <w:t xml:space="preserve"> </w:t>
      </w:r>
    </w:p>
    <w:p w:rsidR="00431B1F" w:rsidRDefault="00000000">
      <w:pPr>
        <w:spacing w:line="360" w:lineRule="auto"/>
        <w:rPr>
          <w:rFonts w:ascii="Times New Roman" w:hAnsi="Times New Roman" w:cs="Times New Roman"/>
          <w:sz w:val="24"/>
          <w:szCs w:val="24"/>
        </w:rPr>
      </w:pPr>
      <w:r>
        <w:rPr>
          <w:rFonts w:ascii="Times New Roman" w:hAnsi="Times New Roman" w:cs="Times New Roman"/>
          <w:sz w:val="24"/>
          <w:szCs w:val="24"/>
        </w:rPr>
        <w:t>The successful implementation of strategic HRM solutions requires a structured approach to change management and rigorous measurement of return on investment. The following framework outlines the phased approach for implementation and key metrics for evaluating success:</w:t>
      </w:r>
    </w:p>
    <w:p w:rsidR="00431B1F" w:rsidRDefault="00000000">
      <w:pPr>
        <w:pStyle w:val="Caption"/>
        <w:rPr>
          <w:rFonts w:ascii="Times New Roman" w:hAnsi="Times New Roman" w:cs="Times New Roman"/>
          <w:b/>
          <w:bCs/>
          <w:sz w:val="22"/>
          <w:szCs w:val="22"/>
        </w:rPr>
      </w:pPr>
      <w:bookmarkStart w:id="23" w:name="_Toc213044043"/>
      <w:r>
        <w:rPr>
          <w:rFonts w:ascii="Times New Roman" w:hAnsi="Times New Roman" w:cs="Times New Roman"/>
          <w:b/>
          <w:bCs/>
          <w:sz w:val="22"/>
          <w:szCs w:val="22"/>
        </w:rPr>
        <w:lastRenderedPageBreak/>
        <w:t xml:space="preserve">Table </w:t>
      </w:r>
      <w:r>
        <w:rPr>
          <w:rFonts w:ascii="Times New Roman" w:hAnsi="Times New Roman" w:cs="Times New Roman"/>
          <w:b/>
          <w:bCs/>
          <w:sz w:val="22"/>
          <w:szCs w:val="22"/>
        </w:rPr>
        <w:fldChar w:fldCharType="begin"/>
      </w:r>
      <w:r>
        <w:rPr>
          <w:rFonts w:ascii="Times New Roman" w:hAnsi="Times New Roman" w:cs="Times New Roman"/>
          <w:b/>
          <w:bCs/>
          <w:sz w:val="22"/>
          <w:szCs w:val="22"/>
        </w:rPr>
        <w:instrText xml:space="preserve"> SEQ Table \* ARABIC </w:instrText>
      </w:r>
      <w:r>
        <w:rPr>
          <w:rFonts w:ascii="Times New Roman" w:hAnsi="Times New Roman" w:cs="Times New Roman"/>
          <w:b/>
          <w:bCs/>
          <w:sz w:val="22"/>
          <w:szCs w:val="22"/>
        </w:rPr>
        <w:fldChar w:fldCharType="separate"/>
      </w:r>
      <w:r w:rsidR="00A50F76">
        <w:rPr>
          <w:rFonts w:ascii="Times New Roman" w:hAnsi="Times New Roman" w:cs="Times New Roman"/>
          <w:b/>
          <w:bCs/>
          <w:noProof/>
          <w:sz w:val="22"/>
          <w:szCs w:val="22"/>
        </w:rPr>
        <w:t>4</w:t>
      </w:r>
      <w:r>
        <w:rPr>
          <w:rFonts w:ascii="Times New Roman" w:hAnsi="Times New Roman" w:cs="Times New Roman"/>
          <w:b/>
          <w:bCs/>
          <w:sz w:val="22"/>
          <w:szCs w:val="22"/>
        </w:rPr>
        <w:fldChar w:fldCharType="end"/>
      </w:r>
      <w:r>
        <w:rPr>
          <w:rFonts w:ascii="Times New Roman" w:hAnsi="Times New Roman" w:cs="Times New Roman"/>
          <w:b/>
          <w:bCs/>
          <w:sz w:val="22"/>
          <w:szCs w:val="22"/>
        </w:rPr>
        <w:t>: HR Implementation Framework and Success Measurement</w:t>
      </w:r>
      <w:bookmarkEnd w:id="23"/>
    </w:p>
    <w:tbl>
      <w:tblPr>
        <w:tblStyle w:val="GridTable5Dark-Accent11"/>
        <w:tblW w:w="0" w:type="auto"/>
        <w:tblLook w:val="04A0" w:firstRow="1" w:lastRow="0" w:firstColumn="1" w:lastColumn="0" w:noHBand="0" w:noVBand="1"/>
      </w:tblPr>
      <w:tblGrid>
        <w:gridCol w:w="1976"/>
        <w:gridCol w:w="3334"/>
        <w:gridCol w:w="2607"/>
        <w:gridCol w:w="1433"/>
      </w:tblGrid>
      <w:tr w:rsidR="00431B1F" w:rsidTr="00431B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431B1F" w:rsidRDefault="00000000">
            <w:pPr>
              <w:spacing w:line="360" w:lineRule="auto"/>
              <w:rPr>
                <w:rFonts w:ascii="Times New Roman" w:hAnsi="Times New Roman" w:cs="Times New Roman"/>
                <w:b w:val="0"/>
                <w:bCs w:val="0"/>
                <w:sz w:val="28"/>
                <w:szCs w:val="28"/>
              </w:rPr>
            </w:pPr>
            <w:r>
              <w:rPr>
                <w:rFonts w:ascii="Times New Roman" w:hAnsi="Times New Roman" w:cs="Times New Roman"/>
                <w:sz w:val="28"/>
                <w:szCs w:val="28"/>
              </w:rPr>
              <w:t>Phase</w:t>
            </w:r>
          </w:p>
        </w:tc>
        <w:tc>
          <w:tcPr>
            <w:tcW w:w="0" w:type="auto"/>
          </w:tcPr>
          <w:p w:rsidR="00431B1F" w:rsidRDefault="00000000">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8"/>
                <w:szCs w:val="28"/>
              </w:rPr>
            </w:pPr>
            <w:r>
              <w:rPr>
                <w:rFonts w:ascii="Times New Roman" w:hAnsi="Times New Roman" w:cs="Times New Roman"/>
                <w:sz w:val="28"/>
                <w:szCs w:val="28"/>
              </w:rPr>
              <w:t>Key Activities</w:t>
            </w:r>
          </w:p>
        </w:tc>
        <w:tc>
          <w:tcPr>
            <w:tcW w:w="0" w:type="auto"/>
          </w:tcPr>
          <w:p w:rsidR="00431B1F" w:rsidRDefault="00000000">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8"/>
                <w:szCs w:val="28"/>
              </w:rPr>
            </w:pPr>
            <w:r>
              <w:rPr>
                <w:rFonts w:ascii="Times New Roman" w:hAnsi="Times New Roman" w:cs="Times New Roman"/>
                <w:sz w:val="28"/>
                <w:szCs w:val="28"/>
              </w:rPr>
              <w:t>Success Metrics</w:t>
            </w:r>
          </w:p>
        </w:tc>
        <w:tc>
          <w:tcPr>
            <w:tcW w:w="0" w:type="auto"/>
          </w:tcPr>
          <w:p w:rsidR="00431B1F" w:rsidRDefault="00000000">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8"/>
                <w:szCs w:val="28"/>
              </w:rPr>
            </w:pPr>
            <w:r>
              <w:rPr>
                <w:rFonts w:ascii="Times New Roman" w:hAnsi="Times New Roman" w:cs="Times New Roman"/>
                <w:sz w:val="28"/>
                <w:szCs w:val="28"/>
              </w:rPr>
              <w:t>Timeline</w:t>
            </w:r>
          </w:p>
        </w:tc>
      </w:tr>
      <w:tr w:rsidR="00431B1F" w:rsidTr="00431B1F">
        <w:tc>
          <w:tcPr>
            <w:cnfStyle w:val="001000000000" w:firstRow="0" w:lastRow="0" w:firstColumn="1" w:lastColumn="0" w:oddVBand="0" w:evenVBand="0" w:oddHBand="0" w:evenHBand="0" w:firstRowFirstColumn="0" w:firstRowLastColumn="0" w:lastRowFirstColumn="0" w:lastRowLastColumn="0"/>
            <w:tcW w:w="0" w:type="auto"/>
          </w:tcPr>
          <w:p w:rsidR="00431B1F" w:rsidRDefault="00000000">
            <w:pPr>
              <w:spacing w:line="360" w:lineRule="auto"/>
              <w:rPr>
                <w:rFonts w:ascii="Times New Roman" w:hAnsi="Times New Roman" w:cs="Times New Roman"/>
                <w:b w:val="0"/>
                <w:bCs w:val="0"/>
                <w:sz w:val="24"/>
                <w:szCs w:val="24"/>
              </w:rPr>
            </w:pPr>
            <w:r>
              <w:rPr>
                <w:rFonts w:ascii="Times New Roman" w:hAnsi="Times New Roman" w:cs="Times New Roman"/>
                <w:sz w:val="24"/>
                <w:szCs w:val="24"/>
              </w:rPr>
              <w:t>Pilot Implementation</w:t>
            </w:r>
          </w:p>
        </w:tc>
        <w:tc>
          <w:tcPr>
            <w:tcW w:w="0" w:type="auto"/>
            <w:shd w:val="clear" w:color="auto" w:fill="B4C6E7" w:themeFill="accent1" w:themeFillTint="66"/>
          </w:tcPr>
          <w:p w:rsidR="00431B1F" w:rsidRDefault="00000000">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Select business units, engage line managers, co-design solutions with employees</w:t>
            </w:r>
          </w:p>
        </w:tc>
        <w:tc>
          <w:tcPr>
            <w:tcW w:w="0" w:type="auto"/>
            <w:shd w:val="clear" w:color="auto" w:fill="B4C6E7" w:themeFill="accent1" w:themeFillTint="66"/>
          </w:tcPr>
          <w:p w:rsidR="00431B1F" w:rsidRDefault="00000000">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Manager buy-in rates, employee participation rates</w:t>
            </w:r>
          </w:p>
        </w:tc>
        <w:tc>
          <w:tcPr>
            <w:tcW w:w="0" w:type="auto"/>
            <w:shd w:val="clear" w:color="auto" w:fill="B4C6E7" w:themeFill="accent1" w:themeFillTint="66"/>
          </w:tcPr>
          <w:p w:rsidR="00431B1F" w:rsidRDefault="00000000">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Quarter 1-2</w:t>
            </w:r>
          </w:p>
        </w:tc>
      </w:tr>
      <w:tr w:rsidR="00431B1F" w:rsidTr="00431B1F">
        <w:tc>
          <w:tcPr>
            <w:cnfStyle w:val="001000000000" w:firstRow="0" w:lastRow="0" w:firstColumn="1" w:lastColumn="0" w:oddVBand="0" w:evenVBand="0" w:oddHBand="0" w:evenHBand="0" w:firstRowFirstColumn="0" w:firstRowLastColumn="0" w:lastRowFirstColumn="0" w:lastRowLastColumn="0"/>
            <w:tcW w:w="0" w:type="auto"/>
          </w:tcPr>
          <w:p w:rsidR="00431B1F" w:rsidRDefault="00000000">
            <w:pPr>
              <w:spacing w:line="360" w:lineRule="auto"/>
              <w:rPr>
                <w:rFonts w:ascii="Times New Roman" w:hAnsi="Times New Roman" w:cs="Times New Roman"/>
                <w:b w:val="0"/>
                <w:bCs w:val="0"/>
                <w:sz w:val="24"/>
                <w:szCs w:val="24"/>
              </w:rPr>
            </w:pPr>
            <w:r>
              <w:rPr>
                <w:rFonts w:ascii="Times New Roman" w:hAnsi="Times New Roman" w:cs="Times New Roman"/>
                <w:sz w:val="24"/>
                <w:szCs w:val="24"/>
              </w:rPr>
              <w:t>Full Rollout</w:t>
            </w:r>
          </w:p>
        </w:tc>
        <w:tc>
          <w:tcPr>
            <w:tcW w:w="0" w:type="auto"/>
          </w:tcPr>
          <w:p w:rsidR="00431B1F" w:rsidRDefault="00000000">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Scale successful pilots, continuous communication and training, allocate resources</w:t>
            </w:r>
          </w:p>
        </w:tc>
        <w:tc>
          <w:tcPr>
            <w:tcW w:w="0" w:type="auto"/>
          </w:tcPr>
          <w:p w:rsidR="00431B1F" w:rsidRDefault="00000000">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Internal mobility rates, skills proficiency gains, time-to-productivity</w:t>
            </w:r>
          </w:p>
        </w:tc>
        <w:tc>
          <w:tcPr>
            <w:tcW w:w="0" w:type="auto"/>
          </w:tcPr>
          <w:p w:rsidR="00431B1F" w:rsidRDefault="00000000">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Quarter 3-4</w:t>
            </w:r>
          </w:p>
        </w:tc>
      </w:tr>
      <w:tr w:rsidR="00431B1F" w:rsidTr="00431B1F">
        <w:tc>
          <w:tcPr>
            <w:cnfStyle w:val="001000000000" w:firstRow="0" w:lastRow="0" w:firstColumn="1" w:lastColumn="0" w:oddVBand="0" w:evenVBand="0" w:oddHBand="0" w:evenHBand="0" w:firstRowFirstColumn="0" w:firstRowLastColumn="0" w:lastRowFirstColumn="0" w:lastRowLastColumn="0"/>
            <w:tcW w:w="0" w:type="auto"/>
          </w:tcPr>
          <w:p w:rsidR="00431B1F" w:rsidRDefault="00000000">
            <w:pPr>
              <w:spacing w:line="360" w:lineRule="auto"/>
              <w:rPr>
                <w:rFonts w:ascii="Times New Roman" w:hAnsi="Times New Roman" w:cs="Times New Roman"/>
                <w:b w:val="0"/>
                <w:bCs w:val="0"/>
                <w:sz w:val="24"/>
                <w:szCs w:val="24"/>
              </w:rPr>
            </w:pPr>
            <w:r>
              <w:rPr>
                <w:rFonts w:ascii="Times New Roman" w:hAnsi="Times New Roman" w:cs="Times New Roman"/>
                <w:sz w:val="24"/>
                <w:szCs w:val="24"/>
              </w:rPr>
              <w:t>Sustainability</w:t>
            </w:r>
          </w:p>
        </w:tc>
        <w:tc>
          <w:tcPr>
            <w:tcW w:w="0" w:type="auto"/>
            <w:shd w:val="clear" w:color="auto" w:fill="B4C6E7" w:themeFill="accent1" w:themeFillTint="66"/>
          </w:tcPr>
          <w:p w:rsidR="00431B1F" w:rsidRDefault="00000000">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Embed practices into </w:t>
            </w:r>
            <w:proofErr w:type="spellStart"/>
            <w:r>
              <w:rPr>
                <w:rFonts w:ascii="Times New Roman" w:hAnsi="Times New Roman" w:cs="Times New Roman"/>
                <w:sz w:val="24"/>
                <w:szCs w:val="24"/>
              </w:rPr>
              <w:t>organisational</w:t>
            </w:r>
            <w:proofErr w:type="spellEnd"/>
            <w:r>
              <w:rPr>
                <w:rFonts w:ascii="Times New Roman" w:hAnsi="Times New Roman" w:cs="Times New Roman"/>
                <w:sz w:val="24"/>
                <w:szCs w:val="24"/>
              </w:rPr>
              <w:t xml:space="preserve"> culture, leadership ownership, continuous improvement</w:t>
            </w:r>
          </w:p>
        </w:tc>
        <w:tc>
          <w:tcPr>
            <w:tcW w:w="0" w:type="auto"/>
            <w:shd w:val="clear" w:color="auto" w:fill="B4C6E7" w:themeFill="accent1" w:themeFillTint="66"/>
          </w:tcPr>
          <w:p w:rsidR="00431B1F" w:rsidRDefault="00000000">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Employee retention rates, promotion velocity, innovation metrics</w:t>
            </w:r>
          </w:p>
        </w:tc>
        <w:tc>
          <w:tcPr>
            <w:tcW w:w="0" w:type="auto"/>
            <w:shd w:val="clear" w:color="auto" w:fill="B4C6E7" w:themeFill="accent1" w:themeFillTint="66"/>
          </w:tcPr>
          <w:p w:rsidR="00431B1F" w:rsidRDefault="00000000">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Year 2 and beyond</w:t>
            </w:r>
          </w:p>
        </w:tc>
      </w:tr>
      <w:tr w:rsidR="00431B1F" w:rsidTr="00431B1F">
        <w:tc>
          <w:tcPr>
            <w:cnfStyle w:val="001000000000" w:firstRow="0" w:lastRow="0" w:firstColumn="1" w:lastColumn="0" w:oddVBand="0" w:evenVBand="0" w:oddHBand="0" w:evenHBand="0" w:firstRowFirstColumn="0" w:firstRowLastColumn="0" w:lastRowFirstColumn="0" w:lastRowLastColumn="0"/>
            <w:tcW w:w="0" w:type="auto"/>
          </w:tcPr>
          <w:p w:rsidR="00431B1F" w:rsidRDefault="00000000">
            <w:pPr>
              <w:spacing w:line="360" w:lineRule="auto"/>
              <w:rPr>
                <w:rFonts w:ascii="Times New Roman" w:hAnsi="Times New Roman" w:cs="Times New Roman"/>
                <w:b w:val="0"/>
                <w:bCs w:val="0"/>
                <w:sz w:val="24"/>
                <w:szCs w:val="24"/>
              </w:rPr>
            </w:pPr>
            <w:r>
              <w:rPr>
                <w:rFonts w:ascii="Times New Roman" w:hAnsi="Times New Roman" w:cs="Times New Roman"/>
                <w:sz w:val="24"/>
                <w:szCs w:val="24"/>
              </w:rPr>
              <w:t>ROI Measurement</w:t>
            </w:r>
          </w:p>
        </w:tc>
        <w:tc>
          <w:tcPr>
            <w:tcW w:w="0" w:type="auto"/>
          </w:tcPr>
          <w:p w:rsidR="00431B1F" w:rsidRDefault="00000000">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Link HR metrics to business outcomes, calculate cost savings and revenue impact</w:t>
            </w:r>
          </w:p>
        </w:tc>
        <w:tc>
          <w:tcPr>
            <w:tcW w:w="0" w:type="auto"/>
          </w:tcPr>
          <w:p w:rsidR="00431B1F" w:rsidRDefault="00000000">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Cost per hire reduction, revenue per employee, talent pipeline depth</w:t>
            </w:r>
          </w:p>
        </w:tc>
        <w:tc>
          <w:tcPr>
            <w:tcW w:w="0" w:type="auto"/>
          </w:tcPr>
          <w:p w:rsidR="00431B1F" w:rsidRDefault="00000000">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Ongoing</w:t>
            </w:r>
          </w:p>
        </w:tc>
      </w:tr>
    </w:tbl>
    <w:p w:rsidR="00431B1F" w:rsidRDefault="00000000">
      <w:pPr>
        <w:spacing w:line="360" w:lineRule="auto"/>
        <w:rPr>
          <w:rFonts w:ascii="Times New Roman" w:hAnsi="Times New Roman" w:cs="Times New Roman"/>
          <w:sz w:val="24"/>
          <w:szCs w:val="24"/>
        </w:rPr>
      </w:pPr>
      <w:r>
        <w:rPr>
          <w:rFonts w:ascii="Times New Roman" w:hAnsi="Times New Roman" w:cs="Times New Roman"/>
          <w:i/>
          <w:iCs/>
          <w:sz w:val="24"/>
          <w:szCs w:val="24"/>
        </w:rPr>
        <w:t>Source: Implementation framework adapted from Armstrong (2021) and change management best practices</w:t>
      </w:r>
    </w:p>
    <w:p w:rsidR="00431B1F" w:rsidRDefault="00000000">
      <w:pPr>
        <w:pStyle w:val="Heading1"/>
      </w:pPr>
      <w:bookmarkStart w:id="24" w:name="_Toc213026662"/>
      <w:r>
        <w:t>6.0 Personal Reflective Report to Global Capabilities.</w:t>
      </w:r>
      <w:bookmarkEnd w:id="24"/>
    </w:p>
    <w:p w:rsidR="00431B1F" w:rsidRDefault="00000000">
      <w:pPr>
        <w:spacing w:line="360" w:lineRule="auto"/>
        <w:rPr>
          <w:rFonts w:ascii="Times New Roman" w:hAnsi="Times New Roman" w:cs="Times New Roman"/>
          <w:sz w:val="24"/>
          <w:szCs w:val="24"/>
        </w:rPr>
      </w:pPr>
      <w:r>
        <w:rPr>
          <w:rFonts w:ascii="Times New Roman" w:hAnsi="Times New Roman" w:cs="Times New Roman"/>
          <w:sz w:val="24"/>
          <w:szCs w:val="24"/>
        </w:rPr>
        <w:t xml:space="preserve">My disciplined self-directed learning and </w:t>
      </w:r>
      <w:proofErr w:type="spellStart"/>
      <w:r>
        <w:rPr>
          <w:rFonts w:ascii="Times New Roman" w:hAnsi="Times New Roman" w:cs="Times New Roman"/>
          <w:sz w:val="24"/>
          <w:szCs w:val="24"/>
        </w:rPr>
        <w:t>organised</w:t>
      </w:r>
      <w:proofErr w:type="spellEnd"/>
      <w:r>
        <w:rPr>
          <w:rFonts w:ascii="Times New Roman" w:hAnsi="Times New Roman" w:cs="Times New Roman"/>
          <w:sz w:val="24"/>
          <w:szCs w:val="24"/>
        </w:rPr>
        <w:t xml:space="preserve"> written communication are my current strengths. However, I need development in leading culturally diverse teams confidently and using people analytics for talent decisions. Over the next year, I will address these through targeted analytics training and seeking international project leadership roles to practice inclusive leadership in real settings.</w:t>
      </w:r>
    </w:p>
    <w:p w:rsidR="00431B1F" w:rsidRDefault="00000000">
      <w:pPr>
        <w:pStyle w:val="Heading2"/>
      </w:pPr>
      <w:bookmarkStart w:id="25" w:name="_Toc213026663"/>
      <w:r>
        <w:lastRenderedPageBreak/>
        <w:t>6.1 Technology</w:t>
      </w:r>
      <w:bookmarkEnd w:id="25"/>
    </w:p>
    <w:p w:rsidR="00431B1F" w:rsidRDefault="00000000">
      <w:pPr>
        <w:spacing w:line="360" w:lineRule="auto"/>
        <w:rPr>
          <w:rFonts w:ascii="Times New Roman" w:hAnsi="Times New Roman" w:cs="Times New Roman"/>
          <w:sz w:val="24"/>
          <w:szCs w:val="24"/>
        </w:rPr>
      </w:pPr>
      <w:r>
        <w:rPr>
          <w:rFonts w:ascii="Times New Roman" w:hAnsi="Times New Roman" w:cs="Times New Roman"/>
          <w:sz w:val="24"/>
          <w:szCs w:val="24"/>
        </w:rPr>
        <w:t xml:space="preserve">My current capability includes strong proficiency with digital collaboration tools like Microsoft Teams and Zoom, developed through managing virtual MBA group projects. In today's global </w:t>
      </w:r>
      <w:proofErr w:type="spellStart"/>
      <w:r>
        <w:rPr>
          <w:rFonts w:ascii="Times New Roman" w:hAnsi="Times New Roman" w:cs="Times New Roman"/>
          <w:sz w:val="24"/>
          <w:szCs w:val="24"/>
        </w:rPr>
        <w:t>labour</w:t>
      </w:r>
      <w:proofErr w:type="spellEnd"/>
      <w:r>
        <w:rPr>
          <w:rFonts w:ascii="Times New Roman" w:hAnsi="Times New Roman" w:cs="Times New Roman"/>
          <w:sz w:val="24"/>
          <w:szCs w:val="24"/>
        </w:rPr>
        <w:t xml:space="preserve"> market, being digitally fluent is a mandatory condition in order to be able to coordinate across borders/continents and time zones, directly affecting productivity and cohesion within a work group in a distributed working format.  However, I lack depth in People Analytics tools. Following Boudreau and Ramstad's (2021) emphasis on evidence-based HR, I plan to complete a certified course in HR analytics to better leverage data for talent decisions, thereby enhancing my strategic contribution to </w:t>
      </w:r>
      <w:proofErr w:type="spellStart"/>
      <w:r>
        <w:rPr>
          <w:rFonts w:ascii="Times New Roman" w:hAnsi="Times New Roman" w:cs="Times New Roman"/>
          <w:sz w:val="24"/>
          <w:szCs w:val="24"/>
        </w:rPr>
        <w:t>organisations</w:t>
      </w:r>
      <w:proofErr w:type="spellEnd"/>
      <w:r>
        <w:rPr>
          <w:rFonts w:ascii="Times New Roman" w:hAnsi="Times New Roman" w:cs="Times New Roman"/>
          <w:sz w:val="24"/>
          <w:szCs w:val="24"/>
        </w:rPr>
        <w:t>.</w:t>
      </w:r>
    </w:p>
    <w:p w:rsidR="00431B1F" w:rsidRDefault="00000000">
      <w:pPr>
        <w:pStyle w:val="Heading2"/>
      </w:pPr>
      <w:bookmarkStart w:id="26" w:name="_Toc213026664"/>
      <w:r>
        <w:t>6.2 Communication</w:t>
      </w:r>
      <w:bookmarkEnd w:id="26"/>
    </w:p>
    <w:p w:rsidR="00431B1F" w:rsidRDefault="00000000">
      <w:pPr>
        <w:spacing w:line="360" w:lineRule="auto"/>
        <w:rPr>
          <w:rFonts w:ascii="Times New Roman" w:hAnsi="Times New Roman" w:cs="Times New Roman"/>
          <w:sz w:val="24"/>
          <w:szCs w:val="24"/>
        </w:rPr>
      </w:pPr>
      <w:r>
        <w:rPr>
          <w:rFonts w:ascii="Times New Roman" w:hAnsi="Times New Roman" w:cs="Times New Roman"/>
          <w:sz w:val="24"/>
          <w:szCs w:val="24"/>
        </w:rPr>
        <w:t>I possess strong academic and professional writing skills, evidenced by constructing clear, evidence-based arguments in assignments. Clear communication is fundamental for cross-cultural collaboration and managing stakeholder expectations in international settings. One of the development areas is negotiating with culturally diverse stakeholders. To resolve this, I will involve myself in international competitions based on cases where I will be able to employ my research strengths into practice to gain confidence in cross-cultural persuasion in a simulated setting and hence be able to negotiate on international matters.</w:t>
      </w:r>
    </w:p>
    <w:p w:rsidR="00431B1F" w:rsidRDefault="00000000">
      <w:pPr>
        <w:pStyle w:val="Heading2"/>
      </w:pPr>
      <w:bookmarkStart w:id="27" w:name="_Toc213026665"/>
      <w:r>
        <w:t>6.3 Teamwork and Leadership</w:t>
      </w:r>
      <w:bookmarkEnd w:id="27"/>
    </w:p>
    <w:p w:rsidR="00431B1F" w:rsidRDefault="00000000">
      <w:pPr>
        <w:spacing w:line="360" w:lineRule="auto"/>
        <w:rPr>
          <w:rFonts w:ascii="Times New Roman" w:hAnsi="Times New Roman" w:cs="Times New Roman"/>
          <w:sz w:val="24"/>
          <w:szCs w:val="24"/>
        </w:rPr>
      </w:pPr>
      <w:r>
        <w:rPr>
          <w:rFonts w:ascii="Times New Roman" w:hAnsi="Times New Roman" w:cs="Times New Roman"/>
          <w:sz w:val="24"/>
          <w:szCs w:val="24"/>
        </w:rPr>
        <w:t>I have strength in terms of being efficient in operation and keeping project schedules within the multicultural teams, where coordinating roles are usually undertaken. Efficient coordination is paramount, yet in real leadership, one has to motivate and develop others. The responsibility and growth, as Herzberg's theory indicates, are powerful motivators. I should attain proactive mentoring skills. I will also take some formal mentoring with first-year MBA students, which will help me build my mentoring and talent development skills, which will not only fill the leadership gap but will also serve as an intrinsic motivational factor because I would be contributing to the development of other people.</w:t>
      </w:r>
    </w:p>
    <w:p w:rsidR="00431B1F" w:rsidRDefault="00000000">
      <w:pPr>
        <w:pStyle w:val="Heading2"/>
      </w:pPr>
      <w:bookmarkStart w:id="28" w:name="_Toc213026666"/>
      <w:r>
        <w:lastRenderedPageBreak/>
        <w:t>6.4 Self-directed Learning</w:t>
      </w:r>
      <w:bookmarkEnd w:id="28"/>
    </w:p>
    <w:p w:rsidR="00431B1F" w:rsidRDefault="00000000">
      <w:pPr>
        <w:spacing w:line="360" w:lineRule="auto"/>
        <w:rPr>
          <w:rFonts w:ascii="Times New Roman" w:hAnsi="Times New Roman" w:cs="Times New Roman"/>
          <w:sz w:val="24"/>
          <w:szCs w:val="24"/>
        </w:rPr>
      </w:pPr>
      <w:r>
        <w:rPr>
          <w:rFonts w:ascii="Times New Roman" w:hAnsi="Times New Roman" w:cs="Times New Roman"/>
          <w:sz w:val="24"/>
          <w:szCs w:val="24"/>
        </w:rPr>
        <w:t xml:space="preserve">My self-directed learning skills are strong because I conduct systematic research and </w:t>
      </w:r>
      <w:proofErr w:type="spellStart"/>
      <w:r>
        <w:rPr>
          <w:rFonts w:ascii="Times New Roman" w:hAnsi="Times New Roman" w:cs="Times New Roman"/>
          <w:sz w:val="24"/>
          <w:szCs w:val="24"/>
        </w:rPr>
        <w:t>synthesise</w:t>
      </w:r>
      <w:proofErr w:type="spellEnd"/>
      <w:r>
        <w:rPr>
          <w:rFonts w:ascii="Times New Roman" w:hAnsi="Times New Roman" w:cs="Times New Roman"/>
          <w:sz w:val="24"/>
          <w:szCs w:val="24"/>
        </w:rPr>
        <w:t xml:space="preserve"> complex information in academic and industry sources in order to write reports such as this one. This ability will be directly connected to Maslow's theory of self-</w:t>
      </w:r>
      <w:proofErr w:type="spellStart"/>
      <w:r>
        <w:rPr>
          <w:rFonts w:ascii="Times New Roman" w:hAnsi="Times New Roman" w:cs="Times New Roman"/>
          <w:sz w:val="24"/>
          <w:szCs w:val="24"/>
        </w:rPr>
        <w:t>actualisation</w:t>
      </w:r>
      <w:proofErr w:type="spellEnd"/>
      <w:r>
        <w:rPr>
          <w:rFonts w:ascii="Times New Roman" w:hAnsi="Times New Roman" w:cs="Times New Roman"/>
          <w:sz w:val="24"/>
          <w:szCs w:val="24"/>
        </w:rPr>
        <w:t xml:space="preserve"> and will be essential to constant professional growth in swiftly changing professions. I will make this strength institutional through the allocated time monthly to research on the emerging trends in HR, so that my competencies will always be on top, thus bearing lifelong career resiliency in the changing global market.</w:t>
      </w:r>
    </w:p>
    <w:p w:rsidR="00431B1F" w:rsidRDefault="00000000">
      <w:pPr>
        <w:pStyle w:val="Heading1"/>
      </w:pPr>
      <w:bookmarkStart w:id="29" w:name="_Toc213026667"/>
      <w:r>
        <w:t>7.0 Strategic HCM Recommendations.</w:t>
      </w:r>
      <w:bookmarkEnd w:id="29"/>
    </w:p>
    <w:p w:rsidR="00431B1F" w:rsidRDefault="00000000">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Organisations</w:t>
      </w:r>
      <w:proofErr w:type="spellEnd"/>
      <w:r>
        <w:rPr>
          <w:rFonts w:ascii="Times New Roman" w:hAnsi="Times New Roman" w:cs="Times New Roman"/>
          <w:sz w:val="24"/>
          <w:szCs w:val="24"/>
        </w:rPr>
        <w:t xml:space="preserve"> need to test pilot </w:t>
      </w:r>
      <w:proofErr w:type="spellStart"/>
      <w:r>
        <w:rPr>
          <w:rFonts w:ascii="Times New Roman" w:hAnsi="Times New Roman" w:cs="Times New Roman"/>
          <w:sz w:val="24"/>
          <w:szCs w:val="24"/>
        </w:rPr>
        <w:t>programmes</w:t>
      </w:r>
      <w:proofErr w:type="spellEnd"/>
      <w:r>
        <w:rPr>
          <w:rFonts w:ascii="Times New Roman" w:hAnsi="Times New Roman" w:cs="Times New Roman"/>
          <w:sz w:val="24"/>
          <w:szCs w:val="24"/>
        </w:rPr>
        <w:t xml:space="preserve"> with defined measures of success, before rolling them out across the </w:t>
      </w:r>
      <w:proofErr w:type="spellStart"/>
      <w:r>
        <w:rPr>
          <w:rFonts w:ascii="Times New Roman" w:hAnsi="Times New Roman" w:cs="Times New Roman"/>
          <w:sz w:val="24"/>
          <w:szCs w:val="24"/>
        </w:rPr>
        <w:t>organisation</w:t>
      </w:r>
      <w:proofErr w:type="spellEnd"/>
      <w:r>
        <w:rPr>
          <w:rFonts w:ascii="Times New Roman" w:hAnsi="Times New Roman" w:cs="Times New Roman"/>
          <w:sz w:val="24"/>
          <w:szCs w:val="24"/>
        </w:rPr>
        <w:t xml:space="preserve"> - mitigation of implementation risk should be factored in, and resistance to change managed through continuous communication, co-creation with end-users and visible leadership buy-in. Additionally, having cross-functional governance committees ensures a variety of perspectives are given in the design of the solutions, and helps build </w:t>
      </w:r>
      <w:proofErr w:type="spellStart"/>
      <w:r>
        <w:rPr>
          <w:rFonts w:ascii="Times New Roman" w:hAnsi="Times New Roman" w:cs="Times New Roman"/>
          <w:sz w:val="24"/>
          <w:szCs w:val="24"/>
        </w:rPr>
        <w:t>organisational</w:t>
      </w:r>
      <w:proofErr w:type="spellEnd"/>
      <w:r>
        <w:rPr>
          <w:rFonts w:ascii="Times New Roman" w:hAnsi="Times New Roman" w:cs="Times New Roman"/>
          <w:sz w:val="24"/>
          <w:szCs w:val="24"/>
        </w:rPr>
        <w:t xml:space="preserve"> buy-in. These risk mitigation strategies will increase the chances of successful adoption of the recommended initiatives and the sustainable impact achieved.</w:t>
      </w:r>
      <w:r w:rsidR="00F951E2">
        <w:rPr>
          <w:rFonts w:ascii="Times New Roman" w:hAnsi="Times New Roman" w:cs="Times New Roman"/>
          <w:sz w:val="24"/>
          <w:szCs w:val="24"/>
        </w:rPr>
        <w:t xml:space="preserve"> </w:t>
      </w:r>
    </w:p>
    <w:p w:rsidR="00431B1F" w:rsidRDefault="00000000">
      <w:pPr>
        <w:pStyle w:val="Heading2"/>
      </w:pPr>
      <w:bookmarkStart w:id="30" w:name="_Toc213026668"/>
      <w:r>
        <w:t>7.1 Invest in Agile Workforce Planning &amp; Internal Talent Development</w:t>
      </w:r>
      <w:bookmarkEnd w:id="30"/>
    </w:p>
    <w:p w:rsidR="00431B1F" w:rsidRDefault="00000000">
      <w:pPr>
        <w:spacing w:line="360" w:lineRule="auto"/>
        <w:rPr>
          <w:rFonts w:ascii="Times New Roman" w:hAnsi="Times New Roman" w:cs="Times New Roman"/>
          <w:sz w:val="24"/>
          <w:szCs w:val="24"/>
        </w:rPr>
      </w:pPr>
      <w:r>
        <w:rPr>
          <w:rFonts w:ascii="Times New Roman" w:hAnsi="Times New Roman" w:cs="Times New Roman"/>
          <w:sz w:val="24"/>
          <w:szCs w:val="24"/>
        </w:rPr>
        <w:t xml:space="preserve">Conduct a granular skills-gap analysis immediately, followed by agile capabilities "learning sprints" on high-demand capabilities. Within 18 months, establish a talent marketplace inside the firm for the dynamic deployment of existing talent. This directly addresses the gap of skills shortages and increases retention by providing internal mobility opportunities. The human capital view on strategic value creation is consistent with viewing people as assets that need to be actively nurtured rather than costed (Mayo, 2022). </w:t>
      </w:r>
    </w:p>
    <w:p w:rsidR="00431B1F" w:rsidRDefault="00000000">
      <w:pPr>
        <w:pStyle w:val="Heading2"/>
      </w:pPr>
      <w:bookmarkStart w:id="31" w:name="_Toc213026669"/>
      <w:r>
        <w:t>7.2 Develop Geopolitically Resilient and Inclusive Mobility Policies</w:t>
      </w:r>
      <w:bookmarkEnd w:id="31"/>
    </w:p>
    <w:p w:rsidR="00431B1F" w:rsidRDefault="00000000">
      <w:pPr>
        <w:spacing w:line="360" w:lineRule="auto"/>
        <w:rPr>
          <w:rFonts w:ascii="Times New Roman" w:hAnsi="Times New Roman" w:cs="Times New Roman"/>
          <w:sz w:val="24"/>
          <w:szCs w:val="24"/>
        </w:rPr>
      </w:pPr>
      <w:r>
        <w:rPr>
          <w:rFonts w:ascii="Times New Roman" w:hAnsi="Times New Roman" w:cs="Times New Roman"/>
          <w:sz w:val="24"/>
          <w:szCs w:val="24"/>
        </w:rPr>
        <w:t xml:space="preserve">During the next quarter, audit businesses should identify global mobility risks and diversify their types of assignments to include more short-term and virtual options. Pursue inclusive packages </w:t>
      </w:r>
      <w:r>
        <w:rPr>
          <w:rFonts w:ascii="Times New Roman" w:hAnsi="Times New Roman" w:cs="Times New Roman"/>
          <w:sz w:val="24"/>
          <w:szCs w:val="24"/>
        </w:rPr>
        <w:lastRenderedPageBreak/>
        <w:t>of support for the various family situations and views to guarantee psychological safety to workers in volatile areas and secure key talent pipelines for future demand.</w:t>
      </w:r>
    </w:p>
    <w:p w:rsidR="00431B1F" w:rsidRDefault="00000000">
      <w:pPr>
        <w:pStyle w:val="Heading2"/>
      </w:pPr>
      <w:bookmarkStart w:id="32" w:name="_Toc213026670"/>
      <w:r>
        <w:t>7.3 Champion Ethical Technology Integration and People-Centric Work Design</w:t>
      </w:r>
      <w:bookmarkEnd w:id="32"/>
    </w:p>
    <w:p w:rsidR="00431B1F" w:rsidRDefault="00000000">
      <w:pPr>
        <w:spacing w:line="360" w:lineRule="auto"/>
        <w:rPr>
          <w:rFonts w:ascii="Times New Roman" w:hAnsi="Times New Roman" w:cs="Times New Roman"/>
          <w:sz w:val="24"/>
          <w:szCs w:val="24"/>
        </w:rPr>
      </w:pPr>
      <w:r>
        <w:rPr>
          <w:rFonts w:ascii="Times New Roman" w:hAnsi="Times New Roman" w:cs="Times New Roman"/>
          <w:sz w:val="24"/>
          <w:szCs w:val="24"/>
        </w:rPr>
        <w:t xml:space="preserve">Establish an ethical AI charter by year-end, governing algorithmic management and data privacy. At the same time, pilot work redesign projects in a single business unit, breaking jobs down into projects and tasks in order to become more flexible. </w:t>
      </w:r>
      <w:r w:rsidR="008E2716" w:rsidRPr="008E2716">
        <w:rPr>
          <w:rFonts w:ascii="Times New Roman" w:hAnsi="Times New Roman" w:cs="Times New Roman"/>
          <w:sz w:val="24"/>
          <w:szCs w:val="24"/>
        </w:rPr>
        <w:t>This is a compromise between technological efficiency and human dignity and human engagement.</w:t>
      </w:r>
    </w:p>
    <w:p w:rsidR="00431B1F" w:rsidRDefault="00000000">
      <w:pPr>
        <w:spacing w:line="360" w:lineRule="auto"/>
        <w:rPr>
          <w:rFonts w:ascii="Times New Roman" w:hAnsi="Times New Roman" w:cs="Times New Roman"/>
          <w:sz w:val="24"/>
          <w:szCs w:val="24"/>
        </w:rPr>
      </w:pPr>
      <w:r>
        <w:rPr>
          <w:rFonts w:ascii="Times New Roman" w:hAnsi="Times New Roman" w:cs="Times New Roman"/>
          <w:sz w:val="24"/>
          <w:szCs w:val="24"/>
        </w:rPr>
        <w:t xml:space="preserve">Implementation and Metrics: </w:t>
      </w:r>
      <w:r w:rsidR="008E2716" w:rsidRPr="008E2716">
        <w:rPr>
          <w:rFonts w:ascii="Times New Roman" w:hAnsi="Times New Roman" w:cs="Times New Roman"/>
          <w:sz w:val="24"/>
          <w:szCs w:val="24"/>
        </w:rPr>
        <w:t>Default audit and risk assessment (Q1), pilot launches (Q2-3), and scale successful projects (Year 2)</w:t>
      </w:r>
      <w:r w:rsidR="00332980">
        <w:rPr>
          <w:rFonts w:ascii="Times New Roman" w:hAnsi="Times New Roman" w:cs="Times New Roman"/>
          <w:sz w:val="24"/>
          <w:szCs w:val="24"/>
        </w:rPr>
        <w:t>.</w:t>
      </w:r>
      <w:r w:rsidR="008E2716" w:rsidRPr="008E2716">
        <w:rPr>
          <w:rFonts w:ascii="Times New Roman" w:hAnsi="Times New Roman" w:cs="Times New Roman"/>
          <w:sz w:val="24"/>
          <w:szCs w:val="24"/>
        </w:rPr>
        <w:t xml:space="preserve"> Goals: internal promotion (goal: +15), employee engagement (goal: +10), and critical opening reduction (goal: -25)</w:t>
      </w:r>
      <w:r w:rsidR="008E2716">
        <w:rPr>
          <w:rFonts w:ascii="Times New Roman" w:hAnsi="Times New Roman" w:cs="Times New Roman"/>
          <w:sz w:val="24"/>
          <w:szCs w:val="24"/>
        </w:rPr>
        <w:t>.</w:t>
      </w:r>
    </w:p>
    <w:p w:rsidR="00431B1F" w:rsidRDefault="00000000">
      <w:pPr>
        <w:pStyle w:val="Heading1"/>
      </w:pPr>
      <w:bookmarkStart w:id="33" w:name="_Toc213026671"/>
      <w:r>
        <w:t>8.0 Conclusion</w:t>
      </w:r>
      <w:bookmarkEnd w:id="33"/>
    </w:p>
    <w:p w:rsidR="00431B1F" w:rsidRDefault="008E2716">
      <w:pPr>
        <w:spacing w:line="360" w:lineRule="auto"/>
        <w:rPr>
          <w:rFonts w:ascii="Times New Roman" w:hAnsi="Times New Roman" w:cs="Times New Roman"/>
          <w:sz w:val="24"/>
          <w:szCs w:val="24"/>
        </w:rPr>
      </w:pPr>
      <w:r w:rsidRPr="008E2716">
        <w:rPr>
          <w:rFonts w:ascii="Times New Roman" w:hAnsi="Times New Roman" w:cs="Times New Roman"/>
          <w:sz w:val="24"/>
          <w:szCs w:val="24"/>
        </w:rPr>
        <w:t>This report has been able to critically highlight the fact that the triple pressures of technological disruption, demographic change and geopolitical turmoil are fundamentally altering the HRM and IHRM strategies.</w:t>
      </w:r>
      <w:r>
        <w:rPr>
          <w:rFonts w:ascii="Times New Roman" w:hAnsi="Times New Roman" w:cs="Times New Roman"/>
          <w:sz w:val="24"/>
          <w:szCs w:val="24"/>
        </w:rPr>
        <w:t xml:space="preserve"> Based on the analysis, it becomes clear that </w:t>
      </w:r>
      <w:proofErr w:type="spellStart"/>
      <w:r>
        <w:rPr>
          <w:rFonts w:ascii="Times New Roman" w:hAnsi="Times New Roman" w:cs="Times New Roman"/>
          <w:sz w:val="24"/>
          <w:szCs w:val="24"/>
        </w:rPr>
        <w:t>organisations</w:t>
      </w:r>
      <w:proofErr w:type="spellEnd"/>
      <w:r>
        <w:rPr>
          <w:rFonts w:ascii="Times New Roman" w:hAnsi="Times New Roman" w:cs="Times New Roman"/>
          <w:sz w:val="24"/>
          <w:szCs w:val="24"/>
        </w:rPr>
        <w:t xml:space="preserve"> can no longer consider human capital management a support system and thus should position it as the core of strategic resilience. The suggested move to the idea of agile workforce planning, ethical technology control, and inclusive global mobility is not only the best practice, but also a business necessity. Likewise, on the individual level, lifelong adjustment with self-directed learning and cross-cultural competence is not a choice, but a requirement to stay relevant as a professional. Any </w:t>
      </w:r>
      <w:proofErr w:type="spellStart"/>
      <w:r>
        <w:rPr>
          <w:rFonts w:ascii="Times New Roman" w:hAnsi="Times New Roman" w:cs="Times New Roman"/>
          <w:sz w:val="24"/>
          <w:szCs w:val="24"/>
        </w:rPr>
        <w:t>organisation</w:t>
      </w:r>
      <w:proofErr w:type="spellEnd"/>
      <w:r>
        <w:rPr>
          <w:rFonts w:ascii="Times New Roman" w:hAnsi="Times New Roman" w:cs="Times New Roman"/>
          <w:sz w:val="24"/>
          <w:szCs w:val="24"/>
        </w:rPr>
        <w:t xml:space="preserve"> or individual that does not actively deal with these interrelated issues will find itself irrelevant in the competitive and volatile global economy. The future and sustainable advantage lies with those who </w:t>
      </w:r>
      <w:proofErr w:type="spellStart"/>
      <w:r>
        <w:rPr>
          <w:rFonts w:ascii="Times New Roman" w:hAnsi="Times New Roman" w:cs="Times New Roman"/>
          <w:sz w:val="24"/>
          <w:szCs w:val="24"/>
        </w:rPr>
        <w:t>realise</w:t>
      </w:r>
      <w:proofErr w:type="spellEnd"/>
      <w:r>
        <w:rPr>
          <w:rFonts w:ascii="Times New Roman" w:hAnsi="Times New Roman" w:cs="Times New Roman"/>
          <w:sz w:val="24"/>
          <w:szCs w:val="24"/>
        </w:rPr>
        <w:t xml:space="preserve"> that human capital, which is strategically used and ethically developed, is the ultimate source of sustainable advantage.</w:t>
      </w:r>
    </w:p>
    <w:p w:rsidR="00431B1F" w:rsidRDefault="00431B1F">
      <w:pPr>
        <w:spacing w:line="360" w:lineRule="auto"/>
        <w:rPr>
          <w:rFonts w:ascii="Times New Roman" w:hAnsi="Times New Roman" w:cs="Times New Roman"/>
          <w:sz w:val="24"/>
          <w:szCs w:val="24"/>
        </w:rPr>
      </w:pPr>
    </w:p>
    <w:p w:rsidR="00431B1F" w:rsidRDefault="00000000">
      <w:pPr>
        <w:pStyle w:val="Heading1"/>
      </w:pPr>
      <w:bookmarkStart w:id="34" w:name="_Toc213026672"/>
      <w:r>
        <w:lastRenderedPageBreak/>
        <w:t>References</w:t>
      </w:r>
      <w:bookmarkEnd w:id="34"/>
    </w:p>
    <w:p w:rsidR="00431B1F" w:rsidRDefault="00000000">
      <w:pPr>
        <w:pStyle w:val="ds-markdown-paragraph"/>
        <w:spacing w:line="480" w:lineRule="auto"/>
        <w:ind w:left="360"/>
      </w:pPr>
      <w:r>
        <w:t>Armstrong, M. (2021). </w:t>
      </w:r>
      <w:r>
        <w:rPr>
          <w:rFonts w:eastAsiaTheme="majorEastAsia"/>
          <w:i/>
          <w:iCs/>
        </w:rPr>
        <w:t>Armstrong's Handbook of Human Resource Management Practice</w:t>
      </w:r>
      <w:r>
        <w:t> (15th ed.). Kogan Page.</w:t>
      </w:r>
    </w:p>
    <w:p w:rsidR="00431B1F" w:rsidRDefault="00000000">
      <w:pPr>
        <w:pStyle w:val="ds-markdown-paragraph"/>
        <w:spacing w:line="480" w:lineRule="auto"/>
        <w:ind w:left="360"/>
      </w:pPr>
      <w:r>
        <w:t>Boxall, P., Purcell, J., &amp; Wright, P. (2022). </w:t>
      </w:r>
      <w:r>
        <w:rPr>
          <w:rFonts w:eastAsiaTheme="majorEastAsia"/>
          <w:i/>
          <w:iCs/>
        </w:rPr>
        <w:t>The Oxford Handbook of Human Resource Management</w:t>
      </w:r>
      <w:r>
        <w:t>. Oxford University Press.</w:t>
      </w:r>
    </w:p>
    <w:p w:rsidR="00431B1F" w:rsidRDefault="00000000">
      <w:pPr>
        <w:pStyle w:val="ds-markdown-paragraph"/>
        <w:spacing w:line="480" w:lineRule="auto"/>
        <w:ind w:left="360"/>
      </w:pPr>
      <w:r>
        <w:t>Boudreau, J. &amp; Ramstad, P. (2021). </w:t>
      </w:r>
      <w:r>
        <w:rPr>
          <w:rFonts w:eastAsiaTheme="majorEastAsia"/>
          <w:i/>
          <w:iCs/>
        </w:rPr>
        <w:t>Beyond HR: The New Science of Human Capital</w:t>
      </w:r>
      <w:r>
        <w:t>. Harvard Business School Press.</w:t>
      </w:r>
    </w:p>
    <w:p w:rsidR="00431B1F" w:rsidRDefault="00000000">
      <w:pPr>
        <w:pStyle w:val="ds-markdown-paragraph"/>
        <w:spacing w:line="480" w:lineRule="auto"/>
        <w:ind w:left="360"/>
      </w:pPr>
      <w:r>
        <w:t>Bratton, J. &amp; Gold, J. (2017). </w:t>
      </w:r>
      <w:r>
        <w:rPr>
          <w:rFonts w:eastAsiaTheme="majorEastAsia"/>
          <w:i/>
          <w:iCs/>
        </w:rPr>
        <w:t>Human Resource Management: Theory and Practice</w:t>
      </w:r>
      <w:r>
        <w:t> (6th ed.). Palgrave Macmillan.</w:t>
      </w:r>
    </w:p>
    <w:p w:rsidR="00431B1F" w:rsidRDefault="00000000">
      <w:pPr>
        <w:pStyle w:val="ds-markdown-paragraph"/>
        <w:spacing w:line="480" w:lineRule="auto"/>
        <w:ind w:left="360"/>
      </w:pPr>
      <w:r>
        <w:t>Cappelli, P. &amp; Keller, J. (2020). </w:t>
      </w:r>
      <w:r>
        <w:rPr>
          <w:rFonts w:eastAsiaTheme="majorEastAsia"/>
          <w:i/>
          <w:iCs/>
        </w:rPr>
        <w:t>Managing the Future of Work: The New HR Imperative</w:t>
      </w:r>
      <w:r>
        <w:t>. Harvard Business Review Press.</w:t>
      </w:r>
    </w:p>
    <w:p w:rsidR="00431B1F" w:rsidRDefault="00000000">
      <w:pPr>
        <w:pStyle w:val="ds-markdown-paragraph"/>
        <w:spacing w:line="480" w:lineRule="auto"/>
        <w:ind w:left="360"/>
      </w:pPr>
      <w:r>
        <w:t>Deloitte Insights. (2023). </w:t>
      </w:r>
      <w:r>
        <w:rPr>
          <w:rFonts w:eastAsiaTheme="majorEastAsia"/>
          <w:i/>
          <w:iCs/>
        </w:rPr>
        <w:t>Global Human Capital Trends Report</w:t>
      </w:r>
      <w:r>
        <w:t>. Deloitte University Press. [Accessed 3 November 2025]. Available at: </w:t>
      </w:r>
      <w:hyperlink r:id="rId10" w:tgtFrame="_blank" w:history="1">
        <w:r w:rsidR="00431B1F">
          <w:rPr>
            <w:rStyle w:val="Hyperlink"/>
            <w:rFonts w:eastAsiaTheme="majorEastAsia"/>
          </w:rPr>
          <w:t>https://www2.deloitte.com/us/en/insights/focus/human-capital-trends.html</w:t>
        </w:r>
      </w:hyperlink>
    </w:p>
    <w:p w:rsidR="00431B1F" w:rsidRDefault="00000000">
      <w:pPr>
        <w:pStyle w:val="ds-markdown-paragraph"/>
        <w:spacing w:line="480" w:lineRule="auto"/>
        <w:ind w:left="360"/>
      </w:pPr>
      <w:proofErr w:type="spellStart"/>
      <w:r>
        <w:t>Jesuthasan</w:t>
      </w:r>
      <w:proofErr w:type="spellEnd"/>
      <w:r>
        <w:t>, R. &amp; Boudreau, J. (2022). </w:t>
      </w:r>
      <w:r>
        <w:rPr>
          <w:rFonts w:eastAsiaTheme="majorEastAsia"/>
          <w:i/>
          <w:iCs/>
        </w:rPr>
        <w:t>Work Without Jobs: How to Reboot Your Organization's Work Operating System</w:t>
      </w:r>
      <w:r>
        <w:t>. MIT Press.</w:t>
      </w:r>
    </w:p>
    <w:p w:rsidR="00431B1F" w:rsidRDefault="00000000">
      <w:pPr>
        <w:pStyle w:val="ds-markdown-paragraph"/>
        <w:spacing w:line="480" w:lineRule="auto"/>
        <w:ind w:left="360"/>
      </w:pPr>
      <w:r>
        <w:t>Kane, G.C., Palmer, D., Phillips, A.N., &amp; Kiron, D. (2020). </w:t>
      </w:r>
      <w:r>
        <w:rPr>
          <w:rFonts w:eastAsiaTheme="majorEastAsia"/>
          <w:i/>
          <w:iCs/>
        </w:rPr>
        <w:t>The Technology Fallacy: How People Are the Real Key to Digital Transformation</w:t>
      </w:r>
      <w:r>
        <w:t>. MIT Press.</w:t>
      </w:r>
    </w:p>
    <w:p w:rsidR="00431B1F" w:rsidRDefault="00000000">
      <w:pPr>
        <w:pStyle w:val="ds-markdown-paragraph"/>
        <w:spacing w:line="480" w:lineRule="auto"/>
        <w:ind w:left="360"/>
      </w:pPr>
      <w:r>
        <w:lastRenderedPageBreak/>
        <w:t>ManpowerGroup (2025). </w:t>
      </w:r>
      <w:r>
        <w:rPr>
          <w:rFonts w:eastAsiaTheme="majorEastAsia"/>
          <w:i/>
          <w:iCs/>
        </w:rPr>
        <w:t>Global Talent Shortage Survey 2025</w:t>
      </w:r>
      <w:r>
        <w:t>. [Accessed 3 November 2025]. Available at: </w:t>
      </w:r>
      <w:hyperlink r:id="rId11" w:tgtFrame="_blank" w:history="1">
        <w:r w:rsidR="00431B1F">
          <w:rPr>
            <w:rStyle w:val="Hyperlink"/>
            <w:rFonts w:eastAsiaTheme="majorEastAsia"/>
          </w:rPr>
          <w:t>https://go.manpowergroup.com/talent-shortage</w:t>
        </w:r>
      </w:hyperlink>
    </w:p>
    <w:p w:rsidR="00431B1F" w:rsidRDefault="00000000">
      <w:pPr>
        <w:pStyle w:val="ds-markdown-paragraph"/>
        <w:spacing w:line="480" w:lineRule="auto"/>
        <w:ind w:left="360"/>
      </w:pPr>
      <w:r>
        <w:t>Marchington, M. &amp; Wilkinson, A. (2020). </w:t>
      </w:r>
      <w:r>
        <w:rPr>
          <w:rFonts w:eastAsiaTheme="majorEastAsia"/>
          <w:i/>
          <w:iCs/>
        </w:rPr>
        <w:t>Human Resource Management at Work</w:t>
      </w:r>
      <w:r>
        <w:t> (7th Ed.). CIPD.</w:t>
      </w:r>
    </w:p>
    <w:p w:rsidR="00431B1F" w:rsidRDefault="00000000">
      <w:pPr>
        <w:pStyle w:val="ds-markdown-paragraph"/>
        <w:spacing w:line="480" w:lineRule="auto"/>
        <w:ind w:left="360"/>
      </w:pPr>
      <w:r>
        <w:t>Mayo, A. (2022). </w:t>
      </w:r>
      <w:r>
        <w:rPr>
          <w:rFonts w:eastAsiaTheme="majorEastAsia"/>
          <w:i/>
          <w:iCs/>
        </w:rPr>
        <w:t>Human Resources or Human Capital? Managing People as Assets</w:t>
      </w:r>
      <w:r>
        <w:t>. Harvard Business Review Press.</w:t>
      </w:r>
    </w:p>
    <w:p w:rsidR="00431B1F" w:rsidRDefault="00000000">
      <w:pPr>
        <w:pStyle w:val="ds-markdown-paragraph"/>
        <w:spacing w:line="480" w:lineRule="auto"/>
        <w:ind w:left="360"/>
      </w:pPr>
      <w:r>
        <w:t>McKinsey &amp; Company (2023). </w:t>
      </w:r>
      <w:r>
        <w:rPr>
          <w:rFonts w:eastAsiaTheme="majorEastAsia"/>
          <w:i/>
          <w:iCs/>
        </w:rPr>
        <w:t>Global Workforce Trends Report</w:t>
      </w:r>
      <w:r>
        <w:t>. [Accessed 3 November 2025]. Available at: </w:t>
      </w:r>
      <w:hyperlink r:id="rId12" w:tgtFrame="_blank" w:history="1">
        <w:r w:rsidR="00431B1F">
          <w:rPr>
            <w:rStyle w:val="Hyperlink"/>
            <w:rFonts w:eastAsiaTheme="majorEastAsia"/>
          </w:rPr>
          <w:t>https://www.mckinsey.com/featured-insights/future-of-work</w:t>
        </w:r>
      </w:hyperlink>
    </w:p>
    <w:p w:rsidR="00431B1F" w:rsidRDefault="00000000">
      <w:pPr>
        <w:pStyle w:val="ds-markdown-paragraph"/>
        <w:spacing w:line="480" w:lineRule="auto"/>
        <w:ind w:left="360"/>
      </w:pPr>
      <w:r>
        <w:t>McKinsey &amp; Company (2024). </w:t>
      </w:r>
      <w:r>
        <w:rPr>
          <w:rFonts w:eastAsiaTheme="majorEastAsia"/>
          <w:i/>
          <w:iCs/>
        </w:rPr>
        <w:t>The State of AI in 2024</w:t>
      </w:r>
      <w:r>
        <w:t>. [Accessed 3 November 2025]. Available at: </w:t>
      </w:r>
      <w:hyperlink r:id="rId13" w:tgtFrame="_blank" w:history="1">
        <w:r w:rsidR="00431B1F">
          <w:rPr>
            <w:rStyle w:val="Hyperlink"/>
            <w:rFonts w:eastAsiaTheme="majorEastAsia"/>
          </w:rPr>
          <w:t>https://www.mckinsey.com/capabilities/quantumblack/our-insights/the-state-of-ai</w:t>
        </w:r>
      </w:hyperlink>
    </w:p>
    <w:p w:rsidR="00431B1F" w:rsidRDefault="00000000">
      <w:pPr>
        <w:pStyle w:val="ds-markdown-paragraph"/>
        <w:spacing w:line="480" w:lineRule="auto"/>
        <w:ind w:left="360"/>
      </w:pPr>
      <w:r>
        <w:t>Microsoft (2023). </w:t>
      </w:r>
      <w:r>
        <w:rPr>
          <w:rFonts w:eastAsiaTheme="majorEastAsia"/>
          <w:i/>
          <w:iCs/>
        </w:rPr>
        <w:t>Work Trend Index: Annual Report</w:t>
      </w:r>
      <w:r>
        <w:t>. [Accessed 3 November 2025]. Available at: </w:t>
      </w:r>
      <w:hyperlink r:id="rId14" w:tgtFrame="_blank" w:history="1">
        <w:r w:rsidR="00431B1F">
          <w:rPr>
            <w:rStyle w:val="Hyperlink"/>
            <w:rFonts w:eastAsiaTheme="majorEastAsia"/>
          </w:rPr>
          <w:t>https://www.microsoft.com/en-us/worklab/work-trend-index</w:t>
        </w:r>
      </w:hyperlink>
    </w:p>
    <w:p w:rsidR="00431B1F" w:rsidRDefault="00000000">
      <w:pPr>
        <w:pStyle w:val="ds-markdown-paragraph"/>
        <w:spacing w:line="480" w:lineRule="auto"/>
        <w:ind w:left="360"/>
      </w:pPr>
      <w:r>
        <w:t>OECD (2023). </w:t>
      </w:r>
      <w:r>
        <w:rPr>
          <w:rFonts w:eastAsiaTheme="majorEastAsia"/>
          <w:i/>
          <w:iCs/>
        </w:rPr>
        <w:t>Pensions at a Glance 2023: OECD and G20 Indicators</w:t>
      </w:r>
      <w:r>
        <w:t>. OECD Publishing. [Accessed 3 November 2025]. Available at: </w:t>
      </w:r>
      <w:hyperlink r:id="rId15" w:tgtFrame="_blank" w:history="1">
        <w:r w:rsidR="00431B1F">
          <w:rPr>
            <w:rStyle w:val="Hyperlink"/>
            <w:rFonts w:eastAsiaTheme="majorEastAsia"/>
          </w:rPr>
          <w:t>https://www.oecd.org/pensions/pensions-at-a-glance.htm</w:t>
        </w:r>
      </w:hyperlink>
    </w:p>
    <w:p w:rsidR="00431B1F" w:rsidRDefault="00000000">
      <w:pPr>
        <w:pStyle w:val="ds-markdown-paragraph"/>
        <w:spacing w:line="480" w:lineRule="auto"/>
        <w:ind w:left="360"/>
      </w:pPr>
      <w:r>
        <w:t>Pilbeam, S. &amp; Corbridge, M. (2019). </w:t>
      </w:r>
      <w:r>
        <w:rPr>
          <w:rFonts w:eastAsiaTheme="majorEastAsia"/>
          <w:i/>
          <w:iCs/>
        </w:rPr>
        <w:t>People Resourcing and Talent Planning</w:t>
      </w:r>
      <w:r>
        <w:t> (6th ed.). Pearson.</w:t>
      </w:r>
    </w:p>
    <w:p w:rsidR="00431B1F" w:rsidRDefault="00000000">
      <w:pPr>
        <w:pStyle w:val="ds-markdown-paragraph"/>
        <w:spacing w:line="480" w:lineRule="auto"/>
        <w:ind w:left="360"/>
      </w:pPr>
      <w:r>
        <w:t>Stewart, G.L. &amp; Brown, K.G. (2019). </w:t>
      </w:r>
      <w:r>
        <w:rPr>
          <w:rFonts w:eastAsiaTheme="majorEastAsia"/>
          <w:i/>
          <w:iCs/>
        </w:rPr>
        <w:t>Human Resource Management</w:t>
      </w:r>
      <w:r>
        <w:t>. John Wiley &amp; Sons.</w:t>
      </w:r>
    </w:p>
    <w:p w:rsidR="00431B1F" w:rsidRDefault="00000000">
      <w:pPr>
        <w:pStyle w:val="ds-markdown-paragraph"/>
        <w:spacing w:line="480" w:lineRule="auto"/>
        <w:ind w:left="360"/>
      </w:pPr>
      <w:r>
        <w:lastRenderedPageBreak/>
        <w:t>Stone, R.J., Cox, A., &amp; Gavin, M. (2020). </w:t>
      </w:r>
      <w:r>
        <w:rPr>
          <w:rFonts w:eastAsiaTheme="majorEastAsia"/>
          <w:i/>
          <w:iCs/>
        </w:rPr>
        <w:t>Human Resource Management</w:t>
      </w:r>
      <w:r>
        <w:t>. John Wiley &amp; Sons.</w:t>
      </w:r>
    </w:p>
    <w:p w:rsidR="00431B1F" w:rsidRDefault="00000000">
      <w:pPr>
        <w:pStyle w:val="ds-markdown-paragraph"/>
        <w:spacing w:line="480" w:lineRule="auto"/>
        <w:ind w:left="360"/>
      </w:pPr>
      <w:r>
        <w:t>Ulrich, D. (2017). </w:t>
      </w:r>
      <w:r>
        <w:rPr>
          <w:rFonts w:eastAsiaTheme="majorEastAsia"/>
          <w:i/>
          <w:iCs/>
        </w:rPr>
        <w:t>Victory Through Organization: Why the War for Talent is Failing Your Company and What You Can Do About It</w:t>
      </w:r>
      <w:r>
        <w:t>. McGraw-Hill Education.</w:t>
      </w:r>
    </w:p>
    <w:p w:rsidR="00431B1F" w:rsidRDefault="00000000">
      <w:pPr>
        <w:pStyle w:val="ds-markdown-paragraph"/>
        <w:spacing w:line="480" w:lineRule="auto"/>
        <w:ind w:left="360"/>
      </w:pPr>
      <w:r>
        <w:t xml:space="preserve">Ulrich, D., </w:t>
      </w:r>
      <w:proofErr w:type="spellStart"/>
      <w:r>
        <w:t>Kryscynski</w:t>
      </w:r>
      <w:proofErr w:type="spellEnd"/>
      <w:r>
        <w:t>, D., Ulrich, M., &amp; Brockbank, W. (2017). </w:t>
      </w:r>
      <w:r>
        <w:rPr>
          <w:rFonts w:eastAsiaTheme="majorEastAsia"/>
          <w:i/>
          <w:iCs/>
        </w:rPr>
        <w:t>HR from the Outside In: Six Competencies for the Future of Human Resources</w:t>
      </w:r>
      <w:r>
        <w:t>. McGraw-Hill.</w:t>
      </w:r>
    </w:p>
    <w:p w:rsidR="00431B1F" w:rsidRDefault="00000000">
      <w:pPr>
        <w:pStyle w:val="ds-markdown-paragraph"/>
        <w:spacing w:line="480" w:lineRule="auto"/>
        <w:ind w:left="360"/>
      </w:pPr>
      <w:r>
        <w:t>World Economic Forum (2024). </w:t>
      </w:r>
      <w:r>
        <w:rPr>
          <w:rFonts w:eastAsiaTheme="majorEastAsia"/>
          <w:i/>
          <w:iCs/>
        </w:rPr>
        <w:t>Future of Jobs Report 2024</w:t>
      </w:r>
      <w:r>
        <w:t>. [Accessed 3 November 2025]. Available at: </w:t>
      </w:r>
      <w:hyperlink r:id="rId16" w:history="1">
        <w:r w:rsidR="00431B1F">
          <w:rPr>
            <w:rStyle w:val="Hyperlink"/>
          </w:rPr>
          <w:t>https://medium.com/@knocksfuture/world-economic-forum-future-of-jobs-report-2024-2d9be79281b3</w:t>
        </w:r>
      </w:hyperlink>
      <w:r>
        <w:t xml:space="preserve"> </w:t>
      </w:r>
    </w:p>
    <w:p w:rsidR="00431B1F" w:rsidRDefault="00431B1F">
      <w:pPr>
        <w:spacing w:line="360" w:lineRule="auto"/>
        <w:ind w:left="360"/>
        <w:rPr>
          <w:rFonts w:ascii="Times New Roman" w:hAnsi="Times New Roman" w:cs="Times New Roman"/>
          <w:sz w:val="24"/>
          <w:szCs w:val="24"/>
        </w:rPr>
      </w:pPr>
    </w:p>
    <w:p w:rsidR="00431B1F" w:rsidRDefault="00431B1F">
      <w:pPr>
        <w:spacing w:line="360" w:lineRule="auto"/>
        <w:ind w:left="360"/>
        <w:rPr>
          <w:rFonts w:ascii="Times New Roman" w:hAnsi="Times New Roman" w:cs="Times New Roman"/>
          <w:sz w:val="24"/>
          <w:szCs w:val="24"/>
        </w:rPr>
      </w:pPr>
    </w:p>
    <w:p w:rsidR="00431B1F" w:rsidRDefault="00431B1F">
      <w:pPr>
        <w:spacing w:line="360" w:lineRule="auto"/>
        <w:ind w:left="360"/>
        <w:rPr>
          <w:rFonts w:ascii="Times New Roman" w:hAnsi="Times New Roman" w:cs="Times New Roman"/>
          <w:sz w:val="24"/>
          <w:szCs w:val="24"/>
        </w:rPr>
      </w:pPr>
    </w:p>
    <w:p w:rsidR="00431B1F" w:rsidRDefault="00431B1F">
      <w:pPr>
        <w:spacing w:line="360" w:lineRule="auto"/>
        <w:ind w:left="360"/>
        <w:rPr>
          <w:rFonts w:ascii="Times New Roman" w:hAnsi="Times New Roman" w:cs="Times New Roman"/>
          <w:sz w:val="24"/>
          <w:szCs w:val="24"/>
        </w:rPr>
      </w:pPr>
    </w:p>
    <w:p w:rsidR="00431B1F" w:rsidRDefault="00431B1F">
      <w:pPr>
        <w:spacing w:line="360" w:lineRule="auto"/>
        <w:ind w:left="360"/>
        <w:rPr>
          <w:rFonts w:ascii="Times New Roman" w:hAnsi="Times New Roman" w:cs="Times New Roman"/>
          <w:sz w:val="24"/>
          <w:szCs w:val="24"/>
        </w:rPr>
      </w:pPr>
    </w:p>
    <w:p w:rsidR="00431B1F" w:rsidRDefault="00431B1F">
      <w:pPr>
        <w:spacing w:line="360" w:lineRule="auto"/>
        <w:ind w:left="360"/>
        <w:rPr>
          <w:rFonts w:ascii="Times New Roman" w:hAnsi="Times New Roman" w:cs="Times New Roman"/>
          <w:sz w:val="24"/>
          <w:szCs w:val="24"/>
        </w:rPr>
      </w:pPr>
    </w:p>
    <w:p w:rsidR="00431B1F" w:rsidRDefault="00431B1F">
      <w:pPr>
        <w:spacing w:line="360" w:lineRule="auto"/>
        <w:ind w:left="360"/>
        <w:rPr>
          <w:rFonts w:ascii="Times New Roman" w:hAnsi="Times New Roman" w:cs="Times New Roman"/>
          <w:sz w:val="24"/>
          <w:szCs w:val="24"/>
        </w:rPr>
      </w:pPr>
    </w:p>
    <w:p w:rsidR="00431B1F" w:rsidRDefault="00431B1F">
      <w:pPr>
        <w:spacing w:line="360" w:lineRule="auto"/>
        <w:ind w:left="360"/>
        <w:rPr>
          <w:rFonts w:ascii="Times New Roman" w:hAnsi="Times New Roman" w:cs="Times New Roman"/>
          <w:sz w:val="24"/>
          <w:szCs w:val="24"/>
        </w:rPr>
      </w:pPr>
    </w:p>
    <w:p w:rsidR="00431B1F" w:rsidRDefault="00431B1F">
      <w:pPr>
        <w:spacing w:line="360" w:lineRule="auto"/>
        <w:ind w:left="360"/>
        <w:rPr>
          <w:rFonts w:ascii="Times New Roman" w:hAnsi="Times New Roman" w:cs="Times New Roman"/>
          <w:sz w:val="24"/>
          <w:szCs w:val="24"/>
        </w:rPr>
      </w:pPr>
    </w:p>
    <w:p w:rsidR="00431B1F" w:rsidRDefault="00431B1F">
      <w:pPr>
        <w:spacing w:line="360" w:lineRule="auto"/>
        <w:ind w:left="360"/>
        <w:rPr>
          <w:rFonts w:ascii="Times New Roman" w:hAnsi="Times New Roman" w:cs="Times New Roman"/>
          <w:sz w:val="24"/>
          <w:szCs w:val="24"/>
        </w:rPr>
      </w:pPr>
    </w:p>
    <w:p w:rsidR="00431B1F" w:rsidRDefault="00000000">
      <w:pPr>
        <w:pStyle w:val="Heading1"/>
      </w:pPr>
      <w:bookmarkStart w:id="35" w:name="_Toc213026673"/>
      <w:r>
        <w:lastRenderedPageBreak/>
        <w:t>Appendices</w:t>
      </w:r>
      <w:bookmarkEnd w:id="35"/>
    </w:p>
    <w:p w:rsidR="00A50F76" w:rsidRDefault="00000000">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Appendix A: </w:t>
      </w:r>
    </w:p>
    <w:p w:rsidR="00431B1F" w:rsidRPr="00A50F76" w:rsidRDefault="00A50F76" w:rsidP="00A50F76">
      <w:pPr>
        <w:pStyle w:val="Caption"/>
        <w:rPr>
          <w:rFonts w:ascii="Times New Roman" w:hAnsi="Times New Roman" w:cs="Times New Roman"/>
          <w:b/>
          <w:bCs/>
          <w:sz w:val="22"/>
          <w:szCs w:val="22"/>
        </w:rPr>
      </w:pPr>
      <w:bookmarkStart w:id="36" w:name="_Toc213044044"/>
      <w:r w:rsidRPr="00A50F76">
        <w:rPr>
          <w:rFonts w:ascii="Times New Roman" w:hAnsi="Times New Roman" w:cs="Times New Roman"/>
          <w:b/>
          <w:bCs/>
          <w:sz w:val="22"/>
          <w:szCs w:val="22"/>
        </w:rPr>
        <w:t xml:space="preserve">Table </w:t>
      </w:r>
      <w:r w:rsidRPr="00A50F76">
        <w:rPr>
          <w:rFonts w:ascii="Times New Roman" w:hAnsi="Times New Roman" w:cs="Times New Roman"/>
          <w:b/>
          <w:bCs/>
          <w:sz w:val="22"/>
          <w:szCs w:val="22"/>
        </w:rPr>
        <w:fldChar w:fldCharType="begin"/>
      </w:r>
      <w:r w:rsidRPr="00A50F76">
        <w:rPr>
          <w:rFonts w:ascii="Times New Roman" w:hAnsi="Times New Roman" w:cs="Times New Roman"/>
          <w:b/>
          <w:bCs/>
          <w:sz w:val="22"/>
          <w:szCs w:val="22"/>
        </w:rPr>
        <w:instrText xml:space="preserve"> SEQ Table \* ARABIC </w:instrText>
      </w:r>
      <w:r w:rsidRPr="00A50F76">
        <w:rPr>
          <w:rFonts w:ascii="Times New Roman" w:hAnsi="Times New Roman" w:cs="Times New Roman"/>
          <w:b/>
          <w:bCs/>
          <w:sz w:val="22"/>
          <w:szCs w:val="22"/>
        </w:rPr>
        <w:fldChar w:fldCharType="separate"/>
      </w:r>
      <w:r w:rsidRPr="00A50F76">
        <w:rPr>
          <w:rFonts w:ascii="Times New Roman" w:hAnsi="Times New Roman" w:cs="Times New Roman"/>
          <w:b/>
          <w:bCs/>
          <w:noProof/>
          <w:sz w:val="22"/>
          <w:szCs w:val="22"/>
        </w:rPr>
        <w:t>5</w:t>
      </w:r>
      <w:r w:rsidRPr="00A50F76">
        <w:rPr>
          <w:rFonts w:ascii="Times New Roman" w:hAnsi="Times New Roman" w:cs="Times New Roman"/>
          <w:b/>
          <w:bCs/>
          <w:sz w:val="22"/>
          <w:szCs w:val="22"/>
        </w:rPr>
        <w:fldChar w:fldCharType="end"/>
      </w:r>
      <w:r>
        <w:rPr>
          <w:rFonts w:ascii="Times New Roman" w:hAnsi="Times New Roman" w:cs="Times New Roman"/>
          <w:b/>
          <w:bCs/>
          <w:sz w:val="22"/>
          <w:szCs w:val="22"/>
        </w:rPr>
        <w:t xml:space="preserve">: </w:t>
      </w:r>
      <w:r w:rsidRPr="00A50F76">
        <w:rPr>
          <w:rFonts w:ascii="Times New Roman" w:hAnsi="Times New Roman" w:cs="Times New Roman"/>
          <w:b/>
          <w:bCs/>
          <w:sz w:val="22"/>
          <w:szCs w:val="22"/>
        </w:rPr>
        <w:t xml:space="preserve">PESTLE Analysis of </w:t>
      </w:r>
      <w:proofErr w:type="spellStart"/>
      <w:r w:rsidRPr="00A50F76">
        <w:rPr>
          <w:rFonts w:ascii="Times New Roman" w:hAnsi="Times New Roman" w:cs="Times New Roman"/>
          <w:b/>
          <w:bCs/>
          <w:sz w:val="22"/>
          <w:szCs w:val="22"/>
        </w:rPr>
        <w:t>Labour</w:t>
      </w:r>
      <w:proofErr w:type="spellEnd"/>
      <w:r w:rsidRPr="00A50F76">
        <w:rPr>
          <w:rFonts w:ascii="Times New Roman" w:hAnsi="Times New Roman" w:cs="Times New Roman"/>
          <w:b/>
          <w:bCs/>
          <w:sz w:val="22"/>
          <w:szCs w:val="22"/>
        </w:rPr>
        <w:t xml:space="preserve"> Market Pressures</w:t>
      </w:r>
      <w:bookmarkEnd w:id="36"/>
    </w:p>
    <w:tbl>
      <w:tblPr>
        <w:tblStyle w:val="GridTable5Dark-Accent11"/>
        <w:tblW w:w="0" w:type="auto"/>
        <w:tblLook w:val="04A0" w:firstRow="1" w:lastRow="0" w:firstColumn="1" w:lastColumn="0" w:noHBand="0" w:noVBand="1"/>
      </w:tblPr>
      <w:tblGrid>
        <w:gridCol w:w="1759"/>
        <w:gridCol w:w="3341"/>
        <w:gridCol w:w="4250"/>
      </w:tblGrid>
      <w:tr w:rsidR="00431B1F" w:rsidTr="00431B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431B1F" w:rsidRDefault="00000000">
            <w:pPr>
              <w:spacing w:after="0" w:line="360" w:lineRule="auto"/>
              <w:rPr>
                <w:rFonts w:ascii="Times New Roman" w:hAnsi="Times New Roman" w:cs="Times New Roman"/>
                <w:b w:val="0"/>
                <w:bCs w:val="0"/>
                <w:sz w:val="28"/>
                <w:szCs w:val="28"/>
              </w:rPr>
            </w:pPr>
            <w:r>
              <w:rPr>
                <w:rFonts w:ascii="Times New Roman" w:hAnsi="Times New Roman" w:cs="Times New Roman"/>
                <w:sz w:val="28"/>
                <w:szCs w:val="28"/>
              </w:rPr>
              <w:t>Factor</w:t>
            </w:r>
          </w:p>
        </w:tc>
        <w:tc>
          <w:tcPr>
            <w:tcW w:w="0" w:type="auto"/>
          </w:tcPr>
          <w:p w:rsidR="00431B1F" w:rsidRDefault="00000000">
            <w:pPr>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8"/>
                <w:szCs w:val="28"/>
              </w:rPr>
            </w:pPr>
            <w:r>
              <w:rPr>
                <w:rFonts w:ascii="Times New Roman" w:hAnsi="Times New Roman" w:cs="Times New Roman"/>
                <w:sz w:val="28"/>
                <w:szCs w:val="28"/>
              </w:rPr>
              <w:t>Key Pressures</w:t>
            </w:r>
          </w:p>
        </w:tc>
        <w:tc>
          <w:tcPr>
            <w:tcW w:w="0" w:type="auto"/>
          </w:tcPr>
          <w:p w:rsidR="00431B1F" w:rsidRDefault="00000000">
            <w:pPr>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8"/>
                <w:szCs w:val="28"/>
              </w:rPr>
            </w:pPr>
            <w:r>
              <w:rPr>
                <w:rFonts w:ascii="Times New Roman" w:hAnsi="Times New Roman" w:cs="Times New Roman"/>
                <w:sz w:val="28"/>
                <w:szCs w:val="28"/>
              </w:rPr>
              <w:t>HRM/IHRM Implications</w:t>
            </w:r>
          </w:p>
        </w:tc>
      </w:tr>
      <w:tr w:rsidR="00431B1F" w:rsidTr="00431B1F">
        <w:tc>
          <w:tcPr>
            <w:cnfStyle w:val="001000000000" w:firstRow="0" w:lastRow="0" w:firstColumn="1" w:lastColumn="0" w:oddVBand="0" w:evenVBand="0" w:oddHBand="0" w:evenHBand="0" w:firstRowFirstColumn="0" w:firstRowLastColumn="0" w:lastRowFirstColumn="0" w:lastRowLastColumn="0"/>
            <w:tcW w:w="0" w:type="auto"/>
          </w:tcPr>
          <w:p w:rsidR="00431B1F" w:rsidRDefault="00000000">
            <w:pPr>
              <w:spacing w:after="0" w:line="360" w:lineRule="auto"/>
              <w:rPr>
                <w:rFonts w:ascii="Times New Roman" w:hAnsi="Times New Roman" w:cs="Times New Roman"/>
                <w:b w:val="0"/>
                <w:bCs w:val="0"/>
                <w:sz w:val="24"/>
                <w:szCs w:val="24"/>
              </w:rPr>
            </w:pPr>
            <w:r>
              <w:rPr>
                <w:rFonts w:ascii="Times New Roman" w:hAnsi="Times New Roman" w:cs="Times New Roman"/>
                <w:sz w:val="24"/>
                <w:szCs w:val="24"/>
              </w:rPr>
              <w:t>Political</w:t>
            </w:r>
          </w:p>
        </w:tc>
        <w:tc>
          <w:tcPr>
            <w:tcW w:w="0" w:type="auto"/>
            <w:shd w:val="clear" w:color="auto" w:fill="B4C6E7" w:themeFill="accent1" w:themeFillTint="66"/>
          </w:tcPr>
          <w:p w:rsidR="00431B1F" w:rsidRDefault="00000000">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Immigration restrictions, trade protectionism, political instability</w:t>
            </w:r>
          </w:p>
        </w:tc>
        <w:tc>
          <w:tcPr>
            <w:tcW w:w="0" w:type="auto"/>
            <w:shd w:val="clear" w:color="auto" w:fill="B4C6E7" w:themeFill="accent1" w:themeFillTint="66"/>
          </w:tcPr>
          <w:p w:rsidR="00431B1F" w:rsidRDefault="00000000">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Complex global compliance, visa management, duty-of-care in volatile regions, supply chain workforce redeployment</w:t>
            </w:r>
          </w:p>
        </w:tc>
      </w:tr>
      <w:tr w:rsidR="00431B1F" w:rsidTr="00431B1F">
        <w:tc>
          <w:tcPr>
            <w:cnfStyle w:val="001000000000" w:firstRow="0" w:lastRow="0" w:firstColumn="1" w:lastColumn="0" w:oddVBand="0" w:evenVBand="0" w:oddHBand="0" w:evenHBand="0" w:firstRowFirstColumn="0" w:firstRowLastColumn="0" w:lastRowFirstColumn="0" w:lastRowLastColumn="0"/>
            <w:tcW w:w="0" w:type="auto"/>
          </w:tcPr>
          <w:p w:rsidR="00431B1F" w:rsidRDefault="00000000">
            <w:pPr>
              <w:spacing w:after="0" w:line="360" w:lineRule="auto"/>
              <w:rPr>
                <w:rFonts w:ascii="Times New Roman" w:hAnsi="Times New Roman" w:cs="Times New Roman"/>
                <w:b w:val="0"/>
                <w:bCs w:val="0"/>
                <w:sz w:val="24"/>
                <w:szCs w:val="24"/>
              </w:rPr>
            </w:pPr>
            <w:r>
              <w:rPr>
                <w:rFonts w:ascii="Times New Roman" w:hAnsi="Times New Roman" w:cs="Times New Roman"/>
                <w:sz w:val="24"/>
                <w:szCs w:val="24"/>
              </w:rPr>
              <w:t>Economic</w:t>
            </w:r>
          </w:p>
        </w:tc>
        <w:tc>
          <w:tcPr>
            <w:tcW w:w="0" w:type="auto"/>
          </w:tcPr>
          <w:p w:rsidR="00431B1F" w:rsidRDefault="00000000">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Wage inflation in high-demand sectors, currency fluctuations, economic nationalism</w:t>
            </w:r>
          </w:p>
        </w:tc>
        <w:tc>
          <w:tcPr>
            <w:tcW w:w="0" w:type="auto"/>
          </w:tcPr>
          <w:p w:rsidR="00431B1F" w:rsidRDefault="00000000">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Competitive compensation strategies, global pay equity, cost management for international assignments</w:t>
            </w:r>
          </w:p>
        </w:tc>
      </w:tr>
      <w:tr w:rsidR="00431B1F" w:rsidTr="00431B1F">
        <w:tc>
          <w:tcPr>
            <w:cnfStyle w:val="001000000000" w:firstRow="0" w:lastRow="0" w:firstColumn="1" w:lastColumn="0" w:oddVBand="0" w:evenVBand="0" w:oddHBand="0" w:evenHBand="0" w:firstRowFirstColumn="0" w:firstRowLastColumn="0" w:lastRowFirstColumn="0" w:lastRowLastColumn="0"/>
            <w:tcW w:w="0" w:type="auto"/>
          </w:tcPr>
          <w:p w:rsidR="00431B1F" w:rsidRDefault="00000000">
            <w:pPr>
              <w:spacing w:after="0" w:line="360" w:lineRule="auto"/>
              <w:rPr>
                <w:rFonts w:ascii="Times New Roman" w:hAnsi="Times New Roman" w:cs="Times New Roman"/>
                <w:b w:val="0"/>
                <w:bCs w:val="0"/>
                <w:sz w:val="24"/>
                <w:szCs w:val="24"/>
              </w:rPr>
            </w:pPr>
            <w:r>
              <w:rPr>
                <w:rFonts w:ascii="Times New Roman" w:hAnsi="Times New Roman" w:cs="Times New Roman"/>
                <w:sz w:val="24"/>
                <w:szCs w:val="24"/>
              </w:rPr>
              <w:t>Social</w:t>
            </w:r>
          </w:p>
        </w:tc>
        <w:tc>
          <w:tcPr>
            <w:tcW w:w="0" w:type="auto"/>
            <w:shd w:val="clear" w:color="auto" w:fill="B4C6E7" w:themeFill="accent1" w:themeFillTint="66"/>
          </w:tcPr>
          <w:p w:rsidR="00431B1F" w:rsidRDefault="00000000">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Ageing populations, multi-generational workforce expectations, DEI demands</w:t>
            </w:r>
          </w:p>
        </w:tc>
        <w:tc>
          <w:tcPr>
            <w:tcW w:w="0" w:type="auto"/>
            <w:shd w:val="clear" w:color="auto" w:fill="B4C6E7" w:themeFill="accent1" w:themeFillTint="66"/>
          </w:tcPr>
          <w:p w:rsidR="00431B1F" w:rsidRDefault="00000000">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Tailored engagement strategies, flexible benefits, inclusive culture building, mental health support</w:t>
            </w:r>
          </w:p>
        </w:tc>
      </w:tr>
      <w:tr w:rsidR="00431B1F" w:rsidTr="00431B1F">
        <w:tc>
          <w:tcPr>
            <w:cnfStyle w:val="001000000000" w:firstRow="0" w:lastRow="0" w:firstColumn="1" w:lastColumn="0" w:oddVBand="0" w:evenVBand="0" w:oddHBand="0" w:evenHBand="0" w:firstRowFirstColumn="0" w:firstRowLastColumn="0" w:lastRowFirstColumn="0" w:lastRowLastColumn="0"/>
            <w:tcW w:w="0" w:type="auto"/>
          </w:tcPr>
          <w:p w:rsidR="00431B1F" w:rsidRDefault="00000000">
            <w:pPr>
              <w:spacing w:after="0" w:line="360" w:lineRule="auto"/>
              <w:rPr>
                <w:rFonts w:ascii="Times New Roman" w:hAnsi="Times New Roman" w:cs="Times New Roman"/>
                <w:b w:val="0"/>
                <w:bCs w:val="0"/>
                <w:sz w:val="24"/>
                <w:szCs w:val="24"/>
              </w:rPr>
            </w:pPr>
            <w:r>
              <w:rPr>
                <w:rFonts w:ascii="Times New Roman" w:hAnsi="Times New Roman" w:cs="Times New Roman"/>
                <w:sz w:val="24"/>
                <w:szCs w:val="24"/>
              </w:rPr>
              <w:t>Technological</w:t>
            </w:r>
          </w:p>
        </w:tc>
        <w:tc>
          <w:tcPr>
            <w:tcW w:w="0" w:type="auto"/>
          </w:tcPr>
          <w:p w:rsidR="00431B1F" w:rsidRDefault="00000000">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AI/automation adoption, digital platform growth, remote work infrastructure</w:t>
            </w:r>
          </w:p>
        </w:tc>
        <w:tc>
          <w:tcPr>
            <w:tcW w:w="0" w:type="auto"/>
          </w:tcPr>
          <w:p w:rsidR="00431B1F" w:rsidRDefault="00000000">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Job redesign, reskilling initiatives, ethical AI governance, virtual team management</w:t>
            </w:r>
          </w:p>
        </w:tc>
      </w:tr>
      <w:tr w:rsidR="00431B1F" w:rsidTr="00431B1F">
        <w:tc>
          <w:tcPr>
            <w:cnfStyle w:val="001000000000" w:firstRow="0" w:lastRow="0" w:firstColumn="1" w:lastColumn="0" w:oddVBand="0" w:evenVBand="0" w:oddHBand="0" w:evenHBand="0" w:firstRowFirstColumn="0" w:firstRowLastColumn="0" w:lastRowFirstColumn="0" w:lastRowLastColumn="0"/>
            <w:tcW w:w="0" w:type="auto"/>
          </w:tcPr>
          <w:p w:rsidR="00431B1F" w:rsidRDefault="00000000">
            <w:pPr>
              <w:spacing w:after="0" w:line="360" w:lineRule="auto"/>
              <w:rPr>
                <w:rFonts w:ascii="Times New Roman" w:hAnsi="Times New Roman" w:cs="Times New Roman"/>
                <w:b w:val="0"/>
                <w:bCs w:val="0"/>
                <w:sz w:val="24"/>
                <w:szCs w:val="24"/>
              </w:rPr>
            </w:pPr>
            <w:r>
              <w:rPr>
                <w:rFonts w:ascii="Times New Roman" w:hAnsi="Times New Roman" w:cs="Times New Roman"/>
                <w:sz w:val="24"/>
                <w:szCs w:val="24"/>
              </w:rPr>
              <w:t>Legal</w:t>
            </w:r>
          </w:p>
        </w:tc>
        <w:tc>
          <w:tcPr>
            <w:tcW w:w="0" w:type="auto"/>
            <w:shd w:val="clear" w:color="auto" w:fill="B4C6E7" w:themeFill="accent1" w:themeFillTint="66"/>
          </w:tcPr>
          <w:p w:rsidR="00431B1F" w:rsidRDefault="00000000">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GDPR/data privacy, evolving employment laws, algorithmic transparency regulations</w:t>
            </w:r>
          </w:p>
        </w:tc>
        <w:tc>
          <w:tcPr>
            <w:tcW w:w="0" w:type="auto"/>
            <w:shd w:val="clear" w:color="auto" w:fill="B4C6E7" w:themeFill="accent1" w:themeFillTint="66"/>
          </w:tcPr>
          <w:p w:rsidR="00431B1F" w:rsidRDefault="00000000">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Compliance frameworks, policy adaptation, ethical technology use, cross-border legal alignment</w:t>
            </w:r>
          </w:p>
        </w:tc>
      </w:tr>
      <w:tr w:rsidR="00431B1F" w:rsidTr="00431B1F">
        <w:tc>
          <w:tcPr>
            <w:cnfStyle w:val="001000000000" w:firstRow="0" w:lastRow="0" w:firstColumn="1" w:lastColumn="0" w:oddVBand="0" w:evenVBand="0" w:oddHBand="0" w:evenHBand="0" w:firstRowFirstColumn="0" w:firstRowLastColumn="0" w:lastRowFirstColumn="0" w:lastRowLastColumn="0"/>
            <w:tcW w:w="0" w:type="auto"/>
          </w:tcPr>
          <w:p w:rsidR="00431B1F" w:rsidRDefault="00000000">
            <w:pPr>
              <w:spacing w:after="0" w:line="360" w:lineRule="auto"/>
              <w:rPr>
                <w:rFonts w:ascii="Times New Roman" w:hAnsi="Times New Roman" w:cs="Times New Roman"/>
                <w:b w:val="0"/>
                <w:bCs w:val="0"/>
                <w:sz w:val="24"/>
                <w:szCs w:val="24"/>
              </w:rPr>
            </w:pPr>
            <w:r>
              <w:rPr>
                <w:rFonts w:ascii="Times New Roman" w:hAnsi="Times New Roman" w:cs="Times New Roman"/>
                <w:sz w:val="24"/>
                <w:szCs w:val="24"/>
              </w:rPr>
              <w:t>Environmental</w:t>
            </w:r>
          </w:p>
        </w:tc>
        <w:tc>
          <w:tcPr>
            <w:tcW w:w="0" w:type="auto"/>
          </w:tcPr>
          <w:p w:rsidR="00431B1F" w:rsidRDefault="00000000">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ESG expectations, climate-related disruptions, green transition</w:t>
            </w:r>
          </w:p>
        </w:tc>
        <w:tc>
          <w:tcPr>
            <w:tcW w:w="0" w:type="auto"/>
          </w:tcPr>
          <w:p w:rsidR="00431B1F" w:rsidRDefault="00000000">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Sustainability competencies, "green" talent development, remote work carbon reduction strategies</w:t>
            </w:r>
          </w:p>
        </w:tc>
      </w:tr>
    </w:tbl>
    <w:p w:rsidR="001E3232" w:rsidRDefault="00A50F76">
      <w:pPr>
        <w:spacing w:line="360" w:lineRule="auto"/>
        <w:rPr>
          <w:rFonts w:ascii="Times New Roman" w:hAnsi="Times New Roman" w:cs="Times New Roman"/>
          <w:sz w:val="24"/>
          <w:szCs w:val="24"/>
        </w:rPr>
      </w:pPr>
      <w:r>
        <w:rPr>
          <w:rFonts w:ascii="Times New Roman" w:hAnsi="Times New Roman" w:cs="Times New Roman"/>
          <w:sz w:val="24"/>
          <w:szCs w:val="24"/>
        </w:rPr>
        <w:t xml:space="preserve">Source: </w:t>
      </w:r>
      <w:r w:rsidRPr="00A50F76">
        <w:rPr>
          <w:rFonts w:ascii="Times New Roman" w:hAnsi="Times New Roman" w:cs="Times New Roman"/>
          <w:sz w:val="24"/>
          <w:szCs w:val="24"/>
        </w:rPr>
        <w:t>Compiled by the author from Deloitte (2023), OECD (2023), and McKinsey &amp; Company (2024).</w:t>
      </w:r>
    </w:p>
    <w:sectPr w:rsidR="001E3232">
      <w:headerReference w:type="default" r:id="rId17"/>
      <w:footerReference w:type="default" r:id="rId18"/>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3390F" w:rsidRDefault="0093390F">
      <w:pPr>
        <w:spacing w:line="240" w:lineRule="auto"/>
      </w:pPr>
      <w:r>
        <w:separator/>
      </w:r>
    </w:p>
  </w:endnote>
  <w:endnote w:type="continuationSeparator" w:id="0">
    <w:p w:rsidR="0093390F" w:rsidRDefault="009339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0475010"/>
      <w:docPartObj>
        <w:docPartGallery w:val="AutoText"/>
      </w:docPartObj>
    </w:sdtPr>
    <w:sdtContent>
      <w:sdt>
        <w:sdtPr>
          <w:id w:val="-1769616900"/>
          <w:docPartObj>
            <w:docPartGallery w:val="AutoText"/>
          </w:docPartObj>
        </w:sdtPr>
        <w:sdtContent>
          <w:p w:rsidR="00431B1F" w:rsidRDefault="00000000">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rPr>
              <w:t>2</w:t>
            </w:r>
            <w:r>
              <w:rPr>
                <w:b/>
                <w:bCs/>
                <w:sz w:val="24"/>
                <w:szCs w:val="24"/>
              </w:rPr>
              <w:fldChar w:fldCharType="end"/>
            </w:r>
          </w:p>
        </w:sdtContent>
      </w:sdt>
    </w:sdtContent>
  </w:sdt>
  <w:p w:rsidR="00431B1F" w:rsidRDefault="00431B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3390F" w:rsidRDefault="0093390F">
      <w:pPr>
        <w:spacing w:after="0"/>
      </w:pPr>
      <w:r>
        <w:separator/>
      </w:r>
    </w:p>
  </w:footnote>
  <w:footnote w:type="continuationSeparator" w:id="0">
    <w:p w:rsidR="0093390F" w:rsidRDefault="0093390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31B1F" w:rsidRDefault="00000000">
    <w:pPr>
      <w:pStyle w:val="Header"/>
      <w:jc w:val="right"/>
    </w:pPr>
    <w:r>
      <w:rPr>
        <w:rFonts w:ascii="Times New Roman" w:hAnsi="Times New Roman" w:cs="Times New Roman"/>
        <w:noProof/>
        <w:sz w:val="24"/>
        <w:szCs w:val="24"/>
      </w:rPr>
      <w:drawing>
        <wp:inline distT="0" distB="0" distL="0" distR="0">
          <wp:extent cx="1097280" cy="438785"/>
          <wp:effectExtent l="0" t="0" r="7620" b="0"/>
          <wp:docPr id="2125699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699630" name="Picture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122505" cy="449002"/>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461"/>
    <w:rsid w:val="00000FBB"/>
    <w:rsid w:val="0003159F"/>
    <w:rsid w:val="00033DB6"/>
    <w:rsid w:val="00047941"/>
    <w:rsid w:val="000946D1"/>
    <w:rsid w:val="00127343"/>
    <w:rsid w:val="00173FEC"/>
    <w:rsid w:val="0019020E"/>
    <w:rsid w:val="001D4009"/>
    <w:rsid w:val="001E3232"/>
    <w:rsid w:val="00241926"/>
    <w:rsid w:val="002D4064"/>
    <w:rsid w:val="00302EBC"/>
    <w:rsid w:val="00332980"/>
    <w:rsid w:val="00351E5F"/>
    <w:rsid w:val="00383564"/>
    <w:rsid w:val="003B2B82"/>
    <w:rsid w:val="003B471F"/>
    <w:rsid w:val="003E3209"/>
    <w:rsid w:val="004057B4"/>
    <w:rsid w:val="0041538D"/>
    <w:rsid w:val="00431B1F"/>
    <w:rsid w:val="00475156"/>
    <w:rsid w:val="00477CE1"/>
    <w:rsid w:val="00482BCC"/>
    <w:rsid w:val="00493565"/>
    <w:rsid w:val="00514746"/>
    <w:rsid w:val="00517DFD"/>
    <w:rsid w:val="005454E8"/>
    <w:rsid w:val="0056230C"/>
    <w:rsid w:val="005A0461"/>
    <w:rsid w:val="005B0A37"/>
    <w:rsid w:val="005B4CF3"/>
    <w:rsid w:val="005C45C2"/>
    <w:rsid w:val="005D6328"/>
    <w:rsid w:val="005D6D92"/>
    <w:rsid w:val="005F1DA9"/>
    <w:rsid w:val="005F30DA"/>
    <w:rsid w:val="006211EB"/>
    <w:rsid w:val="00642A41"/>
    <w:rsid w:val="00694FE7"/>
    <w:rsid w:val="00715F13"/>
    <w:rsid w:val="00717534"/>
    <w:rsid w:val="00777E82"/>
    <w:rsid w:val="007817CE"/>
    <w:rsid w:val="007B5B77"/>
    <w:rsid w:val="007D1CBA"/>
    <w:rsid w:val="007F228C"/>
    <w:rsid w:val="00806527"/>
    <w:rsid w:val="00807F16"/>
    <w:rsid w:val="008274BA"/>
    <w:rsid w:val="00845DBA"/>
    <w:rsid w:val="008504B7"/>
    <w:rsid w:val="0085082D"/>
    <w:rsid w:val="00875D83"/>
    <w:rsid w:val="00887DE3"/>
    <w:rsid w:val="008A1D03"/>
    <w:rsid w:val="008A34BC"/>
    <w:rsid w:val="008B2D8D"/>
    <w:rsid w:val="008E2716"/>
    <w:rsid w:val="008E631C"/>
    <w:rsid w:val="008E7854"/>
    <w:rsid w:val="00903B12"/>
    <w:rsid w:val="00920BC0"/>
    <w:rsid w:val="0093390F"/>
    <w:rsid w:val="009435AC"/>
    <w:rsid w:val="0096541D"/>
    <w:rsid w:val="009929BA"/>
    <w:rsid w:val="009A3B27"/>
    <w:rsid w:val="009B2764"/>
    <w:rsid w:val="009B6A65"/>
    <w:rsid w:val="009B752C"/>
    <w:rsid w:val="009E7135"/>
    <w:rsid w:val="00A123A6"/>
    <w:rsid w:val="00A50F76"/>
    <w:rsid w:val="00A810CE"/>
    <w:rsid w:val="00A86D5B"/>
    <w:rsid w:val="00AB3FD8"/>
    <w:rsid w:val="00AB7280"/>
    <w:rsid w:val="00AE4CC4"/>
    <w:rsid w:val="00AF12FD"/>
    <w:rsid w:val="00AF4CC3"/>
    <w:rsid w:val="00B36460"/>
    <w:rsid w:val="00B56AD1"/>
    <w:rsid w:val="00B666E7"/>
    <w:rsid w:val="00B86D16"/>
    <w:rsid w:val="00BD07B5"/>
    <w:rsid w:val="00C54322"/>
    <w:rsid w:val="00C81FCF"/>
    <w:rsid w:val="00C917B3"/>
    <w:rsid w:val="00CE7E82"/>
    <w:rsid w:val="00D57A8B"/>
    <w:rsid w:val="00D81B4B"/>
    <w:rsid w:val="00DC3287"/>
    <w:rsid w:val="00DC7DBE"/>
    <w:rsid w:val="00DD21B7"/>
    <w:rsid w:val="00E0567C"/>
    <w:rsid w:val="00E4328C"/>
    <w:rsid w:val="00EE1B52"/>
    <w:rsid w:val="00EF3E81"/>
    <w:rsid w:val="00F807C5"/>
    <w:rsid w:val="00F84E4E"/>
    <w:rsid w:val="00F951E2"/>
    <w:rsid w:val="00FD55E9"/>
    <w:rsid w:val="5E1B07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E1A1B9"/>
  <w15:docId w15:val="{61D20CFE-FF54-4737-BE88-884FA27D7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uiPriority="35" w:unhideWhenUsed="1" w:qFormat="1"/>
    <w:lsdException w:name="table of figures"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7E82"/>
    <w:pPr>
      <w:spacing w:after="160" w:line="259" w:lineRule="auto"/>
    </w:pPr>
    <w:rPr>
      <w:kern w:val="2"/>
      <w:sz w:val="22"/>
      <w:szCs w:val="22"/>
      <w14:ligatures w14:val="standardContextual"/>
    </w:rPr>
  </w:style>
  <w:style w:type="paragraph" w:styleId="Heading1">
    <w:name w:val="heading 1"/>
    <w:basedOn w:val="Normal"/>
    <w:next w:val="Normal"/>
    <w:link w:val="Heading1Char"/>
    <w:uiPriority w:val="9"/>
    <w:qFormat/>
    <w:pPr>
      <w:keepNext/>
      <w:keepLines/>
      <w:spacing w:before="480" w:after="200" w:line="360" w:lineRule="auto"/>
      <w:outlineLvl w:val="0"/>
    </w:pPr>
    <w:rPr>
      <w:rFonts w:ascii="Times New Roman" w:eastAsiaTheme="majorEastAsia" w:hAnsi="Times New Roman" w:cstheme="majorBidi"/>
      <w:b/>
      <w:sz w:val="32"/>
      <w:szCs w:val="40"/>
    </w:rPr>
  </w:style>
  <w:style w:type="paragraph" w:styleId="Heading2">
    <w:name w:val="heading 2"/>
    <w:basedOn w:val="Normal"/>
    <w:next w:val="Normal"/>
    <w:link w:val="Heading2Char"/>
    <w:autoRedefine/>
    <w:unhideWhenUsed/>
    <w:qFormat/>
    <w:pPr>
      <w:keepNext/>
      <w:keepLines/>
      <w:spacing w:before="280" w:after="240" w:line="360" w:lineRule="auto"/>
      <w:outlineLvl w:val="1"/>
    </w:pPr>
    <w:rPr>
      <w:rFonts w:ascii="Times New Roman" w:eastAsiaTheme="majorEastAsia" w:hAnsi="Times New Roman" w:cstheme="majorBidi"/>
      <w:b/>
      <w:color w:val="000000" w:themeColor="text1"/>
      <w:sz w:val="28"/>
      <w:szCs w:val="26"/>
      <w:lang w:val="en-GB" w:eastAsia="en-GB"/>
    </w:rPr>
  </w:style>
  <w:style w:type="paragraph" w:styleId="Heading3">
    <w:name w:val="heading 3"/>
    <w:basedOn w:val="Normal"/>
    <w:next w:val="Normal"/>
    <w:link w:val="Heading3Char"/>
    <w:uiPriority w:val="9"/>
    <w:unhideWhenUsed/>
    <w:qFormat/>
    <w:pPr>
      <w:keepNext/>
      <w:keepLines/>
      <w:spacing w:before="160" w:after="80" w:line="240" w:lineRule="auto"/>
      <w:outlineLvl w:val="2"/>
    </w:pPr>
    <w:rPr>
      <w:rFonts w:ascii="Times New Roman" w:eastAsiaTheme="majorEastAsia" w:hAnsi="Times New Roman" w:cstheme="majorBidi"/>
      <w:b/>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character" w:styleId="Emphasis">
    <w:name w:val="Emphasis"/>
    <w:basedOn w:val="DefaultParagraphFont"/>
    <w:uiPriority w:val="20"/>
    <w:qFormat/>
    <w:rPr>
      <w:i/>
      <w:iCs/>
    </w:rPr>
  </w:style>
  <w:style w:type="character" w:styleId="FollowedHyperlink">
    <w:name w:val="FollowedHyperlink"/>
    <w:basedOn w:val="DefaultParagraphFont"/>
    <w:uiPriority w:val="99"/>
    <w:semiHidden/>
    <w:unhideWhenUsed/>
    <w:rPr>
      <w:color w:val="954F72" w:themeColor="followedHyperlink"/>
      <w:u w:val="single"/>
    </w:rPr>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pPr>
      <w:spacing w:after="0"/>
    </w:p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pPr>
      <w:tabs>
        <w:tab w:val="right" w:leader="dot" w:pos="9350"/>
      </w:tabs>
      <w:spacing w:after="100" w:line="360" w:lineRule="auto"/>
    </w:pPr>
  </w:style>
  <w:style w:type="paragraph" w:styleId="TOC2">
    <w:name w:val="toc 2"/>
    <w:basedOn w:val="Normal"/>
    <w:next w:val="Normal"/>
    <w:autoRedefine/>
    <w:uiPriority w:val="39"/>
    <w:unhideWhenUsed/>
    <w:pPr>
      <w:spacing w:after="100"/>
      <w:ind w:left="220"/>
    </w:pPr>
  </w:style>
  <w:style w:type="character" w:customStyle="1" w:styleId="Heading1Char">
    <w:name w:val="Heading 1 Char"/>
    <w:basedOn w:val="DefaultParagraphFont"/>
    <w:link w:val="Heading1"/>
    <w:uiPriority w:val="9"/>
    <w:rPr>
      <w:rFonts w:ascii="Times New Roman" w:eastAsiaTheme="majorEastAsia" w:hAnsi="Times New Roman" w:cstheme="majorBidi"/>
      <w:b/>
      <w:sz w:val="32"/>
      <w:szCs w:val="40"/>
    </w:rPr>
  </w:style>
  <w:style w:type="character" w:customStyle="1" w:styleId="Heading3Char">
    <w:name w:val="Heading 3 Char"/>
    <w:basedOn w:val="DefaultParagraphFont"/>
    <w:link w:val="Heading3"/>
    <w:uiPriority w:val="9"/>
    <w:rPr>
      <w:rFonts w:ascii="Times New Roman" w:eastAsiaTheme="majorEastAsia" w:hAnsi="Times New Roman" w:cstheme="majorBidi"/>
      <w:b/>
      <w:szCs w:val="28"/>
    </w:rPr>
  </w:style>
  <w:style w:type="character" w:customStyle="1" w:styleId="Heading2Char">
    <w:name w:val="Heading 2 Char"/>
    <w:basedOn w:val="DefaultParagraphFont"/>
    <w:link w:val="Heading2"/>
    <w:rPr>
      <w:rFonts w:ascii="Times New Roman" w:eastAsiaTheme="majorEastAsia" w:hAnsi="Times New Roman" w:cstheme="majorBidi"/>
      <w:b/>
      <w:color w:val="000000" w:themeColor="text1"/>
      <w:sz w:val="28"/>
      <w:szCs w:val="26"/>
      <w:lang w:val="en-GB" w:eastAsia="en-GB"/>
    </w:rPr>
  </w:style>
  <w:style w:type="character" w:customStyle="1" w:styleId="Heading4Char">
    <w:name w:val="Heading 4 Char"/>
    <w:basedOn w:val="DefaultParagraphFont"/>
    <w:link w:val="Heading4"/>
    <w:uiPriority w:val="9"/>
    <w:semiHidden/>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rPr>
      <w:rFonts w:eastAsiaTheme="majorEastAsia" w:cstheme="majorBidi"/>
      <w:color w:val="262626" w:themeColor="text1" w:themeTint="D9"/>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Pr>
      <w:i/>
      <w:iCs/>
      <w:color w:val="2F5496" w:themeColor="accent1" w:themeShade="BF"/>
    </w:rPr>
  </w:style>
  <w:style w:type="character" w:customStyle="1" w:styleId="IntenseReference1">
    <w:name w:val="Intense Reference1"/>
    <w:basedOn w:val="DefaultParagraphFont"/>
    <w:uiPriority w:val="32"/>
    <w:qFormat/>
    <w:rPr>
      <w:b/>
      <w:bCs/>
      <w:smallCaps/>
      <w:color w:val="2F5496" w:themeColor="accent1" w:themeShade="BF"/>
      <w:spacing w:val="5"/>
    </w:rPr>
  </w:style>
  <w:style w:type="paragraph" w:customStyle="1" w:styleId="ds-markdown-paragraph">
    <w:name w:val="ds-markdown-paragraph"/>
    <w:basedOn w:val="Normal"/>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customStyle="1" w:styleId="TOCHeading1">
    <w:name w:val="TOC Heading1"/>
    <w:basedOn w:val="Heading1"/>
    <w:next w:val="Normal"/>
    <w:uiPriority w:val="39"/>
    <w:unhideWhenUsed/>
    <w:qFormat/>
    <w:pPr>
      <w:spacing w:before="240" w:after="0" w:line="259" w:lineRule="auto"/>
      <w:outlineLvl w:val="9"/>
    </w:pPr>
    <w:rPr>
      <w:rFonts w:asciiTheme="majorHAnsi" w:hAnsiTheme="majorHAnsi"/>
      <w:b w:val="0"/>
      <w:color w:val="2F5496" w:themeColor="accent1" w:themeShade="BF"/>
      <w:kern w:val="0"/>
      <w:szCs w:val="32"/>
      <w14:ligatures w14:val="none"/>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table" w:customStyle="1" w:styleId="GridTable5Dark-Accent11">
    <w:name w:val="Grid Table 5 Dark - Accent 11"/>
    <w:basedOn w:val="TableNormal"/>
    <w:uiPriority w:val="50"/>
    <w:qFormat/>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customStyle="1" w:styleId="PlainTable51">
    <w:name w:val="Plain Table 51"/>
    <w:basedOn w:val="TableNormal"/>
    <w:uiPriority w:val="45"/>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trong">
    <w:name w:val="Strong"/>
    <w:basedOn w:val="DefaultParagraphFont"/>
    <w:uiPriority w:val="22"/>
    <w:qFormat/>
    <w:rsid w:val="001E3232"/>
    <w:rPr>
      <w:b/>
      <w:bCs/>
    </w:rPr>
  </w:style>
  <w:style w:type="paragraph" w:styleId="z-BottomofForm">
    <w:name w:val="HTML Bottom of Form"/>
    <w:basedOn w:val="Normal"/>
    <w:next w:val="Normal"/>
    <w:link w:val="z-BottomofFormChar"/>
    <w:hidden/>
    <w:uiPriority w:val="99"/>
    <w:semiHidden/>
    <w:unhideWhenUsed/>
    <w:rsid w:val="001E3232"/>
    <w:pPr>
      <w:pBdr>
        <w:top w:val="single" w:sz="6" w:space="1" w:color="auto"/>
      </w:pBdr>
      <w:spacing w:after="0" w:line="240" w:lineRule="auto"/>
      <w:jc w:val="center"/>
    </w:pPr>
    <w:rPr>
      <w:rFonts w:ascii="Arial" w:eastAsiaTheme="minorEastAsia"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1E3232"/>
    <w:rPr>
      <w:rFonts w:ascii="Arial" w:eastAsiaTheme="minorEastAsia"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mckinsey.com/capabilities/quantumblack/our-insights/the-state-of-ai"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mckinsey.com/featured-insights/future-of-work"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medium.com/@knocksfuture/world-economic-forum-future-of-jobs-report-2024-2d9be79281b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go.manpowergroup.com/talent-shortage" TargetMode="External"/><Relationship Id="rId5" Type="http://schemas.openxmlformats.org/officeDocument/2006/relationships/footnotes" Target="footnotes.xml"/><Relationship Id="rId15" Type="http://schemas.openxmlformats.org/officeDocument/2006/relationships/hyperlink" Target="https://www.oecd.org/pensions/pensions-at-a-glance.htm" TargetMode="External"/><Relationship Id="rId10" Type="http://schemas.openxmlformats.org/officeDocument/2006/relationships/hyperlink" Target="https://www2.deloitte.com/us/en/insights/focus/human-capital-trends.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microsoft.com/en-us/worklab/work-trend-inde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60912B-6A5F-48B2-B8D7-2013581FB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465</TotalTime>
  <Pages>20</Pages>
  <Words>4619</Words>
  <Characters>29008</Characters>
  <DocSecurity>0</DocSecurity>
  <Lines>644</Lines>
  <Paragraphs>271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2025-11-02T22:05:00Z</dcterms:created>
  <dcterms:modified xsi:type="dcterms:W3CDTF">2025-11-11T22:17:00Z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bcec0724-776f-4e8b-9d5c-2d3d37efca5b</vt:lpwstr>
  </property>
  <property fmtid="{D5CDD505-2E9C-101B-9397-08002B2CF9AE}" pid="3" name="KSOProductBuildVer">
    <vt:lpwstr>1033-12.2.0.23131</vt:lpwstr>
  </property>
  <property fmtid="{D5CDD505-2E9C-101B-9397-08002B2CF9AE}" pid="4" name="ICV">
    <vt:lpwstr>8F7DB5EFDA774EDF8DAB4FE3CBF8CF58_12</vt:lpwstr>
  </property>
</Properties>
</file>