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11930" w:rsidRDefault="00F11930" w:rsidP="00F11930">
      <w:pPr>
        <w:pStyle w:val="Heading1"/>
      </w:pPr>
      <w:bookmarkStart w:id="0" w:name="_Toc41557620"/>
      <w:bookmarkStart w:id="1" w:name="_Toc41648173"/>
      <w:r>
        <w:t>Chapter 1: Introduction</w:t>
      </w:r>
      <w:bookmarkEnd w:id="0"/>
      <w:bookmarkEnd w:id="1"/>
      <w:r>
        <w:t xml:space="preserve"> </w:t>
      </w:r>
    </w:p>
    <w:p w:rsidR="00F11930" w:rsidRPr="004C5EA8" w:rsidRDefault="00F11930" w:rsidP="00F11930">
      <w:pPr>
        <w:jc w:val="center"/>
        <w:rPr>
          <w:rFonts w:ascii="Bell MT" w:hAnsi="Bell MT"/>
          <w:i/>
          <w:sz w:val="32"/>
        </w:rPr>
      </w:pPr>
    </w:p>
    <w:p w:rsidR="00F11930" w:rsidRDefault="00F11930" w:rsidP="00F11930">
      <w:pPr>
        <w:jc w:val="center"/>
        <w:rPr>
          <w:rFonts w:ascii="Bell MT" w:hAnsi="Bell MT" w:cstheme="minorHAnsi"/>
          <w:i/>
          <w:sz w:val="32"/>
        </w:rPr>
      </w:pPr>
      <w:r w:rsidRPr="004C5EA8">
        <w:rPr>
          <w:rFonts w:ascii="Bell MT" w:hAnsi="Bell MT" w:cstheme="minorHAnsi"/>
          <w:i/>
          <w:sz w:val="32"/>
        </w:rPr>
        <w:t xml:space="preserve">“It’s connections to other human beings — real-life connections, not digital ones — that nourish us and make us feel like we count. Our presence, our full attention is the most important thing” </w:t>
      </w:r>
    </w:p>
    <w:p w:rsidR="00F11930" w:rsidRPr="00FB6CC6" w:rsidRDefault="00F11930" w:rsidP="00F11930">
      <w:pPr>
        <w:jc w:val="center"/>
        <w:rPr>
          <w:rFonts w:ascii="Bell MT" w:hAnsi="Bell MT"/>
          <w:i/>
          <w:sz w:val="24"/>
        </w:rPr>
      </w:pPr>
      <w:r w:rsidRPr="00FB6CC6">
        <w:rPr>
          <w:rFonts w:ascii="Bell MT" w:hAnsi="Bell MT" w:cstheme="minorHAnsi"/>
          <w:i/>
          <w:sz w:val="24"/>
        </w:rPr>
        <w:t xml:space="preserve">Nancy </w:t>
      </w:r>
      <w:r>
        <w:rPr>
          <w:rFonts w:ascii="Bell MT" w:hAnsi="Bell MT" w:cstheme="minorHAnsi"/>
          <w:i/>
          <w:sz w:val="24"/>
        </w:rPr>
        <w:t>Collier (2018</w:t>
      </w:r>
      <w:r w:rsidRPr="00FB6CC6">
        <w:rPr>
          <w:rFonts w:ascii="Bell MT" w:hAnsi="Bell MT" w:cstheme="minorHAnsi"/>
          <w:i/>
          <w:sz w:val="24"/>
        </w:rPr>
        <w:t>)</w:t>
      </w:r>
    </w:p>
    <w:p w:rsidR="00F11930" w:rsidRPr="00AF5519" w:rsidRDefault="00F11930" w:rsidP="00F11930">
      <w:pPr>
        <w:rPr>
          <w:rFonts w:cstheme="majorHAnsi"/>
          <w:sz w:val="24"/>
          <w:szCs w:val="24"/>
        </w:rPr>
      </w:pPr>
    </w:p>
    <w:p w:rsidR="00F11930" w:rsidRPr="00AF5519" w:rsidRDefault="00F11930" w:rsidP="00F11930">
      <w:pPr>
        <w:pStyle w:val="Heading2"/>
        <w:rPr>
          <w:rFonts w:asciiTheme="minorHAnsi" w:hAnsiTheme="minorHAnsi" w:cstheme="majorHAnsi"/>
          <w:sz w:val="24"/>
          <w:szCs w:val="24"/>
        </w:rPr>
      </w:pPr>
      <w:bookmarkStart w:id="2" w:name="_Toc41557621"/>
      <w:bookmarkStart w:id="3" w:name="_Toc41648174"/>
      <w:r w:rsidRPr="00AF5519">
        <w:rPr>
          <w:rFonts w:asciiTheme="minorHAnsi" w:hAnsiTheme="minorHAnsi" w:cstheme="majorHAnsi"/>
          <w:sz w:val="24"/>
          <w:szCs w:val="24"/>
        </w:rPr>
        <w:t>1.1. Background and Rational</w:t>
      </w:r>
      <w:bookmarkEnd w:id="2"/>
      <w:bookmarkEnd w:id="3"/>
    </w:p>
    <w:p w:rsidR="00F11930" w:rsidRPr="00AF5519" w:rsidRDefault="00F11930" w:rsidP="00F11930">
      <w:pPr>
        <w:pStyle w:val="ListParagraph"/>
        <w:spacing w:line="360" w:lineRule="auto"/>
        <w:ind w:left="360"/>
        <w:jc w:val="both"/>
        <w:rPr>
          <w:rFonts w:cstheme="majorHAnsi"/>
          <w:sz w:val="24"/>
          <w:szCs w:val="24"/>
        </w:rPr>
      </w:pPr>
    </w:p>
    <w:p w:rsidR="00F11930" w:rsidRPr="00AF5519" w:rsidRDefault="00F11930" w:rsidP="00F11930">
      <w:pPr>
        <w:spacing w:line="360" w:lineRule="auto"/>
        <w:jc w:val="both"/>
        <w:rPr>
          <w:rFonts w:cstheme="majorHAnsi"/>
          <w:sz w:val="24"/>
          <w:szCs w:val="24"/>
        </w:rPr>
      </w:pPr>
      <w:r w:rsidRPr="00AF5519">
        <w:rPr>
          <w:rFonts w:cstheme="majorHAnsi"/>
          <w:sz w:val="24"/>
          <w:szCs w:val="24"/>
        </w:rPr>
        <w:t xml:space="preserve">The above extract – taken from “The Power of Off” by Nancy Collier – is narrating the perplex ways in which technology has infiltrated its way into human behaviour and take its toll upon our interactions, connections and emotions. Harris (2019) summaries the complexity perfectly - human beings are spending large amounts of time disconnecting from the real world in order to be connected within the online world, driving the fortuitous contradiction of being connected and disconnected at the same time. </w:t>
      </w:r>
    </w:p>
    <w:p w:rsidR="00F11930" w:rsidRPr="00AF5519" w:rsidRDefault="00F11930" w:rsidP="00F11930">
      <w:pPr>
        <w:spacing w:line="360" w:lineRule="auto"/>
        <w:jc w:val="both"/>
        <w:rPr>
          <w:rFonts w:cstheme="majorHAnsi"/>
          <w:sz w:val="24"/>
          <w:szCs w:val="24"/>
        </w:rPr>
      </w:pPr>
      <w:r w:rsidRPr="00AF5519">
        <w:rPr>
          <w:rFonts w:cstheme="majorHAnsi"/>
          <w:sz w:val="24"/>
          <w:szCs w:val="24"/>
        </w:rPr>
        <w:t>The aim of this dissertation is to further understand how this continual connection with technology is impacting upon the events industry – being that events are so largely integrated with emotional and human connection (Komninos, 2020).  The dissertation will centre upon social media use at live events as a focal point of technology, and the City of Swansea as the geographical area of study.</w:t>
      </w:r>
    </w:p>
    <w:p w:rsidR="00F11930" w:rsidRPr="00AF5519" w:rsidRDefault="00F11930" w:rsidP="00F11930">
      <w:pPr>
        <w:spacing w:line="360" w:lineRule="auto"/>
        <w:jc w:val="both"/>
        <w:rPr>
          <w:rFonts w:cstheme="majorHAnsi"/>
          <w:i/>
          <w:iCs/>
          <w:sz w:val="24"/>
          <w:szCs w:val="24"/>
        </w:rPr>
      </w:pPr>
    </w:p>
    <w:p w:rsidR="00F11930" w:rsidRPr="00AF5519" w:rsidRDefault="00F11930" w:rsidP="00F11930">
      <w:pPr>
        <w:spacing w:line="360" w:lineRule="auto"/>
        <w:jc w:val="both"/>
        <w:rPr>
          <w:rFonts w:cstheme="majorHAnsi"/>
          <w:i/>
          <w:iCs/>
          <w:sz w:val="24"/>
          <w:szCs w:val="24"/>
        </w:rPr>
      </w:pPr>
    </w:p>
    <w:p w:rsidR="00F11930" w:rsidRPr="00AF5519" w:rsidRDefault="00F11930" w:rsidP="00F11930">
      <w:pPr>
        <w:spacing w:line="360" w:lineRule="auto"/>
        <w:jc w:val="both"/>
        <w:rPr>
          <w:rFonts w:cstheme="majorHAnsi"/>
          <w:i/>
          <w:iCs/>
          <w:sz w:val="24"/>
          <w:szCs w:val="24"/>
        </w:rPr>
      </w:pPr>
    </w:p>
    <w:p w:rsidR="00F11930" w:rsidRPr="00AF5519" w:rsidRDefault="00F11930" w:rsidP="00F11930">
      <w:pPr>
        <w:spacing w:line="360" w:lineRule="auto"/>
        <w:jc w:val="center"/>
        <w:rPr>
          <w:rStyle w:val="Heading4Char"/>
          <w:rFonts w:asciiTheme="minorHAnsi" w:hAnsiTheme="minorHAnsi" w:cstheme="majorHAnsi"/>
          <w:sz w:val="24"/>
          <w:szCs w:val="24"/>
        </w:rPr>
      </w:pPr>
    </w:p>
    <w:p w:rsidR="00F11930" w:rsidRPr="00AF5519" w:rsidRDefault="00F11930" w:rsidP="00F11930">
      <w:pPr>
        <w:spacing w:line="360" w:lineRule="auto"/>
        <w:jc w:val="center"/>
        <w:rPr>
          <w:rFonts w:cstheme="majorHAnsi"/>
          <w:i/>
          <w:iCs/>
          <w:sz w:val="24"/>
          <w:szCs w:val="24"/>
        </w:rPr>
      </w:pPr>
      <w:r w:rsidRPr="00AF5519">
        <w:rPr>
          <w:rFonts w:cstheme="majorHAnsi"/>
          <w:noProof/>
          <w:sz w:val="24"/>
          <w:szCs w:val="24"/>
          <w:lang w:eastAsia="en-GB"/>
        </w:rPr>
        <w:lastRenderedPageBreak/>
        <w:drawing>
          <wp:inline distT="0" distB="0" distL="0" distR="0" wp14:anchorId="0B4B9962" wp14:editId="6E480496">
            <wp:extent cx="5334000" cy="4869179"/>
            <wp:effectExtent l="0" t="0" r="0" b="8255"/>
            <wp:docPr id="1" name="Picture 1" descr="https://www.smartinsights.com/wp-content/uploads/2019/12/Popularity-of-Facebook-and-Instagram-by-gender-700x6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smartinsights.com/wp-content/uploads/2019/12/Popularity-of-Facebook-and-Instagram-by-gender-700x639.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398198" cy="4927783"/>
                    </a:xfrm>
                    <a:prstGeom prst="rect">
                      <a:avLst/>
                    </a:prstGeom>
                    <a:noFill/>
                    <a:ln>
                      <a:noFill/>
                    </a:ln>
                  </pic:spPr>
                </pic:pic>
              </a:graphicData>
            </a:graphic>
          </wp:inline>
        </w:drawing>
      </w:r>
    </w:p>
    <w:p w:rsidR="00F11930" w:rsidRDefault="00F11930" w:rsidP="00F11930">
      <w:pPr>
        <w:pStyle w:val="Heading4"/>
      </w:pPr>
      <w:bookmarkStart w:id="4" w:name="_Toc41648280"/>
      <w:r w:rsidRPr="00AF5519">
        <w:t xml:space="preserve">Figure </w:t>
      </w:r>
      <w:r w:rsidRPr="00AF5519">
        <w:fldChar w:fldCharType="begin"/>
      </w:r>
      <w:r w:rsidRPr="00AF5519">
        <w:instrText xml:space="preserve"> SEQ Figure \* ARABIC </w:instrText>
      </w:r>
      <w:r w:rsidRPr="00AF5519">
        <w:fldChar w:fldCharType="separate"/>
      </w:r>
      <w:r w:rsidRPr="00AF5519">
        <w:rPr>
          <w:noProof/>
        </w:rPr>
        <w:t>1</w:t>
      </w:r>
      <w:r w:rsidRPr="00AF5519">
        <w:fldChar w:fldCharType="end"/>
      </w:r>
      <w:r w:rsidRPr="00AF5519">
        <w:t>.1.: Social media use by demographics (Chaffey, 2020).</w:t>
      </w:r>
      <w:bookmarkEnd w:id="4"/>
    </w:p>
    <w:p w:rsidR="00F11930" w:rsidRPr="00893502" w:rsidRDefault="00F11930" w:rsidP="00F11930"/>
    <w:p w:rsidR="00F11930" w:rsidRPr="00AF5519" w:rsidRDefault="00F11930" w:rsidP="00F11930">
      <w:pPr>
        <w:spacing w:line="360" w:lineRule="auto"/>
        <w:jc w:val="both"/>
        <w:rPr>
          <w:rFonts w:cstheme="majorHAnsi"/>
          <w:sz w:val="24"/>
          <w:szCs w:val="24"/>
          <w:shd w:val="clear" w:color="auto" w:fill="FFFFFF"/>
        </w:rPr>
      </w:pPr>
      <w:r w:rsidRPr="00AF5519">
        <w:rPr>
          <w:rFonts w:cstheme="majorHAnsi"/>
          <w:sz w:val="24"/>
          <w:szCs w:val="24"/>
          <w:shd w:val="clear" w:color="auto" w:fill="FFFFFF"/>
        </w:rPr>
        <w:t xml:space="preserve">As depicted in Figure 1, Chaffey (2020) highlights how women are significantly larger users of social media than men. Theories by Vermeren (2015) try to explain this gender difference by stating how women are perceived as being more vocal, expressive and willing to share more about their personal lives than men and as a result are drawn to the expressive and open nature of social media more. Gender will therefore be noted as a key influence on this study and used to further develop the understanding of social media use and gender. </w:t>
      </w:r>
    </w:p>
    <w:p w:rsidR="00F11930" w:rsidRPr="00AF5519" w:rsidRDefault="00F11930" w:rsidP="00F11930">
      <w:pPr>
        <w:spacing w:line="360" w:lineRule="auto"/>
        <w:jc w:val="both"/>
        <w:rPr>
          <w:rFonts w:cstheme="majorHAnsi"/>
          <w:sz w:val="24"/>
          <w:szCs w:val="24"/>
          <w:shd w:val="clear" w:color="auto" w:fill="FFFFFF"/>
        </w:rPr>
      </w:pPr>
    </w:p>
    <w:p w:rsidR="00F11930" w:rsidRPr="00AF5519" w:rsidRDefault="00F11930" w:rsidP="00F11930">
      <w:pPr>
        <w:pStyle w:val="Heading3"/>
        <w:numPr>
          <w:ilvl w:val="2"/>
          <w:numId w:val="2"/>
        </w:numPr>
        <w:rPr>
          <w:rFonts w:asciiTheme="minorHAnsi" w:hAnsiTheme="minorHAnsi" w:cstheme="majorHAnsi"/>
          <w:shd w:val="clear" w:color="auto" w:fill="FFFFFF"/>
        </w:rPr>
      </w:pPr>
      <w:bookmarkStart w:id="5" w:name="_Toc41557622"/>
      <w:bookmarkStart w:id="6" w:name="_Toc41648175"/>
      <w:r w:rsidRPr="00AF5519">
        <w:rPr>
          <w:rFonts w:asciiTheme="minorHAnsi" w:hAnsiTheme="minorHAnsi" w:cstheme="majorHAnsi"/>
          <w:shd w:val="clear" w:color="auto" w:fill="FFFFFF"/>
        </w:rPr>
        <w:t>The rise of social media</w:t>
      </w:r>
      <w:bookmarkEnd w:id="5"/>
      <w:bookmarkEnd w:id="6"/>
      <w:r w:rsidRPr="00AF5519">
        <w:rPr>
          <w:rFonts w:asciiTheme="minorHAnsi" w:hAnsiTheme="minorHAnsi" w:cstheme="majorHAnsi"/>
          <w:shd w:val="clear" w:color="auto" w:fill="FFFFFF"/>
        </w:rPr>
        <w:t xml:space="preserve"> </w:t>
      </w:r>
    </w:p>
    <w:p w:rsidR="00F11930" w:rsidRPr="00AF5519" w:rsidRDefault="00F11930" w:rsidP="00F11930">
      <w:pPr>
        <w:rPr>
          <w:rFonts w:cstheme="majorHAnsi"/>
          <w:sz w:val="24"/>
          <w:szCs w:val="24"/>
        </w:rPr>
      </w:pPr>
    </w:p>
    <w:p w:rsidR="00F11930" w:rsidRPr="00AF5519" w:rsidRDefault="00F11930" w:rsidP="00F11930">
      <w:pPr>
        <w:spacing w:line="360" w:lineRule="auto"/>
        <w:jc w:val="both"/>
        <w:rPr>
          <w:rFonts w:cstheme="majorHAnsi"/>
          <w:sz w:val="24"/>
          <w:szCs w:val="24"/>
        </w:rPr>
      </w:pPr>
      <w:r w:rsidRPr="00AF5519">
        <w:rPr>
          <w:rFonts w:cstheme="majorHAnsi"/>
          <w:sz w:val="24"/>
          <w:szCs w:val="24"/>
        </w:rPr>
        <w:t>According to Carr &amp; Hayes (2015, p. 50), social media can be defined as:</w:t>
      </w:r>
    </w:p>
    <w:p w:rsidR="00F11930" w:rsidRPr="00AF5519" w:rsidRDefault="00F11930" w:rsidP="00F11930">
      <w:pPr>
        <w:spacing w:line="360" w:lineRule="auto"/>
        <w:jc w:val="both"/>
        <w:rPr>
          <w:rFonts w:cstheme="majorHAnsi"/>
          <w:i/>
          <w:sz w:val="24"/>
          <w:szCs w:val="24"/>
        </w:rPr>
      </w:pPr>
      <w:r w:rsidRPr="00AF5519">
        <w:rPr>
          <w:rFonts w:cstheme="majorHAnsi"/>
          <w:noProof/>
          <w:sz w:val="24"/>
          <w:szCs w:val="24"/>
          <w:lang w:eastAsia="en-GB"/>
        </w:rPr>
        <w:lastRenderedPageBreak/>
        <w:drawing>
          <wp:anchor distT="0" distB="0" distL="114300" distR="114300" simplePos="0" relativeHeight="251659264" behindDoc="0" locked="0" layoutInCell="1" allowOverlap="1" wp14:anchorId="5BE4F357" wp14:editId="79582C64">
            <wp:simplePos x="0" y="0"/>
            <wp:positionH relativeFrom="margin">
              <wp:align>center</wp:align>
            </wp:positionH>
            <wp:positionV relativeFrom="paragraph">
              <wp:posOffset>1114425</wp:posOffset>
            </wp:positionV>
            <wp:extent cx="5984371" cy="3752850"/>
            <wp:effectExtent l="0" t="0" r="0" b="0"/>
            <wp:wrapSquare wrapText="bothSides"/>
            <wp:docPr id="3" name="Picture 3" descr="https://www.smartinsights.com/wp-content/uploads/2019/02/Global-Social-media-statistics-20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smartinsights.com/wp-content/uploads/2019/02/Global-Social-media-statistics-2020.p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84371" cy="37528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F5519">
        <w:rPr>
          <w:rFonts w:cstheme="majorHAnsi"/>
          <w:i/>
          <w:sz w:val="24"/>
          <w:szCs w:val="24"/>
        </w:rPr>
        <w:t>“Internet-based, disentrained, and persistent channels of masspersonal communication facilitating perceptions of interactions among users, deriving value primarily from user-generated content.”</w:t>
      </w:r>
    </w:p>
    <w:p w:rsidR="00F11930" w:rsidRPr="00AF5519" w:rsidRDefault="00F11930" w:rsidP="00F11930">
      <w:pPr>
        <w:spacing w:line="360" w:lineRule="auto"/>
        <w:jc w:val="both"/>
        <w:rPr>
          <w:rFonts w:cstheme="majorHAnsi"/>
          <w:i/>
          <w:sz w:val="24"/>
          <w:szCs w:val="24"/>
        </w:rPr>
      </w:pPr>
    </w:p>
    <w:p w:rsidR="00F11930" w:rsidRPr="00AF5519" w:rsidRDefault="00F11930" w:rsidP="00F11930">
      <w:pPr>
        <w:pStyle w:val="Heading4"/>
      </w:pPr>
      <w:bookmarkStart w:id="7" w:name="_Toc41648281"/>
      <w:r w:rsidRPr="00AF5519">
        <w:t>Figure 1.2.: A summary of global social media users around the world (Kemp, 2020).</w:t>
      </w:r>
      <w:bookmarkEnd w:id="7"/>
    </w:p>
    <w:p w:rsidR="00F11930" w:rsidRPr="00AF5519" w:rsidRDefault="00F11930" w:rsidP="00F11930"/>
    <w:p w:rsidR="00F11930" w:rsidRPr="00AF5519" w:rsidRDefault="00F11930" w:rsidP="00F11930">
      <w:pPr>
        <w:spacing w:line="360" w:lineRule="auto"/>
        <w:jc w:val="both"/>
        <w:rPr>
          <w:rFonts w:cstheme="majorHAnsi"/>
          <w:sz w:val="24"/>
          <w:szCs w:val="24"/>
        </w:rPr>
      </w:pPr>
      <w:r w:rsidRPr="00AF5519">
        <w:rPr>
          <w:rFonts w:cstheme="majorHAnsi"/>
          <w:sz w:val="24"/>
          <w:szCs w:val="24"/>
        </w:rPr>
        <w:t xml:space="preserve">Though there are many varying definitions, there is a clear emphasis that social media is reflective of an integration between one-on-one communication and one-to-many channels, providing a new environment for observing, engaging and interacting with others (Bayer et al., 2020). This has also been explored in several statistical studies with recent research from Kemp (2020) visible in Figure 1.2., highlighting that the number of current social media users has surpassed the 3.8 billion figure, indicating that 60 percent of the world’s population is now online. </w:t>
      </w:r>
    </w:p>
    <w:p w:rsidR="00F11930" w:rsidRPr="00AF5519" w:rsidRDefault="00F11930" w:rsidP="00F11930">
      <w:pPr>
        <w:spacing w:line="360" w:lineRule="auto"/>
        <w:jc w:val="both"/>
        <w:rPr>
          <w:rFonts w:cstheme="majorHAnsi"/>
          <w:sz w:val="24"/>
          <w:szCs w:val="24"/>
          <w:shd w:val="clear" w:color="auto" w:fill="FFFFFF"/>
        </w:rPr>
      </w:pPr>
      <w:r w:rsidRPr="00AF5519">
        <w:rPr>
          <w:rFonts w:cstheme="majorHAnsi"/>
          <w:sz w:val="24"/>
          <w:szCs w:val="24"/>
          <w:shd w:val="clear" w:color="auto" w:fill="FFFFFF"/>
        </w:rPr>
        <w:t xml:space="preserve">According to Olanrewaju et al., (2020) social media is rapidly altering communication patterns and providing a platform for interaction and networking with individual’s from around the globe, despite geographical location or socioeconomic and demographic profile. </w:t>
      </w:r>
      <w:r w:rsidRPr="00AF5519">
        <w:rPr>
          <w:rFonts w:cstheme="majorHAnsi"/>
          <w:sz w:val="24"/>
          <w:szCs w:val="24"/>
        </w:rPr>
        <w:t xml:space="preserve">With social media use rising substantially, it has created a paradigm shift that has drastically modified </w:t>
      </w:r>
      <w:r w:rsidRPr="00AF5519">
        <w:rPr>
          <w:rFonts w:cstheme="majorHAnsi"/>
          <w:sz w:val="24"/>
          <w:szCs w:val="24"/>
        </w:rPr>
        <w:lastRenderedPageBreak/>
        <w:t>how customers engage with brands. The question that then naturally arises is to what extent this consumer paradigm shift has impacted how consumers engage with live events specifically.</w:t>
      </w:r>
    </w:p>
    <w:p w:rsidR="00F11930" w:rsidRPr="00AF5519" w:rsidRDefault="00F11930" w:rsidP="00F11930">
      <w:pPr>
        <w:spacing w:line="360" w:lineRule="auto"/>
        <w:jc w:val="both"/>
        <w:rPr>
          <w:rFonts w:cstheme="majorHAnsi"/>
          <w:sz w:val="24"/>
          <w:szCs w:val="24"/>
        </w:rPr>
      </w:pPr>
    </w:p>
    <w:p w:rsidR="00F11930" w:rsidRPr="00AF5519" w:rsidRDefault="00F11930" w:rsidP="00F11930">
      <w:pPr>
        <w:spacing w:line="360" w:lineRule="auto"/>
        <w:jc w:val="both"/>
        <w:rPr>
          <w:rFonts w:cstheme="majorHAnsi"/>
          <w:sz w:val="24"/>
          <w:szCs w:val="24"/>
        </w:rPr>
      </w:pPr>
    </w:p>
    <w:p w:rsidR="00F11930" w:rsidRPr="00AF5519" w:rsidRDefault="00F11930" w:rsidP="00F11930">
      <w:pPr>
        <w:pStyle w:val="Heading3"/>
        <w:numPr>
          <w:ilvl w:val="2"/>
          <w:numId w:val="2"/>
        </w:numPr>
        <w:rPr>
          <w:rFonts w:asciiTheme="minorHAnsi" w:hAnsiTheme="minorHAnsi" w:cstheme="majorHAnsi"/>
        </w:rPr>
      </w:pPr>
      <w:bookmarkStart w:id="8" w:name="_Toc41557623"/>
      <w:bookmarkStart w:id="9" w:name="_Toc41648176"/>
      <w:r w:rsidRPr="00AF5519">
        <w:rPr>
          <w:rFonts w:asciiTheme="minorHAnsi" w:hAnsiTheme="minorHAnsi" w:cstheme="majorHAnsi"/>
        </w:rPr>
        <w:t>The user value of social media</w:t>
      </w:r>
      <w:bookmarkEnd w:id="8"/>
      <w:bookmarkEnd w:id="9"/>
    </w:p>
    <w:p w:rsidR="00F11930" w:rsidRPr="00AF5519" w:rsidRDefault="00F11930" w:rsidP="00F11930">
      <w:pPr>
        <w:rPr>
          <w:rFonts w:cstheme="majorHAnsi"/>
          <w:sz w:val="24"/>
          <w:szCs w:val="24"/>
        </w:rPr>
      </w:pPr>
    </w:p>
    <w:p w:rsidR="00F11930" w:rsidRPr="00AF5519" w:rsidRDefault="00F11930" w:rsidP="00F11930">
      <w:pPr>
        <w:spacing w:line="360" w:lineRule="auto"/>
        <w:jc w:val="both"/>
        <w:rPr>
          <w:rFonts w:cstheme="majorHAnsi"/>
          <w:sz w:val="24"/>
          <w:szCs w:val="24"/>
          <w:lang w:val="en"/>
        </w:rPr>
      </w:pPr>
      <w:r w:rsidRPr="00AF5519">
        <w:rPr>
          <w:rFonts w:cstheme="majorHAnsi"/>
          <w:sz w:val="24"/>
          <w:szCs w:val="24"/>
        </w:rPr>
        <w:t xml:space="preserve">Previous studies by Dolan et al., (2016) have emphasized that organisations are increasingly recognising the value of social media engagement for business success and so are consistently seeking new ways to improve engagement through their social media content. Social media platforms are often discussed in literature in relation to control. A number of authors discuss how social media platforms are often viewed in an editorial sense, whereby selection juxtaposition takes places and platform users have the ability to shape and manipulate content and interaction (Dijck and Poell, 2013). Examples of this theory could be largely ‘liking’, or retweeting content related to a certain topic. This idea of using social media for control is also largely linked to the subject of social media popularity. </w:t>
      </w:r>
      <w:r w:rsidRPr="00AF5519">
        <w:rPr>
          <w:rFonts w:cstheme="majorHAnsi"/>
          <w:sz w:val="24"/>
          <w:szCs w:val="24"/>
          <w:lang w:val="en"/>
        </w:rPr>
        <w:t xml:space="preserve">Aalberg et al., (2012) discusses how social media platforms are creating celebrities by pushing “likeable” people to become social media personalities and using their popularity to largely influence, manipulate media and lure in crowds. In this sense, popular social media users are able to enforce power in relation to agenda setting or discussing certain topics. This creates an opening of value for business’ whereby organizations can use both popular and powerful social media users to largely increase the popularity of their brand or products (Luong, 2020). </w:t>
      </w:r>
    </w:p>
    <w:p w:rsidR="00F11930" w:rsidRPr="00AF5519" w:rsidRDefault="00F11930" w:rsidP="00F11930">
      <w:pPr>
        <w:spacing w:line="360" w:lineRule="auto"/>
        <w:jc w:val="both"/>
        <w:rPr>
          <w:rFonts w:cstheme="majorHAnsi"/>
          <w:sz w:val="24"/>
          <w:szCs w:val="24"/>
          <w:lang w:val="en"/>
        </w:rPr>
      </w:pPr>
    </w:p>
    <w:p w:rsidR="00F11930" w:rsidRPr="00AF5519" w:rsidRDefault="00F11930" w:rsidP="00F11930">
      <w:pPr>
        <w:pStyle w:val="Heading3"/>
        <w:numPr>
          <w:ilvl w:val="2"/>
          <w:numId w:val="2"/>
        </w:numPr>
        <w:rPr>
          <w:rFonts w:asciiTheme="minorHAnsi" w:hAnsiTheme="minorHAnsi" w:cstheme="majorHAnsi"/>
        </w:rPr>
      </w:pPr>
      <w:bookmarkStart w:id="10" w:name="_Toc41557624"/>
      <w:bookmarkStart w:id="11" w:name="_Toc41648177"/>
      <w:r w:rsidRPr="00AF5519">
        <w:rPr>
          <w:rFonts w:asciiTheme="minorHAnsi" w:hAnsiTheme="minorHAnsi" w:cstheme="majorHAnsi"/>
        </w:rPr>
        <w:t>Social media and the events industry</w:t>
      </w:r>
      <w:bookmarkEnd w:id="10"/>
      <w:bookmarkEnd w:id="11"/>
      <w:r w:rsidRPr="00AF5519">
        <w:rPr>
          <w:rFonts w:asciiTheme="minorHAnsi" w:hAnsiTheme="minorHAnsi" w:cstheme="majorHAnsi"/>
        </w:rPr>
        <w:t xml:space="preserve"> </w:t>
      </w:r>
    </w:p>
    <w:p w:rsidR="00F11930" w:rsidRPr="00AF5519" w:rsidRDefault="00F11930" w:rsidP="00F11930">
      <w:pPr>
        <w:rPr>
          <w:rFonts w:cstheme="majorHAnsi"/>
          <w:sz w:val="24"/>
          <w:szCs w:val="24"/>
        </w:rPr>
      </w:pPr>
    </w:p>
    <w:p w:rsidR="00F11930" w:rsidRPr="00AF5519" w:rsidRDefault="00F11930" w:rsidP="00F11930">
      <w:pPr>
        <w:spacing w:line="360" w:lineRule="auto"/>
        <w:jc w:val="both"/>
        <w:rPr>
          <w:rFonts w:cstheme="majorHAnsi"/>
          <w:sz w:val="24"/>
          <w:szCs w:val="24"/>
          <w:lang w:val="en"/>
        </w:rPr>
      </w:pPr>
      <w:r w:rsidRPr="00AF5519">
        <w:rPr>
          <w:rFonts w:cstheme="majorHAnsi"/>
          <w:sz w:val="24"/>
          <w:szCs w:val="24"/>
          <w:lang w:val="en"/>
        </w:rPr>
        <w:t xml:space="preserve">This rapid growth and infiltration of social media into modern society has meant that many industries have now been transformed as result, including the events industry. </w:t>
      </w:r>
      <w:r w:rsidRPr="00AF5519">
        <w:rPr>
          <w:rFonts w:cstheme="majorHAnsi"/>
          <w:color w:val="222222"/>
          <w:sz w:val="24"/>
          <w:szCs w:val="24"/>
          <w:shd w:val="clear" w:color="auto" w:fill="FFFFFF"/>
        </w:rPr>
        <w:t xml:space="preserve">According to de Almeida et al., (2020) social media has changed the paradigm within the events and tourism industries – altering all aspects from selling, searching, connecting, sharing and consuming. </w:t>
      </w:r>
      <w:r w:rsidRPr="00AF5519">
        <w:rPr>
          <w:rFonts w:cstheme="majorHAnsi"/>
          <w:color w:val="333333"/>
          <w:sz w:val="24"/>
          <w:szCs w:val="24"/>
          <w:shd w:val="clear" w:color="auto" w:fill="FFFFFF"/>
        </w:rPr>
        <w:t xml:space="preserve">The visual features of social media provide users with “virtual socialization” </w:t>
      </w:r>
      <w:r w:rsidRPr="00AF5519">
        <w:rPr>
          <w:rFonts w:cstheme="majorHAnsi"/>
          <w:color w:val="333333"/>
          <w:sz w:val="24"/>
          <w:szCs w:val="24"/>
          <w:shd w:val="clear" w:color="auto" w:fill="FFFFFF"/>
        </w:rPr>
        <w:lastRenderedPageBreak/>
        <w:t xml:space="preserve">whereby users utilise peer communication and product involvement to largely influence attendance or behaviour with the same product (Ho and Teo, 2020). </w:t>
      </w:r>
      <w:r w:rsidRPr="00AF5519">
        <w:rPr>
          <w:rFonts w:cstheme="majorHAnsi"/>
          <w:sz w:val="24"/>
          <w:szCs w:val="24"/>
          <w:lang w:val="en"/>
        </w:rPr>
        <w:t xml:space="preserve"> This influence then also has a direct result on the financial performance.  </w:t>
      </w:r>
      <w:r w:rsidRPr="00AF5519">
        <w:rPr>
          <w:rFonts w:cstheme="majorHAnsi"/>
          <w:color w:val="222222"/>
          <w:sz w:val="24"/>
          <w:szCs w:val="24"/>
          <w:shd w:val="clear" w:color="auto" w:fill="FFFFFF"/>
        </w:rPr>
        <w:t xml:space="preserve">Pacheco and Moreira (2020) discuss the commercial potential of social media, highlighting how the large-scale viral provisions of social media can significantly improve an organisation’s performance – translating that </w:t>
      </w:r>
      <w:r w:rsidRPr="00AF5519">
        <w:rPr>
          <w:rFonts w:cstheme="majorHAnsi"/>
          <w:sz w:val="24"/>
          <w:szCs w:val="24"/>
          <w:lang w:val="en"/>
        </w:rPr>
        <w:t xml:space="preserve">events organizations can achieve enormous reach without the large cost often associated with marketing investments. </w:t>
      </w:r>
    </w:p>
    <w:p w:rsidR="00F11930" w:rsidRPr="00AF5519" w:rsidRDefault="00F11930" w:rsidP="00F11930">
      <w:pPr>
        <w:spacing w:line="360" w:lineRule="auto"/>
        <w:jc w:val="both"/>
        <w:rPr>
          <w:rFonts w:cstheme="majorHAnsi"/>
          <w:i/>
          <w:sz w:val="24"/>
          <w:szCs w:val="24"/>
        </w:rPr>
      </w:pPr>
      <w:r w:rsidRPr="00AF5519">
        <w:rPr>
          <w:rFonts w:cstheme="majorHAnsi"/>
          <w:sz w:val="24"/>
          <w:szCs w:val="24"/>
          <w:lang w:val="en"/>
        </w:rPr>
        <w:t xml:space="preserve">However, observations by New York psychotherapist Nancy Collier (2018) addressed how people have become disconnected from the moment and what really matters as a result of social networking, which has in turn taken its toll on personal relationships. Brody (2017) suggests that many individuals have become slaves to digital devices and as a result are having less time to experience life. </w:t>
      </w:r>
      <w:r w:rsidRPr="00AF5519">
        <w:rPr>
          <w:rFonts w:cstheme="majorHAnsi"/>
          <w:sz w:val="24"/>
          <w:szCs w:val="24"/>
        </w:rPr>
        <w:t xml:space="preserve">Akbari (2018) similarly proposes that social media is accelerating superficial social exchanges and weakening the depth of human interaction.  </w:t>
      </w:r>
    </w:p>
    <w:p w:rsidR="00F11930" w:rsidRPr="00AF5519" w:rsidRDefault="00F11930" w:rsidP="00F11930">
      <w:pPr>
        <w:spacing w:line="360" w:lineRule="auto"/>
        <w:jc w:val="both"/>
        <w:rPr>
          <w:rFonts w:cstheme="majorHAnsi"/>
          <w:sz w:val="24"/>
          <w:szCs w:val="24"/>
        </w:rPr>
      </w:pPr>
      <w:r w:rsidRPr="00AF5519">
        <w:rPr>
          <w:rFonts w:cstheme="majorHAnsi"/>
          <w:sz w:val="24"/>
          <w:szCs w:val="24"/>
        </w:rPr>
        <w:t xml:space="preserve">Though academic research follows the shift in social media from cultural amenity to cultural reliance – its focus is predominantly on our dependency of social media, a concern often overlooked as a result of our infatuation with such platforms. The development of literature that has risen in recent years however is continually questioning our ability to connect and engage as a result of social media – two sentiments heavily associated with live events, and has thus created an intricate relationship where new insights would be invaluable. </w:t>
      </w:r>
    </w:p>
    <w:p w:rsidR="00F11930" w:rsidRPr="00AF5519" w:rsidRDefault="00F11930" w:rsidP="00F11930">
      <w:pPr>
        <w:spacing w:line="360" w:lineRule="auto"/>
        <w:jc w:val="both"/>
        <w:rPr>
          <w:rFonts w:cstheme="majorHAnsi"/>
          <w:sz w:val="24"/>
          <w:szCs w:val="24"/>
        </w:rPr>
      </w:pPr>
    </w:p>
    <w:p w:rsidR="00F11930" w:rsidRPr="00AF5519" w:rsidRDefault="00F11930" w:rsidP="00F11930">
      <w:pPr>
        <w:pStyle w:val="Heading2"/>
        <w:rPr>
          <w:rFonts w:asciiTheme="minorHAnsi" w:hAnsiTheme="minorHAnsi" w:cstheme="majorHAnsi"/>
          <w:sz w:val="24"/>
          <w:szCs w:val="24"/>
        </w:rPr>
      </w:pPr>
      <w:bookmarkStart w:id="12" w:name="_Toc41557625"/>
      <w:bookmarkStart w:id="13" w:name="_Toc41648178"/>
      <w:r w:rsidRPr="00AF5519">
        <w:rPr>
          <w:rFonts w:asciiTheme="minorHAnsi" w:hAnsiTheme="minorHAnsi" w:cstheme="majorHAnsi"/>
          <w:sz w:val="24"/>
          <w:szCs w:val="24"/>
        </w:rPr>
        <w:t>1.2. Value of Research</w:t>
      </w:r>
      <w:bookmarkEnd w:id="12"/>
      <w:bookmarkEnd w:id="13"/>
    </w:p>
    <w:p w:rsidR="00F11930" w:rsidRPr="00AF5519" w:rsidRDefault="00F11930" w:rsidP="00F11930">
      <w:pPr>
        <w:rPr>
          <w:rFonts w:cstheme="majorHAnsi"/>
          <w:sz w:val="24"/>
          <w:szCs w:val="24"/>
        </w:rPr>
      </w:pPr>
    </w:p>
    <w:p w:rsidR="00F11930" w:rsidRPr="00AF5519" w:rsidRDefault="00F11930" w:rsidP="00F11930">
      <w:pPr>
        <w:spacing w:line="360" w:lineRule="auto"/>
        <w:jc w:val="both"/>
        <w:rPr>
          <w:rFonts w:cstheme="majorHAnsi"/>
          <w:sz w:val="24"/>
          <w:szCs w:val="24"/>
        </w:rPr>
      </w:pPr>
      <w:r w:rsidRPr="00AF5519">
        <w:rPr>
          <w:rFonts w:cstheme="majorHAnsi"/>
          <w:sz w:val="24"/>
          <w:szCs w:val="24"/>
        </w:rPr>
        <w:t xml:space="preserve">Research such as that carried out by Collier (2016) simply cites the relevance between social media use and disconnection from the moment. Additional research is needed to understand and explore how lived experiences have been impacted within an events environment and whether there are additional elements that are pertinent to the process. Bell et al., (2018) states that the gap between theoretical reflection and evidence based analysis provides a capacity for future research. </w:t>
      </w:r>
    </w:p>
    <w:p w:rsidR="00F11930" w:rsidRPr="00AF5519" w:rsidRDefault="00F11930" w:rsidP="00F11930">
      <w:pPr>
        <w:rPr>
          <w:rFonts w:cstheme="majorHAnsi"/>
          <w:sz w:val="24"/>
          <w:szCs w:val="24"/>
        </w:rPr>
      </w:pPr>
    </w:p>
    <w:p w:rsidR="00F11930" w:rsidRPr="00AF5519" w:rsidRDefault="00F11930" w:rsidP="00F11930">
      <w:pPr>
        <w:pStyle w:val="Heading2"/>
        <w:rPr>
          <w:rFonts w:asciiTheme="minorHAnsi" w:hAnsiTheme="minorHAnsi" w:cstheme="majorHAnsi"/>
          <w:sz w:val="24"/>
          <w:szCs w:val="24"/>
        </w:rPr>
      </w:pPr>
      <w:bookmarkStart w:id="14" w:name="_Toc41557626"/>
      <w:bookmarkStart w:id="15" w:name="_Toc41648179"/>
      <w:r w:rsidRPr="00AF5519">
        <w:rPr>
          <w:rFonts w:asciiTheme="minorHAnsi" w:hAnsiTheme="minorHAnsi" w:cstheme="majorHAnsi"/>
          <w:sz w:val="24"/>
          <w:szCs w:val="24"/>
        </w:rPr>
        <w:lastRenderedPageBreak/>
        <w:t>1.3. Aims and objectives</w:t>
      </w:r>
      <w:bookmarkEnd w:id="14"/>
      <w:bookmarkEnd w:id="15"/>
      <w:r w:rsidRPr="00AF5519">
        <w:rPr>
          <w:rFonts w:asciiTheme="minorHAnsi" w:hAnsiTheme="minorHAnsi" w:cstheme="majorHAnsi"/>
          <w:sz w:val="24"/>
          <w:szCs w:val="24"/>
        </w:rPr>
        <w:t xml:space="preserve"> </w:t>
      </w:r>
    </w:p>
    <w:p w:rsidR="00F11930" w:rsidRPr="00AF5519" w:rsidRDefault="00F11930" w:rsidP="00F11930">
      <w:pPr>
        <w:pStyle w:val="ListParagraph"/>
        <w:spacing w:line="360" w:lineRule="auto"/>
        <w:ind w:left="360"/>
        <w:jc w:val="both"/>
        <w:rPr>
          <w:rFonts w:cstheme="majorHAnsi"/>
          <w:sz w:val="24"/>
          <w:szCs w:val="24"/>
        </w:rPr>
      </w:pPr>
    </w:p>
    <w:p w:rsidR="00F11930" w:rsidRPr="00AF5519" w:rsidRDefault="00F11930" w:rsidP="00F11930">
      <w:pPr>
        <w:spacing w:line="360" w:lineRule="auto"/>
        <w:jc w:val="both"/>
        <w:rPr>
          <w:rFonts w:cstheme="majorHAnsi"/>
          <w:sz w:val="24"/>
          <w:szCs w:val="24"/>
        </w:rPr>
      </w:pPr>
      <w:r w:rsidRPr="00AF5519">
        <w:rPr>
          <w:rFonts w:cstheme="majorHAnsi"/>
          <w:sz w:val="24"/>
          <w:szCs w:val="24"/>
        </w:rPr>
        <w:t xml:space="preserve">The aim of this dissertation is to advance the understanding of how live event experiences are impacted through smartphone use for social media by building on existing research. This dissertation will help to further the understanding of current theoretical discussions surrounding the topic and propose new understanding’s. </w:t>
      </w:r>
    </w:p>
    <w:p w:rsidR="00F11930" w:rsidRPr="00AF5519" w:rsidRDefault="00F11930" w:rsidP="00F11930">
      <w:pPr>
        <w:spacing w:line="360" w:lineRule="auto"/>
        <w:jc w:val="both"/>
        <w:rPr>
          <w:rFonts w:cstheme="majorHAnsi"/>
          <w:sz w:val="24"/>
          <w:szCs w:val="24"/>
        </w:rPr>
      </w:pPr>
      <w:r w:rsidRPr="00AF5519">
        <w:rPr>
          <w:rFonts w:cstheme="majorHAnsi"/>
          <w:sz w:val="24"/>
          <w:szCs w:val="24"/>
        </w:rPr>
        <w:t>Objectives:</w:t>
      </w:r>
    </w:p>
    <w:p w:rsidR="00F11930" w:rsidRPr="00AF5519" w:rsidRDefault="00F11930" w:rsidP="00F11930">
      <w:pPr>
        <w:pStyle w:val="ListParagraph"/>
        <w:numPr>
          <w:ilvl w:val="0"/>
          <w:numId w:val="1"/>
        </w:numPr>
        <w:spacing w:line="360" w:lineRule="auto"/>
        <w:jc w:val="both"/>
        <w:rPr>
          <w:rFonts w:cstheme="majorHAnsi"/>
          <w:sz w:val="24"/>
          <w:szCs w:val="24"/>
        </w:rPr>
      </w:pPr>
      <w:r w:rsidRPr="00AF5519">
        <w:rPr>
          <w:rFonts w:cstheme="majorHAnsi"/>
          <w:sz w:val="24"/>
          <w:szCs w:val="24"/>
        </w:rPr>
        <w:t xml:space="preserve">To critically analyse previous academic literature surrounding the impacts of smartphone use for social media on events experience. </w:t>
      </w:r>
    </w:p>
    <w:p w:rsidR="00F11930" w:rsidRPr="00AF5519" w:rsidRDefault="00F11930" w:rsidP="00F11930">
      <w:pPr>
        <w:pStyle w:val="ListParagraph"/>
        <w:numPr>
          <w:ilvl w:val="0"/>
          <w:numId w:val="1"/>
        </w:numPr>
        <w:spacing w:line="360" w:lineRule="auto"/>
        <w:jc w:val="both"/>
        <w:rPr>
          <w:rFonts w:cstheme="majorHAnsi"/>
          <w:sz w:val="24"/>
          <w:szCs w:val="24"/>
        </w:rPr>
      </w:pPr>
      <w:r w:rsidRPr="00AF5519">
        <w:rPr>
          <w:rFonts w:cstheme="majorHAnsi"/>
          <w:sz w:val="24"/>
          <w:szCs w:val="24"/>
        </w:rPr>
        <w:t xml:space="preserve">To conduct primary research using mixed methods to identify the extent in which live event experiences are impacted through smartphone use for social media within the Swansea based population. </w:t>
      </w:r>
    </w:p>
    <w:p w:rsidR="00F11930" w:rsidRPr="00AF5519" w:rsidRDefault="00F11930" w:rsidP="00F11930">
      <w:pPr>
        <w:pStyle w:val="ListParagraph"/>
        <w:numPr>
          <w:ilvl w:val="0"/>
          <w:numId w:val="1"/>
        </w:numPr>
        <w:spacing w:line="360" w:lineRule="auto"/>
        <w:jc w:val="both"/>
        <w:rPr>
          <w:rFonts w:cstheme="majorHAnsi"/>
          <w:sz w:val="24"/>
          <w:szCs w:val="24"/>
        </w:rPr>
      </w:pPr>
      <w:r w:rsidRPr="00AF5519">
        <w:rPr>
          <w:rFonts w:cstheme="majorHAnsi"/>
          <w:sz w:val="24"/>
          <w:szCs w:val="24"/>
        </w:rPr>
        <w:t xml:space="preserve">To synthesise extant literature and primary research to determine the role that social media plays within the events industry. </w:t>
      </w:r>
    </w:p>
    <w:p w:rsidR="00F11930" w:rsidRPr="00AF5519" w:rsidRDefault="00F11930" w:rsidP="00F11930">
      <w:pPr>
        <w:pStyle w:val="ListParagraph"/>
        <w:numPr>
          <w:ilvl w:val="0"/>
          <w:numId w:val="1"/>
        </w:numPr>
        <w:spacing w:line="360" w:lineRule="auto"/>
        <w:jc w:val="both"/>
        <w:rPr>
          <w:rFonts w:cstheme="majorHAnsi"/>
          <w:sz w:val="24"/>
          <w:szCs w:val="24"/>
        </w:rPr>
      </w:pPr>
      <w:r w:rsidRPr="00AF5519">
        <w:rPr>
          <w:rFonts w:cstheme="majorHAnsi"/>
          <w:sz w:val="24"/>
          <w:szCs w:val="24"/>
        </w:rPr>
        <w:t xml:space="preserve">To provide recommendations to the events industry on how to successfully use social media to increase event participation whilst improving the event experience for the consumer. </w:t>
      </w:r>
    </w:p>
    <w:p w:rsidR="00F11930" w:rsidRPr="00AF5519" w:rsidRDefault="00F11930" w:rsidP="00F11930">
      <w:pPr>
        <w:pStyle w:val="ListParagraph"/>
        <w:spacing w:line="360" w:lineRule="auto"/>
        <w:ind w:left="1080"/>
        <w:jc w:val="both"/>
        <w:rPr>
          <w:rFonts w:cstheme="majorHAnsi"/>
          <w:sz w:val="24"/>
          <w:szCs w:val="24"/>
        </w:rPr>
      </w:pPr>
    </w:p>
    <w:p w:rsidR="00F11930" w:rsidRPr="00AF5519" w:rsidRDefault="00F11930" w:rsidP="00F11930">
      <w:pPr>
        <w:spacing w:line="360" w:lineRule="auto"/>
        <w:jc w:val="both"/>
        <w:rPr>
          <w:rFonts w:cstheme="majorHAnsi"/>
          <w:sz w:val="24"/>
          <w:szCs w:val="24"/>
        </w:rPr>
      </w:pPr>
      <w:r w:rsidRPr="00AF5519">
        <w:rPr>
          <w:rFonts w:cstheme="majorHAnsi"/>
          <w:sz w:val="24"/>
          <w:szCs w:val="24"/>
        </w:rPr>
        <w:t xml:space="preserve">In order to achieve these objectives, the remainder of the research has been divided into four additional chapters.  Chapter two will provide a thorough analysis of academic literature related to the study and identify gaps for further research. Chapter three will cover in sufficient detail the methodology used to collect primary data covering all aspects relating to procedure, approach, analysis, measures and participants. Chapter four will interpret the data collected from the primary research using synthesized quantitative and qualitative analysis.  Chapter five will contain the interpretation of the results with regard to the overall aim and objectives of the research. This chapter will also include limitations and recommendations for both the events industry and future research. </w:t>
      </w:r>
    </w:p>
    <w:p w:rsidR="00F11930" w:rsidRPr="00AF5519" w:rsidRDefault="00F11930" w:rsidP="00F11930">
      <w:pPr>
        <w:pStyle w:val="Heading1"/>
        <w:rPr>
          <w:rFonts w:asciiTheme="minorHAnsi" w:hAnsiTheme="minorHAnsi"/>
        </w:rPr>
      </w:pPr>
    </w:p>
    <w:p w:rsidR="00F11930" w:rsidRPr="00AF5519" w:rsidRDefault="00F11930" w:rsidP="00F11930">
      <w:pPr>
        <w:pStyle w:val="Heading1"/>
        <w:numPr>
          <w:ilvl w:val="1"/>
          <w:numId w:val="2"/>
        </w:numPr>
        <w:rPr>
          <w:rFonts w:asciiTheme="minorHAnsi" w:hAnsiTheme="minorHAnsi"/>
        </w:rPr>
      </w:pPr>
      <w:bookmarkStart w:id="16" w:name="_Toc41557627"/>
      <w:bookmarkStart w:id="17" w:name="_Toc41648180"/>
      <w:r w:rsidRPr="00AF5519">
        <w:rPr>
          <w:rFonts w:asciiTheme="minorHAnsi" w:hAnsiTheme="minorHAnsi"/>
        </w:rPr>
        <w:t>Conclusion</w:t>
      </w:r>
      <w:bookmarkEnd w:id="16"/>
      <w:bookmarkEnd w:id="17"/>
      <w:r w:rsidRPr="00AF5519">
        <w:rPr>
          <w:rFonts w:asciiTheme="minorHAnsi" w:hAnsiTheme="minorHAnsi"/>
        </w:rPr>
        <w:t xml:space="preserve"> </w:t>
      </w:r>
    </w:p>
    <w:p w:rsidR="00F11930" w:rsidRPr="00AF5519" w:rsidRDefault="00F11930" w:rsidP="00F11930">
      <w:pPr>
        <w:spacing w:line="360" w:lineRule="auto"/>
        <w:jc w:val="both"/>
        <w:rPr>
          <w:rFonts w:cstheme="majorHAnsi"/>
          <w:sz w:val="24"/>
          <w:szCs w:val="24"/>
        </w:rPr>
      </w:pPr>
    </w:p>
    <w:p w:rsidR="00F11930" w:rsidRPr="00AF5519" w:rsidRDefault="00F11930" w:rsidP="00F11930">
      <w:pPr>
        <w:spacing w:line="360" w:lineRule="auto"/>
        <w:jc w:val="both"/>
        <w:rPr>
          <w:rFonts w:cstheme="majorHAnsi"/>
          <w:sz w:val="24"/>
          <w:szCs w:val="24"/>
        </w:rPr>
      </w:pPr>
      <w:r w:rsidRPr="00AF5519">
        <w:rPr>
          <w:rFonts w:cstheme="majorHAnsi"/>
          <w:sz w:val="24"/>
          <w:szCs w:val="24"/>
        </w:rPr>
        <w:t>Chapter 1 has provided an introduction into the rising use of social media and provided essential background information as well as a brief consideration of the literature from previous research. Chapter 2 moves on to investigate in further detail the key themes surrounding the chosen topic that arise from a variety of published literature.</w:t>
      </w:r>
    </w:p>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Pr>
        <w:pStyle w:val="Heading1"/>
        <w:rPr>
          <w:rFonts w:asciiTheme="minorHAnsi" w:hAnsiTheme="minorHAnsi"/>
        </w:rPr>
      </w:pPr>
      <w:bookmarkStart w:id="18" w:name="_Toc41557628"/>
      <w:bookmarkStart w:id="19" w:name="_Toc41648181"/>
      <w:r w:rsidRPr="00AF5519">
        <w:rPr>
          <w:rFonts w:asciiTheme="minorHAnsi" w:hAnsiTheme="minorHAnsi"/>
        </w:rPr>
        <w:t>Chapter 2: Literature Review</w:t>
      </w:r>
      <w:bookmarkEnd w:id="18"/>
      <w:bookmarkEnd w:id="19"/>
    </w:p>
    <w:p w:rsidR="00F11930" w:rsidRPr="00AF5519" w:rsidRDefault="00F11930" w:rsidP="00F11930">
      <w:pPr>
        <w:spacing w:line="360" w:lineRule="auto"/>
        <w:jc w:val="both"/>
        <w:rPr>
          <w:rFonts w:cstheme="majorHAnsi"/>
          <w:color w:val="FF0000"/>
          <w:sz w:val="24"/>
          <w:szCs w:val="24"/>
          <w:shd w:val="clear" w:color="auto" w:fill="FFFFFF"/>
        </w:rPr>
      </w:pPr>
    </w:p>
    <w:p w:rsidR="00F11930" w:rsidRPr="00AF5519" w:rsidRDefault="00F11930" w:rsidP="00F11930">
      <w:pPr>
        <w:pStyle w:val="Heading2"/>
        <w:spacing w:line="360" w:lineRule="auto"/>
        <w:jc w:val="both"/>
        <w:rPr>
          <w:rFonts w:asciiTheme="minorHAnsi" w:hAnsiTheme="minorHAnsi" w:cstheme="majorHAnsi"/>
          <w:sz w:val="24"/>
          <w:szCs w:val="24"/>
          <w:shd w:val="clear" w:color="auto" w:fill="FFFFFF"/>
        </w:rPr>
      </w:pPr>
      <w:bookmarkStart w:id="20" w:name="_Toc41557629"/>
      <w:bookmarkStart w:id="21" w:name="_Toc41648182"/>
      <w:r w:rsidRPr="00AF5519">
        <w:rPr>
          <w:rFonts w:asciiTheme="minorHAnsi" w:hAnsiTheme="minorHAnsi" w:cstheme="majorHAnsi"/>
          <w:sz w:val="24"/>
          <w:szCs w:val="24"/>
          <w:shd w:val="clear" w:color="auto" w:fill="FFFFFF"/>
        </w:rPr>
        <w:t>2.1. Introduction</w:t>
      </w:r>
      <w:bookmarkEnd w:id="20"/>
      <w:bookmarkEnd w:id="21"/>
      <w:r w:rsidRPr="00AF5519">
        <w:rPr>
          <w:rFonts w:asciiTheme="minorHAnsi" w:hAnsiTheme="minorHAnsi" w:cstheme="majorHAnsi"/>
          <w:sz w:val="24"/>
          <w:szCs w:val="24"/>
          <w:shd w:val="clear" w:color="auto" w:fill="FFFFFF"/>
        </w:rPr>
        <w:t xml:space="preserve"> </w:t>
      </w:r>
    </w:p>
    <w:p w:rsidR="00F11930" w:rsidRPr="00AF5519" w:rsidRDefault="00F11930" w:rsidP="00F11930"/>
    <w:p w:rsidR="00F11930" w:rsidRPr="00AF5519" w:rsidRDefault="00F11930" w:rsidP="00F11930">
      <w:pPr>
        <w:spacing w:line="360" w:lineRule="auto"/>
        <w:jc w:val="both"/>
        <w:rPr>
          <w:rFonts w:cstheme="majorHAnsi"/>
          <w:sz w:val="24"/>
          <w:szCs w:val="24"/>
          <w:shd w:val="clear" w:color="auto" w:fill="FFFFFF"/>
        </w:rPr>
      </w:pPr>
      <w:r w:rsidRPr="00AF5519">
        <w:rPr>
          <w:rFonts w:cstheme="majorHAnsi"/>
          <w:sz w:val="24"/>
          <w:szCs w:val="24"/>
          <w:shd w:val="clear" w:color="auto" w:fill="FFFFFF"/>
        </w:rPr>
        <w:t>This chapter aims to address the first objective of this thesis;</w:t>
      </w:r>
    </w:p>
    <w:p w:rsidR="00F11930" w:rsidRPr="00AF5519" w:rsidRDefault="00F11930" w:rsidP="00F11930">
      <w:pPr>
        <w:pStyle w:val="ListParagraph"/>
        <w:numPr>
          <w:ilvl w:val="0"/>
          <w:numId w:val="3"/>
        </w:numPr>
        <w:spacing w:line="360" w:lineRule="auto"/>
        <w:jc w:val="both"/>
        <w:rPr>
          <w:rFonts w:cstheme="majorHAnsi"/>
          <w:i/>
          <w:iCs/>
          <w:sz w:val="24"/>
          <w:szCs w:val="24"/>
        </w:rPr>
      </w:pPr>
      <w:r w:rsidRPr="00AF5519">
        <w:rPr>
          <w:rFonts w:cstheme="majorHAnsi"/>
          <w:i/>
          <w:iCs/>
          <w:sz w:val="24"/>
          <w:szCs w:val="24"/>
        </w:rPr>
        <w:t xml:space="preserve">To critically analyse previous academic literature surrounding the impacts of smartphone use for social media on live events experience. </w:t>
      </w:r>
    </w:p>
    <w:p w:rsidR="00F11930" w:rsidRPr="00AF5519" w:rsidRDefault="00F11930" w:rsidP="00F11930">
      <w:pPr>
        <w:spacing w:line="360" w:lineRule="auto"/>
        <w:jc w:val="both"/>
        <w:rPr>
          <w:rFonts w:cstheme="majorHAnsi"/>
          <w:sz w:val="24"/>
          <w:szCs w:val="24"/>
        </w:rPr>
      </w:pPr>
      <w:r w:rsidRPr="00AF5519">
        <w:rPr>
          <w:rFonts w:cstheme="majorHAnsi"/>
          <w:sz w:val="24"/>
          <w:szCs w:val="24"/>
        </w:rPr>
        <w:t xml:space="preserve">The researcher aims to accomplish this objective by conducting an extensive literature review using a variety of sources including relevant textbooks and literature, peer reviewed academic journals and trade publications. This chapter will first provide key definitions relative to the thesis, followed by an overview of the varied theoretical observations and epistemological foundations related to increased social media use and its influence on the events industry. The literature analysed in this chapter will provide the fundamental basis and underpinning of the data that will construct the methodology chapter. </w:t>
      </w:r>
    </w:p>
    <w:p w:rsidR="00F11930" w:rsidRPr="00AF5519" w:rsidRDefault="00F11930" w:rsidP="00F11930">
      <w:pPr>
        <w:spacing w:line="360" w:lineRule="auto"/>
        <w:jc w:val="both"/>
        <w:rPr>
          <w:rFonts w:cstheme="majorHAnsi"/>
          <w:sz w:val="24"/>
          <w:szCs w:val="24"/>
        </w:rPr>
      </w:pPr>
    </w:p>
    <w:p w:rsidR="00F11930" w:rsidRPr="00AF5519" w:rsidRDefault="00F11930" w:rsidP="00F11930">
      <w:pPr>
        <w:pStyle w:val="Heading2"/>
        <w:spacing w:line="360" w:lineRule="auto"/>
        <w:jc w:val="both"/>
        <w:rPr>
          <w:rFonts w:asciiTheme="minorHAnsi" w:hAnsiTheme="minorHAnsi" w:cstheme="majorHAnsi"/>
          <w:sz w:val="24"/>
          <w:szCs w:val="24"/>
        </w:rPr>
      </w:pPr>
      <w:bookmarkStart w:id="22" w:name="_Toc41557630"/>
      <w:bookmarkStart w:id="23" w:name="_Toc41648183"/>
      <w:r w:rsidRPr="00AF5519">
        <w:rPr>
          <w:rFonts w:asciiTheme="minorHAnsi" w:hAnsiTheme="minorHAnsi" w:cstheme="majorHAnsi"/>
          <w:sz w:val="24"/>
          <w:szCs w:val="24"/>
        </w:rPr>
        <w:t>2.2. The role of Social Media</w:t>
      </w:r>
      <w:bookmarkEnd w:id="22"/>
      <w:bookmarkEnd w:id="23"/>
    </w:p>
    <w:p w:rsidR="00F11930" w:rsidRPr="00AF5519" w:rsidRDefault="00F11930" w:rsidP="00F11930">
      <w:pPr>
        <w:spacing w:line="360" w:lineRule="auto"/>
        <w:jc w:val="both"/>
        <w:rPr>
          <w:rFonts w:cstheme="majorHAnsi"/>
          <w:sz w:val="24"/>
          <w:szCs w:val="24"/>
        </w:rPr>
      </w:pPr>
    </w:p>
    <w:p w:rsidR="00F11930" w:rsidRPr="00AF5519" w:rsidRDefault="00F11930" w:rsidP="00F11930">
      <w:pPr>
        <w:spacing w:line="360" w:lineRule="auto"/>
        <w:jc w:val="both"/>
        <w:rPr>
          <w:rFonts w:cstheme="majorHAnsi"/>
          <w:sz w:val="24"/>
          <w:szCs w:val="24"/>
          <w:shd w:val="clear" w:color="auto" w:fill="FFFFFF"/>
        </w:rPr>
      </w:pPr>
      <w:r w:rsidRPr="00AF5519">
        <w:rPr>
          <w:rFonts w:cstheme="majorHAnsi"/>
          <w:sz w:val="24"/>
          <w:szCs w:val="24"/>
        </w:rPr>
        <w:t xml:space="preserve">Joosten (2012) defines social media as a wide-ranging term that is largely used to group together any technological platform that is related to community and collaboration.  Nasr and Rached (2019) note that in a world migrating to digital, social media has become omnipresent. Some authors have also suggested that this omnipresence of social media has changed the way in which we perceive, participate and immerse with our environment – and when experiencing spectacular situations, our new-found hunger for social recognition is depriving us of the “pinch me” moments (Tollman, 2018). </w:t>
      </w:r>
      <w:r w:rsidRPr="00AF5519">
        <w:rPr>
          <w:rFonts w:cstheme="majorHAnsi"/>
          <w:sz w:val="24"/>
          <w:szCs w:val="24"/>
          <w:shd w:val="clear" w:color="auto" w:fill="FFFFFF"/>
        </w:rPr>
        <w:t xml:space="preserve">A recent study by Northumberland Gazette (2020) found that when attending events, UK adults spend 10 minutes trying to capture a likeable picture, 15 minutes editing and posting photos after the event - and yet despite this </w:t>
      </w:r>
      <w:r w:rsidRPr="00AF5519">
        <w:rPr>
          <w:rFonts w:cstheme="majorHAnsi"/>
          <w:sz w:val="24"/>
          <w:szCs w:val="24"/>
          <w:shd w:val="clear" w:color="auto" w:fill="FFFFFF"/>
        </w:rPr>
        <w:lastRenderedPageBreak/>
        <w:t xml:space="preserve">58% of study respondents revealed they had past event photos on their smartphones that they had never looked at. </w:t>
      </w:r>
      <w:r w:rsidRPr="00AF5519">
        <w:rPr>
          <w:rFonts w:cstheme="majorHAnsi"/>
          <w:sz w:val="24"/>
          <w:szCs w:val="24"/>
        </w:rPr>
        <w:t>There is however a large body of literature discussing how industries can capitalise on the capacity of social media by exploiting its ability to engage with potential consumers, increase online presence and as a result generate greater economic income (Leung et al., 2013).</w:t>
      </w:r>
    </w:p>
    <w:p w:rsidR="00F11930" w:rsidRPr="00AF5519" w:rsidRDefault="00F11930" w:rsidP="00F11930">
      <w:pPr>
        <w:spacing w:line="360" w:lineRule="auto"/>
        <w:jc w:val="both"/>
        <w:rPr>
          <w:rFonts w:cstheme="majorHAnsi"/>
          <w:sz w:val="24"/>
          <w:szCs w:val="24"/>
          <w:shd w:val="clear" w:color="auto" w:fill="FFFFFF"/>
        </w:rPr>
      </w:pPr>
    </w:p>
    <w:p w:rsidR="00F11930" w:rsidRPr="00AF5519" w:rsidRDefault="00F11930" w:rsidP="00F11930">
      <w:pPr>
        <w:pStyle w:val="Heading2"/>
        <w:spacing w:line="360" w:lineRule="auto"/>
        <w:jc w:val="both"/>
        <w:rPr>
          <w:rFonts w:asciiTheme="minorHAnsi" w:hAnsiTheme="minorHAnsi" w:cstheme="majorHAnsi"/>
          <w:sz w:val="24"/>
          <w:szCs w:val="24"/>
        </w:rPr>
      </w:pPr>
      <w:bookmarkStart w:id="24" w:name="_Toc41557631"/>
      <w:bookmarkStart w:id="25" w:name="_Toc41648184"/>
      <w:r w:rsidRPr="00AF5519">
        <w:rPr>
          <w:rFonts w:asciiTheme="minorHAnsi" w:hAnsiTheme="minorHAnsi" w:cstheme="majorHAnsi"/>
          <w:sz w:val="24"/>
          <w:szCs w:val="24"/>
        </w:rPr>
        <w:t>2.3. Digital Technology and Memory</w:t>
      </w:r>
      <w:bookmarkEnd w:id="24"/>
      <w:bookmarkEnd w:id="25"/>
      <w:r w:rsidRPr="00AF5519">
        <w:rPr>
          <w:rFonts w:asciiTheme="minorHAnsi" w:hAnsiTheme="minorHAnsi" w:cstheme="majorHAnsi"/>
          <w:sz w:val="24"/>
          <w:szCs w:val="24"/>
        </w:rPr>
        <w:t xml:space="preserve"> </w:t>
      </w:r>
    </w:p>
    <w:p w:rsidR="00F11930" w:rsidRPr="00AF5519" w:rsidRDefault="00F11930" w:rsidP="00F11930">
      <w:pPr>
        <w:spacing w:line="360" w:lineRule="auto"/>
        <w:jc w:val="both"/>
        <w:rPr>
          <w:rFonts w:cstheme="majorHAnsi"/>
          <w:sz w:val="24"/>
          <w:szCs w:val="24"/>
        </w:rPr>
      </w:pPr>
    </w:p>
    <w:p w:rsidR="00F11930" w:rsidRPr="00AF5519" w:rsidRDefault="00F11930" w:rsidP="00F11930">
      <w:pPr>
        <w:spacing w:line="360" w:lineRule="auto"/>
        <w:jc w:val="both"/>
        <w:rPr>
          <w:rFonts w:cstheme="majorHAnsi"/>
          <w:color w:val="000000" w:themeColor="text1"/>
          <w:sz w:val="24"/>
          <w:szCs w:val="24"/>
          <w:shd w:val="clear" w:color="auto" w:fill="FFFFFF"/>
        </w:rPr>
      </w:pPr>
      <w:r w:rsidRPr="00AF5519">
        <w:rPr>
          <w:rFonts w:cstheme="majorHAnsi"/>
          <w:color w:val="000000" w:themeColor="text1"/>
          <w:sz w:val="24"/>
          <w:szCs w:val="24"/>
          <w:shd w:val="clear" w:color="auto" w:fill="FFFFFF"/>
        </w:rPr>
        <w:t xml:space="preserve">A series of recent studies have indicated that digital technology is having an increasing impact on memory. Prior research by Soares and Storm (2018) states that when taking a photo to capture an experience, the individual disengages from the moment and as a result, the memory is stored less deeply that it otherwise would be. Their research also discusses the “photo-taking impairment effect” – a phenomenon which highlights how individuals are less likely to remember objects or experiences that they photograph than objects or experiences that they only observed. The research carried out by Soares and Storm (2018) also focused on a new hypothesis that suggested that an individual is removed from the present moment when engaging with a camera or phone, so much so that it is enough to weaken memory formation even after they put the camera down – this is known as “attentional disengagement”. Memory impairment can be further impacted through social media apps, whereby filters or texts found on the app interfaces can provide greater distractions from the moment or experience itself (Yu, 2019). These findings, alongside prior research by McGaugh (2000) linking emotional stimulation and memory in hand, indicate that adding content to social media platforms severely impacts a whole generation’s ability to stay present and engaged in the moment, whilst also effecting personal memory development. Ultimately, individuals are putting a screen between themselves and the moment which becomes a barrier to personal presence and the memory that is formed. Despite this, other authors such as Yu (2019) have recognized that whilst interrupting moments can be seen as the pinnacle reason behind memory-impairment, there is also evidence to suggest that the intention behind capturing a moment can in itself alter whether or not the memory is stored. The question that then naturally arises is to what extent is photo taking effecting our memory? Whilst Soares and Storm (2018) indicate that the studies into this are in preliminary stages, </w:t>
      </w:r>
      <w:r w:rsidRPr="00AF5519">
        <w:rPr>
          <w:rFonts w:cstheme="majorHAnsi"/>
          <w:color w:val="000000" w:themeColor="text1"/>
          <w:sz w:val="24"/>
          <w:szCs w:val="24"/>
          <w:shd w:val="clear" w:color="auto" w:fill="FFFFFF"/>
        </w:rPr>
        <w:lastRenderedPageBreak/>
        <w:t xml:space="preserve">they still suggest that using volition in the process of meticulously taking a photo for memory’s sake can actually show an advantage in memory retention. Similar findings have been highlighted by Barasch et al (2017) whose research suggests that the photo taking act itself can alter the creation of memories and appraisals of an experience compared to not taking photos at all. This theory is further developed by Lashbrook (2020) who proposes that well-chosen photos can spark further memories after the event has happened, without which the individual may have forgotten. Historically, there has been a great deal of confusion in literature regarding technology and memory and so this is an area that will benefit from further research. </w:t>
      </w:r>
    </w:p>
    <w:p w:rsidR="00F11930" w:rsidRPr="00AF5519" w:rsidRDefault="00F11930" w:rsidP="00F11930">
      <w:pPr>
        <w:spacing w:line="360" w:lineRule="auto"/>
        <w:jc w:val="both"/>
        <w:rPr>
          <w:rFonts w:cstheme="majorHAnsi"/>
          <w:color w:val="000000" w:themeColor="text1"/>
          <w:sz w:val="24"/>
          <w:szCs w:val="24"/>
          <w:shd w:val="clear" w:color="auto" w:fill="FFFFFF"/>
        </w:rPr>
      </w:pPr>
    </w:p>
    <w:p w:rsidR="00F11930" w:rsidRPr="00AF5519" w:rsidRDefault="00F11930" w:rsidP="00F11930">
      <w:pPr>
        <w:pStyle w:val="Heading2"/>
        <w:spacing w:line="360" w:lineRule="auto"/>
        <w:jc w:val="both"/>
        <w:rPr>
          <w:rFonts w:asciiTheme="minorHAnsi" w:hAnsiTheme="minorHAnsi" w:cstheme="majorHAnsi"/>
          <w:sz w:val="24"/>
          <w:szCs w:val="24"/>
          <w:shd w:val="clear" w:color="auto" w:fill="FFFFFF"/>
        </w:rPr>
      </w:pPr>
      <w:bookmarkStart w:id="26" w:name="_Toc41557632"/>
      <w:bookmarkStart w:id="27" w:name="_Toc41648185"/>
      <w:r w:rsidRPr="00AF5519">
        <w:rPr>
          <w:rFonts w:asciiTheme="minorHAnsi" w:hAnsiTheme="minorHAnsi" w:cstheme="majorHAnsi"/>
          <w:sz w:val="24"/>
          <w:szCs w:val="24"/>
          <w:shd w:val="clear" w:color="auto" w:fill="FFFFFF"/>
        </w:rPr>
        <w:t>2.4. Photo Sharing</w:t>
      </w:r>
      <w:bookmarkEnd w:id="26"/>
      <w:bookmarkEnd w:id="27"/>
      <w:r w:rsidRPr="00AF5519">
        <w:rPr>
          <w:rFonts w:asciiTheme="minorHAnsi" w:hAnsiTheme="minorHAnsi" w:cstheme="majorHAnsi"/>
          <w:sz w:val="24"/>
          <w:szCs w:val="24"/>
          <w:shd w:val="clear" w:color="auto" w:fill="FFFFFF"/>
        </w:rPr>
        <w:t xml:space="preserve"> </w:t>
      </w:r>
    </w:p>
    <w:p w:rsidR="00F11930" w:rsidRPr="00AF5519" w:rsidRDefault="00F11930" w:rsidP="00F11930">
      <w:pPr>
        <w:spacing w:line="360" w:lineRule="auto"/>
        <w:jc w:val="both"/>
        <w:rPr>
          <w:rFonts w:cstheme="majorHAnsi"/>
          <w:sz w:val="24"/>
          <w:szCs w:val="24"/>
        </w:rPr>
      </w:pPr>
    </w:p>
    <w:p w:rsidR="00F11930" w:rsidRPr="00AF5519" w:rsidRDefault="00F11930" w:rsidP="00F11930">
      <w:pPr>
        <w:spacing w:line="360" w:lineRule="auto"/>
        <w:jc w:val="both"/>
        <w:rPr>
          <w:rFonts w:cstheme="majorHAnsi"/>
          <w:sz w:val="24"/>
          <w:szCs w:val="24"/>
          <w:shd w:val="clear" w:color="auto" w:fill="FFFFFF"/>
        </w:rPr>
      </w:pPr>
      <w:r w:rsidRPr="00AF5519">
        <w:rPr>
          <w:rFonts w:cstheme="majorHAnsi"/>
          <w:sz w:val="24"/>
          <w:szCs w:val="24"/>
          <w:shd w:val="clear" w:color="auto" w:fill="FFFFFF"/>
        </w:rPr>
        <w:t xml:space="preserve">Early research from Myers (2000) suggests that photo sharing with others allows individuals to improve their social relationships and thus, the act is a vital aspect of human well-being. This has been discussed by a great number of authors in literature who also propose that the act of photo sharing can greatly increase consumer enjoyment of an experience. Findings from Lambert et al., (2013) suggest that consumers who have a sharing vision of an experience, gain value in the present through predicting their future sharing behaviour after the experience itself. In addition to this, the actions in the present associated with the consumer’s future sharing goal such as photo taking could result in increased current enjoyment (Fishbach et al., 2004). </w:t>
      </w:r>
    </w:p>
    <w:p w:rsidR="00F11930" w:rsidRPr="00AF5519" w:rsidRDefault="00F11930" w:rsidP="00F11930">
      <w:pPr>
        <w:spacing w:line="360" w:lineRule="auto"/>
        <w:jc w:val="both"/>
        <w:rPr>
          <w:rFonts w:cstheme="majorHAnsi"/>
          <w:color w:val="222222"/>
          <w:sz w:val="24"/>
          <w:szCs w:val="24"/>
          <w:shd w:val="clear" w:color="auto" w:fill="FFFFFF"/>
        </w:rPr>
      </w:pPr>
      <w:r w:rsidRPr="00AF5519">
        <w:rPr>
          <w:rFonts w:cstheme="majorHAnsi"/>
          <w:sz w:val="24"/>
          <w:szCs w:val="24"/>
          <w:shd w:val="clear" w:color="auto" w:fill="FFFFFF"/>
        </w:rPr>
        <w:t xml:space="preserve">Yet despite these theories, there exists a considerable body of literature on how the intention of photo sharing can also have the opposite effect. </w:t>
      </w:r>
      <w:r w:rsidRPr="00AF5519">
        <w:rPr>
          <w:rFonts w:cstheme="majorHAnsi"/>
          <w:color w:val="222222"/>
          <w:sz w:val="24"/>
          <w:szCs w:val="24"/>
          <w:shd w:val="clear" w:color="auto" w:fill="FFFFFF"/>
        </w:rPr>
        <w:t xml:space="preserve">Barasch et al., (2018) argues that the intention of photo sharing actually decreases enjoyment of the current experience as it can generate disutility and provoke self-presentational concern. Early research from Leary and Kowalski (1990) also touches upon this argument in stating that individuals have a self-presentational motive of communicating desired identities to others due to photographs conveying information about the individual that others may judge or evaluate. As a result of this, consumers are frequently worried about managing social media impressions and spend considerable time and effort curating their social media existence (Gonzales and Hancock, </w:t>
      </w:r>
      <w:r w:rsidRPr="00AF5519">
        <w:rPr>
          <w:rFonts w:cstheme="majorHAnsi"/>
          <w:color w:val="222222"/>
          <w:sz w:val="24"/>
          <w:szCs w:val="24"/>
          <w:shd w:val="clear" w:color="auto" w:fill="FFFFFF"/>
        </w:rPr>
        <w:lastRenderedPageBreak/>
        <w:t xml:space="preserve">2011). In addition to this, Leary (2007) discusses how self-presentational concern is largely associated with several self-conscious emotions such as anxiety and peer pressure. These negative self-conscious sentiments have long been discussed in literature as possible direct contributors to the reduction in hedonic enjoyment (Diener, 1979). Whilst there are many studies into the relationship between human emotions and the reduction of hedonic enjoyment, the research into whether this relationship maintains itself within an events environment remains limited. </w:t>
      </w:r>
    </w:p>
    <w:p w:rsidR="00F11930" w:rsidRPr="00AF5519" w:rsidRDefault="00F11930" w:rsidP="00F11930">
      <w:pPr>
        <w:spacing w:line="360" w:lineRule="auto"/>
        <w:jc w:val="both"/>
        <w:rPr>
          <w:rFonts w:cstheme="majorHAnsi"/>
          <w:sz w:val="24"/>
          <w:szCs w:val="24"/>
          <w:shd w:val="clear" w:color="auto" w:fill="FFFFFF"/>
        </w:rPr>
      </w:pPr>
    </w:p>
    <w:p w:rsidR="00F11930" w:rsidRPr="00AF5519" w:rsidRDefault="00F11930" w:rsidP="00F11930">
      <w:pPr>
        <w:pStyle w:val="Heading2"/>
        <w:spacing w:line="360" w:lineRule="auto"/>
        <w:jc w:val="both"/>
        <w:rPr>
          <w:rFonts w:asciiTheme="minorHAnsi" w:hAnsiTheme="minorHAnsi" w:cstheme="majorHAnsi"/>
          <w:sz w:val="24"/>
          <w:szCs w:val="24"/>
          <w:shd w:val="clear" w:color="auto" w:fill="FFFFFF"/>
        </w:rPr>
      </w:pPr>
      <w:bookmarkStart w:id="28" w:name="_Toc41557633"/>
      <w:bookmarkStart w:id="29" w:name="_Toc41648186"/>
      <w:r w:rsidRPr="00AF5519">
        <w:rPr>
          <w:rFonts w:asciiTheme="minorHAnsi" w:hAnsiTheme="minorHAnsi" w:cstheme="majorHAnsi"/>
          <w:sz w:val="24"/>
          <w:szCs w:val="24"/>
          <w:shd w:val="clear" w:color="auto" w:fill="FFFFFF"/>
        </w:rPr>
        <w:t>2.4.1. Photo ‘likes’ and comments</w:t>
      </w:r>
      <w:bookmarkEnd w:id="28"/>
      <w:bookmarkEnd w:id="29"/>
      <w:r w:rsidRPr="00AF5519">
        <w:rPr>
          <w:rFonts w:asciiTheme="minorHAnsi" w:hAnsiTheme="minorHAnsi" w:cstheme="majorHAnsi"/>
          <w:sz w:val="24"/>
          <w:szCs w:val="24"/>
          <w:shd w:val="clear" w:color="auto" w:fill="FFFFFF"/>
        </w:rPr>
        <w:t xml:space="preserve"> </w:t>
      </w:r>
    </w:p>
    <w:p w:rsidR="00F11930" w:rsidRPr="00AF5519" w:rsidRDefault="00F11930" w:rsidP="00F11930">
      <w:pPr>
        <w:spacing w:line="360" w:lineRule="auto"/>
        <w:jc w:val="both"/>
        <w:rPr>
          <w:rFonts w:cstheme="majorHAnsi"/>
          <w:sz w:val="24"/>
          <w:szCs w:val="24"/>
        </w:rPr>
      </w:pPr>
    </w:p>
    <w:p w:rsidR="00F11930" w:rsidRPr="00AF5519" w:rsidRDefault="00F11930" w:rsidP="00F11930">
      <w:pPr>
        <w:spacing w:line="360" w:lineRule="auto"/>
        <w:jc w:val="both"/>
        <w:rPr>
          <w:rFonts w:cstheme="majorHAnsi"/>
          <w:color w:val="222222"/>
          <w:sz w:val="24"/>
          <w:szCs w:val="24"/>
          <w:shd w:val="clear" w:color="auto" w:fill="FFFFFF"/>
        </w:rPr>
      </w:pPr>
      <w:r w:rsidRPr="00AF5519">
        <w:rPr>
          <w:rFonts w:cstheme="majorHAnsi"/>
          <w:color w:val="222222"/>
          <w:sz w:val="24"/>
          <w:szCs w:val="24"/>
          <w:shd w:val="clear" w:color="auto" w:fill="FFFFFF"/>
        </w:rPr>
        <w:t xml:space="preserve">Moreover, photo sharing is often linked to photo ‘likes’ and positive comments; with both being seen as key motivational factors behind sharing evidence of an experience. Jacob (2018) discusses how these elements are often seen as social currency which strengthens the notion of each picture or post being an applause worthy performance. This in itself creates an online culture that is designed and centred around the motive to impress. Social media has made these aspects quantifiable which has deepened the need for validation from others (Ormerod, 2018). Sean Parker - one of Facebook’s inventors - stated that a social media site is a “social-validation feedback loop exploiting a vulnerability in human psychology” (Ormerod, 2018). He further explained that social media platforms were designed to attract as much of the consumer’s attention as possible, and as a result the ‘like’ button was created, giving users what he described as a ‘little dopamine hit’, which would result in consumers using the platform on a greater scale and being driven to upload more content. Prior studies by Frith (2017) into this human vulnerability found that the need for ‘likes’ and external validation from others was highly linked to greater anxiety and lower self-esteem. There are however key questions and notions that are still not discussed in the literature relating to whether this desire to achieve ‘likes’ on content posted from an event can indirectly impact on the individual’s experience and their perception of the event after it has happened. </w:t>
      </w:r>
    </w:p>
    <w:p w:rsidR="00F11930" w:rsidRPr="00AF5519" w:rsidRDefault="00F11930" w:rsidP="00F11930">
      <w:pPr>
        <w:spacing w:line="360" w:lineRule="auto"/>
        <w:jc w:val="both"/>
        <w:rPr>
          <w:rFonts w:cstheme="majorHAnsi"/>
          <w:color w:val="222222"/>
          <w:sz w:val="24"/>
          <w:szCs w:val="24"/>
          <w:shd w:val="clear" w:color="auto" w:fill="FFFFFF"/>
        </w:rPr>
      </w:pPr>
    </w:p>
    <w:p w:rsidR="00F11930" w:rsidRPr="00AF5519" w:rsidRDefault="00F11930" w:rsidP="00F11930">
      <w:pPr>
        <w:pStyle w:val="Heading2"/>
        <w:spacing w:line="360" w:lineRule="auto"/>
        <w:jc w:val="both"/>
        <w:rPr>
          <w:rFonts w:asciiTheme="minorHAnsi" w:hAnsiTheme="minorHAnsi" w:cstheme="majorHAnsi"/>
          <w:sz w:val="24"/>
          <w:szCs w:val="24"/>
          <w:shd w:val="clear" w:color="auto" w:fill="FFFFFF"/>
        </w:rPr>
      </w:pPr>
      <w:bookmarkStart w:id="30" w:name="_Toc41557634"/>
      <w:bookmarkStart w:id="31" w:name="_Toc41648187"/>
      <w:r w:rsidRPr="00AF5519">
        <w:rPr>
          <w:rFonts w:asciiTheme="minorHAnsi" w:hAnsiTheme="minorHAnsi" w:cstheme="majorHAnsi"/>
          <w:sz w:val="24"/>
          <w:szCs w:val="24"/>
          <w:shd w:val="clear" w:color="auto" w:fill="FFFFFF"/>
        </w:rPr>
        <w:t>2.5. Fear of missing out and social comparison orientation</w:t>
      </w:r>
      <w:bookmarkEnd w:id="30"/>
      <w:bookmarkEnd w:id="31"/>
      <w:r w:rsidRPr="00AF5519">
        <w:rPr>
          <w:rFonts w:asciiTheme="minorHAnsi" w:hAnsiTheme="minorHAnsi" w:cstheme="majorHAnsi"/>
          <w:sz w:val="24"/>
          <w:szCs w:val="24"/>
          <w:shd w:val="clear" w:color="auto" w:fill="FFFFFF"/>
        </w:rPr>
        <w:t xml:space="preserve"> </w:t>
      </w:r>
    </w:p>
    <w:p w:rsidR="00F11930" w:rsidRPr="00AF5519" w:rsidRDefault="00F11930" w:rsidP="00F11930">
      <w:pPr>
        <w:spacing w:line="360" w:lineRule="auto"/>
        <w:jc w:val="both"/>
        <w:rPr>
          <w:rFonts w:cstheme="majorHAnsi"/>
          <w:sz w:val="24"/>
          <w:szCs w:val="24"/>
        </w:rPr>
      </w:pPr>
    </w:p>
    <w:p w:rsidR="00F11930" w:rsidRPr="00AF5519" w:rsidRDefault="00F11930" w:rsidP="00F11930">
      <w:pPr>
        <w:spacing w:line="360" w:lineRule="auto"/>
        <w:jc w:val="both"/>
        <w:rPr>
          <w:rFonts w:cstheme="majorHAnsi"/>
          <w:sz w:val="24"/>
          <w:szCs w:val="24"/>
          <w:shd w:val="clear" w:color="auto" w:fill="FFFFFF"/>
        </w:rPr>
      </w:pPr>
      <w:r w:rsidRPr="00AF5519">
        <w:rPr>
          <w:rFonts w:cstheme="majorHAnsi"/>
          <w:sz w:val="24"/>
          <w:szCs w:val="24"/>
          <w:shd w:val="clear" w:color="auto" w:fill="FFFFFF"/>
        </w:rPr>
        <w:lastRenderedPageBreak/>
        <w:t xml:space="preserve">A recent study by Kross et al (2013) found that higher levels of social media engagement were often linked to diminished levels of life satisfaction. Both the fear of missing out (FoMO) and social comparison orientation (SCO) have been investigated in literature as two potential mediating factors behind this (Reer et al., 2019). </w:t>
      </w:r>
    </w:p>
    <w:p w:rsidR="00F11930" w:rsidRPr="00AF5519" w:rsidRDefault="00F11930" w:rsidP="00F11930">
      <w:pPr>
        <w:spacing w:line="360" w:lineRule="auto"/>
        <w:jc w:val="both"/>
        <w:rPr>
          <w:rFonts w:cstheme="majorHAnsi"/>
          <w:sz w:val="24"/>
          <w:szCs w:val="24"/>
          <w:shd w:val="clear" w:color="auto" w:fill="FFFFFF"/>
        </w:rPr>
      </w:pPr>
      <w:r w:rsidRPr="00AF5519">
        <w:rPr>
          <w:rFonts w:cstheme="majorHAnsi"/>
          <w:sz w:val="24"/>
          <w:szCs w:val="24"/>
          <w:shd w:val="clear" w:color="auto" w:fill="FFFFFF"/>
        </w:rPr>
        <w:t xml:space="preserve">Przybylski et al (2013) notes how the impression that others are having more rewarding experiences often leads to negative feeling – a situation broadly defined as FoMO. </w:t>
      </w:r>
      <w:r w:rsidRPr="00AF5519">
        <w:rPr>
          <w:rFonts w:cstheme="majorHAnsi"/>
          <w:sz w:val="24"/>
          <w:szCs w:val="24"/>
        </w:rPr>
        <w:t xml:space="preserve">Recent studies by Oberst et al (2017) found that those most likely to experience FoMO were those with a lower psychological wellbeing and thus would increase their use of social media as a result. This increase in social media use can in turn lead to SCO – described in early literature by Gibbons and Buunk (1999) as an individual’s tendency to compare themselves to others – and similar to FoMO, commonly prevalent in individuals with a lower mental health (Butzer and Kuiper, 2006; Gibbons and Buunk, 1999). There is evidently a thematic outline throughout the research thus far whereby many theorists are discussing social media in a context with mental wellbeing. </w:t>
      </w:r>
    </w:p>
    <w:p w:rsidR="00F11930" w:rsidRPr="00AF5519" w:rsidRDefault="00F11930" w:rsidP="00F11930">
      <w:pPr>
        <w:spacing w:line="360" w:lineRule="auto"/>
        <w:jc w:val="both"/>
        <w:rPr>
          <w:rFonts w:cstheme="majorHAnsi"/>
          <w:sz w:val="24"/>
          <w:szCs w:val="24"/>
        </w:rPr>
      </w:pPr>
      <w:r w:rsidRPr="00AF5519">
        <w:rPr>
          <w:rFonts w:cstheme="majorHAnsi"/>
          <w:sz w:val="24"/>
          <w:szCs w:val="24"/>
        </w:rPr>
        <w:t xml:space="preserve">Due to the tendency of people to present a more positive image or experience on social media (Appel et al., 2016) there is often a concern of what negative consequences could come from upward comparisons with positively biased information (Reer et al., 2019). A study by Chou and Edge (2012) found that those who frequently used social media had an over-optimistic perception towards other’s lives. It could be said that this perception that other’s people’s lives are better or more interesting could lead to negative criticism of one’s own life. Research findings from Appel et al (2016) found that comparisons based upon social media often lead to jealousy, depression and anxiety, as well as negative presumptions of one’s own social competence. Though there is an abundance of literature discussing the concepts of </w:t>
      </w:r>
      <w:r w:rsidRPr="00AF5519">
        <w:rPr>
          <w:rFonts w:cstheme="majorHAnsi"/>
          <w:sz w:val="24"/>
          <w:szCs w:val="24"/>
          <w:shd w:val="clear" w:color="auto" w:fill="FFFFFF"/>
        </w:rPr>
        <w:t xml:space="preserve">(FoMO) and (SCO), the relationship of these concepts within the events industry is less consistent and demonstrates a gap that would benefit from further research. </w:t>
      </w:r>
    </w:p>
    <w:p w:rsidR="00F11930" w:rsidRPr="00AF5519" w:rsidRDefault="00F11930" w:rsidP="00F11930">
      <w:pPr>
        <w:spacing w:line="360" w:lineRule="auto"/>
        <w:jc w:val="both"/>
        <w:rPr>
          <w:rFonts w:cstheme="majorHAnsi"/>
          <w:sz w:val="24"/>
          <w:szCs w:val="24"/>
        </w:rPr>
      </w:pPr>
    </w:p>
    <w:p w:rsidR="00F11930" w:rsidRPr="00AF5519" w:rsidRDefault="00F11930" w:rsidP="00F11930">
      <w:pPr>
        <w:pStyle w:val="Heading2"/>
        <w:spacing w:line="360" w:lineRule="auto"/>
        <w:jc w:val="both"/>
        <w:rPr>
          <w:rFonts w:asciiTheme="minorHAnsi" w:hAnsiTheme="minorHAnsi" w:cstheme="majorHAnsi"/>
          <w:sz w:val="24"/>
          <w:szCs w:val="24"/>
        </w:rPr>
      </w:pPr>
      <w:bookmarkStart w:id="32" w:name="_Toc41557635"/>
      <w:bookmarkStart w:id="33" w:name="_Toc41648188"/>
      <w:r w:rsidRPr="00AF5519">
        <w:rPr>
          <w:rFonts w:asciiTheme="minorHAnsi" w:hAnsiTheme="minorHAnsi" w:cstheme="majorHAnsi"/>
          <w:sz w:val="24"/>
          <w:szCs w:val="24"/>
        </w:rPr>
        <w:t>2.6. Social media and photography</w:t>
      </w:r>
      <w:bookmarkEnd w:id="32"/>
      <w:bookmarkEnd w:id="33"/>
    </w:p>
    <w:p w:rsidR="00F11930" w:rsidRPr="00AF5519" w:rsidRDefault="00F11930" w:rsidP="00F11930">
      <w:pPr>
        <w:spacing w:line="360" w:lineRule="auto"/>
        <w:jc w:val="both"/>
        <w:rPr>
          <w:rFonts w:cstheme="majorHAnsi"/>
          <w:sz w:val="24"/>
          <w:szCs w:val="24"/>
        </w:rPr>
      </w:pPr>
    </w:p>
    <w:p w:rsidR="00F11930" w:rsidRPr="00AF5519" w:rsidRDefault="00F11930" w:rsidP="00F11930">
      <w:pPr>
        <w:spacing w:line="360" w:lineRule="auto"/>
        <w:jc w:val="both"/>
        <w:rPr>
          <w:rFonts w:cstheme="majorHAnsi"/>
          <w:sz w:val="24"/>
          <w:szCs w:val="24"/>
        </w:rPr>
      </w:pPr>
      <w:r w:rsidRPr="00AF5519">
        <w:rPr>
          <w:rFonts w:cstheme="majorHAnsi"/>
          <w:sz w:val="24"/>
          <w:szCs w:val="24"/>
        </w:rPr>
        <w:t xml:space="preserve">Over time, an extensive literature has developed narrating the relationship between photography and the tourism industry. A number of authors have recognised that </w:t>
      </w:r>
      <w:r w:rsidRPr="00AF5519">
        <w:rPr>
          <w:rFonts w:cstheme="majorHAnsi"/>
          <w:sz w:val="24"/>
          <w:szCs w:val="24"/>
        </w:rPr>
        <w:lastRenderedPageBreak/>
        <w:t>photography is often the fundamental motivation behind tourists travelling to an event or a specific destination. This motivation leads to expectations that have been created from exposure to visual representation prior to their visit (Kozak and Kozak, 2015).  Social media has now also become an intricate part of this system by transforming photography from what was initially a private endeavour, into a practice that shares photographs to new, geographically dispersed networks of strangers (Lo et al., 2011). In short, the literature pertaining to social media sharing strongly suggests that images posted online play a large role in influencing others to attend the same event or destination through the narrative the images have portrayed. This creates a search for imitating the images seen elsewhere and is known as the “circle of representation” (Jenkins, 2003). Some authors have also suggested that this “circle of representation” has meant that whereby tourists are sharing their photographs on public social media platforms, they have become active participants in establishing what the must-see events and destinations are (</w:t>
      </w:r>
      <w:r w:rsidRPr="00AF5519">
        <w:rPr>
          <w:rFonts w:cstheme="majorHAnsi"/>
          <w:sz w:val="24"/>
          <w:szCs w:val="24"/>
          <w:shd w:val="clear" w:color="auto" w:fill="FFFFFF"/>
        </w:rPr>
        <w:t xml:space="preserve">Månsson, 2011). An established example of this is the ‘Quokka-selfie’, which is a recent selfie phenomenon with the quokka’s (small wallaby’s) that are found in Rottnest Island, Australia. </w:t>
      </w:r>
    </w:p>
    <w:p w:rsidR="00F11930" w:rsidRPr="00AF5519" w:rsidRDefault="00F11930" w:rsidP="00F11930">
      <w:pPr>
        <w:pStyle w:val="ListParagraph"/>
        <w:spacing w:line="360" w:lineRule="auto"/>
        <w:jc w:val="both"/>
        <w:rPr>
          <w:rFonts w:cstheme="majorHAnsi"/>
          <w:sz w:val="24"/>
          <w:szCs w:val="24"/>
          <w:shd w:val="clear" w:color="auto" w:fill="FFFFFF"/>
        </w:rPr>
      </w:pPr>
      <w:r w:rsidRPr="00AF5519">
        <w:rPr>
          <w:rFonts w:cstheme="majorHAnsi"/>
          <w:noProof/>
          <w:sz w:val="24"/>
          <w:szCs w:val="24"/>
          <w:lang w:eastAsia="en-GB"/>
        </w:rPr>
        <w:drawing>
          <wp:inline distT="0" distB="0" distL="0" distR="0" wp14:anchorId="46ABE5B9" wp14:editId="4B98CB8A">
            <wp:extent cx="5143500" cy="3848100"/>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43500" cy="3848100"/>
                    </a:xfrm>
                    <a:prstGeom prst="rect">
                      <a:avLst/>
                    </a:prstGeom>
                    <a:noFill/>
                    <a:ln>
                      <a:noFill/>
                    </a:ln>
                  </pic:spPr>
                </pic:pic>
              </a:graphicData>
            </a:graphic>
          </wp:inline>
        </w:drawing>
      </w:r>
    </w:p>
    <w:p w:rsidR="00F11930" w:rsidRPr="00AF5519" w:rsidRDefault="00F11930" w:rsidP="00F11930">
      <w:pPr>
        <w:pStyle w:val="Heading4"/>
        <w:spacing w:line="360" w:lineRule="auto"/>
        <w:jc w:val="both"/>
        <w:rPr>
          <w:rFonts w:asciiTheme="minorHAnsi" w:hAnsiTheme="minorHAnsi" w:cstheme="majorHAnsi"/>
          <w:sz w:val="24"/>
          <w:szCs w:val="24"/>
          <w:shd w:val="clear" w:color="auto" w:fill="FFFFFF"/>
        </w:rPr>
      </w:pPr>
      <w:bookmarkStart w:id="34" w:name="_Toc41648282"/>
      <w:r w:rsidRPr="00AF5519">
        <w:rPr>
          <w:rFonts w:asciiTheme="minorHAnsi" w:hAnsiTheme="minorHAnsi" w:cstheme="majorHAnsi"/>
          <w:sz w:val="24"/>
          <w:szCs w:val="24"/>
          <w:shd w:val="clear" w:color="auto" w:fill="FFFFFF"/>
        </w:rPr>
        <w:t>Figure 2.1.: Google images (2019).</w:t>
      </w:r>
      <w:bookmarkEnd w:id="34"/>
    </w:p>
    <w:p w:rsidR="00F11930" w:rsidRPr="00AF5519" w:rsidRDefault="00F11930" w:rsidP="00F11930">
      <w:pPr>
        <w:pStyle w:val="ListParagraph"/>
        <w:spacing w:line="360" w:lineRule="auto"/>
        <w:jc w:val="both"/>
        <w:rPr>
          <w:rFonts w:cstheme="majorHAnsi"/>
          <w:sz w:val="24"/>
          <w:szCs w:val="24"/>
          <w:shd w:val="clear" w:color="auto" w:fill="FFFFFF"/>
        </w:rPr>
      </w:pPr>
    </w:p>
    <w:p w:rsidR="00F11930" w:rsidRPr="00AF5519" w:rsidRDefault="00F11930" w:rsidP="00F11930">
      <w:pPr>
        <w:spacing w:line="360" w:lineRule="auto"/>
        <w:jc w:val="both"/>
        <w:rPr>
          <w:rFonts w:cstheme="majorHAnsi"/>
          <w:sz w:val="24"/>
          <w:szCs w:val="24"/>
          <w:shd w:val="clear" w:color="auto" w:fill="FFFFFF"/>
        </w:rPr>
      </w:pPr>
      <w:r w:rsidRPr="00AF5519">
        <w:rPr>
          <w:rFonts w:cstheme="majorHAnsi"/>
          <w:sz w:val="24"/>
          <w:szCs w:val="24"/>
          <w:shd w:val="clear" w:color="auto" w:fill="FFFFFF"/>
        </w:rPr>
        <w:lastRenderedPageBreak/>
        <w:t xml:space="preserve">The trend, which sees selfies posted on social media outlets with the Quokka’s, led to a sharp increase in tourism numbers and has now become a must-do activity. Gretzel (2019) notes how the ‘Quokka trend’ was not initially promoted by destination marketers and was only exploited and recognised by them after the tourists had promoted it. The literature review here further reiterates the power that individuals have through social media sharing. There have been numerous studies to further investigate this power and its connection to expressivity. The increasing importance of self-expression and identity formation has meant that tourist photography has seen a parallel shift, with photos of the self or ‘selfies’ becoming abundant on social media (Senft and Baym, 2015). </w:t>
      </w:r>
    </w:p>
    <w:p w:rsidR="00F11930" w:rsidRPr="00AF5519" w:rsidRDefault="00F11930" w:rsidP="00F11930">
      <w:pPr>
        <w:spacing w:line="360" w:lineRule="auto"/>
        <w:jc w:val="both"/>
        <w:rPr>
          <w:rFonts w:cstheme="majorHAnsi"/>
          <w:sz w:val="24"/>
          <w:szCs w:val="24"/>
          <w:shd w:val="clear" w:color="auto" w:fill="FFFFFF"/>
        </w:rPr>
      </w:pPr>
    </w:p>
    <w:p w:rsidR="00F11930" w:rsidRPr="00AF5519" w:rsidRDefault="00F11930" w:rsidP="00F11930">
      <w:pPr>
        <w:spacing w:line="360" w:lineRule="auto"/>
        <w:jc w:val="both"/>
        <w:rPr>
          <w:rFonts w:cstheme="majorHAnsi"/>
          <w:sz w:val="24"/>
          <w:szCs w:val="24"/>
          <w:shd w:val="clear" w:color="auto" w:fill="FFFFFF"/>
        </w:rPr>
      </w:pPr>
      <w:r w:rsidRPr="00AF5519">
        <w:rPr>
          <w:rFonts w:cstheme="majorHAnsi"/>
          <w:noProof/>
          <w:sz w:val="24"/>
          <w:szCs w:val="24"/>
          <w:lang w:eastAsia="en-GB"/>
        </w:rPr>
        <w:drawing>
          <wp:inline distT="0" distB="0" distL="0" distR="0" wp14:anchorId="3FC54519" wp14:editId="0DF8B35E">
            <wp:extent cx="5731510" cy="4298633"/>
            <wp:effectExtent l="0" t="0" r="2540" b="6985"/>
            <wp:docPr id="5" name="Picture 5" descr="File:The Self.jpg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le:The Self.jpg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F11930" w:rsidRPr="00AF5519" w:rsidRDefault="00F11930" w:rsidP="00F11930">
      <w:pPr>
        <w:pStyle w:val="Heading4"/>
        <w:spacing w:line="360" w:lineRule="auto"/>
        <w:jc w:val="both"/>
        <w:rPr>
          <w:rFonts w:asciiTheme="minorHAnsi" w:hAnsiTheme="minorHAnsi" w:cstheme="majorHAnsi"/>
          <w:sz w:val="24"/>
          <w:szCs w:val="24"/>
          <w:shd w:val="clear" w:color="auto" w:fill="FFFFFF"/>
        </w:rPr>
      </w:pPr>
      <w:bookmarkStart w:id="35" w:name="_Toc41648283"/>
      <w:r w:rsidRPr="00AF5519">
        <w:rPr>
          <w:rFonts w:asciiTheme="minorHAnsi" w:hAnsiTheme="minorHAnsi" w:cstheme="majorHAnsi"/>
          <w:sz w:val="24"/>
          <w:szCs w:val="24"/>
          <w:shd w:val="clear" w:color="auto" w:fill="FFFFFF"/>
        </w:rPr>
        <w:t>Figure 2.2.: Charles Cooley’s looking-glass self (2016).</w:t>
      </w:r>
      <w:bookmarkEnd w:id="35"/>
    </w:p>
    <w:p w:rsidR="00F11930" w:rsidRPr="00AF5519" w:rsidRDefault="00F11930" w:rsidP="00F11930">
      <w:pPr>
        <w:spacing w:line="360" w:lineRule="auto"/>
        <w:jc w:val="both"/>
        <w:rPr>
          <w:rFonts w:cstheme="majorHAnsi"/>
          <w:sz w:val="24"/>
          <w:szCs w:val="24"/>
          <w:shd w:val="clear" w:color="auto" w:fill="FFFFFF"/>
        </w:rPr>
      </w:pPr>
    </w:p>
    <w:p w:rsidR="00F11930" w:rsidRPr="00AF5519" w:rsidRDefault="00F11930" w:rsidP="00F11930">
      <w:pPr>
        <w:spacing w:line="360" w:lineRule="auto"/>
        <w:jc w:val="both"/>
        <w:rPr>
          <w:rFonts w:cstheme="majorHAnsi"/>
          <w:sz w:val="24"/>
          <w:szCs w:val="24"/>
          <w:shd w:val="clear" w:color="auto" w:fill="FFFFFF"/>
        </w:rPr>
      </w:pPr>
      <w:r w:rsidRPr="00AF5519">
        <w:rPr>
          <w:rFonts w:cstheme="majorHAnsi"/>
          <w:sz w:val="24"/>
          <w:szCs w:val="24"/>
          <w:shd w:val="clear" w:color="auto" w:fill="FFFFFF"/>
        </w:rPr>
        <w:t xml:space="preserve">This increase in ‘selfies’ could further be explained with the early psychological concept of the “looking-glass self” created by Charles Horton Cooley in 1902 which resonates the idea that </w:t>
      </w:r>
      <w:r w:rsidRPr="00AF5519">
        <w:rPr>
          <w:rFonts w:cstheme="majorHAnsi"/>
          <w:sz w:val="24"/>
          <w:szCs w:val="24"/>
          <w:shd w:val="clear" w:color="auto" w:fill="FFFFFF"/>
        </w:rPr>
        <w:lastRenderedPageBreak/>
        <w:t xml:space="preserve">individual’s cannot truly see themselves, and only through their reflection from others can they understand who they are (Seiter, 2016). This is depicted in Figure 2.2. An additional systematic and theoretical analysis would be beneficial in further understanding the intricate relationship between social media and photography and how this affiliation unfolds within live events. </w:t>
      </w:r>
    </w:p>
    <w:p w:rsidR="00F11930" w:rsidRPr="00AF5519" w:rsidRDefault="00F11930" w:rsidP="00F11930">
      <w:pPr>
        <w:spacing w:line="360" w:lineRule="auto"/>
        <w:jc w:val="both"/>
        <w:rPr>
          <w:rFonts w:cstheme="majorHAnsi"/>
          <w:sz w:val="24"/>
          <w:szCs w:val="24"/>
          <w:shd w:val="clear" w:color="auto" w:fill="FFFFFF"/>
        </w:rPr>
      </w:pPr>
    </w:p>
    <w:p w:rsidR="00F11930" w:rsidRPr="00AF5519" w:rsidRDefault="00F11930" w:rsidP="00F11930">
      <w:pPr>
        <w:spacing w:line="360" w:lineRule="auto"/>
        <w:jc w:val="both"/>
        <w:rPr>
          <w:rFonts w:cstheme="majorHAnsi"/>
          <w:sz w:val="24"/>
          <w:szCs w:val="24"/>
          <w:shd w:val="clear" w:color="auto" w:fill="FFFFFF"/>
        </w:rPr>
      </w:pPr>
    </w:p>
    <w:p w:rsidR="00F11930" w:rsidRPr="00AF5519" w:rsidRDefault="00F11930" w:rsidP="00F11930">
      <w:pPr>
        <w:pStyle w:val="Heading2"/>
        <w:spacing w:line="360" w:lineRule="auto"/>
        <w:jc w:val="both"/>
        <w:rPr>
          <w:rFonts w:asciiTheme="minorHAnsi" w:hAnsiTheme="minorHAnsi" w:cstheme="majorHAnsi"/>
          <w:sz w:val="24"/>
          <w:szCs w:val="24"/>
          <w:shd w:val="clear" w:color="auto" w:fill="FFFFFF"/>
        </w:rPr>
      </w:pPr>
      <w:bookmarkStart w:id="36" w:name="_Toc41557636"/>
      <w:bookmarkStart w:id="37" w:name="_Toc41648189"/>
      <w:r w:rsidRPr="00AF5519">
        <w:rPr>
          <w:rFonts w:asciiTheme="minorHAnsi" w:hAnsiTheme="minorHAnsi" w:cstheme="majorHAnsi"/>
          <w:sz w:val="24"/>
          <w:szCs w:val="24"/>
          <w:shd w:val="clear" w:color="auto" w:fill="FFFFFF"/>
        </w:rPr>
        <w:t>2.7. The Attention Economy</w:t>
      </w:r>
      <w:bookmarkEnd w:id="36"/>
      <w:bookmarkEnd w:id="37"/>
      <w:r w:rsidRPr="00AF5519">
        <w:rPr>
          <w:rFonts w:asciiTheme="minorHAnsi" w:hAnsiTheme="minorHAnsi" w:cstheme="majorHAnsi"/>
          <w:sz w:val="24"/>
          <w:szCs w:val="24"/>
          <w:shd w:val="clear" w:color="auto" w:fill="FFFFFF"/>
        </w:rPr>
        <w:t xml:space="preserve"> </w:t>
      </w:r>
    </w:p>
    <w:p w:rsidR="00F11930" w:rsidRPr="00AF5519" w:rsidRDefault="00F11930" w:rsidP="00F11930">
      <w:pPr>
        <w:spacing w:line="360" w:lineRule="auto"/>
        <w:jc w:val="both"/>
        <w:rPr>
          <w:rFonts w:cstheme="majorHAnsi"/>
          <w:sz w:val="24"/>
          <w:szCs w:val="24"/>
        </w:rPr>
      </w:pPr>
    </w:p>
    <w:p w:rsidR="00F11930" w:rsidRPr="00AF5519" w:rsidRDefault="00F11930" w:rsidP="00F11930">
      <w:pPr>
        <w:spacing w:line="360" w:lineRule="auto"/>
        <w:jc w:val="both"/>
        <w:rPr>
          <w:rFonts w:cstheme="majorHAnsi"/>
          <w:sz w:val="24"/>
          <w:szCs w:val="24"/>
          <w:shd w:val="clear" w:color="auto" w:fill="FFFFFF"/>
        </w:rPr>
      </w:pPr>
      <w:r w:rsidRPr="00AF5519">
        <w:rPr>
          <w:rFonts w:cstheme="majorHAnsi"/>
          <w:sz w:val="24"/>
          <w:szCs w:val="24"/>
          <w:shd w:val="clear" w:color="auto" w:fill="FFFFFF"/>
        </w:rPr>
        <w:t xml:space="preserve">A large number of existing studies in the broader literature have examined the relationship between social media, self-image and social currency. A recent study by (Seiter, 2016) stated that Oxytocin levels could rocket by 13% - which is a hormonal boost comparable to that of some people on their wedding day - for every 10 minutes spent on social media. Several studies suggest that with social media becoming an exceedingly congested environment, individuals are searching for the resources they are most interested in – which drives the need for self-branding and visibility </w:t>
      </w:r>
      <w:r w:rsidRPr="00AF5519">
        <w:rPr>
          <w:rFonts w:cstheme="majorHAnsi"/>
          <w:sz w:val="24"/>
          <w:szCs w:val="24"/>
        </w:rPr>
        <w:t>(</w:t>
      </w:r>
      <w:r w:rsidRPr="00AF5519">
        <w:rPr>
          <w:rFonts w:cstheme="majorHAnsi"/>
          <w:sz w:val="24"/>
          <w:szCs w:val="24"/>
          <w:shd w:val="clear" w:color="auto" w:fill="FFFFFF"/>
        </w:rPr>
        <w:t xml:space="preserve">Khamis et al., 2017) and largely propels the ‘need to be seen’ motive. Some authors have also suggested that capturing social-media-worthy moments is the eventual goal when attending an event, as the unspoken rule of photo sharing suggests that if you didn’t post a picture – you were not there (Jacob, 2018).  As a result of this, Brody (2001) describes the shift in marketing towards the ‘attention economy’. Despite the sociological vacuity or validity of this shift, the attention economy is now an established reality that has inspired new evolving interactions with consumers (Fairchild, 2007). Identity construction is a large influence behind what users post and share on social media and creates an elaborated and sometimes falsified snapshot of how the individual wants to be seen (Khamis et al., 2017). Relating this to events as the research area in question, it could be argued that there is often a large motivation to be seen at a certain event and in a certain way, often influenced by others who have attended similar events. This research further provides evidence that the use of social media at events is largely linked to the individual’s creation of their aspirational self and their need to keep up appearances. Social-science theorist Bandura (1988) is largely responsible for our understanding of this need, by </w:t>
      </w:r>
      <w:r w:rsidRPr="00AF5519">
        <w:rPr>
          <w:rFonts w:cstheme="majorHAnsi"/>
          <w:sz w:val="24"/>
          <w:szCs w:val="24"/>
          <w:shd w:val="clear" w:color="auto" w:fill="FFFFFF"/>
        </w:rPr>
        <w:lastRenderedPageBreak/>
        <w:t xml:space="preserve">identifying how new patterns of behaviour are acquired through observing the behaviour of others. Social media provides a global platform to view and observe others in a way that has never been seen before. Further research from Khamis et al., (2017) also highlights how users often curate their social media content, enhancing what they consider appealing aspects and underplaying the aspects that do not fit to their ideal. Social media can portray people in consistently extraordinary and interesting settings, which often creates a false sense of portrayal and creates an unrealistic expectation of achievement for the viewers trying to imitate or live up to such media. </w:t>
      </w:r>
    </w:p>
    <w:p w:rsidR="00F11930" w:rsidRPr="00AF5519" w:rsidRDefault="00F11930" w:rsidP="00F11930">
      <w:pPr>
        <w:spacing w:line="360" w:lineRule="auto"/>
        <w:jc w:val="both"/>
        <w:rPr>
          <w:rFonts w:cstheme="majorHAnsi"/>
          <w:sz w:val="24"/>
          <w:szCs w:val="24"/>
        </w:rPr>
      </w:pPr>
    </w:p>
    <w:p w:rsidR="00F11930" w:rsidRPr="00AF5519" w:rsidRDefault="00F11930" w:rsidP="00F11930">
      <w:pPr>
        <w:pStyle w:val="Heading2"/>
        <w:spacing w:line="360" w:lineRule="auto"/>
        <w:jc w:val="both"/>
        <w:rPr>
          <w:rFonts w:asciiTheme="minorHAnsi" w:hAnsiTheme="minorHAnsi" w:cstheme="majorHAnsi"/>
          <w:sz w:val="24"/>
          <w:szCs w:val="24"/>
        </w:rPr>
      </w:pPr>
      <w:bookmarkStart w:id="38" w:name="_Toc41557637"/>
      <w:bookmarkStart w:id="39" w:name="_Toc41648190"/>
      <w:r w:rsidRPr="00AF5519">
        <w:rPr>
          <w:rFonts w:asciiTheme="minorHAnsi" w:hAnsiTheme="minorHAnsi" w:cstheme="majorHAnsi"/>
          <w:sz w:val="24"/>
          <w:szCs w:val="24"/>
        </w:rPr>
        <w:t>2.8. Interaction with the digital screen</w:t>
      </w:r>
      <w:bookmarkEnd w:id="38"/>
      <w:bookmarkEnd w:id="39"/>
      <w:r w:rsidRPr="00AF5519">
        <w:rPr>
          <w:rFonts w:asciiTheme="minorHAnsi" w:hAnsiTheme="minorHAnsi" w:cstheme="majorHAnsi"/>
          <w:sz w:val="24"/>
          <w:szCs w:val="24"/>
        </w:rPr>
        <w:t xml:space="preserve"> </w:t>
      </w:r>
    </w:p>
    <w:p w:rsidR="00F11930" w:rsidRPr="00AF5519" w:rsidRDefault="00F11930" w:rsidP="00F11930">
      <w:pPr>
        <w:spacing w:line="360" w:lineRule="auto"/>
        <w:jc w:val="both"/>
        <w:rPr>
          <w:rFonts w:cstheme="majorHAnsi"/>
          <w:sz w:val="24"/>
          <w:szCs w:val="24"/>
        </w:rPr>
      </w:pPr>
    </w:p>
    <w:p w:rsidR="00F11930" w:rsidRPr="00AF5519" w:rsidRDefault="00F11930" w:rsidP="00F11930">
      <w:pPr>
        <w:spacing w:line="360" w:lineRule="auto"/>
        <w:jc w:val="both"/>
        <w:rPr>
          <w:rFonts w:cstheme="majorHAnsi"/>
          <w:sz w:val="24"/>
          <w:szCs w:val="24"/>
        </w:rPr>
      </w:pPr>
      <w:r w:rsidRPr="00AF5519">
        <w:rPr>
          <w:rFonts w:cstheme="majorHAnsi"/>
          <w:sz w:val="24"/>
          <w:szCs w:val="24"/>
        </w:rPr>
        <w:t xml:space="preserve">According to Larsen (2005) the need to portray a specific and often staged instant is what drives the intention of photographs. This practice may then lead to the ritualistic examination of the screen, which Haldrup and Larsen (2010) describe as consumers checking if they have accurately captured the moment or celebrating the picture itself. This is often common practice at live events where consumers look to accurately capture the experience. Both the practice of taking the photo and then examining the screen result in the disruption of the experience that the consumer sought to initially capture in the first place (Dinhopl and Gretzel, 2016). This remains an open discussion as other authors such as </w:t>
      </w:r>
      <w:r w:rsidRPr="00AF5519">
        <w:rPr>
          <w:rFonts w:cstheme="majorHAnsi"/>
          <w:color w:val="222222"/>
          <w:sz w:val="24"/>
          <w:szCs w:val="24"/>
          <w:shd w:val="clear" w:color="auto" w:fill="FFFFFF"/>
        </w:rPr>
        <w:t xml:space="preserve">Diehl et al., (2016) contrastingly suggest that photo-taking can actually increase engagement with the experience as the process of taking the photo directs greater visual attention to aspects of the event that may have been overlooked had they not been trying to capture it. These unexpected findings signal the need for additional studies to understand in greater depth exactly how social media interaction can increase engagement and whether this relationship pertains itself in an events environment. </w:t>
      </w:r>
    </w:p>
    <w:p w:rsidR="00F11930" w:rsidRPr="00AF5519" w:rsidRDefault="00F11930" w:rsidP="00F11930">
      <w:pPr>
        <w:pStyle w:val="Heading2"/>
        <w:spacing w:line="360" w:lineRule="auto"/>
        <w:jc w:val="both"/>
        <w:rPr>
          <w:rFonts w:asciiTheme="minorHAnsi" w:hAnsiTheme="minorHAnsi" w:cstheme="majorHAnsi"/>
          <w:sz w:val="24"/>
          <w:szCs w:val="24"/>
        </w:rPr>
      </w:pPr>
    </w:p>
    <w:p w:rsidR="00F11930" w:rsidRPr="00AF5519" w:rsidRDefault="00F11930" w:rsidP="00F11930">
      <w:pPr>
        <w:pStyle w:val="Heading2"/>
        <w:spacing w:line="360" w:lineRule="auto"/>
        <w:jc w:val="both"/>
        <w:rPr>
          <w:rFonts w:asciiTheme="minorHAnsi" w:hAnsiTheme="minorHAnsi" w:cstheme="majorHAnsi"/>
          <w:sz w:val="24"/>
          <w:szCs w:val="24"/>
        </w:rPr>
      </w:pPr>
      <w:bookmarkStart w:id="40" w:name="_Toc41557638"/>
      <w:bookmarkStart w:id="41" w:name="_Toc41648191"/>
      <w:r w:rsidRPr="00AF5519">
        <w:rPr>
          <w:rFonts w:asciiTheme="minorHAnsi" w:hAnsiTheme="minorHAnsi" w:cstheme="majorHAnsi"/>
          <w:sz w:val="24"/>
          <w:szCs w:val="24"/>
        </w:rPr>
        <w:t>2.9. Social media and events</w:t>
      </w:r>
      <w:bookmarkEnd w:id="40"/>
      <w:bookmarkEnd w:id="41"/>
    </w:p>
    <w:p w:rsidR="00F11930" w:rsidRPr="00AF5519" w:rsidRDefault="00F11930" w:rsidP="00F11930"/>
    <w:p w:rsidR="00F11930" w:rsidRPr="00AF5519" w:rsidRDefault="00F11930" w:rsidP="00F11930">
      <w:pPr>
        <w:spacing w:line="360" w:lineRule="auto"/>
        <w:jc w:val="both"/>
        <w:rPr>
          <w:rFonts w:cstheme="majorHAnsi"/>
          <w:sz w:val="24"/>
          <w:szCs w:val="24"/>
          <w:shd w:val="clear" w:color="auto" w:fill="FFFFFF"/>
        </w:rPr>
      </w:pPr>
      <w:r w:rsidRPr="00AF5519">
        <w:rPr>
          <w:rFonts w:cstheme="majorHAnsi"/>
          <w:sz w:val="24"/>
          <w:szCs w:val="24"/>
          <w:shd w:val="clear" w:color="auto" w:fill="FFFFFF"/>
        </w:rPr>
        <w:t xml:space="preserve">Previous studies have emphasized that the increase of sharing information on social media has largely reshaped and challenged the boundaries of live events as they once were. Social </w:t>
      </w:r>
      <w:r w:rsidRPr="00AF5519">
        <w:rPr>
          <w:rFonts w:cstheme="majorHAnsi"/>
          <w:sz w:val="24"/>
          <w:szCs w:val="24"/>
          <w:shd w:val="clear" w:color="auto" w:fill="FFFFFF"/>
        </w:rPr>
        <w:lastRenderedPageBreak/>
        <w:t xml:space="preserve">media is often discussed as an influential tool for event marketing and there has been numerous studies to investigate the intricate relationship between the two. Evans (2010) discusses how social media marketing is a powerful tool for any industry in its ability to promote far beyond regular means, and to contact and create relationships with desired consumers. Other benefits discussed by Tuten and Solomon (2017) highlight how social media can provide an advanced environment from which an industry can disseminate content to an audience whilst also facilitating audience contribution and sharing. This suggests a greater connectivity benefit through social media and the possibility of further engagement and involvement between event creators and event goers. </w:t>
      </w:r>
    </w:p>
    <w:p w:rsidR="00F11930" w:rsidRPr="00AF5519" w:rsidRDefault="00F11930" w:rsidP="00F11930">
      <w:pPr>
        <w:spacing w:line="360" w:lineRule="auto"/>
        <w:jc w:val="both"/>
        <w:rPr>
          <w:rFonts w:cstheme="majorHAnsi"/>
          <w:sz w:val="24"/>
          <w:szCs w:val="24"/>
          <w:shd w:val="clear" w:color="auto" w:fill="FFFFFF"/>
        </w:rPr>
      </w:pPr>
      <w:r w:rsidRPr="00AF5519">
        <w:rPr>
          <w:rFonts w:cstheme="majorHAnsi"/>
          <w:sz w:val="24"/>
          <w:szCs w:val="24"/>
        </w:rPr>
        <w:t xml:space="preserve">A series of recent studies however has indicated that many events are now attempting to ban or limit phone use (Hassoun, 2016) with devices viewed as intruding upon the experience. An article by the BBC (2018) surrounding the issue discussed comedian Chris Rock initiating a phone ban on his tour, with many celebrities hailing this move as creating a better experience and paving the future of events. This is further addressed by Kelly (2020) who notes that phone bans allow you to fully immerse yourself in an event and initiate a feeling of liberation from what is now an insistent part of everyday life.  </w:t>
      </w:r>
      <w:r w:rsidRPr="00AF5519">
        <w:rPr>
          <w:rFonts w:cstheme="majorHAnsi"/>
          <w:sz w:val="24"/>
          <w:shd w:val="clear" w:color="auto" w:fill="FFFFFF"/>
        </w:rPr>
        <w:t>This is suggestive of a greater desire for a more authentic connection with the audience, and a need for escapism</w:t>
      </w:r>
      <w:r w:rsidRPr="00AF5519">
        <w:rPr>
          <w:rFonts w:cstheme="majorHAnsi"/>
          <w:sz w:val="24"/>
          <w:szCs w:val="24"/>
          <w:shd w:val="clear" w:color="auto" w:fill="FFFFFF"/>
        </w:rPr>
        <w:t>.</w:t>
      </w:r>
      <w:r w:rsidRPr="00AF5519">
        <w:rPr>
          <w:rFonts w:cstheme="majorHAnsi"/>
          <w:sz w:val="24"/>
          <w:szCs w:val="24"/>
        </w:rPr>
        <w:t xml:space="preserve"> </w:t>
      </w:r>
    </w:p>
    <w:p w:rsidR="00F11930" w:rsidRPr="00AF5519" w:rsidRDefault="00F11930" w:rsidP="00F11930">
      <w:pPr>
        <w:spacing w:line="360" w:lineRule="auto"/>
        <w:jc w:val="both"/>
        <w:rPr>
          <w:rFonts w:cstheme="majorHAnsi"/>
          <w:sz w:val="24"/>
          <w:szCs w:val="24"/>
          <w:shd w:val="clear" w:color="auto" w:fill="FFFFFF"/>
        </w:rPr>
      </w:pPr>
      <w:r w:rsidRPr="00AF5519">
        <w:rPr>
          <w:rFonts w:cstheme="majorHAnsi"/>
          <w:sz w:val="24"/>
          <w:szCs w:val="24"/>
          <w:shd w:val="clear" w:color="auto" w:fill="FFFFFF"/>
        </w:rPr>
        <w:t xml:space="preserve">Though it is evident that social media is providing the events industry with an innovative and ground-breaking platform for connectivity, a critical open question is whether this excessive opportunity for connection is paradoxically diminishing the epicureanism of live events – epicureanism being a communal philosophy believing that the key to attaining happiness is to rely on sensations in the here and now, in short, to live in the moment (O’Keefe, 2014). This is an area that will benefit from further research. </w:t>
      </w:r>
    </w:p>
    <w:p w:rsidR="00F11930" w:rsidRPr="00AF5519" w:rsidRDefault="00F11930" w:rsidP="00F11930">
      <w:pPr>
        <w:spacing w:line="360" w:lineRule="auto"/>
        <w:jc w:val="both"/>
        <w:rPr>
          <w:rFonts w:cstheme="majorHAnsi"/>
          <w:sz w:val="24"/>
          <w:szCs w:val="24"/>
        </w:rPr>
      </w:pPr>
    </w:p>
    <w:p w:rsidR="00F11930" w:rsidRPr="00AF5519" w:rsidRDefault="00F11930" w:rsidP="00F11930">
      <w:pPr>
        <w:spacing w:line="360" w:lineRule="auto"/>
        <w:jc w:val="both"/>
        <w:rPr>
          <w:rFonts w:cstheme="majorHAnsi"/>
          <w:sz w:val="24"/>
          <w:szCs w:val="24"/>
          <w:shd w:val="clear" w:color="auto" w:fill="FFFFFF"/>
        </w:rPr>
      </w:pPr>
    </w:p>
    <w:p w:rsidR="00F11930" w:rsidRPr="00AF5519" w:rsidRDefault="00F11930" w:rsidP="00F11930">
      <w:pPr>
        <w:pStyle w:val="Heading2"/>
        <w:spacing w:line="360" w:lineRule="auto"/>
        <w:jc w:val="both"/>
        <w:rPr>
          <w:rFonts w:asciiTheme="minorHAnsi" w:hAnsiTheme="minorHAnsi" w:cstheme="majorHAnsi"/>
          <w:sz w:val="24"/>
          <w:szCs w:val="24"/>
          <w:shd w:val="clear" w:color="auto" w:fill="FFFFFF"/>
        </w:rPr>
      </w:pPr>
      <w:bookmarkStart w:id="42" w:name="_Toc41557639"/>
      <w:bookmarkStart w:id="43" w:name="_Toc41648192"/>
      <w:r w:rsidRPr="00AF5519">
        <w:rPr>
          <w:rFonts w:asciiTheme="minorHAnsi" w:hAnsiTheme="minorHAnsi" w:cstheme="majorHAnsi"/>
          <w:sz w:val="24"/>
          <w:szCs w:val="24"/>
          <w:shd w:val="clear" w:color="auto" w:fill="FFFFFF"/>
        </w:rPr>
        <w:t>2.10. Conclusion of chapter</w:t>
      </w:r>
      <w:bookmarkEnd w:id="42"/>
      <w:bookmarkEnd w:id="43"/>
    </w:p>
    <w:p w:rsidR="00F11930" w:rsidRPr="00AF5519" w:rsidRDefault="00F11930" w:rsidP="00F11930">
      <w:pPr>
        <w:spacing w:line="360" w:lineRule="auto"/>
        <w:jc w:val="both"/>
        <w:rPr>
          <w:rFonts w:cstheme="majorHAnsi"/>
          <w:sz w:val="24"/>
          <w:szCs w:val="24"/>
          <w:shd w:val="clear" w:color="auto" w:fill="FFFFFF"/>
        </w:rPr>
      </w:pPr>
    </w:p>
    <w:p w:rsidR="00F11930" w:rsidRPr="00AF5519" w:rsidRDefault="00F11930" w:rsidP="00F11930">
      <w:pPr>
        <w:spacing w:line="360" w:lineRule="auto"/>
        <w:jc w:val="both"/>
        <w:rPr>
          <w:rFonts w:cstheme="majorHAnsi"/>
          <w:sz w:val="24"/>
          <w:szCs w:val="24"/>
          <w:shd w:val="clear" w:color="auto" w:fill="FFFFFF"/>
        </w:rPr>
      </w:pPr>
      <w:r w:rsidRPr="00AF5519">
        <w:rPr>
          <w:rFonts w:cstheme="majorHAnsi"/>
          <w:sz w:val="24"/>
          <w:szCs w:val="24"/>
          <w:shd w:val="clear" w:color="auto" w:fill="FFFFFF"/>
        </w:rPr>
        <w:t xml:space="preserve">To conclude, there is a comprehensive amount of literature surrounding how social media has become embedded into modern society and the impact this cultural shift can have on </w:t>
      </w:r>
      <w:r w:rsidRPr="00AF5519">
        <w:rPr>
          <w:rFonts w:cstheme="majorHAnsi"/>
          <w:sz w:val="24"/>
          <w:szCs w:val="24"/>
          <w:shd w:val="clear" w:color="auto" w:fill="FFFFFF"/>
        </w:rPr>
        <w:lastRenderedPageBreak/>
        <w:t xml:space="preserve">human behaviour. With this increased assimilation, social media has also become a key element within the events industry, influencing aspects both before, during and after the event has happened. Giving the existing literature, it appears that the rapid growth of social media is massively beneficial in relation to influence and advertisement, but it is also largely linked with memory impairment, attention span, self-presentational concern and deeper psychopathological effects. Despite strong intrinsic links between social media use and the aforementioned elements, it is unclear how the event experience is impacted. This has been identified as a gap in the research for this dissertation to fill as it is an area that has been under explored and could benefit from further research. </w:t>
      </w:r>
    </w:p>
    <w:p w:rsidR="00F11930" w:rsidRPr="00AF5519" w:rsidRDefault="00F11930" w:rsidP="00F11930">
      <w:pPr>
        <w:spacing w:line="360" w:lineRule="auto"/>
        <w:jc w:val="both"/>
        <w:rPr>
          <w:rFonts w:cstheme="majorHAnsi"/>
          <w:sz w:val="24"/>
          <w:szCs w:val="24"/>
          <w:shd w:val="clear" w:color="auto" w:fill="FFFFFF"/>
        </w:rPr>
      </w:pPr>
      <w:r w:rsidRPr="00AF5519">
        <w:rPr>
          <w:rFonts w:cstheme="majorHAnsi"/>
          <w:sz w:val="24"/>
          <w:szCs w:val="24"/>
          <w:shd w:val="clear" w:color="auto" w:fill="FFFFFF"/>
        </w:rPr>
        <w:t>The following chapter will discuss the details of the research design and procedure, instrumentation, ethical considerations and data processing and analysis. The chapter will provide all data collection techniques and justifications which will underpin the reliability and validity of the research.</w:t>
      </w:r>
    </w:p>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Pr>
        <w:pStyle w:val="Heading1"/>
        <w:rPr>
          <w:rFonts w:asciiTheme="minorHAnsi" w:hAnsiTheme="minorHAnsi"/>
        </w:rPr>
      </w:pPr>
      <w:bookmarkStart w:id="44" w:name="_Toc41557640"/>
      <w:bookmarkStart w:id="45" w:name="_Toc41648193"/>
      <w:r w:rsidRPr="00AF5519">
        <w:rPr>
          <w:rFonts w:asciiTheme="minorHAnsi" w:hAnsiTheme="minorHAnsi"/>
        </w:rPr>
        <w:lastRenderedPageBreak/>
        <w:t>Chapter 3: Research Methodology</w:t>
      </w:r>
      <w:bookmarkEnd w:id="44"/>
      <w:bookmarkEnd w:id="45"/>
      <w:r w:rsidRPr="00AF5519">
        <w:rPr>
          <w:rFonts w:asciiTheme="minorHAnsi" w:hAnsiTheme="minorHAnsi"/>
        </w:rPr>
        <w:t xml:space="preserve"> </w:t>
      </w:r>
    </w:p>
    <w:p w:rsidR="00F11930" w:rsidRPr="00AF5519" w:rsidRDefault="00F11930" w:rsidP="00F11930">
      <w:pPr>
        <w:spacing w:line="360" w:lineRule="auto"/>
        <w:jc w:val="both"/>
        <w:rPr>
          <w:rFonts w:cstheme="majorHAnsi"/>
          <w:sz w:val="24"/>
          <w:szCs w:val="24"/>
        </w:rPr>
      </w:pPr>
    </w:p>
    <w:p w:rsidR="00F11930" w:rsidRPr="00AF5519" w:rsidRDefault="00F11930" w:rsidP="00F11930">
      <w:pPr>
        <w:spacing w:line="360" w:lineRule="auto"/>
        <w:jc w:val="both"/>
        <w:rPr>
          <w:rFonts w:cstheme="majorHAnsi"/>
          <w:sz w:val="24"/>
          <w:szCs w:val="24"/>
        </w:rPr>
      </w:pPr>
      <w:r w:rsidRPr="00AF5519">
        <w:rPr>
          <w:rFonts w:cstheme="majorHAnsi"/>
          <w:sz w:val="24"/>
          <w:szCs w:val="24"/>
        </w:rPr>
        <w:t>This chapter aims to discuss the second research objective of this thesis:</w:t>
      </w:r>
    </w:p>
    <w:p w:rsidR="00F11930" w:rsidRPr="00AF5519" w:rsidRDefault="00F11930" w:rsidP="00F11930">
      <w:pPr>
        <w:spacing w:line="360" w:lineRule="auto"/>
        <w:jc w:val="both"/>
        <w:rPr>
          <w:rFonts w:cstheme="majorHAnsi"/>
          <w:sz w:val="24"/>
          <w:szCs w:val="24"/>
        </w:rPr>
      </w:pPr>
    </w:p>
    <w:p w:rsidR="00F11930" w:rsidRPr="00AF5519" w:rsidRDefault="00F11930" w:rsidP="00F11930">
      <w:pPr>
        <w:pStyle w:val="ListParagraph"/>
        <w:numPr>
          <w:ilvl w:val="0"/>
          <w:numId w:val="4"/>
        </w:numPr>
        <w:spacing w:line="360" w:lineRule="auto"/>
        <w:jc w:val="both"/>
        <w:rPr>
          <w:rFonts w:cstheme="majorHAnsi"/>
          <w:sz w:val="24"/>
          <w:szCs w:val="24"/>
        </w:rPr>
      </w:pPr>
      <w:r w:rsidRPr="00AF5519">
        <w:rPr>
          <w:rFonts w:cstheme="majorHAnsi"/>
          <w:sz w:val="24"/>
          <w:szCs w:val="24"/>
        </w:rPr>
        <w:t xml:space="preserve">To conduct primary research </w:t>
      </w:r>
      <w:r>
        <w:rPr>
          <w:rFonts w:cstheme="majorHAnsi"/>
          <w:sz w:val="24"/>
          <w:szCs w:val="24"/>
        </w:rPr>
        <w:t>using mixed methods t</w:t>
      </w:r>
      <w:r w:rsidRPr="00AF5519">
        <w:rPr>
          <w:rFonts w:cstheme="majorHAnsi"/>
          <w:sz w:val="24"/>
          <w:szCs w:val="24"/>
        </w:rPr>
        <w:t xml:space="preserve">o identify the extent in which live event experiences are impacted through smartphone use for social media within the Swansea based population. </w:t>
      </w:r>
    </w:p>
    <w:p w:rsidR="00F11930" w:rsidRPr="00AF5519" w:rsidRDefault="00F11930" w:rsidP="00F11930">
      <w:pPr>
        <w:pStyle w:val="ListParagraph"/>
        <w:spacing w:line="360" w:lineRule="auto"/>
        <w:ind w:left="1080"/>
        <w:jc w:val="both"/>
        <w:rPr>
          <w:rFonts w:cstheme="majorHAnsi"/>
          <w:sz w:val="24"/>
          <w:szCs w:val="24"/>
        </w:rPr>
      </w:pPr>
    </w:p>
    <w:p w:rsidR="00F11930" w:rsidRPr="00AF5519" w:rsidRDefault="00F11930" w:rsidP="00F11930">
      <w:pPr>
        <w:spacing w:line="360" w:lineRule="auto"/>
        <w:jc w:val="both"/>
        <w:rPr>
          <w:rFonts w:cstheme="majorHAnsi"/>
          <w:sz w:val="24"/>
          <w:szCs w:val="24"/>
          <w:lang w:val="en"/>
        </w:rPr>
      </w:pPr>
      <w:r w:rsidRPr="00AF5519">
        <w:rPr>
          <w:rFonts w:cstheme="majorHAnsi"/>
          <w:sz w:val="24"/>
          <w:szCs w:val="24"/>
          <w:lang w:val="en"/>
        </w:rPr>
        <w:t>As discussed by Mugenda (1999):</w:t>
      </w:r>
    </w:p>
    <w:p w:rsidR="00F11930" w:rsidRPr="00AF5519" w:rsidRDefault="00F11930" w:rsidP="00F11930">
      <w:pPr>
        <w:spacing w:line="360" w:lineRule="auto"/>
        <w:jc w:val="both"/>
        <w:rPr>
          <w:rFonts w:cstheme="majorHAnsi"/>
          <w:i/>
          <w:iCs/>
          <w:sz w:val="24"/>
          <w:szCs w:val="24"/>
          <w:lang w:val="en"/>
        </w:rPr>
      </w:pPr>
      <w:r w:rsidRPr="00AF5519">
        <w:rPr>
          <w:rFonts w:cstheme="majorHAnsi"/>
          <w:i/>
          <w:iCs/>
          <w:sz w:val="24"/>
          <w:szCs w:val="24"/>
          <w:lang w:val="en"/>
        </w:rPr>
        <w:t>“Research generates new knowledge and information; it extends the frontiers of understanding as we gain new insights into phenomena. There can be no improvement of higher education without sound research.”</w:t>
      </w:r>
    </w:p>
    <w:p w:rsidR="00F11930" w:rsidRPr="00AF5519" w:rsidRDefault="00F11930" w:rsidP="00F11930">
      <w:pPr>
        <w:spacing w:line="360" w:lineRule="auto"/>
        <w:jc w:val="both"/>
        <w:rPr>
          <w:rFonts w:cstheme="majorHAnsi"/>
          <w:sz w:val="24"/>
          <w:szCs w:val="24"/>
          <w:lang w:val="en"/>
        </w:rPr>
      </w:pPr>
      <w:r w:rsidRPr="00AF5519">
        <w:rPr>
          <w:rFonts w:cstheme="majorHAnsi"/>
          <w:sz w:val="24"/>
          <w:szCs w:val="24"/>
          <w:lang w:val="en"/>
        </w:rPr>
        <w:t xml:space="preserve">Isaeva et al., (2015) discusses the importance of ontology and epistemology in research, and how together they form research philosophies and contribute to methodological implications. In choosing research methodologies, the researcher will draw upon ontological and epistemological assumptions, which will underpin the choice of research methods (Ghauri et al., 2020). </w:t>
      </w:r>
    </w:p>
    <w:p w:rsidR="00F11930" w:rsidRPr="00AF5519" w:rsidRDefault="00F11930" w:rsidP="00F11930">
      <w:pPr>
        <w:spacing w:line="360" w:lineRule="auto"/>
        <w:jc w:val="both"/>
        <w:rPr>
          <w:rFonts w:cstheme="minorHAnsi"/>
          <w:lang w:val="en"/>
        </w:rPr>
      </w:pPr>
    </w:p>
    <w:p w:rsidR="00F11930" w:rsidRPr="00AF5519" w:rsidRDefault="00F11930" w:rsidP="00F11930">
      <w:pPr>
        <w:pStyle w:val="Heading2"/>
        <w:rPr>
          <w:rFonts w:asciiTheme="minorHAnsi" w:hAnsiTheme="minorHAnsi"/>
          <w:lang w:val="en"/>
        </w:rPr>
      </w:pPr>
      <w:bookmarkStart w:id="46" w:name="_Toc41557641"/>
      <w:bookmarkStart w:id="47" w:name="_Toc41648194"/>
      <w:r w:rsidRPr="00AF5519">
        <w:rPr>
          <w:rFonts w:asciiTheme="minorHAnsi" w:hAnsiTheme="minorHAnsi"/>
          <w:lang w:val="en"/>
        </w:rPr>
        <w:t>3.1. Research Onion</w:t>
      </w:r>
      <w:bookmarkEnd w:id="46"/>
      <w:bookmarkEnd w:id="47"/>
    </w:p>
    <w:p w:rsidR="00F11930" w:rsidRPr="00AF5519" w:rsidRDefault="00F11930" w:rsidP="00F11930">
      <w:pPr>
        <w:rPr>
          <w:lang w:val="en"/>
        </w:rPr>
      </w:pPr>
    </w:p>
    <w:p w:rsidR="00F11930" w:rsidRPr="00AF5519" w:rsidRDefault="00F11930" w:rsidP="00F11930">
      <w:pPr>
        <w:spacing w:line="360" w:lineRule="auto"/>
        <w:jc w:val="center"/>
        <w:rPr>
          <w:iCs/>
          <w:lang w:val="en"/>
        </w:rPr>
      </w:pPr>
      <w:r w:rsidRPr="00AF5519">
        <w:rPr>
          <w:noProof/>
          <w:lang w:eastAsia="en-GB"/>
        </w:rPr>
        <w:lastRenderedPageBreak/>
        <w:drawing>
          <wp:inline distT="0" distB="0" distL="0" distR="0" wp14:anchorId="1905C41D" wp14:editId="0D415166">
            <wp:extent cx="4718299" cy="3028950"/>
            <wp:effectExtent l="0" t="0" r="6350" b="0"/>
            <wp:docPr id="4" name="Picture 4"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 Writing Guides | 15 Writ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36076" cy="3040362"/>
                    </a:xfrm>
                    <a:prstGeom prst="rect">
                      <a:avLst/>
                    </a:prstGeom>
                    <a:noFill/>
                    <a:ln>
                      <a:noFill/>
                    </a:ln>
                  </pic:spPr>
                </pic:pic>
              </a:graphicData>
            </a:graphic>
          </wp:inline>
        </w:drawing>
      </w:r>
    </w:p>
    <w:p w:rsidR="00F11930" w:rsidRPr="00AF5519" w:rsidRDefault="00F11930" w:rsidP="00F11930">
      <w:pPr>
        <w:pStyle w:val="Heading4"/>
        <w:rPr>
          <w:rFonts w:asciiTheme="minorHAnsi" w:hAnsiTheme="minorHAnsi" w:cstheme="minorHAnsi"/>
          <w:lang w:val="en"/>
        </w:rPr>
      </w:pPr>
      <w:bookmarkStart w:id="48" w:name="_Toc41648284"/>
      <w:r w:rsidRPr="00AF5519">
        <w:rPr>
          <w:rFonts w:asciiTheme="minorHAnsi" w:hAnsiTheme="minorHAnsi"/>
          <w:lang w:val="en"/>
        </w:rPr>
        <w:t>Figure 3.1.: The Research Onion. Source: (Saunders et al., 2016)</w:t>
      </w:r>
      <w:bookmarkEnd w:id="48"/>
    </w:p>
    <w:p w:rsidR="00F11930" w:rsidRPr="00AF5519" w:rsidRDefault="00F11930" w:rsidP="00F11930">
      <w:pPr>
        <w:spacing w:line="360" w:lineRule="auto"/>
        <w:jc w:val="both"/>
        <w:rPr>
          <w:rFonts w:cstheme="minorHAnsi"/>
          <w:i/>
          <w:iCs/>
          <w:lang w:val="en"/>
        </w:rPr>
      </w:pPr>
    </w:p>
    <w:p w:rsidR="00F11930" w:rsidRPr="00AF5519" w:rsidRDefault="00F11930" w:rsidP="00F11930">
      <w:pPr>
        <w:spacing w:line="360" w:lineRule="auto"/>
        <w:jc w:val="both"/>
        <w:rPr>
          <w:rFonts w:cstheme="majorHAnsi"/>
          <w:sz w:val="24"/>
          <w:lang w:val="en"/>
        </w:rPr>
      </w:pPr>
      <w:r w:rsidRPr="00AF5519">
        <w:rPr>
          <w:rFonts w:cstheme="majorHAnsi"/>
          <w:sz w:val="24"/>
          <w:lang w:val="en"/>
        </w:rPr>
        <w:t xml:space="preserve">In order to formulate an effective research strategy, Saunders et al., (2007) developed an approach entitled ‘The Research Onion’. This is depicted in Figure 3.1. The use of the Research Onion provides an effective system for the researcher to develop an extensive strategy to satisfy the overall research question and so has been applied to this thesis. The research onion creates a clear pathway for evolving an effective and efficient research strategy (Saunders et al., 2007).  Sahay (2016) notes how the outer layers of the onion are used to form effective understandings and decisions, which then provide the context within which appropriate data collection techniques and analysis procedures are selected. </w:t>
      </w:r>
    </w:p>
    <w:p w:rsidR="00F11930" w:rsidRPr="00AF5519" w:rsidRDefault="00F11930" w:rsidP="00F11930">
      <w:pPr>
        <w:spacing w:line="360" w:lineRule="auto"/>
        <w:jc w:val="both"/>
        <w:rPr>
          <w:rFonts w:cstheme="majorHAnsi"/>
          <w:sz w:val="24"/>
          <w:lang w:val="en"/>
        </w:rPr>
      </w:pPr>
      <w:r w:rsidRPr="00AF5519">
        <w:rPr>
          <w:rFonts w:cstheme="majorHAnsi"/>
          <w:color w:val="222222"/>
          <w:sz w:val="24"/>
        </w:rPr>
        <w:t>Delving into the inner layers of the onion, the research for this thesis is cross-sectional as it has been observational in nature and collected at a specific point in time. The cross-sectional research process enables the researcher to regulate measurement procedures and control the choice of respondent and the study of context and therefore contributes to increased reliability and the reduction of bias (</w:t>
      </w:r>
      <w:r w:rsidRPr="00AF5519">
        <w:rPr>
          <w:rFonts w:cstheme="majorHAnsi"/>
          <w:color w:val="222222"/>
          <w:sz w:val="24"/>
          <w:shd w:val="clear" w:color="auto" w:fill="FFFFFF"/>
        </w:rPr>
        <w:t>Rindfleisch et al., 2008).</w:t>
      </w:r>
      <w:r w:rsidRPr="00AF5519">
        <w:rPr>
          <w:rFonts w:cstheme="majorHAnsi"/>
          <w:color w:val="222222"/>
          <w:szCs w:val="20"/>
          <w:shd w:val="clear" w:color="auto" w:fill="FFFFFF"/>
        </w:rPr>
        <w:t xml:space="preserve"> </w:t>
      </w:r>
    </w:p>
    <w:p w:rsidR="00F11930" w:rsidRPr="00AF5519" w:rsidRDefault="00F11930" w:rsidP="00F11930">
      <w:pPr>
        <w:spacing w:line="360" w:lineRule="auto"/>
        <w:jc w:val="both"/>
        <w:rPr>
          <w:rFonts w:cs="Arial"/>
          <w:color w:val="222222"/>
          <w:sz w:val="20"/>
          <w:szCs w:val="20"/>
          <w:shd w:val="clear" w:color="auto" w:fill="FFFFFF"/>
        </w:rPr>
      </w:pPr>
    </w:p>
    <w:p w:rsidR="00F11930" w:rsidRPr="00AF5519" w:rsidRDefault="00F11930" w:rsidP="00F11930">
      <w:pPr>
        <w:pStyle w:val="Heading3"/>
        <w:rPr>
          <w:rFonts w:asciiTheme="minorHAnsi" w:hAnsiTheme="minorHAnsi"/>
        </w:rPr>
      </w:pPr>
      <w:bookmarkStart w:id="49" w:name="_Toc41557642"/>
      <w:bookmarkStart w:id="50" w:name="_Toc41648195"/>
      <w:r w:rsidRPr="00AF5519">
        <w:rPr>
          <w:rFonts w:asciiTheme="minorHAnsi" w:hAnsiTheme="minorHAnsi"/>
        </w:rPr>
        <w:t>3.1.1. Philosophy</w:t>
      </w:r>
      <w:bookmarkEnd w:id="49"/>
      <w:bookmarkEnd w:id="50"/>
      <w:r w:rsidRPr="00AF5519">
        <w:rPr>
          <w:rFonts w:asciiTheme="minorHAnsi" w:hAnsiTheme="minorHAnsi"/>
        </w:rPr>
        <w:t xml:space="preserve"> </w:t>
      </w:r>
    </w:p>
    <w:p w:rsidR="00F11930" w:rsidRPr="00AF5519" w:rsidRDefault="00F11930" w:rsidP="00F11930">
      <w:pPr>
        <w:spacing w:line="360" w:lineRule="auto"/>
        <w:jc w:val="both"/>
      </w:pPr>
    </w:p>
    <w:p w:rsidR="00F11930" w:rsidRPr="00AF5519" w:rsidRDefault="00F11930" w:rsidP="00F11930">
      <w:pPr>
        <w:spacing w:line="360" w:lineRule="auto"/>
        <w:jc w:val="both"/>
        <w:rPr>
          <w:rFonts w:cstheme="majorHAnsi"/>
          <w:sz w:val="24"/>
        </w:rPr>
      </w:pPr>
      <w:r w:rsidRPr="00AF5519">
        <w:rPr>
          <w:rFonts w:cstheme="majorHAnsi"/>
          <w:sz w:val="24"/>
        </w:rPr>
        <w:lastRenderedPageBreak/>
        <w:t xml:space="preserve">Biesta (2020) notes how research philosophy refers to identifying the limitations of different research approaches and selecting the most appropriate philosophical route. The researcher has opted for epistemological pluralism throughout this study as variation can significantly enrich the research (Ghauri et al., 2020). </w:t>
      </w:r>
    </w:p>
    <w:p w:rsidR="00F11930" w:rsidRPr="00AF5519" w:rsidRDefault="00F11930" w:rsidP="00F11930">
      <w:pPr>
        <w:spacing w:line="360" w:lineRule="auto"/>
        <w:jc w:val="both"/>
        <w:rPr>
          <w:rFonts w:cstheme="majorHAnsi"/>
          <w:sz w:val="24"/>
        </w:rPr>
      </w:pPr>
      <w:r w:rsidRPr="00AF5519">
        <w:rPr>
          <w:rFonts w:cstheme="majorHAnsi"/>
          <w:sz w:val="24"/>
          <w:lang w:val="en"/>
        </w:rPr>
        <w:t xml:space="preserve">The researcher has firstly adopted a philosophical angle known as interpretivism, which can be seen in the outer layer of Saunders’s research onion. </w:t>
      </w:r>
      <w:r w:rsidRPr="00AF5519">
        <w:rPr>
          <w:rFonts w:cstheme="majorHAnsi"/>
          <w:color w:val="222222"/>
          <w:sz w:val="24"/>
        </w:rPr>
        <w:t xml:space="preserve">Interpretivist research focuses on a shift from deterministic explanation by establishing relationships between different variables that are grounded in people’s self-understandings (Leitch et al., 2010). This interpretivist paradigm has enabled the researcher to gain an understanding of the different perceptions among individuals in relation to social media.  </w:t>
      </w:r>
    </w:p>
    <w:p w:rsidR="00F11930" w:rsidRPr="00AF5519" w:rsidRDefault="00F11930" w:rsidP="00F11930">
      <w:pPr>
        <w:spacing w:line="360" w:lineRule="auto"/>
        <w:jc w:val="both"/>
        <w:rPr>
          <w:rFonts w:cstheme="majorHAnsi"/>
          <w:sz w:val="24"/>
        </w:rPr>
      </w:pPr>
      <w:r w:rsidRPr="00AF5519">
        <w:rPr>
          <w:rFonts w:cstheme="majorHAnsi"/>
          <w:sz w:val="24"/>
        </w:rPr>
        <w:t xml:space="preserve">This thesis also incorporates elements of positivism. A positivist approach allows the researcher to avoid influencing the findings by remaining neutral and detached from the research when collecting the results from the questionnaire survey (Saunders, 2007). An additional purpose of integrating this paradigm is to have elements of statistical analysis, strategic patterns and generalizable findings. </w:t>
      </w:r>
    </w:p>
    <w:p w:rsidR="00F11930" w:rsidRPr="00AF5519" w:rsidRDefault="00F11930" w:rsidP="00F11930">
      <w:pPr>
        <w:spacing w:line="360" w:lineRule="auto"/>
        <w:jc w:val="both"/>
        <w:rPr>
          <w:rFonts w:cstheme="majorHAnsi"/>
          <w:sz w:val="24"/>
        </w:rPr>
      </w:pPr>
      <w:r w:rsidRPr="00AF5519">
        <w:rPr>
          <w:rFonts w:cstheme="majorHAnsi"/>
          <w:sz w:val="24"/>
        </w:rPr>
        <w:t>This particular combination of philosophical approaches has been beneficial to this study as the positivist approach identified quantitative propositions that could be be tested, while the interpretive approach enabled the researcher to combine that data into systems or beliefs (Lin, 1998). As a result of incorporating more than one philosophical approach, the research method could be considered as pragmatism, which often acts as a mediator between competing philosophical hypotheses (</w:t>
      </w:r>
      <w:r w:rsidRPr="00AF5519">
        <w:rPr>
          <w:rFonts w:cstheme="majorHAnsi"/>
          <w:sz w:val="24"/>
          <w:shd w:val="clear" w:color="auto" w:fill="FFFFFF"/>
        </w:rPr>
        <w:t>Sidorsky, 2019).</w:t>
      </w:r>
      <w:r w:rsidRPr="00AF5519">
        <w:rPr>
          <w:rFonts w:cstheme="majorHAnsi"/>
          <w:szCs w:val="20"/>
        </w:rPr>
        <w:t xml:space="preserve"> </w:t>
      </w:r>
    </w:p>
    <w:p w:rsidR="00F11930" w:rsidRPr="00AF5519" w:rsidRDefault="00F11930" w:rsidP="00F11930">
      <w:pPr>
        <w:spacing w:line="360" w:lineRule="auto"/>
        <w:jc w:val="both"/>
        <w:rPr>
          <w:rFonts w:cstheme="majorHAnsi"/>
          <w:sz w:val="24"/>
        </w:rPr>
      </w:pPr>
      <w:r w:rsidRPr="00AF5519">
        <w:rPr>
          <w:rFonts w:cstheme="majorHAnsi"/>
          <w:sz w:val="24"/>
        </w:rPr>
        <w:t xml:space="preserve">Additionally, this thesis could also be considered in the ontological position of constructionism. As discussed by Bell et al., (2018) constructionism asserts that social phenomena are continually being altered by social movements and interaction, and that the phenomena’s and their meanings are in a constant state of revision. As this thesis aims to review the ever-growing phenomenon of social media, the research will offer a specific version of social reality, rather than one that can be regarded as definite (Bell et al., 2018). </w:t>
      </w:r>
    </w:p>
    <w:p w:rsidR="00F11930" w:rsidRPr="00AF5519" w:rsidRDefault="00F11930" w:rsidP="00F11930">
      <w:pPr>
        <w:spacing w:line="360" w:lineRule="auto"/>
        <w:jc w:val="both"/>
      </w:pPr>
    </w:p>
    <w:p w:rsidR="00F11930" w:rsidRPr="00AF5519" w:rsidRDefault="00F11930" w:rsidP="00F11930">
      <w:pPr>
        <w:pStyle w:val="Heading3"/>
        <w:rPr>
          <w:rFonts w:asciiTheme="minorHAnsi" w:hAnsiTheme="minorHAnsi"/>
        </w:rPr>
      </w:pPr>
      <w:bookmarkStart w:id="51" w:name="_Toc41557643"/>
      <w:bookmarkStart w:id="52" w:name="_Toc41648196"/>
      <w:r w:rsidRPr="00AF5519">
        <w:rPr>
          <w:rFonts w:asciiTheme="minorHAnsi" w:hAnsiTheme="minorHAnsi"/>
        </w:rPr>
        <w:t>3.1.2. Approach</w:t>
      </w:r>
      <w:bookmarkEnd w:id="51"/>
      <w:bookmarkEnd w:id="52"/>
    </w:p>
    <w:p w:rsidR="00F11930" w:rsidRPr="00AF5519" w:rsidRDefault="00F11930" w:rsidP="00F11930"/>
    <w:p w:rsidR="00F11930" w:rsidRPr="00AF5519" w:rsidRDefault="00F11930" w:rsidP="00F11930">
      <w:pPr>
        <w:jc w:val="center"/>
      </w:pPr>
      <w:r w:rsidRPr="00AF5519">
        <w:rPr>
          <w:noProof/>
          <w:lang w:eastAsia="en-GB"/>
        </w:rPr>
        <w:lastRenderedPageBreak/>
        <w:drawing>
          <wp:inline distT="0" distB="0" distL="0" distR="0" wp14:anchorId="1DDC66C3" wp14:editId="2B5EFCDD">
            <wp:extent cx="5731510" cy="3881223"/>
            <wp:effectExtent l="0" t="0" r="2540" b="5080"/>
            <wp:docPr id="6" name="Picture 6" descr="Creative Research - How do I Research? - LibGuides at OCAD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reative Research - How do I Research? - LibGuides at OCAD Universit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81223"/>
                    </a:xfrm>
                    <a:prstGeom prst="rect">
                      <a:avLst/>
                    </a:prstGeom>
                    <a:noFill/>
                    <a:ln>
                      <a:noFill/>
                    </a:ln>
                  </pic:spPr>
                </pic:pic>
              </a:graphicData>
            </a:graphic>
          </wp:inline>
        </w:drawing>
      </w:r>
    </w:p>
    <w:p w:rsidR="00F11930" w:rsidRPr="00AF5519" w:rsidRDefault="00F11930" w:rsidP="00F11930">
      <w:pPr>
        <w:jc w:val="center"/>
      </w:pPr>
    </w:p>
    <w:p w:rsidR="00F11930" w:rsidRPr="00AF5519" w:rsidRDefault="00F11930" w:rsidP="00F11930">
      <w:pPr>
        <w:pStyle w:val="Heading4"/>
        <w:rPr>
          <w:rFonts w:asciiTheme="minorHAnsi" w:hAnsiTheme="minorHAnsi"/>
          <w:lang w:val="en"/>
        </w:rPr>
      </w:pPr>
      <w:bookmarkStart w:id="53" w:name="_Toc41648285"/>
      <w:r w:rsidRPr="00AF5519">
        <w:rPr>
          <w:rFonts w:asciiTheme="minorHAnsi" w:hAnsiTheme="minorHAnsi"/>
          <w:lang w:val="en"/>
        </w:rPr>
        <w:t>Figure 3.2.: Inductive Research. Source: (Google Images, 2020)</w:t>
      </w:r>
      <w:bookmarkEnd w:id="53"/>
    </w:p>
    <w:p w:rsidR="00F11930" w:rsidRPr="00AF5519" w:rsidRDefault="00F11930" w:rsidP="00F11930">
      <w:pPr>
        <w:spacing w:line="360" w:lineRule="auto"/>
        <w:jc w:val="both"/>
        <w:rPr>
          <w:rFonts w:cstheme="minorHAnsi"/>
          <w:lang w:val="en"/>
        </w:rPr>
      </w:pPr>
    </w:p>
    <w:p w:rsidR="00F11930" w:rsidRPr="00AF5519" w:rsidRDefault="00F11930" w:rsidP="00F11930">
      <w:pPr>
        <w:spacing w:line="360" w:lineRule="auto"/>
        <w:jc w:val="both"/>
        <w:rPr>
          <w:rFonts w:cstheme="majorHAnsi"/>
          <w:sz w:val="24"/>
        </w:rPr>
      </w:pPr>
      <w:r w:rsidRPr="00AF5519">
        <w:rPr>
          <w:rFonts w:cstheme="majorHAnsi"/>
          <w:sz w:val="24"/>
          <w:lang w:val="en"/>
        </w:rPr>
        <w:t xml:space="preserve">Applying the Research Onion to this thesis, a mainly inductive approach has been applied to gather research starting from the bottom up (see Figure 3.2). </w:t>
      </w:r>
      <w:r w:rsidRPr="00AF5519">
        <w:rPr>
          <w:rFonts w:cstheme="majorHAnsi"/>
          <w:sz w:val="24"/>
        </w:rPr>
        <w:t xml:space="preserve">The reason for this is that the researcher’s mind was not entirely blank at the beginning of this study and there were some pertinent assumptions that were practically directing the analysis (Schreier et al., 2019). This research has used inductive reasoning to use patterns linking social media to the events industry to then reach conclusions and develop theoretical explanations linking the two. </w:t>
      </w:r>
    </w:p>
    <w:p w:rsidR="00F11930" w:rsidRPr="00AF5519" w:rsidRDefault="00F11930" w:rsidP="00F11930">
      <w:pPr>
        <w:spacing w:line="360" w:lineRule="auto"/>
        <w:jc w:val="both"/>
        <w:rPr>
          <w:rFonts w:cstheme="majorHAnsi"/>
          <w:sz w:val="24"/>
        </w:rPr>
      </w:pPr>
      <w:r w:rsidRPr="00AF5519">
        <w:rPr>
          <w:rFonts w:cstheme="majorHAnsi"/>
          <w:sz w:val="24"/>
        </w:rPr>
        <w:t xml:space="preserve">This dissertation is exploratory in its purpose as it aims to seek new insights and explore the understanding of the research question in greater depth (Robson, 2002). As this dissertation is aiming to explore the impacts of social media, this purpose has allowed the initially broad study to progressively become narrower as the research has developed (Saunders et al., 2003).  </w:t>
      </w:r>
    </w:p>
    <w:p w:rsidR="00F11930" w:rsidRPr="00AF5519" w:rsidRDefault="00F11930" w:rsidP="00F11930"/>
    <w:p w:rsidR="00F11930" w:rsidRPr="00AF5519" w:rsidRDefault="00F11930" w:rsidP="00F11930">
      <w:pPr>
        <w:pStyle w:val="Heading3"/>
        <w:rPr>
          <w:rFonts w:asciiTheme="minorHAnsi" w:hAnsiTheme="minorHAnsi"/>
        </w:rPr>
      </w:pPr>
      <w:bookmarkStart w:id="54" w:name="_Toc41557644"/>
      <w:bookmarkStart w:id="55" w:name="_Toc41648197"/>
      <w:r w:rsidRPr="00AF5519">
        <w:rPr>
          <w:rFonts w:asciiTheme="minorHAnsi" w:hAnsiTheme="minorHAnsi"/>
        </w:rPr>
        <w:t>3.1.3. Strategy</w:t>
      </w:r>
      <w:bookmarkEnd w:id="54"/>
      <w:bookmarkEnd w:id="55"/>
    </w:p>
    <w:p w:rsidR="00F11930" w:rsidRPr="00AF5519" w:rsidRDefault="00F11930" w:rsidP="00F11930"/>
    <w:p w:rsidR="00F11930" w:rsidRPr="00AF5519" w:rsidRDefault="00F11930" w:rsidP="00F11930">
      <w:pPr>
        <w:spacing w:line="360" w:lineRule="auto"/>
        <w:jc w:val="both"/>
        <w:rPr>
          <w:rFonts w:cstheme="majorHAnsi"/>
          <w:sz w:val="24"/>
        </w:rPr>
      </w:pPr>
      <w:r w:rsidRPr="00AF5519">
        <w:rPr>
          <w:rFonts w:cstheme="majorHAnsi"/>
          <w:sz w:val="24"/>
        </w:rPr>
        <w:lastRenderedPageBreak/>
        <w:t>According to Bell et al., (2018) a research strategy refers to the overall approach taken including philosophical assumptions, research design, research questions, methods chosen and data collection. As shown in Figure 1, Saunders et al., (2009) suggests five potential techniques for collecting primary data.  This dissertation largely incorporates a survey strategy. Fink (2002) describes surveys as;</w:t>
      </w:r>
    </w:p>
    <w:p w:rsidR="00F11930" w:rsidRPr="00AF5519" w:rsidRDefault="00F11930" w:rsidP="00F11930">
      <w:pPr>
        <w:spacing w:line="360" w:lineRule="auto"/>
        <w:jc w:val="both"/>
        <w:rPr>
          <w:rFonts w:cstheme="majorHAnsi"/>
          <w:sz w:val="24"/>
        </w:rPr>
      </w:pPr>
      <w:r w:rsidRPr="00AF5519">
        <w:rPr>
          <w:rFonts w:cstheme="majorHAnsi"/>
          <w:i/>
          <w:iCs/>
          <w:sz w:val="24"/>
        </w:rPr>
        <w:t>“A system for collecting information to describe, compare or explain knowledge, attitudes and behaviour”.</w:t>
      </w:r>
      <w:r w:rsidRPr="00AF5519">
        <w:rPr>
          <w:rFonts w:cstheme="majorHAnsi"/>
          <w:sz w:val="24"/>
        </w:rPr>
        <w:t xml:space="preserve"> </w:t>
      </w:r>
    </w:p>
    <w:p w:rsidR="00F11930" w:rsidRPr="00AF5519" w:rsidRDefault="00F11930" w:rsidP="00F11930">
      <w:pPr>
        <w:spacing w:line="360" w:lineRule="auto"/>
        <w:jc w:val="both"/>
        <w:rPr>
          <w:rFonts w:cstheme="majorHAnsi"/>
          <w:sz w:val="24"/>
        </w:rPr>
      </w:pPr>
      <w:r w:rsidRPr="00AF5519">
        <w:rPr>
          <w:rFonts w:cstheme="majorHAnsi"/>
          <w:sz w:val="24"/>
        </w:rPr>
        <w:t xml:space="preserve">This strategy can provide several equally valid realities from different perspectives (Geertz, 1973). Additionally, the varied data that can be collected from this method provides the opportunity for distinct clarification that can achieved from both a positivistic and interpretivist philosophical approach (Newman et al., 1998). </w:t>
      </w:r>
    </w:p>
    <w:p w:rsidR="00F11930" w:rsidRPr="00AF5519" w:rsidRDefault="00F11930" w:rsidP="00F11930">
      <w:pPr>
        <w:spacing w:line="360" w:lineRule="auto"/>
        <w:jc w:val="both"/>
        <w:rPr>
          <w:rFonts w:cstheme="majorHAnsi"/>
          <w:sz w:val="24"/>
          <w:shd w:val="clear" w:color="auto" w:fill="FFFFFF"/>
        </w:rPr>
      </w:pPr>
      <w:r w:rsidRPr="00AF5519">
        <w:rPr>
          <w:rFonts w:cstheme="majorHAnsi"/>
          <w:sz w:val="24"/>
          <w:shd w:val="clear" w:color="auto" w:fill="FFFFFF"/>
        </w:rPr>
        <w:t xml:space="preserve">Furthermore, the researcher has also incorporated two semi-structured interviews. According to Longhurst (2003) semi-structured interviews provide a conversational manner for participants to explore issues whilst also providing an interaction with the individuals whereby the interpretive paradigm can explore inconsequential accentuations of body voice, language or situational details (Black, 2006). </w:t>
      </w:r>
    </w:p>
    <w:p w:rsidR="00F11930" w:rsidRPr="00AF5519" w:rsidRDefault="00F11930" w:rsidP="00F11930">
      <w:pPr>
        <w:spacing w:line="360" w:lineRule="auto"/>
        <w:jc w:val="both"/>
        <w:rPr>
          <w:rFonts w:cstheme="minorHAnsi"/>
          <w:shd w:val="clear" w:color="auto" w:fill="FFFFFF"/>
        </w:rPr>
      </w:pPr>
    </w:p>
    <w:p w:rsidR="00F11930" w:rsidRPr="00AF5519" w:rsidRDefault="00F11930" w:rsidP="00F11930">
      <w:pPr>
        <w:pStyle w:val="Heading3"/>
        <w:rPr>
          <w:rFonts w:asciiTheme="minorHAnsi" w:hAnsiTheme="minorHAnsi"/>
          <w:shd w:val="clear" w:color="auto" w:fill="FFFFFF"/>
        </w:rPr>
      </w:pPr>
      <w:bookmarkStart w:id="56" w:name="_Toc41557645"/>
      <w:bookmarkStart w:id="57" w:name="_Toc41648198"/>
      <w:r w:rsidRPr="00AF5519">
        <w:rPr>
          <w:rFonts w:asciiTheme="minorHAnsi" w:hAnsiTheme="minorHAnsi"/>
          <w:shd w:val="clear" w:color="auto" w:fill="FFFFFF"/>
        </w:rPr>
        <w:t>3.1.4. Choice</w:t>
      </w:r>
      <w:bookmarkEnd w:id="56"/>
      <w:bookmarkEnd w:id="57"/>
    </w:p>
    <w:p w:rsidR="00F11930" w:rsidRPr="00AF5519" w:rsidRDefault="00F11930" w:rsidP="00F11930"/>
    <w:p w:rsidR="00F11930" w:rsidRPr="00AF5519" w:rsidRDefault="00F11930" w:rsidP="00F11930">
      <w:pPr>
        <w:spacing w:line="360" w:lineRule="auto"/>
        <w:jc w:val="both"/>
        <w:rPr>
          <w:rFonts w:cstheme="majorHAnsi"/>
          <w:sz w:val="24"/>
        </w:rPr>
      </w:pPr>
      <w:r w:rsidRPr="00AF5519">
        <w:rPr>
          <w:rFonts w:cstheme="majorHAnsi"/>
          <w:sz w:val="24"/>
        </w:rPr>
        <w:t xml:space="preserve">In order to enhance the value of the data collected, the researcher implemented a mixed-method triangulation approach. This choice helps to expand the analytical options by collecting both quantitative and qualitative data from different methods that can then be integrated in the overall interpretation of the results (Gibson, 2017). The various methods and measures of an empirical phenomenon used in triangulation can also help to reduce bias and validity issues (Blaikie, 1991). This in itself helps to limit the prospect of inaccurate inferences often associated with inductive research (Thomas, 2003). </w:t>
      </w:r>
    </w:p>
    <w:p w:rsidR="00F11930" w:rsidRPr="00AF5519" w:rsidRDefault="00F11930" w:rsidP="00F11930">
      <w:pPr>
        <w:spacing w:line="360" w:lineRule="auto"/>
        <w:jc w:val="both"/>
        <w:rPr>
          <w:rFonts w:cstheme="majorHAnsi"/>
          <w:sz w:val="24"/>
        </w:rPr>
      </w:pPr>
      <w:r w:rsidRPr="00AF5519">
        <w:rPr>
          <w:rFonts w:cstheme="majorHAnsi"/>
          <w:sz w:val="24"/>
        </w:rPr>
        <w:t xml:space="preserve">Though there are several variations of triangulation, this thesis is largely dominated by theory triangulation as multiple theories will be utilised to interpret the data (Denzin, 1978). This approach enables the researcher to capture a holistic and contextual portrayal of the research (Hassard et al., 2008) and therefore will deepen the confidence in the research findings. </w:t>
      </w:r>
    </w:p>
    <w:p w:rsidR="00F11930" w:rsidRPr="00AF5519" w:rsidRDefault="00F11930" w:rsidP="00F11930">
      <w:pPr>
        <w:spacing w:line="360" w:lineRule="auto"/>
        <w:jc w:val="both"/>
      </w:pPr>
    </w:p>
    <w:p w:rsidR="00F11930" w:rsidRPr="00AF5519" w:rsidRDefault="00F11930" w:rsidP="00F11930">
      <w:pPr>
        <w:pStyle w:val="Heading2"/>
      </w:pPr>
      <w:bookmarkStart w:id="58" w:name="_Toc41647926"/>
      <w:bookmarkStart w:id="59" w:name="_Toc41648199"/>
      <w:r w:rsidRPr="00AF5519">
        <w:t>3.1.5. Collection and Analysis</w:t>
      </w:r>
      <w:bookmarkEnd w:id="58"/>
      <w:bookmarkEnd w:id="59"/>
      <w:r w:rsidRPr="00AF5519">
        <w:t xml:space="preserve"> </w:t>
      </w:r>
    </w:p>
    <w:p w:rsidR="00F11930" w:rsidRPr="00AF5519" w:rsidRDefault="00F11930" w:rsidP="00F11930"/>
    <w:p w:rsidR="00F11930" w:rsidRPr="00AF5519" w:rsidRDefault="00F11930" w:rsidP="00F11930">
      <w:pPr>
        <w:pStyle w:val="Heading3"/>
        <w:rPr>
          <w:rFonts w:asciiTheme="minorHAnsi" w:hAnsiTheme="minorHAnsi"/>
          <w:i/>
        </w:rPr>
      </w:pPr>
      <w:bookmarkStart w:id="60" w:name="_Toc41557646"/>
      <w:bookmarkStart w:id="61" w:name="_Toc41648200"/>
      <w:r w:rsidRPr="00AF5519">
        <w:rPr>
          <w:rFonts w:asciiTheme="minorHAnsi" w:hAnsiTheme="minorHAnsi"/>
        </w:rPr>
        <w:t>3.1.5.1 Collection</w:t>
      </w:r>
      <w:bookmarkEnd w:id="60"/>
      <w:bookmarkEnd w:id="61"/>
    </w:p>
    <w:p w:rsidR="00F11930" w:rsidRPr="00AF5519" w:rsidRDefault="00F11930" w:rsidP="00F11930">
      <w:pPr>
        <w:spacing w:line="360" w:lineRule="auto"/>
        <w:jc w:val="both"/>
      </w:pPr>
    </w:p>
    <w:p w:rsidR="00F11930" w:rsidRPr="00AF5519" w:rsidRDefault="00F11930" w:rsidP="00F11930">
      <w:pPr>
        <w:spacing w:line="360" w:lineRule="auto"/>
        <w:jc w:val="both"/>
        <w:rPr>
          <w:rFonts w:cstheme="majorHAnsi"/>
          <w:sz w:val="24"/>
        </w:rPr>
      </w:pPr>
      <w:r w:rsidRPr="00AF5519">
        <w:rPr>
          <w:rFonts w:cstheme="majorHAnsi"/>
          <w:sz w:val="24"/>
        </w:rPr>
        <w:t xml:space="preserve">The first primary data collection method is the creation of a self-completion online questionnaire. The questionnaire survey provides an exploratory snapshot of behaviour and attitudes during the particular time that the data was collected and so can further be considered cross-sectional in its nature (Mathers et al., 1998). This method of collection has been chosen as not only is it cost effective, but it also does not involve invasive techniques and so has greater ethical advantages (Mathers et al., 1998). It also reaches a significantly large proportion of people with similar characteristics in a short amount of time (Wright, 2005). </w:t>
      </w:r>
    </w:p>
    <w:p w:rsidR="00F11930" w:rsidRPr="00AF5519" w:rsidRDefault="00F11930" w:rsidP="00F11930">
      <w:pPr>
        <w:spacing w:line="360" w:lineRule="auto"/>
        <w:jc w:val="both"/>
        <w:rPr>
          <w:rFonts w:cstheme="majorHAnsi"/>
          <w:sz w:val="24"/>
        </w:rPr>
      </w:pPr>
      <w:r w:rsidRPr="00AF5519">
        <w:rPr>
          <w:rFonts w:cstheme="majorHAnsi"/>
          <w:sz w:val="24"/>
        </w:rPr>
        <w:t>The researcher ensured that the font, brightness, spacing and colouring of the questionnaire was tailored to optimise the questionnaire as prior studies by Dr Leeuw (2008) noted how visual presentation and general layout of the questionnaire is extremely important.</w:t>
      </w:r>
    </w:p>
    <w:p w:rsidR="00F11930" w:rsidRPr="00AF5519" w:rsidRDefault="00F11930" w:rsidP="00F11930">
      <w:pPr>
        <w:spacing w:line="360" w:lineRule="auto"/>
        <w:jc w:val="both"/>
      </w:pPr>
    </w:p>
    <w:p w:rsidR="00F11930" w:rsidRPr="00AF5519" w:rsidRDefault="00F11930" w:rsidP="00F11930">
      <w:pPr>
        <w:pStyle w:val="Heading3"/>
        <w:rPr>
          <w:rFonts w:asciiTheme="minorHAnsi" w:hAnsiTheme="minorHAnsi"/>
        </w:rPr>
      </w:pPr>
      <w:bookmarkStart w:id="62" w:name="_Toc41557647"/>
      <w:bookmarkStart w:id="63" w:name="_Toc41648201"/>
      <w:r w:rsidRPr="00AF5519">
        <w:rPr>
          <w:rFonts w:asciiTheme="minorHAnsi" w:hAnsiTheme="minorHAnsi"/>
        </w:rPr>
        <w:t>3.1.5.2. Questionnaire design</w:t>
      </w:r>
      <w:bookmarkEnd w:id="62"/>
      <w:bookmarkEnd w:id="63"/>
    </w:p>
    <w:p w:rsidR="00F11930" w:rsidRPr="00AF5519" w:rsidRDefault="00F11930" w:rsidP="00F11930">
      <w:pPr>
        <w:spacing w:line="360" w:lineRule="auto"/>
        <w:jc w:val="both"/>
      </w:pPr>
    </w:p>
    <w:p w:rsidR="00F11930" w:rsidRPr="00AF5519" w:rsidRDefault="00F11930" w:rsidP="00F11930">
      <w:pPr>
        <w:spacing w:line="360" w:lineRule="auto"/>
        <w:jc w:val="both"/>
        <w:rPr>
          <w:rFonts w:cstheme="majorHAnsi"/>
          <w:sz w:val="24"/>
        </w:rPr>
      </w:pPr>
      <w:r w:rsidRPr="00AF5519">
        <w:rPr>
          <w:rFonts w:cstheme="majorHAnsi"/>
          <w:sz w:val="24"/>
        </w:rPr>
        <w:t xml:space="preserve">The questionnaire comprises of twenty-four separate questions underpinned by the academic research explored in Chapter two (see Appendix 3). The questions were largely close-ended and collected information related to demographics, social media use and the events industry. Goddard and Villanova (2006) discuss the importance of close ended questions in generating more comparable and accurate answers and increasing the likelihood that the same interpretation of the question will be made by respondents. The questions also avoided the use of biased phrases and had simple, concrete language to ensure that they yielded usable data and avoided respondent confusion (Slattery et al., 2011). </w:t>
      </w:r>
    </w:p>
    <w:p w:rsidR="00F11930" w:rsidRPr="00AF5519" w:rsidRDefault="00F11930" w:rsidP="00F11930">
      <w:pPr>
        <w:spacing w:line="360" w:lineRule="auto"/>
        <w:jc w:val="both"/>
        <w:rPr>
          <w:rFonts w:cstheme="majorHAnsi"/>
          <w:sz w:val="24"/>
          <w:shd w:val="clear" w:color="auto" w:fill="FFFFFF"/>
        </w:rPr>
      </w:pPr>
      <w:r w:rsidRPr="00AF5519">
        <w:rPr>
          <w:rFonts w:cstheme="majorHAnsi"/>
          <w:sz w:val="24"/>
        </w:rPr>
        <w:t xml:space="preserve">A large proportion of the questions were nominal and measured through frequencies and percentages. The researcher chose to utilise nominal level variables as they provide data that </w:t>
      </w:r>
      <w:r w:rsidRPr="00AF5519">
        <w:rPr>
          <w:rFonts w:cstheme="majorHAnsi"/>
          <w:sz w:val="24"/>
        </w:rPr>
        <w:lastRenderedPageBreak/>
        <w:t>can be both likened and integrated with qualitative-data gathering techniques (</w:t>
      </w:r>
      <w:r w:rsidRPr="00AF5519">
        <w:rPr>
          <w:rFonts w:cstheme="majorHAnsi"/>
          <w:sz w:val="24"/>
          <w:shd w:val="clear" w:color="auto" w:fill="FFFFFF"/>
        </w:rPr>
        <w:t>Nemoto and Beglar, 2014).</w:t>
      </w:r>
      <w:r w:rsidRPr="00AF5519">
        <w:rPr>
          <w:rFonts w:cstheme="majorHAnsi"/>
          <w:sz w:val="24"/>
        </w:rPr>
        <w:t xml:space="preserve"> </w:t>
      </w:r>
      <w:r w:rsidRPr="00AF5519">
        <w:rPr>
          <w:rFonts w:cstheme="majorHAnsi"/>
          <w:sz w:val="24"/>
          <w:shd w:val="clear" w:color="auto" w:fill="FFFFFF"/>
        </w:rPr>
        <w:t xml:space="preserve">A final copy of the distributed questionnaire can be seen in Appendix 2. </w:t>
      </w:r>
    </w:p>
    <w:p w:rsidR="00F11930" w:rsidRPr="00AF5519" w:rsidRDefault="00F11930" w:rsidP="00F11930">
      <w:pPr>
        <w:spacing w:line="360" w:lineRule="auto"/>
        <w:jc w:val="both"/>
      </w:pPr>
    </w:p>
    <w:p w:rsidR="00F11930" w:rsidRPr="00AF5519" w:rsidRDefault="00F11930" w:rsidP="00F11930">
      <w:pPr>
        <w:pStyle w:val="Heading3"/>
        <w:rPr>
          <w:rFonts w:asciiTheme="minorHAnsi" w:hAnsiTheme="minorHAnsi"/>
          <w:shd w:val="clear" w:color="auto" w:fill="FFFFFF"/>
        </w:rPr>
      </w:pPr>
      <w:bookmarkStart w:id="64" w:name="_Toc41557648"/>
      <w:bookmarkStart w:id="65" w:name="_Toc41648202"/>
      <w:r w:rsidRPr="00AF5519">
        <w:rPr>
          <w:rFonts w:asciiTheme="minorHAnsi" w:hAnsiTheme="minorHAnsi"/>
          <w:shd w:val="clear" w:color="auto" w:fill="FFFFFF"/>
        </w:rPr>
        <w:t>3.1.5.3. Pilot Study</w:t>
      </w:r>
      <w:bookmarkEnd w:id="64"/>
      <w:bookmarkEnd w:id="65"/>
    </w:p>
    <w:p w:rsidR="00F11930" w:rsidRPr="00AF5519" w:rsidRDefault="00F11930" w:rsidP="00F11930"/>
    <w:p w:rsidR="00F11930" w:rsidRPr="00AF5519" w:rsidRDefault="00F11930" w:rsidP="00F11930">
      <w:pPr>
        <w:spacing w:line="360" w:lineRule="auto"/>
        <w:jc w:val="both"/>
        <w:rPr>
          <w:rFonts w:cstheme="majorHAnsi"/>
          <w:sz w:val="24"/>
          <w:shd w:val="clear" w:color="auto" w:fill="FFFFFF"/>
        </w:rPr>
      </w:pPr>
      <w:r w:rsidRPr="00AF5519">
        <w:rPr>
          <w:rFonts w:cstheme="majorHAnsi"/>
          <w:sz w:val="24"/>
          <w:shd w:val="clear" w:color="auto" w:fill="FFFFFF"/>
        </w:rPr>
        <w:t xml:space="preserve">In order to increase the likelihood of success, the researcher has carried out a pilot study of the questionnaire survey before final distribution. Van Teijlingen and Hundley (2002) describe a pilot study as a mini-version of the full-scale study that can used to ensure the questionnaire achieves its maximum potential and gives advance warning about areas where the research might fail. This provided the researcher with the opportunity to address any issues highlighted and make final alternations before distributing to respondents. </w:t>
      </w:r>
    </w:p>
    <w:p w:rsidR="00F11930" w:rsidRPr="00AF5519" w:rsidRDefault="00F11930" w:rsidP="00F11930">
      <w:pPr>
        <w:spacing w:line="360" w:lineRule="auto"/>
        <w:jc w:val="both"/>
        <w:rPr>
          <w:rFonts w:cstheme="minorHAnsi"/>
          <w:shd w:val="clear" w:color="auto" w:fill="FFFFFF"/>
        </w:rPr>
      </w:pPr>
    </w:p>
    <w:p w:rsidR="00F11930" w:rsidRPr="00AF5519" w:rsidRDefault="00F11930" w:rsidP="00F11930">
      <w:pPr>
        <w:pStyle w:val="Heading3"/>
        <w:rPr>
          <w:rFonts w:asciiTheme="minorHAnsi" w:hAnsiTheme="minorHAnsi"/>
          <w:shd w:val="clear" w:color="auto" w:fill="FFFFFF"/>
        </w:rPr>
      </w:pPr>
      <w:bookmarkStart w:id="66" w:name="_Toc41557649"/>
      <w:bookmarkStart w:id="67" w:name="_Toc41648203"/>
      <w:r w:rsidRPr="00AF5519">
        <w:rPr>
          <w:rFonts w:asciiTheme="minorHAnsi" w:hAnsiTheme="minorHAnsi"/>
          <w:shd w:val="clear" w:color="auto" w:fill="FFFFFF"/>
        </w:rPr>
        <w:t>3.1.5.4. Interview design</w:t>
      </w:r>
      <w:bookmarkEnd w:id="66"/>
      <w:bookmarkEnd w:id="67"/>
    </w:p>
    <w:p w:rsidR="00F11930" w:rsidRPr="00AF5519" w:rsidRDefault="00F11930" w:rsidP="00F11930"/>
    <w:p w:rsidR="00F11930" w:rsidRPr="00AF5519" w:rsidRDefault="00F11930" w:rsidP="00F11930">
      <w:pPr>
        <w:spacing w:line="360" w:lineRule="auto"/>
        <w:jc w:val="both"/>
        <w:rPr>
          <w:rFonts w:cstheme="majorHAnsi"/>
          <w:color w:val="222222"/>
          <w:szCs w:val="20"/>
          <w:shd w:val="clear" w:color="auto" w:fill="FFFFFF"/>
        </w:rPr>
      </w:pPr>
      <w:r w:rsidRPr="00AF5519">
        <w:rPr>
          <w:rFonts w:cstheme="majorHAnsi"/>
          <w:sz w:val="24"/>
          <w:shd w:val="clear" w:color="auto" w:fill="FFFFFF"/>
        </w:rPr>
        <w:t xml:space="preserve">In addition to the questionnaire, the researcher has conducted two separate face-to-face interviews that comprised of semi-structured, open-ended questions and featured respondents with opposing social media views. The researcher made this decision during the research process in order to expand on the already collected quantifiable findings and add greater breadth and depth to the analysis. </w:t>
      </w:r>
      <w:r w:rsidRPr="00AF5519">
        <w:rPr>
          <w:rFonts w:cstheme="majorHAnsi"/>
          <w:color w:val="222222"/>
          <w:sz w:val="24"/>
          <w:shd w:val="clear" w:color="auto" w:fill="FFFFFF"/>
        </w:rPr>
        <w:t>Hennink et al., (2020) highlights how incorporating open-ended qualitative exploration provides a study with an interactive process that helps to refine the research and therefore allow the researcher to better gauge the importance of a certain issue.</w:t>
      </w:r>
      <w:r w:rsidRPr="00AF5519">
        <w:rPr>
          <w:rFonts w:cstheme="majorHAnsi"/>
          <w:color w:val="222222"/>
          <w:szCs w:val="20"/>
          <w:shd w:val="clear" w:color="auto" w:fill="FFFFFF"/>
        </w:rPr>
        <w:t xml:space="preserve"> </w:t>
      </w:r>
    </w:p>
    <w:p w:rsidR="00F11930" w:rsidRPr="00AF5519" w:rsidRDefault="00F11930" w:rsidP="00F11930">
      <w:pPr>
        <w:spacing w:line="360" w:lineRule="auto"/>
        <w:jc w:val="both"/>
        <w:rPr>
          <w:rFonts w:cstheme="majorHAnsi"/>
          <w:sz w:val="24"/>
        </w:rPr>
      </w:pPr>
      <w:r w:rsidRPr="00AF5519">
        <w:rPr>
          <w:rFonts w:cstheme="majorHAnsi"/>
          <w:sz w:val="24"/>
        </w:rPr>
        <w:t xml:space="preserve">The researcher also chose to add this element as both the infiltration of the qualitative method and the opposing social media views of the respondents provided the opportunity to further triangulate the data. According to Natow (2020) triangulation in interviews can involve interviewing people who hold varying viewpoints to support or refute the emergent propositions from the questionnaire, and therefore enhance the validity. </w:t>
      </w:r>
      <w:r w:rsidRPr="00AF5519">
        <w:rPr>
          <w:rFonts w:cstheme="majorHAnsi"/>
          <w:sz w:val="24"/>
          <w:szCs w:val="20"/>
          <w:shd w:val="clear" w:color="auto" w:fill="FFFFFF"/>
        </w:rPr>
        <w:t xml:space="preserve">Research has also shown that in order to increase the reliability of data collected within interviews, it is important to increase levels of rapport with respondents, create interaction and continually share engagement (Rainford, 2020). </w:t>
      </w:r>
      <w:r w:rsidRPr="00AF5519">
        <w:rPr>
          <w:rFonts w:cstheme="majorHAnsi"/>
          <w:sz w:val="24"/>
        </w:rPr>
        <w:t xml:space="preserve">The researcher therefore ensured that any questions </w:t>
      </w:r>
      <w:r w:rsidRPr="00AF5519">
        <w:rPr>
          <w:rFonts w:cstheme="majorHAnsi"/>
          <w:sz w:val="24"/>
        </w:rPr>
        <w:lastRenderedPageBreak/>
        <w:t xml:space="preserve">asked were conversational, personally tailored and created room for discussion to ensure that the data collected is varied, reliable and comparable. </w:t>
      </w:r>
    </w:p>
    <w:p w:rsidR="00F11930" w:rsidRPr="00AF5519" w:rsidRDefault="00F11930" w:rsidP="00F11930">
      <w:pPr>
        <w:spacing w:line="360" w:lineRule="auto"/>
        <w:jc w:val="both"/>
      </w:pPr>
    </w:p>
    <w:p w:rsidR="00F11930" w:rsidRPr="00AF5519" w:rsidRDefault="00F11930" w:rsidP="00F11930">
      <w:pPr>
        <w:pStyle w:val="Heading2"/>
        <w:rPr>
          <w:rFonts w:asciiTheme="minorHAnsi" w:hAnsiTheme="minorHAnsi"/>
        </w:rPr>
      </w:pPr>
      <w:bookmarkStart w:id="68" w:name="_Toc41557650"/>
      <w:bookmarkStart w:id="69" w:name="_Toc41648204"/>
      <w:r w:rsidRPr="00AF5519">
        <w:rPr>
          <w:rFonts w:asciiTheme="minorHAnsi" w:hAnsiTheme="minorHAnsi"/>
        </w:rPr>
        <w:t>3.2. Sampling</w:t>
      </w:r>
      <w:bookmarkEnd w:id="68"/>
      <w:bookmarkEnd w:id="69"/>
      <w:r w:rsidRPr="00AF5519">
        <w:rPr>
          <w:rFonts w:asciiTheme="minorHAnsi" w:hAnsiTheme="minorHAnsi"/>
        </w:rPr>
        <w:t xml:space="preserve"> </w:t>
      </w:r>
    </w:p>
    <w:p w:rsidR="00F11930" w:rsidRPr="00AF5519" w:rsidRDefault="00F11930" w:rsidP="00F11930"/>
    <w:p w:rsidR="00F11930" w:rsidRPr="00AF5519" w:rsidRDefault="00F11930" w:rsidP="00F11930">
      <w:pPr>
        <w:spacing w:line="360" w:lineRule="auto"/>
        <w:jc w:val="both"/>
        <w:rPr>
          <w:rFonts w:cstheme="majorHAnsi"/>
          <w:sz w:val="24"/>
        </w:rPr>
      </w:pPr>
      <w:r w:rsidRPr="00AF5519">
        <w:rPr>
          <w:rFonts w:cstheme="majorHAnsi"/>
          <w:sz w:val="24"/>
        </w:rPr>
        <w:t xml:space="preserve">The data collection for this study has been subject to purposive sampling. Etikan et al., (2016) describes the purposive sampling technique as a deliberate choice of respondents due to the assets or qualities that the respondent possesses. This process also involves the selection of individuals that are competent and well-informed with the phenomenon of interest (Cresswell and Plano Clark, 2011) which for this study is social media users aged between 18-50 and living in or around the Swansea City area. The researcher has chosen to focus on the Swansea City and surrounding areas to identify whether the impacts of social media on event experiences could be defined by geographic patterns. The results of this study could also then be used to compare and contrast with future studies to understand whether the results of analysis shift depending on the region in which the research is carried out. Additionally, the 18-50 age category has been chosen as this selection of people are said to be the largest users of social media platforms as highlighted in Chapter 2. However, the questionnaire has still included the age option of over 50 as this may be a group of people who hold distinct preferences or opinions related to this study that may contrast with the original age group focus. By targeting these niche demographics, the researcher is able to obtain specific data in relation to the research question whilst still gaining variation in the results. The purposive sampling technique also helps to satisfy the overall objective of this study as it provides the researcher with the justification to make theoretical, analytical and logical generalisations (Sharma, 2017). </w:t>
      </w:r>
    </w:p>
    <w:p w:rsidR="00F11930" w:rsidRPr="00AF5519" w:rsidRDefault="00F11930" w:rsidP="00F11930">
      <w:pPr>
        <w:spacing w:line="360" w:lineRule="auto"/>
        <w:jc w:val="both"/>
      </w:pPr>
      <w:r w:rsidRPr="00AF5519">
        <w:rPr>
          <w:rFonts w:cstheme="majorHAnsi"/>
          <w:sz w:val="24"/>
        </w:rPr>
        <w:t xml:space="preserve">In order to correctly manage error and variance estimation within the sample, the sample size has been carefully considered. According to Israel (1992) if a population is considered largely heterogeneous, then a greater sample size will be required to ensure that the researcher can obtain a higher level of precision. Methodologists such as Chassan (1979) argue that for a reasonable probability of collecting reliable results, a minimum of 50 to 100 respondents is required. In order to maximise this probability and ensure that the findings are a greater </w:t>
      </w:r>
      <w:r w:rsidRPr="00AF5519">
        <w:rPr>
          <w:rFonts w:cstheme="majorHAnsi"/>
          <w:sz w:val="24"/>
        </w:rPr>
        <w:lastRenderedPageBreak/>
        <w:t>representation of the population, the researcher ensured at least one-hundred respondents aged eighteen or above completed the questionnaire.</w:t>
      </w:r>
      <w:r w:rsidRPr="00AF5519">
        <w:t xml:space="preserve"> </w:t>
      </w:r>
    </w:p>
    <w:p w:rsidR="00F11930" w:rsidRPr="00AF5519" w:rsidRDefault="00F11930" w:rsidP="00F11930"/>
    <w:p w:rsidR="00F11930" w:rsidRPr="00AF5519" w:rsidRDefault="00F11930" w:rsidP="00F11930">
      <w:pPr>
        <w:pStyle w:val="Heading2"/>
        <w:rPr>
          <w:rFonts w:asciiTheme="minorHAnsi" w:hAnsiTheme="minorHAnsi"/>
        </w:rPr>
      </w:pPr>
      <w:bookmarkStart w:id="70" w:name="_Toc41557651"/>
      <w:bookmarkStart w:id="71" w:name="_Toc41648205"/>
      <w:r w:rsidRPr="00AF5519">
        <w:rPr>
          <w:rStyle w:val="Hyperlink"/>
          <w:rFonts w:asciiTheme="minorHAnsi" w:hAnsiTheme="minorHAnsi"/>
          <w:color w:val="2E74B5" w:themeColor="accent1" w:themeShade="BF"/>
        </w:rPr>
        <w:t>3</w:t>
      </w:r>
      <w:r w:rsidRPr="00AF5519">
        <w:rPr>
          <w:rFonts w:asciiTheme="minorHAnsi" w:hAnsiTheme="minorHAnsi"/>
        </w:rPr>
        <w:t>.3. Reliability and Validity</w:t>
      </w:r>
      <w:bookmarkEnd w:id="70"/>
      <w:bookmarkEnd w:id="71"/>
      <w:r w:rsidRPr="00AF5519">
        <w:rPr>
          <w:rFonts w:asciiTheme="minorHAnsi" w:hAnsiTheme="minorHAnsi"/>
        </w:rPr>
        <w:t xml:space="preserve"> </w:t>
      </w:r>
    </w:p>
    <w:p w:rsidR="00F11930" w:rsidRPr="00AF5519" w:rsidRDefault="00F11930" w:rsidP="00F11930"/>
    <w:p w:rsidR="00F11930" w:rsidRPr="00AF5519" w:rsidRDefault="00F11930" w:rsidP="00F11930">
      <w:pPr>
        <w:spacing w:line="360" w:lineRule="auto"/>
        <w:jc w:val="both"/>
        <w:rPr>
          <w:rFonts w:cstheme="majorHAnsi"/>
          <w:sz w:val="24"/>
          <w:szCs w:val="24"/>
        </w:rPr>
      </w:pPr>
      <w:r w:rsidRPr="00AF5519">
        <w:rPr>
          <w:rFonts w:cstheme="majorHAnsi"/>
          <w:sz w:val="24"/>
          <w:szCs w:val="24"/>
        </w:rPr>
        <w:t xml:space="preserve">Both reliability and validity are significant and essential elements of this study. </w:t>
      </w:r>
    </w:p>
    <w:p w:rsidR="00F11930" w:rsidRPr="00AF5519" w:rsidRDefault="00F11930" w:rsidP="00F11930">
      <w:pPr>
        <w:spacing w:line="360" w:lineRule="auto"/>
        <w:jc w:val="both"/>
        <w:rPr>
          <w:rFonts w:cstheme="majorHAnsi"/>
          <w:sz w:val="24"/>
          <w:szCs w:val="24"/>
        </w:rPr>
      </w:pPr>
      <w:r w:rsidRPr="00AF5519">
        <w:rPr>
          <w:rFonts w:cstheme="majorHAnsi"/>
          <w:sz w:val="24"/>
          <w:szCs w:val="24"/>
        </w:rPr>
        <w:t>Joppe (2000) defines reliability as;</w:t>
      </w:r>
    </w:p>
    <w:p w:rsidR="00F11930" w:rsidRPr="00AF5519" w:rsidRDefault="00F11930" w:rsidP="00F11930">
      <w:pPr>
        <w:spacing w:line="360" w:lineRule="auto"/>
        <w:jc w:val="both"/>
        <w:rPr>
          <w:rFonts w:cstheme="majorHAnsi"/>
          <w:i/>
          <w:iCs/>
          <w:sz w:val="24"/>
          <w:szCs w:val="24"/>
        </w:rPr>
      </w:pPr>
      <w:r w:rsidRPr="00AF5519">
        <w:rPr>
          <w:rFonts w:cstheme="majorHAnsi"/>
          <w:i/>
          <w:iCs/>
          <w:sz w:val="24"/>
          <w:szCs w:val="24"/>
        </w:rPr>
        <w:t>“The extent to which results are consistent over time and an accurate representation of the total population under study is referred to as reliability and if the results of a study can be reproduced under a similar methodology, then the research instrument is considered to be reliable”. P.1</w:t>
      </w:r>
    </w:p>
    <w:p w:rsidR="00F11930" w:rsidRPr="00AF5519" w:rsidRDefault="00F11930" w:rsidP="00F11930">
      <w:pPr>
        <w:spacing w:line="360" w:lineRule="auto"/>
        <w:jc w:val="both"/>
        <w:rPr>
          <w:rFonts w:cstheme="majorHAnsi"/>
          <w:sz w:val="24"/>
          <w:szCs w:val="24"/>
        </w:rPr>
      </w:pPr>
      <w:r w:rsidRPr="00AF5519">
        <w:rPr>
          <w:rFonts w:cstheme="majorHAnsi"/>
          <w:sz w:val="24"/>
          <w:szCs w:val="24"/>
        </w:rPr>
        <w:t xml:space="preserve">Joppe (2000) defines validity as; </w:t>
      </w:r>
    </w:p>
    <w:p w:rsidR="00F11930" w:rsidRPr="00AF5519" w:rsidRDefault="00F11930" w:rsidP="00F11930">
      <w:pPr>
        <w:spacing w:line="360" w:lineRule="auto"/>
        <w:jc w:val="both"/>
        <w:rPr>
          <w:rFonts w:cstheme="majorHAnsi"/>
          <w:i/>
          <w:iCs/>
          <w:sz w:val="24"/>
          <w:szCs w:val="24"/>
        </w:rPr>
      </w:pPr>
      <w:r w:rsidRPr="00AF5519">
        <w:rPr>
          <w:rFonts w:cstheme="majorHAnsi"/>
          <w:i/>
          <w:iCs/>
          <w:sz w:val="24"/>
          <w:szCs w:val="24"/>
        </w:rPr>
        <w:t xml:space="preserve">“Validity determines whether the research truly measures that which it was intended to measure or how truthful the research results are”. </w:t>
      </w:r>
    </w:p>
    <w:p w:rsidR="00F11930" w:rsidRPr="00AF5519" w:rsidRDefault="00F11930" w:rsidP="00F11930">
      <w:pPr>
        <w:spacing w:line="360" w:lineRule="auto"/>
        <w:jc w:val="both"/>
        <w:rPr>
          <w:rFonts w:cstheme="majorHAnsi"/>
          <w:sz w:val="24"/>
          <w:szCs w:val="24"/>
        </w:rPr>
      </w:pPr>
      <w:r w:rsidRPr="00AF5519">
        <w:rPr>
          <w:rFonts w:cstheme="majorHAnsi"/>
          <w:sz w:val="24"/>
          <w:szCs w:val="24"/>
        </w:rPr>
        <w:t xml:space="preserve">Reliable and valid results ensure that the study findings are trustworthy, bias has been eliminated and the researcher’s truthfulness has been increased (Denzin, 1978). Alongside the pilot test of the questionnaire, the researcher also incorporated the establishment of face validity. This process ensures an individual considered knowledgeable in the research topic in question reviewed the questionnaire to ensure it was addressing the subject area effectively. The researcher </w:t>
      </w:r>
      <w:r w:rsidRPr="00AF5519">
        <w:rPr>
          <w:rFonts w:cstheme="majorHAnsi"/>
          <w:sz w:val="24"/>
          <w:szCs w:val="24"/>
          <w:lang w:val="en"/>
        </w:rPr>
        <w:t xml:space="preserve">also ensured a fully unbiased and impartial stance when collecting data.  </w:t>
      </w:r>
    </w:p>
    <w:p w:rsidR="00F11930" w:rsidRPr="00AF5519" w:rsidRDefault="00F11930" w:rsidP="00F11930">
      <w:pPr>
        <w:spacing w:line="360" w:lineRule="auto"/>
        <w:jc w:val="both"/>
        <w:rPr>
          <w:rFonts w:cstheme="majorHAnsi"/>
          <w:sz w:val="24"/>
          <w:szCs w:val="24"/>
        </w:rPr>
      </w:pPr>
      <w:r w:rsidRPr="00AF5519">
        <w:rPr>
          <w:rFonts w:cstheme="majorHAnsi"/>
          <w:sz w:val="24"/>
          <w:szCs w:val="24"/>
        </w:rPr>
        <w:t xml:space="preserve">The triangulation approach of this research also helped to improve the validity and reliability of the findings in both naturalistic and qualitative approaches and assisted in controlling bias and establishing valid propositions (Golafshani, 2003). </w:t>
      </w:r>
    </w:p>
    <w:p w:rsidR="00F11930" w:rsidRPr="00AF5519" w:rsidRDefault="00F11930" w:rsidP="00F11930">
      <w:pPr>
        <w:pStyle w:val="Heading2"/>
        <w:rPr>
          <w:rFonts w:asciiTheme="minorHAnsi" w:hAnsiTheme="minorHAnsi"/>
        </w:rPr>
      </w:pPr>
    </w:p>
    <w:p w:rsidR="00F11930" w:rsidRPr="00AF5519" w:rsidRDefault="00F11930" w:rsidP="00F11930">
      <w:pPr>
        <w:pStyle w:val="Heading2"/>
        <w:rPr>
          <w:rFonts w:asciiTheme="minorHAnsi" w:hAnsiTheme="minorHAnsi"/>
        </w:rPr>
      </w:pPr>
      <w:bookmarkStart w:id="72" w:name="_Toc41557652"/>
      <w:bookmarkStart w:id="73" w:name="_Toc41648206"/>
      <w:r w:rsidRPr="00AF5519">
        <w:rPr>
          <w:rFonts w:asciiTheme="minorHAnsi" w:hAnsiTheme="minorHAnsi"/>
        </w:rPr>
        <w:t>3.4. Limitations</w:t>
      </w:r>
      <w:bookmarkEnd w:id="72"/>
      <w:bookmarkEnd w:id="73"/>
      <w:r w:rsidRPr="00AF5519">
        <w:rPr>
          <w:rFonts w:asciiTheme="minorHAnsi" w:hAnsiTheme="minorHAnsi"/>
        </w:rPr>
        <w:t xml:space="preserve"> </w:t>
      </w:r>
    </w:p>
    <w:p w:rsidR="00F11930" w:rsidRPr="00AF5519" w:rsidRDefault="00F11930" w:rsidP="00F11930"/>
    <w:p w:rsidR="00F11930" w:rsidRPr="00AF5519" w:rsidRDefault="00F11930" w:rsidP="00F11930">
      <w:pPr>
        <w:spacing w:line="360" w:lineRule="auto"/>
        <w:jc w:val="both"/>
        <w:rPr>
          <w:rFonts w:cstheme="majorHAnsi"/>
          <w:sz w:val="24"/>
        </w:rPr>
      </w:pPr>
      <w:r w:rsidRPr="00AF5519">
        <w:rPr>
          <w:rFonts w:cstheme="majorHAnsi"/>
          <w:sz w:val="24"/>
        </w:rPr>
        <w:t xml:space="preserve">The main limitation that acts as a hindrance to this study is the limited time frame in which the data has been collected, reviewed and analysed. In order to mitigate this limitation, a </w:t>
      </w:r>
      <w:r w:rsidRPr="00AF5519">
        <w:rPr>
          <w:rFonts w:cstheme="majorHAnsi"/>
          <w:sz w:val="24"/>
        </w:rPr>
        <w:lastRenderedPageBreak/>
        <w:t xml:space="preserve">Gantt chart was created by the researcher to help set a realistic schedule that ensures that time is managed wisely and effectively. </w:t>
      </w:r>
    </w:p>
    <w:p w:rsidR="00F11930" w:rsidRPr="00AF5519" w:rsidRDefault="00F11930" w:rsidP="00F11930">
      <w:pPr>
        <w:spacing w:line="360" w:lineRule="auto"/>
        <w:jc w:val="both"/>
        <w:rPr>
          <w:rFonts w:cstheme="majorHAnsi"/>
          <w:sz w:val="24"/>
        </w:rPr>
      </w:pPr>
      <w:r w:rsidRPr="00AF5519">
        <w:rPr>
          <w:rFonts w:cstheme="majorHAnsi"/>
          <w:sz w:val="24"/>
        </w:rPr>
        <w:t xml:space="preserve">Additionally, the researcher also chose to utilise two methods of data collection in order to gather both qualitative and quantitative data. As the time limitation may raise the question of the reliability and validity of the data findings, the mixed method approach and the combination of data will help to improve the richness of the data and the comprehensive understanding of the research topic. </w:t>
      </w:r>
    </w:p>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Pr>
        <w:pStyle w:val="Heading2"/>
        <w:rPr>
          <w:rFonts w:asciiTheme="minorHAnsi" w:hAnsiTheme="minorHAnsi"/>
        </w:rPr>
      </w:pPr>
      <w:bookmarkStart w:id="74" w:name="_Toc41557653"/>
      <w:bookmarkStart w:id="75" w:name="_Toc41648207"/>
      <w:r w:rsidRPr="00AF5519">
        <w:rPr>
          <w:rFonts w:asciiTheme="minorHAnsi" w:hAnsiTheme="minorHAnsi"/>
        </w:rPr>
        <w:t>3.5. Ethical Considerations</w:t>
      </w:r>
      <w:bookmarkEnd w:id="74"/>
      <w:bookmarkEnd w:id="75"/>
      <w:r w:rsidRPr="00AF5519">
        <w:rPr>
          <w:rFonts w:asciiTheme="minorHAnsi" w:hAnsiTheme="minorHAnsi"/>
        </w:rPr>
        <w:t xml:space="preserve"> </w:t>
      </w:r>
    </w:p>
    <w:p w:rsidR="00F11930" w:rsidRPr="00AF5519" w:rsidRDefault="00F11930" w:rsidP="00F11930"/>
    <w:p w:rsidR="00F11930" w:rsidRPr="00AF5519" w:rsidRDefault="00F11930" w:rsidP="00F11930">
      <w:pPr>
        <w:spacing w:line="360" w:lineRule="auto"/>
        <w:jc w:val="both"/>
        <w:rPr>
          <w:rFonts w:cstheme="majorHAnsi"/>
          <w:sz w:val="24"/>
        </w:rPr>
      </w:pPr>
      <w:r w:rsidRPr="00AF5519">
        <w:rPr>
          <w:rFonts w:cstheme="majorHAnsi"/>
          <w:sz w:val="24"/>
        </w:rPr>
        <w:t>The ethics of educational research is often associated with the notions of ‘consent’ from participants (Butz, 2008) and the level of ‘harm’ that may be placed on the participant as a result of conducting the research (</w:t>
      </w:r>
      <w:r w:rsidRPr="00AF5519">
        <w:rPr>
          <w:rFonts w:cstheme="majorHAnsi"/>
          <w:color w:val="222222"/>
          <w:szCs w:val="20"/>
          <w:shd w:val="clear" w:color="auto" w:fill="FFFFFF"/>
        </w:rPr>
        <w:t xml:space="preserve">Beschorner and </w:t>
      </w:r>
      <w:r w:rsidRPr="00AF5519">
        <w:rPr>
          <w:rFonts w:cstheme="majorHAnsi"/>
          <w:sz w:val="24"/>
        </w:rPr>
        <w:t>Mueller, 2007). This study has abided by rigorous ethical regulations that are displayed in a completed Ethics form which is available for viewing in Appendix A.</w:t>
      </w:r>
    </w:p>
    <w:p w:rsidR="00F11930" w:rsidRPr="00AF5519" w:rsidRDefault="00F11930" w:rsidP="00F11930">
      <w:pPr>
        <w:spacing w:line="360" w:lineRule="auto"/>
        <w:jc w:val="both"/>
        <w:rPr>
          <w:rFonts w:cstheme="majorHAnsi"/>
          <w:sz w:val="24"/>
          <w:lang w:val="en"/>
        </w:rPr>
      </w:pPr>
      <w:r w:rsidRPr="00AF5519">
        <w:rPr>
          <w:rFonts w:cstheme="majorHAnsi"/>
          <w:sz w:val="24"/>
          <w:lang w:val="en"/>
        </w:rPr>
        <w:t xml:space="preserve">As participants of this study are voluntary and over the age of 18, there is minimal risk involved in this investigation. However, to ensure the utmost protection and professionalism, the researcher first confirmed that all participants had given informed consent for their results to be analyzed and used in the purpose of this research. The researcher also ensured this through the use of a statement regarding confidentiality and volunteerism at the beginning of the questionnaire. This statement can be seen in Appendix C. The data has also been collected anonymously, and personal information kept strictly confidential to guarantee legislation on data protection is followed. The data will only be viewed by the researcher and the faculty at the University of Wales Trinity Saint David who are supporting the research. </w:t>
      </w:r>
    </w:p>
    <w:p w:rsidR="00F11930" w:rsidRPr="00AF5519" w:rsidRDefault="00F11930" w:rsidP="00F11930">
      <w:pPr>
        <w:spacing w:line="360" w:lineRule="auto"/>
        <w:jc w:val="both"/>
        <w:rPr>
          <w:rFonts w:cstheme="majorHAnsi"/>
          <w:sz w:val="24"/>
          <w:lang w:val="en"/>
        </w:rPr>
      </w:pPr>
      <w:r w:rsidRPr="00AF5519">
        <w:rPr>
          <w:rFonts w:cstheme="majorHAnsi"/>
          <w:sz w:val="24"/>
          <w:lang w:val="en"/>
        </w:rPr>
        <w:t xml:space="preserve">The following chapter goes on to analyze the results of this interpretive phenomenological research and will be integrated with thematic descriptions and connections with Chapter 2. </w:t>
      </w:r>
    </w:p>
    <w:p w:rsidR="00F11930" w:rsidRPr="00AF5519" w:rsidRDefault="00F11930" w:rsidP="00F11930">
      <w:pPr>
        <w:spacing w:line="360" w:lineRule="auto"/>
        <w:jc w:val="both"/>
        <w:rPr>
          <w:rFonts w:cstheme="minorHAnsi"/>
          <w:lang w:val="en"/>
        </w:rPr>
      </w:pPr>
    </w:p>
    <w:p w:rsidR="00F11930" w:rsidRPr="00AF5519" w:rsidRDefault="00F11930" w:rsidP="00F11930"/>
    <w:p w:rsidR="00F11930" w:rsidRPr="00AF5519" w:rsidRDefault="00F11930" w:rsidP="00F11930">
      <w:pPr>
        <w:pStyle w:val="Heading1"/>
        <w:rPr>
          <w:rFonts w:asciiTheme="minorHAnsi" w:hAnsiTheme="minorHAnsi"/>
        </w:rPr>
      </w:pPr>
      <w:bookmarkStart w:id="76" w:name="_Toc41557654"/>
      <w:bookmarkStart w:id="77" w:name="_Toc41648208"/>
      <w:r w:rsidRPr="00AF5519">
        <w:rPr>
          <w:rFonts w:asciiTheme="minorHAnsi" w:hAnsiTheme="minorHAnsi"/>
        </w:rPr>
        <w:lastRenderedPageBreak/>
        <w:t>Chapter 4: Data Analysis</w:t>
      </w:r>
      <w:bookmarkEnd w:id="76"/>
      <w:bookmarkEnd w:id="77"/>
      <w:r w:rsidRPr="00AF5519">
        <w:rPr>
          <w:rFonts w:asciiTheme="minorHAnsi" w:hAnsiTheme="minorHAnsi"/>
        </w:rPr>
        <w:t xml:space="preserve"> </w:t>
      </w:r>
    </w:p>
    <w:p w:rsidR="00F11930" w:rsidRPr="00AF5519" w:rsidRDefault="00F11930" w:rsidP="00F11930">
      <w:pPr>
        <w:spacing w:line="360" w:lineRule="auto"/>
        <w:jc w:val="both"/>
      </w:pPr>
    </w:p>
    <w:p w:rsidR="00F11930" w:rsidRPr="00AF5519" w:rsidRDefault="00F11930" w:rsidP="00F11930">
      <w:pPr>
        <w:pStyle w:val="Heading2"/>
        <w:rPr>
          <w:rFonts w:asciiTheme="minorHAnsi" w:hAnsiTheme="minorHAnsi"/>
        </w:rPr>
      </w:pPr>
      <w:bookmarkStart w:id="78" w:name="_Toc41557655"/>
      <w:bookmarkStart w:id="79" w:name="_Toc41648209"/>
      <w:r w:rsidRPr="00AF5519">
        <w:rPr>
          <w:rFonts w:asciiTheme="minorHAnsi" w:hAnsiTheme="minorHAnsi"/>
        </w:rPr>
        <w:t>4.1. Introduction</w:t>
      </w:r>
      <w:bookmarkEnd w:id="78"/>
      <w:bookmarkEnd w:id="79"/>
    </w:p>
    <w:p w:rsidR="00F11930" w:rsidRPr="00AF5519" w:rsidRDefault="00F11930" w:rsidP="00F11930"/>
    <w:p w:rsidR="00F11930" w:rsidRPr="00AF5519" w:rsidRDefault="00F11930" w:rsidP="00F11930">
      <w:pPr>
        <w:spacing w:line="360" w:lineRule="auto"/>
        <w:jc w:val="both"/>
        <w:rPr>
          <w:sz w:val="24"/>
        </w:rPr>
      </w:pPr>
      <w:r w:rsidRPr="00AF5519">
        <w:rPr>
          <w:sz w:val="24"/>
        </w:rPr>
        <w:t>This chapter is undertaken in order to analyse the data gathered through the methods discussed in Chapter 3; primary data collection and secondary data analysis.</w:t>
      </w:r>
    </w:p>
    <w:p w:rsidR="00F11930" w:rsidRPr="00AF5519" w:rsidRDefault="00F11930" w:rsidP="00F11930">
      <w:pPr>
        <w:spacing w:line="360" w:lineRule="auto"/>
        <w:jc w:val="both"/>
        <w:rPr>
          <w:sz w:val="24"/>
        </w:rPr>
      </w:pPr>
      <w:r w:rsidRPr="00AF5519">
        <w:rPr>
          <w:sz w:val="24"/>
        </w:rPr>
        <w:t>This chapter aims to resolve the following objective:</w:t>
      </w:r>
    </w:p>
    <w:p w:rsidR="00F11930" w:rsidRPr="00AF5519" w:rsidRDefault="00F11930" w:rsidP="00F11930">
      <w:pPr>
        <w:pStyle w:val="ListParagraph"/>
        <w:numPr>
          <w:ilvl w:val="0"/>
          <w:numId w:val="5"/>
        </w:numPr>
        <w:spacing w:line="360" w:lineRule="auto"/>
        <w:jc w:val="both"/>
        <w:rPr>
          <w:sz w:val="24"/>
        </w:rPr>
      </w:pPr>
      <w:r w:rsidRPr="00AF5519">
        <w:rPr>
          <w:sz w:val="24"/>
        </w:rPr>
        <w:t xml:space="preserve">To synthesise extant literature and primary research to determine the role that social media plays within the events industry. </w:t>
      </w:r>
    </w:p>
    <w:p w:rsidR="00F11930" w:rsidRPr="00AF5519" w:rsidRDefault="00F11930" w:rsidP="00F11930">
      <w:pPr>
        <w:spacing w:line="360" w:lineRule="auto"/>
        <w:jc w:val="both"/>
        <w:rPr>
          <w:sz w:val="24"/>
        </w:rPr>
      </w:pPr>
      <w:r w:rsidRPr="00AF5519">
        <w:rPr>
          <w:sz w:val="24"/>
        </w:rPr>
        <w:t xml:space="preserve">The researcher incorporated a sequential explanatory design throughout this thesis, whereby the collection of quantitative data was followed by the collection of qualitative data </w:t>
      </w:r>
      <w:r w:rsidRPr="00AF5519">
        <w:rPr>
          <w:rFonts w:cstheme="majorHAnsi"/>
          <w:sz w:val="24"/>
          <w:szCs w:val="24"/>
        </w:rPr>
        <w:t>(</w:t>
      </w:r>
      <w:r w:rsidRPr="00AF5519">
        <w:rPr>
          <w:rFonts w:cstheme="majorHAnsi"/>
          <w:color w:val="222222"/>
          <w:sz w:val="24"/>
          <w:szCs w:val="24"/>
          <w:shd w:val="clear" w:color="auto" w:fill="FFFFFF"/>
        </w:rPr>
        <w:t>O'Cathain, 2020). This approach enabled</w:t>
      </w:r>
      <w:r w:rsidRPr="00AF5519">
        <w:rPr>
          <w:rFonts w:cstheme="majorHAnsi"/>
          <w:sz w:val="24"/>
          <w:szCs w:val="24"/>
        </w:rPr>
        <w:t xml:space="preserve"> the </w:t>
      </w:r>
      <w:r w:rsidRPr="00AF5519">
        <w:rPr>
          <w:sz w:val="24"/>
        </w:rPr>
        <w:t>quantitative research to provide a general picture that could be further refined and explained through the qualitative research that followed. The researcher will however synthesize both sets of data throughout this analysis as the integration of empirical research improves the validity and generalisability of the findings (Cooper et al., 2019).</w:t>
      </w:r>
    </w:p>
    <w:p w:rsidR="00F11930" w:rsidRPr="00AF5519" w:rsidRDefault="00F11930" w:rsidP="00F11930">
      <w:pPr>
        <w:spacing w:line="360" w:lineRule="auto"/>
        <w:jc w:val="both"/>
      </w:pPr>
    </w:p>
    <w:p w:rsidR="00F11930" w:rsidRPr="00AF5519" w:rsidRDefault="00F11930" w:rsidP="00F11930">
      <w:pPr>
        <w:pStyle w:val="Heading3"/>
        <w:rPr>
          <w:rFonts w:asciiTheme="minorHAnsi" w:hAnsiTheme="minorHAnsi"/>
        </w:rPr>
      </w:pPr>
      <w:bookmarkStart w:id="80" w:name="_Toc41557656"/>
      <w:bookmarkStart w:id="81" w:name="_Toc41648210"/>
      <w:r w:rsidRPr="00AF5519">
        <w:rPr>
          <w:rFonts w:asciiTheme="minorHAnsi" w:hAnsiTheme="minorHAnsi"/>
        </w:rPr>
        <w:t>4.1.1. Descriptive Statistics</w:t>
      </w:r>
      <w:bookmarkEnd w:id="80"/>
      <w:bookmarkEnd w:id="81"/>
      <w:r w:rsidRPr="00AF5519">
        <w:rPr>
          <w:rFonts w:asciiTheme="minorHAnsi" w:hAnsiTheme="minorHAnsi"/>
        </w:rPr>
        <w:t xml:space="preserve"> </w:t>
      </w:r>
    </w:p>
    <w:p w:rsidR="00F11930" w:rsidRPr="00AF5519" w:rsidRDefault="00F11930" w:rsidP="00F11930">
      <w:pPr>
        <w:spacing w:line="360" w:lineRule="auto"/>
        <w:jc w:val="both"/>
      </w:pPr>
    </w:p>
    <w:tbl>
      <w:tblPr>
        <w:tblW w:w="7080" w:type="dxa"/>
        <w:jc w:val="center"/>
        <w:tblLook w:val="04A0" w:firstRow="1" w:lastRow="0" w:firstColumn="1" w:lastColumn="0" w:noHBand="0" w:noVBand="1"/>
      </w:tblPr>
      <w:tblGrid>
        <w:gridCol w:w="2120"/>
        <w:gridCol w:w="649"/>
        <w:gridCol w:w="1271"/>
        <w:gridCol w:w="665"/>
        <w:gridCol w:w="1255"/>
        <w:gridCol w:w="1120"/>
      </w:tblGrid>
      <w:tr w:rsidR="00F11930" w:rsidRPr="00AF5519" w:rsidTr="00BC36A8">
        <w:trPr>
          <w:trHeight w:val="300"/>
          <w:jc w:val="center"/>
        </w:trPr>
        <w:tc>
          <w:tcPr>
            <w:tcW w:w="21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11930" w:rsidRPr="00AF5519" w:rsidRDefault="00F11930" w:rsidP="00BC36A8">
            <w:pPr>
              <w:spacing w:after="0" w:line="240" w:lineRule="auto"/>
              <w:jc w:val="center"/>
              <w:rPr>
                <w:rFonts w:eastAsia="Times New Roman" w:cs="Calibri"/>
                <w:color w:val="000000"/>
                <w:lang w:eastAsia="en-GB"/>
              </w:rPr>
            </w:pPr>
            <w:r w:rsidRPr="00AF5519">
              <w:rPr>
                <w:rFonts w:eastAsia="Times New Roman" w:cs="Calibri"/>
                <w:color w:val="000000"/>
                <w:lang w:eastAsia="en-GB"/>
              </w:rPr>
              <w:t> </w:t>
            </w:r>
          </w:p>
        </w:tc>
        <w:tc>
          <w:tcPr>
            <w:tcW w:w="1920" w:type="dxa"/>
            <w:gridSpan w:val="2"/>
            <w:tcBorders>
              <w:top w:val="single" w:sz="4" w:space="0" w:color="auto"/>
              <w:left w:val="nil"/>
              <w:bottom w:val="single" w:sz="4" w:space="0" w:color="auto"/>
              <w:right w:val="single" w:sz="4" w:space="0" w:color="000000"/>
            </w:tcBorders>
            <w:shd w:val="clear" w:color="auto" w:fill="auto"/>
            <w:noWrap/>
            <w:vAlign w:val="bottom"/>
            <w:hideMark/>
          </w:tcPr>
          <w:p w:rsidR="00F11930" w:rsidRPr="00AF5519" w:rsidRDefault="00F11930" w:rsidP="00BC36A8">
            <w:pPr>
              <w:spacing w:after="0" w:line="240" w:lineRule="auto"/>
              <w:jc w:val="center"/>
              <w:rPr>
                <w:rFonts w:eastAsia="Times New Roman" w:cs="Calibri"/>
                <w:b/>
                <w:bCs/>
                <w:color w:val="000000"/>
                <w:lang w:eastAsia="en-GB"/>
              </w:rPr>
            </w:pPr>
            <w:r w:rsidRPr="00AF5519">
              <w:rPr>
                <w:rFonts w:eastAsia="Times New Roman" w:cs="Calibri"/>
                <w:b/>
                <w:bCs/>
                <w:color w:val="000000"/>
                <w:lang w:eastAsia="en-GB"/>
              </w:rPr>
              <w:t>Male</w:t>
            </w:r>
          </w:p>
        </w:tc>
        <w:tc>
          <w:tcPr>
            <w:tcW w:w="1920" w:type="dxa"/>
            <w:gridSpan w:val="2"/>
            <w:tcBorders>
              <w:top w:val="single" w:sz="4" w:space="0" w:color="auto"/>
              <w:left w:val="nil"/>
              <w:bottom w:val="single" w:sz="4" w:space="0" w:color="auto"/>
              <w:right w:val="single" w:sz="4" w:space="0" w:color="000000"/>
            </w:tcBorders>
            <w:shd w:val="clear" w:color="auto" w:fill="auto"/>
            <w:noWrap/>
            <w:vAlign w:val="bottom"/>
            <w:hideMark/>
          </w:tcPr>
          <w:p w:rsidR="00F11930" w:rsidRPr="00AF5519" w:rsidRDefault="00F11930" w:rsidP="00BC36A8">
            <w:pPr>
              <w:spacing w:after="0" w:line="240" w:lineRule="auto"/>
              <w:jc w:val="center"/>
              <w:rPr>
                <w:rFonts w:eastAsia="Times New Roman" w:cs="Calibri"/>
                <w:b/>
                <w:bCs/>
                <w:color w:val="000000"/>
                <w:lang w:eastAsia="en-GB"/>
              </w:rPr>
            </w:pPr>
            <w:r w:rsidRPr="00AF5519">
              <w:rPr>
                <w:rFonts w:eastAsia="Times New Roman" w:cs="Calibri"/>
                <w:b/>
                <w:bCs/>
                <w:color w:val="000000"/>
                <w:lang w:eastAsia="en-GB"/>
              </w:rPr>
              <w:t>Female</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rsidR="00F11930" w:rsidRPr="00AF5519" w:rsidRDefault="00F11930" w:rsidP="00BC36A8">
            <w:pPr>
              <w:spacing w:after="0" w:line="240" w:lineRule="auto"/>
              <w:jc w:val="center"/>
              <w:rPr>
                <w:rFonts w:eastAsia="Times New Roman" w:cs="Calibri"/>
                <w:b/>
                <w:bCs/>
                <w:color w:val="000000"/>
                <w:lang w:eastAsia="en-GB"/>
              </w:rPr>
            </w:pPr>
            <w:r w:rsidRPr="00AF5519">
              <w:rPr>
                <w:rFonts w:eastAsia="Times New Roman" w:cs="Calibri"/>
                <w:b/>
                <w:bCs/>
                <w:color w:val="000000"/>
                <w:lang w:eastAsia="en-GB"/>
              </w:rPr>
              <w:t>Total</w:t>
            </w:r>
          </w:p>
        </w:tc>
      </w:tr>
      <w:tr w:rsidR="00F11930" w:rsidRPr="00AF5519" w:rsidTr="00BC36A8">
        <w:trPr>
          <w:trHeight w:val="300"/>
          <w:jc w:val="center"/>
        </w:trPr>
        <w:tc>
          <w:tcPr>
            <w:tcW w:w="2120" w:type="dxa"/>
            <w:tcBorders>
              <w:top w:val="nil"/>
              <w:left w:val="single" w:sz="4" w:space="0" w:color="auto"/>
              <w:bottom w:val="single" w:sz="4" w:space="0" w:color="auto"/>
              <w:right w:val="single" w:sz="4" w:space="0" w:color="auto"/>
            </w:tcBorders>
            <w:shd w:val="clear" w:color="auto" w:fill="auto"/>
            <w:noWrap/>
            <w:vAlign w:val="bottom"/>
            <w:hideMark/>
          </w:tcPr>
          <w:p w:rsidR="00F11930" w:rsidRPr="00AF5519" w:rsidRDefault="00F11930" w:rsidP="00BC36A8">
            <w:pPr>
              <w:spacing w:after="0" w:line="240" w:lineRule="auto"/>
              <w:jc w:val="center"/>
              <w:rPr>
                <w:rFonts w:eastAsia="Times New Roman" w:cs="Calibri"/>
                <w:color w:val="000000"/>
                <w:lang w:eastAsia="en-GB"/>
              </w:rPr>
            </w:pPr>
            <w:r w:rsidRPr="00AF5519">
              <w:rPr>
                <w:rFonts w:eastAsia="Times New Roman" w:cs="Calibri"/>
                <w:color w:val="000000"/>
                <w:lang w:eastAsia="en-GB"/>
              </w:rPr>
              <w:t> </w:t>
            </w:r>
          </w:p>
        </w:tc>
        <w:tc>
          <w:tcPr>
            <w:tcW w:w="649" w:type="dxa"/>
            <w:tcBorders>
              <w:top w:val="nil"/>
              <w:left w:val="nil"/>
              <w:bottom w:val="single" w:sz="4" w:space="0" w:color="auto"/>
              <w:right w:val="single" w:sz="4" w:space="0" w:color="auto"/>
            </w:tcBorders>
            <w:shd w:val="clear" w:color="auto" w:fill="auto"/>
            <w:noWrap/>
            <w:vAlign w:val="bottom"/>
            <w:hideMark/>
          </w:tcPr>
          <w:p w:rsidR="00F11930" w:rsidRPr="00AF5519" w:rsidRDefault="00F11930" w:rsidP="00BC36A8">
            <w:pPr>
              <w:spacing w:after="0" w:line="240" w:lineRule="auto"/>
              <w:jc w:val="center"/>
              <w:rPr>
                <w:rFonts w:eastAsia="Times New Roman" w:cs="Calibri"/>
                <w:b/>
                <w:bCs/>
                <w:color w:val="000000"/>
                <w:lang w:eastAsia="en-GB"/>
              </w:rPr>
            </w:pPr>
            <w:r w:rsidRPr="00AF5519">
              <w:rPr>
                <w:rFonts w:eastAsia="Times New Roman" w:cs="Calibri"/>
                <w:b/>
                <w:bCs/>
                <w:color w:val="000000"/>
                <w:lang w:eastAsia="en-GB"/>
              </w:rPr>
              <w:t>No.</w:t>
            </w:r>
          </w:p>
        </w:tc>
        <w:tc>
          <w:tcPr>
            <w:tcW w:w="1271" w:type="dxa"/>
            <w:tcBorders>
              <w:top w:val="nil"/>
              <w:left w:val="nil"/>
              <w:bottom w:val="single" w:sz="4" w:space="0" w:color="auto"/>
              <w:right w:val="single" w:sz="4" w:space="0" w:color="auto"/>
            </w:tcBorders>
            <w:shd w:val="clear" w:color="auto" w:fill="auto"/>
            <w:noWrap/>
            <w:vAlign w:val="bottom"/>
            <w:hideMark/>
          </w:tcPr>
          <w:p w:rsidR="00F11930" w:rsidRPr="00AF5519" w:rsidRDefault="00F11930" w:rsidP="00BC36A8">
            <w:pPr>
              <w:spacing w:after="0" w:line="240" w:lineRule="auto"/>
              <w:jc w:val="center"/>
              <w:rPr>
                <w:rFonts w:eastAsia="Times New Roman" w:cs="Calibri"/>
                <w:b/>
                <w:bCs/>
                <w:color w:val="000000"/>
                <w:lang w:eastAsia="en-GB"/>
              </w:rPr>
            </w:pPr>
            <w:r w:rsidRPr="00AF5519">
              <w:rPr>
                <w:rFonts w:eastAsia="Times New Roman" w:cs="Calibri"/>
                <w:b/>
                <w:bCs/>
                <w:color w:val="000000"/>
                <w:lang w:eastAsia="en-GB"/>
              </w:rPr>
              <w:t>%</w:t>
            </w:r>
          </w:p>
        </w:tc>
        <w:tc>
          <w:tcPr>
            <w:tcW w:w="665" w:type="dxa"/>
            <w:tcBorders>
              <w:top w:val="nil"/>
              <w:left w:val="nil"/>
              <w:bottom w:val="single" w:sz="4" w:space="0" w:color="auto"/>
              <w:right w:val="single" w:sz="4" w:space="0" w:color="auto"/>
            </w:tcBorders>
            <w:shd w:val="clear" w:color="auto" w:fill="auto"/>
            <w:noWrap/>
            <w:vAlign w:val="bottom"/>
            <w:hideMark/>
          </w:tcPr>
          <w:p w:rsidR="00F11930" w:rsidRPr="00AF5519" w:rsidRDefault="00F11930" w:rsidP="00BC36A8">
            <w:pPr>
              <w:spacing w:after="0" w:line="240" w:lineRule="auto"/>
              <w:jc w:val="center"/>
              <w:rPr>
                <w:rFonts w:eastAsia="Times New Roman" w:cs="Calibri"/>
                <w:b/>
                <w:bCs/>
                <w:color w:val="000000"/>
                <w:lang w:eastAsia="en-GB"/>
              </w:rPr>
            </w:pPr>
            <w:r w:rsidRPr="00AF5519">
              <w:rPr>
                <w:rFonts w:eastAsia="Times New Roman" w:cs="Calibri"/>
                <w:b/>
                <w:bCs/>
                <w:color w:val="000000"/>
                <w:lang w:eastAsia="en-GB"/>
              </w:rPr>
              <w:t>No.</w:t>
            </w:r>
          </w:p>
        </w:tc>
        <w:tc>
          <w:tcPr>
            <w:tcW w:w="1255" w:type="dxa"/>
            <w:tcBorders>
              <w:top w:val="nil"/>
              <w:left w:val="nil"/>
              <w:bottom w:val="single" w:sz="4" w:space="0" w:color="auto"/>
              <w:right w:val="single" w:sz="4" w:space="0" w:color="auto"/>
            </w:tcBorders>
            <w:shd w:val="clear" w:color="auto" w:fill="auto"/>
            <w:noWrap/>
            <w:vAlign w:val="bottom"/>
            <w:hideMark/>
          </w:tcPr>
          <w:p w:rsidR="00F11930" w:rsidRPr="00AF5519" w:rsidRDefault="00F11930" w:rsidP="00BC36A8">
            <w:pPr>
              <w:spacing w:after="0" w:line="240" w:lineRule="auto"/>
              <w:jc w:val="center"/>
              <w:rPr>
                <w:rFonts w:eastAsia="Times New Roman" w:cs="Calibri"/>
                <w:b/>
                <w:bCs/>
                <w:color w:val="000000"/>
                <w:lang w:eastAsia="en-GB"/>
              </w:rPr>
            </w:pPr>
            <w:r w:rsidRPr="00AF5519">
              <w:rPr>
                <w:rFonts w:eastAsia="Times New Roman" w:cs="Calibri"/>
                <w:b/>
                <w:bCs/>
                <w:color w:val="000000"/>
                <w:lang w:eastAsia="en-GB"/>
              </w:rPr>
              <w:t>%</w:t>
            </w:r>
          </w:p>
        </w:tc>
        <w:tc>
          <w:tcPr>
            <w:tcW w:w="1120" w:type="dxa"/>
            <w:tcBorders>
              <w:top w:val="nil"/>
              <w:left w:val="nil"/>
              <w:bottom w:val="single" w:sz="4" w:space="0" w:color="auto"/>
              <w:right w:val="single" w:sz="4" w:space="0" w:color="auto"/>
            </w:tcBorders>
            <w:shd w:val="clear" w:color="auto" w:fill="auto"/>
            <w:noWrap/>
            <w:vAlign w:val="bottom"/>
            <w:hideMark/>
          </w:tcPr>
          <w:p w:rsidR="00F11930" w:rsidRPr="00AF5519" w:rsidRDefault="00F11930" w:rsidP="00BC36A8">
            <w:pPr>
              <w:spacing w:after="0" w:line="240" w:lineRule="auto"/>
              <w:jc w:val="center"/>
              <w:rPr>
                <w:rFonts w:eastAsia="Times New Roman" w:cs="Calibri"/>
                <w:b/>
                <w:bCs/>
                <w:color w:val="000000"/>
                <w:lang w:eastAsia="en-GB"/>
              </w:rPr>
            </w:pPr>
            <w:r w:rsidRPr="00AF5519">
              <w:rPr>
                <w:rFonts w:eastAsia="Times New Roman" w:cs="Calibri"/>
                <w:b/>
                <w:bCs/>
                <w:color w:val="000000"/>
                <w:lang w:eastAsia="en-GB"/>
              </w:rPr>
              <w:t>No.</w:t>
            </w:r>
          </w:p>
        </w:tc>
      </w:tr>
      <w:tr w:rsidR="00F11930" w:rsidRPr="00AF5519" w:rsidTr="00BC36A8">
        <w:trPr>
          <w:trHeight w:val="300"/>
          <w:jc w:val="center"/>
        </w:trPr>
        <w:tc>
          <w:tcPr>
            <w:tcW w:w="2120" w:type="dxa"/>
            <w:tcBorders>
              <w:top w:val="nil"/>
              <w:left w:val="single" w:sz="4" w:space="0" w:color="auto"/>
              <w:bottom w:val="single" w:sz="4" w:space="0" w:color="auto"/>
              <w:right w:val="single" w:sz="4" w:space="0" w:color="auto"/>
            </w:tcBorders>
            <w:shd w:val="clear" w:color="000000" w:fill="D9E1F2"/>
            <w:noWrap/>
            <w:vAlign w:val="bottom"/>
            <w:hideMark/>
          </w:tcPr>
          <w:p w:rsidR="00F11930" w:rsidRPr="00AF5519" w:rsidRDefault="00F11930" w:rsidP="00BC36A8">
            <w:pPr>
              <w:spacing w:after="0" w:line="240" w:lineRule="auto"/>
              <w:jc w:val="center"/>
              <w:rPr>
                <w:rFonts w:eastAsia="Times New Roman" w:cs="Calibri"/>
                <w:b/>
                <w:bCs/>
                <w:color w:val="000000"/>
                <w:lang w:eastAsia="en-GB"/>
              </w:rPr>
            </w:pPr>
            <w:r w:rsidRPr="00AF5519">
              <w:rPr>
                <w:rFonts w:eastAsia="Times New Roman" w:cs="Calibri"/>
                <w:b/>
                <w:bCs/>
                <w:color w:val="000000"/>
                <w:lang w:eastAsia="en-GB"/>
              </w:rPr>
              <w:t>Responses by gender</w:t>
            </w:r>
          </w:p>
        </w:tc>
        <w:tc>
          <w:tcPr>
            <w:tcW w:w="649" w:type="dxa"/>
            <w:tcBorders>
              <w:top w:val="nil"/>
              <w:left w:val="nil"/>
              <w:bottom w:val="single" w:sz="4" w:space="0" w:color="auto"/>
              <w:right w:val="single" w:sz="4" w:space="0" w:color="auto"/>
            </w:tcBorders>
            <w:shd w:val="clear" w:color="000000" w:fill="FFE699"/>
            <w:noWrap/>
            <w:vAlign w:val="bottom"/>
            <w:hideMark/>
          </w:tcPr>
          <w:p w:rsidR="00F11930" w:rsidRPr="00AF5519" w:rsidRDefault="00F11930" w:rsidP="00BC36A8">
            <w:pPr>
              <w:spacing w:after="0" w:line="240" w:lineRule="auto"/>
              <w:jc w:val="center"/>
              <w:rPr>
                <w:rFonts w:eastAsia="Times New Roman" w:cs="Calibri"/>
                <w:color w:val="000000"/>
                <w:lang w:eastAsia="en-GB"/>
              </w:rPr>
            </w:pPr>
            <w:r w:rsidRPr="00AF5519">
              <w:rPr>
                <w:rFonts w:eastAsia="Times New Roman" w:cs="Calibri"/>
                <w:color w:val="000000"/>
                <w:lang w:eastAsia="en-GB"/>
              </w:rPr>
              <w:t>47</w:t>
            </w:r>
          </w:p>
        </w:tc>
        <w:tc>
          <w:tcPr>
            <w:tcW w:w="1271" w:type="dxa"/>
            <w:tcBorders>
              <w:top w:val="nil"/>
              <w:left w:val="nil"/>
              <w:bottom w:val="single" w:sz="4" w:space="0" w:color="auto"/>
              <w:right w:val="single" w:sz="4" w:space="0" w:color="auto"/>
            </w:tcBorders>
            <w:shd w:val="clear" w:color="000000" w:fill="C6E0B4"/>
            <w:noWrap/>
            <w:vAlign w:val="bottom"/>
            <w:hideMark/>
          </w:tcPr>
          <w:p w:rsidR="00F11930" w:rsidRPr="00AF5519" w:rsidRDefault="00F11930" w:rsidP="00BC36A8">
            <w:pPr>
              <w:spacing w:after="0" w:line="240" w:lineRule="auto"/>
              <w:jc w:val="center"/>
              <w:rPr>
                <w:rFonts w:eastAsia="Times New Roman" w:cs="Calibri"/>
                <w:color w:val="000000"/>
                <w:lang w:eastAsia="en-GB"/>
              </w:rPr>
            </w:pPr>
            <w:r w:rsidRPr="00AF5519">
              <w:rPr>
                <w:rFonts w:eastAsia="Times New Roman" w:cs="Calibri"/>
                <w:color w:val="000000"/>
                <w:lang w:eastAsia="en-GB"/>
              </w:rPr>
              <w:t>29.40%</w:t>
            </w:r>
          </w:p>
        </w:tc>
        <w:tc>
          <w:tcPr>
            <w:tcW w:w="665" w:type="dxa"/>
            <w:tcBorders>
              <w:top w:val="nil"/>
              <w:left w:val="nil"/>
              <w:bottom w:val="single" w:sz="4" w:space="0" w:color="auto"/>
              <w:right w:val="single" w:sz="4" w:space="0" w:color="auto"/>
            </w:tcBorders>
            <w:shd w:val="clear" w:color="000000" w:fill="FFE699"/>
            <w:noWrap/>
            <w:vAlign w:val="bottom"/>
            <w:hideMark/>
          </w:tcPr>
          <w:p w:rsidR="00F11930" w:rsidRPr="00AF5519" w:rsidRDefault="00F11930" w:rsidP="00BC36A8">
            <w:pPr>
              <w:spacing w:after="0" w:line="240" w:lineRule="auto"/>
              <w:jc w:val="center"/>
              <w:rPr>
                <w:rFonts w:eastAsia="Times New Roman" w:cs="Calibri"/>
                <w:color w:val="000000"/>
                <w:lang w:eastAsia="en-GB"/>
              </w:rPr>
            </w:pPr>
            <w:r w:rsidRPr="00AF5519">
              <w:rPr>
                <w:rFonts w:eastAsia="Times New Roman" w:cs="Calibri"/>
                <w:color w:val="000000"/>
                <w:lang w:eastAsia="en-GB"/>
              </w:rPr>
              <w:t>113</w:t>
            </w:r>
          </w:p>
        </w:tc>
        <w:tc>
          <w:tcPr>
            <w:tcW w:w="1255" w:type="dxa"/>
            <w:tcBorders>
              <w:top w:val="nil"/>
              <w:left w:val="nil"/>
              <w:bottom w:val="single" w:sz="4" w:space="0" w:color="auto"/>
              <w:right w:val="single" w:sz="4" w:space="0" w:color="auto"/>
            </w:tcBorders>
            <w:shd w:val="clear" w:color="000000" w:fill="C6E0B4"/>
            <w:noWrap/>
            <w:vAlign w:val="bottom"/>
            <w:hideMark/>
          </w:tcPr>
          <w:p w:rsidR="00F11930" w:rsidRPr="00AF5519" w:rsidRDefault="00F11930" w:rsidP="00BC36A8">
            <w:pPr>
              <w:spacing w:after="0" w:line="240" w:lineRule="auto"/>
              <w:jc w:val="center"/>
              <w:rPr>
                <w:rFonts w:eastAsia="Times New Roman" w:cs="Calibri"/>
                <w:color w:val="000000"/>
                <w:lang w:eastAsia="en-GB"/>
              </w:rPr>
            </w:pPr>
            <w:r w:rsidRPr="00AF5519">
              <w:rPr>
                <w:rFonts w:eastAsia="Times New Roman" w:cs="Calibri"/>
                <w:color w:val="000000"/>
                <w:lang w:eastAsia="en-GB"/>
              </w:rPr>
              <w:t>70.60%</w:t>
            </w:r>
          </w:p>
        </w:tc>
        <w:tc>
          <w:tcPr>
            <w:tcW w:w="1120" w:type="dxa"/>
            <w:tcBorders>
              <w:top w:val="nil"/>
              <w:left w:val="nil"/>
              <w:bottom w:val="single" w:sz="4" w:space="0" w:color="auto"/>
              <w:right w:val="single" w:sz="4" w:space="0" w:color="auto"/>
            </w:tcBorders>
            <w:shd w:val="clear" w:color="auto" w:fill="auto"/>
            <w:noWrap/>
            <w:vAlign w:val="bottom"/>
            <w:hideMark/>
          </w:tcPr>
          <w:p w:rsidR="00F11930" w:rsidRPr="00AF5519" w:rsidRDefault="00F11930" w:rsidP="00BC36A8">
            <w:pPr>
              <w:spacing w:after="0" w:line="240" w:lineRule="auto"/>
              <w:jc w:val="center"/>
              <w:rPr>
                <w:rFonts w:eastAsia="Times New Roman" w:cs="Calibri"/>
                <w:color w:val="000000"/>
                <w:lang w:eastAsia="en-GB"/>
              </w:rPr>
            </w:pPr>
            <w:r w:rsidRPr="00AF5519">
              <w:rPr>
                <w:rFonts w:eastAsia="Times New Roman" w:cs="Calibri"/>
                <w:color w:val="000000"/>
                <w:lang w:eastAsia="en-GB"/>
              </w:rPr>
              <w:t>160</w:t>
            </w:r>
          </w:p>
        </w:tc>
      </w:tr>
    </w:tbl>
    <w:p w:rsidR="00F11930" w:rsidRPr="00AF5519" w:rsidRDefault="00F11930" w:rsidP="00F11930">
      <w:pPr>
        <w:pStyle w:val="Heading4"/>
        <w:rPr>
          <w:rFonts w:asciiTheme="minorHAnsi" w:hAnsiTheme="minorHAnsi"/>
        </w:rPr>
      </w:pPr>
    </w:p>
    <w:p w:rsidR="00F11930" w:rsidRPr="00AF5519" w:rsidRDefault="00F11930" w:rsidP="00F11930">
      <w:pPr>
        <w:pStyle w:val="Heading4"/>
        <w:spacing w:line="360" w:lineRule="auto"/>
        <w:jc w:val="both"/>
        <w:rPr>
          <w:rFonts w:asciiTheme="minorHAnsi" w:hAnsiTheme="minorHAnsi"/>
          <w:sz w:val="24"/>
        </w:rPr>
      </w:pPr>
      <w:bookmarkStart w:id="82" w:name="_Toc41648286"/>
      <w:r w:rsidRPr="00AF5519">
        <w:rPr>
          <w:rFonts w:asciiTheme="minorHAnsi" w:hAnsiTheme="minorHAnsi"/>
          <w:sz w:val="24"/>
        </w:rPr>
        <w:t>Figure 4.1.: Respondents by gender.</w:t>
      </w:r>
      <w:bookmarkEnd w:id="82"/>
      <w:r w:rsidRPr="00AF5519">
        <w:rPr>
          <w:rFonts w:asciiTheme="minorHAnsi" w:hAnsiTheme="minorHAnsi"/>
          <w:sz w:val="24"/>
        </w:rPr>
        <w:t xml:space="preserve"> </w:t>
      </w:r>
    </w:p>
    <w:p w:rsidR="00F11930" w:rsidRPr="00AF5519" w:rsidRDefault="00F11930" w:rsidP="00F11930">
      <w:pPr>
        <w:spacing w:line="360" w:lineRule="auto"/>
        <w:jc w:val="both"/>
        <w:rPr>
          <w:sz w:val="24"/>
        </w:rPr>
      </w:pPr>
    </w:p>
    <w:p w:rsidR="00F11930" w:rsidRPr="00AF5519" w:rsidRDefault="00F11930" w:rsidP="00F11930">
      <w:pPr>
        <w:spacing w:line="360" w:lineRule="auto"/>
        <w:jc w:val="both"/>
        <w:rPr>
          <w:sz w:val="24"/>
        </w:rPr>
      </w:pPr>
      <w:r w:rsidRPr="00AF5519">
        <w:rPr>
          <w:sz w:val="24"/>
        </w:rPr>
        <w:t xml:space="preserve">Overall, more women completed the questionnaire (70.60%) than men (29.40%). These demographics are fitting with the research outlined in Chapter 1 by Chaffey (2020) regarding women being more active on social media than men. Where relevant, the results will be segmented to highlight any potential similarities and differences between the two markets. </w:t>
      </w:r>
      <w:r w:rsidRPr="00AF5519">
        <w:rPr>
          <w:sz w:val="24"/>
        </w:rPr>
        <w:lastRenderedPageBreak/>
        <w:t xml:space="preserve">However, as the value of male respondents is low, any differences will only be highlighted as assumptions of the male Swansea based population rather than definitive findings. </w:t>
      </w:r>
    </w:p>
    <w:p w:rsidR="00F11930" w:rsidRPr="00AF5519" w:rsidRDefault="00F11930" w:rsidP="00F11930">
      <w:pPr>
        <w:spacing w:line="360" w:lineRule="auto"/>
        <w:jc w:val="both"/>
        <w:rPr>
          <w:sz w:val="24"/>
        </w:rPr>
      </w:pPr>
    </w:p>
    <w:p w:rsidR="00F11930" w:rsidRPr="00AF5519" w:rsidRDefault="00F11930" w:rsidP="00F11930">
      <w:pPr>
        <w:pStyle w:val="Heading2"/>
        <w:rPr>
          <w:rFonts w:asciiTheme="minorHAnsi" w:hAnsiTheme="minorHAnsi"/>
        </w:rPr>
      </w:pPr>
      <w:bookmarkStart w:id="83" w:name="_Toc41557657"/>
      <w:bookmarkStart w:id="84" w:name="_Toc41648211"/>
      <w:r w:rsidRPr="00AF5519">
        <w:rPr>
          <w:rFonts w:asciiTheme="minorHAnsi" w:hAnsiTheme="minorHAnsi"/>
        </w:rPr>
        <w:t>4.2 Synthesized Quantitative and Qualitative Analysis</w:t>
      </w:r>
      <w:bookmarkEnd w:id="83"/>
      <w:bookmarkEnd w:id="84"/>
      <w:r w:rsidRPr="00AF5519">
        <w:rPr>
          <w:rFonts w:asciiTheme="minorHAnsi" w:hAnsiTheme="minorHAnsi"/>
        </w:rPr>
        <w:t xml:space="preserve"> </w:t>
      </w:r>
    </w:p>
    <w:p w:rsidR="00F11930" w:rsidRPr="00AF5519" w:rsidRDefault="00F11930" w:rsidP="00F11930"/>
    <w:p w:rsidR="00F11930" w:rsidRPr="00AF5519" w:rsidRDefault="00F11930" w:rsidP="00F11930">
      <w:pPr>
        <w:spacing w:line="360" w:lineRule="auto"/>
        <w:jc w:val="both"/>
        <w:rPr>
          <w:sz w:val="24"/>
        </w:rPr>
      </w:pPr>
      <w:r w:rsidRPr="00AF5519">
        <w:rPr>
          <w:sz w:val="24"/>
        </w:rPr>
        <w:t xml:space="preserve">Quantitative data has been collected through an online questionnaire method and has been analysed through the use of Microsoft Excel and SPSS software. Field (2013) notes how SPSS is an efficient instrument in high complex data analysis as it provides the essential tools for thorough data management. </w:t>
      </w:r>
    </w:p>
    <w:p w:rsidR="00F11930" w:rsidRPr="00AF5519" w:rsidRDefault="00F11930" w:rsidP="00F11930">
      <w:pPr>
        <w:spacing w:line="360" w:lineRule="auto"/>
        <w:jc w:val="both"/>
        <w:rPr>
          <w:sz w:val="24"/>
        </w:rPr>
      </w:pPr>
      <w:r w:rsidRPr="00AF5519">
        <w:rPr>
          <w:sz w:val="24"/>
        </w:rPr>
        <w:t xml:space="preserve">To effectively analyse the qualitative data, the researcher has chosen to enlist the use of Nvivo analysis software. Wong (2008) highlights how Nvivo can greatly enhance research quality and enable fluid analysis of the results. This software will be utilised for both interviews and the final open-ended question from the questionnaire. </w:t>
      </w:r>
    </w:p>
    <w:p w:rsidR="00F11930" w:rsidRPr="00AF5519" w:rsidRDefault="00F11930" w:rsidP="00F11930">
      <w:pPr>
        <w:spacing w:line="360" w:lineRule="auto"/>
        <w:jc w:val="both"/>
      </w:pPr>
    </w:p>
    <w:p w:rsidR="00F11930" w:rsidRPr="00AF5519" w:rsidRDefault="00F11930" w:rsidP="00F11930">
      <w:pPr>
        <w:pStyle w:val="Heading3"/>
        <w:rPr>
          <w:rFonts w:asciiTheme="minorHAnsi" w:hAnsiTheme="minorHAnsi"/>
        </w:rPr>
      </w:pPr>
      <w:bookmarkStart w:id="85" w:name="_Toc41557658"/>
      <w:bookmarkStart w:id="86" w:name="_Toc41648212"/>
      <w:r w:rsidRPr="00AF5519">
        <w:rPr>
          <w:rFonts w:asciiTheme="minorHAnsi" w:hAnsiTheme="minorHAnsi"/>
        </w:rPr>
        <w:t>4.2.1. Social media event marketing</w:t>
      </w:r>
      <w:bookmarkEnd w:id="85"/>
      <w:bookmarkEnd w:id="86"/>
    </w:p>
    <w:p w:rsidR="00F11930" w:rsidRPr="00AF5519" w:rsidRDefault="00F11930" w:rsidP="00F11930"/>
    <w:p w:rsidR="00F11930" w:rsidRPr="00AF5519" w:rsidRDefault="00F11930" w:rsidP="00F11930">
      <w:pPr>
        <w:autoSpaceDE w:val="0"/>
        <w:autoSpaceDN w:val="0"/>
        <w:adjustRightInd w:val="0"/>
        <w:spacing w:after="0" w:line="240" w:lineRule="auto"/>
        <w:rPr>
          <w:rFonts w:cs="Times New Roman"/>
          <w:sz w:val="24"/>
          <w:szCs w:val="24"/>
        </w:rPr>
      </w:pPr>
    </w:p>
    <w:tbl>
      <w:tblPr>
        <w:tblW w:w="677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2215"/>
        <w:gridCol w:w="1030"/>
        <w:gridCol w:w="1030"/>
        <w:gridCol w:w="1030"/>
      </w:tblGrid>
      <w:tr w:rsidR="00F11930" w:rsidRPr="00AF5519" w:rsidTr="00BC36A8">
        <w:trPr>
          <w:cantSplit/>
          <w:jc w:val="center"/>
        </w:trPr>
        <w:tc>
          <w:tcPr>
            <w:tcW w:w="6774" w:type="dxa"/>
            <w:gridSpan w:val="6"/>
            <w:tcBorders>
              <w:top w:val="nil"/>
              <w:left w:val="nil"/>
              <w:bottom w:val="nil"/>
              <w:right w:val="nil"/>
            </w:tcBorders>
            <w:shd w:val="clear" w:color="auto" w:fill="FFFFFF"/>
            <w:vAlign w:val="center"/>
          </w:tcPr>
          <w:p w:rsidR="00F11930" w:rsidRPr="00AF5519" w:rsidRDefault="00F11930" w:rsidP="00BC36A8">
            <w:pPr>
              <w:autoSpaceDE w:val="0"/>
              <w:autoSpaceDN w:val="0"/>
              <w:adjustRightInd w:val="0"/>
              <w:spacing w:after="0" w:line="320" w:lineRule="atLeast"/>
              <w:ind w:left="60" w:right="60"/>
              <w:jc w:val="center"/>
              <w:rPr>
                <w:rFonts w:cs="Arial"/>
                <w:b/>
                <w:bCs/>
                <w:color w:val="010205"/>
              </w:rPr>
            </w:pPr>
            <w:r w:rsidRPr="00AF5519">
              <w:rPr>
                <w:rFonts w:cs="Arial"/>
                <w:b/>
                <w:bCs/>
                <w:color w:val="010205"/>
              </w:rPr>
              <w:t>Crosstabulation</w:t>
            </w:r>
          </w:p>
          <w:p w:rsidR="00F11930" w:rsidRPr="00AF5519" w:rsidRDefault="00F11930" w:rsidP="00BC36A8">
            <w:pPr>
              <w:autoSpaceDE w:val="0"/>
              <w:autoSpaceDN w:val="0"/>
              <w:adjustRightInd w:val="0"/>
              <w:spacing w:after="0" w:line="320" w:lineRule="atLeast"/>
              <w:ind w:left="60" w:right="60"/>
              <w:jc w:val="center"/>
              <w:rPr>
                <w:rFonts w:cs="Arial"/>
                <w:color w:val="010205"/>
                <w:sz w:val="18"/>
                <w:szCs w:val="18"/>
              </w:rPr>
            </w:pPr>
            <w:r w:rsidRPr="00AF5519">
              <w:rPr>
                <w:rFonts w:cs="Arial"/>
                <w:bCs/>
                <w:color w:val="323E4F" w:themeColor="text2" w:themeShade="BF"/>
                <w:sz w:val="18"/>
                <w:szCs w:val="18"/>
              </w:rPr>
              <w:t>Have you ever attended an event that you saw advertised online?</w:t>
            </w:r>
          </w:p>
        </w:tc>
      </w:tr>
      <w:tr w:rsidR="00F11930" w:rsidRPr="00AF5519" w:rsidTr="00BC36A8">
        <w:trPr>
          <w:cantSplit/>
          <w:jc w:val="center"/>
        </w:trPr>
        <w:tc>
          <w:tcPr>
            <w:tcW w:w="3687" w:type="dxa"/>
            <w:gridSpan w:val="3"/>
            <w:vMerge w:val="restart"/>
            <w:tcBorders>
              <w:top w:val="nil"/>
              <w:left w:val="nil"/>
              <w:bottom w:val="nil"/>
              <w:right w:val="nil"/>
            </w:tcBorders>
            <w:shd w:val="clear" w:color="auto" w:fill="FFFFFF"/>
            <w:vAlign w:val="bottom"/>
          </w:tcPr>
          <w:p w:rsidR="00F11930" w:rsidRPr="00AF5519" w:rsidRDefault="00F11930" w:rsidP="00BC36A8">
            <w:pPr>
              <w:autoSpaceDE w:val="0"/>
              <w:autoSpaceDN w:val="0"/>
              <w:adjustRightInd w:val="0"/>
              <w:spacing w:after="0" w:line="240" w:lineRule="auto"/>
              <w:rPr>
                <w:rFonts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rsidR="00F11930" w:rsidRPr="00AF5519" w:rsidRDefault="00F11930" w:rsidP="00BC36A8">
            <w:pPr>
              <w:autoSpaceDE w:val="0"/>
              <w:autoSpaceDN w:val="0"/>
              <w:adjustRightInd w:val="0"/>
              <w:spacing w:after="0" w:line="320" w:lineRule="atLeast"/>
              <w:ind w:left="60" w:right="60"/>
              <w:jc w:val="center"/>
              <w:rPr>
                <w:rFonts w:cs="Arial"/>
                <w:color w:val="264A60"/>
                <w:sz w:val="18"/>
                <w:szCs w:val="18"/>
              </w:rPr>
            </w:pPr>
            <w:r w:rsidRPr="00AF5519">
              <w:rPr>
                <w:rFonts w:cs="Arial"/>
                <w:color w:val="264A60"/>
                <w:sz w:val="18"/>
                <w:szCs w:val="18"/>
              </w:rPr>
              <w:t>Q8</w:t>
            </w:r>
          </w:p>
        </w:tc>
        <w:tc>
          <w:tcPr>
            <w:tcW w:w="1029" w:type="dxa"/>
            <w:vMerge w:val="restart"/>
            <w:tcBorders>
              <w:top w:val="nil"/>
              <w:left w:val="single" w:sz="8" w:space="0" w:color="E0E0E0"/>
              <w:bottom w:val="nil"/>
              <w:right w:val="nil"/>
            </w:tcBorders>
            <w:shd w:val="clear" w:color="auto" w:fill="FFFFFF"/>
            <w:vAlign w:val="bottom"/>
          </w:tcPr>
          <w:p w:rsidR="00F11930" w:rsidRPr="00AF5519" w:rsidRDefault="00F11930" w:rsidP="00BC36A8">
            <w:pPr>
              <w:autoSpaceDE w:val="0"/>
              <w:autoSpaceDN w:val="0"/>
              <w:adjustRightInd w:val="0"/>
              <w:spacing w:after="0" w:line="320" w:lineRule="atLeast"/>
              <w:ind w:left="60" w:right="60"/>
              <w:jc w:val="center"/>
              <w:rPr>
                <w:rFonts w:cs="Arial"/>
                <w:color w:val="264A60"/>
                <w:sz w:val="18"/>
                <w:szCs w:val="18"/>
              </w:rPr>
            </w:pPr>
            <w:r w:rsidRPr="00AF5519">
              <w:rPr>
                <w:rFonts w:cs="Arial"/>
                <w:color w:val="264A60"/>
                <w:sz w:val="18"/>
                <w:szCs w:val="18"/>
              </w:rPr>
              <w:t>Total</w:t>
            </w:r>
          </w:p>
        </w:tc>
      </w:tr>
      <w:tr w:rsidR="00F11930" w:rsidRPr="00AF5519" w:rsidTr="00BC36A8">
        <w:trPr>
          <w:cantSplit/>
          <w:jc w:val="center"/>
        </w:trPr>
        <w:tc>
          <w:tcPr>
            <w:tcW w:w="3687" w:type="dxa"/>
            <w:gridSpan w:val="3"/>
            <w:vMerge/>
            <w:tcBorders>
              <w:top w:val="nil"/>
              <w:left w:val="nil"/>
              <w:bottom w:val="nil"/>
              <w:right w:val="nil"/>
            </w:tcBorders>
            <w:shd w:val="clear" w:color="auto" w:fill="FFFFFF"/>
            <w:vAlign w:val="bottom"/>
          </w:tcPr>
          <w:p w:rsidR="00F11930" w:rsidRPr="00AF5519" w:rsidRDefault="00F11930" w:rsidP="00BC36A8">
            <w:pPr>
              <w:autoSpaceDE w:val="0"/>
              <w:autoSpaceDN w:val="0"/>
              <w:adjustRightInd w:val="0"/>
              <w:spacing w:after="0" w:line="240" w:lineRule="auto"/>
              <w:rPr>
                <w:rFonts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rsidR="00F11930" w:rsidRPr="00AF5519" w:rsidRDefault="00F11930" w:rsidP="00BC36A8">
            <w:pPr>
              <w:autoSpaceDE w:val="0"/>
              <w:autoSpaceDN w:val="0"/>
              <w:adjustRightInd w:val="0"/>
              <w:spacing w:after="0" w:line="320" w:lineRule="atLeast"/>
              <w:ind w:left="60" w:right="60"/>
              <w:jc w:val="center"/>
              <w:rPr>
                <w:rFonts w:cs="Arial"/>
                <w:color w:val="264A60"/>
                <w:sz w:val="18"/>
                <w:szCs w:val="18"/>
              </w:rPr>
            </w:pPr>
            <w:r w:rsidRPr="00AF5519">
              <w:rPr>
                <w:rFonts w:cs="Arial"/>
                <w:color w:val="264A60"/>
                <w:sz w:val="18"/>
                <w:szCs w:val="18"/>
              </w:rPr>
              <w:t>Yes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F11930" w:rsidRPr="00AF5519" w:rsidRDefault="00F11930" w:rsidP="00BC36A8">
            <w:pPr>
              <w:autoSpaceDE w:val="0"/>
              <w:autoSpaceDN w:val="0"/>
              <w:adjustRightInd w:val="0"/>
              <w:spacing w:after="0" w:line="320" w:lineRule="atLeast"/>
              <w:ind w:left="60" w:right="60"/>
              <w:jc w:val="center"/>
              <w:rPr>
                <w:rFonts w:cs="Arial"/>
                <w:color w:val="264A60"/>
                <w:sz w:val="18"/>
                <w:szCs w:val="18"/>
              </w:rPr>
            </w:pPr>
            <w:r w:rsidRPr="00AF5519">
              <w:rPr>
                <w:rFonts w:cs="Arial"/>
                <w:color w:val="264A60"/>
                <w:sz w:val="18"/>
                <w:szCs w:val="18"/>
              </w:rPr>
              <w:t>No</w:t>
            </w:r>
          </w:p>
        </w:tc>
        <w:tc>
          <w:tcPr>
            <w:tcW w:w="1029" w:type="dxa"/>
            <w:vMerge/>
            <w:tcBorders>
              <w:top w:val="nil"/>
              <w:left w:val="single" w:sz="8" w:space="0" w:color="E0E0E0"/>
              <w:bottom w:val="nil"/>
              <w:right w:val="nil"/>
            </w:tcBorders>
            <w:shd w:val="clear" w:color="auto" w:fill="FFFFFF"/>
            <w:vAlign w:val="bottom"/>
          </w:tcPr>
          <w:p w:rsidR="00F11930" w:rsidRPr="00AF5519" w:rsidRDefault="00F11930" w:rsidP="00BC36A8">
            <w:pPr>
              <w:autoSpaceDE w:val="0"/>
              <w:autoSpaceDN w:val="0"/>
              <w:adjustRightInd w:val="0"/>
              <w:spacing w:after="0" w:line="240" w:lineRule="auto"/>
              <w:rPr>
                <w:rFonts w:cs="Arial"/>
                <w:color w:val="264A60"/>
                <w:sz w:val="18"/>
                <w:szCs w:val="18"/>
              </w:rPr>
            </w:pPr>
          </w:p>
        </w:tc>
      </w:tr>
      <w:tr w:rsidR="00F11930" w:rsidRPr="00AF5519" w:rsidTr="00BC36A8">
        <w:trPr>
          <w:cantSplit/>
          <w:jc w:val="center"/>
        </w:trPr>
        <w:tc>
          <w:tcPr>
            <w:tcW w:w="737" w:type="dxa"/>
            <w:vMerge w:val="restart"/>
            <w:tcBorders>
              <w:top w:val="single" w:sz="8" w:space="0" w:color="152935"/>
              <w:left w:val="nil"/>
              <w:bottom w:val="nil"/>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Q1</w:t>
            </w:r>
          </w:p>
        </w:tc>
        <w:tc>
          <w:tcPr>
            <w:tcW w:w="737" w:type="dxa"/>
            <w:vMerge w:val="restart"/>
            <w:tcBorders>
              <w:top w:val="single" w:sz="8" w:space="0" w:color="152935"/>
              <w:left w:val="nil"/>
              <w:bottom w:val="nil"/>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Male</w:t>
            </w:r>
          </w:p>
        </w:tc>
        <w:tc>
          <w:tcPr>
            <w:tcW w:w="2213" w:type="dxa"/>
            <w:tcBorders>
              <w:top w:val="single" w:sz="8" w:space="0" w:color="152935"/>
              <w:left w:val="nil"/>
              <w:bottom w:val="single" w:sz="8" w:space="0" w:color="AEAEAE"/>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Count</w:t>
            </w:r>
          </w:p>
        </w:tc>
        <w:tc>
          <w:tcPr>
            <w:tcW w:w="1029" w:type="dxa"/>
            <w:tcBorders>
              <w:top w:val="single" w:sz="8" w:space="0" w:color="152935"/>
              <w:left w:val="nil"/>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39</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8</w:t>
            </w:r>
          </w:p>
        </w:tc>
        <w:tc>
          <w:tcPr>
            <w:tcW w:w="1029" w:type="dxa"/>
            <w:tcBorders>
              <w:top w:val="single" w:sz="8" w:space="0" w:color="152935"/>
              <w:left w:val="single" w:sz="8" w:space="0" w:color="E0E0E0"/>
              <w:bottom w:val="single" w:sz="8" w:space="0" w:color="AEAEAE"/>
              <w:right w:val="nil"/>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47</w:t>
            </w:r>
          </w:p>
        </w:tc>
      </w:tr>
      <w:tr w:rsidR="00F11930" w:rsidRPr="00AF5519" w:rsidTr="00BC36A8">
        <w:trPr>
          <w:cantSplit/>
          <w:jc w:val="center"/>
        </w:trPr>
        <w:tc>
          <w:tcPr>
            <w:tcW w:w="737" w:type="dxa"/>
            <w:vMerge/>
            <w:tcBorders>
              <w:top w:val="single" w:sz="8" w:space="0" w:color="152935"/>
              <w:left w:val="nil"/>
              <w:bottom w:val="nil"/>
              <w:right w:val="nil"/>
            </w:tcBorders>
            <w:shd w:val="clear" w:color="auto" w:fill="E0E0E0"/>
          </w:tcPr>
          <w:p w:rsidR="00F11930" w:rsidRPr="00AF5519" w:rsidRDefault="00F11930" w:rsidP="00BC36A8">
            <w:pPr>
              <w:autoSpaceDE w:val="0"/>
              <w:autoSpaceDN w:val="0"/>
              <w:adjustRightInd w:val="0"/>
              <w:spacing w:after="0" w:line="240" w:lineRule="auto"/>
              <w:rPr>
                <w:rFonts w:cs="Arial"/>
                <w:color w:val="010205"/>
                <w:sz w:val="18"/>
                <w:szCs w:val="18"/>
              </w:rPr>
            </w:pPr>
          </w:p>
        </w:tc>
        <w:tc>
          <w:tcPr>
            <w:tcW w:w="737" w:type="dxa"/>
            <w:vMerge/>
            <w:tcBorders>
              <w:top w:val="single" w:sz="8" w:space="0" w:color="152935"/>
              <w:left w:val="nil"/>
              <w:bottom w:val="nil"/>
              <w:right w:val="nil"/>
            </w:tcBorders>
            <w:shd w:val="clear" w:color="auto" w:fill="E0E0E0"/>
          </w:tcPr>
          <w:p w:rsidR="00F11930" w:rsidRPr="00AF5519" w:rsidRDefault="00F11930" w:rsidP="00BC36A8">
            <w:pPr>
              <w:autoSpaceDE w:val="0"/>
              <w:autoSpaceDN w:val="0"/>
              <w:adjustRightInd w:val="0"/>
              <w:spacing w:after="0" w:line="240" w:lineRule="auto"/>
              <w:rPr>
                <w:rFonts w:cs="Arial"/>
                <w:color w:val="010205"/>
                <w:sz w:val="18"/>
                <w:szCs w:val="18"/>
              </w:rPr>
            </w:pPr>
          </w:p>
        </w:tc>
        <w:tc>
          <w:tcPr>
            <w:tcW w:w="2213" w:type="dxa"/>
            <w:tcBorders>
              <w:top w:val="single" w:sz="8" w:space="0" w:color="AEAEAE"/>
              <w:left w:val="nil"/>
              <w:bottom w:val="single" w:sz="8" w:space="0" w:color="AEAEAE"/>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42.3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4.7</w:t>
            </w:r>
          </w:p>
        </w:tc>
        <w:tc>
          <w:tcPr>
            <w:tcW w:w="1029" w:type="dxa"/>
            <w:tcBorders>
              <w:top w:val="single" w:sz="8" w:space="0" w:color="AEAEAE"/>
              <w:left w:val="single" w:sz="8" w:space="0" w:color="E0E0E0"/>
              <w:bottom w:val="single" w:sz="8" w:space="0" w:color="AEAEAE"/>
              <w:right w:val="nil"/>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47.0</w:t>
            </w:r>
          </w:p>
        </w:tc>
      </w:tr>
      <w:tr w:rsidR="00F11930" w:rsidRPr="00AF5519" w:rsidTr="00BC36A8">
        <w:trPr>
          <w:cantSplit/>
          <w:jc w:val="center"/>
        </w:trPr>
        <w:tc>
          <w:tcPr>
            <w:tcW w:w="737" w:type="dxa"/>
            <w:vMerge/>
            <w:tcBorders>
              <w:top w:val="single" w:sz="8" w:space="0" w:color="152935"/>
              <w:left w:val="nil"/>
              <w:bottom w:val="nil"/>
              <w:right w:val="nil"/>
            </w:tcBorders>
            <w:shd w:val="clear" w:color="auto" w:fill="E0E0E0"/>
          </w:tcPr>
          <w:p w:rsidR="00F11930" w:rsidRPr="00AF5519" w:rsidRDefault="00F11930" w:rsidP="00BC36A8">
            <w:pPr>
              <w:autoSpaceDE w:val="0"/>
              <w:autoSpaceDN w:val="0"/>
              <w:adjustRightInd w:val="0"/>
              <w:spacing w:after="0" w:line="240" w:lineRule="auto"/>
              <w:rPr>
                <w:rFonts w:cs="Arial"/>
                <w:color w:val="010205"/>
                <w:sz w:val="18"/>
                <w:szCs w:val="18"/>
              </w:rPr>
            </w:pPr>
          </w:p>
        </w:tc>
        <w:tc>
          <w:tcPr>
            <w:tcW w:w="737" w:type="dxa"/>
            <w:vMerge/>
            <w:tcBorders>
              <w:top w:val="single" w:sz="8" w:space="0" w:color="152935"/>
              <w:left w:val="nil"/>
              <w:bottom w:val="nil"/>
              <w:right w:val="nil"/>
            </w:tcBorders>
            <w:shd w:val="clear" w:color="auto" w:fill="E0E0E0"/>
          </w:tcPr>
          <w:p w:rsidR="00F11930" w:rsidRPr="00AF5519" w:rsidRDefault="00F11930" w:rsidP="00BC36A8">
            <w:pPr>
              <w:autoSpaceDE w:val="0"/>
              <w:autoSpaceDN w:val="0"/>
              <w:adjustRightInd w:val="0"/>
              <w:spacing w:after="0" w:line="240" w:lineRule="auto"/>
              <w:rPr>
                <w:rFonts w:cs="Arial"/>
                <w:color w:val="010205"/>
                <w:sz w:val="18"/>
                <w:szCs w:val="18"/>
              </w:rPr>
            </w:pPr>
          </w:p>
        </w:tc>
        <w:tc>
          <w:tcPr>
            <w:tcW w:w="2213" w:type="dxa"/>
            <w:tcBorders>
              <w:top w:val="single" w:sz="8" w:space="0" w:color="AEAEAE"/>
              <w:left w:val="nil"/>
              <w:bottom w:val="single" w:sz="8" w:space="0" w:color="AEAEAE"/>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 within Q1</w:t>
            </w:r>
          </w:p>
        </w:tc>
        <w:tc>
          <w:tcPr>
            <w:tcW w:w="1029" w:type="dxa"/>
            <w:tcBorders>
              <w:top w:val="single" w:sz="8" w:space="0" w:color="AEAEAE"/>
              <w:left w:val="nil"/>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83.0%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17.0%</w:t>
            </w:r>
          </w:p>
        </w:tc>
        <w:tc>
          <w:tcPr>
            <w:tcW w:w="1029" w:type="dxa"/>
            <w:tcBorders>
              <w:top w:val="single" w:sz="8" w:space="0" w:color="AEAEAE"/>
              <w:left w:val="single" w:sz="8" w:space="0" w:color="E0E0E0"/>
              <w:bottom w:val="single" w:sz="8" w:space="0" w:color="AEAEAE"/>
              <w:right w:val="nil"/>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100.0%</w:t>
            </w:r>
          </w:p>
        </w:tc>
      </w:tr>
      <w:tr w:rsidR="00F11930" w:rsidRPr="00AF5519" w:rsidTr="00BC36A8">
        <w:trPr>
          <w:cantSplit/>
          <w:jc w:val="center"/>
        </w:trPr>
        <w:tc>
          <w:tcPr>
            <w:tcW w:w="737" w:type="dxa"/>
            <w:vMerge/>
            <w:tcBorders>
              <w:top w:val="single" w:sz="8" w:space="0" w:color="152935"/>
              <w:left w:val="nil"/>
              <w:bottom w:val="nil"/>
              <w:right w:val="nil"/>
            </w:tcBorders>
            <w:shd w:val="clear" w:color="auto" w:fill="E0E0E0"/>
          </w:tcPr>
          <w:p w:rsidR="00F11930" w:rsidRPr="00AF5519" w:rsidRDefault="00F11930" w:rsidP="00BC36A8">
            <w:pPr>
              <w:autoSpaceDE w:val="0"/>
              <w:autoSpaceDN w:val="0"/>
              <w:adjustRightInd w:val="0"/>
              <w:spacing w:after="0" w:line="240" w:lineRule="auto"/>
              <w:rPr>
                <w:rFonts w:cs="Arial"/>
                <w:color w:val="010205"/>
                <w:sz w:val="18"/>
                <w:szCs w:val="18"/>
              </w:rPr>
            </w:pPr>
          </w:p>
        </w:tc>
        <w:tc>
          <w:tcPr>
            <w:tcW w:w="737" w:type="dxa"/>
            <w:vMerge/>
            <w:tcBorders>
              <w:top w:val="single" w:sz="8" w:space="0" w:color="152935"/>
              <w:left w:val="nil"/>
              <w:bottom w:val="nil"/>
              <w:right w:val="nil"/>
            </w:tcBorders>
            <w:shd w:val="clear" w:color="auto" w:fill="E0E0E0"/>
          </w:tcPr>
          <w:p w:rsidR="00F11930" w:rsidRPr="00AF5519" w:rsidRDefault="00F11930" w:rsidP="00BC36A8">
            <w:pPr>
              <w:autoSpaceDE w:val="0"/>
              <w:autoSpaceDN w:val="0"/>
              <w:adjustRightInd w:val="0"/>
              <w:spacing w:after="0" w:line="240" w:lineRule="auto"/>
              <w:rPr>
                <w:rFonts w:cs="Arial"/>
                <w:color w:val="010205"/>
                <w:sz w:val="18"/>
                <w:szCs w:val="18"/>
              </w:rPr>
            </w:pPr>
          </w:p>
        </w:tc>
        <w:tc>
          <w:tcPr>
            <w:tcW w:w="2213" w:type="dxa"/>
            <w:tcBorders>
              <w:top w:val="single" w:sz="8" w:space="0" w:color="AEAEAE"/>
              <w:left w:val="nil"/>
              <w:bottom w:val="single" w:sz="8" w:space="0" w:color="AEAEAE"/>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 within Q8</w:t>
            </w:r>
          </w:p>
        </w:tc>
        <w:tc>
          <w:tcPr>
            <w:tcW w:w="1029" w:type="dxa"/>
            <w:tcBorders>
              <w:top w:val="single" w:sz="8" w:space="0" w:color="AEAEAE"/>
              <w:left w:val="nil"/>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27.1%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50.0%</w:t>
            </w:r>
          </w:p>
        </w:tc>
        <w:tc>
          <w:tcPr>
            <w:tcW w:w="1029" w:type="dxa"/>
            <w:tcBorders>
              <w:top w:val="single" w:sz="8" w:space="0" w:color="AEAEAE"/>
              <w:left w:val="single" w:sz="8" w:space="0" w:color="E0E0E0"/>
              <w:bottom w:val="single" w:sz="8" w:space="0" w:color="AEAEAE"/>
              <w:right w:val="nil"/>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29.4%</w:t>
            </w:r>
          </w:p>
        </w:tc>
      </w:tr>
      <w:tr w:rsidR="00F11930" w:rsidRPr="00AF5519" w:rsidTr="00BC36A8">
        <w:trPr>
          <w:cantSplit/>
          <w:jc w:val="center"/>
        </w:trPr>
        <w:tc>
          <w:tcPr>
            <w:tcW w:w="737" w:type="dxa"/>
            <w:vMerge/>
            <w:tcBorders>
              <w:top w:val="single" w:sz="8" w:space="0" w:color="152935"/>
              <w:left w:val="nil"/>
              <w:bottom w:val="nil"/>
              <w:right w:val="nil"/>
            </w:tcBorders>
            <w:shd w:val="clear" w:color="auto" w:fill="E0E0E0"/>
          </w:tcPr>
          <w:p w:rsidR="00F11930" w:rsidRPr="00AF5519" w:rsidRDefault="00F11930" w:rsidP="00BC36A8">
            <w:pPr>
              <w:autoSpaceDE w:val="0"/>
              <w:autoSpaceDN w:val="0"/>
              <w:adjustRightInd w:val="0"/>
              <w:spacing w:after="0" w:line="240" w:lineRule="auto"/>
              <w:rPr>
                <w:rFonts w:cs="Arial"/>
                <w:color w:val="010205"/>
                <w:sz w:val="18"/>
                <w:szCs w:val="18"/>
              </w:rPr>
            </w:pPr>
          </w:p>
        </w:tc>
        <w:tc>
          <w:tcPr>
            <w:tcW w:w="737" w:type="dxa"/>
            <w:vMerge/>
            <w:tcBorders>
              <w:top w:val="single" w:sz="8" w:space="0" w:color="152935"/>
              <w:left w:val="nil"/>
              <w:bottom w:val="nil"/>
              <w:right w:val="nil"/>
            </w:tcBorders>
            <w:shd w:val="clear" w:color="auto" w:fill="E0E0E0"/>
          </w:tcPr>
          <w:p w:rsidR="00F11930" w:rsidRPr="00AF5519" w:rsidRDefault="00F11930" w:rsidP="00BC36A8">
            <w:pPr>
              <w:autoSpaceDE w:val="0"/>
              <w:autoSpaceDN w:val="0"/>
              <w:adjustRightInd w:val="0"/>
              <w:spacing w:after="0" w:line="240" w:lineRule="auto"/>
              <w:rPr>
                <w:rFonts w:cs="Arial"/>
                <w:color w:val="010205"/>
                <w:sz w:val="18"/>
                <w:szCs w:val="18"/>
              </w:rPr>
            </w:pPr>
          </w:p>
        </w:tc>
        <w:tc>
          <w:tcPr>
            <w:tcW w:w="2213" w:type="dxa"/>
            <w:tcBorders>
              <w:top w:val="single" w:sz="8" w:space="0" w:color="AEAEAE"/>
              <w:left w:val="nil"/>
              <w:bottom w:val="nil"/>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Standardized Residual</w:t>
            </w:r>
          </w:p>
        </w:tc>
        <w:tc>
          <w:tcPr>
            <w:tcW w:w="1029" w:type="dxa"/>
            <w:tcBorders>
              <w:top w:val="single" w:sz="8" w:space="0" w:color="AEAEAE"/>
              <w:left w:val="nil"/>
              <w:bottom w:val="nil"/>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-.5</w:t>
            </w:r>
          </w:p>
        </w:tc>
        <w:tc>
          <w:tcPr>
            <w:tcW w:w="1029" w:type="dxa"/>
            <w:tcBorders>
              <w:top w:val="single" w:sz="8" w:space="0" w:color="AEAEAE"/>
              <w:left w:val="single" w:sz="8" w:space="0" w:color="E0E0E0"/>
              <w:bottom w:val="nil"/>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1.5</w:t>
            </w:r>
          </w:p>
        </w:tc>
        <w:tc>
          <w:tcPr>
            <w:tcW w:w="1029" w:type="dxa"/>
            <w:tcBorders>
              <w:top w:val="single" w:sz="8" w:space="0" w:color="AEAEAE"/>
              <w:left w:val="single" w:sz="8" w:space="0" w:color="E0E0E0"/>
              <w:bottom w:val="nil"/>
              <w:right w:val="nil"/>
            </w:tcBorders>
            <w:shd w:val="clear" w:color="auto" w:fill="FFFFFF"/>
            <w:vAlign w:val="center"/>
          </w:tcPr>
          <w:p w:rsidR="00F11930" w:rsidRPr="00AF5519" w:rsidRDefault="00F11930" w:rsidP="00BC36A8">
            <w:pPr>
              <w:autoSpaceDE w:val="0"/>
              <w:autoSpaceDN w:val="0"/>
              <w:adjustRightInd w:val="0"/>
              <w:spacing w:after="0" w:line="240" w:lineRule="auto"/>
              <w:rPr>
                <w:rFonts w:cs="Times New Roman"/>
                <w:sz w:val="24"/>
                <w:szCs w:val="24"/>
              </w:rPr>
            </w:pPr>
          </w:p>
        </w:tc>
      </w:tr>
      <w:tr w:rsidR="00F11930" w:rsidRPr="00AF5519" w:rsidTr="00BC36A8">
        <w:trPr>
          <w:cantSplit/>
          <w:jc w:val="center"/>
        </w:trPr>
        <w:tc>
          <w:tcPr>
            <w:tcW w:w="737" w:type="dxa"/>
            <w:vMerge/>
            <w:tcBorders>
              <w:top w:val="single" w:sz="8" w:space="0" w:color="152935"/>
              <w:left w:val="nil"/>
              <w:bottom w:val="nil"/>
              <w:right w:val="nil"/>
            </w:tcBorders>
            <w:shd w:val="clear" w:color="auto" w:fill="E0E0E0"/>
          </w:tcPr>
          <w:p w:rsidR="00F11930" w:rsidRPr="00AF5519" w:rsidRDefault="00F11930" w:rsidP="00BC36A8">
            <w:pPr>
              <w:autoSpaceDE w:val="0"/>
              <w:autoSpaceDN w:val="0"/>
              <w:adjustRightInd w:val="0"/>
              <w:spacing w:after="0" w:line="240" w:lineRule="auto"/>
              <w:rPr>
                <w:rFonts w:cs="Times New Roman"/>
                <w:sz w:val="24"/>
                <w:szCs w:val="24"/>
              </w:rPr>
            </w:pPr>
          </w:p>
        </w:tc>
        <w:tc>
          <w:tcPr>
            <w:tcW w:w="737" w:type="dxa"/>
            <w:vMerge w:val="restart"/>
            <w:tcBorders>
              <w:top w:val="single" w:sz="8" w:space="0" w:color="AEAEAE"/>
              <w:left w:val="nil"/>
              <w:bottom w:val="nil"/>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Female</w:t>
            </w:r>
          </w:p>
        </w:tc>
        <w:tc>
          <w:tcPr>
            <w:tcW w:w="2213" w:type="dxa"/>
            <w:tcBorders>
              <w:top w:val="single" w:sz="8" w:space="0" w:color="AEAEAE"/>
              <w:left w:val="nil"/>
              <w:bottom w:val="single" w:sz="8" w:space="0" w:color="AEAEAE"/>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105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8</w:t>
            </w:r>
          </w:p>
        </w:tc>
        <w:tc>
          <w:tcPr>
            <w:tcW w:w="1029" w:type="dxa"/>
            <w:tcBorders>
              <w:top w:val="single" w:sz="8" w:space="0" w:color="AEAEAE"/>
              <w:left w:val="single" w:sz="8" w:space="0" w:color="E0E0E0"/>
              <w:bottom w:val="single" w:sz="8" w:space="0" w:color="AEAEAE"/>
              <w:right w:val="nil"/>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113</w:t>
            </w:r>
          </w:p>
        </w:tc>
      </w:tr>
      <w:tr w:rsidR="00F11930" w:rsidRPr="00AF5519" w:rsidTr="00BC36A8">
        <w:trPr>
          <w:cantSplit/>
          <w:jc w:val="center"/>
        </w:trPr>
        <w:tc>
          <w:tcPr>
            <w:tcW w:w="737" w:type="dxa"/>
            <w:vMerge/>
            <w:tcBorders>
              <w:top w:val="single" w:sz="8" w:space="0" w:color="152935"/>
              <w:left w:val="nil"/>
              <w:bottom w:val="nil"/>
              <w:right w:val="nil"/>
            </w:tcBorders>
            <w:shd w:val="clear" w:color="auto" w:fill="E0E0E0"/>
          </w:tcPr>
          <w:p w:rsidR="00F11930" w:rsidRPr="00AF5519" w:rsidRDefault="00F11930" w:rsidP="00BC36A8">
            <w:pPr>
              <w:autoSpaceDE w:val="0"/>
              <w:autoSpaceDN w:val="0"/>
              <w:adjustRightInd w:val="0"/>
              <w:spacing w:after="0" w:line="240" w:lineRule="auto"/>
              <w:rPr>
                <w:rFonts w:cs="Arial"/>
                <w:color w:val="010205"/>
                <w:sz w:val="18"/>
                <w:szCs w:val="18"/>
              </w:rPr>
            </w:pPr>
          </w:p>
        </w:tc>
        <w:tc>
          <w:tcPr>
            <w:tcW w:w="737" w:type="dxa"/>
            <w:vMerge/>
            <w:tcBorders>
              <w:top w:val="single" w:sz="8" w:space="0" w:color="AEAEAE"/>
              <w:left w:val="nil"/>
              <w:bottom w:val="nil"/>
              <w:right w:val="nil"/>
            </w:tcBorders>
            <w:shd w:val="clear" w:color="auto" w:fill="E0E0E0"/>
          </w:tcPr>
          <w:p w:rsidR="00F11930" w:rsidRPr="00AF5519" w:rsidRDefault="00F11930" w:rsidP="00BC36A8">
            <w:pPr>
              <w:autoSpaceDE w:val="0"/>
              <w:autoSpaceDN w:val="0"/>
              <w:adjustRightInd w:val="0"/>
              <w:spacing w:after="0" w:line="240" w:lineRule="auto"/>
              <w:rPr>
                <w:rFonts w:cs="Arial"/>
                <w:color w:val="010205"/>
                <w:sz w:val="18"/>
                <w:szCs w:val="18"/>
              </w:rPr>
            </w:pPr>
          </w:p>
        </w:tc>
        <w:tc>
          <w:tcPr>
            <w:tcW w:w="2213" w:type="dxa"/>
            <w:tcBorders>
              <w:top w:val="single" w:sz="8" w:space="0" w:color="AEAEAE"/>
              <w:left w:val="nil"/>
              <w:bottom w:val="single" w:sz="8" w:space="0" w:color="AEAEAE"/>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101.7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11.3</w:t>
            </w:r>
          </w:p>
        </w:tc>
        <w:tc>
          <w:tcPr>
            <w:tcW w:w="1029" w:type="dxa"/>
            <w:tcBorders>
              <w:top w:val="single" w:sz="8" w:space="0" w:color="AEAEAE"/>
              <w:left w:val="single" w:sz="8" w:space="0" w:color="E0E0E0"/>
              <w:bottom w:val="single" w:sz="8" w:space="0" w:color="AEAEAE"/>
              <w:right w:val="nil"/>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113.0</w:t>
            </w:r>
          </w:p>
        </w:tc>
      </w:tr>
      <w:tr w:rsidR="00F11930" w:rsidRPr="00AF5519" w:rsidTr="00BC36A8">
        <w:trPr>
          <w:cantSplit/>
          <w:jc w:val="center"/>
        </w:trPr>
        <w:tc>
          <w:tcPr>
            <w:tcW w:w="737" w:type="dxa"/>
            <w:vMerge/>
            <w:tcBorders>
              <w:top w:val="single" w:sz="8" w:space="0" w:color="152935"/>
              <w:left w:val="nil"/>
              <w:bottom w:val="nil"/>
              <w:right w:val="nil"/>
            </w:tcBorders>
            <w:shd w:val="clear" w:color="auto" w:fill="E0E0E0"/>
          </w:tcPr>
          <w:p w:rsidR="00F11930" w:rsidRPr="00AF5519" w:rsidRDefault="00F11930" w:rsidP="00BC36A8">
            <w:pPr>
              <w:autoSpaceDE w:val="0"/>
              <w:autoSpaceDN w:val="0"/>
              <w:adjustRightInd w:val="0"/>
              <w:spacing w:after="0" w:line="240" w:lineRule="auto"/>
              <w:rPr>
                <w:rFonts w:cs="Arial"/>
                <w:color w:val="010205"/>
                <w:sz w:val="18"/>
                <w:szCs w:val="18"/>
              </w:rPr>
            </w:pPr>
          </w:p>
        </w:tc>
        <w:tc>
          <w:tcPr>
            <w:tcW w:w="737" w:type="dxa"/>
            <w:vMerge/>
            <w:tcBorders>
              <w:top w:val="single" w:sz="8" w:space="0" w:color="AEAEAE"/>
              <w:left w:val="nil"/>
              <w:bottom w:val="nil"/>
              <w:right w:val="nil"/>
            </w:tcBorders>
            <w:shd w:val="clear" w:color="auto" w:fill="E0E0E0"/>
          </w:tcPr>
          <w:p w:rsidR="00F11930" w:rsidRPr="00AF5519" w:rsidRDefault="00F11930" w:rsidP="00BC36A8">
            <w:pPr>
              <w:autoSpaceDE w:val="0"/>
              <w:autoSpaceDN w:val="0"/>
              <w:adjustRightInd w:val="0"/>
              <w:spacing w:after="0" w:line="240" w:lineRule="auto"/>
              <w:rPr>
                <w:rFonts w:cs="Arial"/>
                <w:color w:val="010205"/>
                <w:sz w:val="18"/>
                <w:szCs w:val="18"/>
              </w:rPr>
            </w:pPr>
          </w:p>
        </w:tc>
        <w:tc>
          <w:tcPr>
            <w:tcW w:w="2213" w:type="dxa"/>
            <w:tcBorders>
              <w:top w:val="single" w:sz="8" w:space="0" w:color="AEAEAE"/>
              <w:left w:val="nil"/>
              <w:bottom w:val="single" w:sz="8" w:space="0" w:color="AEAEAE"/>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 within Q1</w:t>
            </w:r>
          </w:p>
        </w:tc>
        <w:tc>
          <w:tcPr>
            <w:tcW w:w="1029" w:type="dxa"/>
            <w:tcBorders>
              <w:top w:val="single" w:sz="8" w:space="0" w:color="AEAEAE"/>
              <w:left w:val="nil"/>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92.9%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7.1%</w:t>
            </w:r>
          </w:p>
        </w:tc>
        <w:tc>
          <w:tcPr>
            <w:tcW w:w="1029" w:type="dxa"/>
            <w:tcBorders>
              <w:top w:val="single" w:sz="8" w:space="0" w:color="AEAEAE"/>
              <w:left w:val="single" w:sz="8" w:space="0" w:color="E0E0E0"/>
              <w:bottom w:val="single" w:sz="8" w:space="0" w:color="AEAEAE"/>
              <w:right w:val="nil"/>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100.0%</w:t>
            </w:r>
          </w:p>
        </w:tc>
      </w:tr>
      <w:tr w:rsidR="00F11930" w:rsidRPr="00AF5519" w:rsidTr="00BC36A8">
        <w:trPr>
          <w:cantSplit/>
          <w:jc w:val="center"/>
        </w:trPr>
        <w:tc>
          <w:tcPr>
            <w:tcW w:w="737" w:type="dxa"/>
            <w:vMerge/>
            <w:tcBorders>
              <w:top w:val="single" w:sz="8" w:space="0" w:color="152935"/>
              <w:left w:val="nil"/>
              <w:bottom w:val="nil"/>
              <w:right w:val="nil"/>
            </w:tcBorders>
            <w:shd w:val="clear" w:color="auto" w:fill="E0E0E0"/>
          </w:tcPr>
          <w:p w:rsidR="00F11930" w:rsidRPr="00AF5519" w:rsidRDefault="00F11930" w:rsidP="00BC36A8">
            <w:pPr>
              <w:autoSpaceDE w:val="0"/>
              <w:autoSpaceDN w:val="0"/>
              <w:adjustRightInd w:val="0"/>
              <w:spacing w:after="0" w:line="240" w:lineRule="auto"/>
              <w:rPr>
                <w:rFonts w:cs="Arial"/>
                <w:color w:val="010205"/>
                <w:sz w:val="18"/>
                <w:szCs w:val="18"/>
              </w:rPr>
            </w:pPr>
          </w:p>
        </w:tc>
        <w:tc>
          <w:tcPr>
            <w:tcW w:w="737" w:type="dxa"/>
            <w:vMerge/>
            <w:tcBorders>
              <w:top w:val="single" w:sz="8" w:space="0" w:color="AEAEAE"/>
              <w:left w:val="nil"/>
              <w:bottom w:val="nil"/>
              <w:right w:val="nil"/>
            </w:tcBorders>
            <w:shd w:val="clear" w:color="auto" w:fill="E0E0E0"/>
          </w:tcPr>
          <w:p w:rsidR="00F11930" w:rsidRPr="00AF5519" w:rsidRDefault="00F11930" w:rsidP="00BC36A8">
            <w:pPr>
              <w:autoSpaceDE w:val="0"/>
              <w:autoSpaceDN w:val="0"/>
              <w:adjustRightInd w:val="0"/>
              <w:spacing w:after="0" w:line="240" w:lineRule="auto"/>
              <w:rPr>
                <w:rFonts w:cs="Arial"/>
                <w:color w:val="010205"/>
                <w:sz w:val="18"/>
                <w:szCs w:val="18"/>
              </w:rPr>
            </w:pPr>
          </w:p>
        </w:tc>
        <w:tc>
          <w:tcPr>
            <w:tcW w:w="2213" w:type="dxa"/>
            <w:tcBorders>
              <w:top w:val="single" w:sz="8" w:space="0" w:color="AEAEAE"/>
              <w:left w:val="nil"/>
              <w:bottom w:val="single" w:sz="8" w:space="0" w:color="AEAEAE"/>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 within Q8</w:t>
            </w:r>
          </w:p>
        </w:tc>
        <w:tc>
          <w:tcPr>
            <w:tcW w:w="1029" w:type="dxa"/>
            <w:tcBorders>
              <w:top w:val="single" w:sz="8" w:space="0" w:color="AEAEAE"/>
              <w:left w:val="nil"/>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72.9%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50.0%</w:t>
            </w:r>
          </w:p>
        </w:tc>
        <w:tc>
          <w:tcPr>
            <w:tcW w:w="1029" w:type="dxa"/>
            <w:tcBorders>
              <w:top w:val="single" w:sz="8" w:space="0" w:color="AEAEAE"/>
              <w:left w:val="single" w:sz="8" w:space="0" w:color="E0E0E0"/>
              <w:bottom w:val="single" w:sz="8" w:space="0" w:color="AEAEAE"/>
              <w:right w:val="nil"/>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70.6%</w:t>
            </w:r>
          </w:p>
        </w:tc>
      </w:tr>
      <w:tr w:rsidR="00F11930" w:rsidRPr="00AF5519" w:rsidTr="00BC36A8">
        <w:trPr>
          <w:cantSplit/>
          <w:jc w:val="center"/>
        </w:trPr>
        <w:tc>
          <w:tcPr>
            <w:tcW w:w="737" w:type="dxa"/>
            <w:vMerge/>
            <w:tcBorders>
              <w:top w:val="single" w:sz="8" w:space="0" w:color="152935"/>
              <w:left w:val="nil"/>
              <w:bottom w:val="nil"/>
              <w:right w:val="nil"/>
            </w:tcBorders>
            <w:shd w:val="clear" w:color="auto" w:fill="E0E0E0"/>
          </w:tcPr>
          <w:p w:rsidR="00F11930" w:rsidRPr="00AF5519" w:rsidRDefault="00F11930" w:rsidP="00BC36A8">
            <w:pPr>
              <w:autoSpaceDE w:val="0"/>
              <w:autoSpaceDN w:val="0"/>
              <w:adjustRightInd w:val="0"/>
              <w:spacing w:after="0" w:line="240" w:lineRule="auto"/>
              <w:rPr>
                <w:rFonts w:cs="Arial"/>
                <w:color w:val="010205"/>
                <w:sz w:val="18"/>
                <w:szCs w:val="18"/>
              </w:rPr>
            </w:pPr>
          </w:p>
        </w:tc>
        <w:tc>
          <w:tcPr>
            <w:tcW w:w="737" w:type="dxa"/>
            <w:vMerge/>
            <w:tcBorders>
              <w:top w:val="single" w:sz="8" w:space="0" w:color="AEAEAE"/>
              <w:left w:val="nil"/>
              <w:bottom w:val="nil"/>
              <w:right w:val="nil"/>
            </w:tcBorders>
            <w:shd w:val="clear" w:color="auto" w:fill="E0E0E0"/>
          </w:tcPr>
          <w:p w:rsidR="00F11930" w:rsidRPr="00AF5519" w:rsidRDefault="00F11930" w:rsidP="00BC36A8">
            <w:pPr>
              <w:autoSpaceDE w:val="0"/>
              <w:autoSpaceDN w:val="0"/>
              <w:adjustRightInd w:val="0"/>
              <w:spacing w:after="0" w:line="240" w:lineRule="auto"/>
              <w:rPr>
                <w:rFonts w:cs="Arial"/>
                <w:color w:val="010205"/>
                <w:sz w:val="18"/>
                <w:szCs w:val="18"/>
              </w:rPr>
            </w:pPr>
          </w:p>
        </w:tc>
        <w:tc>
          <w:tcPr>
            <w:tcW w:w="2213" w:type="dxa"/>
            <w:tcBorders>
              <w:top w:val="single" w:sz="8" w:space="0" w:color="AEAEAE"/>
              <w:left w:val="nil"/>
              <w:bottom w:val="nil"/>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Standardized Residual</w:t>
            </w:r>
          </w:p>
        </w:tc>
        <w:tc>
          <w:tcPr>
            <w:tcW w:w="1029" w:type="dxa"/>
            <w:tcBorders>
              <w:top w:val="single" w:sz="8" w:space="0" w:color="AEAEAE"/>
              <w:left w:val="nil"/>
              <w:bottom w:val="nil"/>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.3</w:t>
            </w:r>
          </w:p>
        </w:tc>
        <w:tc>
          <w:tcPr>
            <w:tcW w:w="1029" w:type="dxa"/>
            <w:tcBorders>
              <w:top w:val="single" w:sz="8" w:space="0" w:color="AEAEAE"/>
              <w:left w:val="single" w:sz="8" w:space="0" w:color="E0E0E0"/>
              <w:bottom w:val="nil"/>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-1.0</w:t>
            </w:r>
          </w:p>
        </w:tc>
        <w:tc>
          <w:tcPr>
            <w:tcW w:w="1029" w:type="dxa"/>
            <w:tcBorders>
              <w:top w:val="single" w:sz="8" w:space="0" w:color="AEAEAE"/>
              <w:left w:val="single" w:sz="8" w:space="0" w:color="E0E0E0"/>
              <w:bottom w:val="nil"/>
              <w:right w:val="nil"/>
            </w:tcBorders>
            <w:shd w:val="clear" w:color="auto" w:fill="FFFFFF"/>
            <w:vAlign w:val="center"/>
          </w:tcPr>
          <w:p w:rsidR="00F11930" w:rsidRPr="00AF5519" w:rsidRDefault="00F11930" w:rsidP="00BC36A8">
            <w:pPr>
              <w:autoSpaceDE w:val="0"/>
              <w:autoSpaceDN w:val="0"/>
              <w:adjustRightInd w:val="0"/>
              <w:spacing w:after="0" w:line="240" w:lineRule="auto"/>
              <w:rPr>
                <w:rFonts w:cs="Times New Roman"/>
                <w:sz w:val="24"/>
                <w:szCs w:val="24"/>
              </w:rPr>
            </w:pPr>
          </w:p>
        </w:tc>
      </w:tr>
      <w:tr w:rsidR="00F11930" w:rsidRPr="00AF5519" w:rsidTr="00BC36A8">
        <w:trPr>
          <w:cantSplit/>
          <w:jc w:val="center"/>
        </w:trPr>
        <w:tc>
          <w:tcPr>
            <w:tcW w:w="1474" w:type="dxa"/>
            <w:gridSpan w:val="2"/>
            <w:vMerge w:val="restart"/>
            <w:tcBorders>
              <w:top w:val="single" w:sz="8" w:space="0" w:color="AEAEAE"/>
              <w:left w:val="nil"/>
              <w:bottom w:val="single" w:sz="8" w:space="0" w:color="152935"/>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Total</w:t>
            </w:r>
          </w:p>
        </w:tc>
        <w:tc>
          <w:tcPr>
            <w:tcW w:w="2213" w:type="dxa"/>
            <w:tcBorders>
              <w:top w:val="single" w:sz="8" w:space="0" w:color="AEAEAE"/>
              <w:left w:val="nil"/>
              <w:bottom w:val="single" w:sz="8" w:space="0" w:color="AEAEAE"/>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144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16</w:t>
            </w:r>
          </w:p>
        </w:tc>
        <w:tc>
          <w:tcPr>
            <w:tcW w:w="1029" w:type="dxa"/>
            <w:tcBorders>
              <w:top w:val="single" w:sz="8" w:space="0" w:color="AEAEAE"/>
              <w:left w:val="single" w:sz="8" w:space="0" w:color="E0E0E0"/>
              <w:bottom w:val="single" w:sz="8" w:space="0" w:color="AEAEAE"/>
              <w:right w:val="nil"/>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160</w:t>
            </w:r>
          </w:p>
        </w:tc>
      </w:tr>
      <w:tr w:rsidR="00F11930" w:rsidRPr="00AF5519" w:rsidTr="00BC36A8">
        <w:trPr>
          <w:cantSplit/>
          <w:jc w:val="center"/>
        </w:trPr>
        <w:tc>
          <w:tcPr>
            <w:tcW w:w="1474" w:type="dxa"/>
            <w:gridSpan w:val="2"/>
            <w:vMerge/>
            <w:tcBorders>
              <w:top w:val="single" w:sz="8" w:space="0" w:color="AEAEAE"/>
              <w:left w:val="nil"/>
              <w:bottom w:val="single" w:sz="8" w:space="0" w:color="152935"/>
              <w:right w:val="nil"/>
            </w:tcBorders>
            <w:shd w:val="clear" w:color="auto" w:fill="E0E0E0"/>
          </w:tcPr>
          <w:p w:rsidR="00F11930" w:rsidRPr="00AF5519" w:rsidRDefault="00F11930" w:rsidP="00BC36A8">
            <w:pPr>
              <w:autoSpaceDE w:val="0"/>
              <w:autoSpaceDN w:val="0"/>
              <w:adjustRightInd w:val="0"/>
              <w:spacing w:after="0" w:line="240" w:lineRule="auto"/>
              <w:rPr>
                <w:rFonts w:cs="Arial"/>
                <w:color w:val="010205"/>
                <w:sz w:val="18"/>
                <w:szCs w:val="18"/>
              </w:rPr>
            </w:pPr>
          </w:p>
        </w:tc>
        <w:tc>
          <w:tcPr>
            <w:tcW w:w="2213" w:type="dxa"/>
            <w:tcBorders>
              <w:top w:val="single" w:sz="8" w:space="0" w:color="AEAEAE"/>
              <w:left w:val="nil"/>
              <w:bottom w:val="single" w:sz="8" w:space="0" w:color="AEAEAE"/>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144.0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16.0</w:t>
            </w:r>
          </w:p>
        </w:tc>
        <w:tc>
          <w:tcPr>
            <w:tcW w:w="1029" w:type="dxa"/>
            <w:tcBorders>
              <w:top w:val="single" w:sz="8" w:space="0" w:color="AEAEAE"/>
              <w:left w:val="single" w:sz="8" w:space="0" w:color="E0E0E0"/>
              <w:bottom w:val="single" w:sz="8" w:space="0" w:color="AEAEAE"/>
              <w:right w:val="nil"/>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160.0</w:t>
            </w:r>
          </w:p>
        </w:tc>
      </w:tr>
      <w:tr w:rsidR="00F11930" w:rsidRPr="00AF5519" w:rsidTr="00BC36A8">
        <w:trPr>
          <w:cantSplit/>
          <w:jc w:val="center"/>
        </w:trPr>
        <w:tc>
          <w:tcPr>
            <w:tcW w:w="1474" w:type="dxa"/>
            <w:gridSpan w:val="2"/>
            <w:vMerge/>
            <w:tcBorders>
              <w:top w:val="single" w:sz="8" w:space="0" w:color="AEAEAE"/>
              <w:left w:val="nil"/>
              <w:bottom w:val="single" w:sz="8" w:space="0" w:color="152935"/>
              <w:right w:val="nil"/>
            </w:tcBorders>
            <w:shd w:val="clear" w:color="auto" w:fill="E0E0E0"/>
          </w:tcPr>
          <w:p w:rsidR="00F11930" w:rsidRPr="00AF5519" w:rsidRDefault="00F11930" w:rsidP="00BC36A8">
            <w:pPr>
              <w:autoSpaceDE w:val="0"/>
              <w:autoSpaceDN w:val="0"/>
              <w:adjustRightInd w:val="0"/>
              <w:spacing w:after="0" w:line="240" w:lineRule="auto"/>
              <w:rPr>
                <w:rFonts w:cs="Arial"/>
                <w:color w:val="010205"/>
                <w:sz w:val="18"/>
                <w:szCs w:val="18"/>
              </w:rPr>
            </w:pPr>
          </w:p>
        </w:tc>
        <w:tc>
          <w:tcPr>
            <w:tcW w:w="2213" w:type="dxa"/>
            <w:tcBorders>
              <w:top w:val="single" w:sz="8" w:space="0" w:color="AEAEAE"/>
              <w:left w:val="nil"/>
              <w:bottom w:val="single" w:sz="8" w:space="0" w:color="AEAEAE"/>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 within Q1</w:t>
            </w:r>
          </w:p>
        </w:tc>
        <w:tc>
          <w:tcPr>
            <w:tcW w:w="1029" w:type="dxa"/>
            <w:tcBorders>
              <w:top w:val="single" w:sz="8" w:space="0" w:color="AEAEAE"/>
              <w:left w:val="nil"/>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90.0%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10.0%</w:t>
            </w:r>
          </w:p>
        </w:tc>
        <w:tc>
          <w:tcPr>
            <w:tcW w:w="1029" w:type="dxa"/>
            <w:tcBorders>
              <w:top w:val="single" w:sz="8" w:space="0" w:color="AEAEAE"/>
              <w:left w:val="single" w:sz="8" w:space="0" w:color="E0E0E0"/>
              <w:bottom w:val="single" w:sz="8" w:space="0" w:color="AEAEAE"/>
              <w:right w:val="nil"/>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100.0%</w:t>
            </w:r>
          </w:p>
        </w:tc>
      </w:tr>
      <w:tr w:rsidR="00F11930" w:rsidRPr="00AF5519" w:rsidTr="00BC36A8">
        <w:trPr>
          <w:cantSplit/>
          <w:jc w:val="center"/>
        </w:trPr>
        <w:tc>
          <w:tcPr>
            <w:tcW w:w="1474" w:type="dxa"/>
            <w:gridSpan w:val="2"/>
            <w:vMerge/>
            <w:tcBorders>
              <w:top w:val="single" w:sz="8" w:space="0" w:color="AEAEAE"/>
              <w:left w:val="nil"/>
              <w:bottom w:val="single" w:sz="8" w:space="0" w:color="152935"/>
              <w:right w:val="nil"/>
            </w:tcBorders>
            <w:shd w:val="clear" w:color="auto" w:fill="E0E0E0"/>
          </w:tcPr>
          <w:p w:rsidR="00F11930" w:rsidRPr="00AF5519" w:rsidRDefault="00F11930" w:rsidP="00BC36A8">
            <w:pPr>
              <w:autoSpaceDE w:val="0"/>
              <w:autoSpaceDN w:val="0"/>
              <w:adjustRightInd w:val="0"/>
              <w:spacing w:after="0" w:line="240" w:lineRule="auto"/>
              <w:rPr>
                <w:rFonts w:cs="Arial"/>
                <w:color w:val="010205"/>
                <w:sz w:val="18"/>
                <w:szCs w:val="18"/>
              </w:rPr>
            </w:pPr>
          </w:p>
        </w:tc>
        <w:tc>
          <w:tcPr>
            <w:tcW w:w="2213" w:type="dxa"/>
            <w:tcBorders>
              <w:top w:val="single" w:sz="8" w:space="0" w:color="AEAEAE"/>
              <w:left w:val="nil"/>
              <w:bottom w:val="single" w:sz="8" w:space="0" w:color="152935"/>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 within Q8</w:t>
            </w:r>
          </w:p>
        </w:tc>
        <w:tc>
          <w:tcPr>
            <w:tcW w:w="1029" w:type="dxa"/>
            <w:tcBorders>
              <w:top w:val="single" w:sz="8" w:space="0" w:color="AEAEAE"/>
              <w:left w:val="nil"/>
              <w:bottom w:val="single" w:sz="8" w:space="0" w:color="152935"/>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100.0%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100.0%</w:t>
            </w:r>
          </w:p>
        </w:tc>
        <w:tc>
          <w:tcPr>
            <w:tcW w:w="1029" w:type="dxa"/>
            <w:tcBorders>
              <w:top w:val="single" w:sz="8" w:space="0" w:color="AEAEAE"/>
              <w:left w:val="single" w:sz="8" w:space="0" w:color="E0E0E0"/>
              <w:bottom w:val="single" w:sz="8" w:space="0" w:color="152935"/>
              <w:right w:val="nil"/>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100.0%</w:t>
            </w:r>
          </w:p>
        </w:tc>
      </w:tr>
    </w:tbl>
    <w:p w:rsidR="00F11930" w:rsidRPr="00AF5519" w:rsidRDefault="00F11930" w:rsidP="00F11930">
      <w:pPr>
        <w:autoSpaceDE w:val="0"/>
        <w:autoSpaceDN w:val="0"/>
        <w:adjustRightInd w:val="0"/>
        <w:spacing w:after="0" w:line="400" w:lineRule="atLeast"/>
        <w:rPr>
          <w:rFonts w:cs="Times New Roman"/>
          <w:sz w:val="24"/>
          <w:szCs w:val="24"/>
        </w:rPr>
      </w:pPr>
    </w:p>
    <w:p w:rsidR="00F11930" w:rsidRPr="00AF5519" w:rsidRDefault="00F11930" w:rsidP="00F11930">
      <w:pPr>
        <w:pStyle w:val="Heading4"/>
        <w:spacing w:line="360" w:lineRule="auto"/>
        <w:jc w:val="both"/>
        <w:rPr>
          <w:rFonts w:asciiTheme="minorHAnsi" w:hAnsiTheme="minorHAnsi"/>
          <w:sz w:val="24"/>
        </w:rPr>
      </w:pPr>
      <w:bookmarkStart w:id="87" w:name="_Toc41648287"/>
      <w:r w:rsidRPr="00AF5519">
        <w:rPr>
          <w:rFonts w:asciiTheme="minorHAnsi" w:hAnsiTheme="minorHAnsi"/>
          <w:sz w:val="24"/>
        </w:rPr>
        <w:t>Figure 4.2.: Event attendance.</w:t>
      </w:r>
      <w:bookmarkEnd w:id="87"/>
    </w:p>
    <w:p w:rsidR="00F11930" w:rsidRPr="00AF5519" w:rsidRDefault="00F11930" w:rsidP="00F11930">
      <w:pPr>
        <w:spacing w:line="360" w:lineRule="auto"/>
        <w:jc w:val="both"/>
        <w:rPr>
          <w:sz w:val="24"/>
        </w:rPr>
      </w:pPr>
    </w:p>
    <w:p w:rsidR="00F11930" w:rsidRPr="00AF5519" w:rsidRDefault="00F11930" w:rsidP="00F11930">
      <w:pPr>
        <w:spacing w:line="360" w:lineRule="auto"/>
        <w:jc w:val="both"/>
        <w:rPr>
          <w:sz w:val="24"/>
        </w:rPr>
      </w:pPr>
      <w:r w:rsidRPr="00AF5519">
        <w:rPr>
          <w:sz w:val="24"/>
        </w:rPr>
        <w:t>As discussed in the literature review, the sharing of information online has largely reshaped the concept of live events and allowed events to reach far wider audiences (Bennett, 2012). This research has tested the assumption that individuals within the Swansea based population have attended an event that they had seen advertised online. The results indicated in Figure 4.2. depict that 90% of the selected sample confirmed that they had. This is a significant finding as it indicates that online platforms are playing a vital role in relation to event advertising and marketing within the tested population.</w:t>
      </w:r>
    </w:p>
    <w:p w:rsidR="00F11930" w:rsidRPr="00AF5519" w:rsidRDefault="00F11930" w:rsidP="00F11930">
      <w:pPr>
        <w:spacing w:line="360" w:lineRule="auto"/>
        <w:jc w:val="both"/>
      </w:pPr>
    </w:p>
    <w:p w:rsidR="00F11930" w:rsidRPr="00AF5519" w:rsidRDefault="00F11930" w:rsidP="00F11930"/>
    <w:p w:rsidR="00F11930" w:rsidRPr="00AF5519" w:rsidRDefault="00F11930" w:rsidP="00F11930">
      <w:pPr>
        <w:jc w:val="center"/>
      </w:pPr>
      <w:r w:rsidRPr="00AF5519">
        <w:rPr>
          <w:noProof/>
          <w:lang w:eastAsia="en-GB"/>
        </w:rPr>
        <w:drawing>
          <wp:inline distT="0" distB="0" distL="0" distR="0" wp14:anchorId="761782B3" wp14:editId="7EFDF3C0">
            <wp:extent cx="4572000" cy="2743200"/>
            <wp:effectExtent l="0" t="0" r="0" b="0"/>
            <wp:docPr id="7" name="Chart 7">
              <a:extLst xmlns:a="http://schemas.openxmlformats.org/drawingml/2006/main">
                <a:ext uri="{FF2B5EF4-FFF2-40B4-BE49-F238E27FC236}">
                  <a16:creationId xmlns:a16="http://schemas.microsoft.com/office/drawing/2014/main" id="{98139264-5F11-4635-8564-DF94AEEC8A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F11930" w:rsidRPr="00AF5519" w:rsidRDefault="00F11930" w:rsidP="00F11930">
      <w:pPr>
        <w:pStyle w:val="Heading4"/>
        <w:rPr>
          <w:rFonts w:asciiTheme="minorHAnsi" w:hAnsiTheme="minorHAnsi"/>
        </w:rPr>
      </w:pPr>
    </w:p>
    <w:p w:rsidR="00F11930" w:rsidRPr="00AF5519" w:rsidRDefault="00F11930" w:rsidP="00F11930">
      <w:pPr>
        <w:pStyle w:val="Heading4"/>
        <w:spacing w:line="360" w:lineRule="auto"/>
        <w:jc w:val="both"/>
        <w:rPr>
          <w:rFonts w:asciiTheme="minorHAnsi" w:hAnsiTheme="minorHAnsi"/>
          <w:sz w:val="24"/>
        </w:rPr>
      </w:pPr>
      <w:bookmarkStart w:id="88" w:name="_Toc41648288"/>
      <w:r w:rsidRPr="00AF5519">
        <w:rPr>
          <w:rFonts w:asciiTheme="minorHAnsi" w:hAnsiTheme="minorHAnsi"/>
          <w:sz w:val="24"/>
        </w:rPr>
        <w:t>Figure 4.3.: Sourcing event information.</w:t>
      </w:r>
      <w:bookmarkEnd w:id="88"/>
    </w:p>
    <w:p w:rsidR="00F11930" w:rsidRPr="00AF5519" w:rsidRDefault="00F11930" w:rsidP="00F11930">
      <w:pPr>
        <w:spacing w:line="360" w:lineRule="auto"/>
        <w:jc w:val="both"/>
        <w:rPr>
          <w:sz w:val="24"/>
        </w:rPr>
      </w:pPr>
    </w:p>
    <w:p w:rsidR="00F11930" w:rsidRPr="00AF5519" w:rsidRDefault="00F11930" w:rsidP="00F11930">
      <w:pPr>
        <w:spacing w:line="360" w:lineRule="auto"/>
        <w:jc w:val="both"/>
        <w:rPr>
          <w:sz w:val="24"/>
        </w:rPr>
      </w:pPr>
      <w:r w:rsidRPr="00AF5519">
        <w:rPr>
          <w:sz w:val="24"/>
        </w:rPr>
        <w:t>Question 10 of the questionnaire asked respondents to identify how they source event information online. As depicted in Figure 4.3., there is a positive correlation between social media and sourcing event information. This finding is consistent with the theory discussed in Chapter 2 by Evans (2010) regarding how the events industry can use social media to promote itself far beyond regular means.</w:t>
      </w:r>
    </w:p>
    <w:p w:rsidR="00F11930" w:rsidRPr="00AF5519" w:rsidRDefault="00F11930" w:rsidP="00F11930">
      <w:pPr>
        <w:spacing w:line="360" w:lineRule="auto"/>
        <w:jc w:val="both"/>
      </w:pPr>
      <w:r w:rsidRPr="00AF5519">
        <w:rPr>
          <w:noProof/>
          <w:lang w:eastAsia="en-GB"/>
        </w:rPr>
        <w:lastRenderedPageBreak/>
        <w:drawing>
          <wp:inline distT="0" distB="0" distL="0" distR="0" wp14:anchorId="6F7D0E26" wp14:editId="2B94BC52">
            <wp:extent cx="5731510" cy="4832809"/>
            <wp:effectExtent l="0" t="0" r="2540" b="6350"/>
            <wp:docPr id="11" name="Picture 11" descr="C:\Users\Caitlin James-Dean\Documents\Events advertis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aitlin James-Dean\Documents\Events advertising.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832809"/>
                    </a:xfrm>
                    <a:prstGeom prst="rect">
                      <a:avLst/>
                    </a:prstGeom>
                    <a:noFill/>
                    <a:ln>
                      <a:noFill/>
                    </a:ln>
                  </pic:spPr>
                </pic:pic>
              </a:graphicData>
            </a:graphic>
          </wp:inline>
        </w:drawing>
      </w:r>
    </w:p>
    <w:p w:rsidR="00F11930" w:rsidRPr="00AF5519" w:rsidRDefault="00F11930" w:rsidP="00F11930">
      <w:pPr>
        <w:pStyle w:val="Heading4"/>
        <w:spacing w:line="360" w:lineRule="auto"/>
        <w:jc w:val="both"/>
        <w:rPr>
          <w:rFonts w:asciiTheme="minorHAnsi" w:hAnsiTheme="minorHAnsi"/>
          <w:sz w:val="24"/>
        </w:rPr>
      </w:pPr>
      <w:bookmarkStart w:id="89" w:name="_Toc41648289"/>
      <w:r w:rsidRPr="00AF5519">
        <w:rPr>
          <w:rFonts w:asciiTheme="minorHAnsi" w:hAnsiTheme="minorHAnsi"/>
          <w:sz w:val="24"/>
        </w:rPr>
        <w:t>Figure 4.4.: Mind map for event advertising (Online survey data 2020).</w:t>
      </w:r>
      <w:bookmarkEnd w:id="89"/>
      <w:r w:rsidRPr="00AF5519">
        <w:rPr>
          <w:rFonts w:asciiTheme="minorHAnsi" w:hAnsiTheme="minorHAnsi"/>
          <w:sz w:val="24"/>
        </w:rPr>
        <w:t xml:space="preserve"> </w:t>
      </w:r>
    </w:p>
    <w:p w:rsidR="00F11930" w:rsidRPr="00AF5519" w:rsidRDefault="00F11930" w:rsidP="00F11930">
      <w:pPr>
        <w:spacing w:line="360" w:lineRule="auto"/>
        <w:jc w:val="both"/>
        <w:rPr>
          <w:sz w:val="24"/>
        </w:rPr>
      </w:pPr>
    </w:p>
    <w:p w:rsidR="00F11930" w:rsidRPr="00AF5519" w:rsidRDefault="00F11930" w:rsidP="00F11930">
      <w:pPr>
        <w:spacing w:line="360" w:lineRule="auto"/>
        <w:jc w:val="both"/>
        <w:rPr>
          <w:sz w:val="24"/>
        </w:rPr>
      </w:pPr>
      <w:r w:rsidRPr="00AF5519">
        <w:rPr>
          <w:sz w:val="24"/>
        </w:rPr>
        <w:t xml:space="preserve">This finding was tested further within the qualitative research, whereby an interpretivist stance was utilised to explore how different individual’s experience the same objective reality. The participants were asked whether they use social media to find out about events that may interest them. The results are depicted above in Figure 4.4. The theme that emerges from this research is that both types of social media users had similar behavioural tendencies in their use of social media to source event information and be inspired to attend future events. This analysis has here provided evidence of categorical aggregation and established a singular perception of social media use across both interviews. This is a generalizable theory and is consistent with the academic proposal of Jenkins (2003) who suggested that images that are shared on social media play a large role in influencing others to attend the same event, a phenomenon known as the “circle of representation”. </w:t>
      </w:r>
    </w:p>
    <w:p w:rsidR="00F11930" w:rsidRPr="00AF5519" w:rsidRDefault="00F11930" w:rsidP="00F11930">
      <w:pPr>
        <w:spacing w:line="360" w:lineRule="auto"/>
        <w:jc w:val="both"/>
      </w:pPr>
    </w:p>
    <w:p w:rsidR="00F11930" w:rsidRPr="00AF5519" w:rsidRDefault="00F11930" w:rsidP="00F11930">
      <w:pPr>
        <w:spacing w:line="360" w:lineRule="auto"/>
        <w:jc w:val="both"/>
      </w:pPr>
    </w:p>
    <w:p w:rsidR="00F11930" w:rsidRPr="00AF5519" w:rsidRDefault="00F11930" w:rsidP="00F11930">
      <w:pPr>
        <w:pStyle w:val="Heading3"/>
        <w:rPr>
          <w:rFonts w:asciiTheme="minorHAnsi" w:hAnsiTheme="minorHAnsi"/>
        </w:rPr>
      </w:pPr>
      <w:bookmarkStart w:id="90" w:name="_Toc41557659"/>
      <w:bookmarkStart w:id="91" w:name="_Toc41648213"/>
      <w:r w:rsidRPr="00AF5519">
        <w:rPr>
          <w:rFonts w:asciiTheme="minorHAnsi" w:hAnsiTheme="minorHAnsi"/>
        </w:rPr>
        <w:t>4.2.2. Motivations for using social media</w:t>
      </w:r>
      <w:bookmarkEnd w:id="90"/>
      <w:bookmarkEnd w:id="91"/>
      <w:r w:rsidRPr="00AF5519">
        <w:rPr>
          <w:rFonts w:asciiTheme="minorHAnsi" w:hAnsiTheme="minorHAnsi"/>
        </w:rPr>
        <w:t xml:space="preserve"> </w:t>
      </w:r>
    </w:p>
    <w:p w:rsidR="00F11930" w:rsidRPr="00AF5519" w:rsidRDefault="00F11930" w:rsidP="00F11930">
      <w:pPr>
        <w:spacing w:line="360" w:lineRule="auto"/>
        <w:jc w:val="both"/>
      </w:pPr>
    </w:p>
    <w:p w:rsidR="00F11930" w:rsidRPr="00AF5519" w:rsidRDefault="00F11930" w:rsidP="00F11930">
      <w:pPr>
        <w:spacing w:line="360" w:lineRule="auto"/>
        <w:jc w:val="center"/>
      </w:pPr>
      <w:r w:rsidRPr="00AF5519">
        <w:rPr>
          <w:noProof/>
          <w:lang w:eastAsia="en-GB"/>
        </w:rPr>
        <w:drawing>
          <wp:inline distT="0" distB="0" distL="0" distR="0" wp14:anchorId="04095AA7" wp14:editId="75E7695E">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F11930" w:rsidRPr="00AF5519" w:rsidRDefault="00F11930" w:rsidP="00F11930">
      <w:pPr>
        <w:pStyle w:val="Heading4"/>
        <w:rPr>
          <w:rFonts w:asciiTheme="minorHAnsi" w:hAnsiTheme="minorHAnsi"/>
        </w:rPr>
      </w:pPr>
    </w:p>
    <w:p w:rsidR="00F11930" w:rsidRPr="00AF5519" w:rsidRDefault="00F11930" w:rsidP="00F11930">
      <w:pPr>
        <w:pStyle w:val="Heading4"/>
        <w:spacing w:line="360" w:lineRule="auto"/>
        <w:jc w:val="both"/>
        <w:rPr>
          <w:rFonts w:asciiTheme="minorHAnsi" w:hAnsiTheme="minorHAnsi"/>
          <w:sz w:val="24"/>
        </w:rPr>
      </w:pPr>
      <w:bookmarkStart w:id="92" w:name="_Toc41648290"/>
      <w:r w:rsidRPr="00AF5519">
        <w:rPr>
          <w:rFonts w:asciiTheme="minorHAnsi" w:hAnsiTheme="minorHAnsi"/>
          <w:sz w:val="24"/>
        </w:rPr>
        <w:t>Figure 4.5.: Photo taking motivations.</w:t>
      </w:r>
      <w:bookmarkEnd w:id="92"/>
      <w:r w:rsidRPr="00AF5519">
        <w:rPr>
          <w:rFonts w:asciiTheme="minorHAnsi" w:hAnsiTheme="minorHAnsi"/>
          <w:sz w:val="24"/>
        </w:rPr>
        <w:t xml:space="preserve"> </w:t>
      </w:r>
    </w:p>
    <w:p w:rsidR="00F11930" w:rsidRPr="00AF5519" w:rsidRDefault="00F11930" w:rsidP="00F11930">
      <w:pPr>
        <w:spacing w:line="360" w:lineRule="auto"/>
        <w:jc w:val="both"/>
        <w:rPr>
          <w:sz w:val="24"/>
        </w:rPr>
      </w:pPr>
    </w:p>
    <w:p w:rsidR="00F11930" w:rsidRPr="00AF5519" w:rsidRDefault="00F11930" w:rsidP="00F11930">
      <w:pPr>
        <w:spacing w:line="360" w:lineRule="auto"/>
        <w:jc w:val="both"/>
        <w:rPr>
          <w:sz w:val="24"/>
        </w:rPr>
      </w:pPr>
      <w:r w:rsidRPr="00AF5519">
        <w:rPr>
          <w:sz w:val="24"/>
        </w:rPr>
        <w:t xml:space="preserve">Figure 4.5. highlights the options selected by respondents as motivation behind photo taking at events. The results depict that memory keeping was selected as the largest driving factor. 31% of respondents stated that they saw both social media and memory keeping as their motivation behind photo taking at events. When considering this percentage alongside the other 14% who solely took photos for social media, it indicates that 45% of the respondents are driven to photograph an event for the purpose of social media. This rationale is observable in the literature as noted when Jacob (2018) alleged the modern-day unspoken notion that if you didn’t post a picture on social media – you were not there. </w:t>
      </w:r>
    </w:p>
    <w:p w:rsidR="00F11930" w:rsidRPr="00AF5519" w:rsidRDefault="00F11930" w:rsidP="00F11930">
      <w:pPr>
        <w:spacing w:line="360" w:lineRule="auto"/>
        <w:jc w:val="both"/>
        <w:rPr>
          <w:sz w:val="24"/>
        </w:rPr>
      </w:pPr>
    </w:p>
    <w:p w:rsidR="00F11930" w:rsidRPr="00AF5519" w:rsidRDefault="00F11930" w:rsidP="00F11930">
      <w:pPr>
        <w:spacing w:line="360" w:lineRule="auto"/>
        <w:jc w:val="both"/>
      </w:pPr>
      <w:r w:rsidRPr="00AF5519">
        <w:rPr>
          <w:noProof/>
          <w:lang w:eastAsia="en-GB"/>
        </w:rPr>
        <w:lastRenderedPageBreak/>
        <w:drawing>
          <wp:anchor distT="0" distB="0" distL="114300" distR="114300" simplePos="0" relativeHeight="251661312" behindDoc="0" locked="0" layoutInCell="1" allowOverlap="1" wp14:anchorId="49C23DE6" wp14:editId="3BCD790C">
            <wp:simplePos x="0" y="0"/>
            <wp:positionH relativeFrom="margin">
              <wp:align>center</wp:align>
            </wp:positionH>
            <wp:positionV relativeFrom="paragraph">
              <wp:posOffset>12065</wp:posOffset>
            </wp:positionV>
            <wp:extent cx="3962400" cy="2171065"/>
            <wp:effectExtent l="0" t="0" r="0" b="63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8357" r="28973" b="-1941"/>
                    <a:stretch/>
                  </pic:blipFill>
                  <pic:spPr bwMode="auto">
                    <a:xfrm>
                      <a:off x="0" y="0"/>
                      <a:ext cx="3962400" cy="2171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11930" w:rsidRPr="00AF5519" w:rsidRDefault="00F11930" w:rsidP="00F11930">
      <w:pPr>
        <w:spacing w:line="360" w:lineRule="auto"/>
        <w:jc w:val="center"/>
      </w:pPr>
    </w:p>
    <w:p w:rsidR="00F11930" w:rsidRPr="00AF5519" w:rsidRDefault="00F11930" w:rsidP="00F11930">
      <w:pPr>
        <w:pStyle w:val="Heading4"/>
        <w:rPr>
          <w:rFonts w:asciiTheme="minorHAnsi" w:hAnsiTheme="minorHAnsi"/>
        </w:rPr>
      </w:pPr>
    </w:p>
    <w:p w:rsidR="00F11930" w:rsidRPr="00AF5519" w:rsidRDefault="00F11930" w:rsidP="00F11930">
      <w:pPr>
        <w:pStyle w:val="Heading4"/>
        <w:rPr>
          <w:rFonts w:asciiTheme="minorHAnsi" w:hAnsiTheme="minorHAnsi"/>
        </w:rPr>
      </w:pPr>
    </w:p>
    <w:p w:rsidR="00F11930" w:rsidRPr="00AF5519" w:rsidRDefault="00F11930" w:rsidP="00F11930">
      <w:pPr>
        <w:pStyle w:val="Heading4"/>
        <w:rPr>
          <w:rFonts w:asciiTheme="minorHAnsi" w:hAnsiTheme="minorHAnsi"/>
        </w:rPr>
      </w:pPr>
    </w:p>
    <w:p w:rsidR="00F11930" w:rsidRPr="00AF5519" w:rsidRDefault="00F11930" w:rsidP="00F11930">
      <w:pPr>
        <w:pStyle w:val="Heading4"/>
        <w:rPr>
          <w:rFonts w:asciiTheme="minorHAnsi" w:hAnsiTheme="minorHAnsi"/>
        </w:rPr>
      </w:pPr>
    </w:p>
    <w:p w:rsidR="00F11930" w:rsidRPr="00AF5519" w:rsidRDefault="00F11930" w:rsidP="00F11930">
      <w:pPr>
        <w:pStyle w:val="Heading4"/>
        <w:rPr>
          <w:rFonts w:asciiTheme="minorHAnsi" w:hAnsiTheme="minorHAnsi"/>
        </w:rPr>
      </w:pPr>
    </w:p>
    <w:p w:rsidR="00F11930" w:rsidRPr="00AF5519" w:rsidRDefault="00F11930" w:rsidP="00F11930">
      <w:pPr>
        <w:pStyle w:val="Heading4"/>
        <w:rPr>
          <w:rFonts w:asciiTheme="minorHAnsi" w:hAnsiTheme="minorHAnsi"/>
        </w:rPr>
      </w:pPr>
    </w:p>
    <w:p w:rsidR="00F11930" w:rsidRPr="00AF5519" w:rsidRDefault="00F11930" w:rsidP="00F11930">
      <w:pPr>
        <w:pStyle w:val="Heading4"/>
        <w:rPr>
          <w:rFonts w:asciiTheme="minorHAnsi" w:hAnsiTheme="minorHAnsi"/>
        </w:rPr>
      </w:pPr>
    </w:p>
    <w:p w:rsidR="00F11930" w:rsidRPr="00AF5519" w:rsidRDefault="00F11930" w:rsidP="00F11930">
      <w:pPr>
        <w:pStyle w:val="Heading4"/>
        <w:rPr>
          <w:rFonts w:asciiTheme="minorHAnsi" w:hAnsiTheme="minorHAnsi"/>
        </w:rPr>
      </w:pPr>
    </w:p>
    <w:p w:rsidR="00F11930" w:rsidRPr="00AF5519" w:rsidRDefault="00F11930" w:rsidP="00F11930">
      <w:pPr>
        <w:pStyle w:val="Heading4"/>
        <w:rPr>
          <w:rFonts w:asciiTheme="minorHAnsi" w:hAnsiTheme="minorHAnsi"/>
        </w:rPr>
      </w:pPr>
    </w:p>
    <w:p w:rsidR="00F11930" w:rsidRPr="00AF5519" w:rsidRDefault="00F11930" w:rsidP="00F11930">
      <w:pPr>
        <w:pStyle w:val="Heading4"/>
        <w:rPr>
          <w:rFonts w:asciiTheme="minorHAnsi" w:hAnsiTheme="minorHAnsi"/>
        </w:rPr>
      </w:pPr>
    </w:p>
    <w:p w:rsidR="00F11930" w:rsidRPr="00AF5519" w:rsidRDefault="00F11930" w:rsidP="00F11930">
      <w:pPr>
        <w:pStyle w:val="Heading4"/>
        <w:spacing w:line="360" w:lineRule="auto"/>
        <w:jc w:val="both"/>
        <w:rPr>
          <w:rFonts w:asciiTheme="minorHAnsi" w:hAnsiTheme="minorHAnsi"/>
          <w:sz w:val="24"/>
        </w:rPr>
      </w:pPr>
      <w:bookmarkStart w:id="93" w:name="_Toc41648291"/>
      <w:r w:rsidRPr="00AF5519">
        <w:rPr>
          <w:rFonts w:asciiTheme="minorHAnsi" w:hAnsiTheme="minorHAnsi"/>
          <w:sz w:val="24"/>
        </w:rPr>
        <w:t>Figure 4.6. High level word cloud of social media motivations (Online survey data 2020).</w:t>
      </w:r>
      <w:bookmarkEnd w:id="93"/>
    </w:p>
    <w:p w:rsidR="00F11930" w:rsidRPr="00AF5519" w:rsidRDefault="00F11930" w:rsidP="00F11930">
      <w:pPr>
        <w:spacing w:line="360" w:lineRule="auto"/>
        <w:jc w:val="both"/>
        <w:rPr>
          <w:sz w:val="24"/>
        </w:rPr>
      </w:pPr>
    </w:p>
    <w:p w:rsidR="00F11930" w:rsidRPr="00AF5519" w:rsidRDefault="00F11930" w:rsidP="00F11930">
      <w:pPr>
        <w:spacing w:line="360" w:lineRule="auto"/>
        <w:jc w:val="both"/>
        <w:rPr>
          <w:sz w:val="24"/>
        </w:rPr>
      </w:pPr>
      <w:r w:rsidRPr="00AF5519">
        <w:rPr>
          <w:sz w:val="24"/>
        </w:rPr>
        <w:t xml:space="preserve">In order to elaborate upon these findings, further qualitative research was carried out. Nvivo was utilised in running a high level word cloud to explore the words most frequently used by respondents in relation to the motivations and benefits of sharing content on social media. Both the interview’s and the open-ended question within the questionnaire were utilised for this analysis. As depicted above in Figure 4.6., the words most heavily weighted in the frequency count were “memories” and “remember”.  This could be seen as significant as respondents appear to link the use of social media to preserving the memories of past events. This finding is also consistent with the research of Lashbrook (2020) who discusses how well-chosen photos can increase the chances of individuals engaging with the photos on a meaningful basis after the event and therefore spark further memories of the event itself. </w:t>
      </w:r>
    </w:p>
    <w:p w:rsidR="00F11930" w:rsidRPr="00AF5519" w:rsidRDefault="00F11930" w:rsidP="00F11930">
      <w:pPr>
        <w:spacing w:line="360" w:lineRule="auto"/>
        <w:jc w:val="both"/>
        <w:rPr>
          <w:sz w:val="24"/>
        </w:rPr>
      </w:pPr>
      <w:r w:rsidRPr="00AF5519">
        <w:rPr>
          <w:sz w:val="24"/>
        </w:rPr>
        <w:t>Further findings in correlation with this theme were observed within the qualitative data collected from the questionnaire and are depicted in Appendix 8. The data unveiled that the</w:t>
      </w:r>
      <w:r w:rsidRPr="00AF5519">
        <w:rPr>
          <w:rFonts w:cstheme="majorHAnsi"/>
          <w:sz w:val="24"/>
          <w:szCs w:val="24"/>
        </w:rPr>
        <w:t xml:space="preserve"> pressure to portray a positively biased appearance on social media can significantly improve the fondness of the memory after it has happened. This largely correlates with the theory of </w:t>
      </w:r>
      <w:r w:rsidRPr="00AF5519">
        <w:rPr>
          <w:rFonts w:cstheme="majorHAnsi"/>
          <w:color w:val="222222"/>
          <w:sz w:val="24"/>
          <w:szCs w:val="24"/>
          <w:shd w:val="clear" w:color="auto" w:fill="FFFFFF"/>
        </w:rPr>
        <w:t xml:space="preserve">Gonzales and Hancock (2011) who discuss how individuals often create a heavily skewed version of their lives on social media – which in an events sense is now leading consumers to reflect or look back on positively biased information from the experience. </w:t>
      </w:r>
    </w:p>
    <w:p w:rsidR="00F11930" w:rsidRPr="00AF5519" w:rsidRDefault="00F11930" w:rsidP="00F11930">
      <w:pPr>
        <w:spacing w:line="360" w:lineRule="auto"/>
        <w:jc w:val="both"/>
      </w:pPr>
    </w:p>
    <w:p w:rsidR="00F11930" w:rsidRPr="00AF5519" w:rsidRDefault="00F11930" w:rsidP="00F11930">
      <w:pPr>
        <w:pStyle w:val="Heading3"/>
        <w:rPr>
          <w:rFonts w:asciiTheme="minorHAnsi" w:hAnsiTheme="minorHAnsi"/>
        </w:rPr>
      </w:pPr>
      <w:bookmarkStart w:id="94" w:name="_Toc41557660"/>
      <w:bookmarkStart w:id="95" w:name="_Toc41648214"/>
      <w:r w:rsidRPr="00AF5519">
        <w:rPr>
          <w:rFonts w:asciiTheme="minorHAnsi" w:hAnsiTheme="minorHAnsi"/>
        </w:rPr>
        <w:lastRenderedPageBreak/>
        <w:t>4.2.3. Improving social relationships</w:t>
      </w:r>
      <w:bookmarkEnd w:id="94"/>
      <w:bookmarkEnd w:id="95"/>
      <w:r w:rsidRPr="00AF5519">
        <w:rPr>
          <w:rFonts w:asciiTheme="minorHAnsi" w:hAnsiTheme="minorHAnsi"/>
        </w:rPr>
        <w:t xml:space="preserve"> </w:t>
      </w:r>
    </w:p>
    <w:p w:rsidR="00F11930" w:rsidRPr="00AF5519" w:rsidRDefault="00F11930" w:rsidP="00F11930"/>
    <w:p w:rsidR="00F11930" w:rsidRPr="00AF5519" w:rsidRDefault="00F11930" w:rsidP="00F11930"/>
    <w:p w:rsidR="00F11930" w:rsidRPr="00AF5519" w:rsidRDefault="00F11930" w:rsidP="00F11930">
      <w:pPr>
        <w:jc w:val="center"/>
      </w:pPr>
      <w:r w:rsidRPr="00AF5519">
        <w:rPr>
          <w:noProof/>
          <w:lang w:eastAsia="en-GB"/>
        </w:rPr>
        <w:drawing>
          <wp:inline distT="0" distB="0" distL="0" distR="0" wp14:anchorId="54A988B1" wp14:editId="06EDC525">
            <wp:extent cx="4410075" cy="2505075"/>
            <wp:effectExtent l="0" t="0" r="9525" b="952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F11930" w:rsidRPr="00AF5519" w:rsidRDefault="00F11930" w:rsidP="00F11930">
      <w:pPr>
        <w:jc w:val="center"/>
      </w:pPr>
    </w:p>
    <w:p w:rsidR="00F11930" w:rsidRPr="00AF5519" w:rsidRDefault="00F11930" w:rsidP="00F11930">
      <w:pPr>
        <w:pStyle w:val="Heading4"/>
        <w:tabs>
          <w:tab w:val="left" w:pos="7935"/>
        </w:tabs>
        <w:rPr>
          <w:rFonts w:asciiTheme="minorHAnsi" w:hAnsiTheme="minorHAnsi"/>
        </w:rPr>
      </w:pPr>
      <w:bookmarkStart w:id="96" w:name="_Toc41648292"/>
      <w:r w:rsidRPr="00AF5519">
        <w:rPr>
          <w:rFonts w:asciiTheme="minorHAnsi" w:hAnsiTheme="minorHAnsi"/>
        </w:rPr>
        <w:t>Figure 4.7.: Social media’s influence on social relationships.</w:t>
      </w:r>
      <w:bookmarkEnd w:id="96"/>
      <w:r w:rsidRPr="00AF5519">
        <w:rPr>
          <w:rFonts w:asciiTheme="minorHAnsi" w:hAnsiTheme="minorHAnsi"/>
        </w:rPr>
        <w:t xml:space="preserve"> </w:t>
      </w:r>
    </w:p>
    <w:p w:rsidR="00F11930" w:rsidRPr="00AF5519" w:rsidRDefault="00F11930" w:rsidP="00F11930"/>
    <w:p w:rsidR="00F11930" w:rsidRPr="00AF5519" w:rsidRDefault="00F11930" w:rsidP="00F11930">
      <w:pPr>
        <w:autoSpaceDE w:val="0"/>
        <w:autoSpaceDN w:val="0"/>
        <w:adjustRightInd w:val="0"/>
        <w:spacing w:after="0" w:line="240" w:lineRule="auto"/>
        <w:rPr>
          <w:rFonts w:cs="Times New Roman"/>
          <w:sz w:val="24"/>
          <w:szCs w:val="24"/>
        </w:rPr>
      </w:pPr>
    </w:p>
    <w:tbl>
      <w:tblPr>
        <w:tblW w:w="89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029"/>
        <w:gridCol w:w="1029"/>
        <w:gridCol w:w="1476"/>
        <w:gridCol w:w="1476"/>
        <w:gridCol w:w="1476"/>
      </w:tblGrid>
      <w:tr w:rsidR="00F11930" w:rsidRPr="00AF5519" w:rsidTr="00BC36A8">
        <w:trPr>
          <w:cantSplit/>
        </w:trPr>
        <w:tc>
          <w:tcPr>
            <w:tcW w:w="8946" w:type="dxa"/>
            <w:gridSpan w:val="6"/>
            <w:tcBorders>
              <w:top w:val="nil"/>
              <w:left w:val="nil"/>
              <w:bottom w:val="nil"/>
              <w:right w:val="nil"/>
            </w:tcBorders>
            <w:shd w:val="clear" w:color="auto" w:fill="FFFFFF"/>
            <w:vAlign w:val="center"/>
          </w:tcPr>
          <w:p w:rsidR="00F11930" w:rsidRPr="00AF5519" w:rsidRDefault="00F11930" w:rsidP="00BC36A8">
            <w:pPr>
              <w:autoSpaceDE w:val="0"/>
              <w:autoSpaceDN w:val="0"/>
              <w:adjustRightInd w:val="0"/>
              <w:spacing w:after="0" w:line="320" w:lineRule="atLeast"/>
              <w:ind w:left="60" w:right="60"/>
              <w:jc w:val="center"/>
              <w:rPr>
                <w:rFonts w:cs="Arial"/>
                <w:color w:val="010205"/>
              </w:rPr>
            </w:pPr>
            <w:r w:rsidRPr="00AF5519">
              <w:rPr>
                <w:rFonts w:cs="Arial"/>
                <w:b/>
                <w:bCs/>
                <w:color w:val="010205"/>
              </w:rPr>
              <w:t>Chi-Square Tests</w:t>
            </w:r>
          </w:p>
        </w:tc>
      </w:tr>
      <w:tr w:rsidR="00F11930" w:rsidRPr="00AF5519" w:rsidTr="00BC36A8">
        <w:trPr>
          <w:cantSplit/>
        </w:trPr>
        <w:tc>
          <w:tcPr>
            <w:tcW w:w="2460" w:type="dxa"/>
            <w:tcBorders>
              <w:top w:val="nil"/>
              <w:left w:val="nil"/>
              <w:bottom w:val="single" w:sz="8" w:space="0" w:color="152935"/>
              <w:right w:val="nil"/>
            </w:tcBorders>
            <w:shd w:val="clear" w:color="auto" w:fill="FFFFFF"/>
            <w:vAlign w:val="bottom"/>
          </w:tcPr>
          <w:p w:rsidR="00F11930" w:rsidRPr="00AF5519" w:rsidRDefault="00F11930" w:rsidP="00BC36A8">
            <w:pPr>
              <w:autoSpaceDE w:val="0"/>
              <w:autoSpaceDN w:val="0"/>
              <w:adjustRightInd w:val="0"/>
              <w:spacing w:after="0" w:line="240" w:lineRule="auto"/>
              <w:rPr>
                <w:rFonts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rsidR="00F11930" w:rsidRPr="00AF5519" w:rsidRDefault="00F11930" w:rsidP="00BC36A8">
            <w:pPr>
              <w:autoSpaceDE w:val="0"/>
              <w:autoSpaceDN w:val="0"/>
              <w:adjustRightInd w:val="0"/>
              <w:spacing w:after="0" w:line="320" w:lineRule="atLeast"/>
              <w:ind w:left="60" w:right="60"/>
              <w:jc w:val="center"/>
              <w:rPr>
                <w:rFonts w:cs="Arial"/>
                <w:color w:val="264A60"/>
                <w:sz w:val="18"/>
                <w:szCs w:val="18"/>
              </w:rPr>
            </w:pPr>
            <w:r w:rsidRPr="00AF5519">
              <w:rPr>
                <w:rFonts w:cs="Arial"/>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F11930" w:rsidRPr="00AF5519" w:rsidRDefault="00F11930" w:rsidP="00BC36A8">
            <w:pPr>
              <w:autoSpaceDE w:val="0"/>
              <w:autoSpaceDN w:val="0"/>
              <w:adjustRightInd w:val="0"/>
              <w:spacing w:after="0" w:line="320" w:lineRule="atLeast"/>
              <w:ind w:left="60" w:right="60"/>
              <w:jc w:val="center"/>
              <w:rPr>
                <w:rFonts w:cs="Arial"/>
                <w:color w:val="264A60"/>
                <w:sz w:val="18"/>
                <w:szCs w:val="18"/>
              </w:rPr>
            </w:pPr>
            <w:r w:rsidRPr="00AF5519">
              <w:rPr>
                <w:rFonts w:cs="Arial"/>
                <w:color w:val="264A60"/>
                <w:sz w:val="18"/>
                <w:szCs w:val="18"/>
              </w:rPr>
              <w:t>df</w:t>
            </w:r>
          </w:p>
        </w:tc>
        <w:tc>
          <w:tcPr>
            <w:tcW w:w="1476" w:type="dxa"/>
            <w:tcBorders>
              <w:top w:val="nil"/>
              <w:left w:val="single" w:sz="8" w:space="0" w:color="E0E0E0"/>
              <w:bottom w:val="single" w:sz="8" w:space="0" w:color="152935"/>
              <w:right w:val="single" w:sz="8" w:space="0" w:color="E0E0E0"/>
            </w:tcBorders>
            <w:shd w:val="clear" w:color="auto" w:fill="FFFFFF"/>
            <w:vAlign w:val="bottom"/>
          </w:tcPr>
          <w:p w:rsidR="00F11930" w:rsidRPr="00AF5519" w:rsidRDefault="00F11930" w:rsidP="00BC36A8">
            <w:pPr>
              <w:autoSpaceDE w:val="0"/>
              <w:autoSpaceDN w:val="0"/>
              <w:adjustRightInd w:val="0"/>
              <w:spacing w:after="0" w:line="320" w:lineRule="atLeast"/>
              <w:ind w:left="60" w:right="60"/>
              <w:jc w:val="center"/>
              <w:rPr>
                <w:rFonts w:cs="Arial"/>
                <w:color w:val="264A60"/>
                <w:sz w:val="18"/>
                <w:szCs w:val="18"/>
              </w:rPr>
            </w:pPr>
            <w:r w:rsidRPr="00AF5519">
              <w:rPr>
                <w:rFonts w:cs="Arial"/>
                <w:color w:val="264A60"/>
                <w:sz w:val="18"/>
                <w:szCs w:val="18"/>
              </w:rPr>
              <w:t>Asymptotic Significance (2-sided)</w:t>
            </w:r>
          </w:p>
        </w:tc>
        <w:tc>
          <w:tcPr>
            <w:tcW w:w="1476" w:type="dxa"/>
            <w:tcBorders>
              <w:top w:val="nil"/>
              <w:left w:val="single" w:sz="8" w:space="0" w:color="E0E0E0"/>
              <w:bottom w:val="single" w:sz="8" w:space="0" w:color="152935"/>
              <w:right w:val="single" w:sz="8" w:space="0" w:color="E0E0E0"/>
            </w:tcBorders>
            <w:shd w:val="clear" w:color="auto" w:fill="FFFFFF"/>
            <w:vAlign w:val="bottom"/>
          </w:tcPr>
          <w:p w:rsidR="00F11930" w:rsidRPr="00AF5519" w:rsidRDefault="00F11930" w:rsidP="00BC36A8">
            <w:pPr>
              <w:autoSpaceDE w:val="0"/>
              <w:autoSpaceDN w:val="0"/>
              <w:adjustRightInd w:val="0"/>
              <w:spacing w:after="0" w:line="320" w:lineRule="atLeast"/>
              <w:ind w:left="60" w:right="60"/>
              <w:jc w:val="center"/>
              <w:rPr>
                <w:rFonts w:cs="Arial"/>
                <w:color w:val="264A60"/>
                <w:sz w:val="18"/>
                <w:szCs w:val="18"/>
              </w:rPr>
            </w:pPr>
            <w:r w:rsidRPr="00AF5519">
              <w:rPr>
                <w:rFonts w:cs="Arial"/>
                <w:color w:val="264A60"/>
                <w:sz w:val="18"/>
                <w:szCs w:val="18"/>
              </w:rPr>
              <w:t>Exact Sig. (2-sided)</w:t>
            </w:r>
          </w:p>
        </w:tc>
        <w:tc>
          <w:tcPr>
            <w:tcW w:w="1476" w:type="dxa"/>
            <w:tcBorders>
              <w:top w:val="nil"/>
              <w:left w:val="single" w:sz="8" w:space="0" w:color="E0E0E0"/>
              <w:bottom w:val="single" w:sz="8" w:space="0" w:color="152935"/>
              <w:right w:val="nil"/>
            </w:tcBorders>
            <w:shd w:val="clear" w:color="auto" w:fill="FFFFFF"/>
            <w:vAlign w:val="bottom"/>
          </w:tcPr>
          <w:p w:rsidR="00F11930" w:rsidRPr="00AF5519" w:rsidRDefault="00F11930" w:rsidP="00BC36A8">
            <w:pPr>
              <w:autoSpaceDE w:val="0"/>
              <w:autoSpaceDN w:val="0"/>
              <w:adjustRightInd w:val="0"/>
              <w:spacing w:after="0" w:line="320" w:lineRule="atLeast"/>
              <w:ind w:left="60" w:right="60"/>
              <w:jc w:val="center"/>
              <w:rPr>
                <w:rFonts w:cs="Arial"/>
                <w:color w:val="264A60"/>
                <w:sz w:val="18"/>
                <w:szCs w:val="18"/>
              </w:rPr>
            </w:pPr>
            <w:r w:rsidRPr="00AF5519">
              <w:rPr>
                <w:rFonts w:cs="Arial"/>
                <w:color w:val="264A60"/>
                <w:sz w:val="18"/>
                <w:szCs w:val="18"/>
              </w:rPr>
              <w:t>Exact Sig. (1-sided)</w:t>
            </w:r>
          </w:p>
        </w:tc>
      </w:tr>
      <w:tr w:rsidR="00F11930" w:rsidRPr="00AF5519" w:rsidTr="00BC36A8">
        <w:trPr>
          <w:cantSplit/>
        </w:trPr>
        <w:tc>
          <w:tcPr>
            <w:tcW w:w="2460" w:type="dxa"/>
            <w:tcBorders>
              <w:top w:val="single" w:sz="8" w:space="0" w:color="152935"/>
              <w:left w:val="nil"/>
              <w:bottom w:val="single" w:sz="8" w:space="0" w:color="AEAEAE"/>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Pearson Chi-Square</w:t>
            </w:r>
          </w:p>
        </w:tc>
        <w:tc>
          <w:tcPr>
            <w:tcW w:w="1029" w:type="dxa"/>
            <w:tcBorders>
              <w:top w:val="single" w:sz="8" w:space="0" w:color="152935"/>
              <w:left w:val="nil"/>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.207</w:t>
            </w:r>
            <w:r w:rsidRPr="00AF5519">
              <w:rPr>
                <w:rFonts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w:t>
            </w:r>
          </w:p>
        </w:tc>
        <w:tc>
          <w:tcPr>
            <w:tcW w:w="1476" w:type="dxa"/>
            <w:tcBorders>
              <w:top w:val="single" w:sz="8" w:space="0" w:color="152935"/>
              <w:left w:val="single" w:sz="8" w:space="0" w:color="E0E0E0"/>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.649</w:t>
            </w:r>
          </w:p>
        </w:tc>
        <w:tc>
          <w:tcPr>
            <w:tcW w:w="1476"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F11930" w:rsidRPr="00AF5519" w:rsidRDefault="00F11930" w:rsidP="00BC36A8">
            <w:pPr>
              <w:autoSpaceDE w:val="0"/>
              <w:autoSpaceDN w:val="0"/>
              <w:adjustRightInd w:val="0"/>
              <w:spacing w:after="0" w:line="240" w:lineRule="auto"/>
              <w:rPr>
                <w:rFonts w:cs="Times New Roman"/>
                <w:sz w:val="24"/>
                <w:szCs w:val="24"/>
              </w:rPr>
            </w:pPr>
          </w:p>
        </w:tc>
        <w:tc>
          <w:tcPr>
            <w:tcW w:w="1476" w:type="dxa"/>
            <w:tcBorders>
              <w:top w:val="single" w:sz="8" w:space="0" w:color="152935"/>
              <w:left w:val="single" w:sz="8" w:space="0" w:color="E0E0E0"/>
              <w:bottom w:val="single" w:sz="8" w:space="0" w:color="AEAEAE"/>
              <w:right w:val="nil"/>
            </w:tcBorders>
            <w:shd w:val="clear" w:color="auto" w:fill="FFFFFF"/>
            <w:vAlign w:val="center"/>
          </w:tcPr>
          <w:p w:rsidR="00F11930" w:rsidRPr="00AF5519" w:rsidRDefault="00F11930" w:rsidP="00BC36A8">
            <w:pPr>
              <w:autoSpaceDE w:val="0"/>
              <w:autoSpaceDN w:val="0"/>
              <w:adjustRightInd w:val="0"/>
              <w:spacing w:after="0" w:line="240" w:lineRule="auto"/>
              <w:rPr>
                <w:rFonts w:cs="Times New Roman"/>
                <w:sz w:val="24"/>
                <w:szCs w:val="24"/>
              </w:rPr>
            </w:pPr>
          </w:p>
        </w:tc>
      </w:tr>
      <w:tr w:rsidR="00F11930" w:rsidRPr="00AF5519" w:rsidTr="00BC36A8">
        <w:trPr>
          <w:cantSplit/>
        </w:trPr>
        <w:tc>
          <w:tcPr>
            <w:tcW w:w="2460" w:type="dxa"/>
            <w:tcBorders>
              <w:top w:val="single" w:sz="8" w:space="0" w:color="AEAEAE"/>
              <w:left w:val="nil"/>
              <w:bottom w:val="single" w:sz="8" w:space="0" w:color="AEAEAE"/>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Continuity Correction</w:t>
            </w:r>
            <w:r w:rsidRPr="00AF5519">
              <w:rPr>
                <w:rFonts w:cs="Arial"/>
                <w:color w:val="264A60"/>
                <w:sz w:val="18"/>
                <w:szCs w:val="18"/>
                <w:vertAlign w:val="superscript"/>
              </w:rPr>
              <w:t>b</w:t>
            </w:r>
          </w:p>
        </w:tc>
        <w:tc>
          <w:tcPr>
            <w:tcW w:w="1029" w:type="dxa"/>
            <w:tcBorders>
              <w:top w:val="single" w:sz="8" w:space="0" w:color="AEAEAE"/>
              <w:left w:val="nil"/>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.070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.791</w:t>
            </w:r>
          </w:p>
        </w:tc>
        <w:tc>
          <w:tcPr>
            <w:tcW w:w="1476"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F11930" w:rsidRPr="00AF5519" w:rsidRDefault="00F11930" w:rsidP="00BC36A8">
            <w:pPr>
              <w:autoSpaceDE w:val="0"/>
              <w:autoSpaceDN w:val="0"/>
              <w:adjustRightInd w:val="0"/>
              <w:spacing w:after="0" w:line="240" w:lineRule="auto"/>
              <w:rPr>
                <w:rFonts w:cs="Times New Roman"/>
                <w:sz w:val="24"/>
                <w:szCs w:val="24"/>
              </w:rPr>
            </w:pPr>
          </w:p>
        </w:tc>
        <w:tc>
          <w:tcPr>
            <w:tcW w:w="1476" w:type="dxa"/>
            <w:tcBorders>
              <w:top w:val="single" w:sz="8" w:space="0" w:color="AEAEAE"/>
              <w:left w:val="single" w:sz="8" w:space="0" w:color="E0E0E0"/>
              <w:bottom w:val="single" w:sz="8" w:space="0" w:color="AEAEAE"/>
              <w:right w:val="nil"/>
            </w:tcBorders>
            <w:shd w:val="clear" w:color="auto" w:fill="FFFFFF"/>
            <w:vAlign w:val="center"/>
          </w:tcPr>
          <w:p w:rsidR="00F11930" w:rsidRPr="00AF5519" w:rsidRDefault="00F11930" w:rsidP="00BC36A8">
            <w:pPr>
              <w:autoSpaceDE w:val="0"/>
              <w:autoSpaceDN w:val="0"/>
              <w:adjustRightInd w:val="0"/>
              <w:spacing w:after="0" w:line="240" w:lineRule="auto"/>
              <w:rPr>
                <w:rFonts w:cs="Times New Roman"/>
                <w:sz w:val="24"/>
                <w:szCs w:val="24"/>
              </w:rPr>
            </w:pPr>
          </w:p>
        </w:tc>
      </w:tr>
      <w:tr w:rsidR="00F11930" w:rsidRPr="00AF5519" w:rsidTr="00BC36A8">
        <w:trPr>
          <w:cantSplit/>
        </w:trPr>
        <w:tc>
          <w:tcPr>
            <w:tcW w:w="2460" w:type="dxa"/>
            <w:tcBorders>
              <w:top w:val="single" w:sz="8" w:space="0" w:color="AEAEAE"/>
              <w:left w:val="nil"/>
              <w:bottom w:val="single" w:sz="8" w:space="0" w:color="AEAEAE"/>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.205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.651</w:t>
            </w:r>
          </w:p>
        </w:tc>
        <w:tc>
          <w:tcPr>
            <w:tcW w:w="1476"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F11930" w:rsidRPr="00AF5519" w:rsidRDefault="00F11930" w:rsidP="00BC36A8">
            <w:pPr>
              <w:autoSpaceDE w:val="0"/>
              <w:autoSpaceDN w:val="0"/>
              <w:adjustRightInd w:val="0"/>
              <w:spacing w:after="0" w:line="240" w:lineRule="auto"/>
              <w:rPr>
                <w:rFonts w:cs="Times New Roman"/>
                <w:sz w:val="24"/>
                <w:szCs w:val="24"/>
              </w:rPr>
            </w:pPr>
          </w:p>
        </w:tc>
        <w:tc>
          <w:tcPr>
            <w:tcW w:w="1476" w:type="dxa"/>
            <w:tcBorders>
              <w:top w:val="single" w:sz="8" w:space="0" w:color="AEAEAE"/>
              <w:left w:val="single" w:sz="8" w:space="0" w:color="E0E0E0"/>
              <w:bottom w:val="single" w:sz="8" w:space="0" w:color="AEAEAE"/>
              <w:right w:val="nil"/>
            </w:tcBorders>
            <w:shd w:val="clear" w:color="auto" w:fill="FFFFFF"/>
            <w:vAlign w:val="center"/>
          </w:tcPr>
          <w:p w:rsidR="00F11930" w:rsidRPr="00AF5519" w:rsidRDefault="00F11930" w:rsidP="00BC36A8">
            <w:pPr>
              <w:autoSpaceDE w:val="0"/>
              <w:autoSpaceDN w:val="0"/>
              <w:adjustRightInd w:val="0"/>
              <w:spacing w:after="0" w:line="240" w:lineRule="auto"/>
              <w:rPr>
                <w:rFonts w:cs="Times New Roman"/>
                <w:sz w:val="24"/>
                <w:szCs w:val="24"/>
              </w:rPr>
            </w:pPr>
          </w:p>
        </w:tc>
      </w:tr>
      <w:tr w:rsidR="00F11930" w:rsidRPr="00AF5519" w:rsidTr="00BC36A8">
        <w:trPr>
          <w:cantSplit/>
        </w:trPr>
        <w:tc>
          <w:tcPr>
            <w:tcW w:w="2460" w:type="dxa"/>
            <w:tcBorders>
              <w:top w:val="single" w:sz="8" w:space="0" w:color="AEAEAE"/>
              <w:left w:val="nil"/>
              <w:bottom w:val="single" w:sz="8" w:space="0" w:color="AEAEAE"/>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Fisher's Exact Test</w:t>
            </w:r>
          </w:p>
        </w:tc>
        <w:tc>
          <w:tcPr>
            <w:tcW w:w="1029" w:type="dxa"/>
            <w:tcBorders>
              <w:top w:val="single" w:sz="8" w:space="0" w:color="AEAEAE"/>
              <w:left w:val="nil"/>
              <w:bottom w:val="single" w:sz="8" w:space="0" w:color="AEAEAE"/>
              <w:right w:val="single" w:sz="8" w:space="0" w:color="E0E0E0"/>
            </w:tcBorders>
            <w:shd w:val="clear" w:color="auto" w:fill="FFFFFF"/>
            <w:vAlign w:val="center"/>
          </w:tcPr>
          <w:p w:rsidR="00F11930" w:rsidRPr="00AF5519" w:rsidRDefault="00F11930" w:rsidP="00BC36A8">
            <w:pPr>
              <w:autoSpaceDE w:val="0"/>
              <w:autoSpaceDN w:val="0"/>
              <w:adjustRightInd w:val="0"/>
              <w:spacing w:after="0" w:line="240" w:lineRule="auto"/>
              <w:rPr>
                <w:rFonts w:cs="Times New Roman"/>
                <w:sz w:val="24"/>
                <w:szCs w:val="24"/>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F11930" w:rsidRPr="00AF5519" w:rsidRDefault="00F11930" w:rsidP="00BC36A8">
            <w:pPr>
              <w:autoSpaceDE w:val="0"/>
              <w:autoSpaceDN w:val="0"/>
              <w:adjustRightInd w:val="0"/>
              <w:spacing w:after="0" w:line="240" w:lineRule="auto"/>
              <w:rPr>
                <w:rFonts w:cs="Times New Roman"/>
                <w:sz w:val="24"/>
                <w:szCs w:val="24"/>
              </w:rPr>
            </w:pPr>
          </w:p>
        </w:tc>
        <w:tc>
          <w:tcPr>
            <w:tcW w:w="1476"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F11930" w:rsidRPr="00AF5519" w:rsidRDefault="00F11930" w:rsidP="00BC36A8">
            <w:pPr>
              <w:autoSpaceDE w:val="0"/>
              <w:autoSpaceDN w:val="0"/>
              <w:adjustRightInd w:val="0"/>
              <w:spacing w:after="0" w:line="240" w:lineRule="auto"/>
              <w:rPr>
                <w:rFonts w:cs="Times New Roman"/>
                <w:sz w:val="24"/>
                <w:szCs w:val="24"/>
              </w:rPr>
            </w:pP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.704</w:t>
            </w:r>
          </w:p>
        </w:tc>
        <w:tc>
          <w:tcPr>
            <w:tcW w:w="1476" w:type="dxa"/>
            <w:tcBorders>
              <w:top w:val="single" w:sz="8" w:space="0" w:color="AEAEAE"/>
              <w:left w:val="single" w:sz="8" w:space="0" w:color="E0E0E0"/>
              <w:bottom w:val="single" w:sz="8" w:space="0" w:color="AEAEAE"/>
              <w:right w:val="nil"/>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.392</w:t>
            </w:r>
          </w:p>
        </w:tc>
      </w:tr>
      <w:tr w:rsidR="00F11930" w:rsidRPr="00AF5519" w:rsidTr="00BC36A8">
        <w:trPr>
          <w:cantSplit/>
        </w:trPr>
        <w:tc>
          <w:tcPr>
            <w:tcW w:w="2460" w:type="dxa"/>
            <w:tcBorders>
              <w:top w:val="single" w:sz="8" w:space="0" w:color="AEAEAE"/>
              <w:left w:val="nil"/>
              <w:bottom w:val="single" w:sz="8" w:space="0" w:color="AEAEAE"/>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Linear-by-Linear Association</w:t>
            </w:r>
          </w:p>
        </w:tc>
        <w:tc>
          <w:tcPr>
            <w:tcW w:w="1029" w:type="dxa"/>
            <w:tcBorders>
              <w:top w:val="single" w:sz="8" w:space="0" w:color="AEAEAE"/>
              <w:left w:val="nil"/>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.206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.650</w:t>
            </w:r>
          </w:p>
        </w:tc>
        <w:tc>
          <w:tcPr>
            <w:tcW w:w="1476"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F11930" w:rsidRPr="00AF5519" w:rsidRDefault="00F11930" w:rsidP="00BC36A8">
            <w:pPr>
              <w:autoSpaceDE w:val="0"/>
              <w:autoSpaceDN w:val="0"/>
              <w:adjustRightInd w:val="0"/>
              <w:spacing w:after="0" w:line="240" w:lineRule="auto"/>
              <w:rPr>
                <w:rFonts w:cs="Times New Roman"/>
                <w:sz w:val="24"/>
                <w:szCs w:val="24"/>
              </w:rPr>
            </w:pPr>
          </w:p>
        </w:tc>
        <w:tc>
          <w:tcPr>
            <w:tcW w:w="1476" w:type="dxa"/>
            <w:tcBorders>
              <w:top w:val="single" w:sz="8" w:space="0" w:color="AEAEAE"/>
              <w:left w:val="single" w:sz="8" w:space="0" w:color="E0E0E0"/>
              <w:bottom w:val="single" w:sz="8" w:space="0" w:color="AEAEAE"/>
              <w:right w:val="nil"/>
            </w:tcBorders>
            <w:shd w:val="clear" w:color="auto" w:fill="FFFFFF"/>
            <w:vAlign w:val="center"/>
          </w:tcPr>
          <w:p w:rsidR="00F11930" w:rsidRPr="00AF5519" w:rsidRDefault="00F11930" w:rsidP="00BC36A8">
            <w:pPr>
              <w:autoSpaceDE w:val="0"/>
              <w:autoSpaceDN w:val="0"/>
              <w:adjustRightInd w:val="0"/>
              <w:spacing w:after="0" w:line="240" w:lineRule="auto"/>
              <w:rPr>
                <w:rFonts w:cs="Times New Roman"/>
                <w:sz w:val="24"/>
                <w:szCs w:val="24"/>
              </w:rPr>
            </w:pPr>
          </w:p>
        </w:tc>
      </w:tr>
      <w:tr w:rsidR="00F11930" w:rsidRPr="00AF5519" w:rsidTr="00BC36A8">
        <w:trPr>
          <w:cantSplit/>
        </w:trPr>
        <w:tc>
          <w:tcPr>
            <w:tcW w:w="2460" w:type="dxa"/>
            <w:tcBorders>
              <w:top w:val="single" w:sz="8" w:space="0" w:color="AEAEAE"/>
              <w:left w:val="nil"/>
              <w:bottom w:val="single" w:sz="8" w:space="0" w:color="152935"/>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160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F11930" w:rsidRPr="00AF5519" w:rsidRDefault="00F11930" w:rsidP="00BC36A8">
            <w:pPr>
              <w:autoSpaceDE w:val="0"/>
              <w:autoSpaceDN w:val="0"/>
              <w:adjustRightInd w:val="0"/>
              <w:spacing w:after="0" w:line="240" w:lineRule="auto"/>
              <w:rPr>
                <w:rFonts w:cs="Times New Roman"/>
                <w:sz w:val="24"/>
                <w:szCs w:val="24"/>
              </w:rPr>
            </w:pPr>
          </w:p>
        </w:tc>
        <w:tc>
          <w:tcPr>
            <w:tcW w:w="1476"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F11930" w:rsidRPr="00AF5519" w:rsidRDefault="00F11930" w:rsidP="00BC36A8">
            <w:pPr>
              <w:autoSpaceDE w:val="0"/>
              <w:autoSpaceDN w:val="0"/>
              <w:adjustRightInd w:val="0"/>
              <w:spacing w:after="0" w:line="240" w:lineRule="auto"/>
              <w:rPr>
                <w:rFonts w:cs="Times New Roman"/>
                <w:sz w:val="24"/>
                <w:szCs w:val="24"/>
              </w:rPr>
            </w:pPr>
          </w:p>
        </w:tc>
        <w:tc>
          <w:tcPr>
            <w:tcW w:w="1476"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F11930" w:rsidRPr="00AF5519" w:rsidRDefault="00F11930" w:rsidP="00BC36A8">
            <w:pPr>
              <w:autoSpaceDE w:val="0"/>
              <w:autoSpaceDN w:val="0"/>
              <w:adjustRightInd w:val="0"/>
              <w:spacing w:after="0" w:line="240" w:lineRule="auto"/>
              <w:rPr>
                <w:rFonts w:cs="Times New Roman"/>
                <w:sz w:val="24"/>
                <w:szCs w:val="24"/>
              </w:rPr>
            </w:pPr>
          </w:p>
        </w:tc>
        <w:tc>
          <w:tcPr>
            <w:tcW w:w="1476" w:type="dxa"/>
            <w:tcBorders>
              <w:top w:val="single" w:sz="8" w:space="0" w:color="AEAEAE"/>
              <w:left w:val="single" w:sz="8" w:space="0" w:color="E0E0E0"/>
              <w:bottom w:val="single" w:sz="8" w:space="0" w:color="152935"/>
              <w:right w:val="nil"/>
            </w:tcBorders>
            <w:shd w:val="clear" w:color="auto" w:fill="FFFFFF"/>
            <w:vAlign w:val="center"/>
          </w:tcPr>
          <w:p w:rsidR="00F11930" w:rsidRPr="00AF5519" w:rsidRDefault="00F11930" w:rsidP="00BC36A8">
            <w:pPr>
              <w:autoSpaceDE w:val="0"/>
              <w:autoSpaceDN w:val="0"/>
              <w:adjustRightInd w:val="0"/>
              <w:spacing w:after="0" w:line="240" w:lineRule="auto"/>
              <w:rPr>
                <w:rFonts w:cs="Times New Roman"/>
                <w:sz w:val="24"/>
                <w:szCs w:val="24"/>
              </w:rPr>
            </w:pPr>
          </w:p>
        </w:tc>
      </w:tr>
      <w:tr w:rsidR="00F11930" w:rsidRPr="00AF5519" w:rsidTr="00BC36A8">
        <w:trPr>
          <w:cantSplit/>
        </w:trPr>
        <w:tc>
          <w:tcPr>
            <w:tcW w:w="8946" w:type="dxa"/>
            <w:gridSpan w:val="6"/>
            <w:tcBorders>
              <w:top w:val="nil"/>
              <w:left w:val="nil"/>
              <w:bottom w:val="nil"/>
              <w:right w:val="nil"/>
            </w:tcBorders>
            <w:shd w:val="clear" w:color="auto" w:fill="FFFFFF"/>
          </w:tcPr>
          <w:p w:rsidR="00F11930" w:rsidRPr="00AF5519" w:rsidRDefault="00F11930" w:rsidP="00BC36A8">
            <w:pPr>
              <w:autoSpaceDE w:val="0"/>
              <w:autoSpaceDN w:val="0"/>
              <w:adjustRightInd w:val="0"/>
              <w:spacing w:after="0" w:line="320" w:lineRule="atLeast"/>
              <w:ind w:left="60" w:right="60"/>
              <w:rPr>
                <w:rFonts w:cs="Arial"/>
                <w:color w:val="010205"/>
                <w:sz w:val="18"/>
                <w:szCs w:val="18"/>
              </w:rPr>
            </w:pPr>
            <w:r w:rsidRPr="00AF5519">
              <w:rPr>
                <w:rFonts w:cs="Arial"/>
                <w:color w:val="010205"/>
                <w:sz w:val="18"/>
                <w:szCs w:val="18"/>
              </w:rPr>
              <w:t>a. 0 cells (0.0%) have expected count less than 5. The minimum expected count is 13.81.</w:t>
            </w:r>
          </w:p>
        </w:tc>
      </w:tr>
    </w:tbl>
    <w:p w:rsidR="00F11930" w:rsidRPr="00AF5519" w:rsidRDefault="00F11930" w:rsidP="00F11930">
      <w:pPr>
        <w:autoSpaceDE w:val="0"/>
        <w:autoSpaceDN w:val="0"/>
        <w:adjustRightInd w:val="0"/>
        <w:spacing w:after="0" w:line="400" w:lineRule="atLeast"/>
        <w:rPr>
          <w:rFonts w:cs="Times New Roman"/>
          <w:sz w:val="24"/>
          <w:szCs w:val="24"/>
        </w:rPr>
      </w:pPr>
    </w:p>
    <w:p w:rsidR="00F11930" w:rsidRPr="00AF5519" w:rsidRDefault="00F11930" w:rsidP="00F11930">
      <w:pPr>
        <w:pStyle w:val="Heading4"/>
        <w:spacing w:line="360" w:lineRule="auto"/>
        <w:jc w:val="both"/>
        <w:rPr>
          <w:rFonts w:asciiTheme="minorHAnsi" w:hAnsiTheme="minorHAnsi"/>
          <w:sz w:val="24"/>
        </w:rPr>
      </w:pPr>
      <w:bookmarkStart w:id="97" w:name="_Toc41648293"/>
      <w:r w:rsidRPr="00AF5519">
        <w:rPr>
          <w:rFonts w:asciiTheme="minorHAnsi" w:hAnsiTheme="minorHAnsi"/>
          <w:sz w:val="24"/>
        </w:rPr>
        <w:t>Figure 4.8.: Chi-Square test for gender and using social media to improve social relationships.</w:t>
      </w:r>
      <w:bookmarkEnd w:id="97"/>
    </w:p>
    <w:p w:rsidR="00F11930" w:rsidRPr="00AF5519" w:rsidRDefault="00F11930" w:rsidP="00F11930">
      <w:pPr>
        <w:spacing w:line="360" w:lineRule="auto"/>
        <w:jc w:val="both"/>
        <w:rPr>
          <w:sz w:val="24"/>
        </w:rPr>
      </w:pPr>
    </w:p>
    <w:p w:rsidR="00F11930" w:rsidRPr="00AF5519" w:rsidRDefault="00F11930" w:rsidP="00F11930">
      <w:pPr>
        <w:spacing w:line="360" w:lineRule="auto"/>
        <w:jc w:val="both"/>
        <w:rPr>
          <w:sz w:val="24"/>
        </w:rPr>
      </w:pPr>
      <w:r w:rsidRPr="00AF5519">
        <w:rPr>
          <w:sz w:val="24"/>
        </w:rPr>
        <w:t xml:space="preserve">The results depicted in Figure 4.7. indicate that 60% of the questionnaire respondents stated that sharing content on social media improved their social relationships. A Chi Square test was then used to test the accuracy of these results and the relationship between the categorical variables (see Figure 4.8). The Chi-Square test is a non-parametric tool that </w:t>
      </w:r>
      <w:r w:rsidRPr="00AF5519">
        <w:rPr>
          <w:sz w:val="24"/>
        </w:rPr>
        <w:lastRenderedPageBreak/>
        <w:t xml:space="preserve">permits an </w:t>
      </w:r>
      <w:r w:rsidRPr="00AF5519">
        <w:rPr>
          <w:rFonts w:cstheme="minorHAnsi"/>
          <w:color w:val="272727"/>
          <w:sz w:val="24"/>
          <w:shd w:val="clear" w:color="auto" w:fill="FFFFFF"/>
        </w:rPr>
        <w:t>evaluation of both dichotomous independent variables to test whether the variables are independent of each other (</w:t>
      </w:r>
      <w:r w:rsidRPr="00AF5519">
        <w:rPr>
          <w:rFonts w:cstheme="minorHAnsi"/>
          <w:color w:val="222222"/>
          <w:sz w:val="24"/>
          <w:shd w:val="clear" w:color="auto" w:fill="FFFFFF"/>
        </w:rPr>
        <w:t>McHugh, 2013).</w:t>
      </w:r>
      <w:r w:rsidRPr="00AF5519">
        <w:rPr>
          <w:rFonts w:cs="Arial"/>
          <w:color w:val="222222"/>
          <w:szCs w:val="20"/>
          <w:shd w:val="clear" w:color="auto" w:fill="FFFFFF"/>
        </w:rPr>
        <w:t xml:space="preserve"> </w:t>
      </w:r>
      <w:r w:rsidRPr="00AF5519">
        <w:rPr>
          <w:sz w:val="24"/>
        </w:rPr>
        <w:t>This approach was appropriate for this data set as it has two categorical variables from a single population and because the expected frequency count was at least 5 in each cell of the contingency table. As the test results indicated that the p value was greater than 0.05, it suggests that the results were not statistically significant and therefore indicates that social media and improving social relationships are not dependant of one another. The lack of statistical significance within this set of results could however be a consequence of the variables in this study not being categorical (Sharpe, 2015).</w:t>
      </w:r>
    </w:p>
    <w:p w:rsidR="00F11930" w:rsidRPr="00AF5519" w:rsidRDefault="00F11930" w:rsidP="00F11930">
      <w:pPr>
        <w:spacing w:line="360" w:lineRule="auto"/>
        <w:jc w:val="both"/>
      </w:pPr>
    </w:p>
    <w:p w:rsidR="00F11930" w:rsidRPr="00AF5519" w:rsidRDefault="00F11930" w:rsidP="00F11930">
      <w:pPr>
        <w:pStyle w:val="Heading3"/>
        <w:rPr>
          <w:rFonts w:asciiTheme="minorHAnsi" w:hAnsiTheme="minorHAnsi"/>
        </w:rPr>
      </w:pPr>
      <w:bookmarkStart w:id="98" w:name="_Toc41557661"/>
      <w:bookmarkStart w:id="99" w:name="_Toc41648215"/>
      <w:r w:rsidRPr="00AF5519">
        <w:rPr>
          <w:rFonts w:asciiTheme="minorHAnsi" w:hAnsiTheme="minorHAnsi"/>
        </w:rPr>
        <w:t>4.2.4. Self-presentational concern</w:t>
      </w:r>
      <w:bookmarkEnd w:id="98"/>
      <w:bookmarkEnd w:id="99"/>
    </w:p>
    <w:p w:rsidR="00F11930" w:rsidRPr="00AF5519" w:rsidRDefault="00F11930" w:rsidP="00F11930">
      <w:pPr>
        <w:spacing w:line="360" w:lineRule="auto"/>
        <w:jc w:val="both"/>
      </w:pPr>
    </w:p>
    <w:p w:rsidR="00F11930" w:rsidRPr="00AF5519" w:rsidRDefault="00F11930" w:rsidP="00F11930">
      <w:pPr>
        <w:spacing w:line="360" w:lineRule="auto"/>
        <w:jc w:val="center"/>
      </w:pPr>
      <w:r w:rsidRPr="00AF5519">
        <w:rPr>
          <w:noProof/>
          <w:lang w:eastAsia="en-GB"/>
        </w:rPr>
        <w:drawing>
          <wp:inline distT="0" distB="0" distL="0" distR="0" wp14:anchorId="6AB0E3EC" wp14:editId="1F24B984">
            <wp:extent cx="4457700" cy="24765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F11930" w:rsidRPr="00AF5519" w:rsidRDefault="00F11930" w:rsidP="00F11930">
      <w:pPr>
        <w:pStyle w:val="Heading4"/>
        <w:spacing w:line="360" w:lineRule="auto"/>
        <w:jc w:val="both"/>
        <w:rPr>
          <w:rFonts w:asciiTheme="minorHAnsi" w:hAnsiTheme="minorHAnsi"/>
          <w:sz w:val="24"/>
        </w:rPr>
      </w:pPr>
      <w:bookmarkStart w:id="100" w:name="_Toc41648294"/>
      <w:r w:rsidRPr="00AF5519">
        <w:rPr>
          <w:rFonts w:asciiTheme="minorHAnsi" w:hAnsiTheme="minorHAnsi"/>
          <w:sz w:val="24"/>
        </w:rPr>
        <w:t>Figure 4.9.: Fear of judgement, selective social media posting and the enjoyment of social media ‘likes’ and comments.</w:t>
      </w:r>
      <w:bookmarkEnd w:id="100"/>
      <w:r w:rsidRPr="00AF5519">
        <w:rPr>
          <w:rFonts w:asciiTheme="minorHAnsi" w:hAnsiTheme="minorHAnsi"/>
          <w:sz w:val="24"/>
        </w:rPr>
        <w:t xml:space="preserve"> </w:t>
      </w:r>
    </w:p>
    <w:p w:rsidR="00F11930" w:rsidRPr="00AF5519" w:rsidRDefault="00F11930" w:rsidP="00F11930">
      <w:pPr>
        <w:spacing w:line="360" w:lineRule="auto"/>
        <w:jc w:val="both"/>
        <w:rPr>
          <w:sz w:val="24"/>
        </w:rPr>
      </w:pPr>
    </w:p>
    <w:p w:rsidR="00F11930" w:rsidRPr="00AF5519" w:rsidRDefault="00F11930" w:rsidP="00F11930">
      <w:pPr>
        <w:spacing w:line="360" w:lineRule="auto"/>
        <w:jc w:val="both"/>
        <w:rPr>
          <w:sz w:val="24"/>
        </w:rPr>
      </w:pPr>
      <w:r w:rsidRPr="00AF5519">
        <w:rPr>
          <w:sz w:val="24"/>
        </w:rPr>
        <w:t xml:space="preserve">As discussed in Chapter 2, social media sharing can often decrease the enjoyment of an experience as the desire to photo share often provokes a self-presentational concern (Barasch et al., 2018). Shown in Figure 4.9. are the results of a multiple correspondence analysis that aimed to investigate the link between social media and human emotions. The results highlight that 71% of respondents were fearful of being judged based on what they posted on social media, 96% were selective over what photos they posted and 92% enjoyed getting ‘likes’ and </w:t>
      </w:r>
      <w:r w:rsidRPr="00AF5519">
        <w:rPr>
          <w:sz w:val="24"/>
        </w:rPr>
        <w:lastRenderedPageBreak/>
        <w:t xml:space="preserve">comments on social media posts. </w:t>
      </w:r>
      <w:r w:rsidRPr="00AF5519">
        <w:rPr>
          <w:rFonts w:cstheme="majorHAnsi"/>
          <w:sz w:val="24"/>
          <w:szCs w:val="24"/>
        </w:rPr>
        <w:t xml:space="preserve">A positivistic approach was here beneficial in understanding how social norms have largely influenced people’s actions. </w:t>
      </w:r>
      <w:r w:rsidRPr="00AF5519">
        <w:rPr>
          <w:sz w:val="24"/>
        </w:rPr>
        <w:t xml:space="preserve">The continual theme throughout these results suggests that individuals are largely concerned with the version of themselves that is presented on social media and therefore social media posting can be linked to self-conscious emotions such as worry or fear. Additionally, the researcher used a data visualisation technique to help explore emotions expressed by respondents when discussing social media. </w:t>
      </w:r>
    </w:p>
    <w:p w:rsidR="00F11930" w:rsidRPr="00AF5519" w:rsidRDefault="00F11930" w:rsidP="00F11930">
      <w:pPr>
        <w:spacing w:line="360" w:lineRule="auto"/>
        <w:jc w:val="both"/>
        <w:rPr>
          <w:noProof/>
          <w:lang w:eastAsia="en-GB"/>
        </w:rPr>
      </w:pPr>
      <w:r w:rsidRPr="00AF5519">
        <w:rPr>
          <w:noProof/>
          <w:lang w:eastAsia="en-GB"/>
        </w:rPr>
        <w:drawing>
          <wp:anchor distT="0" distB="0" distL="114300" distR="114300" simplePos="0" relativeHeight="251662336" behindDoc="0" locked="0" layoutInCell="1" allowOverlap="1" wp14:anchorId="5EEDBC31" wp14:editId="61598954">
            <wp:simplePos x="0" y="0"/>
            <wp:positionH relativeFrom="column">
              <wp:posOffset>838200</wp:posOffset>
            </wp:positionH>
            <wp:positionV relativeFrom="paragraph">
              <wp:posOffset>6985</wp:posOffset>
            </wp:positionV>
            <wp:extent cx="4105275" cy="3052640"/>
            <wp:effectExtent l="0" t="0" r="0" b="0"/>
            <wp:wrapSquare wrapText="bothSides"/>
            <wp:docPr id="17" name="Picture 17" descr="C:\Users\Caitlin James-Dean\Documents\Useful info\spss\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aitlin James-Dean\Documents\Useful info\spss\5.png"/>
                    <pic:cNvPicPr>
                      <a:picLocks noChangeAspect="1" noChangeArrowheads="1"/>
                    </pic:cNvPicPr>
                  </pic:nvPicPr>
                  <pic:blipFill rotWithShape="1">
                    <a:blip r:embed="rId17">
                      <a:extLst>
                        <a:ext uri="{28A0092B-C50C-407E-A947-70E740481C1C}">
                          <a14:useLocalDpi xmlns:a14="http://schemas.microsoft.com/office/drawing/2010/main" val="0"/>
                        </a:ext>
                      </a:extLst>
                    </a:blip>
                    <a:srcRect l="29758" r="24859" b="-1908"/>
                    <a:stretch/>
                  </pic:blipFill>
                  <pic:spPr bwMode="auto">
                    <a:xfrm>
                      <a:off x="0" y="0"/>
                      <a:ext cx="4105275" cy="30526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11930" w:rsidRPr="00AF5519" w:rsidRDefault="00F11930" w:rsidP="00F11930">
      <w:pPr>
        <w:spacing w:line="360" w:lineRule="auto"/>
        <w:jc w:val="both"/>
      </w:pPr>
    </w:p>
    <w:p w:rsidR="00F11930" w:rsidRPr="00AF5519" w:rsidRDefault="00F11930" w:rsidP="00F11930">
      <w:pPr>
        <w:spacing w:line="360" w:lineRule="auto"/>
        <w:jc w:val="both"/>
      </w:pPr>
    </w:p>
    <w:p w:rsidR="00F11930" w:rsidRPr="00AF5519" w:rsidRDefault="00F11930" w:rsidP="00F11930">
      <w:pPr>
        <w:spacing w:line="360" w:lineRule="auto"/>
        <w:jc w:val="both"/>
      </w:pPr>
    </w:p>
    <w:p w:rsidR="00F11930" w:rsidRPr="00AF5519" w:rsidRDefault="00F11930" w:rsidP="00F11930">
      <w:pPr>
        <w:spacing w:line="360" w:lineRule="auto"/>
        <w:jc w:val="both"/>
      </w:pPr>
    </w:p>
    <w:p w:rsidR="00F11930" w:rsidRPr="00AF5519" w:rsidRDefault="00F11930" w:rsidP="00F11930">
      <w:pPr>
        <w:spacing w:line="360" w:lineRule="auto"/>
        <w:jc w:val="both"/>
      </w:pPr>
    </w:p>
    <w:p w:rsidR="00F11930" w:rsidRPr="00AF5519" w:rsidRDefault="00F11930" w:rsidP="00F11930">
      <w:pPr>
        <w:spacing w:line="360" w:lineRule="auto"/>
        <w:jc w:val="both"/>
      </w:pPr>
    </w:p>
    <w:p w:rsidR="00F11930" w:rsidRPr="00AF5519" w:rsidRDefault="00F11930" w:rsidP="00F11930">
      <w:pPr>
        <w:spacing w:line="360" w:lineRule="auto"/>
        <w:jc w:val="both"/>
      </w:pPr>
    </w:p>
    <w:p w:rsidR="00F11930" w:rsidRPr="00AF5519" w:rsidRDefault="00F11930" w:rsidP="00F11930">
      <w:pPr>
        <w:spacing w:line="360" w:lineRule="auto"/>
        <w:jc w:val="both"/>
      </w:pPr>
    </w:p>
    <w:p w:rsidR="00F11930" w:rsidRPr="00AF5519" w:rsidRDefault="00F11930" w:rsidP="00F11930">
      <w:pPr>
        <w:pStyle w:val="Heading4"/>
        <w:spacing w:line="360" w:lineRule="auto"/>
        <w:jc w:val="both"/>
        <w:rPr>
          <w:rFonts w:asciiTheme="minorHAnsi" w:hAnsiTheme="minorHAnsi"/>
          <w:sz w:val="24"/>
        </w:rPr>
      </w:pPr>
      <w:bookmarkStart w:id="101" w:name="_Toc41648295"/>
      <w:r w:rsidRPr="00AF5519">
        <w:rPr>
          <w:rFonts w:asciiTheme="minorHAnsi" w:hAnsiTheme="minorHAnsi"/>
          <w:sz w:val="24"/>
        </w:rPr>
        <w:t>Figure 4.10.: High level word cloud for emotions linked to social media (Online survey data, 2020).</w:t>
      </w:r>
      <w:bookmarkEnd w:id="101"/>
      <w:r w:rsidRPr="00AF5519">
        <w:rPr>
          <w:rFonts w:asciiTheme="minorHAnsi" w:hAnsiTheme="minorHAnsi"/>
          <w:sz w:val="24"/>
        </w:rPr>
        <w:t xml:space="preserve"> </w:t>
      </w:r>
    </w:p>
    <w:p w:rsidR="00F11930" w:rsidRPr="00AF5519" w:rsidRDefault="00F11930" w:rsidP="00F11930">
      <w:pPr>
        <w:spacing w:line="360" w:lineRule="auto"/>
        <w:jc w:val="both"/>
        <w:rPr>
          <w:sz w:val="24"/>
        </w:rPr>
      </w:pPr>
    </w:p>
    <w:p w:rsidR="00F11930" w:rsidRPr="00AF5519" w:rsidRDefault="00F11930" w:rsidP="00F11930">
      <w:pPr>
        <w:spacing w:line="360" w:lineRule="auto"/>
        <w:jc w:val="both"/>
        <w:rPr>
          <w:sz w:val="24"/>
        </w:rPr>
      </w:pPr>
      <w:r w:rsidRPr="00AF5519">
        <w:rPr>
          <w:sz w:val="24"/>
        </w:rPr>
        <w:t xml:space="preserve">As shown in Figure 4.10, an Nvivo word frequency count found that the words most heavily weighted in relation to social media use and emotions included: judged, anxiety and pressure. This suggests that social media is having a large psychological impact and that negative emotions are prevalent when using social media platforms. As discussed in Chapter 2, this could be a result of an over-optimistic perception towards others’ lives (Chou &amp; Edge, 2012) and provoked feelings of jealousy or depression as a result of social comparison with positively biased information (Reer et al., 2019). The theme that emerges here is that social media appearances are linked significantly to the events industry, and whilst previous results found that they can improve the memories of an event – here we find the positive </w:t>
      </w:r>
      <w:r w:rsidRPr="00AF5519">
        <w:rPr>
          <w:sz w:val="24"/>
        </w:rPr>
        <w:lastRenderedPageBreak/>
        <w:t>appearances of social media leading to social comparison and thus feeling chronically inferior. It is this connection to negative emotions that suggests that sharing content on social media at an event can reduce the enjoyment of the experience. This is consistent with the early academic research by Diener (1979) outlined in Chapter 2 regarding the reduction of hedonic enjoyment as a result of self-conscious emotions.</w:t>
      </w:r>
    </w:p>
    <w:p w:rsidR="00F11930" w:rsidRPr="00AF5519" w:rsidRDefault="00F11930" w:rsidP="00F11930"/>
    <w:p w:rsidR="00F11930" w:rsidRPr="00AF5519" w:rsidRDefault="00F11930" w:rsidP="00F11930"/>
    <w:p w:rsidR="00F11930" w:rsidRPr="00AF5519" w:rsidRDefault="00F11930" w:rsidP="00F11930">
      <w:pPr>
        <w:pStyle w:val="Heading3"/>
        <w:rPr>
          <w:rFonts w:asciiTheme="minorHAnsi" w:hAnsiTheme="minorHAnsi"/>
        </w:rPr>
      </w:pPr>
      <w:bookmarkStart w:id="102" w:name="_Toc41557662"/>
      <w:bookmarkStart w:id="103" w:name="_Toc41648216"/>
      <w:r w:rsidRPr="00AF5519">
        <w:rPr>
          <w:rFonts w:asciiTheme="minorHAnsi" w:hAnsiTheme="minorHAnsi"/>
        </w:rPr>
        <w:t>4.2.5. Social media and memory</w:t>
      </w:r>
      <w:bookmarkEnd w:id="102"/>
      <w:bookmarkEnd w:id="103"/>
    </w:p>
    <w:p w:rsidR="00F11930" w:rsidRPr="00AF5519" w:rsidRDefault="00F11930" w:rsidP="00F11930">
      <w:pPr>
        <w:spacing w:line="360" w:lineRule="auto"/>
        <w:jc w:val="both"/>
      </w:pPr>
    </w:p>
    <w:p w:rsidR="00F11930" w:rsidRPr="00AF5519" w:rsidRDefault="00F11930" w:rsidP="00F11930">
      <w:pPr>
        <w:spacing w:line="360" w:lineRule="auto"/>
        <w:jc w:val="center"/>
      </w:pPr>
      <w:r w:rsidRPr="00AF5519">
        <w:rPr>
          <w:noProof/>
          <w:lang w:eastAsia="en-GB"/>
        </w:rPr>
        <w:drawing>
          <wp:inline distT="0" distB="0" distL="0" distR="0" wp14:anchorId="42F63A13" wp14:editId="7B1ECD94">
            <wp:extent cx="4572000" cy="27432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F11930" w:rsidRPr="00AF5519" w:rsidRDefault="00F11930" w:rsidP="00F11930">
      <w:pPr>
        <w:spacing w:line="360" w:lineRule="auto"/>
        <w:jc w:val="center"/>
      </w:pPr>
    </w:p>
    <w:p w:rsidR="00F11930" w:rsidRPr="00AF5519" w:rsidRDefault="00F11930" w:rsidP="00F11930">
      <w:pPr>
        <w:pStyle w:val="Heading4"/>
        <w:spacing w:line="360" w:lineRule="auto"/>
        <w:jc w:val="both"/>
        <w:rPr>
          <w:rFonts w:asciiTheme="minorHAnsi" w:hAnsiTheme="minorHAnsi"/>
          <w:sz w:val="24"/>
          <w:szCs w:val="24"/>
        </w:rPr>
      </w:pPr>
      <w:bookmarkStart w:id="104" w:name="_Toc41648296"/>
      <w:r w:rsidRPr="00AF5519">
        <w:rPr>
          <w:rFonts w:asciiTheme="minorHAnsi" w:hAnsiTheme="minorHAnsi"/>
          <w:sz w:val="24"/>
          <w:szCs w:val="24"/>
        </w:rPr>
        <w:t>Figure 4.11.: Q12 Do you feel you remember the moment less as a result of taking a photo?</w:t>
      </w:r>
      <w:bookmarkEnd w:id="104"/>
    </w:p>
    <w:p w:rsidR="00F11930" w:rsidRPr="00AF5519" w:rsidRDefault="00F11930" w:rsidP="00F11930">
      <w:pPr>
        <w:spacing w:line="360" w:lineRule="auto"/>
        <w:jc w:val="both"/>
        <w:rPr>
          <w:sz w:val="24"/>
          <w:szCs w:val="24"/>
        </w:rPr>
      </w:pPr>
    </w:p>
    <w:p w:rsidR="00F11930" w:rsidRPr="00AF5519" w:rsidRDefault="00F11930" w:rsidP="00F11930">
      <w:pPr>
        <w:spacing w:line="360" w:lineRule="auto"/>
        <w:jc w:val="both"/>
        <w:rPr>
          <w:sz w:val="24"/>
          <w:szCs w:val="24"/>
        </w:rPr>
      </w:pPr>
      <w:r w:rsidRPr="00AF5519">
        <w:rPr>
          <w:sz w:val="24"/>
          <w:szCs w:val="24"/>
        </w:rPr>
        <w:t>The findings depicted in Figure 4.11. indicate that the majority of respondents did not feel taking a photo at an event effected their memory of the moment.</w:t>
      </w:r>
    </w:p>
    <w:p w:rsidR="00F11930" w:rsidRPr="00AF5519" w:rsidRDefault="00F11930" w:rsidP="00F11930">
      <w:pPr>
        <w:spacing w:line="360" w:lineRule="auto"/>
        <w:jc w:val="both"/>
        <w:rPr>
          <w:sz w:val="24"/>
          <w:szCs w:val="24"/>
        </w:rPr>
      </w:pPr>
      <w:r w:rsidRPr="00AF5519">
        <w:rPr>
          <w:sz w:val="24"/>
          <w:szCs w:val="24"/>
        </w:rPr>
        <w:t xml:space="preserve">The researcher also covered this topic during the face-to-face interviews to gauge a deeper understanding of the issue. During the interviews it was evident that both respondents felt that posting content on social media largely improved their ability to remember an event. As stated by participant A; </w:t>
      </w:r>
    </w:p>
    <w:p w:rsidR="00F11930" w:rsidRPr="00AF5519" w:rsidRDefault="00F11930" w:rsidP="00F11930">
      <w:pPr>
        <w:spacing w:line="360" w:lineRule="auto"/>
        <w:jc w:val="both"/>
        <w:rPr>
          <w:i/>
          <w:sz w:val="24"/>
          <w:szCs w:val="24"/>
        </w:rPr>
      </w:pPr>
      <w:r w:rsidRPr="00AF5519">
        <w:rPr>
          <w:i/>
          <w:sz w:val="24"/>
          <w:szCs w:val="24"/>
        </w:rPr>
        <w:lastRenderedPageBreak/>
        <w:t xml:space="preserve">“If you spend a lot of time looking at or thinking about the photo, you’re therefore thinking about the moment too”. </w:t>
      </w:r>
    </w:p>
    <w:p w:rsidR="00F11930" w:rsidRPr="00AF5519" w:rsidRDefault="00F11930" w:rsidP="00F11930">
      <w:pPr>
        <w:spacing w:line="360" w:lineRule="auto"/>
        <w:jc w:val="both"/>
        <w:rPr>
          <w:sz w:val="24"/>
          <w:szCs w:val="24"/>
        </w:rPr>
      </w:pPr>
      <w:r w:rsidRPr="00AF5519">
        <w:rPr>
          <w:sz w:val="24"/>
          <w:szCs w:val="24"/>
        </w:rPr>
        <w:t xml:space="preserve">This was further addressed by participant B who claimed that when you post photos of an event you have attended on social media; it brings the event itself to the forefront of your mind. The key theme that is highlighted in both the quantitative and qualitative findings is that the process of recollecting, expressing and sharing experiences of an event on social media increases the chances of remembering the event itself. This finding also underpins the theory by Soares et al., (2018) linking photo taking and increased memory retention that was outlined in Chapter 2. </w:t>
      </w:r>
    </w:p>
    <w:p w:rsidR="00F11930" w:rsidRPr="00AF5519" w:rsidRDefault="00F11930" w:rsidP="00F11930">
      <w:pPr>
        <w:spacing w:line="360" w:lineRule="auto"/>
        <w:jc w:val="both"/>
        <w:rPr>
          <w:sz w:val="24"/>
          <w:szCs w:val="24"/>
        </w:rPr>
      </w:pPr>
      <w:r w:rsidRPr="00AF5519">
        <w:rPr>
          <w:sz w:val="24"/>
          <w:szCs w:val="24"/>
        </w:rPr>
        <w:t>As a result of the researcher’s inductive approach and the large body of academic research linking social media and diminished memory outlined in Chapter 2, there was an axiological assumption by the researcher that respondents would agree that their memory was impaired or potentially diminished by social media use at the time of the event. The results however disprove this assumption and so are helping to increase our understanding of the lived experiences of different groups of people and capture the distinction between experience-near understandings of culture and experience-distant conceptualisations (Spencer et al., 2014). This finding is also relevant to the social constructionist approach of the researcher as it is helping to understand social phenomena based on lived experiences.</w:t>
      </w:r>
    </w:p>
    <w:p w:rsidR="00F11930" w:rsidRPr="00AF5519" w:rsidRDefault="00F11930" w:rsidP="00F11930">
      <w:pPr>
        <w:spacing w:line="360" w:lineRule="auto"/>
        <w:jc w:val="both"/>
      </w:pPr>
    </w:p>
    <w:p w:rsidR="00F11930" w:rsidRPr="00AF5519" w:rsidRDefault="00F11930" w:rsidP="00F11930">
      <w:pPr>
        <w:pStyle w:val="Heading3"/>
        <w:rPr>
          <w:rFonts w:asciiTheme="minorHAnsi" w:hAnsiTheme="minorHAnsi"/>
        </w:rPr>
      </w:pPr>
      <w:bookmarkStart w:id="105" w:name="_Toc41557663"/>
      <w:bookmarkStart w:id="106" w:name="_Toc41648217"/>
      <w:r w:rsidRPr="00AF5519">
        <w:rPr>
          <w:rFonts w:asciiTheme="minorHAnsi" w:hAnsiTheme="minorHAnsi"/>
        </w:rPr>
        <w:t>4.2.6. Social media as a distraction</w:t>
      </w:r>
      <w:bookmarkEnd w:id="105"/>
      <w:bookmarkEnd w:id="106"/>
      <w:r w:rsidRPr="00AF5519">
        <w:rPr>
          <w:rFonts w:asciiTheme="minorHAnsi" w:hAnsiTheme="minorHAnsi"/>
        </w:rPr>
        <w:t xml:space="preserve"> </w:t>
      </w:r>
    </w:p>
    <w:p w:rsidR="00F11930" w:rsidRPr="00AF5519" w:rsidRDefault="00F11930" w:rsidP="00F11930"/>
    <w:p w:rsidR="00F11930" w:rsidRPr="00AF5519" w:rsidRDefault="00F11930" w:rsidP="00F11930"/>
    <w:p w:rsidR="00F11930" w:rsidRPr="00AF5519" w:rsidRDefault="00F11930" w:rsidP="00F11930">
      <w:pPr>
        <w:spacing w:line="360" w:lineRule="auto"/>
        <w:jc w:val="center"/>
      </w:pPr>
      <w:r w:rsidRPr="00AF5519">
        <w:rPr>
          <w:noProof/>
          <w:lang w:eastAsia="en-GB"/>
        </w:rPr>
        <w:lastRenderedPageBreak/>
        <w:drawing>
          <wp:inline distT="0" distB="0" distL="0" distR="0" wp14:anchorId="67C1AF6F" wp14:editId="0C741B28">
            <wp:extent cx="4324350" cy="2505075"/>
            <wp:effectExtent l="0" t="0" r="0" b="952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F11930" w:rsidRPr="00AF5519" w:rsidRDefault="00F11930" w:rsidP="00F11930">
      <w:pPr>
        <w:pStyle w:val="Heading4"/>
        <w:spacing w:line="360" w:lineRule="auto"/>
        <w:jc w:val="both"/>
        <w:rPr>
          <w:rFonts w:asciiTheme="minorHAnsi" w:hAnsiTheme="minorHAnsi"/>
          <w:sz w:val="24"/>
        </w:rPr>
      </w:pPr>
      <w:bookmarkStart w:id="107" w:name="_Toc41648297"/>
      <w:r w:rsidRPr="00AF5519">
        <w:rPr>
          <w:rFonts w:asciiTheme="minorHAnsi" w:hAnsiTheme="minorHAnsi"/>
          <w:sz w:val="24"/>
        </w:rPr>
        <w:t>Figure 4.12.: How often respondents check their phone during events.</w:t>
      </w:r>
      <w:bookmarkEnd w:id="107"/>
    </w:p>
    <w:p w:rsidR="00F11930" w:rsidRPr="00AF5519" w:rsidRDefault="00F11930" w:rsidP="00F11930">
      <w:pPr>
        <w:spacing w:line="360" w:lineRule="auto"/>
        <w:jc w:val="both"/>
        <w:rPr>
          <w:sz w:val="24"/>
        </w:rPr>
      </w:pPr>
    </w:p>
    <w:p w:rsidR="00F11930" w:rsidRPr="00AF5519" w:rsidRDefault="00F11930" w:rsidP="00F11930">
      <w:pPr>
        <w:spacing w:line="360" w:lineRule="auto"/>
        <w:jc w:val="both"/>
        <w:rPr>
          <w:sz w:val="24"/>
        </w:rPr>
      </w:pPr>
      <w:r w:rsidRPr="00AF5519">
        <w:rPr>
          <w:sz w:val="24"/>
        </w:rPr>
        <w:t xml:space="preserve">The data depicted in Figure 4.12. illustrates how often respondents declared to check their smartphone during the last live event that they attended. The data shows that 22% stated ‘rarely’, 36% stated ‘once or twice’, and 42% stated that they checked their phone ‘frequently’. This alignment between the progressive growth in numbers being in unanimity with the increase in phone use transcends the trend that smartphones are becoming largely embedded within the event experience and so could be seen as a distraction from the event itself. </w:t>
      </w:r>
      <w:r w:rsidRPr="00AF5519">
        <w:rPr>
          <w:sz w:val="24"/>
        </w:rPr>
        <w:tab/>
      </w:r>
    </w:p>
    <w:p w:rsidR="00F11930" w:rsidRPr="00AF5519" w:rsidRDefault="00F11930" w:rsidP="00F11930">
      <w:pPr>
        <w:spacing w:line="360" w:lineRule="auto"/>
        <w:jc w:val="both"/>
      </w:pPr>
    </w:p>
    <w:p w:rsidR="00F11930" w:rsidRPr="00AF5519" w:rsidRDefault="00F11930" w:rsidP="00F11930">
      <w:pPr>
        <w:autoSpaceDE w:val="0"/>
        <w:autoSpaceDN w:val="0"/>
        <w:adjustRightInd w:val="0"/>
        <w:spacing w:after="0" w:line="240" w:lineRule="auto"/>
        <w:rPr>
          <w:rFonts w:cs="Times New Roman"/>
          <w:sz w:val="24"/>
          <w:szCs w:val="24"/>
        </w:rPr>
      </w:pPr>
    </w:p>
    <w:p w:rsidR="00F11930" w:rsidRPr="00AF5519" w:rsidRDefault="00F11930" w:rsidP="00F11930">
      <w:pPr>
        <w:autoSpaceDE w:val="0"/>
        <w:autoSpaceDN w:val="0"/>
        <w:adjustRightInd w:val="0"/>
        <w:spacing w:after="0" w:line="240" w:lineRule="auto"/>
        <w:rPr>
          <w:rFonts w:cs="Times New Roman"/>
          <w:sz w:val="24"/>
          <w:szCs w:val="24"/>
        </w:rPr>
      </w:pPr>
    </w:p>
    <w:tbl>
      <w:tblPr>
        <w:tblW w:w="332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32"/>
        <w:gridCol w:w="1133"/>
        <w:gridCol w:w="1055"/>
      </w:tblGrid>
      <w:tr w:rsidR="00F11930" w:rsidRPr="00AF5519" w:rsidTr="00BC36A8">
        <w:trPr>
          <w:cantSplit/>
          <w:jc w:val="center"/>
        </w:trPr>
        <w:tc>
          <w:tcPr>
            <w:tcW w:w="3318" w:type="dxa"/>
            <w:gridSpan w:val="3"/>
            <w:tcBorders>
              <w:top w:val="nil"/>
              <w:left w:val="nil"/>
              <w:bottom w:val="nil"/>
              <w:right w:val="nil"/>
            </w:tcBorders>
            <w:shd w:val="clear" w:color="auto" w:fill="FFFFFF"/>
            <w:vAlign w:val="center"/>
          </w:tcPr>
          <w:p w:rsidR="00F11930" w:rsidRPr="00AF5519" w:rsidRDefault="00F11930" w:rsidP="00BC36A8">
            <w:pPr>
              <w:autoSpaceDE w:val="0"/>
              <w:autoSpaceDN w:val="0"/>
              <w:adjustRightInd w:val="0"/>
              <w:spacing w:after="0" w:line="320" w:lineRule="atLeast"/>
              <w:ind w:left="60" w:right="60"/>
              <w:jc w:val="center"/>
              <w:rPr>
                <w:rFonts w:cs="Arial"/>
                <w:color w:val="010205"/>
              </w:rPr>
            </w:pPr>
            <w:r w:rsidRPr="00AF5519">
              <w:rPr>
                <w:rFonts w:cs="Arial"/>
                <w:b/>
                <w:bCs/>
                <w:color w:val="010205"/>
              </w:rPr>
              <w:t>Descriptive Statistics</w:t>
            </w:r>
          </w:p>
        </w:tc>
      </w:tr>
      <w:tr w:rsidR="00F11930" w:rsidRPr="00AF5519" w:rsidTr="00BC36A8">
        <w:trPr>
          <w:cantSplit/>
          <w:jc w:val="center"/>
        </w:trPr>
        <w:tc>
          <w:tcPr>
            <w:tcW w:w="3318" w:type="dxa"/>
            <w:gridSpan w:val="3"/>
            <w:tcBorders>
              <w:top w:val="nil"/>
              <w:left w:val="nil"/>
              <w:bottom w:val="nil"/>
              <w:right w:val="nil"/>
            </w:tcBorders>
            <w:shd w:val="clear" w:color="auto" w:fill="FFFFFF"/>
            <w:vAlign w:val="bottom"/>
          </w:tcPr>
          <w:p w:rsidR="00F11930" w:rsidRPr="00AF5519" w:rsidRDefault="00F11930" w:rsidP="00BC36A8">
            <w:pPr>
              <w:autoSpaceDE w:val="0"/>
              <w:autoSpaceDN w:val="0"/>
              <w:adjustRightInd w:val="0"/>
              <w:spacing w:after="0" w:line="320" w:lineRule="atLeast"/>
              <w:rPr>
                <w:rFonts w:cs="Times New Roman"/>
                <w:sz w:val="24"/>
                <w:szCs w:val="24"/>
              </w:rPr>
            </w:pPr>
            <w:r w:rsidRPr="00AF5519">
              <w:rPr>
                <w:rFonts w:cs="Arial"/>
                <w:color w:val="010205"/>
                <w:sz w:val="18"/>
                <w:szCs w:val="18"/>
                <w:shd w:val="clear" w:color="auto" w:fill="FFFFFF"/>
              </w:rPr>
              <w:t xml:space="preserve">  </w:t>
            </w:r>
          </w:p>
        </w:tc>
      </w:tr>
      <w:tr w:rsidR="00F11930" w:rsidRPr="00AF5519" w:rsidTr="00BC36A8">
        <w:trPr>
          <w:cantSplit/>
          <w:jc w:val="center"/>
        </w:trPr>
        <w:tc>
          <w:tcPr>
            <w:tcW w:w="1132" w:type="dxa"/>
            <w:vMerge w:val="restart"/>
            <w:tcBorders>
              <w:top w:val="nil"/>
              <w:left w:val="nil"/>
              <w:bottom w:val="single" w:sz="8" w:space="0" w:color="AEAEAE"/>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N</w:t>
            </w:r>
          </w:p>
        </w:tc>
        <w:tc>
          <w:tcPr>
            <w:tcW w:w="1132" w:type="dxa"/>
            <w:tcBorders>
              <w:top w:val="nil"/>
              <w:left w:val="nil"/>
              <w:bottom w:val="single" w:sz="8" w:space="0" w:color="AEAEAE"/>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Valid</w:t>
            </w:r>
          </w:p>
        </w:tc>
        <w:tc>
          <w:tcPr>
            <w:tcW w:w="1054" w:type="dxa"/>
            <w:tcBorders>
              <w:top w:val="nil"/>
              <w:left w:val="nil"/>
              <w:bottom w:val="single" w:sz="8" w:space="0" w:color="AEAEAE"/>
              <w:right w:val="nil"/>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160</w:t>
            </w:r>
          </w:p>
        </w:tc>
      </w:tr>
      <w:tr w:rsidR="00F11930" w:rsidRPr="00AF5519" w:rsidTr="00BC36A8">
        <w:trPr>
          <w:cantSplit/>
          <w:jc w:val="center"/>
        </w:trPr>
        <w:tc>
          <w:tcPr>
            <w:tcW w:w="1132" w:type="dxa"/>
            <w:vMerge/>
            <w:tcBorders>
              <w:top w:val="nil"/>
              <w:left w:val="nil"/>
              <w:bottom w:val="single" w:sz="8" w:space="0" w:color="AEAEAE"/>
              <w:right w:val="nil"/>
            </w:tcBorders>
            <w:shd w:val="clear" w:color="auto" w:fill="E0E0E0"/>
          </w:tcPr>
          <w:p w:rsidR="00F11930" w:rsidRPr="00AF5519" w:rsidRDefault="00F11930" w:rsidP="00BC36A8">
            <w:pPr>
              <w:autoSpaceDE w:val="0"/>
              <w:autoSpaceDN w:val="0"/>
              <w:adjustRightInd w:val="0"/>
              <w:spacing w:after="0" w:line="240" w:lineRule="auto"/>
              <w:rPr>
                <w:rFonts w:cs="Arial"/>
                <w:color w:val="010205"/>
                <w:sz w:val="18"/>
                <w:szCs w:val="18"/>
              </w:rPr>
            </w:pPr>
          </w:p>
        </w:tc>
        <w:tc>
          <w:tcPr>
            <w:tcW w:w="1132" w:type="dxa"/>
            <w:tcBorders>
              <w:top w:val="single" w:sz="8" w:space="0" w:color="AEAEAE"/>
              <w:left w:val="nil"/>
              <w:bottom w:val="single" w:sz="8" w:space="0" w:color="AEAEAE"/>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Missing</w:t>
            </w:r>
          </w:p>
        </w:tc>
        <w:tc>
          <w:tcPr>
            <w:tcW w:w="1054" w:type="dxa"/>
            <w:tcBorders>
              <w:top w:val="single" w:sz="8" w:space="0" w:color="AEAEAE"/>
              <w:left w:val="nil"/>
              <w:bottom w:val="single" w:sz="8" w:space="0" w:color="AEAEAE"/>
              <w:right w:val="nil"/>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0</w:t>
            </w:r>
          </w:p>
        </w:tc>
      </w:tr>
      <w:tr w:rsidR="00F11930" w:rsidRPr="00AF5519" w:rsidTr="00BC36A8">
        <w:trPr>
          <w:cantSplit/>
          <w:jc w:val="center"/>
        </w:trPr>
        <w:tc>
          <w:tcPr>
            <w:tcW w:w="2264" w:type="dxa"/>
            <w:gridSpan w:val="2"/>
            <w:tcBorders>
              <w:top w:val="single" w:sz="8" w:space="0" w:color="AEAEAE"/>
              <w:left w:val="nil"/>
              <w:bottom w:val="single" w:sz="8" w:space="0" w:color="AEAEAE"/>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Mean</w:t>
            </w:r>
          </w:p>
        </w:tc>
        <w:tc>
          <w:tcPr>
            <w:tcW w:w="1054" w:type="dxa"/>
            <w:tcBorders>
              <w:top w:val="single" w:sz="8" w:space="0" w:color="AEAEAE"/>
              <w:left w:val="nil"/>
              <w:bottom w:val="single" w:sz="8" w:space="0" w:color="AEAEAE"/>
              <w:right w:val="nil"/>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1.11</w:t>
            </w:r>
          </w:p>
        </w:tc>
      </w:tr>
      <w:tr w:rsidR="00F11930" w:rsidRPr="00AF5519" w:rsidTr="00BC36A8">
        <w:trPr>
          <w:cantSplit/>
          <w:jc w:val="center"/>
        </w:trPr>
        <w:tc>
          <w:tcPr>
            <w:tcW w:w="2264" w:type="dxa"/>
            <w:gridSpan w:val="2"/>
            <w:tcBorders>
              <w:top w:val="single" w:sz="8" w:space="0" w:color="AEAEAE"/>
              <w:left w:val="nil"/>
              <w:bottom w:val="single" w:sz="8" w:space="0" w:color="AEAEAE"/>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Median</w:t>
            </w:r>
          </w:p>
        </w:tc>
        <w:tc>
          <w:tcPr>
            <w:tcW w:w="1054" w:type="dxa"/>
            <w:tcBorders>
              <w:top w:val="single" w:sz="8" w:space="0" w:color="AEAEAE"/>
              <w:left w:val="nil"/>
              <w:bottom w:val="single" w:sz="8" w:space="0" w:color="AEAEAE"/>
              <w:right w:val="nil"/>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1.00</w:t>
            </w:r>
          </w:p>
        </w:tc>
      </w:tr>
      <w:tr w:rsidR="00F11930" w:rsidRPr="00AF5519" w:rsidTr="00BC36A8">
        <w:trPr>
          <w:cantSplit/>
          <w:jc w:val="center"/>
        </w:trPr>
        <w:tc>
          <w:tcPr>
            <w:tcW w:w="2264" w:type="dxa"/>
            <w:gridSpan w:val="2"/>
            <w:tcBorders>
              <w:top w:val="single" w:sz="8" w:space="0" w:color="AEAEAE"/>
              <w:left w:val="nil"/>
              <w:bottom w:val="single" w:sz="8" w:space="0" w:color="AEAEAE"/>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Mode</w:t>
            </w:r>
          </w:p>
        </w:tc>
        <w:tc>
          <w:tcPr>
            <w:tcW w:w="1054" w:type="dxa"/>
            <w:tcBorders>
              <w:top w:val="single" w:sz="8" w:space="0" w:color="AEAEAE"/>
              <w:left w:val="nil"/>
              <w:bottom w:val="single" w:sz="8" w:space="0" w:color="AEAEAE"/>
              <w:right w:val="nil"/>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w:t>
            </w:r>
          </w:p>
        </w:tc>
      </w:tr>
      <w:tr w:rsidR="00F11930" w:rsidRPr="00AF5519" w:rsidTr="00BC36A8">
        <w:trPr>
          <w:cantSplit/>
          <w:jc w:val="center"/>
        </w:trPr>
        <w:tc>
          <w:tcPr>
            <w:tcW w:w="2264" w:type="dxa"/>
            <w:gridSpan w:val="2"/>
            <w:tcBorders>
              <w:top w:val="single" w:sz="8" w:space="0" w:color="AEAEAE"/>
              <w:left w:val="nil"/>
              <w:bottom w:val="single" w:sz="8" w:space="0" w:color="AEAEAE"/>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Std. Deviation</w:t>
            </w:r>
          </w:p>
        </w:tc>
        <w:tc>
          <w:tcPr>
            <w:tcW w:w="1054" w:type="dxa"/>
            <w:tcBorders>
              <w:top w:val="single" w:sz="8" w:space="0" w:color="AEAEAE"/>
              <w:left w:val="nil"/>
              <w:bottom w:val="single" w:sz="8" w:space="0" w:color="AEAEAE"/>
              <w:right w:val="nil"/>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.317</w:t>
            </w:r>
          </w:p>
        </w:tc>
      </w:tr>
      <w:tr w:rsidR="00F11930" w:rsidRPr="00AF5519" w:rsidTr="00BC36A8">
        <w:trPr>
          <w:cantSplit/>
          <w:jc w:val="center"/>
        </w:trPr>
        <w:tc>
          <w:tcPr>
            <w:tcW w:w="2264" w:type="dxa"/>
            <w:gridSpan w:val="2"/>
            <w:tcBorders>
              <w:top w:val="single" w:sz="8" w:space="0" w:color="AEAEAE"/>
              <w:left w:val="nil"/>
              <w:bottom w:val="single" w:sz="8" w:space="0" w:color="AEAEAE"/>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Variance</w:t>
            </w:r>
          </w:p>
        </w:tc>
        <w:tc>
          <w:tcPr>
            <w:tcW w:w="1054" w:type="dxa"/>
            <w:tcBorders>
              <w:top w:val="single" w:sz="8" w:space="0" w:color="AEAEAE"/>
              <w:left w:val="nil"/>
              <w:bottom w:val="single" w:sz="8" w:space="0" w:color="AEAEAE"/>
              <w:right w:val="nil"/>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.100</w:t>
            </w:r>
          </w:p>
        </w:tc>
      </w:tr>
      <w:tr w:rsidR="00F11930" w:rsidRPr="00AF5519" w:rsidTr="00BC36A8">
        <w:trPr>
          <w:cantSplit/>
          <w:jc w:val="center"/>
        </w:trPr>
        <w:tc>
          <w:tcPr>
            <w:tcW w:w="2264" w:type="dxa"/>
            <w:gridSpan w:val="2"/>
            <w:tcBorders>
              <w:top w:val="single" w:sz="8" w:space="0" w:color="AEAEAE"/>
              <w:left w:val="nil"/>
              <w:bottom w:val="single" w:sz="8" w:space="0" w:color="AEAEAE"/>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Skewness</w:t>
            </w:r>
          </w:p>
        </w:tc>
        <w:tc>
          <w:tcPr>
            <w:tcW w:w="1054" w:type="dxa"/>
            <w:tcBorders>
              <w:top w:val="single" w:sz="8" w:space="0" w:color="AEAEAE"/>
              <w:left w:val="nil"/>
              <w:bottom w:val="single" w:sz="8" w:space="0" w:color="AEAEAE"/>
              <w:right w:val="nil"/>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2.476</w:t>
            </w:r>
          </w:p>
        </w:tc>
      </w:tr>
      <w:tr w:rsidR="00F11930" w:rsidRPr="00AF5519" w:rsidTr="00BC36A8">
        <w:trPr>
          <w:cantSplit/>
          <w:jc w:val="center"/>
        </w:trPr>
        <w:tc>
          <w:tcPr>
            <w:tcW w:w="2264" w:type="dxa"/>
            <w:gridSpan w:val="2"/>
            <w:tcBorders>
              <w:top w:val="single" w:sz="8" w:space="0" w:color="AEAEAE"/>
              <w:left w:val="nil"/>
              <w:bottom w:val="single" w:sz="8" w:space="0" w:color="AEAEAE"/>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Std. Error of Skewness</w:t>
            </w:r>
          </w:p>
        </w:tc>
        <w:tc>
          <w:tcPr>
            <w:tcW w:w="1054" w:type="dxa"/>
            <w:tcBorders>
              <w:top w:val="single" w:sz="8" w:space="0" w:color="AEAEAE"/>
              <w:left w:val="nil"/>
              <w:bottom w:val="single" w:sz="8" w:space="0" w:color="AEAEAE"/>
              <w:right w:val="nil"/>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.192</w:t>
            </w:r>
          </w:p>
        </w:tc>
      </w:tr>
      <w:tr w:rsidR="00F11930" w:rsidRPr="00AF5519" w:rsidTr="00BC36A8">
        <w:trPr>
          <w:cantSplit/>
          <w:jc w:val="center"/>
        </w:trPr>
        <w:tc>
          <w:tcPr>
            <w:tcW w:w="2264" w:type="dxa"/>
            <w:gridSpan w:val="2"/>
            <w:tcBorders>
              <w:top w:val="single" w:sz="8" w:space="0" w:color="AEAEAE"/>
              <w:left w:val="nil"/>
              <w:bottom w:val="single" w:sz="8" w:space="0" w:color="AEAEAE"/>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Range</w:t>
            </w:r>
          </w:p>
        </w:tc>
        <w:tc>
          <w:tcPr>
            <w:tcW w:w="1054" w:type="dxa"/>
            <w:tcBorders>
              <w:top w:val="single" w:sz="8" w:space="0" w:color="AEAEAE"/>
              <w:left w:val="nil"/>
              <w:bottom w:val="single" w:sz="8" w:space="0" w:color="AEAEAE"/>
              <w:right w:val="nil"/>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w:t>
            </w:r>
          </w:p>
        </w:tc>
      </w:tr>
      <w:tr w:rsidR="00F11930" w:rsidRPr="00AF5519" w:rsidTr="00BC36A8">
        <w:trPr>
          <w:cantSplit/>
          <w:jc w:val="center"/>
        </w:trPr>
        <w:tc>
          <w:tcPr>
            <w:tcW w:w="2264" w:type="dxa"/>
            <w:gridSpan w:val="2"/>
            <w:tcBorders>
              <w:top w:val="single" w:sz="8" w:space="0" w:color="AEAEAE"/>
              <w:left w:val="nil"/>
              <w:bottom w:val="single" w:sz="8" w:space="0" w:color="152935"/>
              <w:right w:val="nil"/>
            </w:tcBorders>
            <w:shd w:val="clear" w:color="auto" w:fill="E0E0E0"/>
          </w:tcPr>
          <w:p w:rsidR="00F11930" w:rsidRPr="00AF5519" w:rsidRDefault="00F11930" w:rsidP="00BC36A8">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lastRenderedPageBreak/>
              <w:t>Sum</w:t>
            </w:r>
          </w:p>
        </w:tc>
        <w:tc>
          <w:tcPr>
            <w:tcW w:w="1054" w:type="dxa"/>
            <w:tcBorders>
              <w:top w:val="single" w:sz="8" w:space="0" w:color="AEAEAE"/>
              <w:left w:val="nil"/>
              <w:bottom w:val="single" w:sz="8" w:space="0" w:color="152935"/>
              <w:right w:val="nil"/>
            </w:tcBorders>
            <w:shd w:val="clear" w:color="auto" w:fill="FFFFFF"/>
          </w:tcPr>
          <w:p w:rsidR="00F11930" w:rsidRPr="00AF5519" w:rsidRDefault="00F11930" w:rsidP="00BC36A8">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178</w:t>
            </w:r>
          </w:p>
        </w:tc>
      </w:tr>
    </w:tbl>
    <w:p w:rsidR="00F11930" w:rsidRPr="00AF5519" w:rsidRDefault="00F11930" w:rsidP="00F11930">
      <w:pPr>
        <w:autoSpaceDE w:val="0"/>
        <w:autoSpaceDN w:val="0"/>
        <w:adjustRightInd w:val="0"/>
        <w:spacing w:after="0" w:line="400" w:lineRule="atLeast"/>
        <w:rPr>
          <w:rFonts w:cs="Times New Roman"/>
          <w:sz w:val="24"/>
          <w:szCs w:val="24"/>
        </w:rPr>
      </w:pPr>
    </w:p>
    <w:p w:rsidR="00F11930" w:rsidRPr="00AF5519" w:rsidRDefault="00F11930" w:rsidP="00F11930">
      <w:pPr>
        <w:pStyle w:val="Heading4"/>
        <w:spacing w:line="360" w:lineRule="auto"/>
        <w:jc w:val="both"/>
        <w:rPr>
          <w:rFonts w:asciiTheme="minorHAnsi" w:hAnsiTheme="minorHAnsi"/>
          <w:sz w:val="24"/>
          <w:szCs w:val="24"/>
        </w:rPr>
      </w:pPr>
      <w:bookmarkStart w:id="108" w:name="_Toc41648298"/>
      <w:r w:rsidRPr="00AF5519">
        <w:rPr>
          <w:rFonts w:asciiTheme="minorHAnsi" w:hAnsiTheme="minorHAnsi"/>
          <w:sz w:val="24"/>
          <w:szCs w:val="24"/>
        </w:rPr>
        <w:t>Figure 4.13.: How many respondents used their phone to take photos or videos at the last event they attended.</w:t>
      </w:r>
      <w:bookmarkEnd w:id="108"/>
    </w:p>
    <w:p w:rsidR="00F11930" w:rsidRPr="00AF5519" w:rsidRDefault="00F11930" w:rsidP="00F11930">
      <w:pPr>
        <w:spacing w:line="360" w:lineRule="auto"/>
        <w:jc w:val="both"/>
        <w:rPr>
          <w:sz w:val="24"/>
          <w:szCs w:val="24"/>
        </w:rPr>
      </w:pPr>
    </w:p>
    <w:p w:rsidR="00F11930" w:rsidRPr="00AF5519" w:rsidRDefault="00F11930" w:rsidP="00F11930">
      <w:pPr>
        <w:spacing w:line="360" w:lineRule="auto"/>
        <w:jc w:val="both"/>
        <w:rPr>
          <w:rFonts w:cstheme="minorHAnsi"/>
          <w:color w:val="000000"/>
          <w:sz w:val="24"/>
          <w:szCs w:val="24"/>
          <w:shd w:val="clear" w:color="auto" w:fill="FFFFFF"/>
        </w:rPr>
      </w:pPr>
      <w:r w:rsidRPr="00AF5519">
        <w:rPr>
          <w:rFonts w:cstheme="minorHAnsi"/>
          <w:color w:val="222222"/>
          <w:sz w:val="24"/>
          <w:szCs w:val="24"/>
          <w:shd w:val="clear" w:color="auto" w:fill="FFFFFF"/>
        </w:rPr>
        <w:t xml:space="preserve">According to Kaliyadan and Kulkarni (2019) descriptive statistics are useful as they offer a summary of the sample and measures being studied without drawing inferences. As shown in Figure 4.13., measures of central tendency such as the mode have been utilised and indicate that the majority of respondents did use their phone to photograph or video the last event they attended. This result indicates that smartphones have become an omnipresent part of the event experience. This theme has been further explored below in Figure 4.14. </w:t>
      </w:r>
    </w:p>
    <w:p w:rsidR="00F11930" w:rsidRPr="00AF5519" w:rsidRDefault="00F11930" w:rsidP="00F11930">
      <w:pPr>
        <w:spacing w:line="360" w:lineRule="auto"/>
        <w:jc w:val="both"/>
        <w:rPr>
          <w:color w:val="000000"/>
          <w:shd w:val="clear" w:color="auto" w:fill="FFFFFF"/>
        </w:rPr>
      </w:pPr>
    </w:p>
    <w:p w:rsidR="00F11930" w:rsidRPr="00AF5519" w:rsidRDefault="00F11930" w:rsidP="00F11930">
      <w:pPr>
        <w:spacing w:line="360" w:lineRule="auto"/>
        <w:jc w:val="center"/>
        <w:rPr>
          <w:color w:val="000000"/>
          <w:shd w:val="clear" w:color="auto" w:fill="FFFFFF"/>
        </w:rPr>
      </w:pPr>
      <w:r w:rsidRPr="00AF5519">
        <w:rPr>
          <w:noProof/>
          <w:lang w:eastAsia="en-GB"/>
        </w:rPr>
        <w:drawing>
          <wp:inline distT="0" distB="0" distL="0" distR="0" wp14:anchorId="5D427B3C" wp14:editId="5A7EA55B">
            <wp:extent cx="4572000" cy="27432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F11930" w:rsidRPr="00AF5519" w:rsidRDefault="00F11930" w:rsidP="00F11930">
      <w:pPr>
        <w:pStyle w:val="Heading4"/>
        <w:spacing w:line="360" w:lineRule="auto"/>
        <w:jc w:val="both"/>
        <w:rPr>
          <w:rFonts w:asciiTheme="minorHAnsi" w:hAnsiTheme="minorHAnsi"/>
          <w:sz w:val="24"/>
          <w:szCs w:val="24"/>
        </w:rPr>
      </w:pPr>
      <w:bookmarkStart w:id="109" w:name="_Toc41648299"/>
      <w:r w:rsidRPr="00AF5519">
        <w:rPr>
          <w:rFonts w:asciiTheme="minorHAnsi" w:hAnsiTheme="minorHAnsi"/>
          <w:sz w:val="24"/>
          <w:szCs w:val="24"/>
        </w:rPr>
        <w:t>Figure 4.14. Comparing results from Q5: Did you check any of your social media at the last event you attended, Q6: Did you use your phone to take photographs and or videos at the last event you attended, and Q15: Have you ever missed something at an event as a result of looking at your phone?</w:t>
      </w:r>
      <w:bookmarkEnd w:id="109"/>
      <w:r w:rsidRPr="00AF5519">
        <w:rPr>
          <w:rFonts w:asciiTheme="minorHAnsi" w:hAnsiTheme="minorHAnsi"/>
          <w:sz w:val="24"/>
          <w:szCs w:val="24"/>
        </w:rPr>
        <w:t xml:space="preserve"> </w:t>
      </w:r>
    </w:p>
    <w:p w:rsidR="00F11930" w:rsidRPr="00AF5519" w:rsidRDefault="00F11930" w:rsidP="00F11930">
      <w:pPr>
        <w:pStyle w:val="Heading3"/>
        <w:spacing w:line="360" w:lineRule="auto"/>
        <w:jc w:val="both"/>
        <w:rPr>
          <w:rFonts w:asciiTheme="minorHAnsi" w:hAnsiTheme="minorHAnsi"/>
        </w:rPr>
      </w:pPr>
    </w:p>
    <w:p w:rsidR="00F11930" w:rsidRPr="00AF5519" w:rsidRDefault="00F11930" w:rsidP="00F11930">
      <w:pPr>
        <w:spacing w:line="360" w:lineRule="auto"/>
        <w:jc w:val="both"/>
        <w:rPr>
          <w:sz w:val="24"/>
          <w:szCs w:val="24"/>
        </w:rPr>
      </w:pPr>
      <w:r w:rsidRPr="00AF5519">
        <w:rPr>
          <w:sz w:val="24"/>
          <w:szCs w:val="24"/>
        </w:rPr>
        <w:t xml:space="preserve">Depicted in Figure 4.14. are the results for three questions within the questionnaire relating to the use of social media and smartphone use during events. The central tendency of these results indicates that smartphones and social media have a dominant presence within the </w:t>
      </w:r>
      <w:r w:rsidRPr="00AF5519">
        <w:rPr>
          <w:sz w:val="24"/>
          <w:szCs w:val="24"/>
        </w:rPr>
        <w:lastRenderedPageBreak/>
        <w:t xml:space="preserve">events industry. As the results indicate that the majority of respondents had both a large social media presence during events as well as stating that they felt they had missed something as a result of looking at their phone, this largely suggests that our interaction with such technology can detract attention away from the event in a detrimental way. </w:t>
      </w:r>
    </w:p>
    <w:p w:rsidR="00F11930" w:rsidRPr="00AF5519" w:rsidRDefault="00F11930" w:rsidP="00F11930">
      <w:pPr>
        <w:spacing w:line="360" w:lineRule="auto"/>
        <w:jc w:val="both"/>
        <w:rPr>
          <w:sz w:val="24"/>
          <w:szCs w:val="24"/>
        </w:rPr>
      </w:pPr>
      <w:r w:rsidRPr="00AF5519">
        <w:rPr>
          <w:sz w:val="24"/>
          <w:szCs w:val="24"/>
        </w:rPr>
        <w:t xml:space="preserve">Throughout Figure’s 4.12., 4.13. and 4.14., the aims of the research have been tested in relation to determining the role that social media plays within live events. It is evident that the established pattern that emerges from this analysis and connects these results is the conclusive finding that individuals are incessantly relying upon instant gratification and information-dependency and thus social media is playing an increasingly interfering role within live events. </w:t>
      </w:r>
    </w:p>
    <w:p w:rsidR="00F11930" w:rsidRPr="00AF5519" w:rsidRDefault="00F11930" w:rsidP="00F11930">
      <w:pPr>
        <w:spacing w:line="360" w:lineRule="auto"/>
        <w:jc w:val="both"/>
        <w:rPr>
          <w:sz w:val="24"/>
          <w:szCs w:val="24"/>
        </w:rPr>
      </w:pPr>
    </w:p>
    <w:p w:rsidR="00F11930" w:rsidRPr="00AF5519" w:rsidRDefault="00F11930" w:rsidP="00F11930">
      <w:pPr>
        <w:pStyle w:val="Heading3"/>
        <w:spacing w:line="360" w:lineRule="auto"/>
        <w:jc w:val="both"/>
        <w:rPr>
          <w:rFonts w:asciiTheme="minorHAnsi" w:hAnsiTheme="minorHAnsi"/>
        </w:rPr>
      </w:pPr>
      <w:bookmarkStart w:id="110" w:name="_Toc41557664"/>
      <w:bookmarkStart w:id="111" w:name="_Toc41648218"/>
      <w:r w:rsidRPr="00AF5519">
        <w:rPr>
          <w:rFonts w:asciiTheme="minorHAnsi" w:hAnsiTheme="minorHAnsi"/>
        </w:rPr>
        <w:t>4.2.7. Implications of social media on presence and engagement</w:t>
      </w:r>
      <w:bookmarkEnd w:id="110"/>
      <w:bookmarkEnd w:id="111"/>
    </w:p>
    <w:p w:rsidR="00F11930" w:rsidRPr="00AF5519" w:rsidRDefault="00F11930" w:rsidP="00F11930">
      <w:pPr>
        <w:pStyle w:val="Heading3"/>
        <w:rPr>
          <w:rFonts w:asciiTheme="minorHAnsi" w:hAnsiTheme="minorHAnsi"/>
        </w:rPr>
      </w:pPr>
      <w:bookmarkStart w:id="112" w:name="_Toc41557665"/>
      <w:bookmarkStart w:id="113" w:name="_Toc41648219"/>
      <w:r w:rsidRPr="00AF5519">
        <w:rPr>
          <w:rFonts w:asciiTheme="minorHAnsi" w:hAnsiTheme="minorHAnsi"/>
          <w:noProof/>
          <w:lang w:eastAsia="en-GB"/>
        </w:rPr>
        <w:drawing>
          <wp:anchor distT="0" distB="0" distL="114300" distR="114300" simplePos="0" relativeHeight="251660288" behindDoc="0" locked="0" layoutInCell="1" allowOverlap="1" wp14:anchorId="479A77DD" wp14:editId="0BF53108">
            <wp:simplePos x="0" y="0"/>
            <wp:positionH relativeFrom="margin">
              <wp:align>left</wp:align>
            </wp:positionH>
            <wp:positionV relativeFrom="paragraph">
              <wp:posOffset>353695</wp:posOffset>
            </wp:positionV>
            <wp:extent cx="5791835" cy="247650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791835" cy="2476500"/>
                    </a:xfrm>
                    <a:prstGeom prst="rect">
                      <a:avLst/>
                    </a:prstGeom>
                  </pic:spPr>
                </pic:pic>
              </a:graphicData>
            </a:graphic>
            <wp14:sizeRelH relativeFrom="page">
              <wp14:pctWidth>0</wp14:pctWidth>
            </wp14:sizeRelH>
            <wp14:sizeRelV relativeFrom="page">
              <wp14:pctHeight>0</wp14:pctHeight>
            </wp14:sizeRelV>
          </wp:anchor>
        </w:drawing>
      </w:r>
      <w:bookmarkEnd w:id="112"/>
      <w:bookmarkEnd w:id="113"/>
    </w:p>
    <w:p w:rsidR="00F11930" w:rsidRPr="00AF5519" w:rsidRDefault="00F11930" w:rsidP="00F11930">
      <w:pPr>
        <w:spacing w:line="360" w:lineRule="auto"/>
        <w:jc w:val="center"/>
      </w:pPr>
    </w:p>
    <w:p w:rsidR="00F11930" w:rsidRPr="00AF5519" w:rsidRDefault="00F11930" w:rsidP="00F11930">
      <w:pPr>
        <w:pStyle w:val="Heading4"/>
        <w:spacing w:line="360" w:lineRule="auto"/>
        <w:jc w:val="both"/>
        <w:rPr>
          <w:rFonts w:asciiTheme="minorHAnsi" w:hAnsiTheme="minorHAnsi"/>
          <w:sz w:val="24"/>
          <w:szCs w:val="24"/>
        </w:rPr>
      </w:pPr>
      <w:bookmarkStart w:id="114" w:name="_Toc41648300"/>
      <w:r w:rsidRPr="00AF5519">
        <w:rPr>
          <w:rFonts w:asciiTheme="minorHAnsi" w:hAnsiTheme="minorHAnsi"/>
          <w:sz w:val="24"/>
          <w:szCs w:val="24"/>
        </w:rPr>
        <w:t>4.15.: Text query analysis on how social media can impact on the moment (Online survey data 2020).</w:t>
      </w:r>
      <w:bookmarkEnd w:id="114"/>
    </w:p>
    <w:p w:rsidR="00F11930" w:rsidRPr="00AF5519" w:rsidRDefault="00F11930" w:rsidP="00F11930">
      <w:pPr>
        <w:spacing w:line="360" w:lineRule="auto"/>
        <w:jc w:val="both"/>
        <w:rPr>
          <w:sz w:val="24"/>
          <w:szCs w:val="24"/>
        </w:rPr>
      </w:pPr>
    </w:p>
    <w:p w:rsidR="00F11930" w:rsidRPr="00AF5519" w:rsidRDefault="00F11930" w:rsidP="00F11930">
      <w:pPr>
        <w:spacing w:line="360" w:lineRule="auto"/>
        <w:jc w:val="both"/>
        <w:rPr>
          <w:sz w:val="24"/>
          <w:szCs w:val="24"/>
        </w:rPr>
      </w:pPr>
      <w:r w:rsidRPr="00AF5519">
        <w:rPr>
          <w:sz w:val="24"/>
          <w:szCs w:val="24"/>
        </w:rPr>
        <w:t xml:space="preserve">A text query analysis was run into how social media can impact on an individual’s ability to be present in the moment (see Figure 4.15.). The largest theme identified in the text query is that as individual’s become more engaged with social media platforms, they become less engaged in the present moment. This finding is consistent with McGaugh’s theory (2000) </w:t>
      </w:r>
      <w:r w:rsidRPr="00AF5519">
        <w:rPr>
          <w:sz w:val="24"/>
          <w:szCs w:val="24"/>
        </w:rPr>
        <w:lastRenderedPageBreak/>
        <w:t xml:space="preserve">regarding attentional disengagement that is discussed in Chapter 2. This finding also suggests that there is a larger need for the events industry to create stronger control measures to ensure that social media is used to enhance the event experience without impacting on the ability to stay present and engaged in the moment. </w:t>
      </w:r>
    </w:p>
    <w:p w:rsidR="00F11930" w:rsidRPr="00AF5519" w:rsidRDefault="00F11930" w:rsidP="00F11930">
      <w:pPr>
        <w:spacing w:line="360" w:lineRule="auto"/>
        <w:jc w:val="both"/>
        <w:rPr>
          <w:sz w:val="24"/>
          <w:szCs w:val="24"/>
        </w:rPr>
      </w:pPr>
    </w:p>
    <w:p w:rsidR="00F11930" w:rsidRPr="00AF5519" w:rsidRDefault="00F11930" w:rsidP="00F11930">
      <w:pPr>
        <w:spacing w:line="360" w:lineRule="auto"/>
        <w:jc w:val="both"/>
        <w:rPr>
          <w:sz w:val="24"/>
          <w:szCs w:val="24"/>
        </w:rPr>
      </w:pPr>
    </w:p>
    <w:p w:rsidR="00F11930" w:rsidRPr="00AF5519" w:rsidRDefault="00F11930" w:rsidP="00F11930">
      <w:pPr>
        <w:spacing w:line="360" w:lineRule="auto"/>
        <w:jc w:val="both"/>
        <w:rPr>
          <w:sz w:val="24"/>
          <w:szCs w:val="24"/>
        </w:rPr>
      </w:pPr>
    </w:p>
    <w:p w:rsidR="00F11930" w:rsidRPr="00AF5519" w:rsidRDefault="00F11930" w:rsidP="00F11930">
      <w:pPr>
        <w:spacing w:line="360" w:lineRule="auto"/>
        <w:jc w:val="both"/>
        <w:rPr>
          <w:sz w:val="24"/>
          <w:szCs w:val="24"/>
        </w:rPr>
      </w:pPr>
    </w:p>
    <w:p w:rsidR="00F11930" w:rsidRPr="00AF5519" w:rsidRDefault="00F11930" w:rsidP="00F11930">
      <w:pPr>
        <w:spacing w:line="360" w:lineRule="auto"/>
        <w:jc w:val="both"/>
        <w:rPr>
          <w:sz w:val="24"/>
          <w:szCs w:val="24"/>
        </w:rPr>
      </w:pPr>
    </w:p>
    <w:p w:rsidR="00F11930" w:rsidRPr="00AF5519" w:rsidRDefault="00F11930" w:rsidP="00F11930">
      <w:pPr>
        <w:pStyle w:val="Heading3"/>
        <w:spacing w:line="360" w:lineRule="auto"/>
        <w:jc w:val="both"/>
        <w:rPr>
          <w:rFonts w:asciiTheme="minorHAnsi" w:hAnsiTheme="minorHAnsi"/>
        </w:rPr>
      </w:pPr>
      <w:bookmarkStart w:id="115" w:name="_Toc41557666"/>
      <w:bookmarkStart w:id="116" w:name="_Toc41648220"/>
      <w:r w:rsidRPr="00AF5519">
        <w:rPr>
          <w:rFonts w:asciiTheme="minorHAnsi" w:hAnsiTheme="minorHAnsi"/>
        </w:rPr>
        <w:t>4.3. Main Findings</w:t>
      </w:r>
      <w:bookmarkEnd w:id="115"/>
      <w:bookmarkEnd w:id="116"/>
      <w:r w:rsidRPr="00AF5519">
        <w:rPr>
          <w:rFonts w:asciiTheme="minorHAnsi" w:hAnsiTheme="minorHAnsi"/>
        </w:rPr>
        <w:t xml:space="preserve"> </w:t>
      </w:r>
    </w:p>
    <w:p w:rsidR="00F11930" w:rsidRPr="00AF5519" w:rsidRDefault="00F11930" w:rsidP="00F11930"/>
    <w:p w:rsidR="00F11930" w:rsidRPr="00AF5519" w:rsidRDefault="00F11930" w:rsidP="00F11930">
      <w:pPr>
        <w:spacing w:line="360" w:lineRule="auto"/>
        <w:jc w:val="both"/>
        <w:rPr>
          <w:sz w:val="24"/>
          <w:szCs w:val="24"/>
        </w:rPr>
      </w:pPr>
      <w:r w:rsidRPr="00AF5519">
        <w:rPr>
          <w:sz w:val="24"/>
          <w:szCs w:val="24"/>
        </w:rPr>
        <w:t xml:space="preserve">The main finding of this analysis is that social media plays a crucial role in both the attendance of live events and the event experience. The results indicating that social media is frequently utilised in sourcing event information and inspiring future event attendance is overwhelming. The conclusive evidence regarding this finding suggests that events can use social media as a powerful tool in leveraging growth for the industry and connecting and engaging with event consumers on a never-before-seen level. </w:t>
      </w:r>
    </w:p>
    <w:p w:rsidR="00F11930" w:rsidRPr="00AF5519" w:rsidRDefault="00F11930" w:rsidP="00F11930">
      <w:pPr>
        <w:spacing w:line="360" w:lineRule="auto"/>
        <w:jc w:val="both"/>
        <w:rPr>
          <w:sz w:val="24"/>
          <w:szCs w:val="24"/>
        </w:rPr>
      </w:pPr>
      <w:r w:rsidRPr="00AF5519">
        <w:rPr>
          <w:sz w:val="24"/>
          <w:szCs w:val="24"/>
        </w:rPr>
        <w:t xml:space="preserve">Furthermore, the results also found that most respondents used social media during and after an event as a means of memory keeping. Building on from this finding, the data also suggested that most respondents did not find the use of the social media harmful to their memory of the event, but found that it in fact heightened the memory. Based on an extensive body of academic literature within Chapter 2 discussing the connection between social media and memory, there was a rudimentary assumption by the researcher that social media would not serve to improve the memory of past events attended by respondents. The social constructionist perspective however reveals the reality of individual’s attitudes towards the memory privileges of social media and therefore effects the inferences that can be drawn from this thesis. </w:t>
      </w:r>
    </w:p>
    <w:p w:rsidR="00F11930" w:rsidRPr="00AF5519" w:rsidRDefault="00F11930" w:rsidP="00F11930">
      <w:pPr>
        <w:spacing w:line="360" w:lineRule="auto"/>
        <w:jc w:val="both"/>
        <w:rPr>
          <w:sz w:val="24"/>
          <w:szCs w:val="24"/>
        </w:rPr>
      </w:pPr>
      <w:r w:rsidRPr="00AF5519">
        <w:rPr>
          <w:sz w:val="24"/>
          <w:szCs w:val="24"/>
        </w:rPr>
        <w:t xml:space="preserve">Lastly, the analysis also highlighted that a large proportion of the respondents stated that they associated social media with negative emotions such as judgement or anxiety. It is this </w:t>
      </w:r>
      <w:r w:rsidRPr="00AF5519">
        <w:rPr>
          <w:sz w:val="24"/>
          <w:szCs w:val="24"/>
        </w:rPr>
        <w:lastRenderedPageBreak/>
        <w:t>link between the frequent use of social media at events and the negative self-conscious emotions that are provoked through this use that supports the academic debate discussed in Chapter 2 suggesting that the hedonic enjoyment of live events can be significantly reduced as a result of social media use.</w:t>
      </w:r>
    </w:p>
    <w:p w:rsidR="00F11930" w:rsidRPr="00AF5519" w:rsidRDefault="00F11930" w:rsidP="00F11930">
      <w:pPr>
        <w:spacing w:line="360" w:lineRule="auto"/>
        <w:jc w:val="both"/>
        <w:rPr>
          <w:sz w:val="24"/>
          <w:szCs w:val="24"/>
        </w:rPr>
      </w:pPr>
    </w:p>
    <w:p w:rsidR="00F11930" w:rsidRPr="00AF5519" w:rsidRDefault="00F11930" w:rsidP="00F11930">
      <w:pPr>
        <w:pStyle w:val="Heading3"/>
        <w:spacing w:line="360" w:lineRule="auto"/>
        <w:jc w:val="both"/>
        <w:rPr>
          <w:rFonts w:asciiTheme="minorHAnsi" w:hAnsiTheme="minorHAnsi"/>
        </w:rPr>
      </w:pPr>
      <w:bookmarkStart w:id="117" w:name="_Toc41557667"/>
      <w:bookmarkStart w:id="118" w:name="_Toc41648221"/>
      <w:r w:rsidRPr="00AF5519">
        <w:rPr>
          <w:rFonts w:asciiTheme="minorHAnsi" w:hAnsiTheme="minorHAnsi"/>
        </w:rPr>
        <w:t>4.3.1. Conclusion</w:t>
      </w:r>
      <w:bookmarkEnd w:id="117"/>
      <w:bookmarkEnd w:id="118"/>
    </w:p>
    <w:p w:rsidR="00F11930" w:rsidRPr="00AF5519" w:rsidRDefault="00F11930" w:rsidP="00F11930">
      <w:pPr>
        <w:spacing w:line="360" w:lineRule="auto"/>
        <w:jc w:val="both"/>
        <w:rPr>
          <w:sz w:val="24"/>
          <w:szCs w:val="24"/>
        </w:rPr>
      </w:pPr>
    </w:p>
    <w:p w:rsidR="00F11930" w:rsidRPr="00AF5519" w:rsidRDefault="00F11930" w:rsidP="00F11930">
      <w:pPr>
        <w:spacing w:line="360" w:lineRule="auto"/>
        <w:jc w:val="both"/>
        <w:rPr>
          <w:sz w:val="24"/>
          <w:szCs w:val="24"/>
        </w:rPr>
      </w:pPr>
      <w:r w:rsidRPr="00AF5519">
        <w:rPr>
          <w:sz w:val="24"/>
          <w:szCs w:val="24"/>
        </w:rPr>
        <w:t xml:space="preserve">Throughout the following chapter the researcher will explore conclusions along with the finding implications. The following chapter will also include recommendations aimed at improving social media use within the events industry for the purpose of enhancing the live event experience for the consumer. </w:t>
      </w:r>
    </w:p>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 w:rsidR="00F11930" w:rsidRPr="00AF5519" w:rsidRDefault="00F11930" w:rsidP="00F11930">
      <w:pPr>
        <w:pStyle w:val="Heading1"/>
        <w:rPr>
          <w:rFonts w:asciiTheme="minorHAnsi" w:hAnsiTheme="minorHAnsi"/>
        </w:rPr>
      </w:pPr>
      <w:bookmarkStart w:id="119" w:name="_Toc41557668"/>
      <w:bookmarkStart w:id="120" w:name="_Toc41648222"/>
      <w:r w:rsidRPr="00AF5519">
        <w:rPr>
          <w:rFonts w:asciiTheme="minorHAnsi" w:hAnsiTheme="minorHAnsi"/>
        </w:rPr>
        <w:lastRenderedPageBreak/>
        <w:t>Chapter 5: Conclusion and Recommendations</w:t>
      </w:r>
      <w:bookmarkEnd w:id="119"/>
      <w:bookmarkEnd w:id="120"/>
      <w:r w:rsidRPr="00AF5519">
        <w:rPr>
          <w:rFonts w:asciiTheme="minorHAnsi" w:hAnsiTheme="minorHAnsi"/>
        </w:rPr>
        <w:t xml:space="preserve"> </w:t>
      </w:r>
    </w:p>
    <w:p w:rsidR="00F11930" w:rsidRPr="00AF5519" w:rsidRDefault="00F11930" w:rsidP="00F11930"/>
    <w:p w:rsidR="00F11930" w:rsidRPr="00AF5519" w:rsidRDefault="00F11930" w:rsidP="00F11930">
      <w:pPr>
        <w:pStyle w:val="Heading2"/>
        <w:rPr>
          <w:rFonts w:asciiTheme="minorHAnsi" w:hAnsiTheme="minorHAnsi"/>
        </w:rPr>
      </w:pPr>
      <w:bookmarkStart w:id="121" w:name="_Toc41557669"/>
      <w:bookmarkStart w:id="122" w:name="_Toc41648223"/>
      <w:r w:rsidRPr="00AF5519">
        <w:rPr>
          <w:rFonts w:asciiTheme="minorHAnsi" w:hAnsiTheme="minorHAnsi"/>
        </w:rPr>
        <w:t>5.1. Introduction</w:t>
      </w:r>
      <w:bookmarkEnd w:id="121"/>
      <w:bookmarkEnd w:id="122"/>
    </w:p>
    <w:p w:rsidR="00F11930" w:rsidRPr="00AF5519" w:rsidRDefault="00F11930" w:rsidP="00F11930"/>
    <w:p w:rsidR="00F11930" w:rsidRPr="00AF5519" w:rsidRDefault="00F11930" w:rsidP="00F11930">
      <w:pPr>
        <w:spacing w:line="360" w:lineRule="auto"/>
        <w:jc w:val="both"/>
        <w:rPr>
          <w:rFonts w:cstheme="majorHAnsi"/>
          <w:sz w:val="24"/>
        </w:rPr>
      </w:pPr>
      <w:r w:rsidRPr="00AF5519">
        <w:rPr>
          <w:rFonts w:cstheme="majorHAnsi"/>
          <w:sz w:val="24"/>
        </w:rPr>
        <w:t>This chapter concludes the findings of Chapter 4 and discusses how these findings create real world-implications for the events industry and beyond. This chapter also proposes to complete the final objective:</w:t>
      </w:r>
    </w:p>
    <w:p w:rsidR="00F11930" w:rsidRPr="00AF5519" w:rsidRDefault="00F11930" w:rsidP="00F11930">
      <w:pPr>
        <w:pStyle w:val="ListParagraph"/>
        <w:numPr>
          <w:ilvl w:val="0"/>
          <w:numId w:val="6"/>
        </w:numPr>
        <w:spacing w:line="360" w:lineRule="auto"/>
        <w:jc w:val="both"/>
        <w:rPr>
          <w:rFonts w:cstheme="majorHAnsi"/>
          <w:sz w:val="24"/>
        </w:rPr>
      </w:pPr>
      <w:r w:rsidRPr="00AF5519">
        <w:rPr>
          <w:rFonts w:cstheme="majorHAnsi"/>
          <w:sz w:val="24"/>
        </w:rPr>
        <w:t xml:space="preserve">To provide recommendations to the events industry on how to successfully use social media to increase event participation whilst improving the event experience for the consumer. </w:t>
      </w:r>
    </w:p>
    <w:p w:rsidR="00F11930" w:rsidRPr="00AF5519" w:rsidRDefault="00F11930" w:rsidP="00F11930">
      <w:pPr>
        <w:spacing w:line="360" w:lineRule="auto"/>
        <w:jc w:val="both"/>
        <w:rPr>
          <w:rFonts w:cstheme="majorHAnsi"/>
          <w:sz w:val="24"/>
        </w:rPr>
      </w:pPr>
      <w:r w:rsidRPr="00AF5519">
        <w:rPr>
          <w:rFonts w:cstheme="majorHAnsi"/>
          <w:sz w:val="24"/>
        </w:rPr>
        <w:t xml:space="preserve">Additionally, this chapter will also discuss the limitations of this study and will offer recommendations for future studies into this field. </w:t>
      </w:r>
    </w:p>
    <w:p w:rsidR="00F11930" w:rsidRPr="00AF5519" w:rsidRDefault="00F11930" w:rsidP="00F11930">
      <w:pPr>
        <w:spacing w:line="360" w:lineRule="auto"/>
        <w:jc w:val="both"/>
        <w:rPr>
          <w:rFonts w:cstheme="minorHAnsi"/>
        </w:rPr>
      </w:pPr>
    </w:p>
    <w:p w:rsidR="00F11930" w:rsidRPr="00AF5519" w:rsidRDefault="00F11930" w:rsidP="00F11930">
      <w:pPr>
        <w:pStyle w:val="Heading2"/>
        <w:rPr>
          <w:rFonts w:asciiTheme="minorHAnsi" w:hAnsiTheme="minorHAnsi"/>
        </w:rPr>
      </w:pPr>
      <w:bookmarkStart w:id="123" w:name="_Toc41557670"/>
      <w:bookmarkStart w:id="124" w:name="_Toc41648224"/>
      <w:r w:rsidRPr="00AF5519">
        <w:rPr>
          <w:rFonts w:asciiTheme="minorHAnsi" w:hAnsiTheme="minorHAnsi"/>
        </w:rPr>
        <w:t>5.2. Summary of findings</w:t>
      </w:r>
      <w:bookmarkEnd w:id="123"/>
      <w:bookmarkEnd w:id="124"/>
      <w:r w:rsidRPr="00AF5519">
        <w:rPr>
          <w:rFonts w:asciiTheme="minorHAnsi" w:hAnsiTheme="minorHAnsi"/>
        </w:rPr>
        <w:t xml:space="preserve"> </w:t>
      </w:r>
    </w:p>
    <w:p w:rsidR="00F11930" w:rsidRPr="00AF5519" w:rsidRDefault="00F11930" w:rsidP="00F11930"/>
    <w:p w:rsidR="00F11930" w:rsidRPr="00AF5519" w:rsidRDefault="00F11930" w:rsidP="00F11930">
      <w:pPr>
        <w:spacing w:line="360" w:lineRule="auto"/>
        <w:jc w:val="both"/>
        <w:rPr>
          <w:rFonts w:cstheme="majorHAnsi"/>
          <w:sz w:val="24"/>
        </w:rPr>
      </w:pPr>
      <w:r w:rsidRPr="00AF5519">
        <w:rPr>
          <w:rFonts w:cstheme="majorHAnsi"/>
          <w:sz w:val="24"/>
        </w:rPr>
        <w:t xml:space="preserve">It can be concluded from the quantitative findings that the most valuable functionality of social media is its influence on event attendance. This finding supports the previous suggestion by Evans (2010) who stated that social media marketing allows the events industry to promote itself far beyond regular means. The findings showed that social media was a highly utilised tool in sourcing event information and in encouraging consumers to attend events. Additionally, social media is also a beneficial platform in connecting individuals and allowing them to share event experiences with one another. Social media is woven into the texture of people’s personal lives and is now used as a platform to build, express and inspire. In an event’s sense, individuals are now able to connect on a much broader spectrum with like-minded individuals. As discussed by McPherson et al., (2001) similarity breeds connection, a concept known as the homophily principle. This finding was further explored within the qualitative research through a thematic analysis and the results showed that there is a collective notion that connecting with like-minded people will influence and re-enforce one’s interest’s and so further serves in the purpose of encouraging attendance of particular events. Social media catapults the homophily principle by enabling users to connect with </w:t>
      </w:r>
      <w:r w:rsidRPr="00AF5519">
        <w:rPr>
          <w:rFonts w:cstheme="majorHAnsi"/>
          <w:sz w:val="24"/>
        </w:rPr>
        <w:lastRenderedPageBreak/>
        <w:t xml:space="preserve">people who have attended the same events, and suggest similar upcoming events that may be of interest to them. </w:t>
      </w:r>
    </w:p>
    <w:p w:rsidR="00F11930" w:rsidRPr="00AF5519" w:rsidRDefault="00F11930" w:rsidP="00F11930">
      <w:pPr>
        <w:spacing w:line="360" w:lineRule="auto"/>
        <w:jc w:val="both"/>
        <w:rPr>
          <w:rFonts w:cstheme="majorHAnsi"/>
          <w:sz w:val="24"/>
        </w:rPr>
      </w:pPr>
      <w:r w:rsidRPr="00AF5519">
        <w:rPr>
          <w:rFonts w:cstheme="majorHAnsi"/>
          <w:sz w:val="24"/>
        </w:rPr>
        <w:t>Further findings from the quantitative research indicated that most individuals used social media as a means of keeping memories from events they had attended. This finding was further explored in the qualitative analysis. When asked, both interviewees stated that social media actively helped in remembering about previous events that they had been too and that it was a useful tool in keeping memories from past events. The collective perception was that the time that was invested into posting content on social media relating to the event meant that the memory of the event was greater thought about and so could be remembered in considerable lasting detail. This finding supports the previous proposal by Soares et al., (2018) that the process of photo taking for memories showed an advantage in memory retention. The findings also indicated that as a result of the pressure to portray a positively biased appearance on social media, the memory after the event appeared often fonder than the actual live event may have been at the time. This is consistent with the findings of Appel et al., (2016).</w:t>
      </w:r>
      <w:r w:rsidRPr="00AF5519">
        <w:rPr>
          <w:rFonts w:cstheme="majorHAnsi"/>
          <w:sz w:val="28"/>
          <w:szCs w:val="24"/>
        </w:rPr>
        <w:t xml:space="preserve"> </w:t>
      </w:r>
    </w:p>
    <w:p w:rsidR="00F11930" w:rsidRPr="00AF5519" w:rsidRDefault="00F11930" w:rsidP="00F11930">
      <w:pPr>
        <w:spacing w:line="360" w:lineRule="auto"/>
        <w:jc w:val="both"/>
        <w:rPr>
          <w:rFonts w:cstheme="majorHAnsi"/>
          <w:sz w:val="24"/>
        </w:rPr>
      </w:pPr>
      <w:r w:rsidRPr="00AF5519">
        <w:rPr>
          <w:rFonts w:cstheme="majorHAnsi"/>
          <w:sz w:val="24"/>
        </w:rPr>
        <w:t>However, the quantitative findings also concluded that social media can be viewed as a distraction and in an event’s sense is actively taking the consumer away from the live experience. The distraction element of social media has played a role in diminishing the enjoyment of the moment and further quantitative findings highlighted this in evidencing that most individuals are now looking for more authentic experiences. This was further explored in the qualitative research and the findings indicated that the abundance of information readily available from social media and the upsurge of features meant that individuals could be interrupted at any minute and this detracts attention away from the live event. The findings indicate that social media is in a competitive rivalry to captivate our attention. This finding is underpinned by the literature discussed in Chapter 2 by Ormerod (2018) noting how social media is exploiting a vulnerability in human psychology and is designed to attract as much of the consumer’s attention as possible. It is evident that social media is now competing with our everyday experiences and so in a sense, is acting as an abettor in taking us away from them.</w:t>
      </w:r>
    </w:p>
    <w:p w:rsidR="00F11930" w:rsidRPr="00AF5519" w:rsidRDefault="00F11930" w:rsidP="00F11930">
      <w:pPr>
        <w:spacing w:line="360" w:lineRule="auto"/>
        <w:jc w:val="both"/>
        <w:rPr>
          <w:rFonts w:cstheme="majorHAnsi"/>
          <w:sz w:val="24"/>
        </w:rPr>
      </w:pPr>
    </w:p>
    <w:p w:rsidR="00F11930" w:rsidRPr="00AF5519" w:rsidRDefault="00F11930" w:rsidP="00F11930">
      <w:pPr>
        <w:spacing w:line="360" w:lineRule="auto"/>
        <w:jc w:val="both"/>
      </w:pPr>
    </w:p>
    <w:p w:rsidR="00F11930" w:rsidRPr="00AF5519" w:rsidRDefault="00F11930" w:rsidP="00F11930">
      <w:pPr>
        <w:spacing w:line="360" w:lineRule="auto"/>
        <w:jc w:val="both"/>
      </w:pPr>
      <w:r w:rsidRPr="00AF5519">
        <w:rPr>
          <w:noProof/>
          <w:lang w:eastAsia="en-GB"/>
        </w:rPr>
        <w:drawing>
          <wp:anchor distT="0" distB="0" distL="114300" distR="114300" simplePos="0" relativeHeight="251663360" behindDoc="0" locked="0" layoutInCell="1" allowOverlap="1" wp14:anchorId="5866A7EB" wp14:editId="7544BC0F">
            <wp:simplePos x="0" y="0"/>
            <wp:positionH relativeFrom="page">
              <wp:posOffset>914400</wp:posOffset>
            </wp:positionH>
            <wp:positionV relativeFrom="paragraph">
              <wp:posOffset>389890</wp:posOffset>
            </wp:positionV>
            <wp:extent cx="5781675" cy="4038600"/>
            <wp:effectExtent l="0" t="38100" r="0" b="38100"/>
            <wp:wrapSquare wrapText="bothSides"/>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14:sizeRelH relativeFrom="page">
              <wp14:pctWidth>0</wp14:pctWidth>
            </wp14:sizeRelH>
            <wp14:sizeRelV relativeFrom="page">
              <wp14:pctHeight>0</wp14:pctHeight>
            </wp14:sizeRelV>
          </wp:anchor>
        </w:drawing>
      </w:r>
    </w:p>
    <w:p w:rsidR="00F11930" w:rsidRPr="00AF5519" w:rsidRDefault="00F11930" w:rsidP="00F11930">
      <w:pPr>
        <w:pStyle w:val="Heading4"/>
        <w:rPr>
          <w:rFonts w:asciiTheme="minorHAnsi" w:hAnsiTheme="minorHAnsi"/>
        </w:rPr>
      </w:pPr>
    </w:p>
    <w:p w:rsidR="00F11930" w:rsidRPr="00AF5519" w:rsidRDefault="00F11930" w:rsidP="00F11930">
      <w:pPr>
        <w:pStyle w:val="Heading4"/>
        <w:rPr>
          <w:rFonts w:asciiTheme="minorHAnsi" w:hAnsiTheme="minorHAnsi"/>
        </w:rPr>
      </w:pPr>
    </w:p>
    <w:p w:rsidR="00F11930" w:rsidRPr="00AF5519" w:rsidRDefault="00F11930" w:rsidP="00F11930">
      <w:pPr>
        <w:pStyle w:val="Heading4"/>
        <w:rPr>
          <w:rFonts w:asciiTheme="minorHAnsi" w:hAnsiTheme="minorHAnsi"/>
        </w:rPr>
      </w:pPr>
      <w:bookmarkStart w:id="125" w:name="_Toc41648301"/>
      <w:r w:rsidRPr="00AF5519">
        <w:rPr>
          <w:rFonts w:asciiTheme="minorHAnsi" w:hAnsiTheme="minorHAnsi"/>
        </w:rPr>
        <w:t xml:space="preserve">Figure </w:t>
      </w:r>
      <w:r w:rsidRPr="00AF5519">
        <w:rPr>
          <w:rStyle w:val="Heading4Char"/>
          <w:rFonts w:asciiTheme="minorHAnsi" w:hAnsiTheme="minorHAnsi"/>
        </w:rPr>
        <w:t>5.1.: Primary development of the key impacts of social media within the events industry model (James-Deane, 2020).</w:t>
      </w:r>
      <w:bookmarkEnd w:id="125"/>
      <w:r w:rsidRPr="00AF5519">
        <w:rPr>
          <w:rFonts w:asciiTheme="minorHAnsi" w:hAnsiTheme="minorHAnsi"/>
        </w:rPr>
        <w:t xml:space="preserve"> </w:t>
      </w:r>
    </w:p>
    <w:p w:rsidR="00F11930" w:rsidRPr="00AF5519" w:rsidRDefault="00F11930" w:rsidP="00F11930"/>
    <w:p w:rsidR="00F11930" w:rsidRPr="00AF5519" w:rsidRDefault="00F11930" w:rsidP="00F11930">
      <w:pPr>
        <w:rPr>
          <w:rFonts w:cstheme="majorHAnsi"/>
          <w:sz w:val="24"/>
        </w:rPr>
      </w:pPr>
    </w:p>
    <w:p w:rsidR="00F11930" w:rsidRPr="00AF5519" w:rsidRDefault="00F11930" w:rsidP="00F11930">
      <w:pPr>
        <w:spacing w:line="360" w:lineRule="auto"/>
        <w:jc w:val="both"/>
        <w:rPr>
          <w:rFonts w:cstheme="majorHAnsi"/>
          <w:sz w:val="24"/>
        </w:rPr>
      </w:pPr>
      <w:r w:rsidRPr="00AF5519">
        <w:rPr>
          <w:rFonts w:cstheme="majorHAnsi"/>
          <w:sz w:val="24"/>
        </w:rPr>
        <w:t xml:space="preserve">The model depicted in Figure 5.1. identifies that there are seven significant impacts on the events industry as a result of social media, all of which can contribute to the overall live experience of any given event. It is evident from the model that there is thematic narrative suggesting how understanding human experiences are necessary for success. Opportunities also exist to apply the key insights from this model within further research to understand these implications independently of one another or in concomitance. Though there are several un-mentioned social media impacts within the model, it could be said that these are the key aspects that the events industry must focus on to capitalise on the breadth of </w:t>
      </w:r>
      <w:r w:rsidRPr="00AF5519">
        <w:rPr>
          <w:rFonts w:cstheme="majorHAnsi"/>
          <w:sz w:val="24"/>
        </w:rPr>
        <w:lastRenderedPageBreak/>
        <w:t xml:space="preserve">possibility provided by social media platforms whilst enhancing the live event attendee experience. </w:t>
      </w:r>
    </w:p>
    <w:p w:rsidR="00F11930" w:rsidRPr="00AF5519" w:rsidRDefault="00F11930" w:rsidP="00F11930"/>
    <w:p w:rsidR="00F11930" w:rsidRPr="00AF5519" w:rsidRDefault="00F11930" w:rsidP="00F11930">
      <w:pPr>
        <w:pStyle w:val="Heading2"/>
        <w:rPr>
          <w:rFonts w:asciiTheme="minorHAnsi" w:hAnsiTheme="minorHAnsi"/>
        </w:rPr>
      </w:pPr>
      <w:bookmarkStart w:id="126" w:name="_Toc41557671"/>
      <w:bookmarkStart w:id="127" w:name="_Toc41648225"/>
      <w:r w:rsidRPr="00AF5519">
        <w:rPr>
          <w:rFonts w:asciiTheme="minorHAnsi" w:hAnsiTheme="minorHAnsi"/>
        </w:rPr>
        <w:t>5.3. Implications of research</w:t>
      </w:r>
      <w:bookmarkEnd w:id="126"/>
      <w:bookmarkEnd w:id="127"/>
      <w:r w:rsidRPr="00AF5519">
        <w:rPr>
          <w:rFonts w:asciiTheme="minorHAnsi" w:hAnsiTheme="minorHAnsi"/>
        </w:rPr>
        <w:t xml:space="preserve"> </w:t>
      </w:r>
    </w:p>
    <w:p w:rsidR="00F11930" w:rsidRPr="00AF5519" w:rsidRDefault="00F11930" w:rsidP="00F11930"/>
    <w:p w:rsidR="00F11930" w:rsidRPr="00AF5519" w:rsidRDefault="00F11930" w:rsidP="00F11930">
      <w:pPr>
        <w:spacing w:line="360" w:lineRule="auto"/>
        <w:jc w:val="both"/>
        <w:rPr>
          <w:rFonts w:cstheme="majorHAnsi"/>
          <w:sz w:val="24"/>
        </w:rPr>
      </w:pPr>
      <w:r w:rsidRPr="00AF5519">
        <w:rPr>
          <w:rFonts w:cstheme="majorHAnsi"/>
          <w:sz w:val="24"/>
        </w:rPr>
        <w:t xml:space="preserve">The findings from this research are highly important for the policy, practice and theory of the events industry. Without sufficient control measures, social media is increasingly becoming a self-perpetuating distraction of live events and can largely diminish attendee experience. </w:t>
      </w:r>
    </w:p>
    <w:p w:rsidR="00F11930" w:rsidRPr="00AF5519" w:rsidRDefault="00F11930" w:rsidP="00F11930">
      <w:pPr>
        <w:spacing w:line="360" w:lineRule="auto"/>
        <w:jc w:val="both"/>
        <w:rPr>
          <w:rFonts w:cstheme="majorHAnsi"/>
          <w:sz w:val="24"/>
          <w:shd w:val="clear" w:color="auto" w:fill="FFFFFF"/>
        </w:rPr>
      </w:pPr>
      <w:r w:rsidRPr="00AF5519">
        <w:rPr>
          <w:rFonts w:cstheme="majorHAnsi"/>
          <w:sz w:val="24"/>
          <w:shd w:val="clear" w:color="auto" w:fill="FFFFFF"/>
        </w:rPr>
        <w:t xml:space="preserve">The statistical findings and correlations of this study also suggest that there are direct implications on social media users. The thesis findings indicate that there is now a large cultural dependency on social media and this dependency can result in significant psychopathological effects. </w:t>
      </w:r>
    </w:p>
    <w:p w:rsidR="00F11930" w:rsidRPr="00AF5519" w:rsidRDefault="00F11930" w:rsidP="00F11930"/>
    <w:p w:rsidR="00F11930" w:rsidRPr="00AF5519" w:rsidRDefault="00F11930" w:rsidP="00F11930">
      <w:pPr>
        <w:pStyle w:val="Heading2"/>
        <w:rPr>
          <w:rFonts w:asciiTheme="minorHAnsi" w:hAnsiTheme="minorHAnsi"/>
        </w:rPr>
      </w:pPr>
      <w:bookmarkStart w:id="128" w:name="_Toc41557672"/>
      <w:bookmarkStart w:id="129" w:name="_Toc41648226"/>
      <w:r w:rsidRPr="00AF5519">
        <w:rPr>
          <w:rFonts w:asciiTheme="minorHAnsi" w:hAnsiTheme="minorHAnsi"/>
        </w:rPr>
        <w:t>5.4. Recommendations for the events industry</w:t>
      </w:r>
      <w:bookmarkEnd w:id="128"/>
      <w:bookmarkEnd w:id="129"/>
    </w:p>
    <w:p w:rsidR="00F11930" w:rsidRPr="00AF5519" w:rsidRDefault="00F11930" w:rsidP="00F11930"/>
    <w:p w:rsidR="00F11930" w:rsidRPr="00AF5519" w:rsidRDefault="00F11930" w:rsidP="00F11930">
      <w:pPr>
        <w:spacing w:line="360" w:lineRule="auto"/>
        <w:jc w:val="both"/>
        <w:rPr>
          <w:rFonts w:cstheme="majorHAnsi"/>
          <w:sz w:val="24"/>
        </w:rPr>
      </w:pPr>
      <w:r w:rsidRPr="00AF5519">
        <w:rPr>
          <w:rFonts w:cstheme="majorHAnsi"/>
          <w:sz w:val="24"/>
        </w:rPr>
        <w:t>These findings can be used to help engage and grow the events industry in the same revolutionary and leading-edge stratagem from which social media platforms exist. In order for this level of effectuality to be reached, the following recommendations have been made:</w:t>
      </w:r>
    </w:p>
    <w:p w:rsidR="00F11930" w:rsidRPr="00AF5519" w:rsidRDefault="00F11930" w:rsidP="00F11930">
      <w:pPr>
        <w:rPr>
          <w:rFonts w:cstheme="majorHAnsi"/>
          <w:sz w:val="24"/>
        </w:rPr>
      </w:pPr>
    </w:p>
    <w:p w:rsidR="00F11930" w:rsidRPr="00AF5519" w:rsidRDefault="00F11930" w:rsidP="00F11930">
      <w:pPr>
        <w:pStyle w:val="ListParagraph"/>
        <w:numPr>
          <w:ilvl w:val="0"/>
          <w:numId w:val="6"/>
        </w:numPr>
        <w:spacing w:line="360" w:lineRule="auto"/>
        <w:jc w:val="both"/>
        <w:rPr>
          <w:rFonts w:cstheme="majorHAnsi"/>
          <w:sz w:val="24"/>
        </w:rPr>
      </w:pPr>
      <w:r w:rsidRPr="00AF5519">
        <w:rPr>
          <w:rFonts w:cstheme="majorHAnsi"/>
          <w:sz w:val="24"/>
        </w:rPr>
        <w:t xml:space="preserve">To utilise social media influencers to actively encourage, inspire and engage future event attendees, centring largely on the homophily principle. </w:t>
      </w:r>
    </w:p>
    <w:p w:rsidR="00F11930" w:rsidRPr="00AF5519" w:rsidRDefault="00F11930" w:rsidP="00F11930">
      <w:pPr>
        <w:pStyle w:val="ListParagraph"/>
        <w:numPr>
          <w:ilvl w:val="0"/>
          <w:numId w:val="6"/>
        </w:numPr>
        <w:spacing w:line="360" w:lineRule="auto"/>
        <w:jc w:val="both"/>
        <w:rPr>
          <w:rFonts w:cstheme="majorHAnsi"/>
          <w:sz w:val="24"/>
        </w:rPr>
      </w:pPr>
      <w:r w:rsidRPr="00AF5519">
        <w:rPr>
          <w:rFonts w:cstheme="majorHAnsi"/>
          <w:sz w:val="24"/>
        </w:rPr>
        <w:t>To use out-of-the-box concepts to create authentic event experiences that have an element of smartphone escapism that can counteract the continuity and albatross of social media.</w:t>
      </w:r>
    </w:p>
    <w:p w:rsidR="00F11930" w:rsidRPr="00AF5519" w:rsidRDefault="00F11930" w:rsidP="00F11930">
      <w:pPr>
        <w:pStyle w:val="ListParagraph"/>
        <w:numPr>
          <w:ilvl w:val="0"/>
          <w:numId w:val="6"/>
        </w:numPr>
        <w:spacing w:line="360" w:lineRule="auto"/>
        <w:jc w:val="both"/>
        <w:rPr>
          <w:rFonts w:cstheme="majorHAnsi"/>
          <w:sz w:val="24"/>
        </w:rPr>
      </w:pPr>
      <w:r w:rsidRPr="00AF5519">
        <w:rPr>
          <w:rFonts w:cstheme="majorHAnsi"/>
          <w:sz w:val="24"/>
        </w:rPr>
        <w:t>To minimise screen distraction by creating smartphone control measures to ensure that there is a healthy balance between allowing attendees to share their experience of the moment without diminishing the enjoyment of it.</w:t>
      </w:r>
    </w:p>
    <w:p w:rsidR="00F11930" w:rsidRPr="00AF5519" w:rsidRDefault="00F11930" w:rsidP="00F11930">
      <w:pPr>
        <w:pStyle w:val="ListParagraph"/>
        <w:numPr>
          <w:ilvl w:val="0"/>
          <w:numId w:val="6"/>
        </w:numPr>
        <w:spacing w:line="360" w:lineRule="auto"/>
        <w:jc w:val="both"/>
        <w:rPr>
          <w:rFonts w:cstheme="majorHAnsi"/>
          <w:sz w:val="24"/>
        </w:rPr>
      </w:pPr>
      <w:r w:rsidRPr="00AF5519">
        <w:rPr>
          <w:rFonts w:cstheme="majorHAnsi"/>
          <w:sz w:val="24"/>
        </w:rPr>
        <w:t>To increase the use of official event photographers to capture large amounts of content from the event that can be made readily available to share immediately after the event.</w:t>
      </w:r>
    </w:p>
    <w:p w:rsidR="00F11930" w:rsidRPr="00AF5519" w:rsidRDefault="00F11930" w:rsidP="00F11930">
      <w:pPr>
        <w:rPr>
          <w:rFonts w:cstheme="majorHAnsi"/>
          <w:sz w:val="24"/>
        </w:rPr>
      </w:pPr>
    </w:p>
    <w:p w:rsidR="00F11930" w:rsidRPr="00AF5519" w:rsidRDefault="00F11930" w:rsidP="00F11930"/>
    <w:p w:rsidR="00F11930" w:rsidRPr="00AF5519" w:rsidRDefault="00F11930" w:rsidP="00F11930">
      <w:pPr>
        <w:pStyle w:val="Heading2"/>
        <w:rPr>
          <w:rFonts w:asciiTheme="minorHAnsi" w:hAnsiTheme="minorHAnsi"/>
        </w:rPr>
      </w:pPr>
      <w:bookmarkStart w:id="130" w:name="_Toc41557673"/>
      <w:bookmarkStart w:id="131" w:name="_Toc41648227"/>
      <w:r w:rsidRPr="00AF5519">
        <w:rPr>
          <w:rFonts w:asciiTheme="minorHAnsi" w:hAnsiTheme="minorHAnsi"/>
        </w:rPr>
        <w:t>5.5. Limitations of the research</w:t>
      </w:r>
      <w:bookmarkEnd w:id="130"/>
      <w:bookmarkEnd w:id="131"/>
    </w:p>
    <w:p w:rsidR="00F11930" w:rsidRPr="00AF5519" w:rsidRDefault="00F11930" w:rsidP="00F11930"/>
    <w:p w:rsidR="00F11930" w:rsidRPr="00AF5519" w:rsidRDefault="00F11930" w:rsidP="00F11930">
      <w:pPr>
        <w:spacing w:line="360" w:lineRule="auto"/>
        <w:jc w:val="both"/>
        <w:rPr>
          <w:rFonts w:cstheme="majorHAnsi"/>
          <w:sz w:val="24"/>
        </w:rPr>
      </w:pPr>
      <w:r w:rsidRPr="00AF5519">
        <w:rPr>
          <w:rFonts w:cstheme="majorHAnsi"/>
          <w:sz w:val="24"/>
        </w:rPr>
        <w:t xml:space="preserve">The main limitation of this research was the restricted time availability in which to carry out and analyse the primary research. As a result of the time limitation, the data collection methods were only able to be implemented over a three-month period. As the data collected asked respondents to refer to the most recent event they attended, it may suggest that the results are based upon events that took place over the winter period and so may not provide a broader representation of summer season events which are often seen as the largest contributors to the event industry. This limited time availability also meant that the opportunity to measure change over time offered by a longitudinal study, was in this study restricted by a deadline. </w:t>
      </w:r>
    </w:p>
    <w:p w:rsidR="00F11930" w:rsidRPr="00AF5519" w:rsidRDefault="00F11930" w:rsidP="00F11930">
      <w:pPr>
        <w:spacing w:line="360" w:lineRule="auto"/>
        <w:jc w:val="both"/>
        <w:rPr>
          <w:rFonts w:cstheme="majorHAnsi"/>
          <w:sz w:val="24"/>
        </w:rPr>
      </w:pPr>
      <w:r w:rsidRPr="00AF5519">
        <w:rPr>
          <w:rFonts w:cstheme="majorHAnsi"/>
          <w:sz w:val="24"/>
        </w:rPr>
        <w:t xml:space="preserve">Additionally, within the interviews and questionnaire results other factors were mentioned including the desire of participants to frequently check their smartphones during live events. However, the researcher was unable to statistically test this circumstantial piece of evidence as a key factor in impacting event experience as it is difficult to determine whether this action was influenced by social media or by other essential provisions of a smartphone. </w:t>
      </w:r>
    </w:p>
    <w:p w:rsidR="00F11930" w:rsidRPr="00AF5519" w:rsidRDefault="00F11930" w:rsidP="00F11930">
      <w:pPr>
        <w:spacing w:line="360" w:lineRule="auto"/>
        <w:jc w:val="both"/>
        <w:rPr>
          <w:rFonts w:cstheme="majorHAnsi"/>
          <w:sz w:val="24"/>
        </w:rPr>
      </w:pPr>
      <w:r w:rsidRPr="00AF5519">
        <w:rPr>
          <w:rFonts w:cstheme="majorHAnsi"/>
          <w:sz w:val="24"/>
        </w:rPr>
        <w:t xml:space="preserve">From an epistemological standpoint, the thesis could also have benefited from a deeper pragmatic approach. As a mixed-method study, the research already contained elements of pragmatism. A greater application of the pragmatic approach however would have acted as an objective mediator between the interpretivist and positivistic approaches of the thesis and therefore helped to better understand the multiple realities of the subject matter and helped to reach a more balanced conclusion. </w:t>
      </w:r>
    </w:p>
    <w:p w:rsidR="00F11930" w:rsidRPr="00AF5519" w:rsidRDefault="00F11930" w:rsidP="00F11930"/>
    <w:p w:rsidR="00F11930" w:rsidRPr="00AF5519" w:rsidRDefault="00F11930" w:rsidP="00F11930">
      <w:pPr>
        <w:pStyle w:val="Heading2"/>
        <w:rPr>
          <w:rFonts w:asciiTheme="minorHAnsi" w:hAnsiTheme="minorHAnsi"/>
        </w:rPr>
      </w:pPr>
      <w:bookmarkStart w:id="132" w:name="_Toc41557674"/>
      <w:bookmarkStart w:id="133" w:name="_Toc41648228"/>
      <w:r w:rsidRPr="00AF5519">
        <w:rPr>
          <w:rFonts w:asciiTheme="minorHAnsi" w:hAnsiTheme="minorHAnsi"/>
        </w:rPr>
        <w:t>5.6. Recommendations for future studies</w:t>
      </w:r>
      <w:bookmarkEnd w:id="132"/>
      <w:bookmarkEnd w:id="133"/>
      <w:r w:rsidRPr="00AF5519">
        <w:rPr>
          <w:rFonts w:asciiTheme="minorHAnsi" w:hAnsiTheme="minorHAnsi"/>
        </w:rPr>
        <w:t xml:space="preserve"> </w:t>
      </w:r>
    </w:p>
    <w:p w:rsidR="00F11930" w:rsidRPr="00AF5519" w:rsidRDefault="00F11930" w:rsidP="00F11930">
      <w:pPr>
        <w:spacing w:line="360" w:lineRule="auto"/>
        <w:jc w:val="both"/>
      </w:pPr>
    </w:p>
    <w:p w:rsidR="00F11930" w:rsidRPr="00AF5519" w:rsidRDefault="00F11930" w:rsidP="00F11930">
      <w:pPr>
        <w:spacing w:line="360" w:lineRule="auto"/>
        <w:jc w:val="both"/>
        <w:rPr>
          <w:rFonts w:cstheme="majorHAnsi"/>
          <w:sz w:val="24"/>
        </w:rPr>
      </w:pPr>
      <w:r w:rsidRPr="00AF5519">
        <w:rPr>
          <w:rFonts w:cstheme="majorHAnsi"/>
          <w:sz w:val="24"/>
        </w:rPr>
        <w:t xml:space="preserve">The geographical element of this research has meant that the results are representative of only a particular geographical location. This same study therefore could be applied to other Cities similar to Swansea, or areas both larger and smaller than Swansea to further understand whether geographical location or population statistics contributes to differences </w:t>
      </w:r>
      <w:r w:rsidRPr="00AF5519">
        <w:rPr>
          <w:rFonts w:cstheme="majorHAnsi"/>
          <w:sz w:val="24"/>
        </w:rPr>
        <w:lastRenderedPageBreak/>
        <w:t xml:space="preserve">in results. The study could also be applied internationally to further understand how social media impacts the events industry in the United Kingdom compared to other countries. It is recommended that both the quantitative and qualitative element of this study also be applied to attendees of a singular live event to determine whether different individual events are affected differently by social media rather than the events industry as a whole. </w:t>
      </w:r>
    </w:p>
    <w:p w:rsidR="00F11930" w:rsidRPr="00AF5519" w:rsidRDefault="00F11930" w:rsidP="00F11930">
      <w:pPr>
        <w:spacing w:line="360" w:lineRule="auto"/>
        <w:jc w:val="both"/>
      </w:pPr>
    </w:p>
    <w:p w:rsidR="00F11930" w:rsidRPr="00AF5519" w:rsidRDefault="00F11930" w:rsidP="00F11930">
      <w:pPr>
        <w:pStyle w:val="Heading2"/>
        <w:rPr>
          <w:rFonts w:asciiTheme="minorHAnsi" w:hAnsiTheme="minorHAnsi"/>
        </w:rPr>
      </w:pPr>
      <w:bookmarkStart w:id="134" w:name="_Toc41557675"/>
      <w:bookmarkStart w:id="135" w:name="_Toc41648229"/>
      <w:r w:rsidRPr="00AF5519">
        <w:rPr>
          <w:rFonts w:asciiTheme="minorHAnsi" w:hAnsiTheme="minorHAnsi"/>
        </w:rPr>
        <w:t>5.7. Conclusion</w:t>
      </w:r>
      <w:bookmarkEnd w:id="134"/>
      <w:bookmarkEnd w:id="135"/>
      <w:r w:rsidRPr="00AF5519">
        <w:rPr>
          <w:rFonts w:asciiTheme="minorHAnsi" w:hAnsiTheme="minorHAnsi"/>
        </w:rPr>
        <w:t xml:space="preserve"> </w:t>
      </w:r>
    </w:p>
    <w:p w:rsidR="00F11930" w:rsidRPr="00AF5519" w:rsidRDefault="00F11930" w:rsidP="00F11930">
      <w:pPr>
        <w:spacing w:line="360" w:lineRule="auto"/>
        <w:jc w:val="both"/>
      </w:pPr>
    </w:p>
    <w:p w:rsidR="00F11930" w:rsidRPr="00AF5519" w:rsidRDefault="00F11930" w:rsidP="00F11930">
      <w:pPr>
        <w:spacing w:line="360" w:lineRule="auto"/>
        <w:jc w:val="both"/>
        <w:rPr>
          <w:rFonts w:cstheme="majorHAnsi"/>
          <w:sz w:val="24"/>
        </w:rPr>
      </w:pPr>
      <w:r w:rsidRPr="00AF5519">
        <w:rPr>
          <w:rFonts w:cstheme="majorHAnsi"/>
          <w:sz w:val="24"/>
        </w:rPr>
        <w:t>As a result of this research, it can be concluded that social media does contribute significantly to the events industry and the overall experience of live events. It is evident that event manager’s play a significant role in creating a healthy balance of social media use throughout events to successfully promote a</w:t>
      </w:r>
      <w:bookmarkStart w:id="136" w:name="_GoBack"/>
      <w:bookmarkEnd w:id="136"/>
      <w:r w:rsidRPr="00AF5519">
        <w:rPr>
          <w:rFonts w:cstheme="majorHAnsi"/>
          <w:sz w:val="24"/>
        </w:rPr>
        <w:t xml:space="preserve">nd engage event audiences but without hindering the overall ability of individuals to feel present in the experience. </w:t>
      </w:r>
    </w:p>
    <w:p w:rsidR="002A362A" w:rsidRDefault="002A362A"/>
    <w:sectPr w:rsidR="002A36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Bell MT">
    <w:panose1 w:val="02020503060305020303"/>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EB79AE"/>
    <w:multiLevelType w:val="multilevel"/>
    <w:tmpl w:val="8248A9C2"/>
    <w:lvl w:ilvl="0">
      <w:start w:val="1"/>
      <w:numFmt w:val="upperRoman"/>
      <w:lvlText w:val="%1."/>
      <w:lvlJc w:val="left"/>
      <w:pPr>
        <w:ind w:left="1080" w:hanging="72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13886F65"/>
    <w:multiLevelType w:val="multilevel"/>
    <w:tmpl w:val="6CE8A1BE"/>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3C127D6"/>
    <w:multiLevelType w:val="hybridMultilevel"/>
    <w:tmpl w:val="FE467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E06F0E"/>
    <w:multiLevelType w:val="multilevel"/>
    <w:tmpl w:val="8248A9C2"/>
    <w:lvl w:ilvl="0">
      <w:start w:val="1"/>
      <w:numFmt w:val="upperRoman"/>
      <w:lvlText w:val="%1."/>
      <w:lvlJc w:val="left"/>
      <w:pPr>
        <w:ind w:left="1080" w:hanging="72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554C124A"/>
    <w:multiLevelType w:val="multilevel"/>
    <w:tmpl w:val="8248A9C2"/>
    <w:lvl w:ilvl="0">
      <w:start w:val="1"/>
      <w:numFmt w:val="upperRoman"/>
      <w:lvlText w:val="%1."/>
      <w:lvlJc w:val="left"/>
      <w:pPr>
        <w:ind w:left="1080" w:hanging="72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56774922"/>
    <w:multiLevelType w:val="hybridMultilevel"/>
    <w:tmpl w:val="15408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1930"/>
    <w:rsid w:val="002A362A"/>
    <w:rsid w:val="00594C5F"/>
    <w:rsid w:val="00F119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B68BF07-CF93-4D0D-9025-DA4B2B1BD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11930"/>
  </w:style>
  <w:style w:type="paragraph" w:styleId="Heading1">
    <w:name w:val="heading 1"/>
    <w:basedOn w:val="Normal"/>
    <w:next w:val="Normal"/>
    <w:link w:val="Heading1Char"/>
    <w:uiPriority w:val="99"/>
    <w:qFormat/>
    <w:rsid w:val="00F1193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1193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1193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9"/>
    <w:unhideWhenUsed/>
    <w:qFormat/>
    <w:rsid w:val="00F1193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1193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11930"/>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F11930"/>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9"/>
    <w:rsid w:val="00F11930"/>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F11930"/>
    <w:pPr>
      <w:ind w:left="720"/>
      <w:contextualSpacing/>
    </w:pPr>
  </w:style>
  <w:style w:type="character" w:styleId="Hyperlink">
    <w:name w:val="Hyperlink"/>
    <w:basedOn w:val="DefaultParagraphFont"/>
    <w:uiPriority w:val="99"/>
    <w:unhideWhenUsed/>
    <w:rsid w:val="00F1193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chart" Target="charts/chart2.xml"/><Relationship Id="rId18" Type="http://schemas.openxmlformats.org/officeDocument/2006/relationships/chart" Target="charts/chart5.xml"/><Relationship Id="rId26" Type="http://schemas.microsoft.com/office/2007/relationships/diagramDrawing" Target="diagrams/drawing1.xml"/><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image" Target="media/image3.jpeg"/><Relationship Id="rId12" Type="http://schemas.openxmlformats.org/officeDocument/2006/relationships/image" Target="media/image7.jpeg"/><Relationship Id="rId17" Type="http://schemas.openxmlformats.org/officeDocument/2006/relationships/image" Target="media/image9.png"/><Relationship Id="rId25" Type="http://schemas.openxmlformats.org/officeDocument/2006/relationships/diagramColors" Target="diagrams/colors1.xml"/><Relationship Id="rId2" Type="http://schemas.openxmlformats.org/officeDocument/2006/relationships/styles" Target="styles.xml"/><Relationship Id="rId16" Type="http://schemas.openxmlformats.org/officeDocument/2006/relationships/chart" Target="charts/chart4.xml"/><Relationship Id="rId20" Type="http://schemas.openxmlformats.org/officeDocument/2006/relationships/chart" Target="charts/chart7.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chart" Target="charts/chart1.xml"/><Relationship Id="rId24" Type="http://schemas.openxmlformats.org/officeDocument/2006/relationships/diagramQuickStyle" Target="diagrams/quickStyle1.xml"/><Relationship Id="rId5" Type="http://schemas.openxmlformats.org/officeDocument/2006/relationships/image" Target="media/image1.png"/><Relationship Id="rId15" Type="http://schemas.openxmlformats.org/officeDocument/2006/relationships/chart" Target="charts/chart3.xml"/><Relationship Id="rId23" Type="http://schemas.openxmlformats.org/officeDocument/2006/relationships/diagramLayout" Target="diagrams/layout1.xml"/><Relationship Id="rId28" Type="http://schemas.openxmlformats.org/officeDocument/2006/relationships/theme" Target="theme/theme1.xml"/><Relationship Id="rId10" Type="http://schemas.openxmlformats.org/officeDocument/2006/relationships/image" Target="media/image6.jpeg"/><Relationship Id="rId19" Type="http://schemas.openxmlformats.org/officeDocument/2006/relationships/chart" Target="charts/chart6.xm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8.png"/><Relationship Id="rId22" Type="http://schemas.openxmlformats.org/officeDocument/2006/relationships/diagramData" Target="diagrams/data1.xm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Caitlin%20James-Dean\Documents\Useful%20info\spss\DATA%20FOR%20ANALYSIS%20BY%20GRAHAM.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Sheet2!$F$8</c:f>
              <c:strCache>
                <c:ptCount val="1"/>
                <c:pt idx="0">
                  <c:v>Sourcing Event Information</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DBCA-4931-A4FF-20EAE5504D58}"/>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DBCA-4931-A4FF-20EAE5504D58}"/>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DBCA-4931-A4FF-20EAE5504D58}"/>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DBCA-4931-A4FF-20EAE5504D58}"/>
                </c:ext>
              </c:extLst>
            </c:dLbl>
            <c:dLbl>
              <c:idx val="1"/>
              <c:layout>
                <c:manualLayout>
                  <c:x val="-1.1111111111111136E-2"/>
                  <c:y val="2.3148148148148147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DBCA-4931-A4FF-20EAE5504D58}"/>
                </c:ext>
              </c:extLst>
            </c:dLbl>
            <c:dLbl>
              <c:idx val="2"/>
              <c:layout>
                <c:manualLayout>
                  <c:x val="0.11666666666666657"/>
                  <c:y val="0"/>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DBCA-4931-A4FF-20EAE5504D58}"/>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Sheet2!$G$7:$I$7</c:f>
              <c:strCache>
                <c:ptCount val="3"/>
                <c:pt idx="0">
                  <c:v>Social Media</c:v>
                </c:pt>
                <c:pt idx="1">
                  <c:v>Event Website</c:v>
                </c:pt>
                <c:pt idx="2">
                  <c:v>Google</c:v>
                </c:pt>
              </c:strCache>
            </c:strRef>
          </c:cat>
          <c:val>
            <c:numRef>
              <c:f>Sheet2!$G$8:$I$8</c:f>
              <c:numCache>
                <c:formatCode>General</c:formatCode>
                <c:ptCount val="3"/>
                <c:pt idx="0">
                  <c:v>106</c:v>
                </c:pt>
                <c:pt idx="1">
                  <c:v>4</c:v>
                </c:pt>
                <c:pt idx="2">
                  <c:v>3</c:v>
                </c:pt>
              </c:numCache>
            </c:numRef>
          </c:val>
          <c:extLst>
            <c:ext xmlns:c16="http://schemas.microsoft.com/office/drawing/2014/chart" uri="{C3380CC4-5D6E-409C-BE32-E72D297353CC}">
              <c16:uniqueId val="{00000006-DBCA-4931-A4FF-20EAE5504D58}"/>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radarChart>
        <c:radarStyle val="marker"/>
        <c:varyColors val="0"/>
        <c:ser>
          <c:idx val="0"/>
          <c:order val="0"/>
          <c:spPr>
            <a:ln w="25400" cap="rnd" cmpd="sng" algn="ctr">
              <a:solidFill>
                <a:schemeClr val="accent1"/>
              </a:solidFill>
              <a:prstDash val="sysDot"/>
              <a:round/>
            </a:ln>
            <a:effectLst/>
          </c:spPr>
          <c:marker>
            <c:symbol val="circle"/>
            <c:size val="6"/>
            <c:spPr>
              <a:solidFill>
                <a:schemeClr val="accent1"/>
              </a:solidFill>
              <a:ln>
                <a:noFill/>
              </a:ln>
              <a:effectLst/>
            </c:spPr>
          </c:marker>
          <c:cat>
            <c:strRef>
              <c:f>Sheet2!$F$46:$I$46</c:f>
              <c:strCache>
                <c:ptCount val="4"/>
                <c:pt idx="0">
                  <c:v>Social media</c:v>
                </c:pt>
                <c:pt idx="1">
                  <c:v>Memory keeping</c:v>
                </c:pt>
                <c:pt idx="2">
                  <c:v>Both</c:v>
                </c:pt>
                <c:pt idx="3">
                  <c:v>Neither</c:v>
                </c:pt>
              </c:strCache>
            </c:strRef>
          </c:cat>
          <c:val>
            <c:numRef>
              <c:f>Sheet2!$F$47:$I$47</c:f>
              <c:numCache>
                <c:formatCode>General</c:formatCode>
                <c:ptCount val="4"/>
                <c:pt idx="0">
                  <c:v>22</c:v>
                </c:pt>
                <c:pt idx="1">
                  <c:v>87</c:v>
                </c:pt>
                <c:pt idx="2">
                  <c:v>49</c:v>
                </c:pt>
                <c:pt idx="3">
                  <c:v>2</c:v>
                </c:pt>
              </c:numCache>
            </c:numRef>
          </c:val>
          <c:extLst>
            <c:ext xmlns:c16="http://schemas.microsoft.com/office/drawing/2014/chart" uri="{C3380CC4-5D6E-409C-BE32-E72D297353CC}">
              <c16:uniqueId val="{00000000-8B46-419A-885A-81871F454F32}"/>
            </c:ext>
          </c:extLst>
        </c:ser>
        <c:dLbls>
          <c:showLegendKey val="0"/>
          <c:showVal val="0"/>
          <c:showCatName val="0"/>
          <c:showSerName val="0"/>
          <c:showPercent val="0"/>
          <c:showBubbleSize val="0"/>
        </c:dLbls>
        <c:axId val="1993828768"/>
        <c:axId val="1993813376"/>
      </c:radarChart>
      <c:catAx>
        <c:axId val="1993828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3813376"/>
        <c:crosses val="autoZero"/>
        <c:auto val="1"/>
        <c:lblAlgn val="ctr"/>
        <c:lblOffset val="100"/>
        <c:noMultiLvlLbl val="0"/>
      </c:catAx>
      <c:valAx>
        <c:axId val="1993813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38287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spPr>
            <a:solidFill>
              <a:schemeClr val="accent1"/>
            </a:solidFill>
            <a:ln>
              <a:noFill/>
            </a:ln>
            <a:effectLst/>
          </c:spPr>
          <c:invertIfNegative val="0"/>
          <c:cat>
            <c:multiLvlStrRef>
              <c:f>Sheet2!$G$73:$J$74</c:f>
              <c:multiLvlStrCache>
                <c:ptCount val="4"/>
                <c:lvl>
                  <c:pt idx="0">
                    <c:v>No.</c:v>
                  </c:pt>
                  <c:pt idx="1">
                    <c:v>%</c:v>
                  </c:pt>
                  <c:pt idx="2">
                    <c:v>No.</c:v>
                  </c:pt>
                  <c:pt idx="3">
                    <c:v>%</c:v>
                  </c:pt>
                </c:lvl>
                <c:lvl>
                  <c:pt idx="0">
                    <c:v>Yes</c:v>
                  </c:pt>
                  <c:pt idx="2">
                    <c:v>No</c:v>
                  </c:pt>
                </c:lvl>
              </c:multiLvlStrCache>
            </c:multiLvlStrRef>
          </c:cat>
          <c:val>
            <c:numRef>
              <c:f>Sheet2!$G$75:$J$75</c:f>
              <c:numCache>
                <c:formatCode>0.00%</c:formatCode>
                <c:ptCount val="4"/>
                <c:pt idx="0" formatCode="General">
                  <c:v>97</c:v>
                </c:pt>
                <c:pt idx="1">
                  <c:v>0.6</c:v>
                </c:pt>
                <c:pt idx="2" formatCode="General">
                  <c:v>63</c:v>
                </c:pt>
                <c:pt idx="3">
                  <c:v>0.4</c:v>
                </c:pt>
              </c:numCache>
            </c:numRef>
          </c:val>
          <c:extLst>
            <c:ext xmlns:c16="http://schemas.microsoft.com/office/drawing/2014/chart" uri="{C3380CC4-5D6E-409C-BE32-E72D297353CC}">
              <c16:uniqueId val="{00000000-D710-4BF1-9DEE-3BE090AD984B}"/>
            </c:ext>
          </c:extLst>
        </c:ser>
        <c:dLbls>
          <c:showLegendKey val="0"/>
          <c:showVal val="0"/>
          <c:showCatName val="0"/>
          <c:showSerName val="0"/>
          <c:showPercent val="0"/>
          <c:showBubbleSize val="0"/>
        </c:dLbls>
        <c:gapWidth val="247"/>
        <c:overlap val="-58"/>
        <c:axId val="1775727375"/>
        <c:axId val="1775726959"/>
      </c:barChart>
      <c:catAx>
        <c:axId val="1775727375"/>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775726959"/>
        <c:crosses val="autoZero"/>
        <c:auto val="1"/>
        <c:lblAlgn val="ctr"/>
        <c:lblOffset val="100"/>
        <c:noMultiLvlLbl val="0"/>
      </c:catAx>
      <c:valAx>
        <c:axId val="1775726959"/>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775727375"/>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smoothMarker"/>
        <c:varyColors val="0"/>
        <c:ser>
          <c:idx val="0"/>
          <c:order val="0"/>
          <c:tx>
            <c:strRef>
              <c:f>Sheet2!$F$93</c:f>
              <c:strCache>
                <c:ptCount val="1"/>
                <c:pt idx="0">
                  <c:v>Fear of judgement</c:v>
                </c:pt>
              </c:strCache>
            </c:strRef>
          </c:tx>
          <c:spPr>
            <a:ln w="25400" cap="flat" cmpd="dbl" algn="ctr">
              <a:solidFill>
                <a:schemeClr val="accent1">
                  <a:alpha val="50000"/>
                </a:schemeClr>
              </a:solidFill>
              <a:round/>
            </a:ln>
            <a:effectLst/>
          </c:spPr>
          <c:marker>
            <c:symbol val="circle"/>
            <c:size val="6"/>
            <c:spPr>
              <a:noFill/>
              <a:ln w="34925" cap="flat" cmpd="dbl" algn="ctr">
                <a:solidFill>
                  <a:schemeClr val="accent1">
                    <a:lumMod val="75000"/>
                    <a:alpha val="70000"/>
                  </a:schemeClr>
                </a:solidFill>
                <a:round/>
              </a:ln>
              <a:effectLst/>
            </c:spPr>
          </c:marker>
          <c:xVal>
            <c:multiLvlStrRef>
              <c:f>Sheet2!$G$91:$J$92</c:f>
              <c:multiLvlStrCache>
                <c:ptCount val="4"/>
                <c:lvl>
                  <c:pt idx="0">
                    <c:v>No.</c:v>
                  </c:pt>
                  <c:pt idx="1">
                    <c:v>%</c:v>
                  </c:pt>
                  <c:pt idx="2">
                    <c:v>No.</c:v>
                  </c:pt>
                  <c:pt idx="3">
                    <c:v>%</c:v>
                  </c:pt>
                </c:lvl>
                <c:lvl>
                  <c:pt idx="0">
                    <c:v>Yes</c:v>
                  </c:pt>
                  <c:pt idx="2">
                    <c:v>No</c:v>
                  </c:pt>
                </c:lvl>
              </c:multiLvlStrCache>
            </c:multiLvlStrRef>
          </c:xVal>
          <c:yVal>
            <c:numRef>
              <c:f>Sheet2!$G$93:$J$93</c:f>
              <c:numCache>
                <c:formatCode>0.00%</c:formatCode>
                <c:ptCount val="4"/>
                <c:pt idx="0" formatCode="General">
                  <c:v>113</c:v>
                </c:pt>
                <c:pt idx="1">
                  <c:v>0.70620000000000005</c:v>
                </c:pt>
                <c:pt idx="2" formatCode="General">
                  <c:v>47</c:v>
                </c:pt>
                <c:pt idx="3">
                  <c:v>0.29370000000000002</c:v>
                </c:pt>
              </c:numCache>
            </c:numRef>
          </c:yVal>
          <c:smooth val="1"/>
          <c:extLst>
            <c:ext xmlns:c16="http://schemas.microsoft.com/office/drawing/2014/chart" uri="{C3380CC4-5D6E-409C-BE32-E72D297353CC}">
              <c16:uniqueId val="{00000000-4EB5-41EE-8D35-28185C34C6F1}"/>
            </c:ext>
          </c:extLst>
        </c:ser>
        <c:ser>
          <c:idx val="1"/>
          <c:order val="1"/>
          <c:tx>
            <c:strRef>
              <c:f>Sheet2!$F$94</c:f>
              <c:strCache>
                <c:ptCount val="1"/>
                <c:pt idx="0">
                  <c:v>Selective posting</c:v>
                </c:pt>
              </c:strCache>
            </c:strRef>
          </c:tx>
          <c:spPr>
            <a:ln w="25400" cap="flat" cmpd="dbl" algn="ctr">
              <a:solidFill>
                <a:schemeClr val="accent2">
                  <a:alpha val="50000"/>
                </a:schemeClr>
              </a:solidFill>
              <a:round/>
            </a:ln>
            <a:effectLst/>
          </c:spPr>
          <c:marker>
            <c:symbol val="circle"/>
            <c:size val="6"/>
            <c:spPr>
              <a:noFill/>
              <a:ln w="34925" cap="flat" cmpd="dbl" algn="ctr">
                <a:solidFill>
                  <a:schemeClr val="accent2">
                    <a:lumMod val="75000"/>
                    <a:alpha val="70000"/>
                  </a:schemeClr>
                </a:solidFill>
                <a:round/>
              </a:ln>
              <a:effectLst/>
            </c:spPr>
          </c:marker>
          <c:xVal>
            <c:multiLvlStrRef>
              <c:f>Sheet2!$G$91:$J$92</c:f>
              <c:multiLvlStrCache>
                <c:ptCount val="4"/>
                <c:lvl>
                  <c:pt idx="0">
                    <c:v>No.</c:v>
                  </c:pt>
                  <c:pt idx="1">
                    <c:v>%</c:v>
                  </c:pt>
                  <c:pt idx="2">
                    <c:v>No.</c:v>
                  </c:pt>
                  <c:pt idx="3">
                    <c:v>%</c:v>
                  </c:pt>
                </c:lvl>
                <c:lvl>
                  <c:pt idx="0">
                    <c:v>Yes</c:v>
                  </c:pt>
                  <c:pt idx="2">
                    <c:v>No</c:v>
                  </c:pt>
                </c:lvl>
              </c:multiLvlStrCache>
            </c:multiLvlStrRef>
          </c:xVal>
          <c:yVal>
            <c:numRef>
              <c:f>Sheet2!$G$94:$J$94</c:f>
              <c:numCache>
                <c:formatCode>0.00%</c:formatCode>
                <c:ptCount val="4"/>
                <c:pt idx="0" formatCode="General">
                  <c:v>154</c:v>
                </c:pt>
                <c:pt idx="1">
                  <c:v>0.96250000000000002</c:v>
                </c:pt>
                <c:pt idx="2" formatCode="General">
                  <c:v>6</c:v>
                </c:pt>
                <c:pt idx="3">
                  <c:v>3.7499999999999999E-2</c:v>
                </c:pt>
              </c:numCache>
            </c:numRef>
          </c:yVal>
          <c:smooth val="1"/>
          <c:extLst>
            <c:ext xmlns:c16="http://schemas.microsoft.com/office/drawing/2014/chart" uri="{C3380CC4-5D6E-409C-BE32-E72D297353CC}">
              <c16:uniqueId val="{00000001-4EB5-41EE-8D35-28185C34C6F1}"/>
            </c:ext>
          </c:extLst>
        </c:ser>
        <c:ser>
          <c:idx val="2"/>
          <c:order val="2"/>
          <c:tx>
            <c:strRef>
              <c:f>Sheet2!$F$95</c:f>
              <c:strCache>
                <c:ptCount val="1"/>
                <c:pt idx="0">
                  <c:v>Enjoyment of 'likes' &amp; comments</c:v>
                </c:pt>
              </c:strCache>
            </c:strRef>
          </c:tx>
          <c:spPr>
            <a:ln w="25400" cap="flat" cmpd="dbl" algn="ctr">
              <a:solidFill>
                <a:schemeClr val="accent3">
                  <a:alpha val="50000"/>
                </a:schemeClr>
              </a:solidFill>
              <a:round/>
            </a:ln>
            <a:effectLst/>
          </c:spPr>
          <c:marker>
            <c:symbol val="circle"/>
            <c:size val="6"/>
            <c:spPr>
              <a:noFill/>
              <a:ln w="34925" cap="flat" cmpd="dbl" algn="ctr">
                <a:solidFill>
                  <a:schemeClr val="accent3">
                    <a:lumMod val="75000"/>
                    <a:alpha val="70000"/>
                  </a:schemeClr>
                </a:solidFill>
                <a:round/>
              </a:ln>
              <a:effectLst/>
            </c:spPr>
          </c:marker>
          <c:xVal>
            <c:multiLvlStrRef>
              <c:f>Sheet2!$G$91:$J$92</c:f>
              <c:multiLvlStrCache>
                <c:ptCount val="4"/>
                <c:lvl>
                  <c:pt idx="0">
                    <c:v>No.</c:v>
                  </c:pt>
                  <c:pt idx="1">
                    <c:v>%</c:v>
                  </c:pt>
                  <c:pt idx="2">
                    <c:v>No.</c:v>
                  </c:pt>
                  <c:pt idx="3">
                    <c:v>%</c:v>
                  </c:pt>
                </c:lvl>
                <c:lvl>
                  <c:pt idx="0">
                    <c:v>Yes</c:v>
                  </c:pt>
                  <c:pt idx="2">
                    <c:v>No</c:v>
                  </c:pt>
                </c:lvl>
              </c:multiLvlStrCache>
            </c:multiLvlStrRef>
          </c:xVal>
          <c:yVal>
            <c:numRef>
              <c:f>Sheet2!$G$95:$J$95</c:f>
              <c:numCache>
                <c:formatCode>0.00%</c:formatCode>
                <c:ptCount val="4"/>
                <c:pt idx="0" formatCode="General">
                  <c:v>147</c:v>
                </c:pt>
                <c:pt idx="1">
                  <c:v>0.91869999999999996</c:v>
                </c:pt>
                <c:pt idx="2" formatCode="General">
                  <c:v>13</c:v>
                </c:pt>
                <c:pt idx="3">
                  <c:v>8.1250000000000003E-2</c:v>
                </c:pt>
              </c:numCache>
            </c:numRef>
          </c:yVal>
          <c:smooth val="1"/>
          <c:extLst>
            <c:ext xmlns:c16="http://schemas.microsoft.com/office/drawing/2014/chart" uri="{C3380CC4-5D6E-409C-BE32-E72D297353CC}">
              <c16:uniqueId val="{00000002-4EB5-41EE-8D35-28185C34C6F1}"/>
            </c:ext>
          </c:extLst>
        </c:ser>
        <c:dLbls>
          <c:showLegendKey val="0"/>
          <c:showVal val="0"/>
          <c:showCatName val="0"/>
          <c:showSerName val="0"/>
          <c:showPercent val="0"/>
          <c:showBubbleSize val="0"/>
        </c:dLbls>
        <c:axId val="1783332015"/>
        <c:axId val="1783333679"/>
      </c:scatterChart>
      <c:valAx>
        <c:axId val="1783332015"/>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783333679"/>
        <c:crosses val="autoZero"/>
        <c:crossBetween val="midCat"/>
      </c:valAx>
      <c:valAx>
        <c:axId val="1783333679"/>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3332015"/>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solidFill>
          <a:schemeClr val="lt1">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Sheet2!$F$123</c:f>
              <c:strCache>
                <c:ptCount val="1"/>
                <c:pt idx="0">
                  <c:v>Do you feel you remember the moment less as a result of taking a photo?</c:v>
                </c:pt>
              </c:strCache>
            </c:strRef>
          </c:tx>
          <c:spPr>
            <a:solidFill>
              <a:schemeClr val="accent1"/>
            </a:solidFill>
            <a:ln>
              <a:solidFill>
                <a:schemeClr val="accent1">
                  <a:lumMod val="75000"/>
                </a:schemeClr>
              </a:solidFill>
            </a:ln>
            <a:effectLst/>
            <a:scene3d>
              <a:camera prst="orthographicFront"/>
              <a:lightRig rig="threePt" dir="t"/>
            </a:scene3d>
            <a:sp3d prstMaterial="translucentPowder">
              <a:contourClr>
                <a:schemeClr val="accent1">
                  <a:lumMod val="75000"/>
                </a:schemeClr>
              </a:contourClr>
            </a:sp3d>
          </c:spPr>
          <c:invertIfNegative val="0"/>
          <c:cat>
            <c:strRef>
              <c:f>Sheet2!$G$122:$H$122</c:f>
              <c:strCache>
                <c:ptCount val="2"/>
                <c:pt idx="0">
                  <c:v>Yes</c:v>
                </c:pt>
                <c:pt idx="1">
                  <c:v>No</c:v>
                </c:pt>
              </c:strCache>
            </c:strRef>
          </c:cat>
          <c:val>
            <c:numRef>
              <c:f>Sheet2!$G$123:$H$123</c:f>
              <c:numCache>
                <c:formatCode>General</c:formatCode>
                <c:ptCount val="2"/>
                <c:pt idx="0">
                  <c:v>74</c:v>
                </c:pt>
                <c:pt idx="1">
                  <c:v>86</c:v>
                </c:pt>
              </c:numCache>
            </c:numRef>
          </c:val>
          <c:extLst>
            <c:ext xmlns:c16="http://schemas.microsoft.com/office/drawing/2014/chart" uri="{C3380CC4-5D6E-409C-BE32-E72D297353CC}">
              <c16:uniqueId val="{00000000-790A-4FA2-8A06-6182C636E9CC}"/>
            </c:ext>
          </c:extLst>
        </c:ser>
        <c:dLbls>
          <c:showLegendKey val="0"/>
          <c:showVal val="0"/>
          <c:showCatName val="0"/>
          <c:showSerName val="0"/>
          <c:showPercent val="0"/>
          <c:showBubbleSize val="0"/>
        </c:dLbls>
        <c:gapWidth val="150"/>
        <c:shape val="box"/>
        <c:axId val="1838577072"/>
        <c:axId val="1838579152"/>
        <c:axId val="0"/>
      </c:bar3DChart>
      <c:catAx>
        <c:axId val="183857707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838579152"/>
        <c:crosses val="autoZero"/>
        <c:auto val="1"/>
        <c:lblAlgn val="ctr"/>
        <c:lblOffset val="100"/>
        <c:noMultiLvlLbl val="0"/>
      </c:catAx>
      <c:valAx>
        <c:axId val="1838579152"/>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8385770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25442125984251968"/>
          <c:y val="0.1577670648311818"/>
          <c:w val="0.49115748031496065"/>
          <c:h val="0.81859580052493441"/>
        </c:manualLayout>
      </c:layout>
      <c:radarChart>
        <c:radarStyle val="marker"/>
        <c:varyColors val="0"/>
        <c:ser>
          <c:idx val="0"/>
          <c:order val="0"/>
          <c:tx>
            <c:strRef>
              <c:f>Sheet2!$F$113</c:f>
              <c:strCache>
                <c:ptCount val="1"/>
                <c:pt idx="0">
                  <c:v>How often do you look at your phone during events?</c:v>
                </c:pt>
              </c:strCache>
            </c:strRef>
          </c:tx>
          <c:spPr>
            <a:ln w="25400" cap="rnd" cmpd="sng" algn="ctr">
              <a:solidFill>
                <a:schemeClr val="accent1"/>
              </a:solidFill>
              <a:prstDash val="sysDot"/>
              <a:round/>
            </a:ln>
            <a:effectLst/>
          </c:spPr>
          <c:marker>
            <c:symbol val="circle"/>
            <c:size val="6"/>
            <c:spPr>
              <a:solidFill>
                <a:schemeClr val="accent1"/>
              </a:solidFill>
              <a:ln>
                <a:noFill/>
              </a:ln>
              <a:effectLst/>
            </c:spPr>
          </c:marker>
          <c:cat>
            <c:strRef>
              <c:f>Sheet2!$G$112:$I$112</c:f>
              <c:strCache>
                <c:ptCount val="3"/>
                <c:pt idx="0">
                  <c:v>Rarely</c:v>
                </c:pt>
                <c:pt idx="1">
                  <c:v>Once or twice</c:v>
                </c:pt>
                <c:pt idx="2">
                  <c:v>Frequently</c:v>
                </c:pt>
              </c:strCache>
            </c:strRef>
          </c:cat>
          <c:val>
            <c:numRef>
              <c:f>Sheet2!$G$113:$I$113</c:f>
              <c:numCache>
                <c:formatCode>General</c:formatCode>
                <c:ptCount val="3"/>
                <c:pt idx="0">
                  <c:v>35</c:v>
                </c:pt>
                <c:pt idx="1">
                  <c:v>58</c:v>
                </c:pt>
                <c:pt idx="2">
                  <c:v>67</c:v>
                </c:pt>
              </c:numCache>
            </c:numRef>
          </c:val>
          <c:extLst>
            <c:ext xmlns:c16="http://schemas.microsoft.com/office/drawing/2014/chart" uri="{C3380CC4-5D6E-409C-BE32-E72D297353CC}">
              <c16:uniqueId val="{00000000-7945-4B77-8884-98E1D4A0146D}"/>
            </c:ext>
          </c:extLst>
        </c:ser>
        <c:dLbls>
          <c:showLegendKey val="0"/>
          <c:showVal val="0"/>
          <c:showCatName val="0"/>
          <c:showSerName val="0"/>
          <c:showPercent val="0"/>
          <c:showBubbleSize val="0"/>
        </c:dLbls>
        <c:axId val="1917809008"/>
        <c:axId val="1917814000"/>
      </c:radarChart>
      <c:catAx>
        <c:axId val="19178090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7814000"/>
        <c:crosses val="autoZero"/>
        <c:auto val="1"/>
        <c:lblAlgn val="ctr"/>
        <c:lblOffset val="100"/>
        <c:noMultiLvlLbl val="0"/>
      </c:catAx>
      <c:valAx>
        <c:axId val="1917814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78090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US"/>
              <a:t>Descriptive statistics comparison</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areaChart>
        <c:grouping val="stacked"/>
        <c:varyColors val="0"/>
        <c:ser>
          <c:idx val="0"/>
          <c:order val="0"/>
          <c:tx>
            <c:strRef>
              <c:f>Sheet2!$G$147</c:f>
              <c:strCache>
                <c:ptCount val="1"/>
                <c:pt idx="0">
                  <c:v>Yes</c:v>
                </c:pt>
              </c:strCache>
            </c:strRef>
          </c:tx>
          <c:spPr>
            <a:solidFill>
              <a:schemeClr val="accent1"/>
            </a:solidFill>
            <a:ln>
              <a:noFill/>
            </a:ln>
            <a:effectLst/>
          </c:spPr>
          <c:cat>
            <c:strRef>
              <c:f>Sheet2!$F$148:$F$150</c:f>
              <c:strCache>
                <c:ptCount val="3"/>
                <c:pt idx="0">
                  <c:v>Missed something at an event as a result of looking at their phone</c:v>
                </c:pt>
                <c:pt idx="1">
                  <c:v>Use their phone to take photos/videos at events</c:v>
                </c:pt>
                <c:pt idx="2">
                  <c:v>Checked social media during last event they attended</c:v>
                </c:pt>
              </c:strCache>
            </c:strRef>
          </c:cat>
          <c:val>
            <c:numRef>
              <c:f>Sheet2!$G$148:$G$150</c:f>
              <c:numCache>
                <c:formatCode>General</c:formatCode>
                <c:ptCount val="3"/>
                <c:pt idx="0">
                  <c:v>87</c:v>
                </c:pt>
                <c:pt idx="1">
                  <c:v>142</c:v>
                </c:pt>
                <c:pt idx="2">
                  <c:v>127</c:v>
                </c:pt>
              </c:numCache>
            </c:numRef>
          </c:val>
          <c:extLst>
            <c:ext xmlns:c16="http://schemas.microsoft.com/office/drawing/2014/chart" uri="{C3380CC4-5D6E-409C-BE32-E72D297353CC}">
              <c16:uniqueId val="{00000000-719A-466D-A74B-965B2B50ED04}"/>
            </c:ext>
          </c:extLst>
        </c:ser>
        <c:dLbls>
          <c:showLegendKey val="0"/>
          <c:showVal val="0"/>
          <c:showCatName val="0"/>
          <c:showSerName val="0"/>
          <c:showPercent val="0"/>
          <c:showBubbleSize val="0"/>
        </c:dLbls>
        <c:axId val="2057316928"/>
        <c:axId val="2057329408"/>
      </c:areaChart>
      <c:barChart>
        <c:barDir val="col"/>
        <c:grouping val="clustered"/>
        <c:varyColors val="0"/>
        <c:ser>
          <c:idx val="1"/>
          <c:order val="1"/>
          <c:tx>
            <c:strRef>
              <c:f>Sheet2!$H$147</c:f>
              <c:strCache>
                <c:ptCount val="1"/>
                <c:pt idx="0">
                  <c:v>No</c:v>
                </c:pt>
              </c:strCache>
            </c:strRef>
          </c:tx>
          <c:spPr>
            <a:solidFill>
              <a:schemeClr val="accent2"/>
            </a:solidFill>
            <a:ln>
              <a:noFill/>
            </a:ln>
            <a:effectLst/>
          </c:spPr>
          <c:invertIfNegative val="0"/>
          <c:cat>
            <c:strRef>
              <c:f>Sheet2!$F$148:$F$150</c:f>
              <c:strCache>
                <c:ptCount val="3"/>
                <c:pt idx="0">
                  <c:v>Missed something at an event as a result of looking at their phone</c:v>
                </c:pt>
                <c:pt idx="1">
                  <c:v>Use their phone to take photos/videos at events</c:v>
                </c:pt>
                <c:pt idx="2">
                  <c:v>Checked social media during last event they attended</c:v>
                </c:pt>
              </c:strCache>
            </c:strRef>
          </c:cat>
          <c:val>
            <c:numRef>
              <c:f>Sheet2!$H$148:$H$150</c:f>
              <c:numCache>
                <c:formatCode>General</c:formatCode>
                <c:ptCount val="3"/>
                <c:pt idx="0">
                  <c:v>73</c:v>
                </c:pt>
                <c:pt idx="1">
                  <c:v>18</c:v>
                </c:pt>
                <c:pt idx="2">
                  <c:v>33</c:v>
                </c:pt>
              </c:numCache>
            </c:numRef>
          </c:val>
          <c:extLst>
            <c:ext xmlns:c16="http://schemas.microsoft.com/office/drawing/2014/chart" uri="{C3380CC4-5D6E-409C-BE32-E72D297353CC}">
              <c16:uniqueId val="{00000001-719A-466D-A74B-965B2B50ED04}"/>
            </c:ext>
          </c:extLst>
        </c:ser>
        <c:dLbls>
          <c:showLegendKey val="0"/>
          <c:showVal val="0"/>
          <c:showCatName val="0"/>
          <c:showSerName val="0"/>
          <c:showPercent val="0"/>
          <c:showBubbleSize val="0"/>
        </c:dLbls>
        <c:gapWidth val="269"/>
        <c:axId val="2057316928"/>
        <c:axId val="2057329408"/>
      </c:barChart>
      <c:catAx>
        <c:axId val="2057316928"/>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2057329408"/>
        <c:crosses val="autoZero"/>
        <c:auto val="1"/>
        <c:lblAlgn val="ctr"/>
        <c:lblOffset val="100"/>
        <c:noMultiLvlLbl val="0"/>
      </c:catAx>
      <c:valAx>
        <c:axId val="2057329408"/>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7316928"/>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1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50196"/>
        </a:schemeClr>
      </a:solidFill>
      <a:ln w="25400">
        <a:solidFill>
          <a:schemeClr val="phClr"/>
        </a:solidFill>
        <a:prstDash val="sysDot"/>
      </a:ln>
    </cs:spPr>
  </cs:dataPoint>
  <cs:dataPoint3D>
    <cs:lnRef idx="0">
      <cs:styleClr val="auto"/>
    </cs:lnRef>
    <cs:fillRef idx="0">
      <cs:styleClr val="auto"/>
    </cs:fillRef>
    <cs:effectRef idx="0"/>
    <cs:fontRef idx="minor">
      <a:schemeClr val="tx1"/>
    </cs:fontRef>
    <cs:spPr>
      <a:solidFill>
        <a:schemeClr val="phClr">
          <a:alpha val="50196"/>
        </a:schemeClr>
      </a:solidFill>
      <a:ln w="25400">
        <a:solidFill>
          <a:schemeClr val="phClr"/>
        </a:solidFill>
        <a:prstDash val="sysDot"/>
      </a:ln>
    </cs:spPr>
  </cs:dataPoint3D>
  <cs:dataPointLine>
    <cs:lnRef idx="0">
      <cs:styleClr val="auto"/>
    </cs:lnRef>
    <cs:fillRef idx="0"/>
    <cs:effectRef idx="0"/>
    <cs:fontRef idx="minor">
      <a:schemeClr val="tx1"/>
    </cs:fontRef>
    <cs:spPr>
      <a:ln w="25400" cap="rnd" cmpd="sng" algn="ctr">
        <a:solidFill>
          <a:schemeClr val="phClr"/>
        </a:solidFill>
        <a:prstDash val="sysDot"/>
        <a:round/>
      </a:ln>
    </cs:spPr>
  </cs:dataPointLine>
  <cs:dataPointMarker>
    <cs:lnRef idx="0">
      <cs:styleClr val="auto"/>
    </cs:lnRef>
    <cs:fillRef idx="0">
      <cs:styleClr val="auto"/>
    </cs:fillRef>
    <cs:effectRef idx="0"/>
    <cs:fontRef idx="minor">
      <a:schemeClr val="tx1"/>
    </cs:fontRef>
    <cs:spPr>
      <a:solidFill>
        <a:schemeClr val="phClr"/>
      </a:solidFill>
    </cs:spPr>
  </cs:dataPointMarker>
  <cs:dataPointMarkerLayout symbol="circle" size="6"/>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4.xml><?xml version="1.0" encoding="utf-8"?>
<cs:chartStyle xmlns:cs="http://schemas.microsoft.com/office/drawing/2012/chartStyle" xmlns:a="http://schemas.openxmlformats.org/drawingml/2006/main" id="24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tx1">
        <a:lumMod val="65000"/>
        <a:lumOff val="35000"/>
      </a:schemeClr>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5400" cap="flat" cmpd="dbl" algn="ctr">
        <a:solidFill>
          <a:schemeClr val="phClr">
            <a:alpha val="50000"/>
          </a:schemeClr>
        </a:solidFill>
        <a:round/>
      </a:ln>
    </cs:spPr>
  </cs:dataPointLine>
  <cs:dataPointMarker>
    <cs:lnRef idx="0">
      <cs:styleClr val="auto"/>
    </cs:lnRef>
    <cs:fillRef idx="0">
      <cs:styleClr val="auto"/>
    </cs:fillRef>
    <cs:effectRef idx="0"/>
    <cs:fontRef idx="minor">
      <a:schemeClr val="dk1"/>
    </cs:fontRef>
    <cs:spPr>
      <a:ln w="34925" cap="flat" cmpd="dbl" algn="ctr">
        <a:solidFill>
          <a:schemeClr val="phClr">
            <a:lumMod val="75000"/>
            <a:alpha val="70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kern="1200" spc="0" normalizeH="0" baseline="0"/>
  </cs:title>
  <cs:trendline>
    <cs:lnRef idx="0">
      <cs:styleClr val="0"/>
    </cs:lnRef>
    <cs:fillRef idx="0"/>
    <cs:effectRef idx="0"/>
    <cs:fontRef idx="minor">
      <a:schemeClr val="tx1"/>
    </cs:fontRef>
    <cs:spPr>
      <a:ln w="38100" cap="rnd" cmpd="sng" algn="ctr">
        <a:solidFill>
          <a:schemeClr val="phClr">
            <a:lumMod val="75000"/>
            <a:alpha val="25000"/>
          </a:scheme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b="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92">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lumMod val="75000"/>
          </a:schemeClr>
        </a:solidFill>
      </a:ln>
    </cs:spPr>
  </cs:dataPoint>
  <cs:dataPoint3D>
    <cs:lnRef idx="0">
      <cs:styleClr val="auto"/>
    </cs:lnRef>
    <cs:fillRef idx="0">
      <cs:styleClr val="auto"/>
    </cs:fillRef>
    <cs:effectRef idx="0"/>
    <cs:fontRef idx="minor">
      <a:schemeClr val="tx1"/>
    </cs:fontRef>
    <cs:spPr>
      <a:solidFill>
        <a:schemeClr val="phClr"/>
      </a:solidFill>
      <a:ln>
        <a:solidFill>
          <a:schemeClr val="phClr">
            <a:lumMod val="75000"/>
          </a:schemeClr>
        </a:solidFill>
      </a:ln>
      <a:scene3d>
        <a:camera prst="orthographicFront"/>
        <a:lightRig rig="threePt" dir="t"/>
      </a:scene3d>
      <a:sp3d prstMaterial="translucentPowder"/>
    </cs:spPr>
  </cs:dataPoint3D>
  <cs:dataPointLine>
    <cs:lnRef idx="0">
      <cs:styleClr val="auto"/>
    </cs:lnRef>
    <cs:fillRef idx="0"/>
    <cs:effectRef idx="0"/>
    <cs:fontRef idx="minor">
      <a:schemeClr val="tx1"/>
    </cs:fontRef>
    <cs:spPr>
      <a:ln w="28575" cap="rnd">
        <a:solidFill>
          <a:schemeClr val="phClr">
            <a:alpha val="70000"/>
          </a:schemeClr>
        </a:solidFill>
        <a:round/>
      </a:ln>
    </cs:spPr>
  </cs:dataPointLine>
  <cs:dataPointMarker>
    <cs:lnRef idx="0">
      <cs:styleClr val="auto"/>
    </cs:lnRef>
    <cs:fillRef idx="0">
      <cs:styleClr val="auto"/>
    </cs:fillRef>
    <cs:effectRef idx="0"/>
    <cs:fontRef idx="minor">
      <a:schemeClr val="dk1"/>
    </cs:fontRef>
    <cs:spPr>
      <a:solidFill>
        <a:schemeClr val="phClr">
          <a:alpha val="70000"/>
        </a:schemeClr>
      </a:solidFill>
      <a:ln>
        <a:solidFill>
          <a:schemeClr val="phClr">
            <a:lumMod val="7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tx1"/>
    </cs:fontRef>
    <cs:spPr>
      <a:solidFill>
        <a:schemeClr val="lt1">
          <a:alpha val="27000"/>
        </a:schemeClr>
      </a:solidFill>
      <a:sp3d/>
    </cs:spPr>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0" kern="1200" cap="none" spc="5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tx1"/>
    </cs:fontRef>
    <cs:spPr>
      <a:sp3d/>
    </cs:spPr>
  </cs:wall>
</cs:chartStyle>
</file>

<file path=word/charts/style6.xml><?xml version="1.0" encoding="utf-8"?>
<cs:chartStyle xmlns:cs="http://schemas.microsoft.com/office/drawing/2012/chartStyle" xmlns:a="http://schemas.openxmlformats.org/drawingml/2006/main" id="31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50196"/>
        </a:schemeClr>
      </a:solidFill>
      <a:ln w="25400">
        <a:solidFill>
          <a:schemeClr val="phClr"/>
        </a:solidFill>
        <a:prstDash val="sysDot"/>
      </a:ln>
    </cs:spPr>
  </cs:dataPoint>
  <cs:dataPoint3D>
    <cs:lnRef idx="0">
      <cs:styleClr val="auto"/>
    </cs:lnRef>
    <cs:fillRef idx="0">
      <cs:styleClr val="auto"/>
    </cs:fillRef>
    <cs:effectRef idx="0"/>
    <cs:fontRef idx="minor">
      <a:schemeClr val="tx1"/>
    </cs:fontRef>
    <cs:spPr>
      <a:solidFill>
        <a:schemeClr val="phClr">
          <a:alpha val="50196"/>
        </a:schemeClr>
      </a:solidFill>
      <a:ln w="25400">
        <a:solidFill>
          <a:schemeClr val="phClr"/>
        </a:solidFill>
        <a:prstDash val="sysDot"/>
      </a:ln>
    </cs:spPr>
  </cs:dataPoint3D>
  <cs:dataPointLine>
    <cs:lnRef idx="0">
      <cs:styleClr val="auto"/>
    </cs:lnRef>
    <cs:fillRef idx="0"/>
    <cs:effectRef idx="0"/>
    <cs:fontRef idx="minor">
      <a:schemeClr val="tx1"/>
    </cs:fontRef>
    <cs:spPr>
      <a:ln w="25400" cap="rnd" cmpd="sng" algn="ctr">
        <a:solidFill>
          <a:schemeClr val="phClr"/>
        </a:solidFill>
        <a:prstDash val="sysDot"/>
        <a:round/>
      </a:ln>
    </cs:spPr>
  </cs:dataPointLine>
  <cs:dataPointMarker>
    <cs:lnRef idx="0">
      <cs:styleClr val="auto"/>
    </cs:lnRef>
    <cs:fillRef idx="0">
      <cs:styleClr val="auto"/>
    </cs:fillRef>
    <cs:effectRef idx="0"/>
    <cs:fontRef idx="minor">
      <a:schemeClr val="tx1"/>
    </cs:fontRef>
    <cs:spPr>
      <a:solidFill>
        <a:schemeClr val="phClr"/>
      </a:solidFill>
    </cs:spPr>
  </cs:dataPointMarker>
  <cs:dataPointMarkerLayout symbol="circle" size="6"/>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2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19901EF-D998-4A4F-83DD-2E55EBEFDAFE}" type="doc">
      <dgm:prSet loTypeId="urn:microsoft.com/office/officeart/2005/8/layout/radial6" loCatId="cycle" qsTypeId="urn:microsoft.com/office/officeart/2005/8/quickstyle/3d1" qsCatId="3D" csTypeId="urn:microsoft.com/office/officeart/2005/8/colors/colorful1" csCatId="colorful" phldr="1"/>
      <dgm:spPr/>
      <dgm:t>
        <a:bodyPr/>
        <a:lstStyle/>
        <a:p>
          <a:endParaRPr lang="en-US"/>
        </a:p>
      </dgm:t>
    </dgm:pt>
    <dgm:pt modelId="{D904C999-0173-4B13-858B-A3E506D0DC69}">
      <dgm:prSet phldrT="[Text]"/>
      <dgm:spPr/>
      <dgm:t>
        <a:bodyPr/>
        <a:lstStyle/>
        <a:p>
          <a:pPr algn="ctr"/>
          <a:r>
            <a:rPr lang="en-US"/>
            <a:t>Social Media within the Events Indsutry</a:t>
          </a:r>
        </a:p>
      </dgm:t>
    </dgm:pt>
    <dgm:pt modelId="{729F95E0-C0AE-447D-8307-9F288487E307}" type="parTrans" cxnId="{BDFDDFD0-BFF5-4BB0-B9A9-E291C00F1351}">
      <dgm:prSet/>
      <dgm:spPr/>
      <dgm:t>
        <a:bodyPr/>
        <a:lstStyle/>
        <a:p>
          <a:pPr algn="ctr"/>
          <a:endParaRPr lang="en-US"/>
        </a:p>
      </dgm:t>
    </dgm:pt>
    <dgm:pt modelId="{94BC060C-CD18-42A7-A088-16CC34782B47}" type="sibTrans" cxnId="{BDFDDFD0-BFF5-4BB0-B9A9-E291C00F1351}">
      <dgm:prSet/>
      <dgm:spPr/>
      <dgm:t>
        <a:bodyPr/>
        <a:lstStyle/>
        <a:p>
          <a:pPr algn="ctr"/>
          <a:endParaRPr lang="en-US"/>
        </a:p>
      </dgm:t>
    </dgm:pt>
    <dgm:pt modelId="{4CEAA5C8-5CBF-419A-99C6-A9BB471CDB66}">
      <dgm:prSet phldrT="[Text]"/>
      <dgm:spPr/>
      <dgm:t>
        <a:bodyPr/>
        <a:lstStyle/>
        <a:p>
          <a:pPr algn="ctr"/>
          <a:r>
            <a:rPr lang="en-US"/>
            <a:t>Powerful marketing tool</a:t>
          </a:r>
        </a:p>
      </dgm:t>
    </dgm:pt>
    <dgm:pt modelId="{88C24B09-61CD-4422-B1BD-AD2AE5BC8E5C}" type="parTrans" cxnId="{0859C6C4-B349-4CC4-A9D9-7D5CE38F88D3}">
      <dgm:prSet/>
      <dgm:spPr/>
      <dgm:t>
        <a:bodyPr/>
        <a:lstStyle/>
        <a:p>
          <a:pPr algn="ctr"/>
          <a:endParaRPr lang="en-US"/>
        </a:p>
      </dgm:t>
    </dgm:pt>
    <dgm:pt modelId="{2DC17A7A-5913-4D5E-8AE7-7A0F2FC9C949}" type="sibTrans" cxnId="{0859C6C4-B349-4CC4-A9D9-7D5CE38F88D3}">
      <dgm:prSet/>
      <dgm:spPr/>
      <dgm:t>
        <a:bodyPr/>
        <a:lstStyle/>
        <a:p>
          <a:pPr algn="ctr"/>
          <a:endParaRPr lang="en-US"/>
        </a:p>
      </dgm:t>
    </dgm:pt>
    <dgm:pt modelId="{E0C3A78E-F92E-407C-93C8-FCA769FE1899}">
      <dgm:prSet phldrT="[Text]"/>
      <dgm:spPr/>
      <dgm:t>
        <a:bodyPr/>
        <a:lstStyle/>
        <a:p>
          <a:pPr algn="ctr"/>
          <a:r>
            <a:rPr lang="en-US"/>
            <a:t>Disengage</a:t>
          </a:r>
          <a:r>
            <a:rPr lang="en-US" baseline="0"/>
            <a:t> attendee from the experience</a:t>
          </a:r>
          <a:endParaRPr lang="en-US"/>
        </a:p>
      </dgm:t>
    </dgm:pt>
    <dgm:pt modelId="{A9B435FE-F70F-4F93-9C22-F76F40C6179C}" type="parTrans" cxnId="{2BB431A4-FF67-4071-97F8-FBBE815897B0}">
      <dgm:prSet/>
      <dgm:spPr/>
      <dgm:t>
        <a:bodyPr/>
        <a:lstStyle/>
        <a:p>
          <a:pPr algn="ctr"/>
          <a:endParaRPr lang="en-US"/>
        </a:p>
      </dgm:t>
    </dgm:pt>
    <dgm:pt modelId="{21D31EFE-DF07-4A20-8231-61AF5F5823F5}" type="sibTrans" cxnId="{2BB431A4-FF67-4071-97F8-FBBE815897B0}">
      <dgm:prSet/>
      <dgm:spPr/>
      <dgm:t>
        <a:bodyPr/>
        <a:lstStyle/>
        <a:p>
          <a:pPr algn="ctr"/>
          <a:endParaRPr lang="en-US"/>
        </a:p>
      </dgm:t>
    </dgm:pt>
    <dgm:pt modelId="{8D20E636-FB1D-464B-9791-9FA0EDB1F747}">
      <dgm:prSet phldrT="[Text]"/>
      <dgm:spPr/>
      <dgm:t>
        <a:bodyPr/>
        <a:lstStyle/>
        <a:p>
          <a:pPr algn="ctr"/>
          <a:r>
            <a:rPr lang="en-US"/>
            <a:t>Generate income</a:t>
          </a:r>
        </a:p>
      </dgm:t>
    </dgm:pt>
    <dgm:pt modelId="{034C784B-79A9-4D86-8E52-9F425B856EAD}" type="parTrans" cxnId="{2D4311CA-DA59-4309-BACA-47956C78DA74}">
      <dgm:prSet/>
      <dgm:spPr/>
      <dgm:t>
        <a:bodyPr/>
        <a:lstStyle/>
        <a:p>
          <a:pPr algn="ctr"/>
          <a:endParaRPr lang="en-US"/>
        </a:p>
      </dgm:t>
    </dgm:pt>
    <dgm:pt modelId="{936B2A59-1BF5-4809-8A20-7888A43A6366}" type="sibTrans" cxnId="{2D4311CA-DA59-4309-BACA-47956C78DA74}">
      <dgm:prSet/>
      <dgm:spPr/>
      <dgm:t>
        <a:bodyPr/>
        <a:lstStyle/>
        <a:p>
          <a:pPr algn="ctr"/>
          <a:endParaRPr lang="en-US"/>
        </a:p>
      </dgm:t>
    </dgm:pt>
    <dgm:pt modelId="{F16137B2-9D24-4A5C-9819-6DFEB00A5D35}">
      <dgm:prSet phldrT="[Text]"/>
      <dgm:spPr/>
      <dgm:t>
        <a:bodyPr/>
        <a:lstStyle/>
        <a:p>
          <a:pPr algn="ctr"/>
          <a:r>
            <a:rPr lang="en-US"/>
            <a:t>Increase footfall</a:t>
          </a:r>
        </a:p>
      </dgm:t>
    </dgm:pt>
    <dgm:pt modelId="{3C2AC88F-F4AD-4419-B3D4-A0A1E2C26C59}" type="parTrans" cxnId="{C02F8DA6-F42E-4C7A-8308-2C3D99B440AA}">
      <dgm:prSet/>
      <dgm:spPr/>
      <dgm:t>
        <a:bodyPr/>
        <a:lstStyle/>
        <a:p>
          <a:pPr algn="ctr"/>
          <a:endParaRPr lang="en-US"/>
        </a:p>
      </dgm:t>
    </dgm:pt>
    <dgm:pt modelId="{A38D32B9-5624-483F-ACE1-BE0045242935}" type="sibTrans" cxnId="{C02F8DA6-F42E-4C7A-8308-2C3D99B440AA}">
      <dgm:prSet/>
      <dgm:spPr/>
      <dgm:t>
        <a:bodyPr/>
        <a:lstStyle/>
        <a:p>
          <a:pPr algn="ctr"/>
          <a:endParaRPr lang="en-US"/>
        </a:p>
      </dgm:t>
    </dgm:pt>
    <dgm:pt modelId="{EF6E8F62-CC17-428E-A6B2-6AE2A1932F6B}">
      <dgm:prSet/>
      <dgm:spPr/>
      <dgm:t>
        <a:bodyPr/>
        <a:lstStyle/>
        <a:p>
          <a:r>
            <a:rPr lang="en-US"/>
            <a:t>Linked to self-conscious emotions</a:t>
          </a:r>
        </a:p>
      </dgm:t>
    </dgm:pt>
    <dgm:pt modelId="{538574B5-8BA3-4321-A6AD-C35BE9E0F692}" type="parTrans" cxnId="{B06459E0-8EC7-4E39-8106-A4EF2FDFBDA4}">
      <dgm:prSet/>
      <dgm:spPr/>
      <dgm:t>
        <a:bodyPr/>
        <a:lstStyle/>
        <a:p>
          <a:endParaRPr lang="en-US"/>
        </a:p>
      </dgm:t>
    </dgm:pt>
    <dgm:pt modelId="{6539567B-E26C-4599-81B3-974D8DCD740E}" type="sibTrans" cxnId="{B06459E0-8EC7-4E39-8106-A4EF2FDFBDA4}">
      <dgm:prSet/>
      <dgm:spPr/>
      <dgm:t>
        <a:bodyPr/>
        <a:lstStyle/>
        <a:p>
          <a:endParaRPr lang="en-US"/>
        </a:p>
      </dgm:t>
    </dgm:pt>
    <dgm:pt modelId="{9699A623-64E6-4564-86CF-5CDF5D83C7A5}">
      <dgm:prSet/>
      <dgm:spPr/>
      <dgm:t>
        <a:bodyPr/>
        <a:lstStyle/>
        <a:p>
          <a:r>
            <a:rPr lang="en-US"/>
            <a:t>Improve social relationships</a:t>
          </a:r>
        </a:p>
      </dgm:t>
    </dgm:pt>
    <dgm:pt modelId="{E8AA0E56-6192-4FD4-9A69-A343F4906AFF}" type="parTrans" cxnId="{8C9B6C70-4654-4520-BD35-F9137381198B}">
      <dgm:prSet/>
      <dgm:spPr/>
      <dgm:t>
        <a:bodyPr/>
        <a:lstStyle/>
        <a:p>
          <a:endParaRPr lang="en-US"/>
        </a:p>
      </dgm:t>
    </dgm:pt>
    <dgm:pt modelId="{B46D7680-7CB2-45CF-9B13-1C882433592B}" type="sibTrans" cxnId="{8C9B6C70-4654-4520-BD35-F9137381198B}">
      <dgm:prSet/>
      <dgm:spPr/>
      <dgm:t>
        <a:bodyPr/>
        <a:lstStyle/>
        <a:p>
          <a:endParaRPr lang="en-US"/>
        </a:p>
      </dgm:t>
    </dgm:pt>
    <dgm:pt modelId="{75859025-69D2-40D6-9B7F-276982566A86}">
      <dgm:prSet/>
      <dgm:spPr/>
      <dgm:t>
        <a:bodyPr/>
        <a:lstStyle/>
        <a:p>
          <a:r>
            <a:rPr lang="en-US"/>
            <a:t>Increase memory retention </a:t>
          </a:r>
        </a:p>
      </dgm:t>
    </dgm:pt>
    <dgm:pt modelId="{39E81612-04CC-49CD-83C8-82C57F868FFC}" type="parTrans" cxnId="{CDC93A12-441C-4EED-AB29-B42AEFE22DF0}">
      <dgm:prSet/>
      <dgm:spPr/>
      <dgm:t>
        <a:bodyPr/>
        <a:lstStyle/>
        <a:p>
          <a:endParaRPr lang="en-US"/>
        </a:p>
      </dgm:t>
    </dgm:pt>
    <dgm:pt modelId="{60A51891-BDCA-4222-AD18-C260CF631730}" type="sibTrans" cxnId="{CDC93A12-441C-4EED-AB29-B42AEFE22DF0}">
      <dgm:prSet/>
      <dgm:spPr/>
      <dgm:t>
        <a:bodyPr/>
        <a:lstStyle/>
        <a:p>
          <a:endParaRPr lang="en-US"/>
        </a:p>
      </dgm:t>
    </dgm:pt>
    <dgm:pt modelId="{7383B9DE-8C40-4EDC-96F6-2DB3DF030376}" type="pres">
      <dgm:prSet presAssocID="{619901EF-D998-4A4F-83DD-2E55EBEFDAFE}" presName="Name0" presStyleCnt="0">
        <dgm:presLayoutVars>
          <dgm:chMax val="1"/>
          <dgm:dir/>
          <dgm:animLvl val="ctr"/>
          <dgm:resizeHandles val="exact"/>
        </dgm:presLayoutVars>
      </dgm:prSet>
      <dgm:spPr/>
      <dgm:t>
        <a:bodyPr/>
        <a:lstStyle/>
        <a:p>
          <a:endParaRPr lang="en-US"/>
        </a:p>
      </dgm:t>
    </dgm:pt>
    <dgm:pt modelId="{1D260B3B-0E43-4282-B3A9-6B32C37B32B9}" type="pres">
      <dgm:prSet presAssocID="{D904C999-0173-4B13-858B-A3E506D0DC69}" presName="centerShape" presStyleLbl="node0" presStyleIdx="0" presStyleCnt="1"/>
      <dgm:spPr/>
      <dgm:t>
        <a:bodyPr/>
        <a:lstStyle/>
        <a:p>
          <a:endParaRPr lang="en-US"/>
        </a:p>
      </dgm:t>
    </dgm:pt>
    <dgm:pt modelId="{8348DB93-EFEA-46BF-ADB1-539C7B9B2B46}" type="pres">
      <dgm:prSet presAssocID="{4CEAA5C8-5CBF-419A-99C6-A9BB471CDB66}" presName="node" presStyleLbl="node1" presStyleIdx="0" presStyleCnt="7">
        <dgm:presLayoutVars>
          <dgm:bulletEnabled val="1"/>
        </dgm:presLayoutVars>
      </dgm:prSet>
      <dgm:spPr/>
      <dgm:t>
        <a:bodyPr/>
        <a:lstStyle/>
        <a:p>
          <a:endParaRPr lang="en-US"/>
        </a:p>
      </dgm:t>
    </dgm:pt>
    <dgm:pt modelId="{FFFB086B-79D7-4071-9F56-3F09D35A8543}" type="pres">
      <dgm:prSet presAssocID="{4CEAA5C8-5CBF-419A-99C6-A9BB471CDB66}" presName="dummy" presStyleCnt="0"/>
      <dgm:spPr/>
    </dgm:pt>
    <dgm:pt modelId="{71C4D523-ECFD-4341-9170-5CBA3EE3E887}" type="pres">
      <dgm:prSet presAssocID="{2DC17A7A-5913-4D5E-8AE7-7A0F2FC9C949}" presName="sibTrans" presStyleLbl="sibTrans2D1" presStyleIdx="0" presStyleCnt="7"/>
      <dgm:spPr/>
      <dgm:t>
        <a:bodyPr/>
        <a:lstStyle/>
        <a:p>
          <a:endParaRPr lang="en-US"/>
        </a:p>
      </dgm:t>
    </dgm:pt>
    <dgm:pt modelId="{B8AE7A45-D05F-4687-8037-33EFAF7E8C38}" type="pres">
      <dgm:prSet presAssocID="{E0C3A78E-F92E-407C-93C8-FCA769FE1899}" presName="node" presStyleLbl="node1" presStyleIdx="1" presStyleCnt="7">
        <dgm:presLayoutVars>
          <dgm:bulletEnabled val="1"/>
        </dgm:presLayoutVars>
      </dgm:prSet>
      <dgm:spPr/>
      <dgm:t>
        <a:bodyPr/>
        <a:lstStyle/>
        <a:p>
          <a:endParaRPr lang="en-US"/>
        </a:p>
      </dgm:t>
    </dgm:pt>
    <dgm:pt modelId="{5A14581E-EE26-4549-BACA-7E794829F08C}" type="pres">
      <dgm:prSet presAssocID="{E0C3A78E-F92E-407C-93C8-FCA769FE1899}" presName="dummy" presStyleCnt="0"/>
      <dgm:spPr/>
    </dgm:pt>
    <dgm:pt modelId="{6F9EE3BB-DABB-4C4A-89FB-2ED25FF0CA1E}" type="pres">
      <dgm:prSet presAssocID="{21D31EFE-DF07-4A20-8231-61AF5F5823F5}" presName="sibTrans" presStyleLbl="sibTrans2D1" presStyleIdx="1" presStyleCnt="7"/>
      <dgm:spPr/>
      <dgm:t>
        <a:bodyPr/>
        <a:lstStyle/>
        <a:p>
          <a:endParaRPr lang="en-US"/>
        </a:p>
      </dgm:t>
    </dgm:pt>
    <dgm:pt modelId="{48771420-216B-45D1-91E1-1FDE7E155BF6}" type="pres">
      <dgm:prSet presAssocID="{8D20E636-FB1D-464B-9791-9FA0EDB1F747}" presName="node" presStyleLbl="node1" presStyleIdx="2" presStyleCnt="7">
        <dgm:presLayoutVars>
          <dgm:bulletEnabled val="1"/>
        </dgm:presLayoutVars>
      </dgm:prSet>
      <dgm:spPr/>
      <dgm:t>
        <a:bodyPr/>
        <a:lstStyle/>
        <a:p>
          <a:endParaRPr lang="en-US"/>
        </a:p>
      </dgm:t>
    </dgm:pt>
    <dgm:pt modelId="{3A6F30D5-7ACC-4764-9275-66CB71EBD60E}" type="pres">
      <dgm:prSet presAssocID="{8D20E636-FB1D-464B-9791-9FA0EDB1F747}" presName="dummy" presStyleCnt="0"/>
      <dgm:spPr/>
    </dgm:pt>
    <dgm:pt modelId="{2DBAE6FF-DE63-4890-88BF-7A307D9B6EFB}" type="pres">
      <dgm:prSet presAssocID="{936B2A59-1BF5-4809-8A20-7888A43A6366}" presName="sibTrans" presStyleLbl="sibTrans2D1" presStyleIdx="2" presStyleCnt="7"/>
      <dgm:spPr/>
      <dgm:t>
        <a:bodyPr/>
        <a:lstStyle/>
        <a:p>
          <a:endParaRPr lang="en-US"/>
        </a:p>
      </dgm:t>
    </dgm:pt>
    <dgm:pt modelId="{71ABF521-F724-4B9C-802C-2F403227AAE2}" type="pres">
      <dgm:prSet presAssocID="{EF6E8F62-CC17-428E-A6B2-6AE2A1932F6B}" presName="node" presStyleLbl="node1" presStyleIdx="3" presStyleCnt="7">
        <dgm:presLayoutVars>
          <dgm:bulletEnabled val="1"/>
        </dgm:presLayoutVars>
      </dgm:prSet>
      <dgm:spPr/>
      <dgm:t>
        <a:bodyPr/>
        <a:lstStyle/>
        <a:p>
          <a:endParaRPr lang="en-US"/>
        </a:p>
      </dgm:t>
    </dgm:pt>
    <dgm:pt modelId="{D266A0D8-2AFF-45A5-B6E1-2EE9A3AAEF3C}" type="pres">
      <dgm:prSet presAssocID="{EF6E8F62-CC17-428E-A6B2-6AE2A1932F6B}" presName="dummy" presStyleCnt="0"/>
      <dgm:spPr/>
    </dgm:pt>
    <dgm:pt modelId="{B496C9DB-0E17-444B-95A6-DC0FCAF8F3E1}" type="pres">
      <dgm:prSet presAssocID="{6539567B-E26C-4599-81B3-974D8DCD740E}" presName="sibTrans" presStyleLbl="sibTrans2D1" presStyleIdx="3" presStyleCnt="7"/>
      <dgm:spPr/>
      <dgm:t>
        <a:bodyPr/>
        <a:lstStyle/>
        <a:p>
          <a:endParaRPr lang="en-US"/>
        </a:p>
      </dgm:t>
    </dgm:pt>
    <dgm:pt modelId="{A71F302B-6674-4D61-B32B-D6727FA92933}" type="pres">
      <dgm:prSet presAssocID="{9699A623-64E6-4564-86CF-5CDF5D83C7A5}" presName="node" presStyleLbl="node1" presStyleIdx="4" presStyleCnt="7">
        <dgm:presLayoutVars>
          <dgm:bulletEnabled val="1"/>
        </dgm:presLayoutVars>
      </dgm:prSet>
      <dgm:spPr/>
      <dgm:t>
        <a:bodyPr/>
        <a:lstStyle/>
        <a:p>
          <a:endParaRPr lang="en-US"/>
        </a:p>
      </dgm:t>
    </dgm:pt>
    <dgm:pt modelId="{E74D4566-7173-4C2B-9C75-F69A1D9F9900}" type="pres">
      <dgm:prSet presAssocID="{9699A623-64E6-4564-86CF-5CDF5D83C7A5}" presName="dummy" presStyleCnt="0"/>
      <dgm:spPr/>
    </dgm:pt>
    <dgm:pt modelId="{D5B15E9A-3221-4092-810A-663005B0695F}" type="pres">
      <dgm:prSet presAssocID="{B46D7680-7CB2-45CF-9B13-1C882433592B}" presName="sibTrans" presStyleLbl="sibTrans2D1" presStyleIdx="4" presStyleCnt="7"/>
      <dgm:spPr/>
      <dgm:t>
        <a:bodyPr/>
        <a:lstStyle/>
        <a:p>
          <a:endParaRPr lang="en-US"/>
        </a:p>
      </dgm:t>
    </dgm:pt>
    <dgm:pt modelId="{6866AAD5-3486-43DF-A0CD-A9864D362B1A}" type="pres">
      <dgm:prSet presAssocID="{75859025-69D2-40D6-9B7F-276982566A86}" presName="node" presStyleLbl="node1" presStyleIdx="5" presStyleCnt="7">
        <dgm:presLayoutVars>
          <dgm:bulletEnabled val="1"/>
        </dgm:presLayoutVars>
      </dgm:prSet>
      <dgm:spPr/>
      <dgm:t>
        <a:bodyPr/>
        <a:lstStyle/>
        <a:p>
          <a:endParaRPr lang="en-US"/>
        </a:p>
      </dgm:t>
    </dgm:pt>
    <dgm:pt modelId="{CEF75421-12F3-4442-80F1-6C92C7E093BA}" type="pres">
      <dgm:prSet presAssocID="{75859025-69D2-40D6-9B7F-276982566A86}" presName="dummy" presStyleCnt="0"/>
      <dgm:spPr/>
    </dgm:pt>
    <dgm:pt modelId="{8F96638D-4800-4137-A562-49F29EBA11D6}" type="pres">
      <dgm:prSet presAssocID="{60A51891-BDCA-4222-AD18-C260CF631730}" presName="sibTrans" presStyleLbl="sibTrans2D1" presStyleIdx="5" presStyleCnt="7"/>
      <dgm:spPr/>
      <dgm:t>
        <a:bodyPr/>
        <a:lstStyle/>
        <a:p>
          <a:endParaRPr lang="en-US"/>
        </a:p>
      </dgm:t>
    </dgm:pt>
    <dgm:pt modelId="{D9EB96D2-BD99-42FF-969B-34B95B561752}" type="pres">
      <dgm:prSet presAssocID="{F16137B2-9D24-4A5C-9819-6DFEB00A5D35}" presName="node" presStyleLbl="node1" presStyleIdx="6" presStyleCnt="7">
        <dgm:presLayoutVars>
          <dgm:bulletEnabled val="1"/>
        </dgm:presLayoutVars>
      </dgm:prSet>
      <dgm:spPr/>
      <dgm:t>
        <a:bodyPr/>
        <a:lstStyle/>
        <a:p>
          <a:endParaRPr lang="en-US"/>
        </a:p>
      </dgm:t>
    </dgm:pt>
    <dgm:pt modelId="{2243E13E-9CBD-4265-A020-0A9D95501B7D}" type="pres">
      <dgm:prSet presAssocID="{F16137B2-9D24-4A5C-9819-6DFEB00A5D35}" presName="dummy" presStyleCnt="0"/>
      <dgm:spPr/>
    </dgm:pt>
    <dgm:pt modelId="{6286EBDB-0019-4E62-9150-275A8EB5F817}" type="pres">
      <dgm:prSet presAssocID="{A38D32B9-5624-483F-ACE1-BE0045242935}" presName="sibTrans" presStyleLbl="sibTrans2D1" presStyleIdx="6" presStyleCnt="7"/>
      <dgm:spPr/>
      <dgm:t>
        <a:bodyPr/>
        <a:lstStyle/>
        <a:p>
          <a:endParaRPr lang="en-US"/>
        </a:p>
      </dgm:t>
    </dgm:pt>
  </dgm:ptLst>
  <dgm:cxnLst>
    <dgm:cxn modelId="{B06459E0-8EC7-4E39-8106-A4EF2FDFBDA4}" srcId="{D904C999-0173-4B13-858B-A3E506D0DC69}" destId="{EF6E8F62-CC17-428E-A6B2-6AE2A1932F6B}" srcOrd="3" destOrd="0" parTransId="{538574B5-8BA3-4321-A6AD-C35BE9E0F692}" sibTransId="{6539567B-E26C-4599-81B3-974D8DCD740E}"/>
    <dgm:cxn modelId="{BDFDDFD0-BFF5-4BB0-B9A9-E291C00F1351}" srcId="{619901EF-D998-4A4F-83DD-2E55EBEFDAFE}" destId="{D904C999-0173-4B13-858B-A3E506D0DC69}" srcOrd="0" destOrd="0" parTransId="{729F95E0-C0AE-447D-8307-9F288487E307}" sibTransId="{94BC060C-CD18-42A7-A088-16CC34782B47}"/>
    <dgm:cxn modelId="{3B0A4EA0-EE69-4A46-889A-76BF7852D972}" type="presOf" srcId="{A38D32B9-5624-483F-ACE1-BE0045242935}" destId="{6286EBDB-0019-4E62-9150-275A8EB5F817}" srcOrd="0" destOrd="0" presId="urn:microsoft.com/office/officeart/2005/8/layout/radial6"/>
    <dgm:cxn modelId="{BD6C5150-FB18-4181-963E-AD39028CF42B}" type="presOf" srcId="{2DC17A7A-5913-4D5E-8AE7-7A0F2FC9C949}" destId="{71C4D523-ECFD-4341-9170-5CBA3EE3E887}" srcOrd="0" destOrd="0" presId="urn:microsoft.com/office/officeart/2005/8/layout/radial6"/>
    <dgm:cxn modelId="{1A18084D-A888-4921-A5AB-D45B3173CE39}" type="presOf" srcId="{619901EF-D998-4A4F-83DD-2E55EBEFDAFE}" destId="{7383B9DE-8C40-4EDC-96F6-2DB3DF030376}" srcOrd="0" destOrd="0" presId="urn:microsoft.com/office/officeart/2005/8/layout/radial6"/>
    <dgm:cxn modelId="{111225E4-BF94-4E6A-B5DE-BA1179F78EC2}" type="presOf" srcId="{D904C999-0173-4B13-858B-A3E506D0DC69}" destId="{1D260B3B-0E43-4282-B3A9-6B32C37B32B9}" srcOrd="0" destOrd="0" presId="urn:microsoft.com/office/officeart/2005/8/layout/radial6"/>
    <dgm:cxn modelId="{CCF14F2B-A5BF-47A9-81B9-117D2FF2B3B0}" type="presOf" srcId="{EF6E8F62-CC17-428E-A6B2-6AE2A1932F6B}" destId="{71ABF521-F724-4B9C-802C-2F403227AAE2}" srcOrd="0" destOrd="0" presId="urn:microsoft.com/office/officeart/2005/8/layout/radial6"/>
    <dgm:cxn modelId="{CDC93A12-441C-4EED-AB29-B42AEFE22DF0}" srcId="{D904C999-0173-4B13-858B-A3E506D0DC69}" destId="{75859025-69D2-40D6-9B7F-276982566A86}" srcOrd="5" destOrd="0" parTransId="{39E81612-04CC-49CD-83C8-82C57F868FFC}" sibTransId="{60A51891-BDCA-4222-AD18-C260CF631730}"/>
    <dgm:cxn modelId="{74D6917A-32B9-4A3E-9767-89D0702EE0C1}" type="presOf" srcId="{9699A623-64E6-4564-86CF-5CDF5D83C7A5}" destId="{A71F302B-6674-4D61-B32B-D6727FA92933}" srcOrd="0" destOrd="0" presId="urn:microsoft.com/office/officeart/2005/8/layout/radial6"/>
    <dgm:cxn modelId="{5BE0B896-6E80-4248-8BB4-9DB18F1F145A}" type="presOf" srcId="{F16137B2-9D24-4A5C-9819-6DFEB00A5D35}" destId="{D9EB96D2-BD99-42FF-969B-34B95B561752}" srcOrd="0" destOrd="0" presId="urn:microsoft.com/office/officeart/2005/8/layout/radial6"/>
    <dgm:cxn modelId="{C14BB6EB-605C-44BD-824C-1A5637F9C2F4}" type="presOf" srcId="{75859025-69D2-40D6-9B7F-276982566A86}" destId="{6866AAD5-3486-43DF-A0CD-A9864D362B1A}" srcOrd="0" destOrd="0" presId="urn:microsoft.com/office/officeart/2005/8/layout/radial6"/>
    <dgm:cxn modelId="{C2D45AB8-4233-424D-9319-1C6FBDB9CDBC}" type="presOf" srcId="{8D20E636-FB1D-464B-9791-9FA0EDB1F747}" destId="{48771420-216B-45D1-91E1-1FDE7E155BF6}" srcOrd="0" destOrd="0" presId="urn:microsoft.com/office/officeart/2005/8/layout/radial6"/>
    <dgm:cxn modelId="{C02F8DA6-F42E-4C7A-8308-2C3D99B440AA}" srcId="{D904C999-0173-4B13-858B-A3E506D0DC69}" destId="{F16137B2-9D24-4A5C-9819-6DFEB00A5D35}" srcOrd="6" destOrd="0" parTransId="{3C2AC88F-F4AD-4419-B3D4-A0A1E2C26C59}" sibTransId="{A38D32B9-5624-483F-ACE1-BE0045242935}"/>
    <dgm:cxn modelId="{9B204BE6-86FF-44A2-BA7B-DA0FBF228541}" type="presOf" srcId="{6539567B-E26C-4599-81B3-974D8DCD740E}" destId="{B496C9DB-0E17-444B-95A6-DC0FCAF8F3E1}" srcOrd="0" destOrd="0" presId="urn:microsoft.com/office/officeart/2005/8/layout/radial6"/>
    <dgm:cxn modelId="{E5E8BDA5-4ECF-4F1F-9248-9C8CFD12B223}" type="presOf" srcId="{936B2A59-1BF5-4809-8A20-7888A43A6366}" destId="{2DBAE6FF-DE63-4890-88BF-7A307D9B6EFB}" srcOrd="0" destOrd="0" presId="urn:microsoft.com/office/officeart/2005/8/layout/radial6"/>
    <dgm:cxn modelId="{9C992ECF-1DFD-4E48-906F-92A9ECF255A1}" type="presOf" srcId="{60A51891-BDCA-4222-AD18-C260CF631730}" destId="{8F96638D-4800-4137-A562-49F29EBA11D6}" srcOrd="0" destOrd="0" presId="urn:microsoft.com/office/officeart/2005/8/layout/radial6"/>
    <dgm:cxn modelId="{2BB431A4-FF67-4071-97F8-FBBE815897B0}" srcId="{D904C999-0173-4B13-858B-A3E506D0DC69}" destId="{E0C3A78E-F92E-407C-93C8-FCA769FE1899}" srcOrd="1" destOrd="0" parTransId="{A9B435FE-F70F-4F93-9C22-F76F40C6179C}" sibTransId="{21D31EFE-DF07-4A20-8231-61AF5F5823F5}"/>
    <dgm:cxn modelId="{2D4311CA-DA59-4309-BACA-47956C78DA74}" srcId="{D904C999-0173-4B13-858B-A3E506D0DC69}" destId="{8D20E636-FB1D-464B-9791-9FA0EDB1F747}" srcOrd="2" destOrd="0" parTransId="{034C784B-79A9-4D86-8E52-9F425B856EAD}" sibTransId="{936B2A59-1BF5-4809-8A20-7888A43A6366}"/>
    <dgm:cxn modelId="{D2B5F981-1EB0-4D21-BB7F-9C7630199344}" type="presOf" srcId="{21D31EFE-DF07-4A20-8231-61AF5F5823F5}" destId="{6F9EE3BB-DABB-4C4A-89FB-2ED25FF0CA1E}" srcOrd="0" destOrd="0" presId="urn:microsoft.com/office/officeart/2005/8/layout/radial6"/>
    <dgm:cxn modelId="{EC08F562-CE09-44E2-94A5-23542A8E37F9}" type="presOf" srcId="{4CEAA5C8-5CBF-419A-99C6-A9BB471CDB66}" destId="{8348DB93-EFEA-46BF-ADB1-539C7B9B2B46}" srcOrd="0" destOrd="0" presId="urn:microsoft.com/office/officeart/2005/8/layout/radial6"/>
    <dgm:cxn modelId="{8C9B6C70-4654-4520-BD35-F9137381198B}" srcId="{D904C999-0173-4B13-858B-A3E506D0DC69}" destId="{9699A623-64E6-4564-86CF-5CDF5D83C7A5}" srcOrd="4" destOrd="0" parTransId="{E8AA0E56-6192-4FD4-9A69-A343F4906AFF}" sibTransId="{B46D7680-7CB2-45CF-9B13-1C882433592B}"/>
    <dgm:cxn modelId="{13305587-BBE5-4FEC-B534-4BE01919F8ED}" type="presOf" srcId="{B46D7680-7CB2-45CF-9B13-1C882433592B}" destId="{D5B15E9A-3221-4092-810A-663005B0695F}" srcOrd="0" destOrd="0" presId="urn:microsoft.com/office/officeart/2005/8/layout/radial6"/>
    <dgm:cxn modelId="{578D1A52-8789-4DA7-9519-2772385097B4}" type="presOf" srcId="{E0C3A78E-F92E-407C-93C8-FCA769FE1899}" destId="{B8AE7A45-D05F-4687-8037-33EFAF7E8C38}" srcOrd="0" destOrd="0" presId="urn:microsoft.com/office/officeart/2005/8/layout/radial6"/>
    <dgm:cxn modelId="{0859C6C4-B349-4CC4-A9D9-7D5CE38F88D3}" srcId="{D904C999-0173-4B13-858B-A3E506D0DC69}" destId="{4CEAA5C8-5CBF-419A-99C6-A9BB471CDB66}" srcOrd="0" destOrd="0" parTransId="{88C24B09-61CD-4422-B1BD-AD2AE5BC8E5C}" sibTransId="{2DC17A7A-5913-4D5E-8AE7-7A0F2FC9C949}"/>
    <dgm:cxn modelId="{7C4D8B74-1900-4539-9E4A-432E465C0671}" type="presParOf" srcId="{7383B9DE-8C40-4EDC-96F6-2DB3DF030376}" destId="{1D260B3B-0E43-4282-B3A9-6B32C37B32B9}" srcOrd="0" destOrd="0" presId="urn:microsoft.com/office/officeart/2005/8/layout/radial6"/>
    <dgm:cxn modelId="{1178D438-30DA-4EB9-B1B6-9CBB0E4C1441}" type="presParOf" srcId="{7383B9DE-8C40-4EDC-96F6-2DB3DF030376}" destId="{8348DB93-EFEA-46BF-ADB1-539C7B9B2B46}" srcOrd="1" destOrd="0" presId="urn:microsoft.com/office/officeart/2005/8/layout/radial6"/>
    <dgm:cxn modelId="{DCB3FDCD-4C91-40F6-A6B2-2A959EB942EA}" type="presParOf" srcId="{7383B9DE-8C40-4EDC-96F6-2DB3DF030376}" destId="{FFFB086B-79D7-4071-9F56-3F09D35A8543}" srcOrd="2" destOrd="0" presId="urn:microsoft.com/office/officeart/2005/8/layout/radial6"/>
    <dgm:cxn modelId="{58E04EB3-BE19-44B2-835E-F1DECB44D1EF}" type="presParOf" srcId="{7383B9DE-8C40-4EDC-96F6-2DB3DF030376}" destId="{71C4D523-ECFD-4341-9170-5CBA3EE3E887}" srcOrd="3" destOrd="0" presId="urn:microsoft.com/office/officeart/2005/8/layout/radial6"/>
    <dgm:cxn modelId="{801E2A0E-A98E-4DD1-AC85-E1DBA4C78B95}" type="presParOf" srcId="{7383B9DE-8C40-4EDC-96F6-2DB3DF030376}" destId="{B8AE7A45-D05F-4687-8037-33EFAF7E8C38}" srcOrd="4" destOrd="0" presId="urn:microsoft.com/office/officeart/2005/8/layout/radial6"/>
    <dgm:cxn modelId="{70D54596-30E1-4F67-946E-F35A794E09E6}" type="presParOf" srcId="{7383B9DE-8C40-4EDC-96F6-2DB3DF030376}" destId="{5A14581E-EE26-4549-BACA-7E794829F08C}" srcOrd="5" destOrd="0" presId="urn:microsoft.com/office/officeart/2005/8/layout/radial6"/>
    <dgm:cxn modelId="{3CAACF27-62D3-4FFB-8F1C-E5D9FDF87289}" type="presParOf" srcId="{7383B9DE-8C40-4EDC-96F6-2DB3DF030376}" destId="{6F9EE3BB-DABB-4C4A-89FB-2ED25FF0CA1E}" srcOrd="6" destOrd="0" presId="urn:microsoft.com/office/officeart/2005/8/layout/radial6"/>
    <dgm:cxn modelId="{F75D89E4-85F0-46F5-8305-3A8F6A044575}" type="presParOf" srcId="{7383B9DE-8C40-4EDC-96F6-2DB3DF030376}" destId="{48771420-216B-45D1-91E1-1FDE7E155BF6}" srcOrd="7" destOrd="0" presId="urn:microsoft.com/office/officeart/2005/8/layout/radial6"/>
    <dgm:cxn modelId="{A663107E-EB6D-43A2-B208-5EE63632260B}" type="presParOf" srcId="{7383B9DE-8C40-4EDC-96F6-2DB3DF030376}" destId="{3A6F30D5-7ACC-4764-9275-66CB71EBD60E}" srcOrd="8" destOrd="0" presId="urn:microsoft.com/office/officeart/2005/8/layout/radial6"/>
    <dgm:cxn modelId="{5F712ACF-EFE6-4B6C-A926-88D84076B4EE}" type="presParOf" srcId="{7383B9DE-8C40-4EDC-96F6-2DB3DF030376}" destId="{2DBAE6FF-DE63-4890-88BF-7A307D9B6EFB}" srcOrd="9" destOrd="0" presId="urn:microsoft.com/office/officeart/2005/8/layout/radial6"/>
    <dgm:cxn modelId="{95BD634B-0918-416A-9140-AF787B87728B}" type="presParOf" srcId="{7383B9DE-8C40-4EDC-96F6-2DB3DF030376}" destId="{71ABF521-F724-4B9C-802C-2F403227AAE2}" srcOrd="10" destOrd="0" presId="urn:microsoft.com/office/officeart/2005/8/layout/radial6"/>
    <dgm:cxn modelId="{DA23793E-4891-4C3A-879D-D436133EE057}" type="presParOf" srcId="{7383B9DE-8C40-4EDC-96F6-2DB3DF030376}" destId="{D266A0D8-2AFF-45A5-B6E1-2EE9A3AAEF3C}" srcOrd="11" destOrd="0" presId="urn:microsoft.com/office/officeart/2005/8/layout/radial6"/>
    <dgm:cxn modelId="{EA7ED4AF-E5B1-4B58-88D9-69367E88B0EA}" type="presParOf" srcId="{7383B9DE-8C40-4EDC-96F6-2DB3DF030376}" destId="{B496C9DB-0E17-444B-95A6-DC0FCAF8F3E1}" srcOrd="12" destOrd="0" presId="urn:microsoft.com/office/officeart/2005/8/layout/radial6"/>
    <dgm:cxn modelId="{49C9742E-01B0-431C-B003-93D1ACE736A0}" type="presParOf" srcId="{7383B9DE-8C40-4EDC-96F6-2DB3DF030376}" destId="{A71F302B-6674-4D61-B32B-D6727FA92933}" srcOrd="13" destOrd="0" presId="urn:microsoft.com/office/officeart/2005/8/layout/radial6"/>
    <dgm:cxn modelId="{26331ABE-3C4A-450A-9428-C898DAD55EDD}" type="presParOf" srcId="{7383B9DE-8C40-4EDC-96F6-2DB3DF030376}" destId="{E74D4566-7173-4C2B-9C75-F69A1D9F9900}" srcOrd="14" destOrd="0" presId="urn:microsoft.com/office/officeart/2005/8/layout/radial6"/>
    <dgm:cxn modelId="{55615CE9-7E27-43B1-98C8-5F54BC29C6CD}" type="presParOf" srcId="{7383B9DE-8C40-4EDC-96F6-2DB3DF030376}" destId="{D5B15E9A-3221-4092-810A-663005B0695F}" srcOrd="15" destOrd="0" presId="urn:microsoft.com/office/officeart/2005/8/layout/radial6"/>
    <dgm:cxn modelId="{5A861E65-2D51-4B97-BA8D-F576D9176F1F}" type="presParOf" srcId="{7383B9DE-8C40-4EDC-96F6-2DB3DF030376}" destId="{6866AAD5-3486-43DF-A0CD-A9864D362B1A}" srcOrd="16" destOrd="0" presId="urn:microsoft.com/office/officeart/2005/8/layout/radial6"/>
    <dgm:cxn modelId="{09CE00A5-9514-48E8-A521-1E04466598CA}" type="presParOf" srcId="{7383B9DE-8C40-4EDC-96F6-2DB3DF030376}" destId="{CEF75421-12F3-4442-80F1-6C92C7E093BA}" srcOrd="17" destOrd="0" presId="urn:microsoft.com/office/officeart/2005/8/layout/radial6"/>
    <dgm:cxn modelId="{081B44B3-73CD-4157-B5E5-AE7CCD6D926A}" type="presParOf" srcId="{7383B9DE-8C40-4EDC-96F6-2DB3DF030376}" destId="{8F96638D-4800-4137-A562-49F29EBA11D6}" srcOrd="18" destOrd="0" presId="urn:microsoft.com/office/officeart/2005/8/layout/radial6"/>
    <dgm:cxn modelId="{4B6C9C3A-DDB6-42BD-BFD1-C9E6E6A70974}" type="presParOf" srcId="{7383B9DE-8C40-4EDC-96F6-2DB3DF030376}" destId="{D9EB96D2-BD99-42FF-969B-34B95B561752}" srcOrd="19" destOrd="0" presId="urn:microsoft.com/office/officeart/2005/8/layout/radial6"/>
    <dgm:cxn modelId="{0D33B439-351B-4CA8-8139-F5122D813424}" type="presParOf" srcId="{7383B9DE-8C40-4EDC-96F6-2DB3DF030376}" destId="{2243E13E-9CBD-4265-A020-0A9D95501B7D}" srcOrd="20" destOrd="0" presId="urn:microsoft.com/office/officeart/2005/8/layout/radial6"/>
    <dgm:cxn modelId="{D8E36319-E155-4FF3-B1E5-E9C9F5E579D1}" type="presParOf" srcId="{7383B9DE-8C40-4EDC-96F6-2DB3DF030376}" destId="{6286EBDB-0019-4E62-9150-275A8EB5F817}" srcOrd="21" destOrd="0" presId="urn:microsoft.com/office/officeart/2005/8/layout/radial6"/>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286EBDB-0019-4E62-9150-275A8EB5F817}">
      <dsp:nvSpPr>
        <dsp:cNvPr id="0" name=""/>
        <dsp:cNvSpPr/>
      </dsp:nvSpPr>
      <dsp:spPr>
        <a:xfrm>
          <a:off x="1212172" y="422134"/>
          <a:ext cx="3357330" cy="3357330"/>
        </a:xfrm>
        <a:prstGeom prst="blockArc">
          <a:avLst>
            <a:gd name="adj1" fmla="val 13114286"/>
            <a:gd name="adj2" fmla="val 16200000"/>
            <a:gd name="adj3" fmla="val 3899"/>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8F96638D-4800-4137-A562-49F29EBA11D6}">
      <dsp:nvSpPr>
        <dsp:cNvPr id="0" name=""/>
        <dsp:cNvSpPr/>
      </dsp:nvSpPr>
      <dsp:spPr>
        <a:xfrm>
          <a:off x="1212172" y="422134"/>
          <a:ext cx="3357330" cy="3357330"/>
        </a:xfrm>
        <a:prstGeom prst="blockArc">
          <a:avLst>
            <a:gd name="adj1" fmla="val 10028571"/>
            <a:gd name="adj2" fmla="val 13114286"/>
            <a:gd name="adj3" fmla="val 3899"/>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D5B15E9A-3221-4092-810A-663005B0695F}">
      <dsp:nvSpPr>
        <dsp:cNvPr id="0" name=""/>
        <dsp:cNvSpPr/>
      </dsp:nvSpPr>
      <dsp:spPr>
        <a:xfrm>
          <a:off x="1212172" y="422134"/>
          <a:ext cx="3357330" cy="3357330"/>
        </a:xfrm>
        <a:prstGeom prst="blockArc">
          <a:avLst>
            <a:gd name="adj1" fmla="val 6942857"/>
            <a:gd name="adj2" fmla="val 10028571"/>
            <a:gd name="adj3" fmla="val 3899"/>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B496C9DB-0E17-444B-95A6-DC0FCAF8F3E1}">
      <dsp:nvSpPr>
        <dsp:cNvPr id="0" name=""/>
        <dsp:cNvSpPr/>
      </dsp:nvSpPr>
      <dsp:spPr>
        <a:xfrm>
          <a:off x="1212172" y="422134"/>
          <a:ext cx="3357330" cy="3357330"/>
        </a:xfrm>
        <a:prstGeom prst="blockArc">
          <a:avLst>
            <a:gd name="adj1" fmla="val 3857143"/>
            <a:gd name="adj2" fmla="val 6942857"/>
            <a:gd name="adj3" fmla="val 3899"/>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2DBAE6FF-DE63-4890-88BF-7A307D9B6EFB}">
      <dsp:nvSpPr>
        <dsp:cNvPr id="0" name=""/>
        <dsp:cNvSpPr/>
      </dsp:nvSpPr>
      <dsp:spPr>
        <a:xfrm>
          <a:off x="1212172" y="422134"/>
          <a:ext cx="3357330" cy="3357330"/>
        </a:xfrm>
        <a:prstGeom prst="blockArc">
          <a:avLst>
            <a:gd name="adj1" fmla="val 771429"/>
            <a:gd name="adj2" fmla="val 3857143"/>
            <a:gd name="adj3" fmla="val 3899"/>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6F9EE3BB-DABB-4C4A-89FB-2ED25FF0CA1E}">
      <dsp:nvSpPr>
        <dsp:cNvPr id="0" name=""/>
        <dsp:cNvSpPr/>
      </dsp:nvSpPr>
      <dsp:spPr>
        <a:xfrm>
          <a:off x="1212172" y="422134"/>
          <a:ext cx="3357330" cy="3357330"/>
        </a:xfrm>
        <a:prstGeom prst="blockArc">
          <a:avLst>
            <a:gd name="adj1" fmla="val 19285714"/>
            <a:gd name="adj2" fmla="val 771429"/>
            <a:gd name="adj3" fmla="val 3899"/>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71C4D523-ECFD-4341-9170-5CBA3EE3E887}">
      <dsp:nvSpPr>
        <dsp:cNvPr id="0" name=""/>
        <dsp:cNvSpPr/>
      </dsp:nvSpPr>
      <dsp:spPr>
        <a:xfrm>
          <a:off x="1212172" y="422134"/>
          <a:ext cx="3357330" cy="3357330"/>
        </a:xfrm>
        <a:prstGeom prst="blockArc">
          <a:avLst>
            <a:gd name="adj1" fmla="val 16200000"/>
            <a:gd name="adj2" fmla="val 19285714"/>
            <a:gd name="adj3" fmla="val 3899"/>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1D260B3B-0E43-4282-B3A9-6B32C37B32B9}">
      <dsp:nvSpPr>
        <dsp:cNvPr id="0" name=""/>
        <dsp:cNvSpPr/>
      </dsp:nvSpPr>
      <dsp:spPr>
        <a:xfrm>
          <a:off x="2241528" y="1451490"/>
          <a:ext cx="1298618" cy="1298618"/>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US" sz="1300" kern="1200"/>
            <a:t>Social Media within the Events Indsutry</a:t>
          </a:r>
        </a:p>
      </dsp:txBody>
      <dsp:txXfrm>
        <a:off x="2431706" y="1641668"/>
        <a:ext cx="918262" cy="918262"/>
      </dsp:txXfrm>
    </dsp:sp>
    <dsp:sp modelId="{8348DB93-EFEA-46BF-ADB1-539C7B9B2B46}">
      <dsp:nvSpPr>
        <dsp:cNvPr id="0" name=""/>
        <dsp:cNvSpPr/>
      </dsp:nvSpPr>
      <dsp:spPr>
        <a:xfrm>
          <a:off x="2436321" y="343"/>
          <a:ext cx="909032" cy="909032"/>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Powerful marketing tool</a:t>
          </a:r>
        </a:p>
      </dsp:txBody>
      <dsp:txXfrm>
        <a:off x="2569446" y="133468"/>
        <a:ext cx="642782" cy="642782"/>
      </dsp:txXfrm>
    </dsp:sp>
    <dsp:sp modelId="{B8AE7A45-D05F-4687-8037-33EFAF7E8C38}">
      <dsp:nvSpPr>
        <dsp:cNvPr id="0" name=""/>
        <dsp:cNvSpPr/>
      </dsp:nvSpPr>
      <dsp:spPr>
        <a:xfrm>
          <a:off x="3723168" y="620056"/>
          <a:ext cx="909032" cy="909032"/>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Disengage</a:t>
          </a:r>
          <a:r>
            <a:rPr lang="en-US" sz="900" kern="1200" baseline="0"/>
            <a:t> attendee from the experience</a:t>
          </a:r>
          <a:endParaRPr lang="en-US" sz="900" kern="1200"/>
        </a:p>
      </dsp:txBody>
      <dsp:txXfrm>
        <a:off x="3856293" y="753181"/>
        <a:ext cx="642782" cy="642782"/>
      </dsp:txXfrm>
    </dsp:sp>
    <dsp:sp modelId="{48771420-216B-45D1-91E1-1FDE7E155BF6}">
      <dsp:nvSpPr>
        <dsp:cNvPr id="0" name=""/>
        <dsp:cNvSpPr/>
      </dsp:nvSpPr>
      <dsp:spPr>
        <a:xfrm>
          <a:off x="4040993" y="2012539"/>
          <a:ext cx="909032" cy="909032"/>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Generate income</a:t>
          </a:r>
        </a:p>
      </dsp:txBody>
      <dsp:txXfrm>
        <a:off x="4174118" y="2145664"/>
        <a:ext cx="642782" cy="642782"/>
      </dsp:txXfrm>
    </dsp:sp>
    <dsp:sp modelId="{71ABF521-F724-4B9C-802C-2F403227AAE2}">
      <dsp:nvSpPr>
        <dsp:cNvPr id="0" name=""/>
        <dsp:cNvSpPr/>
      </dsp:nvSpPr>
      <dsp:spPr>
        <a:xfrm>
          <a:off x="3150467" y="3129223"/>
          <a:ext cx="909032" cy="909032"/>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Linked to self-conscious emotions</a:t>
          </a:r>
        </a:p>
      </dsp:txBody>
      <dsp:txXfrm>
        <a:off x="3283592" y="3262348"/>
        <a:ext cx="642782" cy="642782"/>
      </dsp:txXfrm>
    </dsp:sp>
    <dsp:sp modelId="{A71F302B-6674-4D61-B32B-D6727FA92933}">
      <dsp:nvSpPr>
        <dsp:cNvPr id="0" name=""/>
        <dsp:cNvSpPr/>
      </dsp:nvSpPr>
      <dsp:spPr>
        <a:xfrm>
          <a:off x="1722174" y="3129223"/>
          <a:ext cx="909032" cy="909032"/>
        </a:xfrm>
        <a:prstGeom prst="ellipse">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Improve social relationships</a:t>
          </a:r>
        </a:p>
      </dsp:txBody>
      <dsp:txXfrm>
        <a:off x="1855299" y="3262348"/>
        <a:ext cx="642782" cy="642782"/>
      </dsp:txXfrm>
    </dsp:sp>
    <dsp:sp modelId="{6866AAD5-3486-43DF-A0CD-A9864D362B1A}">
      <dsp:nvSpPr>
        <dsp:cNvPr id="0" name=""/>
        <dsp:cNvSpPr/>
      </dsp:nvSpPr>
      <dsp:spPr>
        <a:xfrm>
          <a:off x="831648" y="2012539"/>
          <a:ext cx="909032" cy="909032"/>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Increase memory retention </a:t>
          </a:r>
        </a:p>
      </dsp:txBody>
      <dsp:txXfrm>
        <a:off x="964773" y="2145664"/>
        <a:ext cx="642782" cy="642782"/>
      </dsp:txXfrm>
    </dsp:sp>
    <dsp:sp modelId="{D9EB96D2-BD99-42FF-969B-34B95B561752}">
      <dsp:nvSpPr>
        <dsp:cNvPr id="0" name=""/>
        <dsp:cNvSpPr/>
      </dsp:nvSpPr>
      <dsp:spPr>
        <a:xfrm>
          <a:off x="1149473" y="620056"/>
          <a:ext cx="909032" cy="909032"/>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Increase footfall</a:t>
          </a:r>
        </a:p>
      </dsp:txBody>
      <dsp:txXfrm>
        <a:off x="1282598" y="753181"/>
        <a:ext cx="642782" cy="642782"/>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50</Pages>
  <Words>11740</Words>
  <Characters>66919</Characters>
  <Application>Microsoft Office Word</Application>
  <DocSecurity>0</DocSecurity>
  <Lines>557</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James-Dean</dc:creator>
  <cp:keywords/>
  <dc:description/>
  <cp:lastModifiedBy>Caitlin James-Dean</cp:lastModifiedBy>
  <cp:revision>1</cp:revision>
  <dcterms:created xsi:type="dcterms:W3CDTF">2020-05-29T12:27:00Z</dcterms:created>
  <dcterms:modified xsi:type="dcterms:W3CDTF">2020-05-29T12:27:00Z</dcterms:modified>
</cp:coreProperties>
</file>