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media/image3.jpeg" ContentType="image/jpeg"/>
  <Override PartName="/word/media/image4.jpeg" ContentType="image/jpeg"/>
  <Override PartName="/word/header3.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rPr>
          <w:rFonts w:ascii="Arial" w:hAnsi="Arial"/>
        </w:rPr>
      </w:pPr>
      <w:r>
        <w:rPr>
          <w:rFonts w:ascii="Arial" w:hAnsi="Arial"/>
        </w:rPr>
        <w:drawing xmlns:a="http://schemas.openxmlformats.org/drawingml/2006/main">
          <wp:anchor distT="57150" distB="57150" distL="57150" distR="57150" simplePos="0" relativeHeight="251671552" behindDoc="0" locked="0" layoutInCell="1" allowOverlap="1">
            <wp:simplePos x="0" y="0"/>
            <wp:positionH relativeFrom="column">
              <wp:posOffset>1325880</wp:posOffset>
            </wp:positionH>
            <wp:positionV relativeFrom="page">
              <wp:posOffset>914400</wp:posOffset>
            </wp:positionV>
            <wp:extent cx="2971800" cy="1920240"/>
            <wp:effectExtent l="0" t="0" r="0" b="0"/>
            <wp:wrapSquare wrapText="bothSides" distL="57150" distR="57150" distT="57150" distB="57150"/>
            <wp:docPr id="1073741825" name="officeArt object" descr="Image result for university of wales logo"/>
            <wp:cNvGraphicFramePr/>
            <a:graphic xmlns:a="http://schemas.openxmlformats.org/drawingml/2006/main">
              <a:graphicData uri="http://schemas.openxmlformats.org/drawingml/2006/picture">
                <pic:pic xmlns:pic="http://schemas.openxmlformats.org/drawingml/2006/picture">
                  <pic:nvPicPr>
                    <pic:cNvPr id="1073741825" name="Image result for university of wales logo" descr="Image result for university of wales logo"/>
                    <pic:cNvPicPr>
                      <a:picLocks noChangeAspect="1"/>
                    </pic:cNvPicPr>
                  </pic:nvPicPr>
                  <pic:blipFill>
                    <a:blip r:embed="rId4">
                      <a:extLst/>
                    </a:blip>
                    <a:stretch>
                      <a:fillRect/>
                    </a:stretch>
                  </pic:blipFill>
                  <pic:spPr>
                    <a:xfrm>
                      <a:off x="0" y="0"/>
                      <a:ext cx="2971800" cy="1920240"/>
                    </a:xfrm>
                    <a:prstGeom prst="rect">
                      <a:avLst/>
                    </a:prstGeom>
                    <a:ln w="12700" cap="flat">
                      <a:noFill/>
                      <a:miter lim="400000"/>
                    </a:ln>
                    <a:effectLst/>
                  </pic:spPr>
                </pic:pic>
              </a:graphicData>
            </a:graphic>
          </wp:anchor>
        </w:drawing>
      </w:r>
    </w:p>
    <w:p>
      <w:pPr>
        <w:pStyle w:val="Body A"/>
        <w:spacing w:line="360" w:lineRule="auto"/>
        <w:rPr>
          <w:rFonts w:ascii="Arial" w:hAnsi="Arial"/>
          <w:sz w:val="24"/>
          <w:szCs w:val="24"/>
        </w:rPr>
      </w:pPr>
    </w:p>
    <w:p>
      <w:pPr>
        <w:pStyle w:val="Body A"/>
        <w:spacing w:line="360" w:lineRule="auto"/>
        <w:rPr>
          <w:rFonts w:ascii="Arial" w:hAnsi="Arial"/>
          <w:sz w:val="24"/>
          <w:szCs w:val="24"/>
        </w:rPr>
      </w:pPr>
    </w:p>
    <w:p>
      <w:pPr>
        <w:pStyle w:val="Body A"/>
        <w:spacing w:line="360" w:lineRule="auto"/>
        <w:rPr>
          <w:rFonts w:ascii="Arial" w:hAnsi="Arial"/>
          <w:sz w:val="24"/>
          <w:szCs w:val="24"/>
        </w:rPr>
      </w:pPr>
    </w:p>
    <w:p>
      <w:pPr>
        <w:pStyle w:val="Body A"/>
        <w:spacing w:line="360" w:lineRule="auto"/>
        <w:rPr>
          <w:rFonts w:ascii="Arial" w:hAnsi="Arial"/>
          <w:sz w:val="24"/>
          <w:szCs w:val="24"/>
        </w:rPr>
      </w:pPr>
    </w:p>
    <w:p>
      <w:pPr>
        <w:pStyle w:val="Body A"/>
        <w:spacing w:line="360" w:lineRule="auto"/>
        <w:rPr>
          <w:rFonts w:ascii="Arial" w:hAnsi="Arial"/>
          <w:sz w:val="24"/>
          <w:szCs w:val="24"/>
        </w:rPr>
      </w:pPr>
    </w:p>
    <w:p>
      <w:pPr>
        <w:pStyle w:val="Body A"/>
        <w:spacing w:line="360" w:lineRule="auto"/>
        <w:rPr>
          <w:rFonts w:ascii="Arial" w:hAnsi="Arial"/>
          <w:sz w:val="24"/>
          <w:szCs w:val="24"/>
        </w:rPr>
      </w:pPr>
    </w:p>
    <w:p>
      <w:pPr>
        <w:pStyle w:val="Body A"/>
        <w:spacing w:line="360" w:lineRule="auto"/>
        <w:rPr>
          <w:rFonts w:ascii="Arial" w:hAnsi="Arial"/>
          <w:b w:val="1"/>
          <w:bCs w:val="1"/>
          <w:sz w:val="52"/>
          <w:szCs w:val="52"/>
        </w:rPr>
      </w:pPr>
    </w:p>
    <w:p>
      <w:pPr>
        <w:pStyle w:val="Body A"/>
        <w:spacing w:line="360" w:lineRule="auto"/>
        <w:rPr>
          <w:rFonts w:ascii="Arial" w:hAnsi="Arial"/>
          <w:b w:val="1"/>
          <w:bCs w:val="1"/>
          <w:sz w:val="32"/>
          <w:szCs w:val="32"/>
        </w:rPr>
      </w:pPr>
    </w:p>
    <w:p>
      <w:pPr>
        <w:pStyle w:val="Body A"/>
        <w:spacing w:line="360" w:lineRule="auto"/>
        <w:rPr>
          <w:rFonts w:ascii="Arial" w:cs="Arial" w:hAnsi="Arial" w:eastAsia="Arial"/>
          <w:sz w:val="32"/>
          <w:szCs w:val="32"/>
        </w:rPr>
      </w:pPr>
      <w:r>
        <w:rPr>
          <w:rFonts w:ascii="Arial" w:hAnsi="Arial"/>
          <w:b w:val="1"/>
          <w:bCs w:val="1"/>
          <w:sz w:val="32"/>
          <w:szCs w:val="32"/>
          <w:rtl w:val="0"/>
          <w:lang w:val="en-US"/>
        </w:rPr>
        <w:t>PROGRAMME-</w:t>
      </w:r>
      <w:r>
        <w:rPr>
          <w:rFonts w:ascii="Arial" w:hAnsi="Arial"/>
          <w:sz w:val="32"/>
          <w:szCs w:val="32"/>
          <w:rtl w:val="0"/>
          <w:lang w:val="en-US"/>
        </w:rPr>
        <w:t xml:space="preserve"> M.Sc. Public Health Social Care and Practice Programme</w:t>
      </w:r>
    </w:p>
    <w:p>
      <w:pPr>
        <w:pStyle w:val="Body A"/>
        <w:spacing w:line="360" w:lineRule="auto"/>
        <w:rPr>
          <w:rFonts w:ascii="Arial" w:cs="Arial" w:hAnsi="Arial" w:eastAsia="Arial"/>
          <w:sz w:val="32"/>
          <w:szCs w:val="32"/>
        </w:rPr>
      </w:pPr>
      <w:r>
        <w:rPr>
          <w:rFonts w:ascii="Arial" w:hAnsi="Arial"/>
          <w:b w:val="1"/>
          <w:bCs w:val="1"/>
          <w:sz w:val="32"/>
          <w:szCs w:val="32"/>
          <w:rtl w:val="0"/>
          <w:lang w:val="en-US"/>
        </w:rPr>
        <w:t>ASSESSMENT-</w:t>
      </w:r>
      <w:r>
        <w:rPr>
          <w:rFonts w:ascii="Arial" w:hAnsi="Arial"/>
          <w:sz w:val="32"/>
          <w:szCs w:val="32"/>
          <w:rtl w:val="0"/>
          <w:lang w:val="en-US"/>
        </w:rPr>
        <w:t xml:space="preserve"> </w:t>
      </w:r>
      <w:r>
        <w:rPr>
          <w:rFonts w:ascii="Arial" w:hAnsi="Arial"/>
          <w:sz w:val="32"/>
          <w:szCs w:val="32"/>
          <w:rtl w:val="0"/>
          <w:lang w:val="en-US"/>
        </w:rPr>
        <w:t>1</w:t>
      </w:r>
    </w:p>
    <w:p>
      <w:pPr>
        <w:pStyle w:val="Body A"/>
        <w:spacing w:line="360" w:lineRule="auto"/>
        <w:rPr>
          <w:rFonts w:ascii="Arial" w:cs="Arial" w:hAnsi="Arial" w:eastAsia="Arial"/>
          <w:sz w:val="32"/>
          <w:szCs w:val="32"/>
        </w:rPr>
      </w:pPr>
      <w:r>
        <w:rPr>
          <w:rFonts w:ascii="Arial" w:hAnsi="Arial"/>
          <w:b w:val="1"/>
          <w:bCs w:val="1"/>
          <w:sz w:val="32"/>
          <w:szCs w:val="32"/>
          <w:rtl w:val="0"/>
          <w:lang w:val="en-US"/>
        </w:rPr>
        <w:t>STUDENT NAME-</w:t>
      </w:r>
      <w:r>
        <w:rPr>
          <w:rFonts w:ascii="Arial" w:hAnsi="Arial"/>
          <w:sz w:val="32"/>
          <w:szCs w:val="32"/>
          <w:rtl w:val="0"/>
          <w:lang w:val="en-US"/>
        </w:rPr>
        <w:t xml:space="preserve"> Sivaani</w:t>
      </w:r>
      <w:r>
        <w:rPr>
          <w:rFonts w:ascii="Arial" w:hAnsi="Arial"/>
          <w:sz w:val="32"/>
          <w:szCs w:val="32"/>
          <w:rtl w:val="0"/>
          <w:lang w:val="en-US"/>
        </w:rPr>
        <w:t>l</w:t>
      </w:r>
      <w:r>
        <w:rPr>
          <w:rFonts w:ascii="Arial" w:hAnsi="Arial"/>
          <w:sz w:val="32"/>
          <w:szCs w:val="32"/>
          <w:rtl w:val="0"/>
          <w:lang w:val="en-US"/>
        </w:rPr>
        <w:t>kumar Lella</w:t>
      </w:r>
    </w:p>
    <w:p>
      <w:pPr>
        <w:pStyle w:val="Body A"/>
        <w:spacing w:line="360" w:lineRule="auto"/>
        <w:rPr>
          <w:rFonts w:ascii="Arial" w:cs="Arial" w:hAnsi="Arial" w:eastAsia="Arial"/>
          <w:sz w:val="32"/>
          <w:szCs w:val="32"/>
        </w:rPr>
      </w:pPr>
      <w:r>
        <w:rPr>
          <w:rFonts w:ascii="Arial" w:hAnsi="Arial"/>
          <w:b w:val="1"/>
          <w:bCs w:val="1"/>
          <w:sz w:val="32"/>
          <w:szCs w:val="32"/>
          <w:rtl w:val="0"/>
          <w:lang w:val="en-US"/>
        </w:rPr>
        <w:t>STUDENT ID-</w:t>
      </w:r>
      <w:r>
        <w:rPr>
          <w:rFonts w:ascii="Arial" w:hAnsi="Arial"/>
          <w:sz w:val="32"/>
          <w:szCs w:val="32"/>
          <w:rtl w:val="0"/>
          <w:lang w:val="en-US"/>
        </w:rPr>
        <w:t xml:space="preserve"> 2241658</w:t>
      </w:r>
    </w:p>
    <w:p>
      <w:pPr>
        <w:pStyle w:val="Body A"/>
        <w:spacing w:line="360" w:lineRule="auto"/>
        <w:rPr>
          <w:rFonts w:ascii="Arial" w:cs="Arial" w:hAnsi="Arial" w:eastAsia="Arial"/>
          <w:sz w:val="32"/>
          <w:szCs w:val="32"/>
        </w:rPr>
      </w:pPr>
    </w:p>
    <w:p>
      <w:pPr>
        <w:pStyle w:val="Body A"/>
        <w:spacing w:line="360" w:lineRule="auto"/>
        <w:rPr>
          <w:rFonts w:ascii="Arial" w:cs="Arial" w:hAnsi="Arial" w:eastAsia="Arial"/>
          <w:sz w:val="32"/>
          <w:szCs w:val="32"/>
        </w:rPr>
      </w:pPr>
      <w:r>
        <w:rPr>
          <w:rFonts w:ascii="Arial" w:hAnsi="Arial"/>
          <w:b w:val="1"/>
          <w:bCs w:val="1"/>
          <w:sz w:val="32"/>
          <w:szCs w:val="32"/>
          <w:rtl w:val="0"/>
          <w:lang w:val="en-US"/>
        </w:rPr>
        <w:t xml:space="preserve">MODULE NAME- </w:t>
      </w:r>
      <w:r>
        <w:rPr>
          <w:rFonts w:ascii="Arial" w:hAnsi="Arial"/>
          <w:sz w:val="32"/>
          <w:szCs w:val="32"/>
          <w:rtl w:val="0"/>
          <w:lang w:val="en-US"/>
        </w:rPr>
        <w:t>Population Health and Digital Health Promotion</w:t>
      </w:r>
    </w:p>
    <w:p>
      <w:pPr>
        <w:pStyle w:val="Body A"/>
        <w:spacing w:line="360" w:lineRule="auto"/>
        <w:rPr>
          <w:rFonts w:ascii="Arial" w:cs="Arial" w:hAnsi="Arial" w:eastAsia="Arial"/>
          <w:sz w:val="32"/>
          <w:szCs w:val="32"/>
        </w:rPr>
      </w:pPr>
      <w:r>
        <w:rPr>
          <w:rFonts w:ascii="Arial" w:hAnsi="Arial"/>
          <w:b w:val="1"/>
          <w:bCs w:val="1"/>
          <w:sz w:val="32"/>
          <w:szCs w:val="32"/>
          <w:rtl w:val="0"/>
          <w:lang w:val="en-US"/>
        </w:rPr>
        <w:t>MODULE CODE-</w:t>
      </w:r>
      <w:r>
        <w:rPr>
          <w:rFonts w:ascii="Arial" w:hAnsi="Arial"/>
          <w:sz w:val="32"/>
          <w:szCs w:val="32"/>
          <w:rtl w:val="0"/>
          <w:lang w:val="en-US"/>
        </w:rPr>
        <w:t xml:space="preserve"> LCHS7007</w:t>
      </w:r>
    </w:p>
    <w:p>
      <w:pPr>
        <w:pStyle w:val="Body A"/>
        <w:spacing w:line="360" w:lineRule="auto"/>
      </w:pPr>
      <w:r>
        <w:rPr>
          <w:rFonts w:ascii="Arial" w:hAnsi="Arial"/>
          <w:b w:val="1"/>
          <w:bCs w:val="1"/>
          <w:sz w:val="32"/>
          <w:szCs w:val="32"/>
          <w:rtl w:val="0"/>
          <w:lang w:val="en-US"/>
        </w:rPr>
        <w:t>LECTURER NAME-</w:t>
      </w:r>
      <w:r>
        <w:rPr>
          <w:rFonts w:ascii="Arial" w:hAnsi="Arial"/>
          <w:sz w:val="32"/>
          <w:szCs w:val="32"/>
          <w:rtl w:val="0"/>
          <w:lang w:val="en-US"/>
        </w:rPr>
        <w:t xml:space="preserve"> DR. Ping Wu</w:t>
      </w:r>
      <w:r>
        <w:rPr>
          <w:rFonts w:ascii="Arial Unicode MS" w:cs="Arial Unicode MS" w:hAnsi="Arial Unicode MS" w:eastAsia="Arial Unicode MS"/>
          <w:b w:val="0"/>
          <w:bCs w:val="0"/>
          <w:i w:val="0"/>
          <w:iCs w:val="0"/>
          <w:sz w:val="24"/>
          <w:szCs w:val="24"/>
        </w:rPr>
        <w:br w:type="page"/>
      </w:r>
    </w:p>
    <w:p>
      <w:pPr>
        <w:pStyle w:val="Body A"/>
        <w:spacing w:line="360" w:lineRule="auto"/>
        <w:jc w:val="center"/>
        <w:rPr>
          <w:rFonts w:ascii="Arial" w:cs="Arial" w:hAnsi="Arial" w:eastAsia="Arial"/>
          <w:sz w:val="24"/>
          <w:szCs w:val="24"/>
        </w:rPr>
      </w:pPr>
      <w:r>
        <w:rPr>
          <w:rFonts w:ascii="Arial" w:cs="Arial" w:hAnsi="Arial" w:eastAsia="Arial"/>
        </w:rPr>
        <w:drawing xmlns:a="http://schemas.openxmlformats.org/drawingml/2006/main">
          <wp:inline distT="0" distB="0" distL="0" distR="0">
            <wp:extent cx="5372100" cy="2702694"/>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5372100" cy="2702694"/>
                    </a:xfrm>
                    <a:prstGeom prst="rect">
                      <a:avLst/>
                    </a:prstGeom>
                    <a:ln w="12700" cap="flat">
                      <a:noFill/>
                      <a:miter lim="400000"/>
                    </a:ln>
                    <a:effectLst/>
                  </pic:spPr>
                </pic:pic>
              </a:graphicData>
            </a:graphic>
          </wp:inline>
        </w:drawing>
      </w:r>
      <w:r>
        <w:rPr>
          <w:rFonts w:ascii="Arial" w:cs="Arial" w:hAnsi="Arial" w:eastAsia="Arial"/>
          <w:sz w:val="24"/>
          <w:szCs w:val="24"/>
        </w:rPr>
        <mc:AlternateContent>
          <mc:Choice Requires="wpg">
            <w:drawing xmlns:a="http://schemas.openxmlformats.org/drawingml/2006/main">
              <wp:anchor distT="114300" distB="114300" distL="114300" distR="114300" simplePos="0" relativeHeight="251660288" behindDoc="0" locked="0" layoutInCell="1" allowOverlap="1">
                <wp:simplePos x="0" y="0"/>
                <wp:positionH relativeFrom="page">
                  <wp:posOffset>1123950</wp:posOffset>
                </wp:positionH>
                <wp:positionV relativeFrom="page">
                  <wp:posOffset>210918</wp:posOffset>
                </wp:positionV>
                <wp:extent cx="5796282" cy="1325246"/>
                <wp:effectExtent l="0" t="0" r="0" b="0"/>
                <wp:wrapSquare wrapText="bothSides" distL="114300" distR="114300" distT="114300" distB="114300"/>
                <wp:docPr id="1073741829" name="officeArt object" descr="Group 64"/>
                <wp:cNvGraphicFramePr/>
                <a:graphic xmlns:a="http://schemas.openxmlformats.org/drawingml/2006/main">
                  <a:graphicData uri="http://schemas.microsoft.com/office/word/2010/wordprocessingGroup">
                    <wpg:wgp>
                      <wpg:cNvGrpSpPr/>
                      <wpg:grpSpPr>
                        <a:xfrm>
                          <a:off x="0" y="0"/>
                          <a:ext cx="5796282" cy="1325246"/>
                          <a:chOff x="0" y="0"/>
                          <a:chExt cx="5796281" cy="1325245"/>
                        </a:xfrm>
                      </wpg:grpSpPr>
                      <wps:wsp>
                        <wps:cNvPr id="1073741827" name="Rectangle 199"/>
                        <wps:cNvSpPr/>
                        <wps:spPr>
                          <a:xfrm>
                            <a:off x="-1" y="-1"/>
                            <a:ext cx="5796282" cy="270619"/>
                          </a:xfrm>
                          <a:prstGeom prst="rect">
                            <a:avLst/>
                          </a:prstGeom>
                          <a:solidFill>
                            <a:schemeClr val="accent1"/>
                          </a:solidFill>
                          <a:ln w="12700" cap="flat">
                            <a:noFill/>
                            <a:miter lim="400000"/>
                          </a:ln>
                          <a:effectLst/>
                        </wps:spPr>
                        <wps:bodyPr/>
                      </wps:wsp>
                      <wps:wsp>
                        <wps:cNvPr id="1073741828" name="Text Box 200"/>
                        <wps:cNvSpPr txBox="1"/>
                        <wps:spPr>
                          <a:xfrm>
                            <a:off x="91439" y="344132"/>
                            <a:ext cx="5613402" cy="981114"/>
                          </a:xfrm>
                          <a:prstGeom prst="rect">
                            <a:avLst/>
                          </a:prstGeom>
                          <a:noFill/>
                          <a:ln w="12700" cap="flat">
                            <a:noFill/>
                            <a:miter lim="400000"/>
                          </a:ln>
                          <a:effectLst/>
                        </wps:spPr>
                        <wps:txbx>
                          <w:txbxContent>
                            <w:p>
                              <w:pPr>
                                <w:pStyle w:val="Body A"/>
                                <w:jc w:val="center"/>
                              </w:pPr>
                              <w:r>
                                <w:rPr>
                                  <w:rFonts w:ascii="Arial" w:hAnsi="Arial"/>
                                  <w:sz w:val="32"/>
                                  <w:szCs w:val="32"/>
                                  <w:rtl w:val="0"/>
                                  <w:lang w:val="en-US"/>
                                  <w14:shadow w14:sx="100000" w14:sy="100000" w14:kx="0" w14:ky="0" w14:algn="tl" w14:blurRad="50800" w14:dist="19050" w14:dir="2700000">
                                    <w14:srgbClr w14:val="000000">
                                      <w14:alpha w14:val="60000"/>
                                    </w14:srgbClr>
                                  </w14:shadow>
                                  <w14:textOutline w14:w="12700" w14:cap="flat">
                                    <w14:noFill/>
                                    <w14:miter w14:lim="400000"/>
                                  </w14:textOutline>
                                </w:rPr>
                                <w:t>Don</w:t>
                              </w:r>
                              <w:r>
                                <w:rPr>
                                  <w:rFonts w:ascii="Arial" w:hAnsi="Arial" w:hint="default"/>
                                  <w:sz w:val="32"/>
                                  <w:szCs w:val="32"/>
                                  <w:rtl w:val="1"/>
                                  <w:lang w:val="ar-SA" w:bidi="ar-SA"/>
                                  <w14:shadow w14:sx="100000" w14:sy="100000" w14:kx="0" w14:ky="0" w14:algn="tl" w14:blurRad="50800" w14:dist="19050" w14:dir="2700000">
                                    <w14:srgbClr w14:val="000000">
                                      <w14:alpha w14:val="60000"/>
                                    </w14:srgbClr>
                                  </w14:shadow>
                                  <w14:textOutline w14:w="12700" w14:cap="flat">
                                    <w14:noFill/>
                                    <w14:miter w14:lim="400000"/>
                                  </w14:textOutline>
                                </w:rPr>
                                <w:t>’</w:t>
                              </w:r>
                              <w:r>
                                <w:rPr>
                                  <w:rFonts w:ascii="Arial" w:hAnsi="Arial"/>
                                  <w:sz w:val="32"/>
                                  <w:szCs w:val="32"/>
                                  <w:rtl w:val="0"/>
                                  <w:lang w:val="en-US"/>
                                  <w14:shadow w14:sx="100000" w14:sy="100000" w14:kx="0" w14:ky="0" w14:algn="tl" w14:blurRad="50800" w14:dist="19050" w14:dir="2700000">
                                    <w14:srgbClr w14:val="000000">
                                      <w14:alpha w14:val="60000"/>
                                    </w14:srgbClr>
                                  </w14:shadow>
                                  <w14:textOutline w14:w="12700" w14:cap="flat">
                                    <w14:noFill/>
                                    <w14:miter w14:lim="400000"/>
                                  </w14:textOutline>
                                </w:rPr>
                                <w:t>t Lose Heart: Keeping Patients</w:t>
                              </w:r>
                              <w:r>
                                <w:rPr>
                                  <w:rFonts w:ascii="Arial" w:hAnsi="Arial" w:hint="default"/>
                                  <w:sz w:val="32"/>
                                  <w:szCs w:val="32"/>
                                  <w:rtl w:val="1"/>
                                  <w:lang w:val="ar-SA" w:bidi="ar-SA"/>
                                  <w14:shadow w14:sx="100000" w14:sy="100000" w14:kx="0" w14:ky="0" w14:algn="tl" w14:blurRad="50800" w14:dist="19050" w14:dir="2700000">
                                    <w14:srgbClr w14:val="000000">
                                      <w14:alpha w14:val="60000"/>
                                    </w14:srgbClr>
                                  </w14:shadow>
                                  <w14:textOutline w14:w="12700" w14:cap="flat">
                                    <w14:noFill/>
                                    <w14:miter w14:lim="400000"/>
                                  </w14:textOutline>
                                </w:rPr>
                                <w:t xml:space="preserve">’ </w:t>
                              </w:r>
                              <w:r>
                                <w:rPr>
                                  <w:rFonts w:ascii="Arial" w:hAnsi="Arial"/>
                                  <w:sz w:val="32"/>
                                  <w:szCs w:val="32"/>
                                  <w:rtl w:val="0"/>
                                  <w:lang w:val="en-US"/>
                                  <w14:shadow w14:sx="100000" w14:sy="100000" w14:kx="0" w14:ky="0" w14:algn="tl" w14:blurRad="50800" w14:dist="19050" w14:dir="2700000">
                                    <w14:srgbClr w14:val="000000">
                                      <w14:alpha w14:val="60000"/>
                                    </w14:srgbClr>
                                  </w14:shadow>
                                  <w14:textOutline w14:w="12700" w14:cap="flat">
                                    <w14:noFill/>
                                    <w14:miter w14:lim="400000"/>
                                  </w14:textOutline>
                                </w:rPr>
                                <w:t>Heart Healthy by Remote Monitoring with the Use of Wearable Electrocardiograms (ECGs</w:t>
                              </w:r>
                              <w:r>
                                <w:rPr>
                                  <w:rFonts w:ascii="Arial" w:hAnsi="Arial"/>
                                  <w:caps w:val="1"/>
                                  <w:outline w:val="0"/>
                                  <w:color w:val="4472c4"/>
                                  <w:sz w:val="32"/>
                                  <w:szCs w:val="32"/>
                                  <w:u w:color="4472c4"/>
                                  <w:rtl w:val="0"/>
                                  <w:lang w:val="en-US"/>
                                  <w14:textFill>
                                    <w14:solidFill>
                                      <w14:srgbClr w14:val="4472C4"/>
                                    </w14:solidFill>
                                  </w14:textFill>
                                </w:rPr>
                                <w:t>)</w:t>
                              </w:r>
                            </w:p>
                          </w:txbxContent>
                        </wps:txbx>
                        <wps:bodyPr wrap="square" lIns="0" tIns="0" rIns="0" bIns="0" numCol="1" anchor="t">
                          <a:noAutofit/>
                        </wps:bodyPr>
                      </wps:wsp>
                    </wpg:wgp>
                  </a:graphicData>
                </a:graphic>
              </wp:anchor>
            </w:drawing>
          </mc:Choice>
          <mc:Fallback>
            <w:pict>
              <v:group id="_x0000_s1026" style="visibility:visible;position:absolute;margin-left:88.5pt;margin-top:16.6pt;width:456.4pt;height:104.4pt;z-index:251660288;mso-position-horizontal:absolute;mso-position-horizontal-relative:page;mso-position-vertical:absolute;mso-position-vertical-relative:page;mso-wrap-distance-left:9.0pt;mso-wrap-distance-top:9.0pt;mso-wrap-distance-right:9.0pt;mso-wrap-distance-bottom:9.0pt;" coordorigin="0,0" coordsize="5796281,1325245">
                <w10:wrap type="square" side="bothSides" anchorx="page" anchory="page"/>
                <v:rect id="_x0000_s1027" style="position:absolute;left:0;top:0;width:5796281;height:270618;">
                  <v:fill color="#4472C4" opacity="100.0%" type="solid"/>
                  <v:stroke on="f" weight="1.0pt" dashstyle="solid" endcap="flat" miterlimit="400.0%" joinstyle="miter" linestyle="single" startarrow="none" startarrowwidth="medium" startarrowlength="medium" endarrow="none" endarrowwidth="medium" endarrowlength="medium"/>
                </v:rect>
                <v:shape id="_x0000_s1028" type="#_x0000_t202" style="position:absolute;left:91440;top:344132;width:5613401;height:981113;">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Fonts w:ascii="Arial" w:hAnsi="Arial"/>
                            <w:sz w:val="32"/>
                            <w:szCs w:val="32"/>
                            <w:rtl w:val="0"/>
                            <w:lang w:val="en-US"/>
                            <w14:shadow w14:sx="100000" w14:sy="100000" w14:kx="0" w14:ky="0" w14:algn="tl" w14:blurRad="50800" w14:dist="19050" w14:dir="2700000">
                              <w14:srgbClr w14:val="000000">
                                <w14:alpha w14:val="60000"/>
                              </w14:srgbClr>
                            </w14:shadow>
                            <w14:textOutline w14:w="12700" w14:cap="flat">
                              <w14:noFill/>
                              <w14:miter w14:lim="400000"/>
                            </w14:textOutline>
                          </w:rPr>
                          <w:t>Don</w:t>
                        </w:r>
                        <w:r>
                          <w:rPr>
                            <w:rFonts w:ascii="Arial" w:hAnsi="Arial" w:hint="default"/>
                            <w:sz w:val="32"/>
                            <w:szCs w:val="32"/>
                            <w:rtl w:val="1"/>
                            <w:lang w:val="ar-SA" w:bidi="ar-SA"/>
                            <w14:shadow w14:sx="100000" w14:sy="100000" w14:kx="0" w14:ky="0" w14:algn="tl" w14:blurRad="50800" w14:dist="19050" w14:dir="2700000">
                              <w14:srgbClr w14:val="000000">
                                <w14:alpha w14:val="60000"/>
                              </w14:srgbClr>
                            </w14:shadow>
                            <w14:textOutline w14:w="12700" w14:cap="flat">
                              <w14:noFill/>
                              <w14:miter w14:lim="400000"/>
                            </w14:textOutline>
                          </w:rPr>
                          <w:t>’</w:t>
                        </w:r>
                        <w:r>
                          <w:rPr>
                            <w:rFonts w:ascii="Arial" w:hAnsi="Arial"/>
                            <w:sz w:val="32"/>
                            <w:szCs w:val="32"/>
                            <w:rtl w:val="0"/>
                            <w:lang w:val="en-US"/>
                            <w14:shadow w14:sx="100000" w14:sy="100000" w14:kx="0" w14:ky="0" w14:algn="tl" w14:blurRad="50800" w14:dist="19050" w14:dir="2700000">
                              <w14:srgbClr w14:val="000000">
                                <w14:alpha w14:val="60000"/>
                              </w14:srgbClr>
                            </w14:shadow>
                            <w14:textOutline w14:w="12700" w14:cap="flat">
                              <w14:noFill/>
                              <w14:miter w14:lim="400000"/>
                            </w14:textOutline>
                          </w:rPr>
                          <w:t>t Lose Heart: Keeping Patients</w:t>
                        </w:r>
                        <w:r>
                          <w:rPr>
                            <w:rFonts w:ascii="Arial" w:hAnsi="Arial" w:hint="default"/>
                            <w:sz w:val="32"/>
                            <w:szCs w:val="32"/>
                            <w:rtl w:val="1"/>
                            <w:lang w:val="ar-SA" w:bidi="ar-SA"/>
                            <w14:shadow w14:sx="100000" w14:sy="100000" w14:kx="0" w14:ky="0" w14:algn="tl" w14:blurRad="50800" w14:dist="19050" w14:dir="2700000">
                              <w14:srgbClr w14:val="000000">
                                <w14:alpha w14:val="60000"/>
                              </w14:srgbClr>
                            </w14:shadow>
                            <w14:textOutline w14:w="12700" w14:cap="flat">
                              <w14:noFill/>
                              <w14:miter w14:lim="400000"/>
                            </w14:textOutline>
                          </w:rPr>
                          <w:t xml:space="preserve">’ </w:t>
                        </w:r>
                        <w:r>
                          <w:rPr>
                            <w:rFonts w:ascii="Arial" w:hAnsi="Arial"/>
                            <w:sz w:val="32"/>
                            <w:szCs w:val="32"/>
                            <w:rtl w:val="0"/>
                            <w:lang w:val="en-US"/>
                            <w14:shadow w14:sx="100000" w14:sy="100000" w14:kx="0" w14:ky="0" w14:algn="tl" w14:blurRad="50800" w14:dist="19050" w14:dir="2700000">
                              <w14:srgbClr w14:val="000000">
                                <w14:alpha w14:val="60000"/>
                              </w14:srgbClr>
                            </w14:shadow>
                            <w14:textOutline w14:w="12700" w14:cap="flat">
                              <w14:noFill/>
                              <w14:miter w14:lim="400000"/>
                            </w14:textOutline>
                          </w:rPr>
                          <w:t>Heart Healthy by Remote Monitoring with the Use of Wearable Electrocardiograms (ECGs</w:t>
                        </w:r>
                        <w:r>
                          <w:rPr>
                            <w:rFonts w:ascii="Arial" w:hAnsi="Arial"/>
                            <w:caps w:val="1"/>
                            <w:outline w:val="0"/>
                            <w:color w:val="4472c4"/>
                            <w:sz w:val="32"/>
                            <w:szCs w:val="32"/>
                            <w:u w:color="4472c4"/>
                            <w:rtl w:val="0"/>
                            <w:lang w:val="en-US"/>
                            <w14:textFill>
                              <w14:solidFill>
                                <w14:srgbClr w14:val="4472C4"/>
                              </w14:solidFill>
                            </w14:textFill>
                          </w:rPr>
                          <w:t>)</w:t>
                        </w:r>
                      </w:p>
                    </w:txbxContent>
                  </v:textbox>
                </v:shape>
              </v:group>
            </w:pict>
          </mc:Fallback>
        </mc:AlternateContent>
      </w:r>
    </w:p>
    <w:p>
      <w:pPr>
        <w:pStyle w:val="Body A"/>
        <w:spacing w:line="360" w:lineRule="auto"/>
        <w:jc w:val="both"/>
        <w:rPr>
          <w:rFonts w:ascii="Arial" w:cs="Arial" w:hAnsi="Arial" w:eastAsia="Arial"/>
          <w:i w:val="1"/>
          <w:iCs w:val="1"/>
          <w:sz w:val="24"/>
          <w:szCs w:val="24"/>
        </w:rPr>
      </w:pPr>
    </w:p>
    <w:p>
      <w:pPr>
        <w:pStyle w:val="Body A"/>
        <w:spacing w:line="360" w:lineRule="auto"/>
        <w:jc w:val="both"/>
        <w:rPr>
          <w:rFonts w:ascii="Arial" w:cs="Arial" w:hAnsi="Arial" w:eastAsia="Arial"/>
          <w:i w:val="1"/>
          <w:iCs w:val="1"/>
          <w:sz w:val="24"/>
          <w:szCs w:val="24"/>
        </w:rPr>
      </w:pPr>
    </w:p>
    <w:p>
      <w:pPr>
        <w:pStyle w:val="Body A"/>
        <w:spacing w:line="360" w:lineRule="auto"/>
        <w:jc w:val="both"/>
        <w:rPr>
          <w:rFonts w:ascii="Arial" w:cs="Arial" w:hAnsi="Arial" w:eastAsia="Arial"/>
          <w:outline w:val="0"/>
          <w:color w:val="44546a"/>
          <w:sz w:val="24"/>
          <w:szCs w:val="24"/>
          <w:u w:color="44546a"/>
          <w14:textFill>
            <w14:solidFill>
              <w14:srgbClr w14:val="44546A"/>
            </w14:solidFill>
          </w14:textFill>
        </w:rPr>
      </w:pPr>
      <w:r>
        <w:rPr>
          <w:rFonts w:ascii="Arial" w:hAnsi="Arial"/>
          <w:outline w:val="0"/>
          <w:color w:val="44546a"/>
          <w:sz w:val="24"/>
          <w:szCs w:val="24"/>
          <w:u w:color="44546a"/>
          <w:rtl w:val="0"/>
          <w:lang w:val="en-US"/>
          <w14:textFill>
            <w14:solidFill>
              <w14:srgbClr w14:val="44546A"/>
            </w14:solidFill>
          </w14:textFill>
        </w:rPr>
        <w:t xml:space="preserve">The ever-evolving domain of healthcare has now stepped into a digital era. New digital technologies are surfacing into the market allowing better surveillance and supervision of diverse health parameters. Within this realm of advancements, Wearable Electrocardiogram (ECG) devices have attracted considerable interest due to their ability to monitor cardiac health assisting healthcare professionals as well as common people in their fight against CARDIOVASCULAR DISEASES. </w:t>
      </w:r>
    </w:p>
    <w:p>
      <w:pPr>
        <w:pStyle w:val="Body A"/>
        <w:spacing w:line="360" w:lineRule="auto"/>
        <w:jc w:val="center"/>
        <w:rPr>
          <w:rFonts w:ascii="Arial" w:cs="Arial" w:hAnsi="Arial" w:eastAsia="Arial"/>
          <w:b w:val="1"/>
          <w:bCs w:val="1"/>
          <w:outline w:val="0"/>
          <w:color w:val="44546a"/>
          <w:sz w:val="24"/>
          <w:szCs w:val="24"/>
          <w:u w:color="44546a"/>
          <w14:textFill>
            <w14:solidFill>
              <w14:srgbClr w14:val="44546A"/>
            </w14:solidFill>
          </w14:textFill>
        </w:rPr>
      </w:pPr>
      <w:r>
        <w:rPr>
          <w:rFonts w:ascii="Arial" w:hAnsi="Arial"/>
          <w:b w:val="1"/>
          <w:bCs w:val="1"/>
          <w:outline w:val="0"/>
          <w:color w:val="44546a"/>
          <w:sz w:val="24"/>
          <w:szCs w:val="24"/>
          <w:u w:color="44546a"/>
          <w:rtl w:val="0"/>
          <w:lang w:val="en-US"/>
          <w14:textFill>
            <w14:solidFill>
              <w14:srgbClr w14:val="44546A"/>
            </w14:solidFill>
          </w14:textFill>
        </w:rPr>
        <w:t>CVD in the United Kingdom</w:t>
      </w:r>
    </w:p>
    <w:tbl>
      <w:tblPr>
        <w:tblW w:w="935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350"/>
      </w:tblGrid>
      <w:tr>
        <w:tblPrEx>
          <w:shd w:val="clear" w:color="auto" w:fill="cdd4e9"/>
        </w:tblPrEx>
        <w:trPr>
          <w:trHeight w:val="2779" w:hRule="atLeast"/>
        </w:trPr>
        <w:tc>
          <w:tcPr>
            <w:tcW w:type="dxa" w:w="9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e89f"/>
            <w:tcMar>
              <w:top w:type="dxa" w:w="80"/>
              <w:left w:type="dxa" w:w="80"/>
              <w:bottom w:type="dxa" w:w="80"/>
              <w:right w:type="dxa" w:w="80"/>
            </w:tcMar>
            <w:vAlign w:val="top"/>
          </w:tcPr>
          <w:p>
            <w:pPr>
              <w:pStyle w:val="List Paragraph"/>
              <w:numPr>
                <w:ilvl w:val="0"/>
                <w:numId w:val="1"/>
              </w:numPr>
              <w:spacing w:after="0" w:line="360" w:lineRule="auto"/>
              <w:jc w:val="both"/>
              <w:rPr>
                <w:rFonts w:ascii="Arial" w:hAnsi="Arial"/>
                <w:outline w:val="0"/>
                <w:color w:val="44546a"/>
                <w:sz w:val="24"/>
                <w:szCs w:val="24"/>
                <w:u w:color="44546a"/>
                <w:lang w:val="en-US"/>
                <w14:textFill>
                  <w14:solidFill>
                    <w14:srgbClr w14:val="44546A"/>
                  </w14:solidFill>
                </w14:textFill>
              </w:rPr>
            </w:pPr>
            <w:r>
              <w:rPr>
                <w:rFonts w:ascii="Arial" w:hAnsi="Arial"/>
                <w:outline w:val="0"/>
                <w:color w:val="44546a"/>
                <w:sz w:val="24"/>
                <w:szCs w:val="24"/>
                <w:u w:color="44546a"/>
                <w:shd w:val="nil" w:color="auto" w:fill="auto"/>
                <w:rtl w:val="0"/>
                <w:lang w:val="en-US"/>
                <w14:textFill>
                  <w14:solidFill>
                    <w14:srgbClr w14:val="44546A"/>
                  </w14:solidFill>
                </w14:textFill>
              </w:rPr>
              <w:t>CVD was responsible for 163, 888 deaths (27.1% of all deaths due to circulatory system failures) in 2019 (Cheema et al., 2022).</w:t>
            </w:r>
          </w:p>
          <w:p>
            <w:pPr>
              <w:pStyle w:val="List Paragraph"/>
              <w:numPr>
                <w:ilvl w:val="0"/>
                <w:numId w:val="2"/>
              </w:numPr>
              <w:bidi w:val="0"/>
              <w:spacing w:after="0" w:line="360" w:lineRule="auto"/>
              <w:ind w:right="0"/>
              <w:jc w:val="both"/>
              <w:rPr>
                <w:rFonts w:ascii="Arial" w:hAnsi="Arial"/>
                <w:outline w:val="0"/>
                <w:color w:val="44546a"/>
                <w:sz w:val="24"/>
                <w:szCs w:val="24"/>
                <w:u w:color="44546a"/>
                <w:rtl w:val="0"/>
                <w:lang w:val="en-US"/>
                <w14:textFill>
                  <w14:solidFill>
                    <w14:srgbClr w14:val="44546A"/>
                  </w14:solidFill>
                </w14:textFill>
              </w:rPr>
            </w:pPr>
            <w:r>
              <w:rPr>
                <w:rFonts w:ascii="Arial" w:hAnsi="Arial"/>
                <w:outline w:val="0"/>
                <w:color w:val="44546a"/>
                <w:sz w:val="24"/>
                <w:szCs w:val="24"/>
                <w:u w:color="44546a"/>
                <w:shd w:val="nil" w:color="auto" w:fill="auto"/>
                <w:rtl w:val="0"/>
                <w:lang w:val="en-US"/>
                <w14:textFill>
                  <w14:solidFill>
                    <w14:srgbClr w14:val="44546A"/>
                  </w14:solidFill>
                </w14:textFill>
              </w:rPr>
              <w:t>Estimated annual CVD-related healthcare costs to the National Health Service (NHS) were 21 % of its overall expenditure (</w:t>
            </w:r>
            <w:r>
              <w:rPr>
                <w:rFonts w:ascii="Arial" w:hAnsi="Arial"/>
                <w:outline w:val="0"/>
                <w:color w:val="000000"/>
                <w:sz w:val="24"/>
                <w:szCs w:val="24"/>
                <w:u w:color="000000"/>
                <w:shd w:val="nil" w:color="auto" w:fill="auto"/>
                <w:rtl w:val="0"/>
                <w:lang w:val="en-US"/>
                <w14:textFill>
                  <w14:solidFill>
                    <w14:srgbClr w14:val="000000"/>
                  </w14:solidFill>
                </w14:textFill>
              </w:rPr>
              <w:t>Luengo-Fern</w:t>
            </w:r>
            <w:r>
              <w:rPr>
                <w:rFonts w:ascii="Arial" w:hAnsi="Arial" w:hint="default"/>
                <w:outline w:val="0"/>
                <w:color w:val="000000"/>
                <w:sz w:val="24"/>
                <w:szCs w:val="24"/>
                <w:u w:color="000000"/>
                <w:shd w:val="nil" w:color="auto" w:fill="auto"/>
                <w:rtl w:val="0"/>
                <w:lang w:val="en-US"/>
                <w14:textFill>
                  <w14:solidFill>
                    <w14:srgbClr w14:val="000000"/>
                  </w14:solidFill>
                </w14:textFill>
              </w:rPr>
              <w:t>á</w:t>
            </w:r>
            <w:r>
              <w:rPr>
                <w:rFonts w:ascii="Arial" w:hAnsi="Arial"/>
                <w:outline w:val="0"/>
                <w:color w:val="000000"/>
                <w:sz w:val="24"/>
                <w:szCs w:val="24"/>
                <w:u w:color="000000"/>
                <w:shd w:val="nil" w:color="auto" w:fill="auto"/>
                <w:rtl w:val="0"/>
                <w:lang w:val="en-US"/>
                <w14:textFill>
                  <w14:solidFill>
                    <w14:srgbClr w14:val="000000"/>
                  </w14:solidFill>
                </w14:textFill>
              </w:rPr>
              <w:t>ndez et al., 2006</w:t>
            </w:r>
            <w:r>
              <w:rPr>
                <w:rFonts w:ascii="Arial" w:hAnsi="Arial"/>
                <w:outline w:val="0"/>
                <w:color w:val="44546a"/>
                <w:sz w:val="24"/>
                <w:szCs w:val="24"/>
                <w:u w:color="44546a"/>
                <w:shd w:val="nil" w:color="auto" w:fill="auto"/>
                <w:rtl w:val="0"/>
                <w:lang w:val="en-US"/>
                <w14:textFill>
                  <w14:solidFill>
                    <w14:srgbClr w14:val="44546A"/>
                  </w14:solidFill>
                </w14:textFill>
              </w:rPr>
              <w:t>).</w:t>
            </w:r>
          </w:p>
          <w:p>
            <w:pPr>
              <w:pStyle w:val="List Paragraph"/>
              <w:numPr>
                <w:ilvl w:val="0"/>
                <w:numId w:val="2"/>
              </w:numPr>
              <w:bidi w:val="0"/>
              <w:spacing w:after="0" w:line="360" w:lineRule="auto"/>
              <w:ind w:right="0"/>
              <w:jc w:val="both"/>
              <w:rPr>
                <w:rFonts w:ascii="Arial" w:hAnsi="Arial"/>
                <w:outline w:val="0"/>
                <w:color w:val="44546a"/>
                <w:sz w:val="24"/>
                <w:szCs w:val="24"/>
                <w:u w:color="44546a"/>
                <w:rtl w:val="0"/>
                <w:lang w:val="en-US"/>
                <w14:textFill>
                  <w14:solidFill>
                    <w14:srgbClr w14:val="44546A"/>
                  </w14:solidFill>
                </w14:textFill>
              </w:rPr>
            </w:pPr>
            <w:r>
              <w:rPr>
                <w:rFonts w:ascii="Arial" w:hAnsi="Arial"/>
                <w:outline w:val="0"/>
                <w:color w:val="44546a"/>
                <w:sz w:val="24"/>
                <w:szCs w:val="24"/>
                <w:u w:color="44546a"/>
                <w:shd w:val="nil" w:color="auto" w:fill="auto"/>
                <w:rtl w:val="0"/>
                <w:lang w:val="en-US"/>
                <w14:textFill>
                  <w14:solidFill>
                    <w14:srgbClr w14:val="44546A"/>
                  </w14:solidFill>
                </w14:textFill>
              </w:rPr>
              <w:t>CVD-related disabilities, that significantly impact a person's functional capacity have increased (Allender et al., 2007). This means that more people having chronic heart problems are living longer.</w:t>
            </w:r>
          </w:p>
        </w:tc>
      </w:tr>
    </w:tbl>
    <w:p>
      <w:pPr>
        <w:pStyle w:val="Body A"/>
        <w:widowControl w:val="0"/>
        <w:spacing w:line="240" w:lineRule="auto"/>
        <w:jc w:val="center"/>
        <w:rPr>
          <w:rFonts w:ascii="Arial" w:cs="Arial" w:hAnsi="Arial" w:eastAsia="Arial"/>
          <w:b w:val="1"/>
          <w:bCs w:val="1"/>
          <w:outline w:val="0"/>
          <w:color w:val="44546a"/>
          <w:sz w:val="24"/>
          <w:szCs w:val="24"/>
          <w:u w:color="44546a"/>
          <w14:textFill>
            <w14:solidFill>
              <w14:srgbClr w14:val="44546A"/>
            </w14:solidFill>
          </w14:textFill>
        </w:rPr>
      </w:pPr>
    </w:p>
    <w:p>
      <w:pPr>
        <w:pStyle w:val="Body A"/>
        <w:widowControl w:val="0"/>
        <w:spacing w:line="360" w:lineRule="auto"/>
        <w:jc w:val="center"/>
        <w:rPr>
          <w:rFonts w:ascii="Arial" w:cs="Arial" w:hAnsi="Arial" w:eastAsia="Arial"/>
          <w:b w:val="1"/>
          <w:bCs w:val="1"/>
          <w:outline w:val="0"/>
          <w:color w:val="44546a"/>
          <w:sz w:val="24"/>
          <w:szCs w:val="24"/>
          <w:u w:color="44546a"/>
          <w14:textFill>
            <w14:solidFill>
              <w14:srgbClr w14:val="44546A"/>
            </w14:solidFill>
          </w14:textFill>
        </w:rPr>
      </w:pPr>
    </w:p>
    <w:p>
      <w:pPr>
        <w:pStyle w:val="Body A"/>
        <w:spacing w:line="360" w:lineRule="auto"/>
        <w:jc w:val="both"/>
        <w:rPr>
          <w:rFonts w:ascii="Arial" w:cs="Arial" w:hAnsi="Arial" w:eastAsia="Arial"/>
          <w:b w:val="1"/>
          <w:bCs w:val="1"/>
          <w:outline w:val="0"/>
          <w:color w:val="44546a"/>
          <w:sz w:val="24"/>
          <w:szCs w:val="24"/>
          <w:u w:color="44546a"/>
          <w14:textFill>
            <w14:solidFill>
              <w14:srgbClr w14:val="44546A"/>
            </w14:solidFill>
          </w14:textFill>
        </w:rPr>
      </w:pPr>
    </w:p>
    <w:p>
      <w:pPr>
        <w:pStyle w:val="Body A"/>
        <w:spacing w:line="360" w:lineRule="auto"/>
        <w:jc w:val="both"/>
        <w:rPr>
          <w:rFonts w:ascii="Arial" w:cs="Arial" w:hAnsi="Arial" w:eastAsia="Arial"/>
          <w:b w:val="1"/>
          <w:bCs w:val="1"/>
          <w:outline w:val="0"/>
          <w:color w:val="44546a"/>
          <w:sz w:val="28"/>
          <w:szCs w:val="28"/>
          <w:u w:color="44546a"/>
          <w14:textFill>
            <w14:solidFill>
              <w14:srgbClr w14:val="44546A"/>
            </w14:solidFill>
          </w14:textFill>
        </w:rPr>
      </w:pPr>
      <w:r>
        <w:rPr>
          <w:rFonts w:ascii="Arial" w:hAnsi="Arial"/>
          <w:b w:val="1"/>
          <w:bCs w:val="1"/>
          <w:outline w:val="0"/>
          <w:color w:val="44546a"/>
          <w:sz w:val="28"/>
          <w:szCs w:val="28"/>
          <w:u w:color="44546a"/>
          <w:shd w:val="clear" w:color="auto" w:fill="c0c0c0"/>
          <w:rtl w:val="0"/>
          <w:lang w:val="en-US"/>
          <w14:textFill>
            <w14:solidFill>
              <w14:srgbClr w14:val="44546A"/>
            </w14:solidFill>
          </w14:textFill>
        </w:rPr>
        <w:t>Self-awareness and change in attitude among common people after Covid 19</w:t>
      </w:r>
    </w:p>
    <w:p>
      <w:pPr>
        <w:pStyle w:val="Body A"/>
        <w:spacing w:line="360" w:lineRule="auto"/>
        <w:jc w:val="both"/>
        <w:rPr>
          <w:rFonts w:ascii="Arial" w:cs="Arial" w:hAnsi="Arial" w:eastAsia="Arial"/>
          <w:b w:val="1"/>
          <w:bCs w:val="1"/>
          <w:outline w:val="0"/>
          <w:color w:val="44546a"/>
          <w:sz w:val="24"/>
          <w:szCs w:val="24"/>
          <w:u w:color="44546a"/>
          <w14:textFill>
            <w14:solidFill>
              <w14:srgbClr w14:val="44546A"/>
            </w14:solidFill>
          </w14:textFill>
        </w:rPr>
      </w:pPr>
      <w:r>
        <w:rPr>
          <w:rFonts w:ascii="Arial" w:hAnsi="Arial"/>
          <w:outline w:val="0"/>
          <w:color w:val="44546a"/>
          <w:sz w:val="24"/>
          <w:szCs w:val="24"/>
          <w:u w:color="44546a"/>
          <w:rtl w:val="0"/>
          <w:lang w:val="en-US"/>
          <w14:textFill>
            <w14:solidFill>
              <w14:srgbClr w14:val="44546A"/>
            </w14:solidFill>
          </w14:textFill>
        </w:rPr>
        <w:t xml:space="preserve">The recent pandemic has brought substantial awareness among individuals about their health leading to an increase in anxiety among people and, consequently causing frequent visits to general practitioners (GPs) or hospitals. This is why, our hospitals, clinics, and healthcare staff members are over-burdened. They are dealing with an ever-increasing number of heart patients daily. So, we need to develop strategies promoting health, rapid screening and diagnosis of CVDs using alternative options with optimization of resources.    </w:t>
      </w:r>
    </w:p>
    <w:p>
      <w:pPr>
        <w:pStyle w:val="Body A"/>
        <w:spacing w:line="360" w:lineRule="auto"/>
        <w:jc w:val="both"/>
        <w:rPr>
          <w:rFonts w:ascii="Arial" w:cs="Arial" w:hAnsi="Arial" w:eastAsia="Arial"/>
          <w:b w:val="1"/>
          <w:bCs w:val="1"/>
          <w:sz w:val="24"/>
          <w:szCs w:val="24"/>
          <w:lang w:val="fr-FR"/>
        </w:rPr>
      </w:pPr>
      <w:r>
        <w:rPr>
          <w:rFonts w:ascii="Arial" w:hAnsi="Arial"/>
          <w:b w:val="1"/>
          <w:bCs w:val="1"/>
          <w:sz w:val="32"/>
          <w:szCs w:val="32"/>
          <w:shd w:val="clear" w:color="auto" w:fill="c0c0c0"/>
          <w:rtl w:val="0"/>
          <w:lang w:val="fr-FR"/>
        </w:rPr>
        <w:t>Wearable Electrocardiograms (ECGs): Overview</w:t>
      </w:r>
    </w:p>
    <w:p>
      <w:pPr>
        <w:pStyle w:val="Body A"/>
        <w:spacing w:line="360" w:lineRule="auto"/>
        <w:jc w:val="both"/>
        <w:rPr>
          <w:rFonts w:ascii="Arial" w:cs="Arial" w:hAnsi="Arial" w:eastAsia="Arial"/>
          <w:b w:val="1"/>
          <w:bCs w:val="1"/>
          <w:sz w:val="24"/>
          <w:szCs w:val="24"/>
        </w:rPr>
      </w:pPr>
      <w:r>
        <w:rPr>
          <w:rFonts w:ascii="Arial" w:hAnsi="Arial"/>
          <w:sz w:val="24"/>
          <w:szCs w:val="24"/>
          <w:rtl w:val="0"/>
          <w:lang w:val="en-US"/>
        </w:rPr>
        <w:t xml:space="preserve">Wearable Electrocardiograms (ECGs) have the potential to revolutionise the way we receive healthcare services. A wearable ECG is a small portable device that can be worn on the body and reads the electrical activity of the heart. </w:t>
      </w:r>
    </w:p>
    <w:p>
      <w:pPr>
        <w:pStyle w:val="Body A"/>
        <w:spacing w:line="360" w:lineRule="auto"/>
        <w:rPr>
          <w:rFonts w:ascii="Arial" w:cs="Arial" w:hAnsi="Arial" w:eastAsia="Arial"/>
          <w:b w:val="1"/>
          <w:bCs w:val="1"/>
          <w:i w:val="1"/>
          <w:iCs w:val="1"/>
          <w:sz w:val="28"/>
          <w:szCs w:val="28"/>
        </w:rPr>
      </w:pPr>
      <w:r>
        <w:rPr>
          <w:rFonts w:ascii="Arial" w:hAnsi="Arial"/>
          <w:b w:val="1"/>
          <w:bCs w:val="1"/>
          <w:i w:val="1"/>
          <w:iCs w:val="1"/>
          <w:sz w:val="28"/>
          <w:szCs w:val="28"/>
          <w:rtl w:val="0"/>
          <w:lang w:val="en-US"/>
        </w:rPr>
        <w:t>How they are transforming health monitoring</w:t>
      </w:r>
    </w:p>
    <w:p>
      <w:pPr>
        <w:pStyle w:val="Body A"/>
        <w:spacing w:line="360" w:lineRule="auto"/>
        <w:rPr>
          <w:rFonts w:ascii="Arial" w:cs="Arial" w:hAnsi="Arial" w:eastAsia="Arial"/>
          <w:b w:val="1"/>
          <w:bCs w:val="1"/>
          <w:sz w:val="24"/>
          <w:szCs w:val="24"/>
        </w:rPr>
      </w:pPr>
    </w:p>
    <w:p>
      <w:pPr>
        <w:pStyle w:val="Body A"/>
        <w:spacing w:line="360" w:lineRule="auto"/>
        <w:jc w:val="center"/>
        <w:rPr>
          <w:rFonts w:ascii="Arial" w:cs="Arial" w:hAnsi="Arial" w:eastAsia="Arial"/>
        </w:rPr>
        <w:sectPr>
          <w:headerReference w:type="default" r:id="rId6"/>
          <w:headerReference w:type="first" r:id="rId7"/>
          <w:footerReference w:type="default" r:id="rId8"/>
          <w:footerReference w:type="first" r:id="rId9"/>
          <w:pgSz w:w="12240" w:h="15840" w:orient="portrait"/>
          <w:pgMar w:top="1440" w:right="1440" w:bottom="360" w:left="1440" w:header="360" w:footer="360"/>
          <w:pgNumType w:start="0"/>
          <w:titlePg w:val="1"/>
          <w:bidi w:val="0"/>
        </w:sectPr>
      </w:pPr>
      <w:r>
        <w:rPr>
          <w:rFonts w:ascii="Arial" w:cs="Arial" w:hAnsi="Arial" w:eastAsia="Arial"/>
        </w:rPr>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fd966"/>
        <w:spacing w:line="360" w:lineRule="auto"/>
        <w:jc w:val="center"/>
        <w:rPr>
          <w:rFonts w:ascii="Arial" w:cs="Arial" w:hAnsi="Arial" w:eastAsia="Arial"/>
          <w:i w:val="1"/>
          <w:iCs w:val="1"/>
          <w:outline w:val="0"/>
          <w:color w:val="ff0000"/>
          <w:sz w:val="24"/>
          <w:szCs w:val="24"/>
          <w:u w:color="ff0000"/>
          <w14:textFill>
            <w14:solidFill>
              <w14:srgbClr w14:val="FF0000"/>
            </w14:solidFill>
          </w14:textFill>
        </w:rPr>
      </w:pPr>
      <w:r>
        <w:rPr>
          <w:rFonts w:ascii="Arial" w:hAnsi="Arial"/>
          <w:b w:val="1"/>
          <w:bCs w:val="1"/>
          <w:i w:val="1"/>
          <w:iCs w:val="1"/>
          <w:outline w:val="0"/>
          <w:color w:val="ff0000"/>
          <w:sz w:val="24"/>
          <w:szCs w:val="24"/>
          <w:u w:color="ff0000"/>
          <w:rtl w:val="0"/>
          <w:lang w:val="en-US"/>
          <w14:textFill>
            <w14:solidFill>
              <w14:srgbClr w14:val="FF0000"/>
            </w14:solidFill>
          </w14:textFill>
        </w:rPr>
        <w:t>Remote and self-monitoring</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fd966"/>
        <w:spacing w:line="360" w:lineRule="auto"/>
        <w:jc w:val="both"/>
        <w:rPr>
          <w:rFonts w:ascii="Arial" w:cs="Arial" w:hAnsi="Arial" w:eastAsia="Arial"/>
          <w:sz w:val="24"/>
          <w:szCs w:val="24"/>
        </w:rPr>
      </w:pPr>
      <w:r>
        <w:rPr>
          <w:rFonts w:ascii="Arial" w:cs="Arial" w:hAnsi="Arial" w:eastAsia="Arial"/>
        </w:rPr>
        <w:drawing xmlns:a="http://schemas.openxmlformats.org/drawingml/2006/main">
          <wp:anchor distT="57150" distB="57150" distL="57150" distR="57150" simplePos="0" relativeHeight="251659264" behindDoc="0" locked="0" layoutInCell="1" allowOverlap="1">
            <wp:simplePos x="0" y="0"/>
            <wp:positionH relativeFrom="column">
              <wp:posOffset>-42543</wp:posOffset>
            </wp:positionH>
            <wp:positionV relativeFrom="line">
              <wp:posOffset>2695918</wp:posOffset>
            </wp:positionV>
            <wp:extent cx="2888479" cy="2006600"/>
            <wp:effectExtent l="0" t="0" r="0" b="0"/>
            <wp:wrapThrough wrapText="bothSides" distL="57150" distR="57150">
              <wp:wrapPolygon edited="1">
                <wp:start x="0" y="0"/>
                <wp:lineTo x="21600" y="0"/>
                <wp:lineTo x="21600" y="21600"/>
                <wp:lineTo x="0" y="21600"/>
                <wp:lineTo x="0" y="0"/>
              </wp:wrapPolygon>
            </wp:wrapThrough>
            <wp:docPr id="1073741830" name="officeArt object" descr="Picture 4"/>
            <wp:cNvGraphicFramePr/>
            <a:graphic xmlns:a="http://schemas.openxmlformats.org/drawingml/2006/main">
              <a:graphicData uri="http://schemas.openxmlformats.org/drawingml/2006/picture">
                <pic:pic xmlns:pic="http://schemas.openxmlformats.org/drawingml/2006/picture">
                  <pic:nvPicPr>
                    <pic:cNvPr id="1073741830" name="Picture 4" descr="Picture 4"/>
                    <pic:cNvPicPr>
                      <a:picLocks noChangeAspect="1"/>
                    </pic:cNvPicPr>
                  </pic:nvPicPr>
                  <pic:blipFill>
                    <a:blip r:embed="rId10">
                      <a:extLst/>
                    </a:blip>
                    <a:stretch>
                      <a:fillRect/>
                    </a:stretch>
                  </pic:blipFill>
                  <pic:spPr>
                    <a:xfrm>
                      <a:off x="0" y="0"/>
                      <a:ext cx="2888479" cy="2006600"/>
                    </a:xfrm>
                    <a:prstGeom prst="rect">
                      <a:avLst/>
                    </a:prstGeom>
                    <a:ln w="12700" cap="flat">
                      <a:noFill/>
                      <a:miter lim="400000"/>
                    </a:ln>
                    <a:effectLst/>
                  </pic:spPr>
                </pic:pic>
              </a:graphicData>
            </a:graphic>
          </wp:anchor>
        </w:drawing>
      </w:r>
      <w:r>
        <w:rPr>
          <w:rFonts w:ascii="Arial" w:hAnsi="Arial"/>
          <w:sz w:val="24"/>
          <w:szCs w:val="24"/>
          <w:rtl w:val="0"/>
          <w:lang w:val="en-US"/>
        </w:rPr>
        <w:t>With its ability to give vital signs like heart rate variability (HRV), healthcare professionals can now efficiently obtain continuous insight into a patient's cardiac activity. People themselves can monitor their health and change their health-related behaviours. This not only benefits patients but also reduces the strain on healthcare systems by eliminating the need for physical visits to a GP. They perform better at rest or slow walking, and their use for recreational fitness tracking has been suggested (O</w:t>
      </w:r>
      <w:r>
        <w:rPr>
          <w:rFonts w:ascii="Arial" w:hAnsi="Arial" w:hint="default"/>
          <w:sz w:val="24"/>
          <w:szCs w:val="24"/>
          <w:rtl w:val="0"/>
          <w:lang w:val="en-US"/>
        </w:rPr>
        <w:t>’</w:t>
      </w:r>
      <w:r>
        <w:rPr>
          <w:rFonts w:ascii="Arial" w:hAnsi="Arial"/>
          <w:sz w:val="24"/>
          <w:szCs w:val="24"/>
          <w:rtl w:val="0"/>
          <w:lang w:val="en-US"/>
        </w:rPr>
        <w:t xml:space="preserve">Connor et al., 2009; Etiwy et al., 2019). </w:t>
      </w:r>
    </w:p>
    <w:p>
      <w:pPr>
        <w:pStyle w:val="Body A"/>
        <w:spacing w:line="360" w:lineRule="auto"/>
        <w:jc w:val="both"/>
        <w:rPr>
          <w:rFonts w:ascii="Arial" w:cs="Arial" w:hAnsi="Arial" w:eastAsia="Arial"/>
          <w:sz w:val="24"/>
          <w:szCs w:val="24"/>
        </w:rPr>
      </w:pPr>
    </w:p>
    <w:p>
      <w:pPr>
        <w:pStyle w:val="Body A"/>
        <w:spacing w:line="360" w:lineRule="auto"/>
        <w:jc w:val="both"/>
        <w:rPr>
          <w:rFonts w:ascii="Arial" w:cs="Arial" w:hAnsi="Arial" w:eastAsia="Arial"/>
          <w:sz w:val="24"/>
          <w:szCs w:val="24"/>
        </w:rPr>
      </w:pPr>
      <w:r>
        <w:rPr>
          <w:rFonts w:ascii="Arial" w:cs="Arial" w:hAnsi="Arial" w:eastAsia="Arial"/>
        </w:rPr>
        <w:drawing xmlns:a="http://schemas.openxmlformats.org/drawingml/2006/main">
          <wp:inline distT="0" distB="0" distL="0" distR="0">
            <wp:extent cx="2690368" cy="2641025"/>
            <wp:effectExtent l="0" t="0" r="0" b="0"/>
            <wp:docPr id="1073741831" name="officeArt object" descr="Picture 5"/>
            <wp:cNvGraphicFramePr/>
            <a:graphic xmlns:a="http://schemas.openxmlformats.org/drawingml/2006/main">
              <a:graphicData uri="http://schemas.openxmlformats.org/drawingml/2006/picture">
                <pic:pic xmlns:pic="http://schemas.openxmlformats.org/drawingml/2006/picture">
                  <pic:nvPicPr>
                    <pic:cNvPr id="1073741831" name="Picture 5" descr="Picture 5"/>
                    <pic:cNvPicPr>
                      <a:picLocks noChangeAspect="1"/>
                    </pic:cNvPicPr>
                  </pic:nvPicPr>
                  <pic:blipFill>
                    <a:blip r:embed="rId11">
                      <a:extLst/>
                    </a:blip>
                    <a:srcRect l="0" t="0" r="0" b="8127"/>
                    <a:stretch>
                      <a:fillRect/>
                    </a:stretch>
                  </pic:blipFill>
                  <pic:spPr>
                    <a:xfrm>
                      <a:off x="0" y="0"/>
                      <a:ext cx="2690368" cy="2641025"/>
                    </a:xfrm>
                    <a:prstGeom prst="rect">
                      <a:avLst/>
                    </a:prstGeom>
                    <a:ln w="12700" cap="flat">
                      <a:noFill/>
                      <a:miter lim="400000"/>
                    </a:ln>
                    <a:effectLst/>
                  </pic:spPr>
                </pic:pic>
              </a:graphicData>
            </a:graphic>
          </wp:inline>
        </w:drawing>
      </w:r>
    </w:p>
    <w:p>
      <w:pPr>
        <w:pStyle w:val="Body A"/>
        <w:spacing w:line="360" w:lineRule="auto"/>
        <w:jc w:val="both"/>
        <w:rPr>
          <w:rFonts w:ascii="Arial" w:cs="Arial" w:hAnsi="Arial" w:eastAsia="Arial"/>
          <w:sz w:val="24"/>
          <w:szCs w:val="24"/>
        </w:rPr>
      </w:pP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fd966"/>
        <w:spacing w:line="360" w:lineRule="auto"/>
        <w:jc w:val="center"/>
        <w:rPr>
          <w:rFonts w:ascii="Arial" w:cs="Arial" w:hAnsi="Arial" w:eastAsia="Arial"/>
          <w:i w:val="1"/>
          <w:iCs w:val="1"/>
          <w:outline w:val="0"/>
          <w:color w:val="ff0000"/>
          <w:sz w:val="24"/>
          <w:szCs w:val="24"/>
          <w:u w:color="ff0000"/>
          <w14:textFill>
            <w14:solidFill>
              <w14:srgbClr w14:val="FF0000"/>
            </w14:solidFill>
          </w14:textFill>
        </w:rPr>
      </w:pPr>
      <w:r>
        <w:rPr>
          <w:rFonts w:ascii="Arial" w:hAnsi="Arial"/>
          <w:b w:val="1"/>
          <w:bCs w:val="1"/>
          <w:i w:val="1"/>
          <w:iCs w:val="1"/>
          <w:outline w:val="0"/>
          <w:color w:val="ff0000"/>
          <w:sz w:val="24"/>
          <w:szCs w:val="24"/>
          <w:u w:color="ff0000"/>
          <w:rtl w:val="0"/>
          <w:lang w:val="en-US"/>
          <w14:textFill>
            <w14:solidFill>
              <w14:srgbClr w14:val="FF0000"/>
            </w14:solidFill>
          </w14:textFill>
        </w:rPr>
        <w:t>Early Detection</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fd966"/>
        <w:spacing w:line="360" w:lineRule="auto"/>
        <w:jc w:val="both"/>
        <w:rPr>
          <w:rFonts w:ascii="Arial" w:cs="Arial" w:hAnsi="Arial" w:eastAsia="Arial"/>
          <w:sz w:val="24"/>
          <w:szCs w:val="24"/>
        </w:rPr>
        <w:sectPr>
          <w:type w:val="continuous"/>
          <w:pgSz w:w="12240" w:h="15840" w:orient="portrait"/>
          <w:pgMar w:top="360" w:right="1440" w:bottom="360" w:left="1440" w:header="360" w:footer="360"/>
          <w:pgNumType w:start="0"/>
          <w:cols w:space="1090" w:num="2" w:equalWidth="1"/>
          <w:bidi w:val="0"/>
        </w:sectPr>
      </w:pPr>
      <w:r>
        <w:rPr>
          <w:rFonts w:ascii="Arial" w:hAnsi="Arial"/>
          <w:sz w:val="24"/>
          <w:szCs w:val="24"/>
          <w:rtl w:val="0"/>
          <w:lang w:val="en-US"/>
        </w:rPr>
        <w:t xml:space="preserve">The ongoing collection of data facilitates the prompt identification of anomalies, irregular heart rhythms, and various cardiac irregularities that could be overlooked during normal monitoring. Also, they provide a better diagnosis than a 12-lead ECG, especially for atrial fibrillation (Bouzid et al., 2022). </w:t>
      </w:r>
      <w:r>
        <w:rPr>
          <w:rFonts w:ascii="Arial" w:cs="Arial" w:hAnsi="Arial" w:eastAsia="Arial"/>
          <w:sz w:val="24"/>
          <w:szCs w:val="24"/>
        </w:rPr>
      </w:r>
    </w:p>
    <w:p>
      <w:pPr>
        <w:pStyle w:val="Body A"/>
        <w:spacing w:line="360" w:lineRule="auto"/>
        <w:jc w:val="both"/>
        <w:rPr>
          <w:rFonts w:ascii="Arial" w:cs="Arial" w:hAnsi="Arial" w:eastAsia="Arial"/>
          <w:b w:val="1"/>
          <w:bCs w:val="1"/>
          <w:sz w:val="24"/>
          <w:szCs w:val="24"/>
          <w:shd w:val="clear" w:color="auto" w:fill="c0c0c0"/>
        </w:rPr>
      </w:pPr>
    </w:p>
    <w:p>
      <w:pPr>
        <w:pStyle w:val="Body A"/>
        <w:spacing w:line="360" w:lineRule="auto"/>
        <w:jc w:val="both"/>
        <w:rPr>
          <w:rFonts w:ascii="Arial" w:cs="Arial" w:hAnsi="Arial" w:eastAsia="Arial"/>
          <w:b w:val="1"/>
          <w:bCs w:val="1"/>
          <w:sz w:val="24"/>
          <w:szCs w:val="24"/>
          <w:shd w:val="clear" w:color="auto" w:fill="c0c0c0"/>
        </w:rPr>
      </w:pPr>
    </w:p>
    <w:p>
      <w:pPr>
        <w:pStyle w:val="Body A"/>
        <w:spacing w:line="360" w:lineRule="auto"/>
        <w:jc w:val="both"/>
        <w:rPr>
          <w:rFonts w:ascii="Arial" w:cs="Arial" w:hAnsi="Arial" w:eastAsia="Arial"/>
          <w:b w:val="1"/>
          <w:bCs w:val="1"/>
          <w:i w:val="1"/>
          <w:iCs w:val="1"/>
          <w:sz w:val="28"/>
          <w:szCs w:val="28"/>
        </w:rPr>
      </w:pPr>
      <w:r>
        <w:rPr>
          <w:rFonts w:ascii="Arial" w:hAnsi="Arial"/>
          <w:b w:val="1"/>
          <w:bCs w:val="1"/>
          <w:i w:val="1"/>
          <w:iCs w:val="1"/>
          <w:sz w:val="28"/>
          <w:szCs w:val="28"/>
          <w:rtl w:val="0"/>
          <w:lang w:val="en-US"/>
        </w:rPr>
        <w:t>Adoption of wearable ECG in UK</w:t>
      </w:r>
      <w:r>
        <w:rPr>
          <w:rFonts w:ascii="Arial" w:hAnsi="Arial" w:hint="default"/>
          <w:b w:val="1"/>
          <w:bCs w:val="1"/>
          <w:i w:val="1"/>
          <w:iCs w:val="1"/>
          <w:sz w:val="28"/>
          <w:szCs w:val="28"/>
          <w:rtl w:val="0"/>
          <w:lang w:val="en-US"/>
        </w:rPr>
        <w:t>’</w:t>
      </w:r>
      <w:r>
        <w:rPr>
          <w:rFonts w:ascii="Arial" w:hAnsi="Arial"/>
          <w:b w:val="1"/>
          <w:bCs w:val="1"/>
          <w:i w:val="1"/>
          <w:iCs w:val="1"/>
          <w:sz w:val="28"/>
          <w:szCs w:val="28"/>
          <w:rtl w:val="0"/>
          <w:lang w:val="en-US"/>
        </w:rPr>
        <w:t>s Healthcare System</w:t>
      </w:r>
    </w:p>
    <w:p>
      <w:pPr>
        <w:pStyle w:val="Body A"/>
        <w:spacing w:line="360" w:lineRule="auto"/>
        <w:jc w:val="both"/>
        <w:rPr>
          <w:rFonts w:ascii="Arial" w:cs="Arial" w:hAnsi="Arial" w:eastAsia="Arial"/>
          <w:sz w:val="24"/>
          <w:szCs w:val="24"/>
        </w:rPr>
      </w:pPr>
      <w:r>
        <w:rPr>
          <w:rFonts w:ascii="Arial" w:hAnsi="Arial"/>
          <w:sz w:val="24"/>
          <w:szCs w:val="24"/>
          <w:rtl w:val="0"/>
          <w:lang w:val="en-US"/>
        </w:rPr>
        <w:t>Though gaining popularity, at present, NHS does not fund any wearable ECG devices, and patients are using self-funded devices (Clayton, 2023). However, there are projects in progress for the digitization of NHS</w:t>
      </w:r>
      <w:r>
        <w:rPr>
          <w:rFonts w:ascii="Arial" w:hAnsi="Arial" w:hint="default"/>
          <w:sz w:val="24"/>
          <w:szCs w:val="24"/>
          <w:rtl w:val="0"/>
          <w:lang w:val="en-US"/>
        </w:rPr>
        <w:t>’</w:t>
      </w:r>
      <w:r>
        <w:rPr>
          <w:rFonts w:ascii="Arial" w:hAnsi="Arial"/>
          <w:sz w:val="24"/>
          <w:szCs w:val="24"/>
          <w:rtl w:val="0"/>
          <w:lang w:val="en-US"/>
        </w:rPr>
        <w:t xml:space="preserve">s services. One such project involves remote heart monitoring in mental health patients using wearable ECGs. The objectives include care continuity, faster monitoring and enhanced patient experience (NHS, n.d.). </w:t>
      </w:r>
    </w:p>
    <w:p>
      <w:pPr>
        <w:pStyle w:val="Body A"/>
        <w:spacing w:line="360" w:lineRule="auto"/>
        <w:jc w:val="both"/>
        <w:rPr>
          <w:rFonts w:ascii="Arial" w:cs="Arial" w:hAnsi="Arial" w:eastAsia="Arial"/>
          <w:sz w:val="24"/>
          <w:szCs w:val="24"/>
        </w:rPr>
      </w:pPr>
    </w:p>
    <w:p>
      <w:pPr>
        <w:pStyle w:val="Body A"/>
        <w:spacing w:line="360" w:lineRule="auto"/>
        <w:jc w:val="both"/>
        <w:rPr>
          <w:rFonts w:ascii="Arial" w:cs="Arial" w:hAnsi="Arial" w:eastAsia="Arial"/>
          <w:b w:val="1"/>
          <w:bCs w:val="1"/>
          <w:sz w:val="32"/>
          <w:szCs w:val="32"/>
        </w:rPr>
      </w:pPr>
      <w:r>
        <w:rPr>
          <w:rFonts w:ascii="Arial" w:hAnsi="Arial"/>
          <w:b w:val="1"/>
          <w:bCs w:val="1"/>
          <w:sz w:val="32"/>
          <w:szCs w:val="32"/>
          <w:shd w:val="clear" w:color="auto" w:fill="c0c0c0"/>
          <w:rtl w:val="0"/>
          <w:lang w:val="en-US"/>
        </w:rPr>
        <w:t>Challenges Faced in Its Usage</w:t>
      </w:r>
    </w:p>
    <w:p>
      <w:pPr>
        <w:pStyle w:val="Body A"/>
        <w:spacing w:line="360" w:lineRule="auto"/>
        <w:jc w:val="both"/>
        <w:rPr>
          <w:rFonts w:ascii="Arial" w:cs="Arial" w:hAnsi="Arial" w:eastAsia="Arial"/>
          <w:sz w:val="24"/>
          <w:szCs w:val="24"/>
        </w:rPr>
      </w:pPr>
      <w:r>
        <w:rPr>
          <w:rFonts w:ascii="Arial" w:hAnsi="Arial"/>
          <w:b w:val="1"/>
          <w:bCs w:val="1"/>
          <w:sz w:val="24"/>
          <w:szCs w:val="24"/>
          <w:rtl w:val="0"/>
          <w:lang w:val="en-US"/>
        </w:rPr>
        <w:t xml:space="preserve"> </w:t>
      </w:r>
      <w:r>
        <w:rPr>
          <w:rFonts w:ascii="Arial" w:hAnsi="Arial"/>
          <w:sz w:val="24"/>
          <w:szCs w:val="24"/>
          <w:rtl w:val="0"/>
          <w:lang w:val="en-US"/>
        </w:rPr>
        <w:t xml:space="preserve">Though gaining popularity, their usage faces many challenges. Lack of validity in clinical settings, variability of accuracy, data security and user digital literacy are a few of them (Canali et al., 2022). </w:t>
      </w:r>
    </w:p>
    <w:p>
      <w:pPr>
        <w:pStyle w:val="Body A"/>
        <w:spacing w:line="360" w:lineRule="auto"/>
        <w:jc w:val="both"/>
        <w:rPr>
          <w:rFonts w:ascii="Arial" w:cs="Arial" w:hAnsi="Arial" w:eastAsia="Arial"/>
          <w:b w:val="1"/>
          <w:bCs w:val="1"/>
          <w:sz w:val="32"/>
          <w:szCs w:val="32"/>
        </w:rPr>
      </w:pPr>
      <w:r>
        <w:rPr>
          <w:rFonts w:ascii="Arial" w:hAnsi="Arial"/>
          <w:b w:val="1"/>
          <w:bCs w:val="1"/>
          <w:sz w:val="32"/>
          <w:szCs w:val="32"/>
          <w:shd w:val="clear" w:color="auto" w:fill="c0c0c0"/>
          <w:rtl w:val="0"/>
          <w:lang w:val="en-US"/>
        </w:rPr>
        <w:t>What needs to be done</w:t>
      </w:r>
    </w:p>
    <w:p>
      <w:pPr>
        <w:pStyle w:val="Body A"/>
        <w:spacing w:line="360" w:lineRule="auto"/>
        <w:jc w:val="both"/>
        <w:rPr>
          <w:rFonts w:ascii="Arial" w:cs="Arial" w:hAnsi="Arial" w:eastAsia="Arial"/>
          <w:sz w:val="24"/>
          <w:szCs w:val="24"/>
        </w:rPr>
      </w:pPr>
      <w:r>
        <w:rPr>
          <w:rFonts w:ascii="Arial" w:hAnsi="Arial"/>
          <w:sz w:val="24"/>
          <w:szCs w:val="24"/>
          <w:rtl w:val="0"/>
          <w:lang w:val="en-US"/>
        </w:rPr>
        <w:t xml:space="preserve">There is a need to conduct a large-scale study in the UK by including a larger number of patients with diverse CVDs to gain a better understanding of the applicability and feasibility of wearable ECGs. </w:t>
      </w:r>
    </w:p>
    <w:p>
      <w:pPr>
        <w:pStyle w:val="Body A"/>
        <w:spacing w:line="360" w:lineRule="auto"/>
        <w:jc w:val="both"/>
        <w:rPr>
          <w:rFonts w:ascii="Arial" w:cs="Arial" w:hAnsi="Arial" w:eastAsia="Arial"/>
          <w:sz w:val="24"/>
          <w:szCs w:val="24"/>
        </w:rPr>
      </w:pPr>
    </w:p>
    <w:p>
      <w:pPr>
        <w:pStyle w:val="Body A"/>
        <w:spacing w:line="360" w:lineRule="auto"/>
        <w:rPr>
          <w:rFonts w:ascii="Arial" w:cs="Arial" w:hAnsi="Arial" w:eastAsia="Arial"/>
          <w:b w:val="1"/>
          <w:bCs w:val="1"/>
          <w:sz w:val="24"/>
          <w:szCs w:val="24"/>
        </w:rPr>
      </w:pPr>
    </w:p>
    <w:p>
      <w:pPr>
        <w:pStyle w:val="Body A"/>
        <w:spacing w:line="360" w:lineRule="auto"/>
        <w:rPr>
          <w:rFonts w:ascii="Arial" w:cs="Arial" w:hAnsi="Arial" w:eastAsia="Arial"/>
          <w:b w:val="1"/>
          <w:bCs w:val="1"/>
          <w:sz w:val="24"/>
          <w:szCs w:val="24"/>
        </w:rPr>
      </w:pPr>
    </w:p>
    <w:p>
      <w:pPr>
        <w:pStyle w:val="Body A"/>
        <w:spacing w:line="360" w:lineRule="auto"/>
        <w:jc w:val="center"/>
        <w:rPr>
          <w:rFonts w:ascii="Arial" w:cs="Arial" w:hAnsi="Arial" w:eastAsia="Arial"/>
          <w:b w:val="1"/>
          <w:bCs w:val="1"/>
          <w:sz w:val="24"/>
          <w:szCs w:val="24"/>
          <w:lang w:val="pt-PT"/>
        </w:rPr>
      </w:pPr>
      <w:r>
        <w:rPr>
          <w:rFonts w:ascii="Arial" w:hAnsi="Arial"/>
          <w:b w:val="1"/>
          <w:bCs w:val="1"/>
          <w:sz w:val="24"/>
          <w:szCs w:val="24"/>
          <w:rtl w:val="0"/>
          <w:lang w:val="pt-PT"/>
        </w:rPr>
        <w:t>Reference List</w:t>
      </w:r>
    </w:p>
    <w:p>
      <w:pPr>
        <w:pStyle w:val="Body A"/>
        <w:spacing w:line="360" w:lineRule="auto"/>
        <w:jc w:val="both"/>
        <w:rPr>
          <w:rFonts w:ascii="Arial" w:cs="Arial" w:hAnsi="Arial" w:eastAsia="Arial"/>
          <w:sz w:val="24"/>
          <w:szCs w:val="24"/>
        </w:rPr>
      </w:pPr>
      <w:r>
        <w:rPr>
          <w:rFonts w:ascii="Arial" w:hAnsi="Arial"/>
          <w:sz w:val="24"/>
          <w:szCs w:val="24"/>
          <w:rtl w:val="0"/>
          <w:lang w:val="en-US"/>
        </w:rPr>
        <w:t xml:space="preserve">Allender, S., Foster, C., Scarborough, P. and Rayner, M., 2007. The burden of physical activity-related ill health in the UK. </w:t>
      </w:r>
      <w:r>
        <w:rPr>
          <w:rFonts w:ascii="Arial" w:hAnsi="Arial"/>
          <w:i w:val="1"/>
          <w:iCs w:val="1"/>
          <w:sz w:val="24"/>
          <w:szCs w:val="24"/>
          <w:rtl w:val="0"/>
          <w:lang w:val="en-US"/>
        </w:rPr>
        <w:t>Journal of Epidemiology &amp; Community Health</w:t>
      </w:r>
      <w:r>
        <w:rPr>
          <w:rFonts w:ascii="Arial" w:hAnsi="Arial"/>
          <w:sz w:val="24"/>
          <w:szCs w:val="24"/>
          <w:rtl w:val="0"/>
          <w:lang w:val="it-IT"/>
        </w:rPr>
        <w:t xml:space="preserve">, 61(4), pp.344-348. </w:t>
      </w:r>
    </w:p>
    <w:p>
      <w:pPr>
        <w:pStyle w:val="Body A"/>
        <w:spacing w:line="360" w:lineRule="auto"/>
        <w:jc w:val="both"/>
        <w:rPr>
          <w:rFonts w:ascii="Arial" w:cs="Arial" w:hAnsi="Arial" w:eastAsia="Arial"/>
          <w:sz w:val="24"/>
          <w:szCs w:val="24"/>
        </w:rPr>
      </w:pPr>
      <w:r>
        <w:rPr>
          <w:rFonts w:ascii="Arial" w:hAnsi="Arial"/>
          <w:sz w:val="24"/>
          <w:szCs w:val="24"/>
          <w:rtl w:val="0"/>
          <w:lang w:val="en-US"/>
        </w:rPr>
        <w:t>Bouzid, Z., Al-Zaiti, S.S., Bond, R. and Sejdi</w:t>
      </w:r>
      <w:r>
        <w:rPr>
          <w:rFonts w:ascii="Arial" w:hAnsi="Arial" w:hint="default"/>
          <w:sz w:val="24"/>
          <w:szCs w:val="24"/>
          <w:rtl w:val="0"/>
          <w:lang w:val="en-US"/>
        </w:rPr>
        <w:t>ć</w:t>
      </w:r>
      <w:r>
        <w:rPr>
          <w:rFonts w:ascii="Arial" w:hAnsi="Arial"/>
          <w:sz w:val="24"/>
          <w:szCs w:val="24"/>
          <w:rtl w:val="0"/>
          <w:lang w:val="en-US"/>
        </w:rPr>
        <w:t xml:space="preserve">, E., 2022. </w:t>
      </w:r>
      <w:r>
        <w:rPr>
          <w:rFonts w:ascii="Arial" w:hAnsi="Arial" w:hint="default"/>
          <w:sz w:val="24"/>
          <w:szCs w:val="24"/>
          <w:rtl w:val="0"/>
          <w:lang w:val="en-US"/>
        </w:rPr>
        <w:t>‘</w:t>
      </w:r>
      <w:r>
        <w:rPr>
          <w:rFonts w:ascii="Arial" w:hAnsi="Arial"/>
          <w:sz w:val="24"/>
          <w:szCs w:val="24"/>
          <w:rtl w:val="0"/>
          <w:lang w:val="en-US"/>
        </w:rPr>
        <w:t>Remote and wearable ECG devices with diagnostic abilities in adults: A state-of-the-science scoping review.</w:t>
      </w:r>
      <w:r>
        <w:rPr>
          <w:rFonts w:ascii="Arial" w:hAnsi="Arial" w:hint="default"/>
          <w:sz w:val="24"/>
          <w:szCs w:val="24"/>
          <w:rtl w:val="0"/>
          <w:lang w:val="en-US"/>
        </w:rPr>
        <w:t xml:space="preserve">’ </w:t>
      </w:r>
      <w:r>
        <w:rPr>
          <w:rFonts w:ascii="Arial" w:hAnsi="Arial"/>
          <w:i w:val="1"/>
          <w:iCs w:val="1"/>
          <w:sz w:val="24"/>
          <w:szCs w:val="24"/>
          <w:rtl w:val="0"/>
          <w:lang w:val="en-US"/>
        </w:rPr>
        <w:t>Heart Rhythm</w:t>
      </w:r>
      <w:r>
        <w:rPr>
          <w:rFonts w:ascii="Arial" w:hAnsi="Arial"/>
          <w:sz w:val="24"/>
          <w:szCs w:val="24"/>
          <w:rtl w:val="0"/>
          <w:lang w:val="en-US"/>
        </w:rPr>
        <w:t>, 19(7), pp.1192-1201.</w:t>
      </w:r>
    </w:p>
    <w:p>
      <w:pPr>
        <w:pStyle w:val="Body A"/>
        <w:spacing w:line="360" w:lineRule="auto"/>
        <w:jc w:val="both"/>
        <w:rPr>
          <w:rFonts w:ascii="Arial" w:cs="Arial" w:hAnsi="Arial" w:eastAsia="Arial"/>
          <w:sz w:val="24"/>
          <w:szCs w:val="24"/>
        </w:rPr>
      </w:pPr>
      <w:r>
        <w:rPr>
          <w:rFonts w:ascii="Arial" w:hAnsi="Arial"/>
          <w:sz w:val="24"/>
          <w:szCs w:val="24"/>
          <w:rtl w:val="0"/>
          <w:lang w:val="en-US"/>
        </w:rPr>
        <w:t xml:space="preserve">Canali, S., Schiaffonati, V., &amp; Aliverti, A. 2022. Challenges and recommendations for wearable devices in digital health: Data quality, interoperability, health equity, fairness. </w:t>
      </w:r>
      <w:r>
        <w:rPr>
          <w:rFonts w:ascii="Arial" w:hAnsi="Arial"/>
          <w:i w:val="1"/>
          <w:iCs w:val="1"/>
          <w:sz w:val="24"/>
          <w:szCs w:val="24"/>
          <w:rtl w:val="0"/>
          <w:lang w:val="en-US"/>
        </w:rPr>
        <w:t>PLOS Digital Health</w:t>
      </w:r>
      <w:r>
        <w:rPr>
          <w:rFonts w:ascii="Arial" w:hAnsi="Arial"/>
          <w:sz w:val="24"/>
          <w:szCs w:val="24"/>
          <w:rtl w:val="0"/>
          <w:lang w:val="en-US"/>
        </w:rPr>
        <w:t>, 1(10), e0000104.</w:t>
      </w:r>
    </w:p>
    <w:p>
      <w:pPr>
        <w:pStyle w:val="Body A"/>
        <w:spacing w:line="360" w:lineRule="auto"/>
        <w:jc w:val="both"/>
        <w:rPr>
          <w:rFonts w:ascii="Arial" w:cs="Arial" w:hAnsi="Arial" w:eastAsia="Arial"/>
          <w:sz w:val="24"/>
          <w:szCs w:val="24"/>
        </w:rPr>
      </w:pPr>
      <w:r>
        <w:rPr>
          <w:rFonts w:ascii="Arial" w:hAnsi="Arial"/>
          <w:sz w:val="24"/>
          <w:szCs w:val="24"/>
          <w:rtl w:val="0"/>
          <w:lang w:val="en-US"/>
        </w:rPr>
        <w:t xml:space="preserve">Cheema, K.M., Dicks, E., Pearson, J. and Samani, N.J., 2022. </w:t>
      </w:r>
      <w:r>
        <w:rPr>
          <w:rFonts w:ascii="Arial" w:hAnsi="Arial" w:hint="default"/>
          <w:sz w:val="24"/>
          <w:szCs w:val="24"/>
          <w:rtl w:val="0"/>
          <w:lang w:val="en-US"/>
        </w:rPr>
        <w:t>‘</w:t>
      </w:r>
      <w:r>
        <w:rPr>
          <w:rFonts w:ascii="Arial" w:hAnsi="Arial"/>
          <w:sz w:val="24"/>
          <w:szCs w:val="24"/>
          <w:rtl w:val="0"/>
          <w:lang w:val="en-US"/>
        </w:rPr>
        <w:t>Long-term trends in the epidemiology of cardiovascular diseases in the UK: insights from the British Heart Foundation statistical compendium</w:t>
      </w:r>
      <w:r>
        <w:rPr>
          <w:rFonts w:ascii="Arial" w:hAnsi="Arial" w:hint="default"/>
          <w:sz w:val="24"/>
          <w:szCs w:val="24"/>
          <w:rtl w:val="0"/>
          <w:lang w:val="en-US"/>
        </w:rPr>
        <w:t>’</w:t>
      </w:r>
      <w:r>
        <w:rPr>
          <w:rFonts w:ascii="Arial" w:hAnsi="Arial"/>
          <w:sz w:val="24"/>
          <w:szCs w:val="24"/>
          <w:rtl w:val="0"/>
          <w:lang w:val="en-US"/>
        </w:rPr>
        <w:t xml:space="preserve">. </w:t>
      </w:r>
      <w:r>
        <w:rPr>
          <w:rFonts w:ascii="Arial" w:hAnsi="Arial"/>
          <w:i w:val="1"/>
          <w:iCs w:val="1"/>
          <w:sz w:val="24"/>
          <w:szCs w:val="24"/>
          <w:rtl w:val="0"/>
          <w:lang w:val="en-US"/>
        </w:rPr>
        <w:t>Cardiovascular Research</w:t>
      </w:r>
      <w:r>
        <w:rPr>
          <w:rFonts w:ascii="Arial" w:hAnsi="Arial"/>
          <w:sz w:val="24"/>
          <w:szCs w:val="24"/>
          <w:rtl w:val="0"/>
          <w:lang w:val="en-US"/>
        </w:rPr>
        <w:t>, 118(10), pp.2267-2280.</w:t>
      </w:r>
    </w:p>
    <w:p>
      <w:pPr>
        <w:pStyle w:val="Body A"/>
        <w:spacing w:line="360" w:lineRule="auto"/>
        <w:jc w:val="both"/>
        <w:rPr>
          <w:rStyle w:val="None"/>
          <w:rFonts w:ascii="Arial" w:cs="Arial" w:hAnsi="Arial" w:eastAsia="Arial"/>
          <w:sz w:val="24"/>
          <w:szCs w:val="24"/>
        </w:rPr>
      </w:pPr>
      <w:r>
        <w:rPr>
          <w:rFonts w:ascii="Arial" w:hAnsi="Arial"/>
          <w:sz w:val="24"/>
          <w:szCs w:val="24"/>
          <w:rtl w:val="0"/>
          <w:lang w:val="en-US"/>
        </w:rPr>
        <w:t xml:space="preserve">Clayton, O., 2023. Wearable cardiac monitoring: where are we now and where are we going? Editorial. </w:t>
      </w:r>
      <w:r>
        <w:rPr>
          <w:rFonts w:ascii="Arial" w:hAnsi="Arial"/>
          <w:i w:val="1"/>
          <w:iCs w:val="1"/>
          <w:sz w:val="24"/>
          <w:szCs w:val="24"/>
          <w:rtl w:val="0"/>
          <w:lang w:val="it-IT"/>
        </w:rPr>
        <w:t>British Cardiovascular Society.</w:t>
      </w:r>
      <w:r>
        <w:rPr>
          <w:rFonts w:ascii="Arial" w:hAnsi="Arial"/>
          <w:sz w:val="24"/>
          <w:szCs w:val="24"/>
          <w:rtl w:val="0"/>
          <w:lang w:val="en-US"/>
        </w:rPr>
        <w:t xml:space="preserve"> </w:t>
      </w:r>
      <w:r>
        <w:rPr>
          <w:rStyle w:val="Hyperlink.0"/>
          <w:rFonts w:ascii="Arial" w:cs="Arial" w:hAnsi="Arial" w:eastAsia="Arial"/>
          <w:outline w:val="0"/>
          <w:color w:val="000000"/>
          <w:sz w:val="24"/>
          <w:szCs w:val="24"/>
          <w:u w:val="none" w:color="000000"/>
          <w:lang w:val="en-US"/>
          <w14:textFill>
            <w14:solidFill>
              <w14:srgbClr w14:val="000000"/>
            </w14:solidFill>
          </w14:textFill>
        </w:rPr>
        <w:fldChar w:fldCharType="begin" w:fldLock="0"/>
      </w:r>
      <w:r>
        <w:rPr>
          <w:rStyle w:val="Hyperlink.0"/>
          <w:rFonts w:ascii="Arial" w:cs="Arial" w:hAnsi="Arial" w:eastAsia="Arial"/>
          <w:outline w:val="0"/>
          <w:color w:val="000000"/>
          <w:sz w:val="24"/>
          <w:szCs w:val="24"/>
          <w:u w:val="none" w:color="000000"/>
          <w:lang w:val="en-US"/>
          <w14:textFill>
            <w14:solidFill>
              <w14:srgbClr w14:val="000000"/>
            </w14:solidFill>
          </w14:textFill>
        </w:rPr>
        <w:instrText xml:space="preserve"> HYPERLINK "https://www.britishcardiovascularsociety.org/__data/assets/pdf_file/0032/68909/Olivia-Clayton-wearable-cardiac-monitoring.pdf"</w:instrText>
      </w:r>
      <w:r>
        <w:rPr>
          <w:rStyle w:val="Hyperlink.0"/>
          <w:rFonts w:ascii="Arial" w:cs="Arial" w:hAnsi="Arial" w:eastAsia="Arial"/>
          <w:outline w:val="0"/>
          <w:color w:val="000000"/>
          <w:sz w:val="24"/>
          <w:szCs w:val="24"/>
          <w:u w:val="none" w:color="000000"/>
          <w:lang w:val="en-US"/>
          <w14:textFill>
            <w14:solidFill>
              <w14:srgbClr w14:val="000000"/>
            </w14:solidFill>
          </w14:textFill>
        </w:rPr>
        <w:fldChar w:fldCharType="separate" w:fldLock="0"/>
      </w:r>
      <w:r>
        <w:rPr>
          <w:rStyle w:val="Hyperlink.0"/>
          <w:rFonts w:ascii="Arial" w:hAnsi="Arial"/>
          <w:outline w:val="0"/>
          <w:color w:val="000000"/>
          <w:sz w:val="24"/>
          <w:szCs w:val="24"/>
          <w:u w:val="none" w:color="000000"/>
          <w:rtl w:val="0"/>
          <w:lang w:val="en-US"/>
          <w14:textFill>
            <w14:solidFill>
              <w14:srgbClr w14:val="000000"/>
            </w14:solidFill>
          </w14:textFill>
        </w:rPr>
        <w:t>https://www.britishcardiovascularsociety.org/__data/assets/pdf_file/0032/68909/Olivia-Clayton-wearable-cardiac-monitoring.pdf</w:t>
      </w:r>
      <w:r>
        <w:rPr/>
        <w:fldChar w:fldCharType="end" w:fldLock="0"/>
      </w:r>
      <w:r>
        <w:rPr>
          <w:rStyle w:val="None"/>
          <w:rFonts w:ascii="Arial" w:hAnsi="Arial"/>
          <w:sz w:val="24"/>
          <w:szCs w:val="24"/>
          <w:rtl w:val="0"/>
          <w:lang w:val="en-US"/>
        </w:rPr>
        <w:t xml:space="preserve"> </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n-US"/>
        </w:rPr>
        <w:t xml:space="preserve">Etiwy, M., Akhrass, Z., Gillinov, L., Alashi, A., Wang, R., Blackburn, G., Gillinov, S.M., Phelan, D., Gillinov, A.M., Houghtaling, P.L. and Javadikasgari, H., 2019. </w:t>
      </w:r>
      <w:r>
        <w:rPr>
          <w:rStyle w:val="None"/>
          <w:rFonts w:ascii="Arial" w:hAnsi="Arial" w:hint="default"/>
          <w:sz w:val="24"/>
          <w:szCs w:val="24"/>
          <w:rtl w:val="0"/>
          <w:lang w:val="en-US"/>
        </w:rPr>
        <w:t>‘</w:t>
      </w:r>
      <w:r>
        <w:rPr>
          <w:rStyle w:val="None"/>
          <w:rFonts w:ascii="Arial" w:hAnsi="Arial"/>
          <w:sz w:val="24"/>
          <w:szCs w:val="24"/>
          <w:rtl w:val="0"/>
          <w:lang w:val="en-US"/>
        </w:rPr>
        <w:t>Accuracy of wearable heart rate monitors in cardiac rehabilitation</w:t>
      </w:r>
      <w:r>
        <w:rPr>
          <w:rStyle w:val="None"/>
          <w:rFonts w:ascii="Arial" w:hAnsi="Arial" w:hint="default"/>
          <w:sz w:val="24"/>
          <w:szCs w:val="24"/>
          <w:rtl w:val="0"/>
          <w:lang w:val="en-US"/>
        </w:rPr>
        <w:t>’</w:t>
      </w:r>
      <w:r>
        <w:rPr>
          <w:rStyle w:val="None"/>
          <w:rFonts w:ascii="Arial" w:hAnsi="Arial"/>
          <w:sz w:val="24"/>
          <w:szCs w:val="24"/>
          <w:rtl w:val="0"/>
          <w:lang w:val="en-US"/>
        </w:rPr>
        <w:t xml:space="preserve">. </w:t>
      </w:r>
      <w:r>
        <w:rPr>
          <w:rStyle w:val="None"/>
          <w:rFonts w:ascii="Arial" w:hAnsi="Arial"/>
          <w:i w:val="1"/>
          <w:iCs w:val="1"/>
          <w:sz w:val="24"/>
          <w:szCs w:val="24"/>
          <w:rtl w:val="0"/>
          <w:lang w:val="en-US"/>
        </w:rPr>
        <w:t>Cardiovascular diagnosis and therapy</w:t>
      </w:r>
      <w:r>
        <w:rPr>
          <w:rStyle w:val="None"/>
          <w:rFonts w:ascii="Arial" w:hAnsi="Arial"/>
          <w:sz w:val="24"/>
          <w:szCs w:val="24"/>
          <w:rtl w:val="0"/>
          <w:lang w:val="en-US"/>
        </w:rPr>
        <w:t>, 9(3), p.262.</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s-ES_tradnl"/>
        </w:rPr>
        <w:t>Luengo-Fern</w:t>
      </w:r>
      <w:r>
        <w:rPr>
          <w:rStyle w:val="None"/>
          <w:rFonts w:ascii="Arial" w:hAnsi="Arial" w:hint="default"/>
          <w:sz w:val="24"/>
          <w:szCs w:val="24"/>
          <w:rtl w:val="0"/>
          <w:lang w:val="en-US"/>
        </w:rPr>
        <w:t>á</w:t>
      </w:r>
      <w:r>
        <w:rPr>
          <w:rStyle w:val="None"/>
          <w:rFonts w:ascii="Arial" w:hAnsi="Arial"/>
          <w:sz w:val="24"/>
          <w:szCs w:val="24"/>
          <w:rtl w:val="0"/>
          <w:lang w:val="en-US"/>
        </w:rPr>
        <w:t xml:space="preserve">ndez, R., Leal, J., Gray, A., Petersen, S., &amp; Rayner, M. 200). Cost of cardiovascular diseases in the United Kingdom. </w:t>
      </w:r>
      <w:r>
        <w:rPr>
          <w:rStyle w:val="None"/>
          <w:rFonts w:ascii="Arial" w:hAnsi="Arial"/>
          <w:i w:val="1"/>
          <w:iCs w:val="1"/>
          <w:sz w:val="24"/>
          <w:szCs w:val="24"/>
          <w:rtl w:val="0"/>
          <w:lang w:val="en-US"/>
        </w:rPr>
        <w:t>Heart (British Cardiac Society),</w:t>
      </w:r>
      <w:r>
        <w:rPr>
          <w:rStyle w:val="None"/>
          <w:rFonts w:ascii="Arial" w:hAnsi="Arial"/>
          <w:sz w:val="24"/>
          <w:szCs w:val="24"/>
          <w:rtl w:val="0"/>
          <w:lang w:val="en-US"/>
        </w:rPr>
        <w:t xml:space="preserve"> 92(10), pp.1384</w:t>
      </w:r>
      <w:r>
        <w:rPr>
          <w:rStyle w:val="None"/>
          <w:rFonts w:ascii="Arial" w:hAnsi="Arial" w:hint="default"/>
          <w:sz w:val="24"/>
          <w:szCs w:val="24"/>
          <w:rtl w:val="0"/>
          <w:lang w:val="en-US"/>
        </w:rPr>
        <w:t>–</w:t>
      </w:r>
      <w:r>
        <w:rPr>
          <w:rStyle w:val="None"/>
          <w:rFonts w:ascii="Arial" w:hAnsi="Arial"/>
          <w:sz w:val="24"/>
          <w:szCs w:val="24"/>
          <w:rtl w:val="0"/>
          <w:lang w:val="de-DE"/>
        </w:rPr>
        <w:t>1389. https://doi.org/10.1136/hrt.2005.072173</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n-US"/>
        </w:rPr>
        <w:t xml:space="preserve">National Health Serivice (NHS). N.d. Supporting care with remote monitoring. </w:t>
      </w:r>
      <w:r>
        <w:rPr>
          <w:rStyle w:val="Hyperlink.1"/>
        </w:rPr>
        <w:fldChar w:fldCharType="begin" w:fldLock="0"/>
      </w:r>
      <w:r>
        <w:rPr>
          <w:rStyle w:val="Hyperlink.1"/>
        </w:rPr>
        <w:instrText xml:space="preserve"> HYPERLINK "https://transform.england.nhs.uk/covid-19-response/technology-nhs/supporting-the-innovation-collaboratives-to-expand-their-remote-monitoring-plans/"</w:instrText>
      </w:r>
      <w:r>
        <w:rPr>
          <w:rStyle w:val="Hyperlink.1"/>
        </w:rPr>
        <w:fldChar w:fldCharType="separate" w:fldLock="0"/>
      </w:r>
      <w:r>
        <w:rPr>
          <w:rStyle w:val="Hyperlink.1"/>
          <w:rtl w:val="0"/>
          <w:lang w:val="en-US"/>
        </w:rPr>
        <w:t>https://transform.england.nhs.uk/covid-19-response/technology-nhs/supporting-the-innovation-collaboratives-to-expand-their-remote-monitoring-plans/</w:t>
      </w:r>
      <w:r>
        <w:rPr/>
        <w:fldChar w:fldCharType="end" w:fldLock="0"/>
      </w:r>
      <w:r>
        <w:rPr>
          <w:rStyle w:val="None"/>
          <w:rFonts w:ascii="Arial" w:hAnsi="Arial"/>
          <w:sz w:val="24"/>
          <w:szCs w:val="24"/>
          <w:rtl w:val="0"/>
          <w:lang w:val="en-US"/>
        </w:rPr>
        <w:t xml:space="preserve"> </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n-US"/>
        </w:rPr>
        <w:t>O</w:t>
      </w:r>
      <w:r>
        <w:rPr>
          <w:rStyle w:val="None"/>
          <w:rFonts w:ascii="Arial" w:hAnsi="Arial" w:hint="default"/>
          <w:sz w:val="24"/>
          <w:szCs w:val="24"/>
          <w:rtl w:val="0"/>
          <w:lang w:val="en-US"/>
        </w:rPr>
        <w:t>’</w:t>
      </w:r>
      <w:r>
        <w:rPr>
          <w:rStyle w:val="None"/>
          <w:rFonts w:ascii="Arial" w:hAnsi="Arial"/>
          <w:sz w:val="24"/>
          <w:szCs w:val="24"/>
          <w:rtl w:val="0"/>
          <w:lang w:val="en-US"/>
        </w:rPr>
        <w:t xml:space="preserve">Connor, C.M., Whellan, D.J., Lee, K.L., Keteyian, S.J., Cooper, L.S., Ellis, S.J., Leifer, E.S., Kraus, W.E., Kitzman, D.W., Blumenthal, J.A. and Rendall, D.S., 2009. </w:t>
      </w:r>
      <w:r>
        <w:rPr>
          <w:rStyle w:val="None"/>
          <w:rFonts w:ascii="Arial" w:hAnsi="Arial" w:hint="default"/>
          <w:sz w:val="24"/>
          <w:szCs w:val="24"/>
          <w:rtl w:val="0"/>
          <w:lang w:val="en-US"/>
        </w:rPr>
        <w:t>‘</w:t>
      </w:r>
      <w:r>
        <w:rPr>
          <w:rStyle w:val="None"/>
          <w:rFonts w:ascii="Arial" w:hAnsi="Arial"/>
          <w:sz w:val="24"/>
          <w:szCs w:val="24"/>
          <w:rtl w:val="0"/>
          <w:lang w:val="en-US"/>
        </w:rPr>
        <w:t>Efficacy and safety of exercise training in patients with chronic heart failure: HF-ACTION randomized controlled trial</w:t>
      </w:r>
      <w:r>
        <w:rPr>
          <w:rStyle w:val="None"/>
          <w:rFonts w:ascii="Arial" w:hAnsi="Arial" w:hint="default"/>
          <w:sz w:val="24"/>
          <w:szCs w:val="24"/>
          <w:rtl w:val="0"/>
          <w:lang w:val="en-US"/>
        </w:rPr>
        <w:t>’</w:t>
      </w:r>
      <w:r>
        <w:rPr>
          <w:rStyle w:val="None"/>
          <w:rFonts w:ascii="Arial" w:hAnsi="Arial"/>
          <w:sz w:val="24"/>
          <w:szCs w:val="24"/>
          <w:rtl w:val="0"/>
          <w:lang w:val="en-US"/>
        </w:rPr>
        <w:t xml:space="preserve">. </w:t>
      </w:r>
      <w:r>
        <w:rPr>
          <w:rStyle w:val="None"/>
          <w:rFonts w:ascii="Arial" w:hAnsi="Arial"/>
          <w:i w:val="1"/>
          <w:iCs w:val="1"/>
          <w:sz w:val="24"/>
          <w:szCs w:val="24"/>
          <w:rtl w:val="0"/>
          <w:lang w:val="en-US"/>
        </w:rPr>
        <w:t>Jama</w:t>
      </w:r>
      <w:r>
        <w:rPr>
          <w:rStyle w:val="None"/>
          <w:rFonts w:ascii="Arial" w:hAnsi="Arial"/>
          <w:sz w:val="24"/>
          <w:szCs w:val="24"/>
          <w:rtl w:val="0"/>
          <w:lang w:val="en-US"/>
        </w:rPr>
        <w:t>, 301(14), pp.1439-1450.</w:t>
      </w:r>
    </w:p>
    <w:p>
      <w:pPr>
        <w:pStyle w:val="Body A"/>
        <w:spacing w:line="360" w:lineRule="auto"/>
        <w:jc w:val="both"/>
        <w:rPr>
          <w:rStyle w:val="None"/>
          <w:rFonts w:ascii="Arial" w:cs="Arial" w:hAnsi="Arial" w:eastAsia="Arial"/>
          <w:sz w:val="24"/>
          <w:szCs w:val="24"/>
        </w:rPr>
      </w:pPr>
    </w:p>
    <w:p>
      <w:pPr>
        <w:pStyle w:val="Body A"/>
        <w:spacing w:line="360" w:lineRule="auto"/>
        <w:jc w:val="both"/>
        <w:rPr>
          <w:rStyle w:val="None"/>
          <w:rFonts w:ascii="Arial" w:cs="Arial" w:hAnsi="Arial" w:eastAsia="Arial"/>
          <w:sz w:val="24"/>
          <w:szCs w:val="24"/>
        </w:rPr>
      </w:pPr>
    </w:p>
    <w:p>
      <w:pPr>
        <w:pStyle w:val="Body A"/>
        <w:spacing w:line="360" w:lineRule="auto"/>
        <w:jc w:val="both"/>
        <w:rPr>
          <w:rStyle w:val="None"/>
          <w:rFonts w:ascii="Arial" w:cs="Arial" w:hAnsi="Arial" w:eastAsia="Arial"/>
          <w:sz w:val="24"/>
          <w:szCs w:val="24"/>
        </w:rPr>
      </w:pPr>
    </w:p>
    <w:p>
      <w:pPr>
        <w:pStyle w:val="Body A"/>
        <w:spacing w:line="360" w:lineRule="auto"/>
        <w:jc w:val="both"/>
        <w:rPr>
          <w:rStyle w:val="None"/>
          <w:rFonts w:ascii="Arial" w:cs="Arial" w:hAnsi="Arial" w:eastAsia="Arial"/>
          <w:sz w:val="24"/>
          <w:szCs w:val="24"/>
        </w:rPr>
      </w:pPr>
    </w:p>
    <w:p>
      <w:pPr>
        <w:pStyle w:val="Body A"/>
        <w:spacing w:line="360" w:lineRule="auto"/>
        <w:jc w:val="both"/>
        <w:rPr>
          <w:rStyle w:val="None"/>
          <w:rFonts w:ascii="Arial" w:cs="Arial" w:hAnsi="Arial" w:eastAsia="Arial"/>
          <w:sz w:val="24"/>
          <w:szCs w:val="24"/>
        </w:rPr>
      </w:pPr>
    </w:p>
    <w:p>
      <w:pPr>
        <w:pStyle w:val="Body A"/>
        <w:spacing w:line="360" w:lineRule="auto"/>
        <w:jc w:val="both"/>
        <w:rPr>
          <w:rStyle w:val="None"/>
          <w:rFonts w:ascii="Arial" w:cs="Arial" w:hAnsi="Arial" w:eastAsia="Arial"/>
          <w:sz w:val="24"/>
          <w:szCs w:val="24"/>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p>
    <w:p>
      <w:pPr>
        <w:pStyle w:val="Body A"/>
        <w:spacing w:line="360" w:lineRule="auto"/>
        <w:jc w:val="both"/>
        <w:rPr>
          <w:rStyle w:val="None"/>
          <w:rFonts w:ascii="Arial" w:cs="Arial" w:hAnsi="Arial" w:eastAsia="Arial"/>
          <w:sz w:val="24"/>
          <w:szCs w:val="24"/>
          <w:lang w:val="nl-NL"/>
        </w:rPr>
      </w:pPr>
      <w:r>
        <w:rPr>
          <w:rStyle w:val="None"/>
          <w:rFonts w:ascii="Arial" w:hAnsi="Arial"/>
          <w:sz w:val="24"/>
          <w:szCs w:val="24"/>
          <w:rtl w:val="0"/>
          <w:lang w:val="nl-NL"/>
        </w:rPr>
        <w:t>Blog 2.</w:t>
      </w:r>
    </w:p>
    <w:p>
      <w:pPr>
        <w:pStyle w:val="Body A"/>
        <w:spacing w:line="360" w:lineRule="auto"/>
        <w:jc w:val="both"/>
        <w:rPr>
          <w:rStyle w:val="None"/>
          <w:rFonts w:ascii="Arial" w:cs="Arial" w:hAnsi="Arial" w:eastAsia="Arial"/>
          <w:b w:val="1"/>
          <w:bCs w:val="1"/>
          <w:sz w:val="24"/>
          <w:szCs w:val="24"/>
        </w:rPr>
      </w:pPr>
      <w:r>
        <w:rPr>
          <w:rStyle w:val="None"/>
          <w:rFonts w:ascii="Arial" w:hAnsi="Arial"/>
          <w:b w:val="1"/>
          <w:bCs w:val="1"/>
          <w:sz w:val="24"/>
          <w:szCs w:val="24"/>
          <w:rtl w:val="0"/>
          <w:lang w:val="en-US"/>
        </w:rPr>
        <w:t>Road Ahead - Teaming up the Drink Less app and Mood Detection App to Curb Alcohol Consumption in the United Kingdom</w:t>
      </w:r>
    </w:p>
    <w:p>
      <w:pPr>
        <w:pStyle w:val="Body A"/>
        <w:spacing w:line="360" w:lineRule="auto"/>
        <w:jc w:val="both"/>
        <w:rPr>
          <w:rStyle w:val="None"/>
          <w:rFonts w:ascii="Arial" w:cs="Arial" w:hAnsi="Arial" w:eastAsia="Arial"/>
          <w:b w:val="1"/>
          <w:bCs w:val="1"/>
          <w:sz w:val="24"/>
          <w:szCs w:val="24"/>
        </w:rPr>
      </w:pPr>
      <w:r>
        <w:rPr>
          <w:rStyle w:val="None"/>
          <w:rFonts w:ascii="Arial" w:cs="Arial" w:hAnsi="Arial" w:eastAsia="Arial"/>
          <w:b w:val="1"/>
          <w:bCs w:val="1"/>
          <w:sz w:val="24"/>
          <w:szCs w:val="24"/>
        </w:rPr>
        <w:drawing xmlns:a="http://schemas.openxmlformats.org/drawingml/2006/main">
          <wp:inline distT="0" distB="0" distL="0" distR="0">
            <wp:extent cx="5943600" cy="3016363"/>
            <wp:effectExtent l="0" t="0" r="0" b="0"/>
            <wp:docPr id="1073741832" name="officeArt object" descr="Picture 3"/>
            <wp:cNvGraphicFramePr/>
            <a:graphic xmlns:a="http://schemas.openxmlformats.org/drawingml/2006/main">
              <a:graphicData uri="http://schemas.openxmlformats.org/drawingml/2006/picture">
                <pic:pic xmlns:pic="http://schemas.openxmlformats.org/drawingml/2006/picture">
                  <pic:nvPicPr>
                    <pic:cNvPr id="1073741832" name="Picture 3" descr="Picture 3"/>
                    <pic:cNvPicPr>
                      <a:picLocks noChangeAspect="1"/>
                    </pic:cNvPicPr>
                  </pic:nvPicPr>
                  <pic:blipFill>
                    <a:blip r:embed="rId12">
                      <a:extLst/>
                    </a:blip>
                    <a:stretch>
                      <a:fillRect/>
                    </a:stretch>
                  </pic:blipFill>
                  <pic:spPr>
                    <a:xfrm>
                      <a:off x="0" y="0"/>
                      <a:ext cx="5943600" cy="3016363"/>
                    </a:xfrm>
                    <a:prstGeom prst="rect">
                      <a:avLst/>
                    </a:prstGeom>
                    <a:ln w="12700" cap="flat">
                      <a:noFill/>
                      <a:miter lim="400000"/>
                    </a:ln>
                    <a:effectLst/>
                  </pic:spPr>
                </pic:pic>
              </a:graphicData>
            </a:graphic>
          </wp:inline>
        </w:drawing>
      </w:r>
    </w:p>
    <w:p>
      <w:pPr>
        <w:pStyle w:val="Body A"/>
        <w:spacing w:line="360" w:lineRule="auto"/>
        <w:jc w:val="both"/>
        <w:rPr>
          <w:rStyle w:val="None"/>
          <w:rFonts w:ascii="Arial" w:cs="Arial" w:hAnsi="Arial" w:eastAsia="Arial"/>
          <w:i w:val="1"/>
          <w:iCs w:val="1"/>
          <w:sz w:val="18"/>
          <w:szCs w:val="18"/>
        </w:rPr>
      </w:pPr>
      <w:r>
        <w:rPr>
          <w:rStyle w:val="None"/>
          <w:rFonts w:ascii="Arial" w:hAnsi="Arial"/>
          <w:i w:val="1"/>
          <w:iCs w:val="1"/>
          <w:sz w:val="18"/>
          <w:szCs w:val="18"/>
          <w:rtl w:val="0"/>
          <w:lang w:val="en-US"/>
        </w:rPr>
        <w:t>https://www.bhf.org.uk/informationsupport/heart-matters-magazine/medical/effects-of-alcohol-on-your-heart</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n-US"/>
        </w:rPr>
        <w:t xml:space="preserve">We know the UK for its </w:t>
      </w:r>
      <w:r>
        <w:rPr>
          <w:rStyle w:val="None"/>
          <w:rFonts w:ascii="Arial" w:hAnsi="Arial" w:hint="default"/>
          <w:sz w:val="24"/>
          <w:szCs w:val="24"/>
          <w:rtl w:val="0"/>
          <w:lang w:val="en-US"/>
        </w:rPr>
        <w:t>‘</w:t>
      </w:r>
      <w:r>
        <w:rPr>
          <w:rStyle w:val="None"/>
          <w:rFonts w:ascii="Arial" w:hAnsi="Arial"/>
          <w:sz w:val="24"/>
          <w:szCs w:val="24"/>
          <w:rtl w:val="0"/>
          <w:lang w:val="en-US"/>
        </w:rPr>
        <w:t>drinking culture</w:t>
      </w:r>
      <w:r>
        <w:rPr>
          <w:rStyle w:val="None"/>
          <w:rFonts w:ascii="Arial" w:hAnsi="Arial" w:hint="default"/>
          <w:sz w:val="24"/>
          <w:szCs w:val="24"/>
          <w:rtl w:val="0"/>
          <w:lang w:val="en-US"/>
        </w:rPr>
        <w:t>’</w:t>
      </w:r>
      <w:r>
        <w:rPr>
          <w:rStyle w:val="None"/>
          <w:rFonts w:ascii="Arial" w:hAnsi="Arial"/>
          <w:sz w:val="24"/>
          <w:szCs w:val="24"/>
          <w:rtl w:val="0"/>
          <w:lang w:val="en-US"/>
        </w:rPr>
        <w:t xml:space="preserve">, a term reflecting how drinking is normalized in our society. However, we cannot overlook the adverse effects, that alcohol consumption has on public health. </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fd966"/>
        <w:spacing w:line="360" w:lineRule="auto"/>
        <w:jc w:val="center"/>
        <w:rPr>
          <w:rStyle w:val="None"/>
          <w:rFonts w:ascii="Arial" w:cs="Arial" w:hAnsi="Arial" w:eastAsia="Arial"/>
          <w:b w:val="1"/>
          <w:bCs w:val="1"/>
          <w:i w:val="1"/>
          <w:iCs w:val="1"/>
          <w:sz w:val="32"/>
          <w:szCs w:val="32"/>
        </w:rPr>
      </w:pPr>
      <w:r>
        <w:rPr>
          <w:rStyle w:val="None"/>
          <w:rFonts w:ascii="Arial" w:hAnsi="Arial" w:hint="default"/>
          <w:b w:val="1"/>
          <w:bCs w:val="1"/>
          <w:i w:val="1"/>
          <w:iCs w:val="1"/>
          <w:sz w:val="28"/>
          <w:szCs w:val="28"/>
          <w:rtl w:val="0"/>
          <w:lang w:val="en-US"/>
        </w:rPr>
        <w:t>‘</w:t>
      </w:r>
      <w:r>
        <w:rPr>
          <w:rStyle w:val="None"/>
          <w:rFonts w:ascii="Arial" w:hAnsi="Arial"/>
          <w:b w:val="1"/>
          <w:bCs w:val="1"/>
          <w:i w:val="1"/>
          <w:iCs w:val="1"/>
          <w:sz w:val="32"/>
          <w:szCs w:val="32"/>
          <w:rtl w:val="0"/>
          <w:lang w:val="en-US"/>
        </w:rPr>
        <w:t>Drink Less</w:t>
      </w:r>
      <w:r>
        <w:rPr>
          <w:rStyle w:val="None"/>
          <w:rFonts w:ascii="Arial" w:hAnsi="Arial" w:hint="default"/>
          <w:b w:val="1"/>
          <w:bCs w:val="1"/>
          <w:i w:val="1"/>
          <w:iCs w:val="1"/>
          <w:sz w:val="32"/>
          <w:szCs w:val="32"/>
          <w:rtl w:val="0"/>
          <w:lang w:val="en-US"/>
        </w:rPr>
        <w:t xml:space="preserve">’ </w:t>
      </w:r>
      <w:r>
        <w:rPr>
          <w:rStyle w:val="None"/>
          <w:rFonts w:ascii="Arial" w:hAnsi="Arial"/>
          <w:b w:val="1"/>
          <w:bCs w:val="1"/>
          <w:i w:val="1"/>
          <w:iCs w:val="1"/>
          <w:sz w:val="32"/>
          <w:szCs w:val="32"/>
          <w:rtl w:val="0"/>
          <w:lang w:val="en-US"/>
        </w:rPr>
        <w:t xml:space="preserve">app and its integration with </w:t>
      </w:r>
      <w:r>
        <w:rPr>
          <w:rStyle w:val="None"/>
          <w:rFonts w:ascii="Arial" w:hAnsi="Arial" w:hint="default"/>
          <w:b w:val="1"/>
          <w:bCs w:val="1"/>
          <w:i w:val="1"/>
          <w:iCs w:val="1"/>
          <w:sz w:val="32"/>
          <w:szCs w:val="32"/>
          <w:rtl w:val="0"/>
          <w:lang w:val="en-US"/>
        </w:rPr>
        <w:t>‘</w:t>
      </w:r>
      <w:r>
        <w:rPr>
          <w:rStyle w:val="None"/>
          <w:rFonts w:ascii="Arial" w:hAnsi="Arial"/>
          <w:b w:val="1"/>
          <w:bCs w:val="1"/>
          <w:i w:val="1"/>
          <w:iCs w:val="1"/>
          <w:sz w:val="32"/>
          <w:szCs w:val="32"/>
          <w:rtl w:val="0"/>
          <w:lang w:val="en-US"/>
        </w:rPr>
        <w:t>Mood detection</w:t>
      </w:r>
      <w:r>
        <w:rPr>
          <w:rStyle w:val="None"/>
          <w:rFonts w:ascii="Arial" w:hAnsi="Arial" w:hint="default"/>
          <w:b w:val="1"/>
          <w:bCs w:val="1"/>
          <w:i w:val="1"/>
          <w:iCs w:val="1"/>
          <w:sz w:val="32"/>
          <w:szCs w:val="32"/>
          <w:rtl w:val="0"/>
          <w:lang w:val="en-US"/>
        </w:rPr>
        <w:t xml:space="preserve">’ </w:t>
      </w:r>
      <w:r>
        <w:rPr>
          <w:rStyle w:val="None"/>
          <w:rFonts w:ascii="Arial" w:hAnsi="Arial"/>
          <w:b w:val="1"/>
          <w:bCs w:val="1"/>
          <w:i w:val="1"/>
          <w:iCs w:val="1"/>
          <w:sz w:val="32"/>
          <w:szCs w:val="32"/>
          <w:rtl w:val="0"/>
          <w:lang w:val="en-US"/>
        </w:rPr>
        <w:t>app- An Overview</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n-US"/>
        </w:rPr>
        <w:t>People often turn to alcohol to relieve stress, without realizing its delayed negative effects on mood and anxiety. Alcohol consumption has been known to cause mood disorders (McHugh &amp; Weiss, 2019). Apple</w:t>
      </w:r>
      <w:r>
        <w:rPr>
          <w:rStyle w:val="None"/>
          <w:rFonts w:ascii="Arial" w:hAnsi="Arial" w:hint="default"/>
          <w:sz w:val="24"/>
          <w:szCs w:val="24"/>
          <w:rtl w:val="0"/>
          <w:lang w:val="en-US"/>
        </w:rPr>
        <w:t>’</w:t>
      </w:r>
      <w:r>
        <w:rPr>
          <w:rStyle w:val="None"/>
          <w:rFonts w:ascii="Arial" w:hAnsi="Arial"/>
          <w:sz w:val="24"/>
          <w:szCs w:val="24"/>
          <w:rtl w:val="0"/>
          <w:lang w:val="en-US"/>
        </w:rPr>
        <w:t xml:space="preserve">s </w:t>
      </w:r>
      <w:r>
        <w:rPr>
          <w:rStyle w:val="None"/>
          <w:rFonts w:ascii="Arial" w:hAnsi="Arial" w:hint="default"/>
          <w:sz w:val="24"/>
          <w:szCs w:val="24"/>
          <w:rtl w:val="0"/>
          <w:lang w:val="en-US"/>
        </w:rPr>
        <w:t>‘</w:t>
      </w:r>
      <w:r>
        <w:rPr>
          <w:rStyle w:val="None"/>
          <w:rFonts w:ascii="Arial" w:hAnsi="Arial"/>
          <w:sz w:val="24"/>
          <w:szCs w:val="24"/>
          <w:rtl w:val="0"/>
          <w:lang w:val="en-US"/>
        </w:rPr>
        <w:t>Drink Less</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is the most popular app which showed promising results in managing alcohol consumption in a study funded by the National Institute for Health and Care Research (NIHR, 2024; Oldham et al., 2024). we have integrated the </w:t>
      </w:r>
      <w:r>
        <w:rPr>
          <w:rStyle w:val="None"/>
          <w:rFonts w:ascii="Arial" w:hAnsi="Arial" w:hint="default"/>
          <w:sz w:val="24"/>
          <w:szCs w:val="24"/>
          <w:rtl w:val="0"/>
          <w:lang w:val="en-US"/>
        </w:rPr>
        <w:t>‘</w:t>
      </w:r>
      <w:r>
        <w:rPr>
          <w:rStyle w:val="None"/>
          <w:rFonts w:ascii="Arial" w:hAnsi="Arial"/>
          <w:sz w:val="24"/>
          <w:szCs w:val="24"/>
          <w:rtl w:val="0"/>
          <w:lang w:val="en-US"/>
        </w:rPr>
        <w:t>Drink less</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app with </w:t>
      </w:r>
      <w:r>
        <w:rPr>
          <w:rStyle w:val="None"/>
          <w:rFonts w:ascii="Arial" w:hAnsi="Arial" w:hint="default"/>
          <w:sz w:val="24"/>
          <w:szCs w:val="24"/>
          <w:rtl w:val="0"/>
          <w:lang w:val="en-US"/>
        </w:rPr>
        <w:t>‘</w:t>
      </w:r>
      <w:r>
        <w:rPr>
          <w:rStyle w:val="None"/>
          <w:rFonts w:ascii="Arial" w:hAnsi="Arial"/>
          <w:i w:val="1"/>
          <w:iCs w:val="1"/>
          <w:sz w:val="24"/>
          <w:szCs w:val="24"/>
          <w:rtl w:val="0"/>
          <w:lang w:val="en-US"/>
        </w:rPr>
        <w:t>mobiletype</w:t>
      </w:r>
      <w:r>
        <w:rPr>
          <w:rStyle w:val="None"/>
          <w:rFonts w:ascii="Arial" w:hAnsi="Arial"/>
          <w:sz w:val="24"/>
          <w:szCs w:val="24"/>
          <w:rtl w:val="0"/>
          <w:lang w:val="it-IT"/>
        </w:rPr>
        <w:t xml:space="preserve"> app</w:t>
      </w:r>
      <w:r>
        <w:rPr>
          <w:rStyle w:val="None"/>
          <w:rFonts w:ascii="Arial" w:hAnsi="Arial" w:hint="default"/>
          <w:sz w:val="24"/>
          <w:szCs w:val="24"/>
          <w:rtl w:val="0"/>
          <w:lang w:val="en-US"/>
        </w:rPr>
        <w:t xml:space="preserve">’ </w:t>
      </w:r>
      <w:r>
        <w:rPr>
          <w:rStyle w:val="None"/>
          <w:rFonts w:ascii="Arial" w:hAnsi="Arial"/>
          <w:sz w:val="24"/>
          <w:szCs w:val="24"/>
          <w:rtl w:val="0"/>
          <w:lang w:val="en-US"/>
        </w:rPr>
        <w:t>to track emotions which was designed to gather information regarding the daily mood, stress levels, reactions, and overall functioning (Caldeira et al., 2017). This innovative app seamlessly combines the functionalities of Drink Less and MobileType apps. Users can track their drinking habits within the app, detailing the number of drinks, locations, emotional states, and social settings of each instance.</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fd966"/>
        <w:spacing w:line="360" w:lineRule="auto"/>
        <w:jc w:val="center"/>
        <w:rPr>
          <w:rStyle w:val="None"/>
          <w:rFonts w:ascii="Arial" w:cs="Arial" w:hAnsi="Arial" w:eastAsia="Arial"/>
          <w:b w:val="1"/>
          <w:bCs w:val="1"/>
          <w:i w:val="1"/>
          <w:iCs w:val="1"/>
          <w:sz w:val="28"/>
          <w:szCs w:val="28"/>
        </w:rPr>
      </w:pPr>
      <w:r>
        <w:rPr>
          <w:rStyle w:val="None"/>
          <w:rFonts w:ascii="Arial" w:hAnsi="Arial"/>
          <w:b w:val="1"/>
          <w:bCs w:val="1"/>
          <w:i w:val="1"/>
          <w:iCs w:val="1"/>
          <w:sz w:val="28"/>
          <w:szCs w:val="28"/>
          <w:rtl w:val="0"/>
          <w:lang w:val="en-US"/>
        </w:rPr>
        <w:t>How it works</w:t>
      </w:r>
    </w:p>
    <w:p>
      <w:pPr>
        <w:pStyle w:val="List Paragraph"/>
        <w:numPr>
          <w:ilvl w:val="0"/>
          <w:numId w:val="4"/>
        </w:numPr>
        <w:pBdr>
          <w:top w:val="single" w:color="000000" w:sz="4" w:space="0" w:shadow="0" w:frame="0"/>
          <w:left w:val="single" w:color="000000" w:sz="4" w:space="0" w:shadow="0" w:frame="0"/>
          <w:bottom w:val="single" w:color="000000" w:sz="4" w:space="0" w:shadow="0" w:frame="0"/>
          <w:right w:val="single" w:color="000000" w:sz="4" w:space="0" w:shadow="0" w:frame="0"/>
        </w:pBdr>
        <w:bidi w:val="0"/>
        <w:spacing w:line="360" w:lineRule="auto"/>
        <w:ind w:right="990"/>
        <w:jc w:val="both"/>
        <w:rPr>
          <w:rFonts w:ascii="Arial" w:hAnsi="Arial"/>
          <w:sz w:val="24"/>
          <w:szCs w:val="24"/>
          <w:rtl w:val="0"/>
          <w:lang w:val="en-US"/>
        </w:rPr>
      </w:pPr>
      <w:r>
        <w:rPr>
          <w:rStyle w:val="None"/>
          <w:rFonts w:ascii="Arial" w:hAnsi="Arial"/>
          <w:sz w:val="24"/>
          <w:szCs w:val="24"/>
          <w:shd w:val="clear" w:color="auto" w:fill="feffff"/>
          <w:rtl w:val="0"/>
          <w:lang w:val="en-US"/>
        </w:rPr>
        <w:t xml:space="preserve">The </w:t>
      </w:r>
      <w:r>
        <w:rPr>
          <w:rStyle w:val="None"/>
          <w:rFonts w:ascii="Arial" w:hAnsi="Arial" w:hint="default"/>
          <w:sz w:val="24"/>
          <w:szCs w:val="24"/>
          <w:shd w:val="clear" w:color="auto" w:fill="feffff"/>
          <w:rtl w:val="0"/>
          <w:lang w:val="en-US"/>
        </w:rPr>
        <w:t>‘</w:t>
      </w:r>
      <w:r>
        <w:rPr>
          <w:rStyle w:val="None"/>
          <w:rFonts w:ascii="Arial" w:hAnsi="Arial"/>
          <w:sz w:val="24"/>
          <w:szCs w:val="24"/>
          <w:shd w:val="clear" w:color="auto" w:fill="feffff"/>
          <w:rtl w:val="0"/>
          <w:lang w:val="en-US"/>
        </w:rPr>
        <w:t>Drink less</w:t>
      </w:r>
      <w:r>
        <w:rPr>
          <w:rStyle w:val="None"/>
          <w:rFonts w:ascii="Arial" w:hAnsi="Arial" w:hint="default"/>
          <w:sz w:val="24"/>
          <w:szCs w:val="24"/>
          <w:shd w:val="clear" w:color="auto" w:fill="feffff"/>
          <w:rtl w:val="0"/>
          <w:lang w:val="en-US"/>
        </w:rPr>
        <w:t xml:space="preserve">’ </w:t>
      </w:r>
      <w:r>
        <w:rPr>
          <w:rStyle w:val="None"/>
          <w:rFonts w:ascii="Arial" w:hAnsi="Arial"/>
          <w:sz w:val="24"/>
          <w:szCs w:val="24"/>
          <w:shd w:val="clear" w:color="auto" w:fill="feffff"/>
          <w:rtl w:val="0"/>
          <w:lang w:val="en-US"/>
        </w:rPr>
        <w:t xml:space="preserve">app makes use of the features of </w:t>
      </w:r>
      <w:r>
        <w:rPr>
          <w:rStyle w:val="None"/>
          <w:rFonts w:ascii="Arial" w:hAnsi="Arial" w:hint="default"/>
          <w:sz w:val="24"/>
          <w:szCs w:val="24"/>
          <w:shd w:val="clear" w:color="auto" w:fill="feffff"/>
          <w:rtl w:val="0"/>
          <w:lang w:val="en-US"/>
        </w:rPr>
        <w:t>‘</w:t>
      </w:r>
      <w:r>
        <w:rPr>
          <w:rStyle w:val="None"/>
          <w:rFonts w:ascii="Arial" w:hAnsi="Arial"/>
          <w:sz w:val="24"/>
          <w:szCs w:val="24"/>
          <w:shd w:val="clear" w:color="auto" w:fill="feffff"/>
          <w:rtl w:val="0"/>
          <w:lang w:val="en-US"/>
        </w:rPr>
        <w:t>mobiletype app</w:t>
      </w:r>
      <w:r>
        <w:rPr>
          <w:rStyle w:val="None"/>
          <w:rFonts w:ascii="Arial" w:hAnsi="Arial" w:hint="default"/>
          <w:sz w:val="24"/>
          <w:szCs w:val="24"/>
          <w:shd w:val="clear" w:color="auto" w:fill="feffff"/>
          <w:rtl w:val="0"/>
          <w:lang w:val="en-US"/>
        </w:rPr>
        <w:t xml:space="preserve">’ </w:t>
      </w:r>
      <w:r>
        <w:rPr>
          <w:rStyle w:val="None"/>
          <w:rFonts w:ascii="Arial" w:hAnsi="Arial"/>
          <w:sz w:val="24"/>
          <w:szCs w:val="24"/>
          <w:shd w:val="clear" w:color="auto" w:fill="feffff"/>
          <w:rtl w:val="0"/>
          <w:lang w:val="en-US"/>
        </w:rPr>
        <w:t>to track the emotional status at the time of or after certain predefined time by the user.</w:t>
      </w:r>
    </w:p>
    <w:p>
      <w:pPr>
        <w:pStyle w:val="List Paragraph"/>
        <w:numPr>
          <w:ilvl w:val="0"/>
          <w:numId w:val="4"/>
        </w:numPr>
        <w:pBdr>
          <w:top w:val="single" w:color="000000" w:sz="4" w:space="0" w:shadow="0" w:frame="0"/>
          <w:left w:val="single" w:color="000000" w:sz="4" w:space="0" w:shadow="0" w:frame="0"/>
          <w:bottom w:val="single" w:color="000000" w:sz="4" w:space="0" w:shadow="0" w:frame="0"/>
          <w:right w:val="single" w:color="000000" w:sz="4" w:space="0" w:shadow="0" w:frame="0"/>
        </w:pBdr>
        <w:bidi w:val="0"/>
        <w:spacing w:line="360" w:lineRule="auto"/>
        <w:ind w:right="990"/>
        <w:jc w:val="both"/>
        <w:rPr>
          <w:rFonts w:ascii="Arial" w:hAnsi="Arial"/>
          <w:sz w:val="24"/>
          <w:szCs w:val="24"/>
          <w:rtl w:val="0"/>
          <w:lang w:val="en-US"/>
        </w:rPr>
      </w:pPr>
      <w:r>
        <w:rPr>
          <w:rStyle w:val="None"/>
          <w:rFonts w:ascii="Arial" w:hAnsi="Arial"/>
          <w:sz w:val="24"/>
          <w:szCs w:val="24"/>
          <w:shd w:val="clear" w:color="auto" w:fill="feffff"/>
          <w:rtl w:val="0"/>
          <w:lang w:val="en-US"/>
        </w:rPr>
        <w:t xml:space="preserve">The user may be prompted to enter how they are feeling either manually or by using automated prompts from the </w:t>
      </w:r>
      <w:r>
        <w:rPr>
          <w:rStyle w:val="None"/>
          <w:rFonts w:ascii="Arial" w:hAnsi="Arial" w:hint="default"/>
          <w:sz w:val="24"/>
          <w:szCs w:val="24"/>
          <w:shd w:val="clear" w:color="auto" w:fill="feffff"/>
          <w:rtl w:val="0"/>
          <w:lang w:val="en-US"/>
        </w:rPr>
        <w:t>‘</w:t>
      </w:r>
      <w:r>
        <w:rPr>
          <w:rStyle w:val="None"/>
          <w:rFonts w:ascii="Arial" w:hAnsi="Arial"/>
          <w:sz w:val="24"/>
          <w:szCs w:val="24"/>
          <w:shd w:val="clear" w:color="auto" w:fill="feffff"/>
          <w:rtl w:val="0"/>
          <w:lang w:val="en-US"/>
        </w:rPr>
        <w:t>mobiletype app</w:t>
      </w:r>
      <w:r>
        <w:rPr>
          <w:rStyle w:val="None"/>
          <w:rFonts w:ascii="Arial" w:hAnsi="Arial" w:hint="default"/>
          <w:sz w:val="24"/>
          <w:szCs w:val="24"/>
          <w:shd w:val="clear" w:color="auto" w:fill="feffff"/>
          <w:rtl w:val="0"/>
          <w:lang w:val="en-US"/>
        </w:rPr>
        <w:t>’</w:t>
      </w:r>
      <w:r>
        <w:rPr>
          <w:rStyle w:val="None"/>
          <w:rFonts w:ascii="Arial" w:hAnsi="Arial"/>
          <w:sz w:val="24"/>
          <w:szCs w:val="24"/>
          <w:shd w:val="clear" w:color="auto" w:fill="feffff"/>
          <w:rtl w:val="0"/>
          <w:lang w:val="en-US"/>
        </w:rPr>
        <w:t>.</w:t>
      </w:r>
    </w:p>
    <w:p>
      <w:pPr>
        <w:pStyle w:val="List Paragraph"/>
        <w:numPr>
          <w:ilvl w:val="0"/>
          <w:numId w:val="4"/>
        </w:numPr>
        <w:pBdr>
          <w:top w:val="single" w:color="000000" w:sz="4" w:space="0" w:shadow="0" w:frame="0"/>
          <w:left w:val="single" w:color="000000" w:sz="4" w:space="0" w:shadow="0" w:frame="0"/>
          <w:bottom w:val="single" w:color="000000" w:sz="4" w:space="0" w:shadow="0" w:frame="0"/>
          <w:right w:val="single" w:color="000000" w:sz="4" w:space="0" w:shadow="0" w:frame="0"/>
        </w:pBdr>
        <w:bidi w:val="0"/>
        <w:spacing w:line="360" w:lineRule="auto"/>
        <w:ind w:right="990"/>
        <w:jc w:val="both"/>
        <w:rPr>
          <w:rFonts w:ascii="Arial" w:hAnsi="Arial"/>
          <w:sz w:val="24"/>
          <w:szCs w:val="24"/>
          <w:rtl w:val="0"/>
          <w:lang w:val="en-US"/>
        </w:rPr>
      </w:pPr>
      <w:r>
        <w:rPr>
          <w:rStyle w:val="None"/>
          <w:rFonts w:ascii="Arial" w:hAnsi="Arial"/>
          <w:sz w:val="24"/>
          <w:szCs w:val="24"/>
          <w:shd w:val="clear" w:color="auto" w:fill="feffff"/>
          <w:rtl w:val="0"/>
          <w:lang w:val="en-US"/>
        </w:rPr>
        <w:t xml:space="preserve">This data collected by mood detection app is then combined with the alcohol consumption data which was recorded by the </w:t>
      </w:r>
      <w:r>
        <w:rPr>
          <w:rStyle w:val="None"/>
          <w:rFonts w:ascii="Arial" w:hAnsi="Arial" w:hint="default"/>
          <w:sz w:val="24"/>
          <w:szCs w:val="24"/>
          <w:shd w:val="clear" w:color="auto" w:fill="feffff"/>
          <w:rtl w:val="0"/>
          <w:lang w:val="en-US"/>
        </w:rPr>
        <w:t>‘</w:t>
      </w:r>
      <w:r>
        <w:rPr>
          <w:rStyle w:val="None"/>
          <w:rFonts w:ascii="Arial" w:hAnsi="Arial"/>
          <w:sz w:val="24"/>
          <w:szCs w:val="24"/>
          <w:shd w:val="clear" w:color="auto" w:fill="feffff"/>
          <w:rtl w:val="0"/>
          <w:lang w:val="en-US"/>
        </w:rPr>
        <w:t>drink less</w:t>
      </w:r>
      <w:r>
        <w:rPr>
          <w:rStyle w:val="None"/>
          <w:rFonts w:ascii="Arial" w:hAnsi="Arial" w:hint="default"/>
          <w:sz w:val="24"/>
          <w:szCs w:val="24"/>
          <w:shd w:val="clear" w:color="auto" w:fill="feffff"/>
          <w:rtl w:val="0"/>
          <w:lang w:val="en-US"/>
        </w:rPr>
        <w:t xml:space="preserve">’ </w:t>
      </w:r>
      <w:r>
        <w:rPr>
          <w:rStyle w:val="None"/>
          <w:rFonts w:ascii="Arial" w:hAnsi="Arial"/>
          <w:sz w:val="24"/>
          <w:szCs w:val="24"/>
          <w:shd w:val="clear" w:color="auto" w:fill="feffff"/>
          <w:rtl w:val="0"/>
          <w:lang w:val="en-US"/>
        </w:rPr>
        <w:t>app to generate a graphical representation of relationship between the amount of alcohol consumption and user</w:t>
      </w:r>
      <w:r>
        <w:rPr>
          <w:rStyle w:val="None"/>
          <w:rFonts w:ascii="Arial" w:hAnsi="Arial" w:hint="default"/>
          <w:sz w:val="24"/>
          <w:szCs w:val="24"/>
          <w:shd w:val="clear" w:color="auto" w:fill="feffff"/>
          <w:rtl w:val="0"/>
          <w:lang w:val="en-US"/>
        </w:rPr>
        <w:t>’</w:t>
      </w:r>
      <w:r>
        <w:rPr>
          <w:rStyle w:val="None"/>
          <w:rFonts w:ascii="Arial" w:hAnsi="Arial"/>
          <w:sz w:val="24"/>
          <w:szCs w:val="24"/>
          <w:shd w:val="clear" w:color="auto" w:fill="feffff"/>
          <w:rtl w:val="0"/>
          <w:lang w:val="en-US"/>
        </w:rPr>
        <w:t>s emotional states over a selected period of time by the user.</w:t>
      </w:r>
    </w:p>
    <w:p>
      <w:pPr>
        <w:pStyle w:val="List Paragraph"/>
        <w:numPr>
          <w:ilvl w:val="0"/>
          <w:numId w:val="4"/>
        </w:numPr>
        <w:pBdr>
          <w:top w:val="single" w:color="000000" w:sz="4" w:space="0" w:shadow="0" w:frame="0"/>
          <w:left w:val="single" w:color="000000" w:sz="4" w:space="0" w:shadow="0" w:frame="0"/>
          <w:bottom w:val="single" w:color="000000" w:sz="4" w:space="0" w:shadow="0" w:frame="0"/>
          <w:right w:val="single" w:color="000000" w:sz="4" w:space="0" w:shadow="0" w:frame="0"/>
        </w:pBdr>
        <w:bidi w:val="0"/>
        <w:spacing w:line="360" w:lineRule="auto"/>
        <w:ind w:right="990"/>
        <w:jc w:val="both"/>
        <w:rPr>
          <w:rFonts w:ascii="Arial" w:hAnsi="Arial"/>
          <w:sz w:val="24"/>
          <w:szCs w:val="24"/>
          <w:rtl w:val="0"/>
          <w:lang w:val="en-US"/>
        </w:rPr>
      </w:pPr>
      <w:r>
        <w:rPr>
          <w:rStyle w:val="None"/>
          <w:rFonts w:ascii="Arial" w:hAnsi="Arial"/>
          <w:sz w:val="24"/>
          <w:szCs w:val="24"/>
          <w:shd w:val="clear" w:color="auto" w:fill="feffff"/>
          <w:rtl w:val="0"/>
          <w:lang w:val="en-US"/>
        </w:rPr>
        <w:t xml:space="preserve">The app is designed to engage patients through timely push notifications, based on their customized schedule. </w:t>
      </w:r>
    </w:p>
    <w:p>
      <w:pPr>
        <w:pStyle w:val="List Paragraph"/>
        <w:numPr>
          <w:ilvl w:val="0"/>
          <w:numId w:val="4"/>
        </w:numPr>
        <w:pBdr>
          <w:top w:val="single" w:color="000000" w:sz="4" w:space="0" w:shadow="0" w:frame="0"/>
          <w:left w:val="single" w:color="000000" w:sz="4" w:space="0" w:shadow="0" w:frame="0"/>
          <w:bottom w:val="single" w:color="000000" w:sz="4" w:space="0" w:shadow="0" w:frame="0"/>
          <w:right w:val="single" w:color="000000" w:sz="4" w:space="0" w:shadow="0" w:frame="0"/>
        </w:pBdr>
        <w:bidi w:val="0"/>
        <w:spacing w:line="360" w:lineRule="auto"/>
        <w:ind w:right="990"/>
        <w:jc w:val="both"/>
        <w:rPr>
          <w:rFonts w:ascii="Arial" w:hAnsi="Arial"/>
          <w:sz w:val="24"/>
          <w:szCs w:val="24"/>
          <w:rtl w:val="0"/>
          <w:lang w:val="en-US"/>
        </w:rPr>
      </w:pPr>
      <w:r>
        <w:rPr>
          <w:rStyle w:val="None"/>
          <w:rFonts w:ascii="Arial" w:hAnsi="Arial"/>
          <w:sz w:val="24"/>
          <w:szCs w:val="24"/>
          <w:shd w:val="clear" w:color="auto" w:fill="feffff"/>
          <w:rtl w:val="0"/>
          <w:lang w:val="en-US"/>
        </w:rPr>
        <w:t>Furthermore, this data can be shared to their counsellors, facilitating informed support and guidance concerning their drinking behaviours and identifying recurring patterns.</w:t>
      </w:r>
    </w:p>
    <w:p>
      <w:pPr>
        <w:pStyle w:val="Body A"/>
        <w:spacing w:line="360" w:lineRule="auto"/>
        <w:jc w:val="both"/>
        <w:rPr>
          <w:rStyle w:val="None"/>
          <w:rFonts w:ascii="Arial" w:cs="Arial" w:hAnsi="Arial" w:eastAsia="Arial"/>
          <w:b w:val="1"/>
          <w:bCs w:val="1"/>
          <w:i w:val="1"/>
          <w:iCs w:val="1"/>
          <w:sz w:val="32"/>
          <w:szCs w:val="32"/>
        </w:rPr>
      </w:pPr>
    </w:p>
    <w:p>
      <w:pPr>
        <w:pStyle w:val="Body A"/>
        <w:spacing w:line="360" w:lineRule="auto"/>
        <w:jc w:val="both"/>
        <w:rPr>
          <w:rStyle w:val="None"/>
          <w:rFonts w:ascii="Arial" w:cs="Arial" w:hAnsi="Arial" w:eastAsia="Arial"/>
          <w:i w:val="1"/>
          <w:iCs w:val="1"/>
          <w:sz w:val="32"/>
          <w:szCs w:val="32"/>
        </w:rPr>
      </w:pPr>
      <w:r>
        <w:rPr>
          <w:rStyle w:val="None"/>
          <w:rFonts w:ascii="Arial" w:hAnsi="Arial"/>
          <w:b w:val="1"/>
          <w:bCs w:val="1"/>
          <w:i w:val="1"/>
          <w:iCs w:val="1"/>
          <w:sz w:val="32"/>
          <w:szCs w:val="32"/>
          <w:rtl w:val="0"/>
          <w:lang w:val="en-US"/>
        </w:rPr>
        <w:t>Challenges in using this app</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n-US"/>
        </w:rPr>
        <w:t xml:space="preserve">Though this app can help in identifying patterns it cannot establish causal relationships. There may be many reasons for mood changes in addition to alcohol consumption, such as stress or mental diseases. Moreover, the effect of alcohol on moods can vary based on individual factors like tolerance, metabolism, and mental health history. Therefore, caution is warranted against the generalization of the association between alcohol consumption and mood disorders. </w:t>
      </w:r>
    </w:p>
    <w:p>
      <w:pPr>
        <w:pStyle w:val="Body A"/>
        <w:spacing w:line="360" w:lineRule="auto"/>
        <w:jc w:val="both"/>
        <w:rPr>
          <w:rStyle w:val="None"/>
          <w:rFonts w:ascii="Arial" w:cs="Arial" w:hAnsi="Arial" w:eastAsia="Arial"/>
          <w:b w:val="1"/>
          <w:bCs w:val="1"/>
          <w:i w:val="1"/>
          <w:iCs w:val="1"/>
          <w:sz w:val="32"/>
          <w:szCs w:val="32"/>
        </w:rPr>
      </w:pPr>
    </w:p>
    <w:p>
      <w:pPr>
        <w:pStyle w:val="Body A"/>
        <w:spacing w:line="360" w:lineRule="auto"/>
        <w:jc w:val="both"/>
        <w:rPr>
          <w:rStyle w:val="None"/>
          <w:rFonts w:ascii="Arial" w:cs="Arial" w:hAnsi="Arial" w:eastAsia="Arial"/>
          <w:b w:val="1"/>
          <w:bCs w:val="1"/>
          <w:i w:val="1"/>
          <w:iCs w:val="1"/>
          <w:sz w:val="32"/>
          <w:szCs w:val="32"/>
        </w:rPr>
      </w:pPr>
    </w:p>
    <w:p>
      <w:pPr>
        <w:pStyle w:val="Body A"/>
        <w:spacing w:line="360" w:lineRule="auto"/>
        <w:jc w:val="both"/>
        <w:rPr>
          <w:rStyle w:val="None"/>
          <w:rFonts w:ascii="Arial" w:cs="Arial" w:hAnsi="Arial" w:eastAsia="Arial"/>
          <w:b w:val="1"/>
          <w:bCs w:val="1"/>
          <w:i w:val="1"/>
          <w:iCs w:val="1"/>
          <w:sz w:val="32"/>
          <w:szCs w:val="32"/>
        </w:rPr>
      </w:pPr>
      <w:r>
        <w:rPr>
          <w:rStyle w:val="None"/>
          <w:rFonts w:ascii="Arial" w:hAnsi="Arial"/>
          <w:b w:val="1"/>
          <w:bCs w:val="1"/>
          <w:i w:val="1"/>
          <w:iCs w:val="1"/>
          <w:sz w:val="32"/>
          <w:szCs w:val="32"/>
          <w:rtl w:val="0"/>
          <w:lang w:val="en-US"/>
        </w:rPr>
        <w:t>Road Ahead</w:t>
      </w:r>
    </w:p>
    <w:p>
      <w:pPr>
        <w:pStyle w:val="Body A"/>
        <w:spacing w:line="360" w:lineRule="auto"/>
        <w:jc w:val="both"/>
        <w:rPr>
          <w:rStyle w:val="None"/>
          <w:rFonts w:ascii="Arial" w:cs="Arial" w:hAnsi="Arial" w:eastAsia="Arial"/>
          <w:sz w:val="24"/>
          <w:szCs w:val="24"/>
        </w:rPr>
      </w:pPr>
      <w:r>
        <w:rPr>
          <w:rStyle w:val="None"/>
          <w:rFonts w:ascii="Arial" w:hAnsi="Arial"/>
          <w:sz w:val="24"/>
          <w:szCs w:val="24"/>
          <w:rtl w:val="0"/>
          <w:lang w:val="en-US"/>
        </w:rPr>
        <w:t>The utilization of this modified app as an intervention for reducing alcohol consumption would require a creation of personalized intervention plan with a thorough background check. An investigation regarding the implications of individual factors that can influence both alcohol consumption and mood disorders would be needed. This will ensure development of an intervention strategy that will address the unique needs and circumstances of each individual.</w:t>
      </w:r>
    </w:p>
    <w:p>
      <w:pPr>
        <w:pStyle w:val="Body A"/>
        <w:spacing w:line="360" w:lineRule="auto"/>
        <w:jc w:val="both"/>
        <w:rPr>
          <w:rStyle w:val="None"/>
          <w:rFonts w:ascii="Arial" w:cs="Arial" w:hAnsi="Arial" w:eastAsia="Arial"/>
          <w:sz w:val="24"/>
          <w:szCs w:val="24"/>
        </w:rPr>
      </w:pPr>
    </w:p>
    <w:p>
      <w:pPr>
        <w:pStyle w:val="Body A"/>
        <w:spacing w:line="360" w:lineRule="auto"/>
        <w:jc w:val="center"/>
        <w:rPr>
          <w:rStyle w:val="None"/>
          <w:rFonts w:ascii="Arial" w:cs="Arial" w:hAnsi="Arial" w:eastAsia="Arial"/>
          <w:b w:val="1"/>
          <w:bCs w:val="1"/>
          <w:sz w:val="24"/>
          <w:szCs w:val="24"/>
        </w:rPr>
      </w:pPr>
    </w:p>
    <w:p>
      <w:pPr>
        <w:pStyle w:val="Body A"/>
        <w:spacing w:line="360" w:lineRule="auto"/>
        <w:jc w:val="center"/>
        <w:rPr>
          <w:rStyle w:val="None"/>
          <w:rFonts w:ascii="Arial" w:cs="Arial" w:hAnsi="Arial" w:eastAsia="Arial"/>
          <w:b w:val="1"/>
          <w:bCs w:val="1"/>
          <w:sz w:val="24"/>
          <w:szCs w:val="24"/>
        </w:rPr>
      </w:pPr>
    </w:p>
    <w:p>
      <w:pPr>
        <w:pStyle w:val="Body A"/>
        <w:spacing w:line="360" w:lineRule="auto"/>
        <w:jc w:val="center"/>
        <w:rPr>
          <w:rStyle w:val="None"/>
          <w:rFonts w:ascii="Arial" w:cs="Arial" w:hAnsi="Arial" w:eastAsia="Arial"/>
          <w:b w:val="1"/>
          <w:bCs w:val="1"/>
          <w:sz w:val="24"/>
          <w:szCs w:val="24"/>
        </w:rPr>
      </w:pPr>
    </w:p>
    <w:p>
      <w:pPr>
        <w:pStyle w:val="Body A"/>
        <w:spacing w:line="360" w:lineRule="auto"/>
        <w:jc w:val="center"/>
        <w:rPr>
          <w:rStyle w:val="None"/>
          <w:rFonts w:ascii="Arial" w:cs="Arial" w:hAnsi="Arial" w:eastAsia="Arial"/>
          <w:b w:val="1"/>
          <w:bCs w:val="1"/>
          <w:sz w:val="24"/>
          <w:szCs w:val="24"/>
        </w:rPr>
      </w:pPr>
    </w:p>
    <w:p>
      <w:pPr>
        <w:pStyle w:val="Body A"/>
        <w:spacing w:line="360" w:lineRule="auto"/>
        <w:jc w:val="center"/>
        <w:rPr>
          <w:rStyle w:val="None"/>
          <w:rFonts w:ascii="Arial" w:cs="Arial" w:hAnsi="Arial" w:eastAsia="Arial"/>
          <w:b w:val="1"/>
          <w:bCs w:val="1"/>
          <w:sz w:val="24"/>
          <w:szCs w:val="24"/>
        </w:rPr>
      </w:pPr>
    </w:p>
    <w:p>
      <w:pPr>
        <w:pStyle w:val="Body A"/>
        <w:spacing w:line="360" w:lineRule="auto"/>
        <w:jc w:val="center"/>
        <w:rPr>
          <w:rStyle w:val="None"/>
          <w:rFonts w:ascii="Arial" w:cs="Arial" w:hAnsi="Arial" w:eastAsia="Arial"/>
          <w:b w:val="1"/>
          <w:bCs w:val="1"/>
          <w:sz w:val="24"/>
          <w:szCs w:val="24"/>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p>
    <w:p>
      <w:pPr>
        <w:pStyle w:val="Body A"/>
        <w:spacing w:line="360" w:lineRule="auto"/>
        <w:jc w:val="center"/>
        <w:rPr>
          <w:rStyle w:val="None"/>
          <w:rFonts w:ascii="Arial" w:cs="Arial" w:hAnsi="Arial" w:eastAsia="Arial"/>
          <w:b w:val="1"/>
          <w:bCs w:val="1"/>
          <w:sz w:val="24"/>
          <w:szCs w:val="24"/>
          <w:lang w:val="fr-FR"/>
        </w:rPr>
      </w:pPr>
      <w:r>
        <w:rPr>
          <w:rStyle w:val="None"/>
          <w:rFonts w:ascii="Arial" w:hAnsi="Arial"/>
          <w:b w:val="1"/>
          <w:bCs w:val="1"/>
          <w:sz w:val="24"/>
          <w:szCs w:val="24"/>
          <w:rtl w:val="0"/>
          <w:lang w:val="fr-FR"/>
        </w:rPr>
        <w:t>Reference list</w:t>
      </w:r>
    </w:p>
    <w:p>
      <w:pPr>
        <w:pStyle w:val="Body A"/>
        <w:spacing w:line="360" w:lineRule="auto"/>
        <w:jc w:val="both"/>
        <w:rPr>
          <w:rStyle w:val="None"/>
          <w:rFonts w:ascii="Arial" w:cs="Arial" w:hAnsi="Arial" w:eastAsia="Arial"/>
          <w:sz w:val="24"/>
          <w:szCs w:val="24"/>
        </w:rPr>
      </w:pPr>
    </w:p>
    <w:p>
      <w:pPr>
        <w:pStyle w:val="Body A"/>
        <w:spacing w:line="360" w:lineRule="auto"/>
        <w:ind w:left="360" w:firstLine="0"/>
        <w:jc w:val="both"/>
        <w:rPr>
          <w:rStyle w:val="None"/>
          <w:rFonts w:ascii="Arial" w:cs="Arial" w:hAnsi="Arial" w:eastAsia="Arial"/>
          <w:sz w:val="24"/>
          <w:szCs w:val="24"/>
        </w:rPr>
      </w:pPr>
      <w:r>
        <w:rPr>
          <w:rStyle w:val="None"/>
          <w:rFonts w:ascii="Arial" w:hAnsi="Arial"/>
          <w:sz w:val="24"/>
          <w:szCs w:val="24"/>
          <w:rtl w:val="0"/>
          <w:lang w:val="en-US"/>
        </w:rPr>
        <w:t>Caldeira, C., Chen, Y., Chan, L., Pham, V., Chen, Y. and Zheng, K., 2017. Mobile apps for mood tracking: an analysis of features and user reviews. In AMIA Annual Symposium Proceedings (Vol. 2017, p. 495</w:t>
      </w:r>
      <w:r>
        <w:rPr>
          <w:rStyle w:val="None"/>
          <w:rFonts w:ascii="Arial" w:hAnsi="Arial"/>
          <w:i w:val="1"/>
          <w:iCs w:val="1"/>
          <w:sz w:val="24"/>
          <w:szCs w:val="24"/>
          <w:rtl w:val="0"/>
          <w:lang w:val="en-US"/>
        </w:rPr>
        <w:t>). American Medical Informatics Association</w:t>
      </w:r>
      <w:r>
        <w:rPr>
          <w:rStyle w:val="None"/>
          <w:rFonts w:ascii="Arial" w:hAnsi="Arial"/>
          <w:sz w:val="24"/>
          <w:szCs w:val="24"/>
          <w:rtl w:val="0"/>
          <w:lang w:val="en-US"/>
        </w:rPr>
        <w:t>.</w:t>
      </w:r>
    </w:p>
    <w:p>
      <w:pPr>
        <w:pStyle w:val="Body A"/>
        <w:spacing w:line="360" w:lineRule="auto"/>
        <w:ind w:left="360" w:firstLine="0"/>
        <w:jc w:val="both"/>
        <w:rPr>
          <w:rStyle w:val="None"/>
          <w:rFonts w:ascii="Arial" w:cs="Arial" w:hAnsi="Arial" w:eastAsia="Arial"/>
          <w:sz w:val="24"/>
          <w:szCs w:val="24"/>
        </w:rPr>
      </w:pPr>
      <w:r>
        <w:rPr>
          <w:rStyle w:val="None"/>
          <w:rFonts w:ascii="Arial" w:hAnsi="Arial"/>
          <w:sz w:val="24"/>
          <w:szCs w:val="24"/>
          <w:rtl w:val="0"/>
          <w:lang w:val="en-US"/>
        </w:rPr>
        <w:t>McHugh, R. K., &amp; Weiss, R. D., 2019. Alcohol use disorder and depressive disorders</w:t>
      </w:r>
      <w:r>
        <w:rPr>
          <w:rStyle w:val="None"/>
          <w:rFonts w:ascii="Arial" w:hAnsi="Arial"/>
          <w:i w:val="1"/>
          <w:iCs w:val="1"/>
          <w:sz w:val="24"/>
          <w:szCs w:val="24"/>
          <w:rtl w:val="0"/>
          <w:lang w:val="en-US"/>
        </w:rPr>
        <w:t>. Alcohol research: current reviews</w:t>
      </w:r>
      <w:r>
        <w:rPr>
          <w:rStyle w:val="None"/>
          <w:rFonts w:ascii="Arial" w:hAnsi="Arial"/>
          <w:sz w:val="24"/>
          <w:szCs w:val="24"/>
          <w:rtl w:val="0"/>
          <w:lang w:val="en-US"/>
        </w:rPr>
        <w:t>, 40(1).</w:t>
      </w:r>
    </w:p>
    <w:p>
      <w:pPr>
        <w:pStyle w:val="Body A"/>
        <w:spacing w:line="360" w:lineRule="auto"/>
        <w:ind w:left="360" w:firstLine="0"/>
        <w:jc w:val="both"/>
        <w:rPr>
          <w:rStyle w:val="None"/>
          <w:rFonts w:ascii="Arial" w:cs="Arial" w:hAnsi="Arial" w:eastAsia="Arial"/>
          <w:sz w:val="24"/>
          <w:szCs w:val="24"/>
        </w:rPr>
      </w:pPr>
      <w:r>
        <w:rPr>
          <w:rStyle w:val="None"/>
          <w:rFonts w:ascii="Arial" w:hAnsi="Arial"/>
          <w:sz w:val="24"/>
          <w:szCs w:val="24"/>
          <w:rtl w:val="0"/>
          <w:lang w:val="en-US"/>
        </w:rPr>
        <w:t xml:space="preserve">National Health Services (NHS), 2019. </w:t>
      </w:r>
      <w:r>
        <w:rPr>
          <w:rStyle w:val="None"/>
          <w:rFonts w:ascii="Arial" w:hAnsi="Arial" w:hint="default"/>
          <w:sz w:val="24"/>
          <w:szCs w:val="24"/>
          <w:rtl w:val="0"/>
          <w:lang w:val="en-US"/>
        </w:rPr>
        <w:t>‘</w:t>
      </w:r>
      <w:r>
        <w:rPr>
          <w:rStyle w:val="None"/>
          <w:rFonts w:ascii="Arial" w:hAnsi="Arial"/>
          <w:sz w:val="24"/>
          <w:szCs w:val="24"/>
          <w:rtl w:val="0"/>
          <w:lang w:val="en-US"/>
        </w:rPr>
        <w:t>NHS Long Term Plan will help problem drinkers and smokers</w:t>
      </w:r>
      <w:r>
        <w:rPr>
          <w:rStyle w:val="None"/>
          <w:rFonts w:ascii="Arial" w:hAnsi="Arial" w:hint="default"/>
          <w:sz w:val="24"/>
          <w:szCs w:val="24"/>
          <w:rtl w:val="0"/>
          <w:lang w:val="en-US"/>
        </w:rPr>
        <w:t>’</w:t>
      </w:r>
      <w:r>
        <w:rPr>
          <w:rStyle w:val="None"/>
          <w:rFonts w:ascii="Arial" w:hAnsi="Arial"/>
          <w:sz w:val="24"/>
          <w:szCs w:val="24"/>
          <w:rtl w:val="0"/>
          <w:lang w:val="en-US"/>
        </w:rPr>
        <w:t>.</w:t>
      </w:r>
      <w:r>
        <w:rPr>
          <w:rStyle w:val="None"/>
          <w:rFonts w:ascii="Arial" w:hAnsi="Arial"/>
          <w:rtl w:val="0"/>
          <w:lang w:val="en-US"/>
        </w:rPr>
        <w:t xml:space="preserve"> </w:t>
      </w:r>
      <w:r>
        <w:rPr>
          <w:rStyle w:val="None"/>
          <w:rFonts w:ascii="Arial" w:hAnsi="Arial"/>
          <w:sz w:val="24"/>
          <w:szCs w:val="24"/>
          <w:rtl w:val="0"/>
          <w:lang w:val="en-US"/>
        </w:rPr>
        <w:t xml:space="preserve">5 January 2019 [online] </w:t>
      </w:r>
      <w:r>
        <w:rPr>
          <w:rStyle w:val="Hyperlink.1"/>
        </w:rPr>
        <w:fldChar w:fldCharType="begin" w:fldLock="0"/>
      </w:r>
      <w:r>
        <w:rPr>
          <w:rStyle w:val="Hyperlink.1"/>
        </w:rPr>
        <w:instrText xml:space="preserve"> HYPERLINK "https://www.england.nhs.uk/2019/01/nhs-long-term-plan-will-help-problem-drinkers-and-smokers/#:~:text=Alcohol%25252Drelated%252520harm%252520is%252520estimated,call%252520outs%252520have%252520significantly%252520reduced"</w:instrText>
      </w:r>
      <w:r>
        <w:rPr>
          <w:rStyle w:val="Hyperlink.1"/>
        </w:rPr>
        <w:fldChar w:fldCharType="separate" w:fldLock="0"/>
      </w:r>
      <w:r>
        <w:rPr>
          <w:rStyle w:val="Hyperlink.1"/>
          <w:rtl w:val="0"/>
          <w:lang w:val="en-US"/>
        </w:rPr>
        <w:t>https://www.england.nhs.uk/2019/01/nhs-long-term-plan-will-help-problem-drinkers-and-smokers/#:~:text=Alcohol%2Drelated%20harm%20is%20estimated,call%20outs%20have%20significantly%20reduced</w:t>
      </w:r>
      <w:r>
        <w:rPr/>
        <w:fldChar w:fldCharType="end" w:fldLock="0"/>
      </w:r>
      <w:r>
        <w:rPr>
          <w:rStyle w:val="None"/>
          <w:rFonts w:ascii="Arial" w:hAnsi="Arial"/>
          <w:sz w:val="24"/>
          <w:szCs w:val="24"/>
          <w:rtl w:val="0"/>
          <w:lang w:val="en-US"/>
        </w:rPr>
        <w:t>. [Accessed on 5 April, 2024]</w:t>
      </w:r>
    </w:p>
    <w:p>
      <w:pPr>
        <w:pStyle w:val="Body A"/>
        <w:spacing w:line="360" w:lineRule="auto"/>
        <w:ind w:left="360" w:firstLine="0"/>
        <w:jc w:val="both"/>
        <w:rPr>
          <w:rStyle w:val="None"/>
          <w:rFonts w:ascii="Arial" w:cs="Arial" w:hAnsi="Arial" w:eastAsia="Arial"/>
          <w:sz w:val="24"/>
          <w:szCs w:val="24"/>
        </w:rPr>
      </w:pPr>
      <w:r>
        <w:rPr>
          <w:rStyle w:val="None"/>
          <w:rFonts w:ascii="Arial" w:hAnsi="Arial"/>
          <w:sz w:val="24"/>
          <w:szCs w:val="24"/>
          <w:rtl w:val="0"/>
          <w:lang w:val="en-US"/>
        </w:rPr>
        <w:t xml:space="preserve">National Institute for Health and Care Research (NIHR), 2024. 25 Mar 2024 </w:t>
      </w:r>
      <w:r>
        <w:rPr>
          <w:rStyle w:val="None"/>
          <w:rFonts w:ascii="Arial" w:hAnsi="Arial" w:hint="default"/>
          <w:sz w:val="24"/>
          <w:szCs w:val="24"/>
          <w:rtl w:val="0"/>
          <w:lang w:val="en-US"/>
        </w:rPr>
        <w:t>‘</w:t>
      </w:r>
      <w:r>
        <w:rPr>
          <w:rStyle w:val="None"/>
          <w:rFonts w:ascii="Arial" w:hAnsi="Arial"/>
          <w:sz w:val="24"/>
          <w:szCs w:val="24"/>
          <w:rtl w:val="0"/>
          <w:lang w:val="en-US"/>
        </w:rPr>
        <w:t>Evidence-based smartphone app can help people reduce their alcohol intake</w:t>
      </w:r>
      <w:r>
        <w:rPr>
          <w:rStyle w:val="None"/>
          <w:rFonts w:ascii="Arial" w:hAnsi="Arial" w:hint="default"/>
          <w:sz w:val="24"/>
          <w:szCs w:val="24"/>
          <w:rtl w:val="0"/>
          <w:lang w:val="en-US"/>
        </w:rPr>
        <w:t>’</w:t>
      </w:r>
      <w:r>
        <w:rPr>
          <w:rStyle w:val="None"/>
          <w:rFonts w:ascii="Arial" w:hAnsi="Arial"/>
          <w:sz w:val="24"/>
          <w:szCs w:val="24"/>
          <w:rtl w:val="0"/>
          <w:lang w:val="en-US"/>
        </w:rPr>
        <w:t xml:space="preserve">. </w:t>
      </w:r>
      <w:r>
        <w:rPr>
          <w:rStyle w:val="Hyperlink.2"/>
          <w:rFonts w:ascii="Arial" w:cs="Arial" w:hAnsi="Arial" w:eastAsia="Arial"/>
          <w:outline w:val="0"/>
          <w:color w:val="000000"/>
          <w:sz w:val="24"/>
          <w:szCs w:val="24"/>
          <w:u w:val="none" w:color="000000"/>
          <w:lang w:val="de-D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00000"/>
          <w:lang w:val="de-DE"/>
          <w14:textFill>
            <w14:solidFill>
              <w14:srgbClr w14:val="000000"/>
            </w14:solidFill>
          </w14:textFill>
        </w:rPr>
        <w:instrText xml:space="preserve"> HYPERLINK "https://arc-nenc.nihr.ac.uk/news/5847/"</w:instrText>
      </w:r>
      <w:r>
        <w:rPr>
          <w:rStyle w:val="Hyperlink.2"/>
          <w:rFonts w:ascii="Arial" w:cs="Arial" w:hAnsi="Arial" w:eastAsia="Arial"/>
          <w:outline w:val="0"/>
          <w:color w:val="000000"/>
          <w:sz w:val="24"/>
          <w:szCs w:val="24"/>
          <w:u w:val="none" w:color="000000"/>
          <w:lang w:val="de-DE"/>
          <w14:textFill>
            <w14:solidFill>
              <w14:srgbClr w14:val="000000"/>
            </w14:solidFill>
          </w14:textFill>
        </w:rPr>
        <w:fldChar w:fldCharType="separate" w:fldLock="0"/>
      </w:r>
      <w:r>
        <w:rPr>
          <w:rStyle w:val="Hyperlink.2"/>
          <w:rFonts w:ascii="Arial" w:hAnsi="Arial"/>
          <w:outline w:val="0"/>
          <w:color w:val="000000"/>
          <w:sz w:val="24"/>
          <w:szCs w:val="24"/>
          <w:u w:val="none" w:color="000000"/>
          <w:rtl w:val="0"/>
          <w:lang w:val="de-DE"/>
          <w14:textFill>
            <w14:solidFill>
              <w14:srgbClr w14:val="000000"/>
            </w14:solidFill>
          </w14:textFill>
        </w:rPr>
        <w:t>https://arc-nenc.nihr.ac.uk/news/5847/</w:t>
      </w:r>
      <w:r>
        <w:rPr/>
        <w:fldChar w:fldCharType="end" w:fldLock="0"/>
      </w:r>
      <w:r>
        <w:rPr>
          <w:rStyle w:val="None"/>
          <w:rFonts w:ascii="Arial" w:hAnsi="Arial"/>
          <w:sz w:val="24"/>
          <w:szCs w:val="24"/>
          <w:rtl w:val="0"/>
          <w:lang w:val="en-US"/>
        </w:rPr>
        <w:t xml:space="preserve"> [accessed on 5 April, 2024]</w:t>
      </w:r>
    </w:p>
    <w:p>
      <w:pPr>
        <w:pStyle w:val="Body A"/>
        <w:spacing w:line="360" w:lineRule="auto"/>
        <w:ind w:left="360" w:firstLine="0"/>
        <w:jc w:val="both"/>
        <w:rPr>
          <w:rStyle w:val="None"/>
          <w:rFonts w:ascii="Arial" w:cs="Arial" w:hAnsi="Arial" w:eastAsia="Arial"/>
          <w:sz w:val="24"/>
          <w:szCs w:val="24"/>
        </w:rPr>
      </w:pPr>
      <w:r>
        <w:rPr>
          <w:rStyle w:val="None"/>
          <w:rFonts w:ascii="Arial" w:hAnsi="Arial"/>
          <w:sz w:val="24"/>
          <w:szCs w:val="24"/>
          <w:rtl w:val="0"/>
          <w:lang w:val="en-US"/>
        </w:rPr>
        <w:t xml:space="preserve">Oldham, M., Beard, E., Loebenberg, G., Dinu, L., Angus, C., Burton, R., Field, M., Greaves, F., Hickman, M., Kaner, E. and Michie, S., 2024. </w:t>
      </w:r>
      <w:r>
        <w:rPr>
          <w:rStyle w:val="None"/>
          <w:rFonts w:ascii="Arial" w:hAnsi="Arial" w:hint="default"/>
          <w:sz w:val="24"/>
          <w:szCs w:val="24"/>
          <w:rtl w:val="0"/>
          <w:lang w:val="en-US"/>
        </w:rPr>
        <w:t>‘</w:t>
      </w:r>
      <w:r>
        <w:rPr>
          <w:rStyle w:val="None"/>
          <w:rFonts w:ascii="Arial" w:hAnsi="Arial"/>
          <w:sz w:val="24"/>
          <w:szCs w:val="24"/>
          <w:rtl w:val="0"/>
          <w:lang w:val="en-US"/>
        </w:rPr>
        <w:t>Effectiveness of a smartphone app (Drink Less) versus usual digital care for reducing alcohol consumption among increasing-and-higher-risk adult drinkers in the UK: a two-arm, parallel-group, double-blind, randomised controlled trial</w:t>
      </w:r>
      <w:r>
        <w:rPr>
          <w:rStyle w:val="None"/>
          <w:rFonts w:ascii="Arial" w:hAnsi="Arial" w:hint="default"/>
          <w:sz w:val="24"/>
          <w:szCs w:val="24"/>
          <w:rtl w:val="0"/>
          <w:lang w:val="en-US"/>
        </w:rPr>
        <w:t>’</w:t>
      </w:r>
      <w:r>
        <w:rPr>
          <w:rStyle w:val="None"/>
          <w:rFonts w:ascii="Arial" w:hAnsi="Arial"/>
          <w:sz w:val="24"/>
          <w:szCs w:val="24"/>
          <w:rtl w:val="0"/>
          <w:lang w:val="en-US"/>
        </w:rPr>
        <w:t xml:space="preserve">. </w:t>
      </w:r>
      <w:r>
        <w:rPr>
          <w:rStyle w:val="None"/>
          <w:rFonts w:ascii="Arial" w:hAnsi="Arial"/>
          <w:i w:val="1"/>
          <w:iCs w:val="1"/>
          <w:sz w:val="24"/>
          <w:szCs w:val="24"/>
          <w:rtl w:val="0"/>
          <w:lang w:val="it-IT"/>
        </w:rPr>
        <w:t>EClinicalMedicine.</w:t>
      </w:r>
      <w:r>
        <w:rPr>
          <w:rStyle w:val="None"/>
          <w:rFonts w:ascii="Arial" w:hAnsi="Arial"/>
          <w:sz w:val="24"/>
          <w:szCs w:val="24"/>
          <w:rtl w:val="0"/>
          <w:lang w:val="en-US"/>
        </w:rPr>
        <w:t xml:space="preserve"> 70</w:t>
      </w:r>
    </w:p>
    <w:p>
      <w:pPr>
        <w:pStyle w:val="Body A"/>
        <w:spacing w:line="360" w:lineRule="auto"/>
        <w:ind w:left="360" w:firstLine="0"/>
        <w:jc w:val="both"/>
        <w:sectPr>
          <w:type w:val="continuous"/>
          <w:pgSz w:w="12240" w:h="15840" w:orient="portrait"/>
          <w:pgMar w:top="360" w:right="1440" w:bottom="1440" w:left="1440" w:header="360" w:footer="360"/>
          <w:pgNumType w:start="0"/>
          <w:bidi w:val="0"/>
        </w:sectPr>
      </w:pPr>
      <w:r>
        <w:rPr>
          <w:rStyle w:val="None"/>
          <w:rFonts w:ascii="Arial" w:hAnsi="Arial"/>
          <w:sz w:val="24"/>
          <w:szCs w:val="24"/>
          <w:rtl w:val="0"/>
          <w:lang w:val="en-US"/>
        </w:rPr>
        <w:t xml:space="preserve">. </w:t>
      </w:r>
    </w:p>
    <w:p>
      <w:pPr>
        <w:pStyle w:val="Body A"/>
        <w:spacing w:line="360" w:lineRule="auto"/>
        <w:rPr>
          <w:rStyle w:val="None"/>
          <w:rFonts w:ascii="Arial" w:cs="Arial" w:hAnsi="Arial" w:eastAsia="Arial"/>
        </w:rPr>
      </w:pPr>
      <w:r>
        <w:rPr>
          <w:rStyle w:val="None"/>
          <w:rFonts w:ascii="Arial" w:cs="Arial" w:hAnsi="Arial" w:eastAsia="Arial"/>
        </w:rPr>
        <mc:AlternateContent>
          <mc:Choice Requires="wps">
            <w:drawing xmlns:a="http://schemas.openxmlformats.org/drawingml/2006/main">
              <wp:anchor distT="0" distB="0" distL="0" distR="0" simplePos="0" relativeHeight="251661312" behindDoc="0" locked="0" layoutInCell="1" allowOverlap="1">
                <wp:simplePos x="0" y="0"/>
                <wp:positionH relativeFrom="column">
                  <wp:posOffset>-169222</wp:posOffset>
                </wp:positionH>
                <wp:positionV relativeFrom="line">
                  <wp:posOffset>1781</wp:posOffset>
                </wp:positionV>
                <wp:extent cx="12848591" cy="1056904"/>
                <wp:effectExtent l="0" t="0" r="0" b="0"/>
                <wp:wrapNone/>
                <wp:docPr id="1073741833" name="officeArt object" descr="Text Box 1"/>
                <wp:cNvGraphicFramePr/>
                <a:graphic xmlns:a="http://schemas.openxmlformats.org/drawingml/2006/main">
                  <a:graphicData uri="http://schemas.microsoft.com/office/word/2010/wordprocessingShape">
                    <wps:wsp>
                      <wps:cNvSpPr txBox="1"/>
                      <wps:spPr>
                        <a:xfrm>
                          <a:off x="0" y="0"/>
                          <a:ext cx="12848591" cy="1056904"/>
                        </a:xfrm>
                        <a:prstGeom prst="rect">
                          <a:avLst/>
                        </a:prstGeom>
                        <a:solidFill>
                          <a:srgbClr val="FFFFFF"/>
                        </a:solidFill>
                        <a:ln w="6350" cap="flat">
                          <a:solidFill>
                            <a:srgbClr val="000000"/>
                          </a:solidFill>
                          <a:prstDash val="solid"/>
                          <a:round/>
                        </a:ln>
                        <a:effectLst/>
                      </wps:spPr>
                      <wps:txbx>
                        <w:txbxContent>
                          <w:p>
                            <w:pPr>
                              <w:pStyle w:val="Body A"/>
                              <w:shd w:val="clear" w:color="auto" w:fill="e7e6e6"/>
                            </w:pPr>
                            <w:r>
                              <w:rPr>
                                <w:rStyle w:val="None"/>
                                <w:rFonts w:ascii="Arial Black" w:hAnsi="Arial Black"/>
                                <w:outline w:val="0"/>
                                <w:color w:val="262626"/>
                                <w:sz w:val="52"/>
                                <w:szCs w:val="52"/>
                                <w:u w:color="262626"/>
                                <w:rtl w:val="0"/>
                                <w:lang w:val="en-US"/>
                                <w14:shadow w14:sx="100000" w14:sy="100000" w14:kx="0" w14:ky="0" w14:algn="tl" w14:blurRad="0" w14:dist="38100" w14:dir="2700000">
                                  <w14:srgbClr w14:val="5B9BD5">
                                    <w14:alpha w14:val="50000"/>
                                  </w14:srgbClr>
                                </w14:shadow>
                                <w14:textOutline w14:w="6730" w14:cap="flat">
                                  <w14:solidFill>
                                    <w14:srgbClr w14:val="FFFFFF"/>
                                  </w14:solidFill>
                                  <w14:prstDash w14:val="solid"/>
                                  <w14:round/>
                                </w14:textOutline>
                                <w14:textFill>
                                  <w14:solidFill>
                                    <w14:srgbClr w14:val="262626"/>
                                  </w14:solidFill>
                                </w14:textFill>
                              </w:rPr>
                              <w:t>Digital Health Interventions (DHIs) for Health Promotion: Cardiovascular Diseases (CVD)</w:t>
                            </w:r>
                          </w:p>
                        </w:txbxContent>
                      </wps:txbx>
                      <wps:bodyPr wrap="square" lIns="45718" tIns="45718" rIns="45718" bIns="45718" numCol="1" anchor="t">
                        <a:noAutofit/>
                      </wps:bodyPr>
                    </wps:wsp>
                  </a:graphicData>
                </a:graphic>
              </wp:anchor>
            </w:drawing>
          </mc:Choice>
          <mc:Fallback>
            <w:pict>
              <v:shape id="_x0000_s1029" type="#_x0000_t202" style="visibility:visible;position:absolute;margin-left:-13.3pt;margin-top:0.1pt;width:1011.7pt;height:83.2pt;z-index:251661312;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shd w:val="clear" w:color="auto" w:fill="e7e6e6"/>
                      </w:pPr>
                      <w:r>
                        <w:rPr>
                          <w:rStyle w:val="None"/>
                          <w:rFonts w:ascii="Arial Black" w:hAnsi="Arial Black"/>
                          <w:outline w:val="0"/>
                          <w:color w:val="262626"/>
                          <w:sz w:val="52"/>
                          <w:szCs w:val="52"/>
                          <w:u w:color="262626"/>
                          <w:rtl w:val="0"/>
                          <w:lang w:val="en-US"/>
                          <w14:shadow w14:sx="100000" w14:sy="100000" w14:kx="0" w14:ky="0" w14:algn="tl" w14:blurRad="0" w14:dist="38100" w14:dir="2700000">
                            <w14:srgbClr w14:val="5B9BD5">
                              <w14:alpha w14:val="50000"/>
                            </w14:srgbClr>
                          </w14:shadow>
                          <w14:textOutline w14:w="6730" w14:cap="flat">
                            <w14:solidFill>
                              <w14:srgbClr w14:val="FFFFFF"/>
                            </w14:solidFill>
                            <w14:prstDash w14:val="solid"/>
                            <w14:round/>
                          </w14:textOutline>
                          <w14:textFill>
                            <w14:solidFill>
                              <w14:srgbClr w14:val="262626"/>
                            </w14:solidFill>
                          </w14:textFill>
                        </w:rPr>
                        <w:t>Digital Health Interventions (DHIs) for Health Promotion: Cardiovascular Diseases (CVD)</w:t>
                      </w:r>
                    </w:p>
                  </w:txbxContent>
                </v:textbox>
                <w10:wrap type="none" side="bothSides" anchorx="text"/>
              </v:shape>
            </w:pict>
          </mc:Fallback>
        </mc:AlternateContent>
      </w:r>
      <w:r>
        <w:rPr>
          <w:rStyle w:val="None"/>
          <w:rFonts w:ascii="Arial" w:cs="Arial" w:hAnsi="Arial" w:eastAsia="Arial"/>
        </w:rPr>
        <mc:AlternateContent>
          <mc:Choice Requires="wps">
            <w:drawing xmlns:a="http://schemas.openxmlformats.org/drawingml/2006/main">
              <wp:anchor distT="0" distB="0" distL="0" distR="0" simplePos="0" relativeHeight="251663360" behindDoc="0" locked="0" layoutInCell="1" allowOverlap="1">
                <wp:simplePos x="0" y="0"/>
                <wp:positionH relativeFrom="column">
                  <wp:posOffset>11126405</wp:posOffset>
                </wp:positionH>
                <wp:positionV relativeFrom="line">
                  <wp:posOffset>-28985</wp:posOffset>
                </wp:positionV>
                <wp:extent cx="1375163" cy="1197849"/>
                <wp:effectExtent l="0" t="0" r="0" b="0"/>
                <wp:wrapNone/>
                <wp:docPr id="1073741834" name="officeArt object" descr="Heart 3"/>
                <wp:cNvGraphicFramePr/>
                <a:graphic xmlns:a="http://schemas.openxmlformats.org/drawingml/2006/main">
                  <a:graphicData uri="http://schemas.microsoft.com/office/word/2010/wordprocessingShape">
                    <wps:wsp>
                      <wps:cNvSpPr/>
                      <wps:spPr>
                        <a:xfrm>
                          <a:off x="0" y="0"/>
                          <a:ext cx="1375163" cy="1197849"/>
                        </a:xfrm>
                        <a:custGeom>
                          <a:avLst/>
                          <a:gdLst/>
                          <a:ahLst/>
                          <a:cxnLst>
                            <a:cxn ang="0">
                              <a:pos x="wd2" y="hd2"/>
                            </a:cxn>
                            <a:cxn ang="5400000">
                              <a:pos x="wd2" y="hd2"/>
                            </a:cxn>
                            <a:cxn ang="10800000">
                              <a:pos x="wd2" y="hd2"/>
                            </a:cxn>
                            <a:cxn ang="16200000">
                              <a:pos x="wd2" y="hd2"/>
                            </a:cxn>
                          </a:cxnLst>
                          <a:rect l="0" t="0" r="r" b="b"/>
                          <a:pathLst>
                            <a:path w="10657" h="15999" fill="norm" stroke="1" extrusionOk="0">
                              <a:moveTo>
                                <a:pt x="5328" y="3849"/>
                              </a:moveTo>
                              <a:cubicBezTo>
                                <a:pt x="7532" y="-5601"/>
                                <a:pt x="16128" y="3849"/>
                                <a:pt x="5328" y="15999"/>
                              </a:cubicBezTo>
                              <a:cubicBezTo>
                                <a:pt x="-5472" y="3849"/>
                                <a:pt x="3124" y="-5601"/>
                                <a:pt x="5328" y="3849"/>
                              </a:cubicBezTo>
                              <a:close/>
                            </a:path>
                          </a:pathLst>
                        </a:custGeom>
                        <a:solidFill>
                          <a:srgbClr val="FF0000"/>
                        </a:solidFill>
                        <a:ln w="12700" cap="flat">
                          <a:solidFill>
                            <a:srgbClr val="1D3053"/>
                          </a:solidFill>
                          <a:prstDash val="solid"/>
                          <a:miter lim="800000"/>
                        </a:ln>
                        <a:effectLst/>
                      </wps:spPr>
                      <wps:bodyPr/>
                    </wps:wsp>
                  </a:graphicData>
                </a:graphic>
              </wp:anchor>
            </w:drawing>
          </mc:Choice>
          <mc:Fallback>
            <w:pict>
              <v:shape id="_x0000_s1030" style="visibility:visible;position:absolute;margin-left:876.1pt;margin-top:-2.3pt;width:108.3pt;height:94.3pt;z-index:251663360;mso-position-horizontal:absolute;mso-position-horizontal-relative:text;mso-position-vertical:absolute;mso-position-vertical-relative:line;mso-wrap-distance-left:0.0pt;mso-wrap-distance-top:0.0pt;mso-wrap-distance-right:0.0pt;mso-wrap-distance-bottom:0.0pt;" coordorigin="5472,5601" coordsize="10657,15999" path="M 10800,9450 C 13004,0 21600,9450 10800,21600 C 0,9450 8596,0 10800,9450 X E">
                <v:fill color="#FF0000" opacity="100.0%" type="solid"/>
                <v:stroke filltype="solid" color="#1D3053" opacity="100.0%" weight="1.0pt" dashstyle="solid" endcap="flat" miterlimit="800.0%" joinstyle="miter" linestyle="single" startarrow="none" startarrowwidth="medium" startarrowlength="medium" endarrow="none" endarrowwidth="medium" endarrowlength="medium"/>
                <w10:wrap type="none" side="bothSides" anchorx="text"/>
              </v:shape>
            </w:pict>
          </mc:Fallback>
        </mc:AlternateConten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jc w:val="center"/>
        <w:rPr>
          <w:rStyle w:val="None"/>
          <w:rFonts w:ascii="Arial" w:cs="Arial" w:hAnsi="Arial" w:eastAsia="Arial"/>
        </w:rPr>
      </w:pPr>
      <w:r>
        <w:rPr>
          <w:rStyle w:val="None"/>
          <w:rFonts w:ascii="Arial" w:cs="Arial" w:hAnsi="Arial" w:eastAsia="Arial"/>
        </w:rPr>
        <mc:AlternateContent>
          <mc:Choice Requires="wps">
            <w:drawing xmlns:a="http://schemas.openxmlformats.org/drawingml/2006/main">
              <wp:anchor distT="80010" distB="80010" distL="80010" distR="80010" simplePos="0" relativeHeight="251662336" behindDoc="0" locked="0" layoutInCell="1" allowOverlap="1">
                <wp:simplePos x="0" y="0"/>
                <wp:positionH relativeFrom="column">
                  <wp:posOffset>-121918</wp:posOffset>
                </wp:positionH>
                <wp:positionV relativeFrom="line">
                  <wp:posOffset>46990</wp:posOffset>
                </wp:positionV>
                <wp:extent cx="4733290" cy="4013835"/>
                <wp:effectExtent l="0" t="0" r="0" b="0"/>
                <wp:wrapSquare wrapText="bothSides" distL="80010" distR="80010" distT="80010" distB="80010"/>
                <wp:docPr id="1073741835" name="officeArt object" descr="Text Box 2"/>
                <wp:cNvGraphicFramePr/>
                <a:graphic xmlns:a="http://schemas.openxmlformats.org/drawingml/2006/main">
                  <a:graphicData uri="http://schemas.microsoft.com/office/word/2010/wordprocessingShape">
                    <wps:wsp>
                      <wps:cNvSpPr txBox="1"/>
                      <wps:spPr>
                        <a:xfrm>
                          <a:off x="0" y="0"/>
                          <a:ext cx="4733290" cy="4013835"/>
                        </a:xfrm>
                        <a:prstGeom prst="rect">
                          <a:avLst/>
                        </a:prstGeom>
                        <a:solidFill>
                          <a:schemeClr val="accent2"/>
                        </a:solidFill>
                        <a:ln w="19050" cap="flat">
                          <a:solidFill>
                            <a:srgbClr val="FFFFFF"/>
                          </a:solidFill>
                          <a:prstDash val="solid"/>
                          <a:miter lim="800000"/>
                        </a:ln>
                        <a:effectLst/>
                      </wps:spPr>
                      <wps:txbx>
                        <w:txbxContent>
                          <w:p>
                            <w:pPr>
                              <w:pStyle w:val="Body A"/>
                              <w:spacing w:line="240" w:lineRule="auto"/>
                              <w:ind w:left="720" w:hanging="360"/>
                            </w:pPr>
                            <w:r>
                              <w:rPr>
                                <w:rStyle w:val="None"/>
                                <w:sz w:val="16"/>
                                <w:szCs w:val="16"/>
                              </w:rPr>
                              <w:drawing xmlns:a="http://schemas.openxmlformats.org/drawingml/2006/main">
                                <wp:inline distT="0" distB="0" distL="0" distR="0">
                                  <wp:extent cx="4159123" cy="556546"/>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
                                          <pic:cNvPicPr>
                                            <a:picLocks noChangeAspect="0"/>
                                          </pic:cNvPicPr>
                                        </pic:nvPicPr>
                                        <pic:blipFill>
                                          <a:blip r:embed="rId13">
                                            <a:extLst/>
                                          </a:blip>
                                          <a:stretch>
                                            <a:fillRect/>
                                          </a:stretch>
                                        </pic:blipFill>
                                        <pic:spPr>
                                          <a:xfrm>
                                            <a:off x="0" y="0"/>
                                            <a:ext cx="4159123" cy="556546"/>
                                          </a:xfrm>
                                          <a:prstGeom prst="rect">
                                            <a:avLst/>
                                          </a:prstGeom>
                                        </pic:spPr>
                                      </pic:pic>
                                    </a:graphicData>
                                  </a:graphic>
                                </wp:inline>
                              </w:drawing>
                            </w:r>
                          </w:p>
                          <w:p>
                            <w:pPr>
                              <w:pStyle w:val="List Paragraph"/>
                              <w:spacing w:line="240" w:lineRule="auto"/>
                              <w:jc w:val="center"/>
                              <w:rPr>
                                <w:rStyle w:val="None"/>
                                <w:b w:val="1"/>
                                <w:bCs w:val="1"/>
                                <w:sz w:val="16"/>
                                <w:szCs w:val="16"/>
                              </w:rPr>
                            </w:pPr>
                            <w:r>
                              <w:rPr>
                                <w:rStyle w:val="None"/>
                                <w:b w:val="1"/>
                                <w:bCs w:val="1"/>
                                <w:sz w:val="16"/>
                                <w:szCs w:val="16"/>
                                <w:rtl w:val="0"/>
                                <w:lang w:val="en-US"/>
                              </w:rPr>
                              <w:t>BACKGROUND</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As per the World Health Report, CVD while affecting more than half a billion people, caused deaths of around 20.5 million people in 2021 (World Heart Federation, 2023).</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In Europe, CVD is causing 3.9 million fatalities annually (Spiteri et al., 2019).</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Even worrisome is the rate of premature mortality, i.e. death before the age of 75 years which has been observed to be rising (Heart UK, n. d.)</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Without intervention, projections suggest that by the year 2030, the global death toll from CVD could reach 23.6 million annually (Ramic-Catak et al., 2023).</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Community-based interventions which focus on diet, physical activity, and reducing smoking and alcohol consumption have been implemented to bring behavioural changes at the individual, group, and institutional levels aiming to prevent or manage CVD risk factors. They were found to be effective in managing blood pressure and blood sugar levels in low-and middle-income countries (Ndejjo et al., 2021).</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In the UK, community engagement interventions customized according to the needs of people from high, middle and low-income countries have been proposed (Nahar et al., 2020).</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Digital health interventions which include digital technology such as wearable electrocardiogram (ECG) are proving to play a crucial role in managing public health,  encouraging medication adherence and lifestyle changes for preventing and managing CVD (Ogungbe et al., 2024).</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 xml:space="preserve">A wearable ECG is a small portable device that can be worn on the body and reads the electrical activity of the heart. Different devices like smartwatches, wearable patches, and fitness trackers are equipped with Single-lead ECG functionality fetching data such as heart rate variability (HRV), </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Most CVD events occur outside of clinical settings and there is no easy and effective way for continuous measurement or monitoring beyond clinical places, these wearable ECGs can be extremely useful for remote monitoring providing data on the daily activities of the patients.</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Wearable ECGs can help in the prevention and management of CVD by providing early and accurate diagnosis.</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 xml:space="preserve"> Hence, they can help in health promotion by positively engaging patients by giving real-time information and feedback about their vitals in daily life routines..</w:t>
                            </w:r>
                          </w:p>
                        </w:txbxContent>
                      </wps:txbx>
                      <wps:bodyPr wrap="square" lIns="45718" tIns="45718" rIns="45718" bIns="45718" numCol="1" anchor="t">
                        <a:noAutofit/>
                      </wps:bodyPr>
                    </wps:wsp>
                  </a:graphicData>
                </a:graphic>
              </wp:anchor>
            </w:drawing>
          </mc:Choice>
          <mc:Fallback>
            <w:pict>
              <v:shape id="_x0000_s1031" type="#_x0000_t202" style="visibility:visible;position:absolute;margin-left:-9.6pt;margin-top:3.7pt;width:372.7pt;height:316.0pt;z-index:251662336;mso-position-horizontal:absolute;mso-position-horizontal-relative:text;mso-position-vertical:absolute;mso-position-vertical-relative:line;mso-wrap-distance-left:6.3pt;mso-wrap-distance-top:6.3pt;mso-wrap-distance-right:6.3pt;mso-wrap-distance-bottom:6.3pt;">
                <v:fill color="#ED7D31" opacity="100.0%" type="solid"/>
                <v:stroke filltype="solid" color="#FFFFFF" opacity="100.0%" weight="1.5pt" dashstyle="solid" endcap="flat" miterlimit="800.0%" joinstyle="miter" linestyle="single" startarrow="none" startarrowwidth="medium" startarrowlength="medium" endarrow="none" endarrowwidth="medium" endarrowlength="medium"/>
                <v:textbox>
                  <w:txbxContent>
                    <w:p>
                      <w:pPr>
                        <w:pStyle w:val="Body A"/>
                        <w:spacing w:line="240" w:lineRule="auto"/>
                        <w:ind w:left="720" w:hanging="360"/>
                      </w:pPr>
                      <w:r>
                        <w:rPr>
                          <w:rStyle w:val="None"/>
                          <w:sz w:val="16"/>
                          <w:szCs w:val="16"/>
                        </w:rPr>
                        <w:drawing xmlns:a="http://schemas.openxmlformats.org/drawingml/2006/main">
                          <wp:inline distT="0" distB="0" distL="0" distR="0">
                            <wp:extent cx="4159123" cy="556546"/>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
                                    <pic:cNvPicPr>
                                      <a:picLocks noChangeAspect="0"/>
                                    </pic:cNvPicPr>
                                  </pic:nvPicPr>
                                  <pic:blipFill>
                                    <a:blip r:embed="rId13">
                                      <a:extLst/>
                                    </a:blip>
                                    <a:stretch>
                                      <a:fillRect/>
                                    </a:stretch>
                                  </pic:blipFill>
                                  <pic:spPr>
                                    <a:xfrm>
                                      <a:off x="0" y="0"/>
                                      <a:ext cx="4159123" cy="556546"/>
                                    </a:xfrm>
                                    <a:prstGeom prst="rect">
                                      <a:avLst/>
                                    </a:prstGeom>
                                  </pic:spPr>
                                </pic:pic>
                              </a:graphicData>
                            </a:graphic>
                          </wp:inline>
                        </w:drawing>
                      </w:r>
                    </w:p>
                    <w:p>
                      <w:pPr>
                        <w:pStyle w:val="List Paragraph"/>
                        <w:spacing w:line="240" w:lineRule="auto"/>
                        <w:jc w:val="center"/>
                        <w:rPr>
                          <w:rStyle w:val="None"/>
                          <w:b w:val="1"/>
                          <w:bCs w:val="1"/>
                          <w:sz w:val="16"/>
                          <w:szCs w:val="16"/>
                        </w:rPr>
                      </w:pPr>
                      <w:r>
                        <w:rPr>
                          <w:rStyle w:val="None"/>
                          <w:b w:val="1"/>
                          <w:bCs w:val="1"/>
                          <w:sz w:val="16"/>
                          <w:szCs w:val="16"/>
                          <w:rtl w:val="0"/>
                          <w:lang w:val="en-US"/>
                        </w:rPr>
                        <w:t>BACKGROUND</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As per the World Health Report, CVD while affecting more than half a billion people, caused deaths of around 20.5 million people in 2021 (World Heart Federation, 2023).</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In Europe, CVD is causing 3.9 million fatalities annually (Spiteri et al., 2019).</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Even worrisome is the rate of premature mortality, i.e. death before the age of 75 years which has been observed to be rising (Heart UK, n. d.)</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Without intervention, projections suggest that by the year 2030, the global death toll from CVD could reach 23.6 million annually (Ramic-Catak et al., 2023).</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Community-based interventions which focus on diet, physical activity, and reducing smoking and alcohol consumption have been implemented to bring behavioural changes at the individual, group, and institutional levels aiming to prevent or manage CVD risk factors. They were found to be effective in managing blood pressure and blood sugar levels in low-and middle-income countries (Ndejjo et al., 2021).</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In the UK, community engagement interventions customized according to the needs of people from high, middle and low-income countries have been proposed (Nahar et al., 2020).</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Digital health interventions which include digital technology such as wearable electrocardiogram (ECG) are proving to play a crucial role in managing public health,  encouraging medication adherence and lifestyle changes for preventing and managing CVD (Ogungbe et al., 2024).</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 xml:space="preserve">A wearable ECG is a small portable device that can be worn on the body and reads the electrical activity of the heart. Different devices like smartwatches, wearable patches, and fitness trackers are equipped with Single-lead ECG functionality fetching data such as heart rate variability (HRV), </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Most CVD events occur outside of clinical settings and there is no easy and effective way for continuous measurement or monitoring beyond clinical places, these wearable ECGs can be extremely useful for remote monitoring providing data on the daily activities of the patients.</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Wearable ECGs can help in the prevention and management of CVD by providing early and accurate diagnosis.</w:t>
                      </w:r>
                    </w:p>
                    <w:p>
                      <w:pPr>
                        <w:pStyle w:val="List Paragraph"/>
                        <w:numPr>
                          <w:ilvl w:val="0"/>
                          <w:numId w:val="5"/>
                        </w:numPr>
                        <w:bidi w:val="0"/>
                        <w:spacing w:after="120" w:line="240" w:lineRule="auto"/>
                        <w:ind w:right="0"/>
                        <w:jc w:val="left"/>
                        <w:rPr>
                          <w:sz w:val="16"/>
                          <w:szCs w:val="16"/>
                          <w:rtl w:val="0"/>
                          <w:lang w:val="en-US"/>
                        </w:rPr>
                      </w:pPr>
                      <w:r>
                        <w:rPr>
                          <w:rStyle w:val="None"/>
                          <w:sz w:val="16"/>
                          <w:szCs w:val="16"/>
                          <w:rtl w:val="0"/>
                          <w:lang w:val="en-US"/>
                        </w:rPr>
                        <w:t xml:space="preserve"> Hence, they can help in health promotion by positively engaging patients by giving real-time information and feedback about their vitals in daily life routines..</w:t>
                      </w:r>
                    </w:p>
                  </w:txbxContent>
                </v:textbox>
                <w10:wrap type="square" side="bothSides" anchorx="text"/>
              </v:shape>
            </w:pict>
          </mc:Fallback>
        </mc:AlternateContent>
      </w:r>
      <w:r>
        <w:rPr>
          <w:rStyle w:val="None"/>
          <w:rFonts w:ascii="Arial" w:cs="Arial" w:hAnsi="Arial" w:eastAsia="Arial"/>
        </w:rPr>
        <mc:AlternateContent>
          <mc:Choice Requires="wps">
            <w:drawing xmlns:a="http://schemas.openxmlformats.org/drawingml/2006/main">
              <wp:anchor distT="0" distB="0" distL="0" distR="0" simplePos="0" relativeHeight="251667456" behindDoc="0" locked="0" layoutInCell="1" allowOverlap="1">
                <wp:simplePos x="0" y="0"/>
                <wp:positionH relativeFrom="column">
                  <wp:posOffset>7620990</wp:posOffset>
                </wp:positionH>
                <wp:positionV relativeFrom="line">
                  <wp:posOffset>131271</wp:posOffset>
                </wp:positionV>
                <wp:extent cx="4844415" cy="5474524"/>
                <wp:effectExtent l="0" t="0" r="0" b="0"/>
                <wp:wrapNone/>
                <wp:docPr id="1073741837" name="officeArt object" descr="Text Box 10"/>
                <wp:cNvGraphicFramePr/>
                <a:graphic xmlns:a="http://schemas.openxmlformats.org/drawingml/2006/main">
                  <a:graphicData uri="http://schemas.microsoft.com/office/word/2010/wordprocessingShape">
                    <wps:wsp>
                      <wps:cNvSpPr txBox="1"/>
                      <wps:spPr>
                        <a:xfrm>
                          <a:off x="0" y="0"/>
                          <a:ext cx="4844415" cy="5474524"/>
                        </a:xfrm>
                        <a:prstGeom prst="rect">
                          <a:avLst/>
                        </a:prstGeom>
                        <a:solidFill>
                          <a:schemeClr val="accent2"/>
                        </a:solidFill>
                        <a:ln w="19050" cap="flat">
                          <a:solidFill>
                            <a:srgbClr val="FFFFFF"/>
                          </a:solidFill>
                          <a:prstDash val="solid"/>
                          <a:miter lim="800000"/>
                        </a:ln>
                        <a:effectLst/>
                      </wps:spPr>
                      <wps:txbx>
                        <w:txbxContent>
                          <w:p>
                            <w:pPr>
                              <w:pStyle w:val="Body A"/>
                              <w:spacing w:line="240" w:lineRule="auto"/>
                              <w:jc w:val="center"/>
                              <w:rPr>
                                <w:rStyle w:val="None"/>
                                <w:sz w:val="14"/>
                                <w:szCs w:val="14"/>
                              </w:rPr>
                            </w:pPr>
                            <w:r>
                              <w:rPr>
                                <w:rStyle w:val="None"/>
                                <w:sz w:val="14"/>
                                <w:szCs w:val="14"/>
                                <w:rtl w:val="0"/>
                                <w:lang w:val="en-US"/>
                              </w:rPr>
                              <w:t>Social Cognitive Theory Behavioural Change</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BCT intends to modify or change the health-related behaviours of individuals such as tobacco use, dietary habits and activity levels, alcohol consumption, and sexual behaviours etc.</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 xml:space="preserve"> Social Cognitive Theory (SCT) is the most commonly utilized theory of BCT which posits that behaviour can be modified with the acquisition of new learning experiences, proper supervision in comprehending perceptions, and support that facilitates ability development (Glanz, et al., 2015).</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It focuses on the individuals' potential to modify and create environments aligning with their personal goals, achieved as a result of interactions between personal, behavioural, and environmental factors (Glanz, et al., 2015).</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Important components of SCT are</w:t>
                            </w:r>
                          </w:p>
                          <w:p>
                            <w:pPr>
                              <w:pStyle w:val="List Paragraph"/>
                              <w:numPr>
                                <w:ilvl w:val="1"/>
                                <w:numId w:val="6"/>
                              </w:numPr>
                              <w:bidi w:val="0"/>
                              <w:spacing w:after="120" w:line="240" w:lineRule="auto"/>
                              <w:ind w:right="0"/>
                              <w:jc w:val="both"/>
                              <w:rPr>
                                <w:sz w:val="14"/>
                                <w:szCs w:val="14"/>
                                <w:rtl w:val="0"/>
                                <w:lang w:val="en-US"/>
                              </w:rPr>
                            </w:pPr>
                            <w:r>
                              <w:rPr>
                                <w:rStyle w:val="None"/>
                                <w:sz w:val="14"/>
                                <w:szCs w:val="14"/>
                                <w:rtl w:val="0"/>
                                <w:lang w:val="en-US"/>
                              </w:rPr>
                              <w:t>Self-regulation: Achieved through self-monitoring, goal setting, feedback, self-reward, self-instruction and enlistment of social support</w:t>
                            </w:r>
                          </w:p>
                          <w:p>
                            <w:pPr>
                              <w:pStyle w:val="Body A"/>
                              <w:jc w:val="both"/>
                              <w:rPr>
                                <w:rStyle w:val="None"/>
                                <w:b w:val="1"/>
                                <w:bCs w:val="1"/>
                                <w:sz w:val="14"/>
                                <w:szCs w:val="14"/>
                              </w:rPr>
                            </w:pPr>
                            <w:r>
                              <w:rPr>
                                <w:rStyle w:val="None"/>
                                <w:rtl w:val="0"/>
                                <w:lang w:val="en-US"/>
                              </w:rPr>
                              <w:t>Concept</w:t>
                              <w:tab/>
                              <w:t>Meaning  (Glanz, et al., 2015 )</w:t>
                              <w:tab/>
                            </w:r>
                            <w:r>
                              <w:rPr>
                                <w:rStyle w:val="None"/>
                                <w:b w:val="1"/>
                                <w:bCs w:val="1"/>
                                <w:sz w:val="14"/>
                                <w:szCs w:val="14"/>
                                <w:rtl w:val="0"/>
                                <w:lang w:val="en-US"/>
                              </w:rPr>
                              <w:t>Application to DHT (wearable ECGs)</w:t>
                            </w:r>
                          </w:p>
                          <w:p>
                            <w:pPr>
                              <w:pStyle w:val="Body A"/>
                              <w:jc w:val="both"/>
                              <w:rPr>
                                <w:rStyle w:val="None"/>
                                <w:sz w:val="14"/>
                                <w:szCs w:val="14"/>
                              </w:rPr>
                            </w:pPr>
                            <w:r>
                              <w:rPr>
                                <w:rStyle w:val="None"/>
                                <w:rtl w:val="0"/>
                                <w:lang w:val="en-US"/>
                              </w:rPr>
                              <w:t>Reciprocal Determinism</w:t>
                              <w:tab/>
                              <w:t>Environment influences the behaviour of individuals  as well as the behaviour of individuals influences their environment</w:t>
                              <w:tab/>
                            </w:r>
                            <w:r>
                              <w:rPr>
                                <w:rStyle w:val="None"/>
                                <w:sz w:val="14"/>
                                <w:szCs w:val="14"/>
                                <w:rtl w:val="0"/>
                                <w:lang w:val="en-US"/>
                              </w:rPr>
                              <w:t>Access to health resources may shape how an individual behaves in maintaining his health requirements. However, by using wearable ECGs he can self-monitor his health and present important data to healthcare providers.</w:t>
                            </w:r>
                          </w:p>
                          <w:p>
                            <w:pPr>
                              <w:pStyle w:val="Body A"/>
                              <w:jc w:val="both"/>
                              <w:rPr>
                                <w:rStyle w:val="None"/>
                                <w:sz w:val="14"/>
                                <w:szCs w:val="14"/>
                              </w:rPr>
                            </w:pPr>
                            <w:r>
                              <w:rPr>
                                <w:rStyle w:val="None"/>
                                <w:rtl w:val="0"/>
                                <w:lang w:val="en-US"/>
                              </w:rPr>
                              <w:t>Outcome Expectations</w:t>
                              <w:tab/>
                              <w:t>What an individual believes would be the consequences of choosing a particular behaviour, especially in the long term.</w:t>
                              <w:tab/>
                            </w:r>
                            <w:r>
                              <w:rPr>
                                <w:rStyle w:val="None"/>
                                <w:sz w:val="14"/>
                                <w:szCs w:val="14"/>
                                <w:rtl w:val="0"/>
                                <w:lang w:val="en-US"/>
                              </w:rPr>
                              <w:t xml:space="preserve">It is expected by the individuals that using a wearable ECG will help to detect and prevent heart problems. This would require a change in their attitude and expectation towards continuously wearing the device and monitoring their heart.  </w:t>
                            </w:r>
                          </w:p>
                          <w:p>
                            <w:pPr>
                              <w:pStyle w:val="Body A"/>
                              <w:jc w:val="both"/>
                              <w:rPr>
                                <w:rStyle w:val="None"/>
                                <w:sz w:val="14"/>
                                <w:szCs w:val="14"/>
                              </w:rPr>
                            </w:pPr>
                          </w:p>
                          <w:p>
                            <w:pPr>
                              <w:pStyle w:val="Body A"/>
                              <w:jc w:val="both"/>
                              <w:rPr>
                                <w:rStyle w:val="None"/>
                                <w:sz w:val="14"/>
                                <w:szCs w:val="14"/>
                              </w:rPr>
                            </w:pPr>
                            <w:r>
                              <w:rPr>
                                <w:rStyle w:val="None"/>
                                <w:rtl w:val="0"/>
                                <w:lang w:val="en-US"/>
                              </w:rPr>
                              <w:t>Self-efficacy</w:t>
                              <w:tab/>
                              <w:t>Believing in their abilities to include behaviours needed for the desired outcome.</w:t>
                              <w:tab/>
                            </w:r>
                            <w:r>
                              <w:rPr>
                                <w:rStyle w:val="None"/>
                                <w:sz w:val="14"/>
                                <w:szCs w:val="14"/>
                                <w:rtl w:val="0"/>
                                <w:lang w:val="en-US"/>
                              </w:rPr>
                              <w:t>The ability of individuals to use a wearable ECG device appropriately and as per instructions so that accurate heart data can be obtained helps in better decision-making about thier health behaviors.</w:t>
                            </w:r>
                          </w:p>
                          <w:p>
                            <w:pPr>
                              <w:pStyle w:val="Body A"/>
                              <w:jc w:val="both"/>
                              <w:rPr>
                                <w:rStyle w:val="None"/>
                                <w:sz w:val="14"/>
                                <w:szCs w:val="14"/>
                              </w:rPr>
                            </w:pPr>
                            <w:r>
                              <w:rPr>
                                <w:rStyle w:val="None"/>
                                <w:sz w:val="14"/>
                                <w:szCs w:val="14"/>
                                <w:rtl w:val="0"/>
                                <w:lang w:val="en-US"/>
                              </w:rPr>
                              <w:t>Observational</w:t>
                            </w:r>
                          </w:p>
                          <w:p>
                            <w:pPr>
                              <w:pStyle w:val="Body A"/>
                              <w:jc w:val="both"/>
                              <w:rPr>
                                <w:rStyle w:val="None"/>
                                <w:sz w:val="14"/>
                                <w:szCs w:val="14"/>
                              </w:rPr>
                            </w:pPr>
                            <w:r>
                              <w:rPr>
                                <w:rStyle w:val="None"/>
                                <w:rtl w:val="0"/>
                                <w:lang w:val="en-US"/>
                              </w:rPr>
                              <w:t>learning</w:t>
                              <w:tab/>
                              <w:t xml:space="preserve">The behavioural changes can occur by observing similar behaviours displayed by others in their circle  or through media displays </w:t>
                              <w:tab/>
                            </w:r>
                            <w:r>
                              <w:rPr>
                                <w:rStyle w:val="None"/>
                                <w:sz w:val="14"/>
                                <w:szCs w:val="14"/>
                                <w:rtl w:val="0"/>
                                <w:lang w:val="en-US"/>
                              </w:rPr>
                              <w:t>Acquiring the knowledge and skills necessary to utilize wearable ECGs and derive advantages from them can be facilitated by observing successful role models or engaging with media displays showcasing enhanced heart management achieved through the use of such devices.</w:t>
                            </w:r>
                          </w:p>
                          <w:p>
                            <w:pPr>
                              <w:pStyle w:val="Body A"/>
                              <w:jc w:val="both"/>
                              <w:rPr>
                                <w:rStyle w:val="None"/>
                                <w:sz w:val="14"/>
                                <w:szCs w:val="14"/>
                              </w:rPr>
                            </w:pPr>
                            <w:r>
                              <w:rPr>
                                <w:rStyle w:val="None"/>
                                <w:rtl w:val="0"/>
                                <w:lang w:val="en-US"/>
                              </w:rPr>
                              <w:t>Incentive Motivation</w:t>
                              <w:tab/>
                              <w:t>By emphasising the possible advantages or rewards of adopting particular health behaviours, incentive motivation plays a crucial role in influencing people's decisions and behaviours.</w:t>
                              <w:tab/>
                            </w:r>
                            <w:r>
                              <w:rPr>
                                <w:rStyle w:val="None"/>
                                <w:sz w:val="14"/>
                                <w:szCs w:val="14"/>
                                <w:rtl w:val="0"/>
                                <w:lang w:val="en-US"/>
                              </w:rPr>
                              <w:t>Wearable ECG helps in the early detection of heart issues, hence ensuring improved overall cardiovascular health. This can serve as a strong incentive for behaviour change. Other incentives like real-time feedback on achieving set goals can positively reinforce behavioural changes.</w:t>
                            </w:r>
                          </w:p>
                          <w:p>
                            <w:pPr>
                              <w:pStyle w:val="Body A"/>
                              <w:jc w:val="both"/>
                              <w:rPr>
                                <w:rStyle w:val="None"/>
                                <w:sz w:val="14"/>
                                <w:szCs w:val="14"/>
                              </w:rPr>
                            </w:pPr>
                            <w:r>
                              <w:rPr>
                                <w:rStyle w:val="None"/>
                                <w:rtl w:val="0"/>
                                <w:lang w:val="en-US"/>
                              </w:rPr>
                              <w:t>Facilitation</w:t>
                              <w:tab/>
                              <w:t>Enhancing the chances of  health behaviour changes by making available all the required tools, resources, or environmental changes that are easier to perform.</w:t>
                              <w:tab/>
                            </w:r>
                            <w:r>
                              <w:rPr>
                                <w:rStyle w:val="None"/>
                                <w:sz w:val="14"/>
                                <w:szCs w:val="14"/>
                                <w:rtl w:val="0"/>
                                <w:lang w:val="en-US"/>
                              </w:rPr>
                              <w:t>To be used by the common population, Wearable ECG devices should be made accessible by making them affordable, easily available, and user-friendly for people wanting to monitor their cardiovascular health.</w:t>
                            </w:r>
                          </w:p>
                          <w:p>
                            <w:pPr>
                              <w:pStyle w:val="Body A"/>
                              <w:jc w:val="both"/>
                              <w:rPr>
                                <w:rStyle w:val="None"/>
                                <w:sz w:val="14"/>
                                <w:szCs w:val="14"/>
                              </w:rPr>
                            </w:pPr>
                            <w:r>
                              <w:rPr>
                                <w:rStyle w:val="None"/>
                                <w:rtl w:val="0"/>
                                <w:lang w:val="en-US"/>
                              </w:rPr>
                              <w:t>Self-regulation</w:t>
                              <w:tab/>
                            </w:r>
                            <w:r>
                              <w:rPr>
                                <w:rStyle w:val="None"/>
                                <w:sz w:val="14"/>
                                <w:szCs w:val="14"/>
                                <w:rtl w:val="0"/>
                                <w:lang w:val="en-US"/>
                              </w:rPr>
                              <w:t>Include self-monitoring, goal-setting, feedback, self-reward, self-education, and procuring the help of others.</w:t>
                            </w:r>
                          </w:p>
                          <w:p>
                            <w:pPr>
                              <w:pStyle w:val="Body A"/>
                              <w:jc w:val="both"/>
                            </w:pPr>
                            <w:r>
                              <w:rPr>
                                <w:rStyle w:val="None"/>
                              </w:rPr>
                              <w:tab/>
                            </w:r>
                            <w:r>
                              <w:rPr>
                                <w:rStyle w:val="None"/>
                                <w:sz w:val="14"/>
                                <w:szCs w:val="14"/>
                                <w:rtl w:val="0"/>
                                <w:lang w:val="en-US"/>
                              </w:rPr>
                              <w:t xml:space="preserve">The information gathered by the wearable ECG like fluctuation in heart rate can be used for self-monitoring and making informed decisions about the next steps to follow such as educating oneself to know the reasons behind such fluctuations or seeking professional help. </w:t>
                            </w:r>
                          </w:p>
                        </w:txbxContent>
                      </wps:txbx>
                      <wps:bodyPr wrap="square" lIns="45718" tIns="45718" rIns="45718" bIns="45718" numCol="1" anchor="t">
                        <a:noAutofit/>
                      </wps:bodyPr>
                    </wps:wsp>
                  </a:graphicData>
                </a:graphic>
              </wp:anchor>
            </w:drawing>
          </mc:Choice>
          <mc:Fallback>
            <w:pict>
              <v:shape id="_x0000_s1032" type="#_x0000_t202" style="visibility:visible;position:absolute;margin-left:600.1pt;margin-top:10.3pt;width:381.4pt;height:431.1pt;z-index:251667456;mso-position-horizontal:absolute;mso-position-horizontal-relative:text;mso-position-vertical:absolute;mso-position-vertical-relative:line;mso-wrap-distance-left:0.0pt;mso-wrap-distance-top:0.0pt;mso-wrap-distance-right:0.0pt;mso-wrap-distance-bottom:0.0pt;">
                <v:fill color="#ED7D31" opacity="100.0%" type="solid"/>
                <v:stroke filltype="solid" color="#FFFFFF" opacity="100.0%" weight="1.5pt" dashstyle="solid" endcap="flat" miterlimit="800.0%" joinstyle="miter" linestyle="single" startarrow="none" startarrowwidth="medium" startarrowlength="medium" endarrow="none" endarrowwidth="medium" endarrowlength="medium"/>
                <v:textbox>
                  <w:txbxContent>
                    <w:p>
                      <w:pPr>
                        <w:pStyle w:val="Body A"/>
                        <w:spacing w:line="240" w:lineRule="auto"/>
                        <w:jc w:val="center"/>
                        <w:rPr>
                          <w:rStyle w:val="None"/>
                          <w:sz w:val="14"/>
                          <w:szCs w:val="14"/>
                        </w:rPr>
                      </w:pPr>
                      <w:r>
                        <w:rPr>
                          <w:rStyle w:val="None"/>
                          <w:sz w:val="14"/>
                          <w:szCs w:val="14"/>
                          <w:rtl w:val="0"/>
                          <w:lang w:val="en-US"/>
                        </w:rPr>
                        <w:t>Social Cognitive Theory Behavioural Change</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BCT intends to modify or change the health-related behaviours of individuals such as tobacco use, dietary habits and activity levels, alcohol consumption, and sexual behaviours etc.</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 xml:space="preserve"> Social Cognitive Theory (SCT) is the most commonly utilized theory of BCT which posits that behaviour can be modified with the acquisition of new learning experiences, proper supervision in comprehending perceptions, and support that facilitates ability development (Glanz, et al., 2015).</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It focuses on the individuals' potential to modify and create environments aligning with their personal goals, achieved as a result of interactions between personal, behavioural, and environmental factors (Glanz, et al., 2015).</w:t>
                      </w:r>
                    </w:p>
                    <w:p>
                      <w:pPr>
                        <w:pStyle w:val="List Paragraph"/>
                        <w:numPr>
                          <w:ilvl w:val="0"/>
                          <w:numId w:val="6"/>
                        </w:numPr>
                        <w:bidi w:val="0"/>
                        <w:spacing w:after="120" w:line="240" w:lineRule="auto"/>
                        <w:ind w:right="0"/>
                        <w:jc w:val="both"/>
                        <w:rPr>
                          <w:sz w:val="14"/>
                          <w:szCs w:val="14"/>
                          <w:rtl w:val="0"/>
                          <w:lang w:val="en-US"/>
                        </w:rPr>
                      </w:pPr>
                      <w:r>
                        <w:rPr>
                          <w:rStyle w:val="None"/>
                          <w:sz w:val="14"/>
                          <w:szCs w:val="14"/>
                          <w:rtl w:val="0"/>
                          <w:lang w:val="en-US"/>
                        </w:rPr>
                        <w:t>Important components of SCT are</w:t>
                      </w:r>
                    </w:p>
                    <w:p>
                      <w:pPr>
                        <w:pStyle w:val="List Paragraph"/>
                        <w:numPr>
                          <w:ilvl w:val="1"/>
                          <w:numId w:val="6"/>
                        </w:numPr>
                        <w:bidi w:val="0"/>
                        <w:spacing w:after="120" w:line="240" w:lineRule="auto"/>
                        <w:ind w:right="0"/>
                        <w:jc w:val="both"/>
                        <w:rPr>
                          <w:sz w:val="14"/>
                          <w:szCs w:val="14"/>
                          <w:rtl w:val="0"/>
                          <w:lang w:val="en-US"/>
                        </w:rPr>
                      </w:pPr>
                      <w:r>
                        <w:rPr>
                          <w:rStyle w:val="None"/>
                          <w:sz w:val="14"/>
                          <w:szCs w:val="14"/>
                          <w:rtl w:val="0"/>
                          <w:lang w:val="en-US"/>
                        </w:rPr>
                        <w:t>Self-regulation: Achieved through self-monitoring, goal setting, feedback, self-reward, self-instruction and enlistment of social support</w:t>
                      </w:r>
                    </w:p>
                    <w:p>
                      <w:pPr>
                        <w:pStyle w:val="Body A"/>
                        <w:jc w:val="both"/>
                        <w:rPr>
                          <w:rStyle w:val="None"/>
                          <w:b w:val="1"/>
                          <w:bCs w:val="1"/>
                          <w:sz w:val="14"/>
                          <w:szCs w:val="14"/>
                        </w:rPr>
                      </w:pPr>
                      <w:r>
                        <w:rPr>
                          <w:rStyle w:val="None"/>
                          <w:rtl w:val="0"/>
                          <w:lang w:val="en-US"/>
                        </w:rPr>
                        <w:t>Concept</w:t>
                        <w:tab/>
                        <w:t>Meaning  (Glanz, et al., 2015 )</w:t>
                        <w:tab/>
                      </w:r>
                      <w:r>
                        <w:rPr>
                          <w:rStyle w:val="None"/>
                          <w:b w:val="1"/>
                          <w:bCs w:val="1"/>
                          <w:sz w:val="14"/>
                          <w:szCs w:val="14"/>
                          <w:rtl w:val="0"/>
                          <w:lang w:val="en-US"/>
                        </w:rPr>
                        <w:t>Application to DHT (wearable ECGs)</w:t>
                      </w:r>
                    </w:p>
                    <w:p>
                      <w:pPr>
                        <w:pStyle w:val="Body A"/>
                        <w:jc w:val="both"/>
                        <w:rPr>
                          <w:rStyle w:val="None"/>
                          <w:sz w:val="14"/>
                          <w:szCs w:val="14"/>
                        </w:rPr>
                      </w:pPr>
                      <w:r>
                        <w:rPr>
                          <w:rStyle w:val="None"/>
                          <w:rtl w:val="0"/>
                          <w:lang w:val="en-US"/>
                        </w:rPr>
                        <w:t>Reciprocal Determinism</w:t>
                        <w:tab/>
                        <w:t>Environment influences the behaviour of individuals  as well as the behaviour of individuals influences their environment</w:t>
                        <w:tab/>
                      </w:r>
                      <w:r>
                        <w:rPr>
                          <w:rStyle w:val="None"/>
                          <w:sz w:val="14"/>
                          <w:szCs w:val="14"/>
                          <w:rtl w:val="0"/>
                          <w:lang w:val="en-US"/>
                        </w:rPr>
                        <w:t>Access to health resources may shape how an individual behaves in maintaining his health requirements. However, by using wearable ECGs he can self-monitor his health and present important data to healthcare providers.</w:t>
                      </w:r>
                    </w:p>
                    <w:p>
                      <w:pPr>
                        <w:pStyle w:val="Body A"/>
                        <w:jc w:val="both"/>
                        <w:rPr>
                          <w:rStyle w:val="None"/>
                          <w:sz w:val="14"/>
                          <w:szCs w:val="14"/>
                        </w:rPr>
                      </w:pPr>
                      <w:r>
                        <w:rPr>
                          <w:rStyle w:val="None"/>
                          <w:rtl w:val="0"/>
                          <w:lang w:val="en-US"/>
                        </w:rPr>
                        <w:t>Outcome Expectations</w:t>
                        <w:tab/>
                        <w:t>What an individual believes would be the consequences of choosing a particular behaviour, especially in the long term.</w:t>
                        <w:tab/>
                      </w:r>
                      <w:r>
                        <w:rPr>
                          <w:rStyle w:val="None"/>
                          <w:sz w:val="14"/>
                          <w:szCs w:val="14"/>
                          <w:rtl w:val="0"/>
                          <w:lang w:val="en-US"/>
                        </w:rPr>
                        <w:t xml:space="preserve">It is expected by the individuals that using a wearable ECG will help to detect and prevent heart problems. This would require a change in their attitude and expectation towards continuously wearing the device and monitoring their heart.  </w:t>
                      </w:r>
                    </w:p>
                    <w:p>
                      <w:pPr>
                        <w:pStyle w:val="Body A"/>
                        <w:jc w:val="both"/>
                        <w:rPr>
                          <w:rStyle w:val="None"/>
                          <w:sz w:val="14"/>
                          <w:szCs w:val="14"/>
                        </w:rPr>
                      </w:pPr>
                    </w:p>
                    <w:p>
                      <w:pPr>
                        <w:pStyle w:val="Body A"/>
                        <w:jc w:val="both"/>
                        <w:rPr>
                          <w:rStyle w:val="None"/>
                          <w:sz w:val="14"/>
                          <w:szCs w:val="14"/>
                        </w:rPr>
                      </w:pPr>
                      <w:r>
                        <w:rPr>
                          <w:rStyle w:val="None"/>
                          <w:rtl w:val="0"/>
                          <w:lang w:val="en-US"/>
                        </w:rPr>
                        <w:t>Self-efficacy</w:t>
                        <w:tab/>
                        <w:t>Believing in their abilities to include behaviours needed for the desired outcome.</w:t>
                        <w:tab/>
                      </w:r>
                      <w:r>
                        <w:rPr>
                          <w:rStyle w:val="None"/>
                          <w:sz w:val="14"/>
                          <w:szCs w:val="14"/>
                          <w:rtl w:val="0"/>
                          <w:lang w:val="en-US"/>
                        </w:rPr>
                        <w:t>The ability of individuals to use a wearable ECG device appropriately and as per instructions so that accurate heart data can be obtained helps in better decision-making about thier health behaviors.</w:t>
                      </w:r>
                    </w:p>
                    <w:p>
                      <w:pPr>
                        <w:pStyle w:val="Body A"/>
                        <w:jc w:val="both"/>
                        <w:rPr>
                          <w:rStyle w:val="None"/>
                          <w:sz w:val="14"/>
                          <w:szCs w:val="14"/>
                        </w:rPr>
                      </w:pPr>
                      <w:r>
                        <w:rPr>
                          <w:rStyle w:val="None"/>
                          <w:sz w:val="14"/>
                          <w:szCs w:val="14"/>
                          <w:rtl w:val="0"/>
                          <w:lang w:val="en-US"/>
                        </w:rPr>
                        <w:t>Observational</w:t>
                      </w:r>
                    </w:p>
                    <w:p>
                      <w:pPr>
                        <w:pStyle w:val="Body A"/>
                        <w:jc w:val="both"/>
                        <w:rPr>
                          <w:rStyle w:val="None"/>
                          <w:sz w:val="14"/>
                          <w:szCs w:val="14"/>
                        </w:rPr>
                      </w:pPr>
                      <w:r>
                        <w:rPr>
                          <w:rStyle w:val="None"/>
                          <w:rtl w:val="0"/>
                          <w:lang w:val="en-US"/>
                        </w:rPr>
                        <w:t>learning</w:t>
                        <w:tab/>
                        <w:t xml:space="preserve">The behavioural changes can occur by observing similar behaviours displayed by others in their circle  or through media displays </w:t>
                        <w:tab/>
                      </w:r>
                      <w:r>
                        <w:rPr>
                          <w:rStyle w:val="None"/>
                          <w:sz w:val="14"/>
                          <w:szCs w:val="14"/>
                          <w:rtl w:val="0"/>
                          <w:lang w:val="en-US"/>
                        </w:rPr>
                        <w:t>Acquiring the knowledge and skills necessary to utilize wearable ECGs and derive advantages from them can be facilitated by observing successful role models or engaging with media displays showcasing enhanced heart management achieved through the use of such devices.</w:t>
                      </w:r>
                    </w:p>
                    <w:p>
                      <w:pPr>
                        <w:pStyle w:val="Body A"/>
                        <w:jc w:val="both"/>
                        <w:rPr>
                          <w:rStyle w:val="None"/>
                          <w:sz w:val="14"/>
                          <w:szCs w:val="14"/>
                        </w:rPr>
                      </w:pPr>
                      <w:r>
                        <w:rPr>
                          <w:rStyle w:val="None"/>
                          <w:rtl w:val="0"/>
                          <w:lang w:val="en-US"/>
                        </w:rPr>
                        <w:t>Incentive Motivation</w:t>
                        <w:tab/>
                        <w:t>By emphasising the possible advantages or rewards of adopting particular health behaviours, incentive motivation plays a crucial role in influencing people's decisions and behaviours.</w:t>
                        <w:tab/>
                      </w:r>
                      <w:r>
                        <w:rPr>
                          <w:rStyle w:val="None"/>
                          <w:sz w:val="14"/>
                          <w:szCs w:val="14"/>
                          <w:rtl w:val="0"/>
                          <w:lang w:val="en-US"/>
                        </w:rPr>
                        <w:t>Wearable ECG helps in the early detection of heart issues, hence ensuring improved overall cardiovascular health. This can serve as a strong incentive for behaviour change. Other incentives like real-time feedback on achieving set goals can positively reinforce behavioural changes.</w:t>
                      </w:r>
                    </w:p>
                    <w:p>
                      <w:pPr>
                        <w:pStyle w:val="Body A"/>
                        <w:jc w:val="both"/>
                        <w:rPr>
                          <w:rStyle w:val="None"/>
                          <w:sz w:val="14"/>
                          <w:szCs w:val="14"/>
                        </w:rPr>
                      </w:pPr>
                      <w:r>
                        <w:rPr>
                          <w:rStyle w:val="None"/>
                          <w:rtl w:val="0"/>
                          <w:lang w:val="en-US"/>
                        </w:rPr>
                        <w:t>Facilitation</w:t>
                        <w:tab/>
                        <w:t>Enhancing the chances of  health behaviour changes by making available all the required tools, resources, or environmental changes that are easier to perform.</w:t>
                        <w:tab/>
                      </w:r>
                      <w:r>
                        <w:rPr>
                          <w:rStyle w:val="None"/>
                          <w:sz w:val="14"/>
                          <w:szCs w:val="14"/>
                          <w:rtl w:val="0"/>
                          <w:lang w:val="en-US"/>
                        </w:rPr>
                        <w:t>To be used by the common population, Wearable ECG devices should be made accessible by making them affordable, easily available, and user-friendly for people wanting to monitor their cardiovascular health.</w:t>
                      </w:r>
                    </w:p>
                    <w:p>
                      <w:pPr>
                        <w:pStyle w:val="Body A"/>
                        <w:jc w:val="both"/>
                        <w:rPr>
                          <w:rStyle w:val="None"/>
                          <w:sz w:val="14"/>
                          <w:szCs w:val="14"/>
                        </w:rPr>
                      </w:pPr>
                      <w:r>
                        <w:rPr>
                          <w:rStyle w:val="None"/>
                          <w:rtl w:val="0"/>
                          <w:lang w:val="en-US"/>
                        </w:rPr>
                        <w:t>Self-regulation</w:t>
                        <w:tab/>
                      </w:r>
                      <w:r>
                        <w:rPr>
                          <w:rStyle w:val="None"/>
                          <w:sz w:val="14"/>
                          <w:szCs w:val="14"/>
                          <w:rtl w:val="0"/>
                          <w:lang w:val="en-US"/>
                        </w:rPr>
                        <w:t>Include self-monitoring, goal-setting, feedback, self-reward, self-education, and procuring the help of others.</w:t>
                      </w:r>
                    </w:p>
                    <w:p>
                      <w:pPr>
                        <w:pStyle w:val="Body A"/>
                        <w:jc w:val="both"/>
                      </w:pPr>
                      <w:r>
                        <w:rPr>
                          <w:rStyle w:val="None"/>
                        </w:rPr>
                        <w:tab/>
                      </w:r>
                      <w:r>
                        <w:rPr>
                          <w:rStyle w:val="None"/>
                          <w:sz w:val="14"/>
                          <w:szCs w:val="14"/>
                          <w:rtl w:val="0"/>
                          <w:lang w:val="en-US"/>
                        </w:rPr>
                        <w:t xml:space="preserve">The information gathered by the wearable ECG like fluctuation in heart rate can be used for self-monitoring and making informed decisions about the next steps to follow such as educating oneself to know the reasons behind such fluctuations or seeking professional help. </w:t>
                      </w:r>
                    </w:p>
                  </w:txbxContent>
                </v:textbox>
                <w10:wrap type="none" side="bothSides" anchorx="text"/>
              </v:shape>
            </w:pict>
          </mc:Fallback>
        </mc:AlternateContent>
      </w:r>
    </w:p>
    <w:p>
      <w:pPr>
        <w:pStyle w:val="Body A"/>
        <w:spacing w:line="360" w:lineRule="auto"/>
        <w:rPr>
          <w:rStyle w:val="None"/>
          <w:rFonts w:ascii="Arial" w:cs="Arial" w:hAnsi="Arial" w:eastAsia="Arial"/>
        </w:rPr>
      </w:pPr>
      <w:r>
        <w:rPr>
          <w:rStyle w:val="None"/>
          <w:rFonts w:ascii="Arial" w:cs="Arial" w:hAnsi="Arial" w:eastAsia="Arial"/>
        </w:rPr>
        <w:drawing xmlns:a="http://schemas.openxmlformats.org/drawingml/2006/main">
          <wp:anchor distT="57150" distB="57150" distL="57150" distR="57150" simplePos="0" relativeHeight="251666432" behindDoc="0" locked="0" layoutInCell="1" allowOverlap="1">
            <wp:simplePos x="0" y="0"/>
            <wp:positionH relativeFrom="column">
              <wp:posOffset>4887595</wp:posOffset>
            </wp:positionH>
            <wp:positionV relativeFrom="line">
              <wp:posOffset>106680</wp:posOffset>
            </wp:positionV>
            <wp:extent cx="2447925" cy="3382646"/>
            <wp:effectExtent l="0" t="0" r="0" b="0"/>
            <wp:wrapSquare wrapText="bothSides" distL="57150" distR="57150" distT="57150" distB="57150"/>
            <wp:docPr id="1073741838" name="officeArt object" descr="Picture 4"/>
            <wp:cNvGraphicFramePr/>
            <a:graphic xmlns:a="http://schemas.openxmlformats.org/drawingml/2006/main">
              <a:graphicData uri="http://schemas.openxmlformats.org/drawingml/2006/picture">
                <pic:pic xmlns:pic="http://schemas.openxmlformats.org/drawingml/2006/picture">
                  <pic:nvPicPr>
                    <pic:cNvPr id="1073741838" name="Picture 4" descr="Picture 4"/>
                    <pic:cNvPicPr>
                      <a:picLocks noChangeAspect="1"/>
                    </pic:cNvPicPr>
                  </pic:nvPicPr>
                  <pic:blipFill>
                    <a:blip r:embed="rId14">
                      <a:extLst/>
                    </a:blip>
                    <a:stretch>
                      <a:fillRect/>
                    </a:stretch>
                  </pic:blipFill>
                  <pic:spPr>
                    <a:xfrm>
                      <a:off x="0" y="0"/>
                      <a:ext cx="2447925" cy="3382646"/>
                    </a:xfrm>
                    <a:prstGeom prst="rect">
                      <a:avLst/>
                    </a:prstGeom>
                    <a:ln w="12700" cap="flat">
                      <a:noFill/>
                      <a:miter lim="400000"/>
                    </a:ln>
                    <a:effectLst/>
                  </pic:spPr>
                </pic:pic>
              </a:graphicData>
            </a:graphic>
          </wp:anchor>
        </w:drawing>
      </w:r>
      <w:r>
        <w:rPr>
          <w:rStyle w:val="None"/>
          <w:rFonts w:ascii="Arial" w:hAnsi="Arial"/>
          <w:sz w:val="10"/>
          <w:szCs w:val="10"/>
          <w:rtl w:val="0"/>
          <w:lang w:val="en-US"/>
        </w:rPr>
        <w:t xml:space="preserve">                        Source: Health matters: preventing cardiovascular disease, (2019)</w:t>
      </w:r>
    </w:p>
    <w:p>
      <w:pPr>
        <w:pStyle w:val="Body A"/>
        <w:tabs>
          <w:tab w:val="left" w:pos="8818"/>
        </w:tabs>
        <w:spacing w:line="360" w:lineRule="auto"/>
        <w:rPr>
          <w:rStyle w:val="None"/>
          <w:rFonts w:ascii="Arial" w:cs="Arial" w:hAnsi="Arial" w:eastAsia="Arial"/>
          <w:lang w:val="fr-FR"/>
        </w:rPr>
      </w:pPr>
      <w:r>
        <w:rPr>
          <w:rStyle w:val="None"/>
          <w:rFonts w:ascii="Arial" w:cs="Arial" w:hAnsi="Arial" w:eastAsia="Arial"/>
          <w:rtl w:val="0"/>
          <w:lang w:val="fr-FR"/>
        </w:rPr>
        <w:tab/>
        <w:t>Source: (1)</w:t>
      </w:r>
    </w:p>
    <w:p>
      <w:pPr>
        <w:pStyle w:val="Body A"/>
        <w:spacing w:line="360" w:lineRule="auto"/>
        <w:rPr>
          <w:rStyle w:val="None"/>
          <w:rFonts w:ascii="Arial" w:cs="Arial" w:hAnsi="Arial" w:eastAsia="Arial"/>
        </w:rPr>
      </w:pPr>
    </w:p>
    <w:p>
      <w:pPr>
        <w:pStyle w:val="Body A"/>
        <w:spacing w:line="360" w:lineRule="auto"/>
        <w:jc w:val="both"/>
        <w:rPr>
          <w:rStyle w:val="None"/>
          <w:rFonts w:ascii="Arial" w:cs="Arial" w:hAnsi="Arial" w:eastAsia="Arial"/>
        </w:rPr>
      </w:pPr>
    </w:p>
    <w:p>
      <w:pPr>
        <w:pStyle w:val="List Paragraph"/>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cs="Arial" w:hAnsi="Arial" w:eastAsia="Arial"/>
        </w:rPr>
        <w:drawing xmlns:a="http://schemas.openxmlformats.org/drawingml/2006/main">
          <wp:anchor distT="57150" distB="57150" distL="57150" distR="57150" simplePos="0" relativeHeight="251669504" behindDoc="0" locked="0" layoutInCell="1" allowOverlap="1">
            <wp:simplePos x="0" y="0"/>
            <wp:positionH relativeFrom="column">
              <wp:posOffset>4874260</wp:posOffset>
            </wp:positionH>
            <wp:positionV relativeFrom="line">
              <wp:posOffset>12065</wp:posOffset>
            </wp:positionV>
            <wp:extent cx="2447290" cy="1647825"/>
            <wp:effectExtent l="0" t="0" r="0" b="0"/>
            <wp:wrapSquare wrapText="bothSides" distL="57150" distR="57150" distT="57150" distB="57150"/>
            <wp:docPr id="1073741839" name="officeArt object" descr="Picture 6"/>
            <wp:cNvGraphicFramePr/>
            <a:graphic xmlns:a="http://schemas.openxmlformats.org/drawingml/2006/main">
              <a:graphicData uri="http://schemas.openxmlformats.org/drawingml/2006/picture">
                <pic:pic xmlns:pic="http://schemas.openxmlformats.org/drawingml/2006/picture">
                  <pic:nvPicPr>
                    <pic:cNvPr id="1073741839" name="Picture 6" descr="Picture 6"/>
                    <pic:cNvPicPr>
                      <a:picLocks noChangeAspect="1"/>
                    </pic:cNvPicPr>
                  </pic:nvPicPr>
                  <pic:blipFill>
                    <a:blip r:embed="rId15">
                      <a:extLst/>
                    </a:blip>
                    <a:stretch>
                      <a:fillRect/>
                    </a:stretch>
                  </pic:blipFill>
                  <pic:spPr>
                    <a:xfrm>
                      <a:off x="0" y="0"/>
                      <a:ext cx="2447290" cy="1647825"/>
                    </a:xfrm>
                    <a:prstGeom prst="rect">
                      <a:avLst/>
                    </a:prstGeom>
                    <a:ln w="12700" cap="flat">
                      <a:noFill/>
                      <a:miter lim="400000"/>
                    </a:ln>
                    <a:effectLst/>
                  </pic:spPr>
                </pic:pic>
              </a:graphicData>
            </a:graphic>
          </wp:anchor>
        </w:drawing>
      </w:r>
    </w:p>
    <w:p>
      <w:pPr>
        <w:pStyle w:val="Body A"/>
        <w:spacing w:line="360" w:lineRule="auto"/>
        <w:rPr>
          <w:rStyle w:val="None"/>
          <w:rFonts w:ascii="Arial" w:cs="Arial" w:hAnsi="Arial" w:eastAsia="Arial"/>
        </w:rPr>
      </w:pPr>
      <w:r>
        <w:rPr>
          <w:rStyle w:val="None"/>
          <w:rFonts w:ascii="Arial" w:cs="Arial" w:hAnsi="Arial" w:eastAsia="Arial"/>
        </w:rPr>
        <mc:AlternateContent>
          <mc:Choice Requires="wps">
            <w:drawing xmlns:a="http://schemas.openxmlformats.org/drawingml/2006/main">
              <wp:anchor distT="0" distB="0" distL="0" distR="0" simplePos="0" relativeHeight="251665408" behindDoc="0" locked="0" layoutInCell="1" allowOverlap="1">
                <wp:simplePos x="0" y="0"/>
                <wp:positionH relativeFrom="column">
                  <wp:posOffset>-124459</wp:posOffset>
                </wp:positionH>
                <wp:positionV relativeFrom="line">
                  <wp:posOffset>77469</wp:posOffset>
                </wp:positionV>
                <wp:extent cx="4722010" cy="4405672"/>
                <wp:effectExtent l="0" t="0" r="0" b="0"/>
                <wp:wrapNone/>
                <wp:docPr id="1073741840" name="officeArt object" descr="Text Box 7"/>
                <wp:cNvGraphicFramePr/>
                <a:graphic xmlns:a="http://schemas.openxmlformats.org/drawingml/2006/main">
                  <a:graphicData uri="http://schemas.microsoft.com/office/word/2010/wordprocessingShape">
                    <wps:wsp>
                      <wps:cNvSpPr txBox="1"/>
                      <wps:spPr>
                        <a:xfrm>
                          <a:off x="0" y="0"/>
                          <a:ext cx="4722010" cy="4405672"/>
                        </a:xfrm>
                        <a:prstGeom prst="rect">
                          <a:avLst/>
                        </a:prstGeom>
                        <a:solidFill>
                          <a:schemeClr val="accent2"/>
                        </a:solidFill>
                        <a:ln w="19050" cap="flat">
                          <a:solidFill>
                            <a:srgbClr val="FFFFFF"/>
                          </a:solidFill>
                          <a:prstDash val="solid"/>
                          <a:miter lim="800000"/>
                        </a:ln>
                        <a:effectLst/>
                      </wps:spPr>
                      <wps:txbx>
                        <w:txbxContent>
                          <w:p>
                            <w:pPr>
                              <w:pStyle w:val="Body A"/>
                              <w:spacing w:line="276" w:lineRule="auto"/>
                              <w:jc w:val="center"/>
                              <w:rPr>
                                <w:rStyle w:val="None"/>
                                <w:sz w:val="18"/>
                                <w:szCs w:val="18"/>
                              </w:rPr>
                            </w:pPr>
                            <w:r>
                              <w:rPr>
                                <w:rStyle w:val="None"/>
                                <w:sz w:val="18"/>
                                <w:szCs w:val="18"/>
                              </w:rPr>
                              <w:drawing xmlns:a="http://schemas.openxmlformats.org/drawingml/2006/main">
                                <wp:inline distT="0" distB="0" distL="0" distR="0">
                                  <wp:extent cx="4348480" cy="711200"/>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
                                          <pic:cNvPicPr>
                                            <a:picLocks noChangeAspect="0"/>
                                          </pic:cNvPicPr>
                                        </pic:nvPicPr>
                                        <pic:blipFill>
                                          <a:blip r:embed="rId16">
                                            <a:extLst/>
                                          </a:blip>
                                          <a:stretch>
                                            <a:fillRect/>
                                          </a:stretch>
                                        </pic:blipFill>
                                        <pic:spPr>
                                          <a:xfrm>
                                            <a:off x="0" y="0"/>
                                            <a:ext cx="4348480" cy="711200"/>
                                          </a:xfrm>
                                          <a:prstGeom prst="rect">
                                            <a:avLst/>
                                          </a:prstGeom>
                                        </pic:spPr>
                                      </pic:pic>
                                    </a:graphicData>
                                  </a:graphic>
                                </wp:inline>
                              </w:drawing>
                            </w:r>
                          </w:p>
                          <w:p>
                            <w:pPr>
                              <w:pStyle w:val="List Paragraph"/>
                              <w:spacing w:line="276" w:lineRule="auto"/>
                              <w:jc w:val="center"/>
                              <w:rPr>
                                <w:rStyle w:val="None"/>
                                <w:b w:val="1"/>
                                <w:bCs w:val="1"/>
                                <w:sz w:val="14"/>
                                <w:szCs w:val="14"/>
                              </w:rPr>
                            </w:pPr>
                            <w:r>
                              <w:rPr>
                                <w:rStyle w:val="None"/>
                                <w:b w:val="1"/>
                                <w:bCs w:val="1"/>
                                <w:sz w:val="14"/>
                                <w:szCs w:val="14"/>
                                <w:rtl w:val="0"/>
                                <w:lang w:val="en-US"/>
                              </w:rPr>
                              <w:t>HEALTH PROMOTION VALUES AND PRINCIPLES</w:t>
                            </w:r>
                          </w:p>
                          <w:p>
                            <w:pPr>
                              <w:pStyle w:val="List Paragraph"/>
                              <w:numPr>
                                <w:ilvl w:val="0"/>
                                <w:numId w:val="7"/>
                              </w:numPr>
                              <w:bidi w:val="0"/>
                              <w:spacing w:after="120" w:line="276" w:lineRule="auto"/>
                              <w:ind w:right="0"/>
                              <w:jc w:val="left"/>
                              <w:rPr>
                                <w:sz w:val="14"/>
                                <w:szCs w:val="14"/>
                                <w:rtl w:val="0"/>
                                <w:lang w:val="en-US"/>
                              </w:rPr>
                            </w:pPr>
                            <w:r>
                              <w:rPr>
                                <w:rStyle w:val="None"/>
                                <w:sz w:val="14"/>
                                <w:szCs w:val="14"/>
                                <w:rtl w:val="0"/>
                                <w:lang w:val="en-US"/>
                              </w:rPr>
                              <w:t>Health promotion was established as a concept in the Ottawa Charter for Health Promotion (1986) where health was referred to not only as the state of an individual but also as an essential resource to live the life to fullest (World Health Organization, 1986).</w:t>
                            </w:r>
                          </w:p>
                          <w:p>
                            <w:pPr>
                              <w:pStyle w:val="List Paragraph"/>
                              <w:numPr>
                                <w:ilvl w:val="0"/>
                                <w:numId w:val="7"/>
                              </w:numPr>
                              <w:bidi w:val="0"/>
                              <w:spacing w:after="120" w:line="276" w:lineRule="auto"/>
                              <w:ind w:right="0"/>
                              <w:jc w:val="left"/>
                              <w:rPr>
                                <w:sz w:val="14"/>
                                <w:szCs w:val="14"/>
                                <w:rtl w:val="0"/>
                                <w:lang w:val="en-US"/>
                              </w:rPr>
                            </w:pPr>
                            <w:r>
                              <w:rPr>
                                <w:rStyle w:val="None"/>
                                <w:sz w:val="14"/>
                                <w:szCs w:val="14"/>
                                <w:rtl w:val="0"/>
                                <w:lang w:val="en-US"/>
                              </w:rPr>
                              <w:t>It places the actions into the hands of people to improve their health, hence, giving them control over their health (World Health Organization, 1986).</w:t>
                            </w:r>
                          </w:p>
                          <w:p>
                            <w:pPr>
                              <w:pStyle w:val="List Paragraph"/>
                              <w:numPr>
                                <w:ilvl w:val="0"/>
                                <w:numId w:val="7"/>
                              </w:numPr>
                              <w:bidi w:val="0"/>
                              <w:spacing w:after="120" w:line="276" w:lineRule="auto"/>
                              <w:ind w:right="0"/>
                              <w:jc w:val="left"/>
                              <w:rPr>
                                <w:sz w:val="14"/>
                                <w:szCs w:val="14"/>
                                <w:rtl w:val="0"/>
                                <w:lang w:val="en-US"/>
                              </w:rPr>
                            </w:pPr>
                            <w:r>
                              <w:rPr>
                                <w:rStyle w:val="None"/>
                                <w:sz w:val="14"/>
                                <w:szCs w:val="14"/>
                                <w:rtl w:val="0"/>
                                <w:lang w:val="en-US"/>
                              </w:rPr>
                              <w:t>Health promotion emphasises the approach that incorporates exogenous and endogenous determinants of health and their interaction with the healthcare system, and is driven by the following five principles (World Health Organization, 1986):</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Including the population in day-to-day life.</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Focusses on the action on the causes of poor health</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 xml:space="preserve">Utilizing diverse but related methods </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Involves public participation</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 xml:space="preserve">Involves contribution from health care professionals who play important role in health promotion, especially at the primary care level. </w:t>
                            </w:r>
                          </w:p>
                          <w:p>
                            <w:pPr>
                              <w:pStyle w:val="List Paragraph"/>
                              <w:numPr>
                                <w:ilvl w:val="0"/>
                                <w:numId w:val="9"/>
                              </w:numPr>
                              <w:bidi w:val="0"/>
                              <w:spacing w:after="120" w:line="276" w:lineRule="auto"/>
                              <w:ind w:right="0"/>
                              <w:jc w:val="left"/>
                              <w:rPr>
                                <w:sz w:val="14"/>
                                <w:szCs w:val="14"/>
                                <w:rtl w:val="0"/>
                                <w:lang w:val="en-US"/>
                              </w:rPr>
                            </w:pPr>
                            <w:r>
                              <w:rPr>
                                <w:rStyle w:val="None"/>
                                <w:sz w:val="14"/>
                                <w:szCs w:val="14"/>
                                <w:rtl w:val="0"/>
                                <w:lang w:val="en-US"/>
                              </w:rPr>
                              <w:t>These principles have been now integrated with values such as Equity, Empowerment, Participation, a Holistic and intersectoral approach and Sustainability to achieve better public health (Jama-Mahmud et al., 2011).</w:t>
                            </w:r>
                          </w:p>
                          <w:p>
                            <w:pPr>
                              <w:pStyle w:val="List Paragraph"/>
                              <w:numPr>
                                <w:ilvl w:val="0"/>
                                <w:numId w:val="9"/>
                              </w:numPr>
                              <w:bidi w:val="0"/>
                              <w:spacing w:after="120" w:line="276" w:lineRule="auto"/>
                              <w:ind w:right="0"/>
                              <w:jc w:val="left"/>
                              <w:rPr>
                                <w:sz w:val="14"/>
                                <w:szCs w:val="14"/>
                                <w:rtl w:val="0"/>
                                <w:lang w:val="en-US"/>
                              </w:rPr>
                            </w:pPr>
                            <w:r>
                              <w:rPr>
                                <w:rStyle w:val="None"/>
                                <w:sz w:val="14"/>
                                <w:szCs w:val="14"/>
                                <w:rtl w:val="0"/>
                                <w:lang w:val="en-US"/>
                              </w:rPr>
                              <w:t xml:space="preserve">Digital Health Technology (DHT) has the potential to promote public health by </w:t>
                            </w:r>
                          </w:p>
                          <w:p>
                            <w:pPr>
                              <w:pStyle w:val="List Paragraph"/>
                              <w:numPr>
                                <w:ilvl w:val="1"/>
                                <w:numId w:val="9"/>
                              </w:numPr>
                              <w:bidi w:val="0"/>
                              <w:spacing w:after="120" w:line="276" w:lineRule="auto"/>
                              <w:ind w:right="0"/>
                              <w:jc w:val="left"/>
                              <w:rPr>
                                <w:sz w:val="14"/>
                                <w:szCs w:val="14"/>
                                <w:rtl w:val="0"/>
                                <w:lang w:val="en-US"/>
                              </w:rPr>
                            </w:pPr>
                            <w:r>
                              <w:rPr>
                                <w:rStyle w:val="None"/>
                                <w:sz w:val="14"/>
                                <w:szCs w:val="14"/>
                                <w:rtl w:val="0"/>
                                <w:lang w:val="en-US"/>
                              </w:rPr>
                              <w:t xml:space="preserve">Allowing Access: With the proliferation of smartphones and their integration with Single-lead ECGs, now people living in remote areas can stay in contact with healthcare providers. </w:t>
                            </w:r>
                          </w:p>
                          <w:p>
                            <w:pPr>
                              <w:pStyle w:val="List Paragraph"/>
                              <w:numPr>
                                <w:ilvl w:val="1"/>
                                <w:numId w:val="9"/>
                              </w:numPr>
                              <w:bidi w:val="0"/>
                              <w:spacing w:after="120" w:line="276" w:lineRule="auto"/>
                              <w:ind w:right="0"/>
                              <w:jc w:val="left"/>
                              <w:rPr>
                                <w:sz w:val="14"/>
                                <w:szCs w:val="14"/>
                                <w:rtl w:val="0"/>
                                <w:lang w:val="en-US"/>
                              </w:rPr>
                            </w:pPr>
                            <w:r>
                              <w:rPr>
                                <w:rStyle w:val="None"/>
                                <w:sz w:val="14"/>
                                <w:szCs w:val="14"/>
                                <w:rtl w:val="0"/>
                                <w:lang w:val="en-US"/>
                              </w:rPr>
                              <w:t>Empowering people in daily routines and increasing their participation: By providing information about their health and the outcome of their behaviour changes, DHT can offer better self-monitoring encouraging people to take action for their health and seek help on time (Lee et al., 2023) .</w:t>
                            </w:r>
                          </w:p>
                          <w:p>
                            <w:pPr>
                              <w:pStyle w:val="List Paragraph"/>
                              <w:numPr>
                                <w:ilvl w:val="1"/>
                                <w:numId w:val="9"/>
                              </w:numPr>
                              <w:bidi w:val="0"/>
                              <w:spacing w:after="120" w:line="276" w:lineRule="auto"/>
                              <w:ind w:right="0"/>
                              <w:jc w:val="left"/>
                              <w:rPr>
                                <w:sz w:val="14"/>
                                <w:szCs w:val="14"/>
                                <w:rtl w:val="0"/>
                                <w:lang w:val="en-US"/>
                              </w:rPr>
                            </w:pPr>
                            <w:r>
                              <w:rPr>
                                <w:rStyle w:val="None"/>
                                <w:sz w:val="14"/>
                                <w:szCs w:val="14"/>
                                <w:rtl w:val="0"/>
                                <w:lang w:val="en-US"/>
                              </w:rPr>
                              <w:t xml:space="preserve">Multisectoral approach: The utilization of wearable ECGs as health promotion intervention will require various sectors to work together such as healthcare organisations, and IT companies. In addition, framing policies by the government to ensure easy access to common people </w:t>
                            </w:r>
                          </w:p>
                        </w:txbxContent>
                      </wps:txbx>
                      <wps:bodyPr wrap="square" lIns="45718" tIns="45718" rIns="45718" bIns="45718" numCol="1" anchor="t">
                        <a:noAutofit/>
                      </wps:bodyPr>
                    </wps:wsp>
                  </a:graphicData>
                </a:graphic>
              </wp:anchor>
            </w:drawing>
          </mc:Choice>
          <mc:Fallback>
            <w:pict>
              <v:shape id="_x0000_s1033" type="#_x0000_t202" style="visibility:visible;position:absolute;margin-left:-9.8pt;margin-top:6.1pt;width:371.8pt;height:346.9pt;z-index:251665408;mso-position-horizontal:absolute;mso-position-horizontal-relative:text;mso-position-vertical:absolute;mso-position-vertical-relative:line;mso-wrap-distance-left:0.0pt;mso-wrap-distance-top:0.0pt;mso-wrap-distance-right:0.0pt;mso-wrap-distance-bottom:0.0pt;">
                <v:fill color="#ED7D31" opacity="100.0%" type="solid"/>
                <v:stroke filltype="solid" color="#FFFFFF" opacity="100.0%" weight="1.5pt" dashstyle="solid" endcap="flat" miterlimit="800.0%" joinstyle="miter" linestyle="single" startarrow="none" startarrowwidth="medium" startarrowlength="medium" endarrow="none" endarrowwidth="medium" endarrowlength="medium"/>
                <v:textbox>
                  <w:txbxContent>
                    <w:p>
                      <w:pPr>
                        <w:pStyle w:val="Body A"/>
                        <w:spacing w:line="276" w:lineRule="auto"/>
                        <w:jc w:val="center"/>
                        <w:rPr>
                          <w:rStyle w:val="None"/>
                          <w:sz w:val="18"/>
                          <w:szCs w:val="18"/>
                        </w:rPr>
                      </w:pPr>
                      <w:r>
                        <w:rPr>
                          <w:rStyle w:val="None"/>
                          <w:sz w:val="18"/>
                          <w:szCs w:val="18"/>
                        </w:rPr>
                        <w:drawing xmlns:a="http://schemas.openxmlformats.org/drawingml/2006/main">
                          <wp:inline distT="0" distB="0" distL="0" distR="0">
                            <wp:extent cx="4348480" cy="711200"/>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
                                    <pic:cNvPicPr>
                                      <a:picLocks noChangeAspect="0"/>
                                    </pic:cNvPicPr>
                                  </pic:nvPicPr>
                                  <pic:blipFill>
                                    <a:blip r:embed="rId16">
                                      <a:extLst/>
                                    </a:blip>
                                    <a:stretch>
                                      <a:fillRect/>
                                    </a:stretch>
                                  </pic:blipFill>
                                  <pic:spPr>
                                    <a:xfrm>
                                      <a:off x="0" y="0"/>
                                      <a:ext cx="4348480" cy="711200"/>
                                    </a:xfrm>
                                    <a:prstGeom prst="rect">
                                      <a:avLst/>
                                    </a:prstGeom>
                                  </pic:spPr>
                                </pic:pic>
                              </a:graphicData>
                            </a:graphic>
                          </wp:inline>
                        </w:drawing>
                      </w:r>
                    </w:p>
                    <w:p>
                      <w:pPr>
                        <w:pStyle w:val="List Paragraph"/>
                        <w:spacing w:line="276" w:lineRule="auto"/>
                        <w:jc w:val="center"/>
                        <w:rPr>
                          <w:rStyle w:val="None"/>
                          <w:b w:val="1"/>
                          <w:bCs w:val="1"/>
                          <w:sz w:val="14"/>
                          <w:szCs w:val="14"/>
                        </w:rPr>
                      </w:pPr>
                      <w:r>
                        <w:rPr>
                          <w:rStyle w:val="None"/>
                          <w:b w:val="1"/>
                          <w:bCs w:val="1"/>
                          <w:sz w:val="14"/>
                          <w:szCs w:val="14"/>
                          <w:rtl w:val="0"/>
                          <w:lang w:val="en-US"/>
                        </w:rPr>
                        <w:t>HEALTH PROMOTION VALUES AND PRINCIPLES</w:t>
                      </w:r>
                    </w:p>
                    <w:p>
                      <w:pPr>
                        <w:pStyle w:val="List Paragraph"/>
                        <w:numPr>
                          <w:ilvl w:val="0"/>
                          <w:numId w:val="7"/>
                        </w:numPr>
                        <w:bidi w:val="0"/>
                        <w:spacing w:after="120" w:line="276" w:lineRule="auto"/>
                        <w:ind w:right="0"/>
                        <w:jc w:val="left"/>
                        <w:rPr>
                          <w:sz w:val="14"/>
                          <w:szCs w:val="14"/>
                          <w:rtl w:val="0"/>
                          <w:lang w:val="en-US"/>
                        </w:rPr>
                      </w:pPr>
                      <w:r>
                        <w:rPr>
                          <w:rStyle w:val="None"/>
                          <w:sz w:val="14"/>
                          <w:szCs w:val="14"/>
                          <w:rtl w:val="0"/>
                          <w:lang w:val="en-US"/>
                        </w:rPr>
                        <w:t>Health promotion was established as a concept in the Ottawa Charter for Health Promotion (1986) where health was referred to not only as the state of an individual but also as an essential resource to live the life to fullest (World Health Organization, 1986).</w:t>
                      </w:r>
                    </w:p>
                    <w:p>
                      <w:pPr>
                        <w:pStyle w:val="List Paragraph"/>
                        <w:numPr>
                          <w:ilvl w:val="0"/>
                          <w:numId w:val="7"/>
                        </w:numPr>
                        <w:bidi w:val="0"/>
                        <w:spacing w:after="120" w:line="276" w:lineRule="auto"/>
                        <w:ind w:right="0"/>
                        <w:jc w:val="left"/>
                        <w:rPr>
                          <w:sz w:val="14"/>
                          <w:szCs w:val="14"/>
                          <w:rtl w:val="0"/>
                          <w:lang w:val="en-US"/>
                        </w:rPr>
                      </w:pPr>
                      <w:r>
                        <w:rPr>
                          <w:rStyle w:val="None"/>
                          <w:sz w:val="14"/>
                          <w:szCs w:val="14"/>
                          <w:rtl w:val="0"/>
                          <w:lang w:val="en-US"/>
                        </w:rPr>
                        <w:t>It places the actions into the hands of people to improve their health, hence, giving them control over their health (World Health Organization, 1986).</w:t>
                      </w:r>
                    </w:p>
                    <w:p>
                      <w:pPr>
                        <w:pStyle w:val="List Paragraph"/>
                        <w:numPr>
                          <w:ilvl w:val="0"/>
                          <w:numId w:val="7"/>
                        </w:numPr>
                        <w:bidi w:val="0"/>
                        <w:spacing w:after="120" w:line="276" w:lineRule="auto"/>
                        <w:ind w:right="0"/>
                        <w:jc w:val="left"/>
                        <w:rPr>
                          <w:sz w:val="14"/>
                          <w:szCs w:val="14"/>
                          <w:rtl w:val="0"/>
                          <w:lang w:val="en-US"/>
                        </w:rPr>
                      </w:pPr>
                      <w:r>
                        <w:rPr>
                          <w:rStyle w:val="None"/>
                          <w:sz w:val="14"/>
                          <w:szCs w:val="14"/>
                          <w:rtl w:val="0"/>
                          <w:lang w:val="en-US"/>
                        </w:rPr>
                        <w:t>Health promotion emphasises the approach that incorporates exogenous and endogenous determinants of health and their interaction with the healthcare system, and is driven by the following five principles (World Health Organization, 1986):</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Including the population in day-to-day life.</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Focusses on the action on the causes of poor health</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 xml:space="preserve">Utilizing diverse but related methods </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Involves public participation</w:t>
                      </w:r>
                    </w:p>
                    <w:p>
                      <w:pPr>
                        <w:pStyle w:val="List Paragraph"/>
                        <w:numPr>
                          <w:ilvl w:val="0"/>
                          <w:numId w:val="8"/>
                        </w:numPr>
                        <w:bidi w:val="0"/>
                        <w:spacing w:after="120" w:line="276" w:lineRule="auto"/>
                        <w:ind w:right="0"/>
                        <w:jc w:val="left"/>
                        <w:rPr>
                          <w:sz w:val="14"/>
                          <w:szCs w:val="14"/>
                          <w:rtl w:val="0"/>
                          <w:lang w:val="en-US"/>
                        </w:rPr>
                      </w:pPr>
                      <w:r>
                        <w:rPr>
                          <w:rStyle w:val="None"/>
                          <w:sz w:val="14"/>
                          <w:szCs w:val="14"/>
                          <w:rtl w:val="0"/>
                          <w:lang w:val="en-US"/>
                        </w:rPr>
                        <w:t xml:space="preserve">Involves contribution from health care professionals who play important role in health promotion, especially at the primary care level. </w:t>
                      </w:r>
                    </w:p>
                    <w:p>
                      <w:pPr>
                        <w:pStyle w:val="List Paragraph"/>
                        <w:numPr>
                          <w:ilvl w:val="0"/>
                          <w:numId w:val="9"/>
                        </w:numPr>
                        <w:bidi w:val="0"/>
                        <w:spacing w:after="120" w:line="276" w:lineRule="auto"/>
                        <w:ind w:right="0"/>
                        <w:jc w:val="left"/>
                        <w:rPr>
                          <w:sz w:val="14"/>
                          <w:szCs w:val="14"/>
                          <w:rtl w:val="0"/>
                          <w:lang w:val="en-US"/>
                        </w:rPr>
                      </w:pPr>
                      <w:r>
                        <w:rPr>
                          <w:rStyle w:val="None"/>
                          <w:sz w:val="14"/>
                          <w:szCs w:val="14"/>
                          <w:rtl w:val="0"/>
                          <w:lang w:val="en-US"/>
                        </w:rPr>
                        <w:t>These principles have been now integrated with values such as Equity, Empowerment, Participation, a Holistic and intersectoral approach and Sustainability to achieve better public health (Jama-Mahmud et al., 2011).</w:t>
                      </w:r>
                    </w:p>
                    <w:p>
                      <w:pPr>
                        <w:pStyle w:val="List Paragraph"/>
                        <w:numPr>
                          <w:ilvl w:val="0"/>
                          <w:numId w:val="9"/>
                        </w:numPr>
                        <w:bidi w:val="0"/>
                        <w:spacing w:after="120" w:line="276" w:lineRule="auto"/>
                        <w:ind w:right="0"/>
                        <w:jc w:val="left"/>
                        <w:rPr>
                          <w:sz w:val="14"/>
                          <w:szCs w:val="14"/>
                          <w:rtl w:val="0"/>
                          <w:lang w:val="en-US"/>
                        </w:rPr>
                      </w:pPr>
                      <w:r>
                        <w:rPr>
                          <w:rStyle w:val="None"/>
                          <w:sz w:val="14"/>
                          <w:szCs w:val="14"/>
                          <w:rtl w:val="0"/>
                          <w:lang w:val="en-US"/>
                        </w:rPr>
                        <w:t xml:space="preserve">Digital Health Technology (DHT) has the potential to promote public health by </w:t>
                      </w:r>
                    </w:p>
                    <w:p>
                      <w:pPr>
                        <w:pStyle w:val="List Paragraph"/>
                        <w:numPr>
                          <w:ilvl w:val="1"/>
                          <w:numId w:val="9"/>
                        </w:numPr>
                        <w:bidi w:val="0"/>
                        <w:spacing w:after="120" w:line="276" w:lineRule="auto"/>
                        <w:ind w:right="0"/>
                        <w:jc w:val="left"/>
                        <w:rPr>
                          <w:sz w:val="14"/>
                          <w:szCs w:val="14"/>
                          <w:rtl w:val="0"/>
                          <w:lang w:val="en-US"/>
                        </w:rPr>
                      </w:pPr>
                      <w:r>
                        <w:rPr>
                          <w:rStyle w:val="None"/>
                          <w:sz w:val="14"/>
                          <w:szCs w:val="14"/>
                          <w:rtl w:val="0"/>
                          <w:lang w:val="en-US"/>
                        </w:rPr>
                        <w:t xml:space="preserve">Allowing Access: With the proliferation of smartphones and their integration with Single-lead ECGs, now people living in remote areas can stay in contact with healthcare providers. </w:t>
                      </w:r>
                    </w:p>
                    <w:p>
                      <w:pPr>
                        <w:pStyle w:val="List Paragraph"/>
                        <w:numPr>
                          <w:ilvl w:val="1"/>
                          <w:numId w:val="9"/>
                        </w:numPr>
                        <w:bidi w:val="0"/>
                        <w:spacing w:after="120" w:line="276" w:lineRule="auto"/>
                        <w:ind w:right="0"/>
                        <w:jc w:val="left"/>
                        <w:rPr>
                          <w:sz w:val="14"/>
                          <w:szCs w:val="14"/>
                          <w:rtl w:val="0"/>
                          <w:lang w:val="en-US"/>
                        </w:rPr>
                      </w:pPr>
                      <w:r>
                        <w:rPr>
                          <w:rStyle w:val="None"/>
                          <w:sz w:val="14"/>
                          <w:szCs w:val="14"/>
                          <w:rtl w:val="0"/>
                          <w:lang w:val="en-US"/>
                        </w:rPr>
                        <w:t>Empowering people in daily routines and increasing their participation: By providing information about their health and the outcome of their behaviour changes, DHT can offer better self-monitoring encouraging people to take action for their health and seek help on time (Lee et al., 2023) .</w:t>
                      </w:r>
                    </w:p>
                    <w:p>
                      <w:pPr>
                        <w:pStyle w:val="List Paragraph"/>
                        <w:numPr>
                          <w:ilvl w:val="1"/>
                          <w:numId w:val="9"/>
                        </w:numPr>
                        <w:bidi w:val="0"/>
                        <w:spacing w:after="120" w:line="276" w:lineRule="auto"/>
                        <w:ind w:right="0"/>
                        <w:jc w:val="left"/>
                        <w:rPr>
                          <w:sz w:val="14"/>
                          <w:szCs w:val="14"/>
                          <w:rtl w:val="0"/>
                          <w:lang w:val="en-US"/>
                        </w:rPr>
                      </w:pPr>
                      <w:r>
                        <w:rPr>
                          <w:rStyle w:val="None"/>
                          <w:sz w:val="14"/>
                          <w:szCs w:val="14"/>
                          <w:rtl w:val="0"/>
                          <w:lang w:val="en-US"/>
                        </w:rPr>
                        <w:t xml:space="preserve">Multisectoral approach: The utilization of wearable ECGs as health promotion intervention will require various sectors to work together such as healthcare organisations, and IT companies. In addition, framing policies by the government to ensure easy access to common people </w:t>
                      </w:r>
                    </w:p>
                  </w:txbxContent>
                </v:textbox>
                <w10:wrap type="none" side="bothSides" anchorx="text"/>
              </v:shape>
            </w:pict>
          </mc:Fallback>
        </mc:AlternateContent>
      </w:r>
    </w:p>
    <w:p>
      <w:pPr>
        <w:pStyle w:val="Body A"/>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r>
        <w:rPr>
          <w:rStyle w:val="None"/>
          <w:rFonts w:ascii="Arial" w:cs="Arial" w:hAnsi="Arial" w:eastAsia="Arial"/>
        </w:rPr>
        <w:tab/>
      </w: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r>
        <w:rPr>
          <w:rStyle w:val="None"/>
          <w:rFonts w:ascii="Arial" w:cs="Arial" w:hAnsi="Arial" w:eastAsia="Arial"/>
        </w:rPr>
        <mc:AlternateContent>
          <mc:Choice Requires="wps">
            <w:drawing xmlns:a="http://schemas.openxmlformats.org/drawingml/2006/main">
              <wp:anchor distT="80010" distB="80010" distL="80010" distR="80010" simplePos="0" relativeHeight="251670528" behindDoc="0" locked="0" layoutInCell="1" allowOverlap="1">
                <wp:simplePos x="0" y="0"/>
                <wp:positionH relativeFrom="page">
                  <wp:posOffset>5466397</wp:posOffset>
                </wp:positionH>
                <wp:positionV relativeFrom="line">
                  <wp:posOffset>5715</wp:posOffset>
                </wp:positionV>
                <wp:extent cx="1868804" cy="268605"/>
                <wp:effectExtent l="0" t="0" r="0" b="0"/>
                <wp:wrapSquare wrapText="bothSides" distL="80010" distR="80010" distT="80010" distB="80010"/>
                <wp:docPr id="1073741842" name="officeArt object" descr="Text Box 2"/>
                <wp:cNvGraphicFramePr/>
                <a:graphic xmlns:a="http://schemas.openxmlformats.org/drawingml/2006/main">
                  <a:graphicData uri="http://schemas.microsoft.com/office/word/2010/wordprocessingShape">
                    <wps:wsp>
                      <wps:cNvSpPr txBox="1"/>
                      <wps:spPr>
                        <a:xfrm>
                          <a:off x="0" y="0"/>
                          <a:ext cx="1868804" cy="268605"/>
                        </a:xfrm>
                        <a:prstGeom prst="rect">
                          <a:avLst/>
                        </a:prstGeom>
                        <a:solidFill>
                          <a:srgbClr val="FFFFFF"/>
                        </a:solidFill>
                        <a:ln w="9525" cap="flat">
                          <a:solidFill>
                            <a:srgbClr val="000000"/>
                          </a:solidFill>
                          <a:prstDash val="solid"/>
                          <a:miter lim="800000"/>
                        </a:ln>
                        <a:effectLst/>
                      </wps:spPr>
                      <wps:txbx>
                        <w:txbxContent>
                          <w:p>
                            <w:pPr>
                              <w:pStyle w:val="Body A"/>
                            </w:pPr>
                            <w:r>
                              <w:rPr>
                                <w:rStyle w:val="None"/>
                                <w:rtl w:val="0"/>
                                <w:lang w:val="en-US"/>
                              </w:rPr>
                              <w:t>SOCIAL COGNITIVE  THEORY</w:t>
                            </w:r>
                          </w:p>
                        </w:txbxContent>
                      </wps:txbx>
                      <wps:bodyPr wrap="square" lIns="45718" tIns="45718" rIns="45718" bIns="45718" numCol="1" anchor="t">
                        <a:noAutofit/>
                      </wps:bodyPr>
                    </wps:wsp>
                  </a:graphicData>
                </a:graphic>
              </wp:anchor>
            </w:drawing>
          </mc:Choice>
          <mc:Fallback>
            <w:pict>
              <v:shape id="_x0000_s1034" type="#_x0000_t202" style="visibility:visible;position:absolute;margin-left:430.4pt;margin-top:0.5pt;width:147.1pt;height:21.1pt;z-index:251670528;mso-position-horizontal:absolute;mso-position-horizontal-relative:page;mso-position-vertical:absolute;mso-position-vertical-relative:line;mso-wrap-distance-left:6.3pt;mso-wrap-distance-top:6.3pt;mso-wrap-distance-right:6.3pt;mso-wrap-distance-bottom:6.3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Body A"/>
                      </w:pPr>
                      <w:r>
                        <w:rPr>
                          <w:rStyle w:val="None"/>
                          <w:rtl w:val="0"/>
                          <w:lang w:val="en-US"/>
                        </w:rPr>
                        <w:t>SOCIAL COGNITIVE  THEORY</w:t>
                      </w:r>
                    </w:p>
                  </w:txbxContent>
                </v:textbox>
                <w10:wrap type="square" side="bothSides" anchorx="page"/>
              </v:shape>
            </w:pict>
          </mc:Fallback>
        </mc:AlternateContent>
      </w:r>
      <w:r>
        <w:rPr>
          <w:rStyle w:val="None"/>
          <w:rFonts w:ascii="Arial" w:cs="Arial" w:hAnsi="Arial" w:eastAsia="Arial"/>
        </w:rPr>
        <mc:AlternateContent>
          <mc:Choice Requires="wps">
            <w:drawing xmlns:a="http://schemas.openxmlformats.org/drawingml/2006/main">
              <wp:anchor distT="0" distB="0" distL="0" distR="0" simplePos="0" relativeHeight="251668480" behindDoc="0" locked="0" layoutInCell="1" allowOverlap="1">
                <wp:simplePos x="0" y="0"/>
                <wp:positionH relativeFrom="column">
                  <wp:posOffset>8496300</wp:posOffset>
                </wp:positionH>
                <wp:positionV relativeFrom="line">
                  <wp:posOffset>50163</wp:posOffset>
                </wp:positionV>
                <wp:extent cx="3981450" cy="3994785"/>
                <wp:effectExtent l="0" t="0" r="0" b="0"/>
                <wp:wrapNone/>
                <wp:docPr id="1073741843" name="officeArt object" descr="Text Box 1"/>
                <wp:cNvGraphicFramePr/>
                <a:graphic xmlns:a="http://schemas.openxmlformats.org/drawingml/2006/main">
                  <a:graphicData uri="http://schemas.microsoft.com/office/word/2010/wordprocessingShape">
                    <wps:wsp>
                      <wps:cNvSpPr txBox="1"/>
                      <wps:spPr>
                        <a:xfrm>
                          <a:off x="0" y="0"/>
                          <a:ext cx="3981450" cy="3994785"/>
                        </a:xfrm>
                        <a:prstGeom prst="rect">
                          <a:avLst/>
                        </a:prstGeom>
                        <a:solidFill>
                          <a:schemeClr val="accent2"/>
                        </a:solidFill>
                        <a:ln w="19050" cap="flat">
                          <a:solidFill>
                            <a:srgbClr val="FFFFFF"/>
                          </a:solidFill>
                          <a:prstDash val="solid"/>
                          <a:miter lim="800000"/>
                        </a:ln>
                        <a:effectLst/>
                      </wps:spPr>
                      <wps:txbx>
                        <w:txbxContent>
                          <w:p>
                            <w:pPr>
                              <w:pStyle w:val="Body A"/>
                              <w:spacing w:after="0" w:line="276" w:lineRule="auto"/>
                              <w:ind w:left="90" w:firstLine="0"/>
                              <w:jc w:val="center"/>
                              <w:rPr>
                                <w:rStyle w:val="None"/>
                                <w:b w:val="1"/>
                                <w:bCs w:val="1"/>
                                <w:sz w:val="20"/>
                                <w:szCs w:val="20"/>
                              </w:rPr>
                            </w:pPr>
                            <w:r>
                              <w:rPr>
                                <w:rStyle w:val="None"/>
                                <w:b w:val="1"/>
                                <w:bCs w:val="1"/>
                                <w:sz w:val="20"/>
                                <w:szCs w:val="20"/>
                                <w:rtl w:val="0"/>
                                <w:lang w:val="en-US"/>
                              </w:rPr>
                              <w:t>IMPLICATIONS OF dhi ON POLICIES, EDUCATION AND RESEARCH</w:t>
                            </w:r>
                          </w:p>
                          <w:p>
                            <w:pPr>
                              <w:pStyle w:val="Body A"/>
                              <w:spacing w:after="0" w:line="276" w:lineRule="auto"/>
                              <w:ind w:left="90" w:firstLine="0"/>
                              <w:jc w:val="both"/>
                              <w:rPr>
                                <w:rStyle w:val="None"/>
                                <w:sz w:val="14"/>
                                <w:szCs w:val="14"/>
                              </w:rPr>
                            </w:pPr>
                          </w:p>
                          <w:p>
                            <w:pPr>
                              <w:pStyle w:val="Body A"/>
                              <w:spacing w:after="0" w:line="276" w:lineRule="auto"/>
                              <w:ind w:left="90" w:firstLine="0"/>
                              <w:jc w:val="both"/>
                              <w:rPr>
                                <w:rStyle w:val="None"/>
                                <w:sz w:val="14"/>
                                <w:szCs w:val="14"/>
                              </w:rPr>
                            </w:pPr>
                          </w:p>
                          <w:p>
                            <w:pPr>
                              <w:pStyle w:val="Body A"/>
                              <w:spacing w:after="0" w:line="276" w:lineRule="auto"/>
                              <w:ind w:left="90" w:firstLine="0"/>
                              <w:jc w:val="both"/>
                              <w:rPr>
                                <w:rStyle w:val="None"/>
                                <w:sz w:val="14"/>
                                <w:szCs w:val="14"/>
                              </w:rPr>
                            </w:pPr>
                            <w:r>
                              <w:rPr>
                                <w:rStyle w:val="None"/>
                                <w:sz w:val="14"/>
                                <w:szCs w:val="14"/>
                                <w:rtl w:val="0"/>
                                <w:lang w:val="en-US"/>
                              </w:rPr>
                              <w:t>Digital technologies offer potential benefits in enhancing healthcare accessibility, delivery efficiency, and promoting healthy behaviors. Also, they are used  for purposes such as health education dissemination, disease prognosis through AI applications, and monitoring of vital signs through the use of wearable devices.</w:t>
                            </w:r>
                          </w:p>
                          <w:p>
                            <w:pPr>
                              <w:pStyle w:val="List Paragraph"/>
                              <w:numPr>
                                <w:ilvl w:val="0"/>
                                <w:numId w:val="10"/>
                              </w:numPr>
                              <w:bidi w:val="0"/>
                              <w:spacing w:after="0" w:line="276" w:lineRule="auto"/>
                              <w:ind w:right="0"/>
                              <w:jc w:val="both"/>
                              <w:rPr>
                                <w:sz w:val="14"/>
                                <w:szCs w:val="14"/>
                                <w:rtl w:val="0"/>
                                <w:lang w:val="en-US"/>
                              </w:rPr>
                            </w:pPr>
                            <w:r>
                              <w:rPr>
                                <w:rStyle w:val="None"/>
                                <w:b w:val="1"/>
                                <w:bCs w:val="1"/>
                                <w:sz w:val="14"/>
                                <w:szCs w:val="14"/>
                                <w:rtl w:val="0"/>
                                <w:lang w:val="en-US"/>
                              </w:rPr>
                              <w:t>Implication on Policies:</w:t>
                            </w:r>
                            <w:r>
                              <w:rPr>
                                <w:rStyle w:val="None"/>
                                <w:sz w:val="14"/>
                                <w:szCs w:val="14"/>
                                <w:rtl w:val="0"/>
                                <w:lang w:val="en-US"/>
                              </w:rPr>
                              <w:t xml:space="preserve"> The application of these DHIs is still new and unregulated which has resulted in the emergence of unsecured and less efficient products (Bayoumy et al., 2021). Measures by the UK government must be taken to approve only medical-grade devices that have shown clinical efficacy for use in healthcare or personal settings. Moreover, privacy concerns are the most challenging aspect of any digital intervention. Instances of recent occurrences of health-related data breaches, and unauthorized remote manipulation of defibrillators underscore developing strategies safeguarding data.  </w:t>
                            </w:r>
                          </w:p>
                          <w:p>
                            <w:pPr>
                              <w:pStyle w:val="List Paragraph"/>
                              <w:numPr>
                                <w:ilvl w:val="0"/>
                                <w:numId w:val="10"/>
                              </w:numPr>
                              <w:bidi w:val="0"/>
                              <w:spacing w:after="0" w:line="276" w:lineRule="auto"/>
                              <w:ind w:right="0"/>
                              <w:jc w:val="both"/>
                              <w:rPr>
                                <w:sz w:val="14"/>
                                <w:szCs w:val="14"/>
                                <w:rtl w:val="0"/>
                                <w:lang w:val="en-US"/>
                              </w:rPr>
                            </w:pPr>
                            <w:r>
                              <w:rPr>
                                <w:rStyle w:val="None"/>
                                <w:b w:val="1"/>
                                <w:bCs w:val="1"/>
                                <w:sz w:val="14"/>
                                <w:szCs w:val="14"/>
                                <w:rtl w:val="0"/>
                                <w:lang w:val="en-US"/>
                              </w:rPr>
                              <w:t>Implication on Education:</w:t>
                            </w:r>
                            <w:r>
                              <w:rPr>
                                <w:rStyle w:val="None"/>
                                <w:sz w:val="14"/>
                                <w:szCs w:val="14"/>
                                <w:rtl w:val="0"/>
                                <w:lang w:val="en-US"/>
                              </w:rPr>
                              <w:t xml:space="preserve"> DHI has improved patient education and helped with the behaviour modification process by using formats such as interactive games, audio, video, and textual articles. The involvement of patients in their care is crucial for improving health results (Kuwabara et al., 2020). </w:t>
                            </w:r>
                          </w:p>
                          <w:p>
                            <w:pPr>
                              <w:pStyle w:val="List Paragraph"/>
                              <w:numPr>
                                <w:ilvl w:val="0"/>
                                <w:numId w:val="10"/>
                              </w:numPr>
                              <w:bidi w:val="0"/>
                              <w:spacing w:after="0" w:line="276" w:lineRule="auto"/>
                              <w:ind w:right="0"/>
                              <w:jc w:val="both"/>
                              <w:rPr>
                                <w:sz w:val="14"/>
                                <w:szCs w:val="14"/>
                                <w:rtl w:val="0"/>
                                <w:lang w:val="en-US"/>
                              </w:rPr>
                            </w:pPr>
                            <w:r>
                              <w:rPr>
                                <w:rStyle w:val="None"/>
                                <w:b w:val="1"/>
                                <w:bCs w:val="1"/>
                                <w:sz w:val="14"/>
                                <w:szCs w:val="14"/>
                                <w:rtl w:val="0"/>
                                <w:lang w:val="en-US"/>
                              </w:rPr>
                              <w:t>Implications on Research:</w:t>
                            </w:r>
                            <w:r>
                              <w:rPr>
                                <w:rStyle w:val="None"/>
                                <w:sz w:val="14"/>
                                <w:szCs w:val="14"/>
                                <w:rtl w:val="0"/>
                                <w:lang w:val="en-US"/>
                              </w:rPr>
                              <w:t xml:space="preserve"> Research is necessary to evaluate the effectiveness of digital interventions in achieving health outcomes and behavior change. It should focus on tracking technological and behavioral performance, as well as cost-effectiveness and disparities in implementation.</w:t>
                            </w:r>
                          </w:p>
                        </w:txbxContent>
                      </wps:txbx>
                      <wps:bodyPr wrap="square" lIns="45718" tIns="45718" rIns="45718" bIns="45718" numCol="1" anchor="t">
                        <a:noAutofit/>
                      </wps:bodyPr>
                    </wps:wsp>
                  </a:graphicData>
                </a:graphic>
              </wp:anchor>
            </w:drawing>
          </mc:Choice>
          <mc:Fallback>
            <w:pict>
              <v:shape id="_x0000_s1035" type="#_x0000_t202" style="visibility:visible;position:absolute;margin-left:669.0pt;margin-top:3.9pt;width:313.5pt;height:314.5pt;z-index:251668480;mso-position-horizontal:absolute;mso-position-horizontal-relative:text;mso-position-vertical:absolute;mso-position-vertical-relative:line;mso-wrap-distance-left:0.0pt;mso-wrap-distance-top:0.0pt;mso-wrap-distance-right:0.0pt;mso-wrap-distance-bottom:0.0pt;">
                <v:fill color="#ED7D31" opacity="100.0%" type="solid"/>
                <v:stroke filltype="solid" color="#FFFFFF" opacity="100.0%" weight="1.5pt" dashstyle="solid" endcap="flat" miterlimit="800.0%" joinstyle="miter" linestyle="single" startarrow="none" startarrowwidth="medium" startarrowlength="medium" endarrow="none" endarrowwidth="medium" endarrowlength="medium"/>
                <v:textbox>
                  <w:txbxContent>
                    <w:p>
                      <w:pPr>
                        <w:pStyle w:val="Body A"/>
                        <w:spacing w:after="0" w:line="276" w:lineRule="auto"/>
                        <w:ind w:left="90" w:firstLine="0"/>
                        <w:jc w:val="center"/>
                        <w:rPr>
                          <w:rStyle w:val="None"/>
                          <w:b w:val="1"/>
                          <w:bCs w:val="1"/>
                          <w:sz w:val="20"/>
                          <w:szCs w:val="20"/>
                        </w:rPr>
                      </w:pPr>
                      <w:r>
                        <w:rPr>
                          <w:rStyle w:val="None"/>
                          <w:b w:val="1"/>
                          <w:bCs w:val="1"/>
                          <w:sz w:val="20"/>
                          <w:szCs w:val="20"/>
                          <w:rtl w:val="0"/>
                          <w:lang w:val="en-US"/>
                        </w:rPr>
                        <w:t>IMPLICATIONS OF dhi ON POLICIES, EDUCATION AND RESEARCH</w:t>
                      </w:r>
                    </w:p>
                    <w:p>
                      <w:pPr>
                        <w:pStyle w:val="Body A"/>
                        <w:spacing w:after="0" w:line="276" w:lineRule="auto"/>
                        <w:ind w:left="90" w:firstLine="0"/>
                        <w:jc w:val="both"/>
                        <w:rPr>
                          <w:rStyle w:val="None"/>
                          <w:sz w:val="14"/>
                          <w:szCs w:val="14"/>
                        </w:rPr>
                      </w:pPr>
                    </w:p>
                    <w:p>
                      <w:pPr>
                        <w:pStyle w:val="Body A"/>
                        <w:spacing w:after="0" w:line="276" w:lineRule="auto"/>
                        <w:ind w:left="90" w:firstLine="0"/>
                        <w:jc w:val="both"/>
                        <w:rPr>
                          <w:rStyle w:val="None"/>
                          <w:sz w:val="14"/>
                          <w:szCs w:val="14"/>
                        </w:rPr>
                      </w:pPr>
                    </w:p>
                    <w:p>
                      <w:pPr>
                        <w:pStyle w:val="Body A"/>
                        <w:spacing w:after="0" w:line="276" w:lineRule="auto"/>
                        <w:ind w:left="90" w:firstLine="0"/>
                        <w:jc w:val="both"/>
                        <w:rPr>
                          <w:rStyle w:val="None"/>
                          <w:sz w:val="14"/>
                          <w:szCs w:val="14"/>
                        </w:rPr>
                      </w:pPr>
                      <w:r>
                        <w:rPr>
                          <w:rStyle w:val="None"/>
                          <w:sz w:val="14"/>
                          <w:szCs w:val="14"/>
                          <w:rtl w:val="0"/>
                          <w:lang w:val="en-US"/>
                        </w:rPr>
                        <w:t>Digital technologies offer potential benefits in enhancing healthcare accessibility, delivery efficiency, and promoting healthy behaviors. Also, they are used  for purposes such as health education dissemination, disease prognosis through AI applications, and monitoring of vital signs through the use of wearable devices.</w:t>
                      </w:r>
                    </w:p>
                    <w:p>
                      <w:pPr>
                        <w:pStyle w:val="List Paragraph"/>
                        <w:numPr>
                          <w:ilvl w:val="0"/>
                          <w:numId w:val="10"/>
                        </w:numPr>
                        <w:bidi w:val="0"/>
                        <w:spacing w:after="0" w:line="276" w:lineRule="auto"/>
                        <w:ind w:right="0"/>
                        <w:jc w:val="both"/>
                        <w:rPr>
                          <w:sz w:val="14"/>
                          <w:szCs w:val="14"/>
                          <w:rtl w:val="0"/>
                          <w:lang w:val="en-US"/>
                        </w:rPr>
                      </w:pPr>
                      <w:r>
                        <w:rPr>
                          <w:rStyle w:val="None"/>
                          <w:b w:val="1"/>
                          <w:bCs w:val="1"/>
                          <w:sz w:val="14"/>
                          <w:szCs w:val="14"/>
                          <w:rtl w:val="0"/>
                          <w:lang w:val="en-US"/>
                        </w:rPr>
                        <w:t>Implication on Policies:</w:t>
                      </w:r>
                      <w:r>
                        <w:rPr>
                          <w:rStyle w:val="None"/>
                          <w:sz w:val="14"/>
                          <w:szCs w:val="14"/>
                          <w:rtl w:val="0"/>
                          <w:lang w:val="en-US"/>
                        </w:rPr>
                        <w:t xml:space="preserve"> The application of these DHIs is still new and unregulated which has resulted in the emergence of unsecured and less efficient products (Bayoumy et al., 2021). Measures by the UK government must be taken to approve only medical-grade devices that have shown clinical efficacy for use in healthcare or personal settings. Moreover, privacy concerns are the most challenging aspect of any digital intervention. Instances of recent occurrences of health-related data breaches, and unauthorized remote manipulation of defibrillators underscore developing strategies safeguarding data.  </w:t>
                      </w:r>
                    </w:p>
                    <w:p>
                      <w:pPr>
                        <w:pStyle w:val="List Paragraph"/>
                        <w:numPr>
                          <w:ilvl w:val="0"/>
                          <w:numId w:val="10"/>
                        </w:numPr>
                        <w:bidi w:val="0"/>
                        <w:spacing w:after="0" w:line="276" w:lineRule="auto"/>
                        <w:ind w:right="0"/>
                        <w:jc w:val="both"/>
                        <w:rPr>
                          <w:sz w:val="14"/>
                          <w:szCs w:val="14"/>
                          <w:rtl w:val="0"/>
                          <w:lang w:val="en-US"/>
                        </w:rPr>
                      </w:pPr>
                      <w:r>
                        <w:rPr>
                          <w:rStyle w:val="None"/>
                          <w:b w:val="1"/>
                          <w:bCs w:val="1"/>
                          <w:sz w:val="14"/>
                          <w:szCs w:val="14"/>
                          <w:rtl w:val="0"/>
                          <w:lang w:val="en-US"/>
                        </w:rPr>
                        <w:t>Implication on Education:</w:t>
                      </w:r>
                      <w:r>
                        <w:rPr>
                          <w:rStyle w:val="None"/>
                          <w:sz w:val="14"/>
                          <w:szCs w:val="14"/>
                          <w:rtl w:val="0"/>
                          <w:lang w:val="en-US"/>
                        </w:rPr>
                        <w:t xml:space="preserve"> DHI has improved patient education and helped with the behaviour modification process by using formats such as interactive games, audio, video, and textual articles. The involvement of patients in their care is crucial for improving health results (Kuwabara et al., 2020). </w:t>
                      </w:r>
                    </w:p>
                    <w:p>
                      <w:pPr>
                        <w:pStyle w:val="List Paragraph"/>
                        <w:numPr>
                          <w:ilvl w:val="0"/>
                          <w:numId w:val="10"/>
                        </w:numPr>
                        <w:bidi w:val="0"/>
                        <w:spacing w:after="0" w:line="276" w:lineRule="auto"/>
                        <w:ind w:right="0"/>
                        <w:jc w:val="both"/>
                        <w:rPr>
                          <w:sz w:val="14"/>
                          <w:szCs w:val="14"/>
                          <w:rtl w:val="0"/>
                          <w:lang w:val="en-US"/>
                        </w:rPr>
                      </w:pPr>
                      <w:r>
                        <w:rPr>
                          <w:rStyle w:val="None"/>
                          <w:b w:val="1"/>
                          <w:bCs w:val="1"/>
                          <w:sz w:val="14"/>
                          <w:szCs w:val="14"/>
                          <w:rtl w:val="0"/>
                          <w:lang w:val="en-US"/>
                        </w:rPr>
                        <w:t>Implications on Research:</w:t>
                      </w:r>
                      <w:r>
                        <w:rPr>
                          <w:rStyle w:val="None"/>
                          <w:sz w:val="14"/>
                          <w:szCs w:val="14"/>
                          <w:rtl w:val="0"/>
                          <w:lang w:val="en-US"/>
                        </w:rPr>
                        <w:t xml:space="preserve"> Research is necessary to evaluate the effectiveness of digital interventions in achieving health outcomes and behavior change. It should focus on tracking technological and behavioral performance, as well as cost-effectiveness and disparities in implementation.</w:t>
                      </w:r>
                    </w:p>
                  </w:txbxContent>
                </v:textbox>
                <w10:wrap type="none" side="bothSides" anchorx="text"/>
              </v:shape>
            </w:pict>
          </mc:Fallback>
        </mc:AlternateContent>
      </w:r>
    </w:p>
    <w:p>
      <w:pPr>
        <w:pStyle w:val="Body A"/>
        <w:tabs>
          <w:tab w:val="left" w:pos="11020"/>
        </w:tabs>
        <w:spacing w:line="360" w:lineRule="auto"/>
        <w:rPr>
          <w:rStyle w:val="None"/>
          <w:rFonts w:ascii="Arial" w:cs="Arial" w:hAnsi="Arial" w:eastAsia="Arial"/>
        </w:rPr>
      </w:pPr>
      <w:r>
        <w:rPr>
          <w:rStyle w:val="None"/>
          <w:rFonts w:ascii="Arial" w:cs="Arial" w:hAnsi="Arial" w:eastAsia="Arial"/>
        </w:rPr>
        <mc:AlternateContent>
          <mc:Choice Requires="wps">
            <w:drawing xmlns:a="http://schemas.openxmlformats.org/drawingml/2006/main">
              <wp:anchor distT="0" distB="0" distL="0" distR="0" simplePos="0" relativeHeight="251664384" behindDoc="0" locked="0" layoutInCell="1" allowOverlap="1">
                <wp:simplePos x="0" y="0"/>
                <wp:positionH relativeFrom="column">
                  <wp:posOffset>4648198</wp:posOffset>
                </wp:positionH>
                <wp:positionV relativeFrom="line">
                  <wp:posOffset>59690</wp:posOffset>
                </wp:positionV>
                <wp:extent cx="3728721" cy="2928399"/>
                <wp:effectExtent l="0" t="0" r="0" b="0"/>
                <wp:wrapNone/>
                <wp:docPr id="1073741844" name="officeArt object" descr="Text Box 6"/>
                <wp:cNvGraphicFramePr/>
                <a:graphic xmlns:a="http://schemas.openxmlformats.org/drawingml/2006/main">
                  <a:graphicData uri="http://schemas.microsoft.com/office/word/2010/wordprocessingShape">
                    <wps:wsp>
                      <wps:cNvSpPr txBox="1"/>
                      <wps:spPr>
                        <a:xfrm>
                          <a:off x="0" y="0"/>
                          <a:ext cx="3728721" cy="2928399"/>
                        </a:xfrm>
                        <a:prstGeom prst="rect">
                          <a:avLst/>
                        </a:prstGeom>
                        <a:solidFill>
                          <a:schemeClr val="accent2"/>
                        </a:solidFill>
                        <a:ln w="19050" cap="flat">
                          <a:solidFill>
                            <a:srgbClr val="FFFFFF"/>
                          </a:solidFill>
                          <a:prstDash val="solid"/>
                          <a:miter lim="800000"/>
                        </a:ln>
                        <a:effectLst/>
                      </wps:spPr>
                      <wps:txbx>
                        <w:txbxContent>
                          <w:p>
                            <w:pPr>
                              <w:pStyle w:val="Body A"/>
                              <w:spacing w:line="240" w:lineRule="auto"/>
                              <w:jc w:val="center"/>
                              <w:rPr>
                                <w:rStyle w:val="None"/>
                                <w:b w:val="1"/>
                                <w:bCs w:val="1"/>
                                <w:sz w:val="20"/>
                                <w:szCs w:val="20"/>
                              </w:rPr>
                            </w:pPr>
                            <w:r>
                              <w:rPr>
                                <w:rStyle w:val="None"/>
                                <w:b w:val="1"/>
                                <w:bCs w:val="1"/>
                                <w:sz w:val="20"/>
                                <w:szCs w:val="20"/>
                                <w:rtl w:val="0"/>
                                <w:lang w:val="en-US"/>
                              </w:rPr>
                              <w:t>OUTCOME OF DIGITAL HEALTH INTERVENTION</w:t>
                            </w:r>
                          </w:p>
                          <w:p>
                            <w:pPr>
                              <w:pStyle w:val="Body A"/>
                              <w:spacing w:line="240" w:lineRule="auto"/>
                              <w:jc w:val="both"/>
                              <w:rPr>
                                <w:rStyle w:val="None"/>
                                <w:sz w:val="14"/>
                                <w:szCs w:val="14"/>
                              </w:rPr>
                            </w:pPr>
                            <w:r>
                              <w:rPr>
                                <w:rStyle w:val="None"/>
                                <w:sz w:val="14"/>
                                <w:szCs w:val="14"/>
                                <w:rtl w:val="0"/>
                                <w:lang w:val="en-US"/>
                              </w:rPr>
                              <w:t>CVD is associated with modifiable behavioral factors such as smoking, and physical inactivity, that can be addressed through lifestyle changes. Using behavioural change theories, such as Social Cognitive Theory (SCT), to guide the delivery of digital health interventions using wearable ECG devices can have significant outcomes such as</w:t>
                            </w:r>
                          </w:p>
                          <w:p>
                            <w:pPr>
                              <w:pStyle w:val="List Paragraph"/>
                              <w:numPr>
                                <w:ilvl w:val="0"/>
                                <w:numId w:val="11"/>
                              </w:numPr>
                              <w:bidi w:val="0"/>
                              <w:spacing w:after="120" w:line="240" w:lineRule="auto"/>
                              <w:ind w:right="0"/>
                              <w:jc w:val="both"/>
                              <w:rPr>
                                <w:sz w:val="14"/>
                                <w:szCs w:val="14"/>
                                <w:rtl w:val="0"/>
                                <w:lang w:val="en-US"/>
                              </w:rPr>
                            </w:pPr>
                            <w:r>
                              <w:rPr>
                                <w:rStyle w:val="None"/>
                                <w:sz w:val="14"/>
                                <w:szCs w:val="14"/>
                                <w:rtl w:val="0"/>
                                <w:lang w:val="en-US"/>
                              </w:rPr>
                              <w:t>Adoption of new behaviours such as proactive self-monitoring (Sawyer et al., 2023)</w:t>
                            </w:r>
                          </w:p>
                          <w:p>
                            <w:pPr>
                              <w:pStyle w:val="List Paragraph"/>
                              <w:numPr>
                                <w:ilvl w:val="0"/>
                                <w:numId w:val="11"/>
                              </w:numPr>
                              <w:bidi w:val="0"/>
                              <w:spacing w:after="120" w:line="240" w:lineRule="auto"/>
                              <w:ind w:right="0"/>
                              <w:jc w:val="both"/>
                              <w:rPr>
                                <w:sz w:val="14"/>
                                <w:szCs w:val="14"/>
                                <w:rtl w:val="0"/>
                                <w:lang w:val="en-US"/>
                              </w:rPr>
                            </w:pPr>
                            <w:r>
                              <w:rPr>
                                <w:rStyle w:val="None"/>
                                <w:sz w:val="14"/>
                                <w:szCs w:val="14"/>
                                <w:rtl w:val="0"/>
                                <w:lang w:val="en-US"/>
                              </w:rPr>
                              <w:t>Improving self-efficacy which is the belief in own</w:t>
                            </w:r>
                            <w:r>
                              <w:rPr>
                                <w:rStyle w:val="None"/>
                                <w:sz w:val="14"/>
                                <w:szCs w:val="14"/>
                                <w:rtl w:val="0"/>
                                <w:lang w:val="en-US"/>
                              </w:rPr>
                              <w:t>’</w:t>
                            </w:r>
                            <w:r>
                              <w:rPr>
                                <w:rStyle w:val="None"/>
                                <w:sz w:val="14"/>
                                <w:szCs w:val="14"/>
                                <w:rtl w:val="0"/>
                                <w:lang w:val="en-US"/>
                              </w:rPr>
                              <w:t xml:space="preserve">s ability to embrace behavioural changes. In this case, the feedback obtained from these devices can help them to promote behaviours such as healthy eating or physical activity to maintain their heart health. </w:t>
                            </w:r>
                          </w:p>
                          <w:p>
                            <w:pPr>
                              <w:pStyle w:val="List Paragraph"/>
                              <w:numPr>
                                <w:ilvl w:val="0"/>
                                <w:numId w:val="11"/>
                              </w:numPr>
                              <w:bidi w:val="0"/>
                              <w:spacing w:after="120" w:line="240" w:lineRule="auto"/>
                              <w:ind w:right="0"/>
                              <w:jc w:val="both"/>
                              <w:rPr>
                                <w:sz w:val="14"/>
                                <w:szCs w:val="14"/>
                                <w:rtl w:val="0"/>
                                <w:lang w:val="en-US"/>
                              </w:rPr>
                            </w:pPr>
                            <w:r>
                              <w:rPr>
                                <w:rStyle w:val="None"/>
                                <w:sz w:val="14"/>
                                <w:szCs w:val="14"/>
                                <w:rtl w:val="0"/>
                                <w:lang w:val="en-US"/>
                              </w:rPr>
                              <w:t>Setting achievable goals and reinforcement through constant reminders, Digital intervention can promote long-term positive outcomes (Morrison, 2015).</w:t>
                            </w:r>
                          </w:p>
                          <w:p>
                            <w:pPr>
                              <w:pStyle w:val="Body A"/>
                              <w:spacing w:line="240" w:lineRule="auto"/>
                            </w:pPr>
                            <w:r>
                              <w:rPr>
                                <w:rStyle w:val="None"/>
                                <w:sz w:val="14"/>
                                <w:szCs w:val="14"/>
                                <w:rtl w:val="0"/>
                                <w:lang w:val="en-US"/>
                              </w:rPr>
                              <w:t xml:space="preserve">However, obstacles related to using technology or analyzing data can lower one's confidence in their abilities. Additionally, since this is a new technology, individuals may feel overwhelmed by its complexity and may feel incompetent to make meaningful behavioural adjustments connected to their health (Morrison, 2015.  To boost proficiency, it is crucial to receive adequate training and continuous support. Also, adoption of such changes varies among individuals, and external factors such as access to technology and socioeconomic status can affect the effectiveness of interventions. </w:t>
                            </w:r>
                          </w:p>
                        </w:txbxContent>
                      </wps:txbx>
                      <wps:bodyPr wrap="square" lIns="45718" tIns="45718" rIns="45718" bIns="45718" numCol="1" anchor="t">
                        <a:noAutofit/>
                      </wps:bodyPr>
                    </wps:wsp>
                  </a:graphicData>
                </a:graphic>
              </wp:anchor>
            </w:drawing>
          </mc:Choice>
          <mc:Fallback>
            <w:pict>
              <v:shape id="_x0000_s1036" type="#_x0000_t202" style="visibility:visible;position:absolute;margin-left:366.0pt;margin-top:4.7pt;width:293.6pt;height:230.6pt;z-index:251664384;mso-position-horizontal:absolute;mso-position-horizontal-relative:text;mso-position-vertical:absolute;mso-position-vertical-relative:line;mso-wrap-distance-left:0.0pt;mso-wrap-distance-top:0.0pt;mso-wrap-distance-right:0.0pt;mso-wrap-distance-bottom:0.0pt;">
                <v:fill color="#ED7D31" opacity="100.0%" type="solid"/>
                <v:stroke filltype="solid" color="#FFFFFF" opacity="100.0%" weight="1.5pt" dashstyle="solid" endcap="flat" miterlimit="800.0%" joinstyle="miter" linestyle="single" startarrow="none" startarrowwidth="medium" startarrowlength="medium" endarrow="none" endarrowwidth="medium" endarrowlength="medium"/>
                <v:textbox>
                  <w:txbxContent>
                    <w:p>
                      <w:pPr>
                        <w:pStyle w:val="Body A"/>
                        <w:spacing w:line="240" w:lineRule="auto"/>
                        <w:jc w:val="center"/>
                        <w:rPr>
                          <w:rStyle w:val="None"/>
                          <w:b w:val="1"/>
                          <w:bCs w:val="1"/>
                          <w:sz w:val="20"/>
                          <w:szCs w:val="20"/>
                        </w:rPr>
                      </w:pPr>
                      <w:r>
                        <w:rPr>
                          <w:rStyle w:val="None"/>
                          <w:b w:val="1"/>
                          <w:bCs w:val="1"/>
                          <w:sz w:val="20"/>
                          <w:szCs w:val="20"/>
                          <w:rtl w:val="0"/>
                          <w:lang w:val="en-US"/>
                        </w:rPr>
                        <w:t>OUTCOME OF DIGITAL HEALTH INTERVENTION</w:t>
                      </w:r>
                    </w:p>
                    <w:p>
                      <w:pPr>
                        <w:pStyle w:val="Body A"/>
                        <w:spacing w:line="240" w:lineRule="auto"/>
                        <w:jc w:val="both"/>
                        <w:rPr>
                          <w:rStyle w:val="None"/>
                          <w:sz w:val="14"/>
                          <w:szCs w:val="14"/>
                        </w:rPr>
                      </w:pPr>
                      <w:r>
                        <w:rPr>
                          <w:rStyle w:val="None"/>
                          <w:sz w:val="14"/>
                          <w:szCs w:val="14"/>
                          <w:rtl w:val="0"/>
                          <w:lang w:val="en-US"/>
                        </w:rPr>
                        <w:t>CVD is associated with modifiable behavioral factors such as smoking, and physical inactivity, that can be addressed through lifestyle changes. Using behavioural change theories, such as Social Cognitive Theory (SCT), to guide the delivery of digital health interventions using wearable ECG devices can have significant outcomes such as</w:t>
                      </w:r>
                    </w:p>
                    <w:p>
                      <w:pPr>
                        <w:pStyle w:val="List Paragraph"/>
                        <w:numPr>
                          <w:ilvl w:val="0"/>
                          <w:numId w:val="11"/>
                        </w:numPr>
                        <w:bidi w:val="0"/>
                        <w:spacing w:after="120" w:line="240" w:lineRule="auto"/>
                        <w:ind w:right="0"/>
                        <w:jc w:val="both"/>
                        <w:rPr>
                          <w:sz w:val="14"/>
                          <w:szCs w:val="14"/>
                          <w:rtl w:val="0"/>
                          <w:lang w:val="en-US"/>
                        </w:rPr>
                      </w:pPr>
                      <w:r>
                        <w:rPr>
                          <w:rStyle w:val="None"/>
                          <w:sz w:val="14"/>
                          <w:szCs w:val="14"/>
                          <w:rtl w:val="0"/>
                          <w:lang w:val="en-US"/>
                        </w:rPr>
                        <w:t>Adoption of new behaviours such as proactive self-monitoring (Sawyer et al., 2023)</w:t>
                      </w:r>
                    </w:p>
                    <w:p>
                      <w:pPr>
                        <w:pStyle w:val="List Paragraph"/>
                        <w:numPr>
                          <w:ilvl w:val="0"/>
                          <w:numId w:val="11"/>
                        </w:numPr>
                        <w:bidi w:val="0"/>
                        <w:spacing w:after="120" w:line="240" w:lineRule="auto"/>
                        <w:ind w:right="0"/>
                        <w:jc w:val="both"/>
                        <w:rPr>
                          <w:sz w:val="14"/>
                          <w:szCs w:val="14"/>
                          <w:rtl w:val="0"/>
                          <w:lang w:val="en-US"/>
                        </w:rPr>
                      </w:pPr>
                      <w:r>
                        <w:rPr>
                          <w:rStyle w:val="None"/>
                          <w:sz w:val="14"/>
                          <w:szCs w:val="14"/>
                          <w:rtl w:val="0"/>
                          <w:lang w:val="en-US"/>
                        </w:rPr>
                        <w:t>Improving self-efficacy which is the belief in own</w:t>
                      </w:r>
                      <w:r>
                        <w:rPr>
                          <w:rStyle w:val="None"/>
                          <w:sz w:val="14"/>
                          <w:szCs w:val="14"/>
                          <w:rtl w:val="0"/>
                          <w:lang w:val="en-US"/>
                        </w:rPr>
                        <w:t>’</w:t>
                      </w:r>
                      <w:r>
                        <w:rPr>
                          <w:rStyle w:val="None"/>
                          <w:sz w:val="14"/>
                          <w:szCs w:val="14"/>
                          <w:rtl w:val="0"/>
                          <w:lang w:val="en-US"/>
                        </w:rPr>
                        <w:t xml:space="preserve">s ability to embrace behavioural changes. In this case, the feedback obtained from these devices can help them to promote behaviours such as healthy eating or physical activity to maintain their heart health. </w:t>
                      </w:r>
                    </w:p>
                    <w:p>
                      <w:pPr>
                        <w:pStyle w:val="List Paragraph"/>
                        <w:numPr>
                          <w:ilvl w:val="0"/>
                          <w:numId w:val="11"/>
                        </w:numPr>
                        <w:bidi w:val="0"/>
                        <w:spacing w:after="120" w:line="240" w:lineRule="auto"/>
                        <w:ind w:right="0"/>
                        <w:jc w:val="both"/>
                        <w:rPr>
                          <w:sz w:val="14"/>
                          <w:szCs w:val="14"/>
                          <w:rtl w:val="0"/>
                          <w:lang w:val="en-US"/>
                        </w:rPr>
                      </w:pPr>
                      <w:r>
                        <w:rPr>
                          <w:rStyle w:val="None"/>
                          <w:sz w:val="14"/>
                          <w:szCs w:val="14"/>
                          <w:rtl w:val="0"/>
                          <w:lang w:val="en-US"/>
                        </w:rPr>
                        <w:t>Setting achievable goals and reinforcement through constant reminders, Digital intervention can promote long-term positive outcomes (Morrison, 2015).</w:t>
                      </w:r>
                    </w:p>
                    <w:p>
                      <w:pPr>
                        <w:pStyle w:val="Body A"/>
                        <w:spacing w:line="240" w:lineRule="auto"/>
                      </w:pPr>
                      <w:r>
                        <w:rPr>
                          <w:rStyle w:val="None"/>
                          <w:sz w:val="14"/>
                          <w:szCs w:val="14"/>
                          <w:rtl w:val="0"/>
                          <w:lang w:val="en-US"/>
                        </w:rPr>
                        <w:t xml:space="preserve">However, obstacles related to using technology or analyzing data can lower one's confidence in their abilities. Additionally, since this is a new technology, individuals may feel overwhelmed by its complexity and may feel incompetent to make meaningful behavioural adjustments connected to their health (Morrison, 2015.  To boost proficiency, it is crucial to receive adequate training and continuous support. Also, adoption of such changes varies among individuals, and external factors such as access to technology and socioeconomic status can affect the effectiveness of interventions. </w:t>
                      </w:r>
                    </w:p>
                  </w:txbxContent>
                </v:textbox>
                <w10:wrap type="none" side="bothSides" anchorx="text"/>
              </v:shape>
            </w:pict>
          </mc:Fallback>
        </mc:AlternateContent>
      </w: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r>
        <w:rPr>
          <w:rStyle w:val="None"/>
          <w:rFonts w:ascii="Arial" w:hAnsi="Arial"/>
          <w:rtl w:val="0"/>
          <w:lang w:val="en-US"/>
        </w:rPr>
        <w:t>so</w:t>
      </w: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rPr>
      </w:pPr>
    </w:p>
    <w:p>
      <w:pPr>
        <w:pStyle w:val="Body A"/>
        <w:tabs>
          <w:tab w:val="left" w:pos="11020"/>
        </w:tabs>
        <w:spacing w:line="360" w:lineRule="auto"/>
        <w:rPr>
          <w:rStyle w:val="None"/>
          <w:rFonts w:ascii="Arial" w:cs="Arial" w:hAnsi="Arial" w:eastAsia="Arial"/>
          <w:lang w:val="fr-FR"/>
        </w:rPr>
      </w:pPr>
    </w:p>
    <w:p>
      <w:pPr>
        <w:pStyle w:val="Body A"/>
        <w:tabs>
          <w:tab w:val="left" w:pos="11020"/>
        </w:tabs>
        <w:spacing w:line="360" w:lineRule="auto"/>
        <w:rPr>
          <w:rStyle w:val="None"/>
          <w:rFonts w:ascii="Arial" w:cs="Arial" w:hAnsi="Arial" w:eastAsia="Arial"/>
          <w:lang w:val="fr-FR"/>
        </w:rPr>
      </w:pPr>
    </w:p>
    <w:p>
      <w:pPr>
        <w:pStyle w:val="Body A"/>
        <w:tabs>
          <w:tab w:val="left" w:pos="11020"/>
        </w:tabs>
        <w:spacing w:line="360" w:lineRule="auto"/>
        <w:rPr>
          <w:rStyle w:val="None"/>
          <w:rFonts w:ascii="Arial" w:cs="Arial" w:hAnsi="Arial" w:eastAsia="Arial"/>
          <w:lang w:val="fr-FR"/>
        </w:rPr>
      </w:pPr>
    </w:p>
    <w:p>
      <w:pPr>
        <w:pStyle w:val="Body A"/>
        <w:tabs>
          <w:tab w:val="left" w:pos="11020"/>
        </w:tabs>
        <w:spacing w:line="360" w:lineRule="auto"/>
        <w:rPr>
          <w:rStyle w:val="None"/>
          <w:rFonts w:ascii="Arial" w:cs="Arial" w:hAnsi="Arial" w:eastAsia="Arial"/>
          <w:lang w:val="fr-FR"/>
        </w:rPr>
      </w:pPr>
    </w:p>
    <w:p>
      <w:pPr>
        <w:pStyle w:val="Body A"/>
        <w:tabs>
          <w:tab w:val="left" w:pos="11020"/>
        </w:tabs>
        <w:spacing w:line="360" w:lineRule="auto"/>
        <w:rPr>
          <w:rStyle w:val="None"/>
          <w:rFonts w:ascii="Arial" w:cs="Arial" w:hAnsi="Arial" w:eastAsia="Arial"/>
          <w:lang w:val="fr-FR"/>
        </w:rPr>
      </w:pPr>
    </w:p>
    <w:p>
      <w:pPr>
        <w:pStyle w:val="Body A"/>
        <w:tabs>
          <w:tab w:val="left" w:pos="11020"/>
        </w:tabs>
        <w:spacing w:line="360" w:lineRule="auto"/>
        <w:rPr>
          <w:rStyle w:val="None"/>
          <w:rFonts w:ascii="Arial" w:cs="Arial" w:hAnsi="Arial" w:eastAsia="Arial"/>
          <w:lang w:val="fr-FR"/>
        </w:rPr>
      </w:pPr>
    </w:p>
    <w:p>
      <w:pPr>
        <w:pStyle w:val="Body A"/>
        <w:tabs>
          <w:tab w:val="left" w:pos="11020"/>
        </w:tabs>
        <w:spacing w:line="360" w:lineRule="auto"/>
        <w:rPr>
          <w:rStyle w:val="None"/>
          <w:rFonts w:ascii="Arial" w:cs="Arial" w:hAnsi="Arial" w:eastAsia="Arial"/>
          <w:lang w:val="fr-FR"/>
        </w:rPr>
      </w:pPr>
    </w:p>
    <w:p>
      <w:pPr>
        <w:pStyle w:val="Body A"/>
        <w:tabs>
          <w:tab w:val="left" w:pos="11020"/>
        </w:tabs>
        <w:spacing w:line="360" w:lineRule="auto"/>
        <w:rPr>
          <w:rStyle w:val="None"/>
          <w:rFonts w:ascii="Arial" w:cs="Arial" w:hAnsi="Arial" w:eastAsia="Arial"/>
          <w:lang w:val="fr-FR"/>
        </w:rPr>
      </w:pPr>
      <w:r>
        <w:rPr>
          <w:rStyle w:val="None"/>
          <w:rFonts w:ascii="Arial" w:hAnsi="Arial"/>
          <w:rtl w:val="0"/>
          <w:lang w:val="fr-FR"/>
        </w:rPr>
        <w:t xml:space="preserve">References </w:t>
      </w:r>
    </w:p>
    <w:p>
      <w:pPr>
        <w:pStyle w:val="Body A"/>
        <w:tabs>
          <w:tab w:val="left" w:pos="11020"/>
        </w:tabs>
        <w:spacing w:line="360" w:lineRule="auto"/>
        <w:ind w:left="360" w:firstLine="0"/>
        <w:rPr>
          <w:rStyle w:val="None"/>
          <w:rFonts w:ascii="Arial" w:cs="Arial" w:hAnsi="Arial" w:eastAsia="Arial"/>
        </w:rPr>
      </w:pPr>
      <w:r>
        <w:rPr>
          <w:rStyle w:val="None"/>
          <w:rFonts w:ascii="Arial" w:hAnsi="Arial"/>
          <w:rtl w:val="0"/>
          <w:lang w:val="en-US"/>
        </w:rPr>
        <w:t xml:space="preserve">Health matters: preventing cardiovascular disease, 2019. 14 February 2019 [online] </w:t>
      </w:r>
      <w:r>
        <w:rPr>
          <w:rStyle w:val="Hyperlink.3"/>
        </w:rPr>
        <w:fldChar w:fldCharType="begin" w:fldLock="0"/>
      </w:r>
      <w:r>
        <w:rPr>
          <w:rStyle w:val="Hyperlink.3"/>
        </w:rPr>
        <w:instrText xml:space="preserve"> HYPERLINK "https://www.gov.uk/government/publications/health-matters-preventing-cardiovascular-disease/health-matters-preventing-cardiovascular-disease"</w:instrText>
      </w:r>
      <w:r>
        <w:rPr>
          <w:rStyle w:val="Hyperlink.3"/>
        </w:rPr>
        <w:fldChar w:fldCharType="separate" w:fldLock="0"/>
      </w:r>
      <w:r>
        <w:rPr>
          <w:rStyle w:val="Hyperlink.3"/>
          <w:rtl w:val="0"/>
          <w:lang w:val="en-US"/>
        </w:rPr>
        <w:t>https://www.gov.uk/government/publications/health-matters-preventing-cardiovascular-disease/health-matters-preventing-cardiovascular-disease</w:t>
      </w:r>
      <w:r>
        <w:rPr/>
        <w:fldChar w:fldCharType="end" w:fldLock="0"/>
      </w:r>
      <w:r>
        <w:rPr>
          <w:rStyle w:val="None"/>
          <w:rFonts w:ascii="Arial" w:hAnsi="Arial"/>
          <w:rtl w:val="0"/>
          <w:lang w:val="en-US"/>
        </w:rPr>
        <w:t xml:space="preserve">  [Accessed on 15 April 2024]</w:t>
      </w:r>
    </w:p>
    <w:p>
      <w:pPr>
        <w:pStyle w:val="Body A"/>
        <w:tabs>
          <w:tab w:val="left" w:pos="11020"/>
        </w:tabs>
        <w:spacing w:line="360" w:lineRule="auto"/>
        <w:ind w:left="360" w:firstLine="0"/>
        <w:rPr>
          <w:rStyle w:val="None"/>
          <w:rFonts w:ascii="Arial" w:cs="Arial" w:hAnsi="Arial" w:eastAsia="Arial"/>
        </w:rPr>
      </w:pPr>
      <w:bookmarkStart w:name="_Hlk164294804" w:id="0"/>
      <w:r>
        <w:rPr>
          <w:rStyle w:val="None"/>
          <w:rFonts w:ascii="Arial" w:hAnsi="Arial"/>
          <w:rtl w:val="0"/>
          <w:lang w:val="en-US"/>
        </w:rPr>
        <w:t xml:space="preserve">Heart UK, n. d. </w:t>
      </w:r>
      <w:bookmarkEnd w:id="0"/>
      <w:r>
        <w:rPr>
          <w:rStyle w:val="None"/>
          <w:rFonts w:ascii="Arial" w:hAnsi="Arial"/>
          <w:rtl w:val="0"/>
          <w:lang w:val="en-US"/>
        </w:rPr>
        <w:t xml:space="preserve">Prioritising the prevention of cardiovascular disease (CVD). </w:t>
      </w:r>
      <w:r>
        <w:rPr>
          <w:rStyle w:val="Hyperlink.3"/>
        </w:rPr>
        <w:fldChar w:fldCharType="begin" w:fldLock="0"/>
      </w:r>
      <w:r>
        <w:rPr>
          <w:rStyle w:val="Hyperlink.3"/>
        </w:rPr>
        <w:instrText xml:space="preserve"> HYPERLINK "https://www.heartuk.org.uk/downloads/health-professionals/heart-uk-cvd-prevention-policy-paper---july-2019.pdf"</w:instrText>
      </w:r>
      <w:r>
        <w:rPr>
          <w:rStyle w:val="Hyperlink.3"/>
        </w:rPr>
        <w:fldChar w:fldCharType="separate" w:fldLock="0"/>
      </w:r>
      <w:r>
        <w:rPr>
          <w:rStyle w:val="Hyperlink.3"/>
          <w:rtl w:val="0"/>
          <w:lang w:val="en-US"/>
        </w:rPr>
        <w:t>https://www.heartuk.org.uk/downloads/health-professionals/heart-uk-cvd-prevention-policy-paper---july-2019.pdf</w:t>
      </w:r>
      <w:r>
        <w:rPr/>
        <w:fldChar w:fldCharType="end" w:fldLock="0"/>
      </w:r>
      <w:r>
        <w:rPr>
          <w:rStyle w:val="None"/>
          <w:rFonts w:ascii="Arial" w:hAnsi="Arial"/>
          <w:rtl w:val="0"/>
          <w:lang w:val="en-US"/>
        </w:rPr>
        <w:t xml:space="preserve">  [Accessed on 16 April, 2024]</w:t>
      </w:r>
    </w:p>
    <w:p>
      <w:pPr>
        <w:pStyle w:val="Body A"/>
        <w:tabs>
          <w:tab w:val="left" w:pos="11020"/>
        </w:tabs>
        <w:spacing w:line="360" w:lineRule="auto"/>
        <w:ind w:left="360" w:firstLine="0"/>
        <w:rPr>
          <w:rStyle w:val="None"/>
          <w:rFonts w:ascii="Arial" w:cs="Arial" w:hAnsi="Arial" w:eastAsia="Arial"/>
        </w:rPr>
      </w:pPr>
      <w:bookmarkStart w:name="_Hlk164294884" w:id="1"/>
      <w:r>
        <w:rPr>
          <w:rStyle w:val="None"/>
          <w:rFonts w:ascii="Arial" w:hAnsi="Arial"/>
          <w:rtl w:val="0"/>
          <w:lang w:val="en-US"/>
        </w:rPr>
        <w:t>Ndejjo</w:t>
      </w:r>
      <w:bookmarkEnd w:id="1"/>
      <w:r>
        <w:rPr>
          <w:rStyle w:val="None"/>
          <w:rFonts w:ascii="Arial" w:hAnsi="Arial"/>
          <w:rtl w:val="0"/>
          <w:lang w:val="en-US"/>
        </w:rPr>
        <w:t xml:space="preserve">, R., Hassen, H.Y., Wanyenze, R.K., Musoke, D., Nuwaha, F., Abrams, S., Bastiaens, H. and Musinguzi, G., 2021. Community-based interventions for cardiovascular disease prevention in </w:t>
      </w:r>
      <w:bookmarkStart w:name="_Hlk164157454" w:id="2"/>
      <w:r>
        <w:rPr>
          <w:rStyle w:val="None"/>
          <w:rFonts w:ascii="Arial" w:hAnsi="Arial"/>
          <w:rtl w:val="0"/>
          <w:lang w:val="en-US"/>
        </w:rPr>
        <w:t xml:space="preserve">low-and middle-income countries: </w:t>
      </w:r>
      <w:bookmarkEnd w:id="2"/>
      <w:r>
        <w:rPr>
          <w:rStyle w:val="None"/>
          <w:rFonts w:ascii="Arial" w:hAnsi="Arial"/>
          <w:rtl w:val="0"/>
          <w:lang w:val="en-US"/>
        </w:rPr>
        <w:t xml:space="preserve">a systematic review. </w:t>
      </w:r>
      <w:r>
        <w:rPr>
          <w:rStyle w:val="None"/>
          <w:rFonts w:ascii="Arial" w:hAnsi="Arial"/>
          <w:i w:val="1"/>
          <w:iCs w:val="1"/>
          <w:rtl w:val="0"/>
          <w:lang w:val="en-US"/>
        </w:rPr>
        <w:t>Public Health Reviews</w:t>
      </w:r>
      <w:r>
        <w:rPr>
          <w:rStyle w:val="None"/>
          <w:rFonts w:ascii="Arial" w:hAnsi="Arial"/>
          <w:rtl w:val="0"/>
          <w:lang w:val="en-US"/>
        </w:rPr>
        <w:t>, 42, p.1604018.</w:t>
      </w:r>
    </w:p>
    <w:p>
      <w:pPr>
        <w:pStyle w:val="Body A"/>
        <w:tabs>
          <w:tab w:val="left" w:pos="11020"/>
        </w:tabs>
        <w:spacing w:line="360" w:lineRule="auto"/>
        <w:ind w:left="360" w:firstLine="0"/>
        <w:rPr>
          <w:rStyle w:val="None"/>
          <w:rFonts w:ascii="Arial" w:cs="Arial" w:hAnsi="Arial" w:eastAsia="Arial"/>
        </w:rPr>
      </w:pPr>
      <w:bookmarkStart w:name="_Hlk164294926" w:id="3"/>
      <w:r>
        <w:rPr>
          <w:rStyle w:val="None"/>
          <w:rFonts w:ascii="Arial" w:hAnsi="Arial"/>
          <w:rtl w:val="0"/>
          <w:lang w:val="en-US"/>
        </w:rPr>
        <w:t>Nahar</w:t>
      </w:r>
      <w:bookmarkEnd w:id="3"/>
      <w:r>
        <w:rPr>
          <w:rStyle w:val="None"/>
          <w:rFonts w:ascii="Arial" w:hAnsi="Arial"/>
          <w:rtl w:val="0"/>
          <w:lang w:val="en-US"/>
        </w:rPr>
        <w:t>, P., van Marwijk, H., Gibson, L. et al., 2020. A protocol paper: community engagement interventions for cardiovascular disease prevention in socially disadvantaged populations in the UK: an implementation research study</w:t>
      </w:r>
      <w:r>
        <w:rPr>
          <w:rStyle w:val="None"/>
          <w:rFonts w:ascii="Arial" w:hAnsi="Arial"/>
          <w:i w:val="1"/>
          <w:iCs w:val="1"/>
          <w:rtl w:val="0"/>
          <w:lang w:val="en-US"/>
        </w:rPr>
        <w:t>. glob health res policy</w:t>
      </w:r>
      <w:r>
        <w:rPr>
          <w:rStyle w:val="None"/>
          <w:rFonts w:ascii="Arial" w:hAnsi="Arial"/>
          <w:rtl w:val="0"/>
          <w:lang w:val="en-US"/>
        </w:rPr>
        <w:t xml:space="preserve"> 5, 12. </w:t>
      </w:r>
      <w:r>
        <w:rPr>
          <w:rStyle w:val="Hyperlink.3"/>
        </w:rPr>
        <w:fldChar w:fldCharType="begin" w:fldLock="0"/>
      </w:r>
      <w:r>
        <w:rPr>
          <w:rStyle w:val="Hyperlink.3"/>
        </w:rPr>
        <w:instrText xml:space="preserve"> HYPERLINK "https://doi.org/10.1186/s41256-020-0131-1"</w:instrText>
      </w:r>
      <w:r>
        <w:rPr>
          <w:rStyle w:val="Hyperlink.3"/>
        </w:rPr>
        <w:fldChar w:fldCharType="separate" w:fldLock="0"/>
      </w:r>
      <w:r>
        <w:rPr>
          <w:rStyle w:val="Hyperlink.3"/>
          <w:rtl w:val="0"/>
          <w:lang w:val="en-US"/>
        </w:rPr>
        <w:t>https://doi.org/10.1186/s41256-020-0131-1</w:t>
      </w:r>
      <w:r>
        <w:rPr/>
        <w:fldChar w:fldCharType="end" w:fldLock="0"/>
      </w:r>
      <w:r>
        <w:rPr>
          <w:rStyle w:val="None"/>
          <w:rFonts w:ascii="Arial" w:hAnsi="Arial"/>
          <w:rtl w:val="0"/>
          <w:lang w:val="en-US"/>
        </w:rPr>
        <w:t xml:space="preserve"> </w:t>
      </w:r>
    </w:p>
    <w:p>
      <w:pPr>
        <w:pStyle w:val="Body A"/>
        <w:tabs>
          <w:tab w:val="left" w:pos="11020"/>
        </w:tabs>
        <w:spacing w:line="360" w:lineRule="auto"/>
        <w:ind w:left="360" w:firstLine="0"/>
        <w:rPr>
          <w:rStyle w:val="None"/>
          <w:rFonts w:ascii="Arial" w:cs="Arial" w:hAnsi="Arial" w:eastAsia="Arial"/>
        </w:rPr>
      </w:pPr>
      <w:bookmarkStart w:name="_Hlk164294974" w:id="4"/>
      <w:r>
        <w:rPr>
          <w:rStyle w:val="None"/>
          <w:rFonts w:ascii="Arial" w:hAnsi="Arial"/>
          <w:rtl w:val="0"/>
          <w:lang w:val="de-DE"/>
        </w:rPr>
        <w:t>Ogungbe</w:t>
      </w:r>
      <w:bookmarkEnd w:id="4"/>
      <w:r>
        <w:rPr>
          <w:rStyle w:val="None"/>
          <w:rFonts w:ascii="Arial" w:hAnsi="Arial"/>
          <w:rtl w:val="0"/>
          <w:lang w:val="it-IT"/>
        </w:rPr>
        <w:t>, O., Longenecker, C.T., Beaton, A., de Loizaga, S., Brant, L.C.C., Turkson Ocran, R.A.N., Bastani, P., Sarfo, F.S. and Commodore</w:t>
      </w:r>
      <w:r>
        <w:rPr>
          <w:rStyle w:val="None"/>
          <w:rFonts w:ascii="Cambria Math" w:cs="Cambria Math" w:hAnsi="Cambria Math" w:eastAsia="Cambria Math"/>
          <w:rtl w:val="0"/>
          <w:lang w:val="en-US"/>
        </w:rPr>
        <w:t>‐</w:t>
      </w:r>
      <w:r>
        <w:rPr>
          <w:rStyle w:val="None"/>
          <w:rFonts w:ascii="Arial" w:hAnsi="Arial"/>
          <w:rtl w:val="0"/>
          <w:lang w:val="en-US"/>
        </w:rPr>
        <w:t xml:space="preserve">Mensah, Y., 2024. Advancing Cardiovascular Health Equity Globally Through Digital Technologies. </w:t>
      </w:r>
      <w:r>
        <w:rPr>
          <w:rStyle w:val="None"/>
          <w:rFonts w:ascii="Arial" w:hAnsi="Arial"/>
          <w:i w:val="1"/>
          <w:iCs w:val="1"/>
          <w:rtl w:val="0"/>
          <w:lang w:val="en-US"/>
        </w:rPr>
        <w:t>Journal of the American Heart Association</w:t>
      </w:r>
      <w:r>
        <w:rPr>
          <w:rStyle w:val="None"/>
          <w:rFonts w:ascii="Arial" w:hAnsi="Arial"/>
          <w:rtl w:val="0"/>
          <w:lang w:val="en-US"/>
        </w:rPr>
        <w:t>, 13(2), p.e031237.</w:t>
      </w:r>
    </w:p>
    <w:p>
      <w:pPr>
        <w:pStyle w:val="Body A"/>
        <w:tabs>
          <w:tab w:val="left" w:pos="11020"/>
        </w:tabs>
        <w:spacing w:line="360" w:lineRule="auto"/>
        <w:ind w:left="360" w:firstLine="0"/>
        <w:rPr>
          <w:rStyle w:val="None"/>
          <w:rFonts w:ascii="Arial" w:cs="Arial" w:hAnsi="Arial" w:eastAsia="Arial"/>
        </w:rPr>
      </w:pPr>
      <w:bookmarkStart w:name="_Hlk164294600" w:id="5"/>
      <w:r>
        <w:rPr>
          <w:rStyle w:val="None"/>
          <w:rFonts w:ascii="Arial" w:hAnsi="Arial"/>
          <w:rtl w:val="0"/>
          <w:lang w:val="en-US"/>
        </w:rPr>
        <w:t>World Heart Federation, 2023</w:t>
      </w:r>
      <w:bookmarkEnd w:id="5"/>
      <w:r>
        <w:rPr>
          <w:rStyle w:val="None"/>
          <w:rFonts w:ascii="Arial" w:hAnsi="Arial"/>
          <w:rtl w:val="0"/>
          <w:lang w:val="en-US"/>
        </w:rPr>
        <w:t>. World heart report 2023. Confronting the world</w:t>
      </w:r>
      <w:r>
        <w:rPr>
          <w:rStyle w:val="None"/>
          <w:rFonts w:ascii="Arial" w:hAnsi="Arial" w:hint="default"/>
          <w:rtl w:val="1"/>
          <w:lang w:val="ar-SA" w:bidi="ar-SA"/>
        </w:rPr>
        <w:t>’</w:t>
      </w:r>
      <w:r>
        <w:rPr>
          <w:rStyle w:val="None"/>
          <w:rFonts w:ascii="Arial" w:hAnsi="Arial"/>
          <w:rtl w:val="0"/>
          <w:lang w:val="en-US"/>
        </w:rPr>
        <w:t xml:space="preserve">s number one killer. 2024, 16 April [Online] at </w:t>
      </w:r>
      <w:r>
        <w:rPr>
          <w:rStyle w:val="Hyperlink.4"/>
          <w:rFonts w:ascii="Arial" w:cs="Arial" w:hAnsi="Arial" w:eastAsia="Arial"/>
          <w:outline w:val="0"/>
          <w:color w:val="000000"/>
          <w:u w:val="none" w:color="000000"/>
          <w:lang w:val="en-US"/>
          <w14:textFill>
            <w14:solidFill>
              <w14:srgbClr w14:val="000000"/>
            </w14:solidFill>
          </w14:textFill>
        </w:rPr>
        <w:fldChar w:fldCharType="begin" w:fldLock="0"/>
      </w:r>
      <w:r>
        <w:rPr>
          <w:rStyle w:val="Hyperlink.4"/>
          <w:rFonts w:ascii="Arial" w:cs="Arial" w:hAnsi="Arial" w:eastAsia="Arial"/>
          <w:outline w:val="0"/>
          <w:color w:val="000000"/>
          <w:u w:val="none" w:color="000000"/>
          <w:lang w:val="en-US"/>
          <w14:textFill>
            <w14:solidFill>
              <w14:srgbClr w14:val="000000"/>
            </w14:solidFill>
          </w14:textFill>
        </w:rPr>
        <w:instrText xml:space="preserve"> HYPERLINK "https://world-heart-federation.org/wp-content/uploads/World-Heart-Report-2023.pdf"</w:instrText>
      </w:r>
      <w:r>
        <w:rPr>
          <w:rStyle w:val="Hyperlink.4"/>
          <w:rFonts w:ascii="Arial" w:cs="Arial" w:hAnsi="Arial" w:eastAsia="Arial"/>
          <w:outline w:val="0"/>
          <w:color w:val="000000"/>
          <w:u w:val="none" w:color="000000"/>
          <w:lang w:val="en-US"/>
          <w14:textFill>
            <w14:solidFill>
              <w14:srgbClr w14:val="000000"/>
            </w14:solidFill>
          </w14:textFill>
        </w:rPr>
        <w:fldChar w:fldCharType="separate" w:fldLock="0"/>
      </w:r>
      <w:r>
        <w:rPr>
          <w:rStyle w:val="Hyperlink.4"/>
          <w:rFonts w:ascii="Arial" w:hAnsi="Arial"/>
          <w:outline w:val="0"/>
          <w:color w:val="000000"/>
          <w:u w:val="none" w:color="000000"/>
          <w:rtl w:val="0"/>
          <w:lang w:val="en-US"/>
          <w14:textFill>
            <w14:solidFill>
              <w14:srgbClr w14:val="000000"/>
            </w14:solidFill>
          </w14:textFill>
        </w:rPr>
        <w:t>https://world-heart-federation.org/wp-content/uploads/World-Heart-Report-2023.pdf</w:t>
      </w:r>
      <w:r>
        <w:rPr/>
        <w:fldChar w:fldCharType="end" w:fldLock="0"/>
      </w:r>
      <w:r>
        <w:rPr>
          <w:rStyle w:val="None"/>
          <w:rFonts w:ascii="Arial" w:hAnsi="Arial"/>
          <w:rtl w:val="0"/>
          <w:lang w:val="en-US"/>
        </w:rPr>
        <w:t xml:space="preserve"> [Accessed on 16 April 2024].</w:t>
      </w:r>
    </w:p>
    <w:p>
      <w:pPr>
        <w:pStyle w:val="Body A"/>
        <w:tabs>
          <w:tab w:val="left" w:pos="11020"/>
        </w:tabs>
        <w:spacing w:line="360" w:lineRule="auto"/>
        <w:ind w:left="360" w:firstLine="0"/>
        <w:rPr>
          <w:rStyle w:val="None"/>
          <w:rFonts w:ascii="Arial" w:cs="Arial" w:hAnsi="Arial" w:eastAsia="Arial"/>
        </w:rPr>
      </w:pPr>
      <w:bookmarkStart w:name="_Hlk164294637" w:id="6"/>
      <w:r>
        <w:rPr>
          <w:rStyle w:val="None"/>
          <w:rFonts w:ascii="Arial" w:hAnsi="Arial"/>
          <w:rtl w:val="0"/>
          <w:lang w:val="de-DE"/>
        </w:rPr>
        <w:t>Spiteri, J. and von Brockdorff, P., 2019</w:t>
      </w:r>
      <w:bookmarkEnd w:id="6"/>
      <w:r>
        <w:rPr>
          <w:rStyle w:val="None"/>
          <w:rFonts w:ascii="Arial" w:hAnsi="Arial"/>
          <w:rtl w:val="0"/>
          <w:lang w:val="en-US"/>
        </w:rPr>
        <w:t>. Economic development and health outcomes: Evidence from cardiovascular disease mortality in Europe</w:t>
      </w:r>
      <w:r>
        <w:rPr>
          <w:rStyle w:val="None"/>
          <w:rFonts w:ascii="Arial" w:hAnsi="Arial"/>
          <w:i w:val="1"/>
          <w:iCs w:val="1"/>
          <w:rtl w:val="0"/>
          <w:lang w:val="en-US"/>
        </w:rPr>
        <w:t>. Social Science &amp; Medicine</w:t>
      </w:r>
      <w:r>
        <w:rPr>
          <w:rStyle w:val="None"/>
          <w:rFonts w:ascii="Arial" w:hAnsi="Arial"/>
          <w:rtl w:val="0"/>
          <w:lang w:val="en-US"/>
        </w:rPr>
        <w:t>, 224, pp.37-44.</w:t>
      </w:r>
    </w:p>
    <w:p>
      <w:pPr>
        <w:pStyle w:val="Body A"/>
        <w:tabs>
          <w:tab w:val="left" w:pos="11020"/>
        </w:tabs>
        <w:spacing w:line="360" w:lineRule="auto"/>
        <w:ind w:left="360" w:firstLine="0"/>
        <w:rPr>
          <w:rStyle w:val="None"/>
          <w:rFonts w:ascii="Arial" w:cs="Arial" w:hAnsi="Arial" w:eastAsia="Arial"/>
        </w:rPr>
      </w:pPr>
      <w:bookmarkStart w:name="_Hlk164294841" w:id="7"/>
      <w:r>
        <w:rPr>
          <w:rStyle w:val="None"/>
          <w:rFonts w:ascii="Arial" w:hAnsi="Arial"/>
          <w:rtl w:val="0"/>
          <w:lang w:val="it-IT"/>
        </w:rPr>
        <w:t>Ramic-Catak</w:t>
      </w:r>
      <w:bookmarkEnd w:id="7"/>
      <w:r>
        <w:rPr>
          <w:rStyle w:val="None"/>
          <w:rFonts w:ascii="Arial" w:hAnsi="Arial"/>
          <w:rtl w:val="0"/>
          <w:lang w:val="en-US"/>
        </w:rPr>
        <w:t>, A., Mesihovic-Dinarevic, S., Prnjavorac, B., Naser, N. and Masic, I., 2023. Public Health Dimensions of Cardiovascular Diseases (CVD) Prevention and Control</w:t>
      </w:r>
      <w:r>
        <w:rPr>
          <w:rStyle w:val="None"/>
          <w:rFonts w:ascii="Arial" w:hAnsi="Arial" w:hint="default"/>
          <w:rtl w:val="0"/>
          <w:lang w:val="en-US"/>
        </w:rPr>
        <w:t>–</w:t>
      </w:r>
      <w:r>
        <w:rPr>
          <w:rStyle w:val="None"/>
          <w:rFonts w:ascii="Arial" w:hAnsi="Arial"/>
          <w:rtl w:val="0"/>
          <w:lang w:val="en-US"/>
        </w:rPr>
        <w:t xml:space="preserve">Global Perspectives and Current Situation in the Federation of Bosnia and Herzegovina. </w:t>
      </w:r>
      <w:r>
        <w:rPr>
          <w:rStyle w:val="None"/>
          <w:rFonts w:ascii="Arial" w:hAnsi="Arial"/>
          <w:i w:val="1"/>
          <w:iCs w:val="1"/>
          <w:rtl w:val="0"/>
          <w:lang w:val="pt-PT"/>
        </w:rPr>
        <w:t>Materia Socio-Medica</w:t>
      </w:r>
      <w:r>
        <w:rPr>
          <w:rStyle w:val="None"/>
          <w:rFonts w:ascii="Arial" w:hAnsi="Arial"/>
          <w:rtl w:val="0"/>
          <w:lang w:val="pt-PT"/>
        </w:rPr>
        <w:t>, 35(2), p.88.</w:t>
      </w:r>
    </w:p>
    <w:p>
      <w:pPr>
        <w:pStyle w:val="Body A"/>
        <w:tabs>
          <w:tab w:val="left" w:pos="11020"/>
        </w:tabs>
        <w:spacing w:line="360" w:lineRule="auto"/>
        <w:ind w:left="360" w:firstLine="0"/>
        <w:rPr>
          <w:rStyle w:val="None"/>
          <w:rFonts w:ascii="Arial" w:cs="Arial" w:hAnsi="Arial" w:eastAsia="Arial"/>
        </w:rPr>
      </w:pPr>
      <w:r>
        <w:rPr>
          <w:rStyle w:val="None"/>
          <w:rFonts w:ascii="Arial" w:hAnsi="Arial"/>
          <w:rtl w:val="0"/>
          <w:lang w:val="pt-PT"/>
        </w:rPr>
        <w:t xml:space="preserve">Zaprutko, T., Zaprutko, J., Baszko, A., et al., 2020. </w:t>
      </w:r>
      <w:r>
        <w:rPr>
          <w:rStyle w:val="None"/>
          <w:rFonts w:ascii="Arial" w:hAnsi="Arial"/>
          <w:rtl w:val="0"/>
          <w:lang w:val="en-US"/>
        </w:rPr>
        <w:t>Feasibility of Atrial Fibrillation Screening With Mobile Health Technologies at Pharmacies</w:t>
      </w:r>
      <w:r>
        <w:rPr>
          <w:rStyle w:val="None"/>
          <w:rFonts w:ascii="Arial" w:hAnsi="Arial"/>
          <w:i w:val="1"/>
          <w:iCs w:val="1"/>
          <w:rtl w:val="0"/>
          <w:lang w:val="en-US"/>
        </w:rPr>
        <w:t>. Journal of Cardiovascular Pharmacology and Therapeutics</w:t>
      </w:r>
      <w:r>
        <w:rPr>
          <w:rStyle w:val="None"/>
          <w:rFonts w:ascii="Arial" w:hAnsi="Arial"/>
          <w:rtl w:val="0"/>
          <w:lang w:val="en-US"/>
        </w:rPr>
        <w:t xml:space="preserve">. 25(2), pp.142-151. doi:10.1177/1074248419879089 </w:t>
      </w:r>
    </w:p>
    <w:p>
      <w:pPr>
        <w:pStyle w:val="Body A"/>
        <w:tabs>
          <w:tab w:val="left" w:pos="11020"/>
        </w:tabs>
        <w:spacing w:line="360" w:lineRule="auto"/>
        <w:ind w:left="360" w:firstLine="0"/>
        <w:rPr>
          <w:rStyle w:val="None"/>
          <w:rFonts w:ascii="Arial" w:cs="Arial" w:hAnsi="Arial" w:eastAsia="Arial"/>
        </w:rPr>
      </w:pPr>
      <w:bookmarkStart w:name="_Hlk164293787" w:id="8"/>
      <w:r>
        <w:rPr>
          <w:rStyle w:val="None"/>
          <w:rFonts w:ascii="Arial" w:hAnsi="Arial"/>
          <w:rtl w:val="0"/>
          <w:lang w:val="en-US"/>
        </w:rPr>
        <w:t>World Health Organization</w:t>
      </w:r>
      <w:bookmarkEnd w:id="8"/>
      <w:r>
        <w:rPr>
          <w:rStyle w:val="None"/>
          <w:rFonts w:ascii="Arial" w:hAnsi="Arial"/>
          <w:rtl w:val="0"/>
          <w:lang w:val="en-US"/>
        </w:rPr>
        <w:t>. Ottawa Charter for Health Promotion. Geneva (CHE):WHO; 1986</w:t>
      </w:r>
    </w:p>
    <w:p>
      <w:pPr>
        <w:pStyle w:val="Body A"/>
        <w:tabs>
          <w:tab w:val="left" w:pos="11020"/>
        </w:tabs>
        <w:spacing w:line="360" w:lineRule="auto"/>
        <w:ind w:left="360" w:firstLine="0"/>
        <w:rPr>
          <w:rStyle w:val="None"/>
          <w:rFonts w:ascii="Arial" w:cs="Arial" w:hAnsi="Arial" w:eastAsia="Arial"/>
        </w:rPr>
      </w:pPr>
      <w:bookmarkStart w:name="_Hlk164294199" w:id="9"/>
      <w:r>
        <w:rPr>
          <w:rStyle w:val="None"/>
          <w:rFonts w:ascii="Arial" w:hAnsi="Arial"/>
          <w:rtl w:val="0"/>
          <w:lang w:val="en-US"/>
        </w:rPr>
        <w:t>Jama-Mahmud</w:t>
      </w:r>
      <w:bookmarkEnd w:id="9"/>
      <w:r>
        <w:rPr>
          <w:rStyle w:val="None"/>
          <w:rFonts w:ascii="Arial" w:hAnsi="Arial"/>
          <w:rtl w:val="0"/>
          <w:lang w:val="en-US"/>
        </w:rPr>
        <w:t>, A., Olander, E., Eriks</w:t>
      </w:r>
      <w:r>
        <w:rPr>
          <w:rStyle w:val="None"/>
          <w:rFonts w:ascii="Arial" w:hAnsi="Arial" w:hint="default"/>
          <w:rtl w:val="0"/>
          <w:lang w:val="fr-FR"/>
        </w:rPr>
        <w:t>é</w:t>
      </w:r>
      <w:r>
        <w:rPr>
          <w:rStyle w:val="None"/>
          <w:rFonts w:ascii="Arial" w:hAnsi="Arial"/>
          <w:rtl w:val="0"/>
          <w:lang w:val="en-US"/>
        </w:rPr>
        <w:t>n, S. and Haglund, J.A., 2011. Design for health promotion: going beyond traditional interface issues to core-values</w:t>
      </w:r>
      <w:r>
        <w:rPr>
          <w:rStyle w:val="None"/>
          <w:rFonts w:ascii="Arial" w:hAnsi="Arial"/>
          <w:i w:val="1"/>
          <w:iCs w:val="1"/>
          <w:rtl w:val="0"/>
          <w:lang w:val="en-US"/>
        </w:rPr>
        <w:t>. Infrastructures for Healthcare: Global Healthcare</w:t>
      </w:r>
      <w:r>
        <w:rPr>
          <w:rStyle w:val="None"/>
          <w:rFonts w:ascii="Arial" w:hAnsi="Arial"/>
          <w:rtl w:val="0"/>
          <w:lang w:val="en-US"/>
        </w:rPr>
        <w:t>, p.75.</w:t>
      </w:r>
    </w:p>
    <w:p>
      <w:pPr>
        <w:pStyle w:val="Body A"/>
        <w:tabs>
          <w:tab w:val="left" w:pos="11020"/>
        </w:tabs>
        <w:spacing w:line="360" w:lineRule="auto"/>
        <w:ind w:left="360" w:firstLine="0"/>
        <w:rPr>
          <w:rStyle w:val="None"/>
          <w:rFonts w:ascii="Arial" w:cs="Arial" w:hAnsi="Arial" w:eastAsia="Arial"/>
        </w:rPr>
      </w:pPr>
      <w:bookmarkStart w:name="_Hlk164294301" w:id="10"/>
      <w:r>
        <w:rPr>
          <w:rStyle w:val="None"/>
          <w:rFonts w:ascii="Arial" w:hAnsi="Arial"/>
          <w:rtl w:val="0"/>
          <w:lang w:val="nl-NL"/>
        </w:rPr>
        <w:t>Lee</w:t>
      </w:r>
      <w:bookmarkEnd w:id="10"/>
      <w:r>
        <w:rPr>
          <w:rStyle w:val="None"/>
          <w:rFonts w:ascii="Arial" w:hAnsi="Arial"/>
          <w:rtl w:val="0"/>
          <w:lang w:val="en-US"/>
        </w:rPr>
        <w:t xml:space="preserve">, M.A., Song, M., Bessette, H., Davis, M.R., Tyner, T.E. and Reid, A., 2023. Use of wearables for monitoring cardiometabolic health: A systematic review. </w:t>
      </w:r>
      <w:r>
        <w:rPr>
          <w:rStyle w:val="None"/>
          <w:rFonts w:ascii="Arial" w:hAnsi="Arial"/>
          <w:i w:val="1"/>
          <w:iCs w:val="1"/>
          <w:rtl w:val="0"/>
          <w:lang w:val="en-US"/>
        </w:rPr>
        <w:t>International Journal of Medical Informatics</w:t>
      </w:r>
      <w:r>
        <w:rPr>
          <w:rStyle w:val="None"/>
          <w:rFonts w:ascii="Arial" w:hAnsi="Arial"/>
          <w:rtl w:val="0"/>
          <w:lang w:val="en-US"/>
        </w:rPr>
        <w:t>, p.105218.</w:t>
      </w:r>
    </w:p>
    <w:p>
      <w:pPr>
        <w:pStyle w:val="Body A"/>
        <w:tabs>
          <w:tab w:val="left" w:pos="11020"/>
        </w:tabs>
        <w:spacing w:line="360" w:lineRule="auto"/>
        <w:ind w:left="360" w:firstLine="0"/>
        <w:rPr>
          <w:rStyle w:val="None"/>
          <w:rFonts w:ascii="Arial" w:cs="Arial" w:hAnsi="Arial" w:eastAsia="Arial"/>
        </w:rPr>
      </w:pPr>
      <w:r>
        <w:rPr>
          <w:rStyle w:val="None"/>
          <w:rFonts w:ascii="Arial" w:hAnsi="Arial"/>
          <w:rtl w:val="0"/>
          <w:lang w:val="en-US"/>
        </w:rPr>
        <w:t xml:space="preserve">Glanz, K., Rimer, B.K. and Viswanath, K. eds., 2015. </w:t>
      </w:r>
      <w:r>
        <w:rPr>
          <w:rStyle w:val="None"/>
          <w:rFonts w:ascii="Arial" w:hAnsi="Arial"/>
          <w:i w:val="1"/>
          <w:iCs w:val="1"/>
          <w:rtl w:val="0"/>
          <w:lang w:val="en-US"/>
        </w:rPr>
        <w:t>Health behavior: Theory, research, and practice</w:t>
      </w:r>
      <w:r>
        <w:rPr>
          <w:rStyle w:val="None"/>
          <w:rFonts w:ascii="Arial" w:hAnsi="Arial"/>
          <w:rtl w:val="0"/>
          <w:lang w:val="it-IT"/>
        </w:rPr>
        <w:t>. John Wiley &amp; Sons.</w:t>
      </w:r>
    </w:p>
    <w:p>
      <w:pPr>
        <w:pStyle w:val="Body A"/>
        <w:tabs>
          <w:tab w:val="left" w:pos="11020"/>
        </w:tabs>
        <w:spacing w:line="360" w:lineRule="auto"/>
        <w:ind w:left="360" w:firstLine="0"/>
        <w:rPr>
          <w:rStyle w:val="None"/>
          <w:rFonts w:ascii="Arial" w:cs="Arial" w:hAnsi="Arial" w:eastAsia="Arial"/>
        </w:rPr>
      </w:pPr>
      <w:bookmarkStart w:name="_Hlk164284805" w:id="11"/>
      <w:r>
        <w:rPr>
          <w:rStyle w:val="None"/>
          <w:rFonts w:ascii="Arial" w:hAnsi="Arial"/>
          <w:rtl w:val="0"/>
          <w:lang w:val="en-US"/>
        </w:rPr>
        <w:t>Morrison, L.G., 2015</w:t>
      </w:r>
      <w:bookmarkEnd w:id="11"/>
      <w:r>
        <w:rPr>
          <w:rStyle w:val="None"/>
          <w:rFonts w:ascii="Arial" w:hAnsi="Arial"/>
          <w:rtl w:val="0"/>
          <w:lang w:val="en-US"/>
        </w:rPr>
        <w:t xml:space="preserve">. Theory-based strategies for enhancing the impact and usage of digital health behaviour change interventions: a review. </w:t>
      </w:r>
      <w:r>
        <w:rPr>
          <w:rStyle w:val="None"/>
          <w:rFonts w:ascii="Arial" w:hAnsi="Arial"/>
          <w:i w:val="1"/>
          <w:iCs w:val="1"/>
          <w:rtl w:val="0"/>
          <w:lang w:val="en-US"/>
        </w:rPr>
        <w:t>Digital Health</w:t>
      </w:r>
      <w:r>
        <w:rPr>
          <w:rStyle w:val="None"/>
          <w:rFonts w:ascii="Arial" w:hAnsi="Arial"/>
          <w:rtl w:val="0"/>
          <w:lang w:val="en-US"/>
        </w:rPr>
        <w:t>, 1, p.2055207615595335.</w:t>
      </w:r>
    </w:p>
    <w:p>
      <w:pPr>
        <w:pStyle w:val="Body A"/>
        <w:tabs>
          <w:tab w:val="left" w:pos="11020"/>
        </w:tabs>
        <w:spacing w:line="360" w:lineRule="auto"/>
        <w:ind w:left="360" w:firstLine="0"/>
        <w:rPr>
          <w:rStyle w:val="None"/>
          <w:rFonts w:ascii="Arial" w:cs="Arial" w:hAnsi="Arial" w:eastAsia="Arial"/>
        </w:rPr>
      </w:pPr>
      <w:r>
        <w:rPr>
          <w:rStyle w:val="None"/>
          <w:rFonts w:ascii="Arial" w:hAnsi="Arial"/>
          <w:rtl w:val="0"/>
          <w:lang w:val="en-US"/>
        </w:rPr>
        <w:t xml:space="preserve">Sawyer, C., McKeon, G., Hassan, L., Onyweaka, H., Agulleiro, L.M., Guinart, D., Torous, J. and Firth, J., 2023. Digital health behaviour change interventions in severe mental illness: a systematic review. </w:t>
      </w:r>
      <w:r>
        <w:rPr>
          <w:rStyle w:val="None"/>
          <w:rFonts w:ascii="Arial" w:hAnsi="Arial"/>
          <w:i w:val="1"/>
          <w:iCs w:val="1"/>
          <w:rtl w:val="0"/>
          <w:lang w:val="en-US"/>
        </w:rPr>
        <w:t>Psychological Medicine</w:t>
      </w:r>
      <w:r>
        <w:rPr>
          <w:rStyle w:val="None"/>
          <w:rFonts w:ascii="Arial" w:hAnsi="Arial"/>
          <w:rtl w:val="0"/>
          <w:lang w:val="en-US"/>
        </w:rPr>
        <w:t>, pp.1-41.</w:t>
      </w:r>
    </w:p>
    <w:p>
      <w:pPr>
        <w:pStyle w:val="Body A"/>
        <w:tabs>
          <w:tab w:val="left" w:pos="11020"/>
        </w:tabs>
        <w:spacing w:line="360" w:lineRule="auto"/>
        <w:ind w:left="360" w:firstLine="0"/>
        <w:rPr>
          <w:rStyle w:val="None"/>
          <w:rFonts w:ascii="Arial" w:cs="Arial" w:hAnsi="Arial" w:eastAsia="Arial"/>
        </w:rPr>
      </w:pPr>
      <w:r>
        <w:rPr>
          <w:rStyle w:val="None"/>
          <w:rFonts w:ascii="Arial" w:hAnsi="Arial"/>
          <w:rtl w:val="0"/>
          <w:lang w:val="en-US"/>
        </w:rPr>
        <w:t xml:space="preserve">Bayoumy, K., Gaber, M., Elshafeey, A., Mhaimeed, O., Dineen, E.H., Marvel, F.A., Martin, S.S., Muse, E.D., Turakhia, M.P., Tarakji, K.G. and Elshazly, M.B., 2021. Smart wearable devices in cardiovascular care: where we are and how to move forward. </w:t>
      </w:r>
      <w:r>
        <w:rPr>
          <w:rStyle w:val="None"/>
          <w:rFonts w:ascii="Arial" w:hAnsi="Arial"/>
          <w:i w:val="1"/>
          <w:iCs w:val="1"/>
          <w:rtl w:val="0"/>
          <w:lang w:val="en-US"/>
        </w:rPr>
        <w:t>Nature Reviews Cardiology</w:t>
      </w:r>
      <w:r>
        <w:rPr>
          <w:rStyle w:val="None"/>
          <w:rFonts w:ascii="Arial" w:hAnsi="Arial"/>
          <w:rtl w:val="0"/>
          <w:lang w:val="en-US"/>
        </w:rPr>
        <w:t>, 18(8), pp.581-599.</w:t>
      </w:r>
    </w:p>
    <w:p>
      <w:pPr>
        <w:pStyle w:val="Body A"/>
        <w:tabs>
          <w:tab w:val="left" w:pos="11020"/>
        </w:tabs>
        <w:spacing w:line="360" w:lineRule="auto"/>
        <w:ind w:left="360" w:firstLine="0"/>
        <w:rPr>
          <w:rStyle w:val="None"/>
          <w:rFonts w:ascii="Arial" w:cs="Arial" w:hAnsi="Arial" w:eastAsia="Arial"/>
        </w:rPr>
      </w:pPr>
      <w:r>
        <w:rPr>
          <w:rStyle w:val="None"/>
          <w:rFonts w:ascii="Arial" w:hAnsi="Arial"/>
          <w:rtl w:val="0"/>
          <w:lang w:val="en-US"/>
        </w:rPr>
        <w:t xml:space="preserve">Kuwabara, A., Su, S. and Krauss, J., 2020. Utilizing digital health technologies for patient education in lifestyle medicine. </w:t>
      </w:r>
      <w:r>
        <w:rPr>
          <w:rStyle w:val="None"/>
          <w:rFonts w:ascii="Arial" w:hAnsi="Arial"/>
          <w:i w:val="1"/>
          <w:iCs w:val="1"/>
          <w:rtl w:val="0"/>
          <w:lang w:val="en-US"/>
        </w:rPr>
        <w:t>American journal of lifestyle medicine</w:t>
      </w:r>
      <w:r>
        <w:rPr>
          <w:rStyle w:val="None"/>
          <w:rFonts w:ascii="Arial" w:hAnsi="Arial"/>
          <w:rtl w:val="0"/>
          <w:lang w:val="en-US"/>
        </w:rPr>
        <w:t>, 14(2), pp.137-142.</w:t>
      </w: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rPr>
          <w:rStyle w:val="None"/>
          <w:rFonts w:ascii="Arial" w:cs="Arial" w:hAnsi="Arial" w:eastAsia="Arial"/>
        </w:rPr>
      </w:pPr>
    </w:p>
    <w:p>
      <w:pPr>
        <w:pStyle w:val="Body A"/>
        <w:tabs>
          <w:tab w:val="left" w:pos="11020"/>
        </w:tabs>
        <w:spacing w:line="360" w:lineRule="auto"/>
        <w:ind w:left="360" w:firstLine="0"/>
        <w:jc w:val="center"/>
        <w:rPr>
          <w:rStyle w:val="None"/>
          <w:rFonts w:ascii="Arial" w:cs="Arial" w:hAnsi="Arial" w:eastAsia="Arial"/>
          <w:b w:val="1"/>
          <w:bCs w:val="1"/>
          <w:sz w:val="144"/>
          <w:szCs w:val="144"/>
        </w:rPr>
      </w:pPr>
    </w:p>
    <w:p>
      <w:pPr>
        <w:pStyle w:val="Body A"/>
        <w:tabs>
          <w:tab w:val="left" w:pos="11020"/>
        </w:tabs>
        <w:spacing w:line="360" w:lineRule="auto"/>
        <w:ind w:left="360" w:firstLine="0"/>
        <w:jc w:val="center"/>
        <w:rPr>
          <w:rStyle w:val="None"/>
          <w:rFonts w:ascii="Arial" w:cs="Arial" w:hAnsi="Arial" w:eastAsia="Arial"/>
          <w:b w:val="1"/>
          <w:bCs w:val="1"/>
          <w:sz w:val="144"/>
          <w:szCs w:val="144"/>
        </w:rPr>
      </w:pPr>
    </w:p>
    <w:p>
      <w:pPr>
        <w:pStyle w:val="Body A"/>
        <w:tabs>
          <w:tab w:val="left" w:pos="11020"/>
        </w:tabs>
        <w:spacing w:line="360" w:lineRule="auto"/>
        <w:ind w:left="360" w:firstLine="0"/>
        <w:jc w:val="center"/>
      </w:pPr>
      <w:r>
        <w:rPr>
          <w:rStyle w:val="None"/>
          <w:rFonts w:ascii="Arial" w:hAnsi="Arial"/>
          <w:b w:val="1"/>
          <w:bCs w:val="1"/>
          <w:sz w:val="144"/>
          <w:szCs w:val="144"/>
          <w:rtl w:val="0"/>
          <w:lang w:val="en-US"/>
        </w:rPr>
        <w:t>THANK YOU</w:t>
      </w:r>
    </w:p>
    <w:sectPr>
      <w:headerReference w:type="default" r:id="rId17"/>
      <w:pgSz w:w="12240" w:h="15840" w:orient="portrait"/>
      <w:pgMar w:top="360" w:right="360" w:bottom="360" w:left="360" w:header="360" w:footer="36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Arial Black">
    <w:charset w:val="00"/>
    <w:family w:val="roman"/>
    <w:pitch w:val="default"/>
  </w:font>
  <w:font w:name="Courier New">
    <w:charset w:val="00"/>
    <w:family w:val="roman"/>
    <w:pitch w:val="default"/>
  </w:font>
  <w:font w:name="Cambria Math">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ind w:left="1350" w:hanging="54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070" w:hanging="54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790" w:hanging="54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510" w:hanging="54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230" w:hanging="54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950" w:hanging="54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670" w:hanging="54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390" w:hanging="54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110" w:hanging="54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decimal"/>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51"/>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51"/>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5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81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53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5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97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9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41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13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85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57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9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51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23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95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67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9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11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83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55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2"/>
  </w:num>
  <w:num w:numId="4">
    <w:abstractNumId w:val="1"/>
  </w:num>
  <w:num w:numId="5">
    <w:abstractNumId w:val="3"/>
  </w:num>
  <w:num w:numId="6">
    <w:abstractNumId w:val="4"/>
  </w:num>
  <w:num w:numId="7">
    <w:abstractNumId w:val="5"/>
  </w:num>
  <w:num w:numId="8">
    <w:abstractNumId w:val="6"/>
  </w:num>
  <w:num w:numId="9">
    <w:abstractNumId w:val="7"/>
  </w:num>
  <w:num w:numId="10">
    <w:abstractNumId w:val="8"/>
  </w:num>
  <w:num w:numId="11">
    <w:abstractNumId w:val="9"/>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00"/>
      <w:sz w:val="24"/>
      <w:szCs w:val="24"/>
      <w:u w:val="none" w:color="000000"/>
      <w:lang w:val="en-US"/>
      <w14:textFill>
        <w14:solidFill>
          <w14:srgbClr w14:val="000000"/>
        </w14:solidFill>
      </w14:textFill>
    </w:rPr>
  </w:style>
  <w:style w:type="character" w:styleId="Hyperlink.1">
    <w:name w:val="Hyperlink.1"/>
    <w:basedOn w:val="None"/>
    <w:next w:val="Hyperlink.1"/>
    <w:rPr>
      <w:rFonts w:ascii="Arial" w:cs="Arial" w:hAnsi="Arial" w:eastAsia="Arial"/>
      <w:outline w:val="0"/>
      <w:color w:val="000000"/>
      <w:sz w:val="24"/>
      <w:szCs w:val="24"/>
      <w:u w:val="none" w:color="000000"/>
      <w14:textFill>
        <w14:solidFill>
          <w14:srgbClr w14:val="000000"/>
        </w14:solidFill>
      </w14:textFill>
    </w:rPr>
  </w:style>
  <w:style w:type="numbering" w:styleId="Imported Style 2">
    <w:name w:val="Imported Style 2"/>
    <w:pPr>
      <w:numPr>
        <w:numId w:val="3"/>
      </w:numPr>
    </w:pPr>
  </w:style>
  <w:style w:type="character" w:styleId="Hyperlink.2">
    <w:name w:val="Hyperlink.2"/>
    <w:basedOn w:val="None"/>
    <w:next w:val="Hyperlink.2"/>
    <w:rPr>
      <w:rFonts w:ascii="Arial" w:cs="Arial" w:hAnsi="Arial" w:eastAsia="Arial"/>
      <w:outline w:val="0"/>
      <w:color w:val="000000"/>
      <w:sz w:val="24"/>
      <w:szCs w:val="24"/>
      <w:u w:val="none" w:color="000000"/>
      <w:lang w:val="de-DE"/>
      <w14:textFill>
        <w14:solidFill>
          <w14:srgbClr w14:val="000000"/>
        </w14:solidFill>
      </w14:textFill>
    </w:rPr>
  </w:style>
  <w:style w:type="character" w:styleId="Hyperlink.3">
    <w:name w:val="Hyperlink.3"/>
    <w:basedOn w:val="None"/>
    <w:next w:val="Hyperlink.3"/>
    <w:rPr>
      <w:rFonts w:ascii="Arial" w:cs="Arial" w:hAnsi="Arial" w:eastAsia="Arial"/>
      <w:outline w:val="0"/>
      <w:color w:val="000000"/>
      <w:u w:val="none" w:color="000000"/>
      <w14:textFill>
        <w14:solidFill>
          <w14:srgbClr w14:val="000000"/>
        </w14:solidFill>
      </w14:textFill>
    </w:rPr>
  </w:style>
  <w:style w:type="character" w:styleId="Hyperlink.4">
    <w:name w:val="Hyperlink.4"/>
    <w:basedOn w:val="None"/>
    <w:next w:val="Hyperlink.4"/>
    <w:rPr>
      <w:rFonts w:ascii="Arial" w:cs="Arial" w:hAnsi="Arial" w:eastAsia="Arial"/>
      <w:outline w:val="0"/>
      <w:color w:val="000000"/>
      <w:u w:val="none" w:color="000000"/>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1.png"/><Relationship Id="rId13" Type="http://schemas.openxmlformats.org/officeDocument/2006/relationships/image" Target="media/image2.png"/><Relationship Id="rId14" Type="http://schemas.openxmlformats.org/officeDocument/2006/relationships/image" Target="media/image3.png"/><Relationship Id="rId15" Type="http://schemas.openxmlformats.org/officeDocument/2006/relationships/image" Target="media/image4.png"/><Relationship Id="rId16" Type="http://schemas.openxmlformats.org/officeDocument/2006/relationships/image" Target="media/image5.png"/><Relationship Id="rId17" Type="http://schemas.openxmlformats.org/officeDocument/2006/relationships/header" Target="header3.xml"/><Relationship Id="rId18" Type="http://schemas.openxmlformats.org/officeDocument/2006/relationships/numbering" Target="numbering.xml"/><Relationship Id="rId1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