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80A2F" w14:textId="77777777" w:rsidR="009B7292" w:rsidRDefault="006D169B">
      <w:pPr>
        <w:spacing w:after="200"/>
        <w:jc w:val="center"/>
      </w:pPr>
      <w:r>
        <w:rPr>
          <w:noProof/>
        </w:rPr>
        <w:drawing>
          <wp:inline distT="0" distB="0" distL="0" distR="0" wp14:anchorId="589C499C" wp14:editId="7EC0D35D">
            <wp:extent cx="1080000" cy="13451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1080000" cy="1345196"/>
                    </a:xfrm>
                    <a:prstGeom prst="rect">
                      <a:avLst/>
                    </a:prstGeom>
                  </pic:spPr>
                </pic:pic>
              </a:graphicData>
            </a:graphic>
          </wp:inline>
        </w:drawing>
      </w:r>
    </w:p>
    <w:p w14:paraId="2C9B87E4" w14:textId="77777777" w:rsidR="009B7292" w:rsidRDefault="006D169B">
      <w:pPr>
        <w:spacing w:before="80"/>
        <w:jc w:val="center"/>
      </w:pPr>
      <w:r>
        <w:rPr>
          <w:rFonts w:eastAsia="Times New Roman"/>
          <w:b/>
          <w:sz w:val="30"/>
        </w:rPr>
        <w:t>BUSINESS INTELLIGENCE, DATA WAREHOUSING</w:t>
      </w:r>
      <w:r>
        <w:rPr>
          <w:rFonts w:eastAsia="Times New Roman"/>
          <w:b/>
          <w:sz w:val="30"/>
        </w:rPr>
        <w:br/>
        <w:t>AND PREDICTIVE ANALYTICS AT ODDBOX</w:t>
      </w:r>
    </w:p>
    <w:p w14:paraId="65B8EEFF" w14:textId="77777777" w:rsidR="009B7292" w:rsidRDefault="006D169B">
      <w:pPr>
        <w:spacing w:after="520"/>
        <w:jc w:val="center"/>
      </w:pPr>
      <w:r>
        <w:rPr>
          <w:rFonts w:eastAsia="Times New Roman"/>
          <w:i/>
        </w:rPr>
        <w:t>A strategic implementation report</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3685"/>
        <w:gridCol w:w="5102"/>
      </w:tblGrid>
      <w:tr w:rsidR="009B7292" w14:paraId="37008989" w14:textId="77777777">
        <w:trPr>
          <w:jc w:val="center"/>
        </w:trPr>
        <w:tc>
          <w:tcPr>
            <w:tcW w:w="3685" w:type="dxa"/>
            <w:shd w:val="clear" w:color="auto" w:fill="D9E2F3"/>
            <w:tcMar>
              <w:top w:w="85" w:type="dxa"/>
              <w:left w:w="100" w:type="dxa"/>
              <w:bottom w:w="85" w:type="dxa"/>
              <w:right w:w="100" w:type="dxa"/>
            </w:tcMar>
            <w:vAlign w:val="center"/>
          </w:tcPr>
          <w:p w14:paraId="02B59D2F" w14:textId="77777777" w:rsidR="009B7292" w:rsidRDefault="006D169B">
            <w:pPr>
              <w:spacing w:after="0"/>
            </w:pPr>
            <w:proofErr w:type="spellStart"/>
            <w:r>
              <w:rPr>
                <w:rFonts w:eastAsia="Times New Roman"/>
                <w:b/>
              </w:rPr>
              <w:t>Programme</w:t>
            </w:r>
            <w:proofErr w:type="spellEnd"/>
          </w:p>
        </w:tc>
        <w:tc>
          <w:tcPr>
            <w:tcW w:w="5102" w:type="dxa"/>
            <w:tcMar>
              <w:top w:w="85" w:type="dxa"/>
              <w:left w:w="100" w:type="dxa"/>
              <w:bottom w:w="85" w:type="dxa"/>
              <w:right w:w="100" w:type="dxa"/>
            </w:tcMar>
            <w:vAlign w:val="center"/>
          </w:tcPr>
          <w:p w14:paraId="0C5BC0CF" w14:textId="77777777" w:rsidR="009B7292" w:rsidRDefault="006D169B">
            <w:pPr>
              <w:spacing w:after="0"/>
            </w:pPr>
            <w:r>
              <w:rPr>
                <w:rFonts w:eastAsia="Times New Roman"/>
              </w:rPr>
              <w:t>BA (Hons) Business Management</w:t>
            </w:r>
          </w:p>
        </w:tc>
      </w:tr>
      <w:tr w:rsidR="009B7292" w14:paraId="70C757D8" w14:textId="77777777">
        <w:trPr>
          <w:jc w:val="center"/>
        </w:trPr>
        <w:tc>
          <w:tcPr>
            <w:tcW w:w="3685" w:type="dxa"/>
            <w:shd w:val="clear" w:color="auto" w:fill="D9E2F3"/>
            <w:tcMar>
              <w:top w:w="85" w:type="dxa"/>
              <w:left w:w="100" w:type="dxa"/>
              <w:bottom w:w="85" w:type="dxa"/>
              <w:right w:w="100" w:type="dxa"/>
            </w:tcMar>
            <w:vAlign w:val="center"/>
          </w:tcPr>
          <w:p w14:paraId="2AA9306B" w14:textId="77777777" w:rsidR="009B7292" w:rsidRDefault="006D169B">
            <w:pPr>
              <w:spacing w:after="0"/>
            </w:pPr>
            <w:r>
              <w:rPr>
                <w:rFonts w:eastAsia="Times New Roman"/>
                <w:b/>
              </w:rPr>
              <w:t>Module</w:t>
            </w:r>
          </w:p>
        </w:tc>
        <w:tc>
          <w:tcPr>
            <w:tcW w:w="5102" w:type="dxa"/>
            <w:tcMar>
              <w:top w:w="85" w:type="dxa"/>
              <w:left w:w="100" w:type="dxa"/>
              <w:bottom w:w="85" w:type="dxa"/>
              <w:right w:w="100" w:type="dxa"/>
            </w:tcMar>
            <w:vAlign w:val="center"/>
          </w:tcPr>
          <w:p w14:paraId="37B33364" w14:textId="77777777" w:rsidR="009B7292" w:rsidRDefault="006D169B">
            <w:pPr>
              <w:spacing w:after="0"/>
            </w:pPr>
            <w:r>
              <w:rPr>
                <w:rFonts w:eastAsia="Times New Roman"/>
              </w:rPr>
              <w:t>Data Handling &amp; Business Intelligence</w:t>
            </w:r>
          </w:p>
        </w:tc>
      </w:tr>
      <w:tr w:rsidR="009B7292" w14:paraId="2F2546EA" w14:textId="77777777">
        <w:trPr>
          <w:jc w:val="center"/>
        </w:trPr>
        <w:tc>
          <w:tcPr>
            <w:tcW w:w="3685" w:type="dxa"/>
            <w:shd w:val="clear" w:color="auto" w:fill="D9E2F3"/>
            <w:tcMar>
              <w:top w:w="85" w:type="dxa"/>
              <w:left w:w="100" w:type="dxa"/>
              <w:bottom w:w="85" w:type="dxa"/>
              <w:right w:w="100" w:type="dxa"/>
            </w:tcMar>
            <w:vAlign w:val="center"/>
          </w:tcPr>
          <w:p w14:paraId="2A81F57A" w14:textId="77777777" w:rsidR="009B7292" w:rsidRDefault="006D169B">
            <w:pPr>
              <w:spacing w:after="0"/>
            </w:pPr>
            <w:r>
              <w:rPr>
                <w:rFonts w:eastAsia="Times New Roman"/>
                <w:b/>
              </w:rPr>
              <w:t>Module code</w:t>
            </w:r>
          </w:p>
        </w:tc>
        <w:tc>
          <w:tcPr>
            <w:tcW w:w="5102" w:type="dxa"/>
            <w:tcMar>
              <w:top w:w="85" w:type="dxa"/>
              <w:left w:w="100" w:type="dxa"/>
              <w:bottom w:w="85" w:type="dxa"/>
              <w:right w:w="100" w:type="dxa"/>
            </w:tcMar>
            <w:vAlign w:val="center"/>
          </w:tcPr>
          <w:p w14:paraId="56B31479" w14:textId="77777777" w:rsidR="009B7292" w:rsidRDefault="006D169B">
            <w:pPr>
              <w:spacing w:after="0"/>
            </w:pPr>
            <w:r>
              <w:rPr>
                <w:rFonts w:eastAsia="Times New Roman"/>
              </w:rPr>
              <w:t>LCBB5014</w:t>
            </w:r>
          </w:p>
        </w:tc>
      </w:tr>
      <w:tr w:rsidR="009B7292" w14:paraId="3A349DD9" w14:textId="77777777">
        <w:trPr>
          <w:jc w:val="center"/>
        </w:trPr>
        <w:tc>
          <w:tcPr>
            <w:tcW w:w="3685" w:type="dxa"/>
            <w:shd w:val="clear" w:color="auto" w:fill="D9E2F3"/>
            <w:tcMar>
              <w:top w:w="85" w:type="dxa"/>
              <w:left w:w="100" w:type="dxa"/>
              <w:bottom w:w="85" w:type="dxa"/>
              <w:right w:w="100" w:type="dxa"/>
            </w:tcMar>
            <w:vAlign w:val="center"/>
          </w:tcPr>
          <w:p w14:paraId="441E5A7F" w14:textId="77777777" w:rsidR="009B7292" w:rsidRDefault="006D169B">
            <w:pPr>
              <w:spacing w:after="0"/>
            </w:pPr>
            <w:r>
              <w:rPr>
                <w:rFonts w:eastAsia="Times New Roman"/>
                <w:b/>
              </w:rPr>
              <w:t>Assessment</w:t>
            </w:r>
          </w:p>
        </w:tc>
        <w:tc>
          <w:tcPr>
            <w:tcW w:w="5102" w:type="dxa"/>
            <w:tcMar>
              <w:top w:w="85" w:type="dxa"/>
              <w:left w:w="100" w:type="dxa"/>
              <w:bottom w:w="85" w:type="dxa"/>
              <w:right w:w="100" w:type="dxa"/>
            </w:tcMar>
            <w:vAlign w:val="center"/>
          </w:tcPr>
          <w:p w14:paraId="5B828BA8" w14:textId="77777777" w:rsidR="009B7292" w:rsidRDefault="006D169B">
            <w:pPr>
              <w:spacing w:after="0"/>
            </w:pPr>
            <w:r>
              <w:rPr>
                <w:rFonts w:eastAsia="Times New Roman"/>
              </w:rPr>
              <w:t>Component 1: Coursework – Individual Report</w:t>
            </w:r>
          </w:p>
        </w:tc>
      </w:tr>
      <w:tr w:rsidR="009B7292" w14:paraId="6BFB51D7" w14:textId="77777777">
        <w:trPr>
          <w:jc w:val="center"/>
        </w:trPr>
        <w:tc>
          <w:tcPr>
            <w:tcW w:w="3685" w:type="dxa"/>
            <w:shd w:val="clear" w:color="auto" w:fill="D9E2F3"/>
            <w:tcMar>
              <w:top w:w="85" w:type="dxa"/>
              <w:left w:w="100" w:type="dxa"/>
              <w:bottom w:w="85" w:type="dxa"/>
              <w:right w:w="100" w:type="dxa"/>
            </w:tcMar>
            <w:vAlign w:val="center"/>
          </w:tcPr>
          <w:p w14:paraId="0F98644D" w14:textId="77777777" w:rsidR="009B7292" w:rsidRDefault="006D169B">
            <w:pPr>
              <w:spacing w:after="0"/>
            </w:pPr>
            <w:r>
              <w:rPr>
                <w:rFonts w:eastAsia="Times New Roman"/>
                <w:b/>
              </w:rPr>
              <w:t>Student name</w:t>
            </w:r>
          </w:p>
        </w:tc>
        <w:tc>
          <w:tcPr>
            <w:tcW w:w="5102" w:type="dxa"/>
            <w:tcMar>
              <w:top w:w="85" w:type="dxa"/>
              <w:left w:w="100" w:type="dxa"/>
              <w:bottom w:w="85" w:type="dxa"/>
              <w:right w:w="100" w:type="dxa"/>
            </w:tcMar>
            <w:vAlign w:val="center"/>
          </w:tcPr>
          <w:p w14:paraId="644CA8F9" w14:textId="77777777" w:rsidR="009B7292" w:rsidRDefault="006D169B">
            <w:pPr>
              <w:spacing w:after="0"/>
            </w:pPr>
            <w:r>
              <w:rPr>
                <w:rFonts w:eastAsia="Times New Roman"/>
              </w:rPr>
              <w:t>Roger Aznar Montero</w:t>
            </w:r>
          </w:p>
        </w:tc>
      </w:tr>
      <w:tr w:rsidR="009B7292" w14:paraId="22875C52" w14:textId="77777777">
        <w:trPr>
          <w:jc w:val="center"/>
        </w:trPr>
        <w:tc>
          <w:tcPr>
            <w:tcW w:w="3685" w:type="dxa"/>
            <w:shd w:val="clear" w:color="auto" w:fill="D9E2F3"/>
            <w:tcMar>
              <w:top w:w="85" w:type="dxa"/>
              <w:left w:w="100" w:type="dxa"/>
              <w:bottom w:w="85" w:type="dxa"/>
              <w:right w:w="100" w:type="dxa"/>
            </w:tcMar>
            <w:vAlign w:val="center"/>
          </w:tcPr>
          <w:p w14:paraId="237F88D6" w14:textId="77777777" w:rsidR="009B7292" w:rsidRDefault="006D169B">
            <w:pPr>
              <w:spacing w:after="0"/>
            </w:pPr>
            <w:r>
              <w:rPr>
                <w:rFonts w:eastAsia="Times New Roman"/>
                <w:b/>
              </w:rPr>
              <w:t>Student ID</w:t>
            </w:r>
          </w:p>
        </w:tc>
        <w:tc>
          <w:tcPr>
            <w:tcW w:w="5102" w:type="dxa"/>
            <w:tcMar>
              <w:top w:w="85" w:type="dxa"/>
              <w:left w:w="100" w:type="dxa"/>
              <w:bottom w:w="85" w:type="dxa"/>
              <w:right w:w="100" w:type="dxa"/>
            </w:tcMar>
            <w:vAlign w:val="center"/>
          </w:tcPr>
          <w:p w14:paraId="6EB14A96" w14:textId="77777777" w:rsidR="009B7292" w:rsidRDefault="006D169B">
            <w:pPr>
              <w:spacing w:after="0"/>
            </w:pPr>
            <w:r>
              <w:rPr>
                <w:rFonts w:eastAsia="Times New Roman"/>
              </w:rPr>
              <w:t>2442798</w:t>
            </w:r>
          </w:p>
        </w:tc>
      </w:tr>
      <w:tr w:rsidR="009B7292" w14:paraId="4E025DD8" w14:textId="77777777">
        <w:trPr>
          <w:jc w:val="center"/>
        </w:trPr>
        <w:tc>
          <w:tcPr>
            <w:tcW w:w="3685" w:type="dxa"/>
            <w:shd w:val="clear" w:color="auto" w:fill="D9E2F3"/>
            <w:tcMar>
              <w:top w:w="85" w:type="dxa"/>
              <w:left w:w="100" w:type="dxa"/>
              <w:bottom w:w="85" w:type="dxa"/>
              <w:right w:w="100" w:type="dxa"/>
            </w:tcMar>
            <w:vAlign w:val="center"/>
          </w:tcPr>
          <w:p w14:paraId="3DED8B22" w14:textId="77777777" w:rsidR="009B7292" w:rsidRDefault="006D169B">
            <w:pPr>
              <w:spacing w:after="0"/>
            </w:pPr>
            <w:r>
              <w:rPr>
                <w:rFonts w:eastAsia="Times New Roman"/>
                <w:b/>
              </w:rPr>
              <w:t>Lecturer</w:t>
            </w:r>
          </w:p>
        </w:tc>
        <w:tc>
          <w:tcPr>
            <w:tcW w:w="5102" w:type="dxa"/>
            <w:tcMar>
              <w:top w:w="85" w:type="dxa"/>
              <w:left w:w="100" w:type="dxa"/>
              <w:bottom w:w="85" w:type="dxa"/>
              <w:right w:w="100" w:type="dxa"/>
            </w:tcMar>
            <w:vAlign w:val="center"/>
          </w:tcPr>
          <w:p w14:paraId="5CFF6CEB" w14:textId="77777777" w:rsidR="009B7292" w:rsidRDefault="006D169B">
            <w:pPr>
              <w:spacing w:after="0"/>
            </w:pPr>
            <w:r>
              <w:rPr>
                <w:rFonts w:eastAsia="Times New Roman"/>
              </w:rPr>
              <w:t>Dr Xavier Matieni</w:t>
            </w:r>
          </w:p>
        </w:tc>
      </w:tr>
      <w:tr w:rsidR="009B7292" w14:paraId="303A7AAC" w14:textId="77777777">
        <w:trPr>
          <w:jc w:val="center"/>
        </w:trPr>
        <w:tc>
          <w:tcPr>
            <w:tcW w:w="3685" w:type="dxa"/>
            <w:shd w:val="clear" w:color="auto" w:fill="D9E2F3"/>
            <w:tcMar>
              <w:top w:w="85" w:type="dxa"/>
              <w:left w:w="100" w:type="dxa"/>
              <w:bottom w:w="85" w:type="dxa"/>
              <w:right w:w="100" w:type="dxa"/>
            </w:tcMar>
            <w:vAlign w:val="center"/>
          </w:tcPr>
          <w:p w14:paraId="4BD70594" w14:textId="77777777" w:rsidR="009B7292" w:rsidRDefault="006D169B">
            <w:pPr>
              <w:spacing w:after="0"/>
            </w:pPr>
            <w:r>
              <w:rPr>
                <w:rFonts w:eastAsia="Times New Roman"/>
                <w:b/>
              </w:rPr>
              <w:t>Submission date</w:t>
            </w:r>
          </w:p>
        </w:tc>
        <w:tc>
          <w:tcPr>
            <w:tcW w:w="5102" w:type="dxa"/>
            <w:tcMar>
              <w:top w:w="85" w:type="dxa"/>
              <w:left w:w="100" w:type="dxa"/>
              <w:bottom w:w="85" w:type="dxa"/>
              <w:right w:w="100" w:type="dxa"/>
            </w:tcMar>
            <w:vAlign w:val="center"/>
          </w:tcPr>
          <w:p w14:paraId="12FDDE01" w14:textId="77777777" w:rsidR="009B7292" w:rsidRDefault="006D169B">
            <w:pPr>
              <w:spacing w:after="0"/>
            </w:pPr>
            <w:r>
              <w:rPr>
                <w:rFonts w:eastAsia="Times New Roman"/>
              </w:rPr>
              <w:t>19 July 2026</w:t>
            </w:r>
          </w:p>
        </w:tc>
      </w:tr>
      <w:tr w:rsidR="009B7292" w14:paraId="09D514D0" w14:textId="77777777">
        <w:trPr>
          <w:jc w:val="center"/>
        </w:trPr>
        <w:tc>
          <w:tcPr>
            <w:tcW w:w="3685" w:type="dxa"/>
            <w:shd w:val="clear" w:color="auto" w:fill="D9E2F3"/>
            <w:tcMar>
              <w:top w:w="85" w:type="dxa"/>
              <w:left w:w="100" w:type="dxa"/>
              <w:bottom w:w="85" w:type="dxa"/>
              <w:right w:w="100" w:type="dxa"/>
            </w:tcMar>
            <w:vAlign w:val="center"/>
          </w:tcPr>
          <w:p w14:paraId="4E80D5B3" w14:textId="77777777" w:rsidR="009B7292" w:rsidRDefault="006D169B">
            <w:pPr>
              <w:spacing w:after="0"/>
            </w:pPr>
            <w:r>
              <w:rPr>
                <w:rFonts w:eastAsia="Times New Roman"/>
                <w:b/>
              </w:rPr>
              <w:t>Word count</w:t>
            </w:r>
          </w:p>
        </w:tc>
        <w:tc>
          <w:tcPr>
            <w:tcW w:w="5102" w:type="dxa"/>
            <w:tcMar>
              <w:top w:w="85" w:type="dxa"/>
              <w:left w:w="100" w:type="dxa"/>
              <w:bottom w:w="85" w:type="dxa"/>
              <w:right w:w="100" w:type="dxa"/>
            </w:tcMar>
            <w:vAlign w:val="center"/>
          </w:tcPr>
          <w:p w14:paraId="3F931D3A" w14:textId="77777777" w:rsidR="009253B2" w:rsidRDefault="00614624">
            <w:pPr>
              <w:spacing w:after="0"/>
            </w:pPr>
            <w:r>
              <w:t>2,005 words</w:t>
            </w:r>
          </w:p>
        </w:tc>
      </w:tr>
    </w:tbl>
    <w:p w14:paraId="4E8C21C4" w14:textId="77777777" w:rsidR="009B7292" w:rsidRDefault="006D169B">
      <w:r>
        <w:br w:type="page"/>
      </w:r>
    </w:p>
    <w:p w14:paraId="70F82A80" w14:textId="77777777" w:rsidR="009B7292" w:rsidRDefault="006D169B">
      <w:pPr>
        <w:spacing w:after="360"/>
        <w:jc w:val="center"/>
      </w:pPr>
      <w:r>
        <w:rPr>
          <w:rFonts w:eastAsia="Times New Roman"/>
          <w:b/>
          <w:sz w:val="28"/>
        </w:rPr>
        <w:lastRenderedPageBreak/>
        <w:t>CONTENTS</w:t>
      </w:r>
    </w:p>
    <w:p w14:paraId="7B836995" w14:textId="77777777" w:rsidR="009B7292" w:rsidRDefault="006D169B">
      <w:pPr>
        <w:tabs>
          <w:tab w:val="right" w:leader="dot" w:pos="9071"/>
        </w:tabs>
        <w:spacing w:after="100"/>
      </w:pPr>
      <w:r>
        <w:rPr>
          <w:rFonts w:eastAsia="Times New Roman"/>
        </w:rPr>
        <w:t>Executive Summary</w:t>
      </w:r>
      <w:r>
        <w:rPr>
          <w:rFonts w:eastAsia="Times New Roman"/>
        </w:rPr>
        <w:tab/>
        <w:t>3</w:t>
      </w:r>
    </w:p>
    <w:p w14:paraId="7B766758" w14:textId="77777777" w:rsidR="009B7292" w:rsidRDefault="006D169B">
      <w:pPr>
        <w:tabs>
          <w:tab w:val="right" w:leader="dot" w:pos="9071"/>
        </w:tabs>
        <w:spacing w:after="100"/>
      </w:pPr>
      <w:r>
        <w:rPr>
          <w:rFonts w:eastAsia="Times New Roman"/>
        </w:rPr>
        <w:t>1. Introduction</w:t>
      </w:r>
      <w:r>
        <w:rPr>
          <w:rFonts w:eastAsia="Times New Roman"/>
        </w:rPr>
        <w:tab/>
        <w:t>3</w:t>
      </w:r>
    </w:p>
    <w:p w14:paraId="0867A2AB" w14:textId="77777777" w:rsidR="009B7292" w:rsidRDefault="006D169B">
      <w:pPr>
        <w:tabs>
          <w:tab w:val="right" w:leader="dot" w:pos="9071"/>
        </w:tabs>
        <w:spacing w:after="100"/>
      </w:pPr>
      <w:r>
        <w:rPr>
          <w:rFonts w:eastAsia="Times New Roman"/>
        </w:rPr>
        <w:t>2. Trends in Business Intelligence, Data Warehousing and Data Mining</w:t>
      </w:r>
      <w:r>
        <w:rPr>
          <w:rFonts w:eastAsia="Times New Roman"/>
        </w:rPr>
        <w:tab/>
        <w:t>3</w:t>
      </w:r>
    </w:p>
    <w:p w14:paraId="0AD82BCD" w14:textId="77777777" w:rsidR="009B7292" w:rsidRDefault="006D169B">
      <w:pPr>
        <w:tabs>
          <w:tab w:val="right" w:leader="dot" w:pos="9071"/>
        </w:tabs>
        <w:spacing w:after="100"/>
      </w:pPr>
      <w:r>
        <w:rPr>
          <w:rFonts w:eastAsia="Times New Roman"/>
        </w:rPr>
        <w:t xml:space="preserve">3. Data Warehousing Applications in </w:t>
      </w:r>
      <w:proofErr w:type="spellStart"/>
      <w:r>
        <w:rPr>
          <w:rFonts w:eastAsia="Times New Roman"/>
        </w:rPr>
        <w:t>Oddbox</w:t>
      </w:r>
      <w:proofErr w:type="spellEnd"/>
      <w:r>
        <w:rPr>
          <w:rFonts w:eastAsia="Times New Roman"/>
        </w:rPr>
        <w:tab/>
        <w:t>4</w:t>
      </w:r>
    </w:p>
    <w:p w14:paraId="22151B5C" w14:textId="77777777" w:rsidR="009B7292" w:rsidRDefault="006D169B">
      <w:pPr>
        <w:tabs>
          <w:tab w:val="right" w:leader="dot" w:pos="9071"/>
        </w:tabs>
        <w:spacing w:after="100"/>
      </w:pPr>
      <w:r>
        <w:rPr>
          <w:rFonts w:eastAsia="Times New Roman"/>
        </w:rPr>
        <w:t>4. Data Mining Techniques</w:t>
      </w:r>
      <w:r>
        <w:rPr>
          <w:rFonts w:eastAsia="Times New Roman"/>
        </w:rPr>
        <w:tab/>
        <w:t>6</w:t>
      </w:r>
    </w:p>
    <w:p w14:paraId="1EC761A1" w14:textId="77777777" w:rsidR="009B7292" w:rsidRDefault="006D169B">
      <w:pPr>
        <w:tabs>
          <w:tab w:val="right" w:leader="dot" w:pos="9071"/>
        </w:tabs>
        <w:spacing w:after="100"/>
      </w:pPr>
      <w:r>
        <w:rPr>
          <w:rFonts w:eastAsia="Times New Roman"/>
        </w:rPr>
        <w:t>5. Predictive Analysis</w:t>
      </w:r>
      <w:r>
        <w:rPr>
          <w:rFonts w:eastAsia="Times New Roman"/>
        </w:rPr>
        <w:tab/>
        <w:t>6</w:t>
      </w:r>
    </w:p>
    <w:p w14:paraId="61F922B8" w14:textId="77777777" w:rsidR="009B7292" w:rsidRDefault="006D169B">
      <w:pPr>
        <w:tabs>
          <w:tab w:val="right" w:leader="dot" w:pos="9071"/>
        </w:tabs>
        <w:spacing w:after="100"/>
      </w:pPr>
      <w:r>
        <w:rPr>
          <w:rFonts w:eastAsia="Times New Roman"/>
        </w:rPr>
        <w:t>6. Ethical and Data Security Considerations</w:t>
      </w:r>
      <w:r>
        <w:rPr>
          <w:rFonts w:eastAsia="Times New Roman"/>
        </w:rPr>
        <w:tab/>
        <w:t>8</w:t>
      </w:r>
    </w:p>
    <w:p w14:paraId="2DB5E6C1" w14:textId="77777777" w:rsidR="009B7292" w:rsidRDefault="006D169B">
      <w:pPr>
        <w:tabs>
          <w:tab w:val="right" w:leader="dot" w:pos="9071"/>
        </w:tabs>
        <w:spacing w:after="100"/>
      </w:pPr>
      <w:r>
        <w:rPr>
          <w:rFonts w:eastAsia="Times New Roman"/>
        </w:rPr>
        <w:t>7. Reporting and Dashboard Solutions</w:t>
      </w:r>
      <w:r>
        <w:rPr>
          <w:rFonts w:eastAsia="Times New Roman"/>
        </w:rPr>
        <w:tab/>
        <w:t>8</w:t>
      </w:r>
    </w:p>
    <w:p w14:paraId="366241E5" w14:textId="77777777" w:rsidR="009B7292" w:rsidRDefault="006D169B">
      <w:pPr>
        <w:tabs>
          <w:tab w:val="right" w:leader="dot" w:pos="9071"/>
        </w:tabs>
        <w:spacing w:after="100"/>
      </w:pPr>
      <w:r>
        <w:rPr>
          <w:rFonts w:eastAsia="Times New Roman"/>
        </w:rPr>
        <w:t>8. Conclusion</w:t>
      </w:r>
      <w:r>
        <w:rPr>
          <w:rFonts w:eastAsia="Times New Roman"/>
        </w:rPr>
        <w:tab/>
        <w:t>9</w:t>
      </w:r>
    </w:p>
    <w:p w14:paraId="7286C87A" w14:textId="77777777" w:rsidR="009B7292" w:rsidRDefault="006D169B">
      <w:pPr>
        <w:tabs>
          <w:tab w:val="right" w:leader="dot" w:pos="9071"/>
        </w:tabs>
        <w:spacing w:after="100"/>
      </w:pPr>
      <w:r>
        <w:rPr>
          <w:rFonts w:eastAsia="Times New Roman"/>
        </w:rPr>
        <w:t>References</w:t>
      </w:r>
      <w:r>
        <w:rPr>
          <w:rFonts w:eastAsia="Times New Roman"/>
        </w:rPr>
        <w:tab/>
        <w:t>9</w:t>
      </w:r>
    </w:p>
    <w:p w14:paraId="37C5EBCE" w14:textId="77777777" w:rsidR="009B7292" w:rsidRDefault="006D169B">
      <w:r>
        <w:br w:type="page"/>
      </w:r>
    </w:p>
    <w:p w14:paraId="3EF3FE80" w14:textId="77777777" w:rsidR="009B7292" w:rsidRDefault="006D169B">
      <w:pPr>
        <w:pStyle w:val="Heading1"/>
      </w:pPr>
      <w:r>
        <w:rPr>
          <w:rFonts w:ascii="Times New Roman" w:eastAsia="Times New Roman" w:hAnsi="Times New Roman"/>
        </w:rPr>
        <w:lastRenderedPageBreak/>
        <w:t>EXECUTIVE SUMMARY</w:t>
      </w:r>
    </w:p>
    <w:p w14:paraId="317744F9" w14:textId="77777777" w:rsidR="009B7292" w:rsidRDefault="006D169B">
      <w:pPr>
        <w:ind w:firstLine="720"/>
        <w:jc w:val="both"/>
      </w:pPr>
      <w:r>
        <w:rPr>
          <w:rFonts w:eastAsia="Times New Roman"/>
        </w:rPr>
        <w:t xml:space="preserve">This report evaluates how </w:t>
      </w:r>
      <w:proofErr w:type="spellStart"/>
      <w:r>
        <w:rPr>
          <w:rFonts w:eastAsia="Times New Roman"/>
        </w:rPr>
        <w:t>Oddbox</w:t>
      </w:r>
      <w:proofErr w:type="spellEnd"/>
      <w:r>
        <w:rPr>
          <w:rFonts w:eastAsia="Times New Roman"/>
        </w:rPr>
        <w:t xml:space="preserve"> can use business intelligence (BI), data warehousing (DW), data mining (DM) and predictive analytics to improve operational control and strategic decisions. It identifies real-time BI, cloud warehousing and artificial intelligence as important trends, while </w:t>
      </w:r>
      <w:proofErr w:type="spellStart"/>
      <w:r>
        <w:rPr>
          <w:rFonts w:eastAsia="Times New Roman"/>
        </w:rPr>
        <w:t>recognising</w:t>
      </w:r>
      <w:proofErr w:type="spellEnd"/>
      <w:r>
        <w:rPr>
          <w:rFonts w:eastAsia="Times New Roman"/>
        </w:rPr>
        <w:t xml:space="preserve"> risks relating to cost, data quality and governance. A Kimball-style cloud data warehouse is recommended to integrate subscription, grower, delivery, finance and customer-service data. Correlation and regression are proposed as appropriate analytical techniques, supported initially by Excel and later by IBM SPSS Modeler. Power BI is recommended for secure dashboards. Implementation should be phased and governed through clear data ownership, UK GDPR compliance, access controls, model validation and human oversight.</w:t>
      </w:r>
    </w:p>
    <w:p w14:paraId="479DE171" w14:textId="77777777" w:rsidR="009B7292" w:rsidRDefault="006D169B">
      <w:pPr>
        <w:pStyle w:val="Heading1"/>
      </w:pPr>
      <w:r>
        <w:rPr>
          <w:rFonts w:ascii="Times New Roman" w:eastAsia="Times New Roman" w:hAnsi="Times New Roman"/>
        </w:rPr>
        <w:t>1. Introduction</w:t>
      </w:r>
    </w:p>
    <w:p w14:paraId="0EDE95DA" w14:textId="77777777" w:rsidR="009B7292" w:rsidRDefault="006D169B">
      <w:pPr>
        <w:ind w:firstLine="720"/>
        <w:jc w:val="both"/>
      </w:pPr>
      <w:proofErr w:type="spellStart"/>
      <w:r>
        <w:rPr>
          <w:rFonts w:eastAsia="Times New Roman"/>
        </w:rPr>
        <w:t>Oddbox</w:t>
      </w:r>
      <w:proofErr w:type="spellEnd"/>
      <w:r>
        <w:rPr>
          <w:rFonts w:eastAsia="Times New Roman"/>
        </w:rPr>
        <w:t xml:space="preserve"> Delivery Ltd is a private company operating in the </w:t>
      </w:r>
      <w:proofErr w:type="gramStart"/>
      <w:r>
        <w:rPr>
          <w:rFonts w:eastAsia="Times New Roman"/>
        </w:rPr>
        <w:t>food-subscription</w:t>
      </w:r>
      <w:proofErr w:type="gramEnd"/>
      <w:r>
        <w:rPr>
          <w:rFonts w:eastAsia="Times New Roman"/>
        </w:rPr>
        <w:t xml:space="preserve"> and grocery-delivery sector (Companies House, 2026). Its business model connects customers with surplus or cosmetically imperfect fruit and vegetables that might otherwise be wasted. </w:t>
      </w:r>
      <w:proofErr w:type="spellStart"/>
      <w:r>
        <w:rPr>
          <w:rFonts w:eastAsia="Times New Roman"/>
        </w:rPr>
        <w:t>Oddbox</w:t>
      </w:r>
      <w:proofErr w:type="spellEnd"/>
      <w:r>
        <w:rPr>
          <w:rFonts w:eastAsia="Times New Roman"/>
        </w:rPr>
        <w:t xml:space="preserve"> reports that it has rescued more than 55,000 </w:t>
      </w:r>
      <w:proofErr w:type="spellStart"/>
      <w:r>
        <w:rPr>
          <w:rFonts w:eastAsia="Times New Roman"/>
        </w:rPr>
        <w:t>tonnes</w:t>
      </w:r>
      <w:proofErr w:type="spellEnd"/>
      <w:r>
        <w:rPr>
          <w:rFonts w:eastAsia="Times New Roman"/>
        </w:rPr>
        <w:t xml:space="preserve"> of produce and serves approximately 70% of the UK, illustrating both its sustainability purpose and the complexity of coordinating variable supply, customer demand and delivery capacity (</w:t>
      </w:r>
      <w:proofErr w:type="spellStart"/>
      <w:r>
        <w:rPr>
          <w:rFonts w:eastAsia="Times New Roman"/>
        </w:rPr>
        <w:t>Oddbox</w:t>
      </w:r>
      <w:proofErr w:type="spellEnd"/>
      <w:r>
        <w:rPr>
          <w:rFonts w:eastAsia="Times New Roman"/>
        </w:rPr>
        <w:t xml:space="preserve">, 2026a; </w:t>
      </w:r>
      <w:proofErr w:type="spellStart"/>
      <w:r>
        <w:rPr>
          <w:rFonts w:eastAsia="Times New Roman"/>
        </w:rPr>
        <w:t>Oddbox</w:t>
      </w:r>
      <w:proofErr w:type="spellEnd"/>
      <w:r>
        <w:rPr>
          <w:rFonts w:eastAsia="Times New Roman"/>
        </w:rPr>
        <w:t xml:space="preserve">, 2026b). The purpose of this report is to assess how BI, DW, DM and predictive analytics could strengthen </w:t>
      </w:r>
      <w:proofErr w:type="spellStart"/>
      <w:r>
        <w:rPr>
          <w:rFonts w:eastAsia="Times New Roman"/>
        </w:rPr>
        <w:t>Oddbox’s</w:t>
      </w:r>
      <w:proofErr w:type="spellEnd"/>
      <w:r>
        <w:rPr>
          <w:rFonts w:eastAsia="Times New Roman"/>
        </w:rPr>
        <w:t xml:space="preserve"> efficiency and decision-making. It critically reviews current technology trends, proposes an </w:t>
      </w:r>
      <w:proofErr w:type="spellStart"/>
      <w:r>
        <w:rPr>
          <w:rFonts w:eastAsia="Times New Roman"/>
        </w:rPr>
        <w:t>organisation</w:t>
      </w:r>
      <w:proofErr w:type="spellEnd"/>
      <w:r>
        <w:rPr>
          <w:rFonts w:eastAsia="Times New Roman"/>
        </w:rPr>
        <w:t>-specific data warehouse, evaluates correlation and regression, compares suitable predictive tools, considers ethical and security risks, and recommends reporting and dashboard solutions.</w:t>
      </w:r>
    </w:p>
    <w:p w14:paraId="0C2791F5" w14:textId="77777777" w:rsidR="009B7292" w:rsidRDefault="006D169B">
      <w:pPr>
        <w:pStyle w:val="Heading1"/>
      </w:pPr>
      <w:r>
        <w:rPr>
          <w:rFonts w:ascii="Times New Roman" w:eastAsia="Times New Roman" w:hAnsi="Times New Roman"/>
        </w:rPr>
        <w:t>2. Trends in Business Intelligence, Data Warehousing and Data Mining</w:t>
      </w:r>
    </w:p>
    <w:p w14:paraId="65171B99" w14:textId="77777777" w:rsidR="009B7292" w:rsidRDefault="006D169B">
      <w:pPr>
        <w:ind w:firstLine="720"/>
        <w:jc w:val="both"/>
      </w:pPr>
      <w:r>
        <w:rPr>
          <w:rFonts w:eastAsia="Times New Roman"/>
        </w:rPr>
        <w:t xml:space="preserve">Business intelligence combines technologies, data-management processes and managerial practices that convert </w:t>
      </w:r>
      <w:proofErr w:type="spellStart"/>
      <w:r>
        <w:rPr>
          <w:rFonts w:eastAsia="Times New Roman"/>
        </w:rPr>
        <w:t>organisational</w:t>
      </w:r>
      <w:proofErr w:type="spellEnd"/>
      <w:r>
        <w:rPr>
          <w:rFonts w:eastAsia="Times New Roman"/>
        </w:rPr>
        <w:t xml:space="preserve"> data into information for decisions. A data warehouse is an integrated, historical repository designed for analytical queries, whereas data mining uses statistical or machine-learning methods to identify patterns and predict outcomes (Srivastava et al., 2022). These capabilities increasingly operate as one analytics ecosystem, but their value depends on reliable data and </w:t>
      </w:r>
      <w:proofErr w:type="spellStart"/>
      <w:r>
        <w:rPr>
          <w:rFonts w:eastAsia="Times New Roman"/>
        </w:rPr>
        <w:t>organisational</w:t>
      </w:r>
      <w:proofErr w:type="spellEnd"/>
      <w:r>
        <w:rPr>
          <w:rFonts w:eastAsia="Times New Roman"/>
        </w:rPr>
        <w:t xml:space="preserve"> use rather than technology alone.</w:t>
      </w:r>
    </w:p>
    <w:p w14:paraId="428AB43E" w14:textId="77777777" w:rsidR="009B7292" w:rsidRDefault="006D169B">
      <w:pPr>
        <w:ind w:firstLine="720"/>
        <w:jc w:val="both"/>
      </w:pPr>
      <w:r>
        <w:rPr>
          <w:rFonts w:eastAsia="Times New Roman"/>
        </w:rPr>
        <w:lastRenderedPageBreak/>
        <w:t xml:space="preserve">A major trend is near-real-time BI. For </w:t>
      </w:r>
      <w:proofErr w:type="spellStart"/>
      <w:r>
        <w:rPr>
          <w:rFonts w:eastAsia="Times New Roman"/>
        </w:rPr>
        <w:t>Oddbox</w:t>
      </w:r>
      <w:proofErr w:type="spellEnd"/>
      <w:r>
        <w:rPr>
          <w:rFonts w:eastAsia="Times New Roman"/>
        </w:rPr>
        <w:t>, rapid updates could reveal sudden order changes, supply shortages, delivery exceptions or rising customer contacts. However, continuous data streaming is expensive and can produce alert fatigue. Real-time processing should therefore be reserved for time-sensitive fulfilment and delivery events, while finance and strategic reports can refresh daily or weekly.</w:t>
      </w:r>
    </w:p>
    <w:p w14:paraId="5E318B6F" w14:textId="77777777" w:rsidR="009B7292" w:rsidRDefault="006D169B">
      <w:pPr>
        <w:ind w:firstLine="720"/>
        <w:jc w:val="both"/>
      </w:pPr>
      <w:r>
        <w:rPr>
          <w:rFonts w:eastAsia="Times New Roman"/>
        </w:rPr>
        <w:t xml:space="preserve">Cloud data warehousing is another important development. It offers scalable storage, elastic processing and lower initial infrastructure requirements, which suit seasonal demand. Nevertheless, consumption-based pricing and vendor dependence can increase long-term risk. </w:t>
      </w:r>
      <w:proofErr w:type="spellStart"/>
      <w:r>
        <w:rPr>
          <w:rFonts w:eastAsia="Times New Roman"/>
        </w:rPr>
        <w:t>Oddbox</w:t>
      </w:r>
      <w:proofErr w:type="spellEnd"/>
      <w:r>
        <w:rPr>
          <w:rFonts w:eastAsia="Times New Roman"/>
        </w:rPr>
        <w:t xml:space="preserve"> should set workload budgets, monitor query costs, archive low-value data and retain export procedures for critical datasets (Leis and </w:t>
      </w:r>
      <w:proofErr w:type="spellStart"/>
      <w:r>
        <w:rPr>
          <w:rFonts w:eastAsia="Times New Roman"/>
        </w:rPr>
        <w:t>Kuschewski</w:t>
      </w:r>
      <w:proofErr w:type="spellEnd"/>
      <w:r>
        <w:rPr>
          <w:rFonts w:eastAsia="Times New Roman"/>
        </w:rPr>
        <w:t>, 2021).</w:t>
      </w:r>
    </w:p>
    <w:p w14:paraId="2DBF0428" w14:textId="77777777" w:rsidR="009B7292" w:rsidRDefault="006D169B">
      <w:pPr>
        <w:ind w:firstLine="720"/>
        <w:jc w:val="both"/>
      </w:pPr>
      <w:r>
        <w:rPr>
          <w:rFonts w:eastAsia="Times New Roman"/>
        </w:rPr>
        <w:t>Artificial intelligence is also being embedded into BI through forecasting, anomaly detection and natural-language analysis. These capabilities may accelerate insight, but inaccurate, incomplete or biased data can produce misleading recommendations. Data governance, shared definitions and quality controls are therefore essential (Antunes, Cardoso and Barateiro, 2022; Bernardo et al., 2024). Kimball’s dimensional architecture supports consistent measures through conformed dimensions, while CRISP-DM links business understanding, data preparation, modelling, evaluation and deployment (Kimball and Ross, 2013; Schröer, Kruse and Gómez, 2021). Together, these frameworks prevent technology from being adopted without a clear business purpose.</w:t>
      </w:r>
    </w:p>
    <w:p w14:paraId="140F3C6A" w14:textId="77777777" w:rsidR="009B7292" w:rsidRDefault="006D169B">
      <w:pPr>
        <w:pStyle w:val="Heading1"/>
      </w:pPr>
      <w:r>
        <w:rPr>
          <w:rFonts w:ascii="Times New Roman" w:eastAsia="Times New Roman" w:hAnsi="Times New Roman"/>
        </w:rPr>
        <w:t xml:space="preserve">3. Data Warehousing Applications in </w:t>
      </w:r>
      <w:proofErr w:type="spellStart"/>
      <w:r>
        <w:rPr>
          <w:rFonts w:ascii="Times New Roman" w:eastAsia="Times New Roman" w:hAnsi="Times New Roman"/>
        </w:rPr>
        <w:t>Oddbox</w:t>
      </w:r>
      <w:proofErr w:type="spellEnd"/>
    </w:p>
    <w:p w14:paraId="278D65BB" w14:textId="77777777" w:rsidR="009B7292" w:rsidRDefault="006D169B">
      <w:pPr>
        <w:ind w:firstLine="720"/>
        <w:jc w:val="both"/>
      </w:pPr>
      <w:proofErr w:type="spellStart"/>
      <w:r>
        <w:rPr>
          <w:rFonts w:eastAsia="Times New Roman"/>
        </w:rPr>
        <w:t>Oddbox</w:t>
      </w:r>
      <w:proofErr w:type="spellEnd"/>
      <w:r>
        <w:rPr>
          <w:rFonts w:eastAsia="Times New Roman"/>
        </w:rPr>
        <w:t xml:space="preserve"> is likely to generate data across its subscription platform, grower records, box-planning tools, delivery partners, customer-service system and finance applications. When these sources are </w:t>
      </w:r>
      <w:proofErr w:type="spellStart"/>
      <w:r>
        <w:rPr>
          <w:rFonts w:eastAsia="Times New Roman"/>
        </w:rPr>
        <w:t>analysed</w:t>
      </w:r>
      <w:proofErr w:type="spellEnd"/>
      <w:r>
        <w:rPr>
          <w:rFonts w:eastAsia="Times New Roman"/>
        </w:rPr>
        <w:t xml:space="preserve"> separately, managers may face duplicated measures, delayed reporting and conflicting versions of performance. A cloud data warehouse would extract and integrate the data, apply agreed validation rules and retain traceable historical records. This would create a governed “single version of the truth” for operational and strategic analysis and reduce the time employees spend combining spreadsheets manually.</w:t>
      </w:r>
    </w:p>
    <w:p w14:paraId="76848BC0" w14:textId="77777777" w:rsidR="009B7292" w:rsidRDefault="006D169B">
      <w:pPr>
        <w:ind w:firstLine="720"/>
        <w:jc w:val="both"/>
      </w:pPr>
      <w:r>
        <w:rPr>
          <w:rFonts w:eastAsia="Times New Roman"/>
        </w:rPr>
        <w:t xml:space="preserve">A Kimball-style star schema is suitable because it is understandable to non-technical users and efficient for recurring reports (Kimball and Ross, 2013). Fact tables could record orders, box </w:t>
      </w:r>
      <w:r>
        <w:rPr>
          <w:rFonts w:eastAsia="Times New Roman"/>
        </w:rPr>
        <w:lastRenderedPageBreak/>
        <w:t>contents, deliveries, payments, customer contacts and rescued produce. Shared dimensions could include date, customer, product, grower, postcode area, delivery route, channel and promotion. Slowly changing dimensions would preserve changes over time, such as a customer moving location or a product being reclassified. Master-data rules should assign one identifier to each customer, supplier and item, while automated tests should flag duplicate records, missing postcodes, inconsistent units and implausible quantities. Data lineage should also show where each measure originated and how it was transformed.</w:t>
      </w:r>
    </w:p>
    <w:p w14:paraId="55F23644" w14:textId="77777777" w:rsidR="009B7292" w:rsidRDefault="006D169B">
      <w:pPr>
        <w:ind w:firstLine="720"/>
        <w:jc w:val="both"/>
      </w:pPr>
      <w:r>
        <w:rPr>
          <w:rFonts w:eastAsia="Times New Roman"/>
        </w:rPr>
        <w:t xml:space="preserve">Operationally, planners could compare confirmed orders, forecast demand and available produce by region and delivery day. Exception reports could identify projected shortages, excess supply, unusually high substitution rates and routes approaching capacity. Combining delivery, service and subscription data would allow </w:t>
      </w:r>
      <w:proofErr w:type="spellStart"/>
      <w:r>
        <w:rPr>
          <w:rFonts w:eastAsia="Times New Roman"/>
        </w:rPr>
        <w:t>Oddbox</w:t>
      </w:r>
      <w:proofErr w:type="spellEnd"/>
      <w:r>
        <w:rPr>
          <w:rFonts w:eastAsia="Times New Roman"/>
        </w:rPr>
        <w:t xml:space="preserve"> to test whether late deliveries, substitutions or repeated contacts are associated with cancellations. Finance and operations could calculate margin per box, route cost, refund value and rescued-produce volume from consistent definitions, reducing manual spreadsheet reconciliation. </w:t>
      </w:r>
      <w:proofErr w:type="spellStart"/>
      <w:r>
        <w:rPr>
          <w:rFonts w:eastAsia="Times New Roman"/>
        </w:rPr>
        <w:t>Standardised</w:t>
      </w:r>
      <w:proofErr w:type="spellEnd"/>
      <w:r>
        <w:rPr>
          <w:rFonts w:eastAsia="Times New Roman"/>
        </w:rPr>
        <w:t xml:space="preserve"> reporting would also enable teams to investigate the same issue without debating whose numbers are correct.</w:t>
      </w:r>
    </w:p>
    <w:p w14:paraId="4818AFBC" w14:textId="77777777" w:rsidR="009B7292" w:rsidRDefault="006D169B">
      <w:pPr>
        <w:ind w:firstLine="720"/>
        <w:jc w:val="both"/>
      </w:pPr>
      <w:r>
        <w:rPr>
          <w:rFonts w:eastAsia="Times New Roman"/>
        </w:rPr>
        <w:t xml:space="preserve">Strategically, historical warehouse data could support decisions about geographic expansion, grower partnerships, box sizes, add-on ranges and retention investment. Before entering a new postcode area, management could assess expected demand alongside route cost and fulfilment quality rather than relying only on sales potential. Seasonal supplier availability could be compared with forecast demand, while concentration analysis could reveal overdependence on </w:t>
      </w:r>
      <w:proofErr w:type="gramStart"/>
      <w:r>
        <w:rPr>
          <w:rFonts w:eastAsia="Times New Roman"/>
        </w:rPr>
        <w:t>particular growers</w:t>
      </w:r>
      <w:proofErr w:type="gramEnd"/>
      <w:r>
        <w:rPr>
          <w:rFonts w:eastAsia="Times New Roman"/>
        </w:rPr>
        <w:t>. Traceable records would also strengthen sustainability reporting by linking produce quantities, origin, allocation and customer fulfilment.</w:t>
      </w:r>
    </w:p>
    <w:p w14:paraId="761AA1C0" w14:textId="77777777" w:rsidR="009B7292" w:rsidRDefault="006D169B">
      <w:pPr>
        <w:ind w:firstLine="720"/>
        <w:jc w:val="both"/>
      </w:pPr>
      <w:r>
        <w:rPr>
          <w:rFonts w:eastAsia="Times New Roman"/>
        </w:rPr>
        <w:t xml:space="preserve">Technology alone will not deliver value. </w:t>
      </w:r>
      <w:proofErr w:type="spellStart"/>
      <w:r>
        <w:rPr>
          <w:rFonts w:eastAsia="Times New Roman"/>
        </w:rPr>
        <w:t>DeLone</w:t>
      </w:r>
      <w:proofErr w:type="spellEnd"/>
      <w:r>
        <w:rPr>
          <w:rFonts w:eastAsia="Times New Roman"/>
        </w:rPr>
        <w:t xml:space="preserve"> and McLean’s information-systems success model argues that system quality, information quality and service quality influence use, satisfaction and net benefits (</w:t>
      </w:r>
      <w:proofErr w:type="spellStart"/>
      <w:r>
        <w:rPr>
          <w:rFonts w:eastAsia="Times New Roman"/>
        </w:rPr>
        <w:t>DeLone</w:t>
      </w:r>
      <w:proofErr w:type="spellEnd"/>
      <w:r>
        <w:rPr>
          <w:rFonts w:eastAsia="Times New Roman"/>
        </w:rPr>
        <w:t xml:space="preserve"> and McLean, 2003). Retail analytics adoption also depends on </w:t>
      </w:r>
      <w:proofErr w:type="spellStart"/>
      <w:r>
        <w:rPr>
          <w:rFonts w:eastAsia="Times New Roman"/>
        </w:rPr>
        <w:t>organisational</w:t>
      </w:r>
      <w:proofErr w:type="spellEnd"/>
      <w:r>
        <w:rPr>
          <w:rFonts w:eastAsia="Times New Roman"/>
        </w:rPr>
        <w:t xml:space="preserve"> readiness, capability and perceived value (Lutfi et al., 2023). </w:t>
      </w:r>
      <w:proofErr w:type="spellStart"/>
      <w:r>
        <w:rPr>
          <w:rFonts w:eastAsia="Times New Roman"/>
        </w:rPr>
        <w:t>Oddbox</w:t>
      </w:r>
      <w:proofErr w:type="spellEnd"/>
      <w:r>
        <w:rPr>
          <w:rFonts w:eastAsia="Times New Roman"/>
        </w:rPr>
        <w:t xml:space="preserve"> should therefore appoint data owners, publish KPI definitions, train users and measure whether warehouse-supported decisions improve forecast accuracy, waste, service and profitability.</w:t>
      </w:r>
    </w:p>
    <w:p w14:paraId="76BC3683" w14:textId="77777777" w:rsidR="009B7292" w:rsidRDefault="006D169B">
      <w:pPr>
        <w:pStyle w:val="Heading1"/>
      </w:pPr>
      <w:r>
        <w:rPr>
          <w:rFonts w:ascii="Times New Roman" w:eastAsia="Times New Roman" w:hAnsi="Times New Roman"/>
        </w:rPr>
        <w:lastRenderedPageBreak/>
        <w:t>4. Data Mining Techniques</w:t>
      </w:r>
    </w:p>
    <w:p w14:paraId="2D8431DB" w14:textId="77777777" w:rsidR="009B7292" w:rsidRDefault="006D169B">
      <w:pPr>
        <w:ind w:firstLine="720"/>
        <w:jc w:val="both"/>
      </w:pPr>
      <w:r>
        <w:rPr>
          <w:rFonts w:eastAsia="Times New Roman"/>
        </w:rPr>
        <w:t xml:space="preserve">The first suitable technique is Pearson correlation analysis. It measures the direction and strength of a linear relationship between two numerical variables, with coefficients ranging from -1 to +1. </w:t>
      </w:r>
      <w:proofErr w:type="spellStart"/>
      <w:r>
        <w:rPr>
          <w:rFonts w:eastAsia="Times New Roman"/>
        </w:rPr>
        <w:t>Oddbox</w:t>
      </w:r>
      <w:proofErr w:type="spellEnd"/>
      <w:r>
        <w:rPr>
          <w:rFonts w:eastAsia="Times New Roman"/>
        </w:rPr>
        <w:t xml:space="preserve"> could examine relationships between delivery punctuality and customer satisfaction, substitutions and cancellations, promotions and order volume, or temperature and demand for </w:t>
      </w:r>
      <w:proofErr w:type="gramStart"/>
      <w:r>
        <w:rPr>
          <w:rFonts w:eastAsia="Times New Roman"/>
        </w:rPr>
        <w:t>particular produce</w:t>
      </w:r>
      <w:proofErr w:type="gramEnd"/>
      <w:r>
        <w:rPr>
          <w:rFonts w:eastAsia="Times New Roman"/>
        </w:rPr>
        <w:t xml:space="preserve"> categories. Correlation is simple to communicate and can help identify variables for further investigation. However, it does not establish causation, can be distorted by outliers and may hide non-linear relationships. Coefficients should therefore be interpreted alongside scatter plots, business context and checks for confounding variables.</w:t>
      </w:r>
    </w:p>
    <w:p w14:paraId="4379788C" w14:textId="77777777" w:rsidR="009B7292" w:rsidRDefault="006D169B">
      <w:pPr>
        <w:ind w:firstLine="720"/>
        <w:jc w:val="both"/>
      </w:pPr>
      <w:r>
        <w:rPr>
          <w:rFonts w:eastAsia="Times New Roman"/>
        </w:rPr>
        <w:t>The second technique is regression analysis. Weekly order volume could be used as the dependent variable, with predictors such as active subscribers, promotions, seasonality, postcode area, delivery performance, weather and available produce. Simple regression can test one predictor, while multiple regression estimates the combined relationship of several variables with demand. The resulting equation could support forecasts by box type, region or delivery day. Performance should be evaluated using adjusted R-squared, residual analysis and forecast measures such as mean absolute error, root mean squared error and mean absolute percentage error.</w:t>
      </w:r>
    </w:p>
    <w:p w14:paraId="26127278" w14:textId="77777777" w:rsidR="009B7292" w:rsidRDefault="006D169B">
      <w:pPr>
        <w:ind w:firstLine="720"/>
        <w:jc w:val="both"/>
      </w:pPr>
      <w:r>
        <w:rPr>
          <w:rFonts w:eastAsia="Times New Roman"/>
        </w:rPr>
        <w:t>Regression is transparent and appropriate for an initial Excel pilot, but it depends on reliable data and reasonable assumptions. Exceptional events, multicollinearity and structural changes may weaken results. Both techniques should follow CRISP-DM: define the business problem, understand and prepare the data, build the model, evaluate it against operational needs and plan deployment (Shearer, 2000; Schröer, Kruse and Gómez, 2021). Excel supports CORREL, scatter plots and regression output, while IBM SPSS Modeler supports repeatable preparation, modelling and comparison.</w:t>
      </w:r>
    </w:p>
    <w:p w14:paraId="2CBE36BE" w14:textId="77777777" w:rsidR="009B7292" w:rsidRDefault="006D169B">
      <w:pPr>
        <w:pStyle w:val="Heading1"/>
      </w:pPr>
      <w:r>
        <w:rPr>
          <w:rFonts w:ascii="Times New Roman" w:eastAsia="Times New Roman" w:hAnsi="Times New Roman"/>
        </w:rPr>
        <w:t>5. Predictive Analysis</w:t>
      </w:r>
    </w:p>
    <w:p w14:paraId="1846E600" w14:textId="77777777" w:rsidR="009B7292" w:rsidRDefault="006D169B">
      <w:pPr>
        <w:ind w:firstLine="720"/>
        <w:jc w:val="both"/>
      </w:pPr>
      <w:r>
        <w:rPr>
          <w:rFonts w:eastAsia="Times New Roman"/>
        </w:rPr>
        <w:t xml:space="preserve">The priority predictive use case should be weekly demand forecasting by produce category, box type, postcode area and delivery day (Mediavilla, Dietrich and Palm, 2022). Inputs could include orders, cancellations, active subscribers, promotions, seasonality, weather, delivery performance, grower availability and lead times. Better forecasts would help planners decide how </w:t>
      </w:r>
      <w:r>
        <w:rPr>
          <w:rFonts w:eastAsia="Times New Roman"/>
        </w:rPr>
        <w:lastRenderedPageBreak/>
        <w:t>much surplus produce to accept, allocate products across boxes and anticipate route capacity, thereby reducing shortages, substitutions and waste.</w:t>
      </w:r>
    </w:p>
    <w:p w14:paraId="72F252B5" w14:textId="77777777" w:rsidR="009B7292" w:rsidRDefault="006D169B">
      <w:pPr>
        <w:ind w:firstLine="720"/>
        <w:jc w:val="both"/>
      </w:pPr>
      <w:r>
        <w:rPr>
          <w:rFonts w:eastAsia="Times New Roman"/>
        </w:rPr>
        <w:t xml:space="preserve">Excel is suitable for the pilot stage because staff are likely to </w:t>
      </w:r>
      <w:proofErr w:type="spellStart"/>
      <w:r>
        <w:rPr>
          <w:rFonts w:eastAsia="Times New Roman"/>
        </w:rPr>
        <w:t>recognise</w:t>
      </w:r>
      <w:proofErr w:type="spellEnd"/>
      <w:r>
        <w:rPr>
          <w:rFonts w:eastAsia="Times New Roman"/>
        </w:rPr>
        <w:t xml:space="preserve"> its interface and it provides CORREL, the Analysis </w:t>
      </w:r>
      <w:proofErr w:type="spellStart"/>
      <w:r>
        <w:rPr>
          <w:rFonts w:eastAsia="Times New Roman"/>
        </w:rPr>
        <w:t>ToolPak</w:t>
      </w:r>
      <w:proofErr w:type="spellEnd"/>
      <w:r>
        <w:rPr>
          <w:rFonts w:eastAsia="Times New Roman"/>
        </w:rPr>
        <w:t xml:space="preserve">, trendlines and Forecast Sheet. Its limitations are weak version control, limited automation and poor governance at scale. IBM SPSS Modeler is more suitable for repeatable production modelling because it provides visual data preparation, regression, model comparison and deployment workflows aligned with CRISP-DM (IBM, 2026a; IBM, 2026b). However, </w:t>
      </w:r>
      <w:proofErr w:type="spellStart"/>
      <w:r>
        <w:rPr>
          <w:rFonts w:eastAsia="Times New Roman"/>
        </w:rPr>
        <w:t>licences</w:t>
      </w:r>
      <w:proofErr w:type="spellEnd"/>
      <w:r>
        <w:rPr>
          <w:rFonts w:eastAsia="Times New Roman"/>
        </w:rPr>
        <w:t xml:space="preserve"> and training create additional </w:t>
      </w:r>
      <w:proofErr w:type="gramStart"/>
      <w:r>
        <w:rPr>
          <w:rFonts w:eastAsia="Times New Roman"/>
        </w:rPr>
        <w:t>cost</w:t>
      </w:r>
      <w:proofErr w:type="gramEnd"/>
      <w:r>
        <w:rPr>
          <w:rFonts w:eastAsia="Times New Roman"/>
        </w:rPr>
        <w:t>. Power BI should be used primarily to present approved warehouse outputs rather than as the main modelling environment. It can communicate forecasts, confidence ranges, anomalies and alerts through role-based reports.</w:t>
      </w:r>
    </w:p>
    <w:p w14:paraId="555BD93F" w14:textId="77777777" w:rsidR="00E1021D" w:rsidRDefault="0026771B">
      <w:pPr>
        <w:keepNext/>
        <w:spacing w:before="60" w:after="60"/>
        <w:jc w:val="center"/>
      </w:pPr>
      <w:r>
        <w:rPr>
          <w:rFonts w:eastAsia="Times New Roman"/>
          <w:b/>
          <w:sz w:val="20"/>
        </w:rPr>
        <w:t xml:space="preserve">Figure 1. Predictive analytics tools: decision matrix for </w:t>
      </w:r>
      <w:proofErr w:type="spellStart"/>
      <w:r>
        <w:rPr>
          <w:rFonts w:eastAsia="Times New Roman"/>
          <w:b/>
          <w:sz w:val="20"/>
        </w:rPr>
        <w:t>Oddbox</w:t>
      </w:r>
      <w:proofErr w:type="spellEnd"/>
    </w:p>
    <w:p w14:paraId="3FAA2A84" w14:textId="77777777" w:rsidR="009B7292" w:rsidRDefault="006D169B">
      <w:pPr>
        <w:keepNext/>
        <w:keepLines/>
        <w:jc w:val="center"/>
      </w:pPr>
      <w:r>
        <w:rPr>
          <w:noProof/>
        </w:rPr>
        <w:drawing>
          <wp:inline distT="0" distB="0" distL="0" distR="0" wp14:anchorId="5EDEB964" wp14:editId="217B0A0C">
            <wp:extent cx="5806440" cy="1585664"/>
            <wp:effectExtent l="0" t="0" r="0" b="0"/>
            <wp:docPr id="2" name="Oddbox predictive analytics decision matrix" descr="Decision matrix comparing Excel, Power BI and IBM SPSS Modeler across ease of use, predictive modelling depth, automation, governance and systems integration, with weighted scores and recommended roles." title="Oddbox predictive analytics decis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dbox_decision_matrix_cropped.png"/>
                    <pic:cNvPicPr/>
                  </pic:nvPicPr>
                  <pic:blipFill>
                    <a:blip r:embed="rId9"/>
                    <a:stretch>
                      <a:fillRect/>
                    </a:stretch>
                  </pic:blipFill>
                  <pic:spPr>
                    <a:xfrm>
                      <a:off x="0" y="0"/>
                      <a:ext cx="5806440" cy="1585664"/>
                    </a:xfrm>
                    <a:prstGeom prst="rect">
                      <a:avLst/>
                    </a:prstGeom>
                  </pic:spPr>
                </pic:pic>
              </a:graphicData>
            </a:graphic>
          </wp:inline>
        </w:drawing>
      </w:r>
    </w:p>
    <w:p w14:paraId="7E2DE19E" w14:textId="77777777" w:rsidR="009B7292" w:rsidRDefault="006D169B">
      <w:pPr>
        <w:ind w:firstLine="720"/>
        <w:jc w:val="both"/>
      </w:pPr>
      <w:proofErr w:type="spellStart"/>
      <w:r>
        <w:rPr>
          <w:rFonts w:eastAsia="Times New Roman"/>
        </w:rPr>
        <w:t>Oddbox</w:t>
      </w:r>
      <w:proofErr w:type="spellEnd"/>
      <w:r>
        <w:rPr>
          <w:rFonts w:eastAsia="Times New Roman"/>
        </w:rPr>
        <w:t xml:space="preserve"> should compare forecasts with a seasonal baseline using MAE, RMSE and MAPE, back-test holiday and unusual-weather periods, and examine accuracy by region. A phased implementation should begin with one Excel forecast, move to an automated warehouse and SPSS model, and then integrate validated outputs into Power BI. Investment should continue only when the model improves accuracy and supports measurable operational decisions.</w:t>
      </w:r>
    </w:p>
    <w:p w14:paraId="4135582B" w14:textId="77777777" w:rsidR="009B7292" w:rsidRDefault="006D169B">
      <w:pPr>
        <w:pStyle w:val="Heading1"/>
      </w:pPr>
      <w:r>
        <w:rPr>
          <w:rFonts w:ascii="Times New Roman" w:eastAsia="Times New Roman" w:hAnsi="Times New Roman"/>
        </w:rPr>
        <w:t>6. Ethical and Data Security Considerations</w:t>
      </w:r>
    </w:p>
    <w:p w14:paraId="36844782" w14:textId="77777777" w:rsidR="009B7292" w:rsidRDefault="006D169B">
      <w:pPr>
        <w:ind w:firstLine="720"/>
        <w:jc w:val="both"/>
      </w:pPr>
      <w:proofErr w:type="spellStart"/>
      <w:r>
        <w:rPr>
          <w:rFonts w:eastAsia="Times New Roman"/>
        </w:rPr>
        <w:t>Oddbox</w:t>
      </w:r>
      <w:proofErr w:type="spellEnd"/>
      <w:r>
        <w:rPr>
          <w:rFonts w:eastAsia="Times New Roman"/>
        </w:rPr>
        <w:t xml:space="preserve"> must comply with the UK GDPR, the Data Protection Act 2018 and relevant amendments introduced by the Data (Use and Access) Act 2025 (DSIT, 2025). Personal data should have a lawful basis, a defined purpose and a clear retention period. </w:t>
      </w:r>
      <w:proofErr w:type="gramStart"/>
      <w:r>
        <w:rPr>
          <w:rFonts w:eastAsia="Times New Roman"/>
        </w:rPr>
        <w:t>Contract</w:t>
      </w:r>
      <w:proofErr w:type="gramEnd"/>
      <w:r>
        <w:rPr>
          <w:rFonts w:eastAsia="Times New Roman"/>
        </w:rPr>
        <w:t xml:space="preserve"> may justify data needed to fulfil subscriptions, while analytics based on legitimate interests </w:t>
      </w:r>
      <w:proofErr w:type="gramStart"/>
      <w:r>
        <w:rPr>
          <w:rFonts w:eastAsia="Times New Roman"/>
        </w:rPr>
        <w:t>requires</w:t>
      </w:r>
      <w:proofErr w:type="gramEnd"/>
      <w:r>
        <w:rPr>
          <w:rFonts w:eastAsia="Times New Roman"/>
        </w:rPr>
        <w:t xml:space="preserve"> a documented balancing assessment. Customers should receive transparent information about profiling, and only necessary data should be collected (ICO, 2023a).</w:t>
      </w:r>
    </w:p>
    <w:p w14:paraId="0BB8108F" w14:textId="77777777" w:rsidR="009B7292" w:rsidRDefault="006D169B">
      <w:pPr>
        <w:ind w:firstLine="720"/>
        <w:jc w:val="both"/>
      </w:pPr>
      <w:r>
        <w:rPr>
          <w:rFonts w:eastAsia="Times New Roman"/>
        </w:rPr>
        <w:lastRenderedPageBreak/>
        <w:t xml:space="preserve">Ethical risk arises when postcode, spending or complaint history acts as a proxy for protected or vulnerable groups. </w:t>
      </w:r>
      <w:proofErr w:type="spellStart"/>
      <w:r>
        <w:rPr>
          <w:rFonts w:eastAsia="Times New Roman"/>
        </w:rPr>
        <w:t>Oddbox</w:t>
      </w:r>
      <w:proofErr w:type="spellEnd"/>
      <w:r>
        <w:rPr>
          <w:rFonts w:eastAsia="Times New Roman"/>
        </w:rPr>
        <w:t xml:space="preserve"> should test model errors across relevant customer segments, explain significant recommendations and retain meaningful human review. A data-protection impact assessment should precede high-risk profiling or automated decisions with significant effects.</w:t>
      </w:r>
    </w:p>
    <w:p w14:paraId="2F5FF89F" w14:textId="77777777" w:rsidR="009B7292" w:rsidRDefault="006D169B">
      <w:pPr>
        <w:ind w:firstLine="720"/>
        <w:jc w:val="both"/>
      </w:pPr>
      <w:r>
        <w:rPr>
          <w:rFonts w:eastAsia="Times New Roman"/>
        </w:rPr>
        <w:t xml:space="preserve">Internal threats include excessive access, employee misuse and accidental disclosure; external threats include phishing, ransomware, supplier compromise and cloud attacks. Controls should include encryption in transit and at rest, multi-factor authentication, </w:t>
      </w:r>
      <w:proofErr w:type="gramStart"/>
      <w:r>
        <w:rPr>
          <w:rFonts w:eastAsia="Times New Roman"/>
        </w:rPr>
        <w:t>least-privilege</w:t>
      </w:r>
      <w:proofErr w:type="gramEnd"/>
      <w:r>
        <w:rPr>
          <w:rFonts w:eastAsia="Times New Roman"/>
        </w:rPr>
        <w:t xml:space="preserve"> access, </w:t>
      </w:r>
      <w:proofErr w:type="spellStart"/>
      <w:r>
        <w:rPr>
          <w:rFonts w:eastAsia="Times New Roman"/>
        </w:rPr>
        <w:t>pseudonymisation</w:t>
      </w:r>
      <w:proofErr w:type="spellEnd"/>
      <w:r>
        <w:rPr>
          <w:rFonts w:eastAsia="Times New Roman"/>
        </w:rPr>
        <w:t>, audit logs, tested backups and incident-response procedures. Power BI row-level security should restrict information by role, while supplier contracts should define processing, retention and breach responsibilities (ICO, 2023b; Microsoft, 2026b).</w:t>
      </w:r>
    </w:p>
    <w:p w14:paraId="0FD1A7DC" w14:textId="77777777" w:rsidR="009B7292" w:rsidRDefault="006D169B">
      <w:pPr>
        <w:pStyle w:val="Heading1"/>
      </w:pPr>
      <w:r>
        <w:rPr>
          <w:rFonts w:ascii="Times New Roman" w:eastAsia="Times New Roman" w:hAnsi="Times New Roman"/>
        </w:rPr>
        <w:t>7. Reporting and Dashboard Solutions</w:t>
      </w:r>
    </w:p>
    <w:p w14:paraId="792149F5" w14:textId="77777777" w:rsidR="009B7292" w:rsidRDefault="006D169B">
      <w:pPr>
        <w:ind w:firstLine="720"/>
        <w:jc w:val="both"/>
      </w:pPr>
      <w:r>
        <w:rPr>
          <w:rFonts w:eastAsia="Times New Roman"/>
        </w:rPr>
        <w:t>Power BI is the most suitable reporting platform because it connects to governed semantic models, supports scheduled or near-real-time refresh, provides drill-through analysis and applies row-level security (Microsoft, 2026a; Microsoft, 2026b). An operational dashboard should show orders due, forecast supply gaps, fulfilment rate, substitution rate, route capacity, late deliveries, open exceptions and kilograms of produce allocated for rescue. Alerts should be limited to actionable conditions, identify a responsible owner and specify a response deadline.</w:t>
      </w:r>
    </w:p>
    <w:p w14:paraId="0D1F2E33" w14:textId="77777777" w:rsidR="009B7292" w:rsidRDefault="006D169B">
      <w:pPr>
        <w:ind w:firstLine="720"/>
        <w:jc w:val="both"/>
      </w:pPr>
      <w:r>
        <w:rPr>
          <w:rFonts w:eastAsia="Times New Roman"/>
        </w:rPr>
        <w:t xml:space="preserve">An executive dashboard should report active subscribers, churn, customer lifetime value, margin per box, forecast accuracy, on-time delivery, satisfaction, grower concentration and rescued-produce volume. Each KPI should include a definition, target, trend, variance and refresh timestamp. Managers should be able to </w:t>
      </w:r>
      <w:proofErr w:type="gramStart"/>
      <w:r>
        <w:rPr>
          <w:rFonts w:eastAsia="Times New Roman"/>
        </w:rPr>
        <w:t>filter by</w:t>
      </w:r>
      <w:proofErr w:type="gramEnd"/>
      <w:r>
        <w:rPr>
          <w:rFonts w:eastAsia="Times New Roman"/>
        </w:rPr>
        <w:t xml:space="preserve"> region, box type, grower and customer segment without exposing unnecessary personal data.</w:t>
      </w:r>
    </w:p>
    <w:p w14:paraId="003C071D" w14:textId="77777777" w:rsidR="009B7292" w:rsidRDefault="006D169B">
      <w:pPr>
        <w:ind w:firstLine="720"/>
        <w:jc w:val="both"/>
      </w:pPr>
      <w:r>
        <w:rPr>
          <w:rFonts w:eastAsia="Times New Roman"/>
        </w:rPr>
        <w:t xml:space="preserve">Dashboard design should </w:t>
      </w:r>
      <w:proofErr w:type="spellStart"/>
      <w:r>
        <w:rPr>
          <w:rFonts w:eastAsia="Times New Roman"/>
        </w:rPr>
        <w:t>prioritise</w:t>
      </w:r>
      <w:proofErr w:type="spellEnd"/>
      <w:r>
        <w:rPr>
          <w:rFonts w:eastAsia="Times New Roman"/>
        </w:rPr>
        <w:t xml:space="preserve"> decisions rather than visual novelty. Real-time refresh is justified for fulfilment and delivery exceptions, while weekly or monthly updates are sufficient for profitability and sustainability trends. A shared KPI dictionary, visible data-quality indicators and usage monitoring would reduce misunderstanding. Reports that are not used or do not support a decision should be redesigned or retired.</w:t>
      </w:r>
    </w:p>
    <w:p w14:paraId="19E999F0" w14:textId="77777777" w:rsidR="009B7292" w:rsidRDefault="006D169B">
      <w:pPr>
        <w:pStyle w:val="Heading1"/>
      </w:pPr>
      <w:r>
        <w:rPr>
          <w:rFonts w:ascii="Times New Roman" w:eastAsia="Times New Roman" w:hAnsi="Times New Roman"/>
        </w:rPr>
        <w:lastRenderedPageBreak/>
        <w:t>8. Conclusion</w:t>
      </w:r>
    </w:p>
    <w:p w14:paraId="31C33AB8" w14:textId="77777777" w:rsidR="009B7292" w:rsidRDefault="006D169B">
      <w:pPr>
        <w:ind w:firstLine="720"/>
        <w:jc w:val="both"/>
      </w:pPr>
      <w:r>
        <w:rPr>
          <w:rFonts w:eastAsia="Times New Roman"/>
        </w:rPr>
        <w:t xml:space="preserve">BI can help </w:t>
      </w:r>
      <w:proofErr w:type="spellStart"/>
      <w:r>
        <w:rPr>
          <w:rFonts w:eastAsia="Times New Roman"/>
        </w:rPr>
        <w:t>Oddbox</w:t>
      </w:r>
      <w:proofErr w:type="spellEnd"/>
      <w:r>
        <w:rPr>
          <w:rFonts w:eastAsia="Times New Roman"/>
        </w:rPr>
        <w:t xml:space="preserve"> convert fragmented operational records into coordinated decisions across customers, growers, boxes and deliveries. The recommended foundation is a cloud dimensional warehouse with conformed definitions, automated quality checks, traceable history and accountable ownership. Correlation can identify variables that move together, while regression can provide transparent demand forecasts. Weekly demand forecasting should be the first predictive application because it directly supports produce allocation, route planning, availability and waste reduction.</w:t>
      </w:r>
    </w:p>
    <w:p w14:paraId="29B08556" w14:textId="77777777" w:rsidR="009B7292" w:rsidRDefault="006D169B">
      <w:pPr>
        <w:ind w:firstLine="720"/>
        <w:jc w:val="both"/>
      </w:pPr>
      <w:proofErr w:type="spellStart"/>
      <w:r>
        <w:rPr>
          <w:rFonts w:eastAsia="Times New Roman"/>
        </w:rPr>
        <w:t>Oddbox</w:t>
      </w:r>
      <w:proofErr w:type="spellEnd"/>
      <w:r>
        <w:rPr>
          <w:rFonts w:eastAsia="Times New Roman"/>
        </w:rPr>
        <w:t xml:space="preserve"> should use Excel for a controlled pilot, IBM SPSS Modeler for repeatable production modelling and Power BI for secure reporting. Progress should depend on forecasts outperforming a baseline, users adopting the outputs and decisions producing measurable benefits. Governance is as important as software: staff training, data-protection compliance, fairness testing, access controls, model monitoring and human oversight should be embedded from the beginning. A phased implementation would improve responsiveness and evidence-based strategy while protecting </w:t>
      </w:r>
      <w:proofErr w:type="gramStart"/>
      <w:r>
        <w:rPr>
          <w:rFonts w:eastAsia="Times New Roman"/>
        </w:rPr>
        <w:t>customer</w:t>
      </w:r>
      <w:proofErr w:type="gramEnd"/>
      <w:r>
        <w:rPr>
          <w:rFonts w:eastAsia="Times New Roman"/>
        </w:rPr>
        <w:t xml:space="preserve"> and grower trust.</w:t>
      </w:r>
    </w:p>
    <w:p w14:paraId="73F7EDC9" w14:textId="77777777" w:rsidR="009B7292" w:rsidRDefault="006D169B">
      <w:pPr>
        <w:pStyle w:val="Heading1"/>
      </w:pPr>
      <w:r>
        <w:rPr>
          <w:rFonts w:ascii="Times New Roman" w:eastAsia="Times New Roman" w:hAnsi="Times New Roman"/>
        </w:rPr>
        <w:t>REFERENCES</w:t>
      </w:r>
    </w:p>
    <w:p w14:paraId="096A250B" w14:textId="77777777" w:rsidR="009B7292" w:rsidRDefault="006D169B">
      <w:pPr>
        <w:ind w:left="720" w:hanging="720"/>
      </w:pPr>
      <w:r>
        <w:rPr>
          <w:rFonts w:eastAsia="Times New Roman"/>
        </w:rPr>
        <w:t>Antunes, A.L., Cardoso, E. and Barateiro, J. (</w:t>
      </w:r>
      <w:proofErr w:type="gramStart"/>
      <w:r>
        <w:rPr>
          <w:rFonts w:eastAsia="Times New Roman"/>
        </w:rPr>
        <w:t>2022) ‘</w:t>
      </w:r>
      <w:proofErr w:type="gramEnd"/>
      <w:r>
        <w:rPr>
          <w:rFonts w:eastAsia="Times New Roman"/>
        </w:rPr>
        <w:t xml:space="preserve">Incorporation of ontologies in data warehouse/business intelligence systems: a systematic literature review’, </w:t>
      </w:r>
      <w:r>
        <w:rPr>
          <w:rFonts w:eastAsia="Times New Roman"/>
          <w:i/>
        </w:rPr>
        <w:t>International Journal of Information Management Data Insights</w:t>
      </w:r>
      <w:r>
        <w:rPr>
          <w:rFonts w:eastAsia="Times New Roman"/>
        </w:rPr>
        <w:t>, 2(2), 100131. Available at: https://doi.org/10.1016/j.jjimei.2022.100131 (Accessed: 18 July 2026).</w:t>
      </w:r>
    </w:p>
    <w:p w14:paraId="481BD590" w14:textId="77777777" w:rsidR="009B7292" w:rsidRDefault="006D169B">
      <w:pPr>
        <w:ind w:left="720" w:hanging="720"/>
      </w:pPr>
      <w:r>
        <w:rPr>
          <w:rFonts w:eastAsia="Times New Roman"/>
        </w:rPr>
        <w:t xml:space="preserve">Bernardo, B.M.V., São Mamede, H., Barroso, J.M.P. and dos Santos, V.M.P.D. (2024) ‘Data governance &amp; quality management—Innovation and breakthroughs across different fields’, </w:t>
      </w:r>
      <w:r>
        <w:rPr>
          <w:rFonts w:eastAsia="Times New Roman"/>
          <w:i/>
        </w:rPr>
        <w:t>Journal of Innovation &amp; Knowledge</w:t>
      </w:r>
      <w:r>
        <w:rPr>
          <w:rFonts w:eastAsia="Times New Roman"/>
        </w:rPr>
        <w:t>, 9(4), 100598. Available at: https://doi.org/10.1016/j.jik.2024.100598 (Accessed: 19 July 2026).</w:t>
      </w:r>
    </w:p>
    <w:p w14:paraId="6EDCC27C" w14:textId="77777777" w:rsidR="009B7292" w:rsidRDefault="006D169B">
      <w:pPr>
        <w:ind w:left="720" w:hanging="720"/>
      </w:pPr>
      <w:r>
        <w:rPr>
          <w:rFonts w:eastAsia="Times New Roman"/>
        </w:rPr>
        <w:t xml:space="preserve">Companies House (2026) </w:t>
      </w:r>
      <w:proofErr w:type="spellStart"/>
      <w:r>
        <w:rPr>
          <w:rFonts w:eastAsia="Times New Roman"/>
          <w:i/>
        </w:rPr>
        <w:t>Oddbox</w:t>
      </w:r>
      <w:proofErr w:type="spellEnd"/>
      <w:r>
        <w:rPr>
          <w:rFonts w:eastAsia="Times New Roman"/>
          <w:i/>
        </w:rPr>
        <w:t xml:space="preserve"> Delivery Ltd overview</w:t>
      </w:r>
      <w:r>
        <w:rPr>
          <w:rFonts w:eastAsia="Times New Roman"/>
        </w:rPr>
        <w:t>. Available at: https://find-and-update.company-information.service.gov.uk/company/09638976 (Accessed: 19 July 2026).</w:t>
      </w:r>
    </w:p>
    <w:p w14:paraId="261E12B3" w14:textId="77777777" w:rsidR="009B7292" w:rsidRDefault="006D169B">
      <w:pPr>
        <w:ind w:left="720" w:hanging="720"/>
      </w:pPr>
      <w:proofErr w:type="spellStart"/>
      <w:r>
        <w:rPr>
          <w:rFonts w:eastAsia="Times New Roman"/>
        </w:rPr>
        <w:t>DeLone</w:t>
      </w:r>
      <w:proofErr w:type="spellEnd"/>
      <w:r>
        <w:rPr>
          <w:rFonts w:eastAsia="Times New Roman"/>
        </w:rPr>
        <w:t xml:space="preserve">, W.H. and McLean, E.R. (2003) ‘The </w:t>
      </w:r>
      <w:proofErr w:type="spellStart"/>
      <w:r>
        <w:rPr>
          <w:rFonts w:eastAsia="Times New Roman"/>
        </w:rPr>
        <w:t>DeLone</w:t>
      </w:r>
      <w:proofErr w:type="spellEnd"/>
      <w:r>
        <w:rPr>
          <w:rFonts w:eastAsia="Times New Roman"/>
        </w:rPr>
        <w:t xml:space="preserve"> and McLean model of information systems success: a ten-year update’, </w:t>
      </w:r>
      <w:r>
        <w:rPr>
          <w:rFonts w:eastAsia="Times New Roman"/>
          <w:i/>
        </w:rPr>
        <w:t>Journal of Management Information Systems</w:t>
      </w:r>
      <w:r>
        <w:rPr>
          <w:rFonts w:eastAsia="Times New Roman"/>
        </w:rPr>
        <w:t xml:space="preserve">, 19(4), </w:t>
      </w:r>
      <w:r>
        <w:rPr>
          <w:rFonts w:eastAsia="Times New Roman"/>
        </w:rPr>
        <w:lastRenderedPageBreak/>
        <w:t>pp. 9–30. Available at: https://doi.org/10.1080/07421222.2003.11045748 (Accessed: 18 July 2026).</w:t>
      </w:r>
    </w:p>
    <w:p w14:paraId="6AC0160C" w14:textId="77777777" w:rsidR="009B7292" w:rsidRDefault="006D169B">
      <w:pPr>
        <w:ind w:left="720" w:hanging="720"/>
      </w:pPr>
      <w:r>
        <w:rPr>
          <w:rFonts w:eastAsia="Times New Roman"/>
        </w:rPr>
        <w:t xml:space="preserve">Department for Science, Innovation and Technology (DSIT) (2025) </w:t>
      </w:r>
      <w:r>
        <w:rPr>
          <w:rFonts w:eastAsia="Times New Roman"/>
          <w:i/>
        </w:rPr>
        <w:t>Data (Use and Access) Act 2025: data protection and privacy changes</w:t>
      </w:r>
      <w:r>
        <w:rPr>
          <w:rFonts w:eastAsia="Times New Roman"/>
        </w:rPr>
        <w:t>. Available at: https://www.gov.uk/guidance/data-use-and-access-act-2025-data-protection-and-privacy-changes (Accessed: 19 July 2026).</w:t>
      </w:r>
    </w:p>
    <w:p w14:paraId="661AACF7" w14:textId="77777777" w:rsidR="009B7292" w:rsidRDefault="006D169B">
      <w:pPr>
        <w:ind w:left="720" w:hanging="720"/>
      </w:pPr>
      <w:r>
        <w:rPr>
          <w:rFonts w:eastAsia="Times New Roman"/>
        </w:rPr>
        <w:t xml:space="preserve">IBM (2026a) </w:t>
      </w:r>
      <w:r>
        <w:rPr>
          <w:rFonts w:eastAsia="Times New Roman"/>
          <w:i/>
        </w:rPr>
        <w:t>IBM SPSS Modeler</w:t>
      </w:r>
      <w:r>
        <w:rPr>
          <w:rFonts w:eastAsia="Times New Roman"/>
        </w:rPr>
        <w:t>. Available at: https://www.ibm.com/products/spss-modeler (Accessed: 18 July 2026).</w:t>
      </w:r>
    </w:p>
    <w:p w14:paraId="286A5B12" w14:textId="77777777" w:rsidR="009B7292" w:rsidRDefault="006D169B">
      <w:pPr>
        <w:ind w:left="720" w:hanging="720"/>
      </w:pPr>
      <w:r>
        <w:rPr>
          <w:rFonts w:eastAsia="Times New Roman"/>
        </w:rPr>
        <w:t xml:space="preserve">IBM (2026b) </w:t>
      </w:r>
      <w:r>
        <w:rPr>
          <w:rFonts w:eastAsia="Times New Roman"/>
          <w:i/>
        </w:rPr>
        <w:t>How to use IBM SPSS Modeler</w:t>
      </w:r>
      <w:r>
        <w:rPr>
          <w:rFonts w:eastAsia="Times New Roman"/>
        </w:rPr>
        <w:t>. Available at: https://www.ibm.com/docs/en/spss-modeler/18.6.0?topic=started-how-use-spss-modeler (Accessed: 11 July 2026).</w:t>
      </w:r>
    </w:p>
    <w:p w14:paraId="13348521" w14:textId="77777777" w:rsidR="009B7292" w:rsidRDefault="006D169B">
      <w:pPr>
        <w:ind w:left="720" w:hanging="720"/>
      </w:pPr>
      <w:r>
        <w:rPr>
          <w:rFonts w:eastAsia="Times New Roman"/>
        </w:rPr>
        <w:t xml:space="preserve">Information Commissioner’s Office (ICO) (2023a) </w:t>
      </w:r>
      <w:r>
        <w:rPr>
          <w:rFonts w:eastAsia="Times New Roman"/>
          <w:i/>
        </w:rPr>
        <w:t>A guide to the data protection principles</w:t>
      </w:r>
      <w:r>
        <w:rPr>
          <w:rFonts w:eastAsia="Times New Roman"/>
        </w:rPr>
        <w:t>. Available at: https://ico.org.uk/for-organisations/uk-gdpr-guidance-and-resources/data-protection-principles/a-guide-to-the-data-protection-principles/ (Accessed: 11 July 2026).</w:t>
      </w:r>
    </w:p>
    <w:p w14:paraId="60E3F051" w14:textId="77777777" w:rsidR="009B7292" w:rsidRDefault="006D169B">
      <w:pPr>
        <w:ind w:left="720" w:hanging="720"/>
      </w:pPr>
      <w:r>
        <w:rPr>
          <w:rFonts w:eastAsia="Times New Roman"/>
        </w:rPr>
        <w:t xml:space="preserve">Information Commissioner’s Office (ICO) (2023b) </w:t>
      </w:r>
      <w:r>
        <w:rPr>
          <w:rFonts w:eastAsia="Times New Roman"/>
          <w:i/>
        </w:rPr>
        <w:t>A guide to data security</w:t>
      </w:r>
      <w:r>
        <w:rPr>
          <w:rFonts w:eastAsia="Times New Roman"/>
        </w:rPr>
        <w:t>. Available at: https://ico.org.uk/for-organisations/uk-gdpr-guidance-and-resources/security/a-guide-to-data-security/ (Accessed: 18 July 2026).</w:t>
      </w:r>
    </w:p>
    <w:p w14:paraId="23874F82" w14:textId="77777777" w:rsidR="009B7292" w:rsidRDefault="006D169B">
      <w:pPr>
        <w:ind w:left="720" w:hanging="720"/>
      </w:pPr>
      <w:r>
        <w:rPr>
          <w:rFonts w:eastAsia="Times New Roman"/>
        </w:rPr>
        <w:t xml:space="preserve">Kimball, R. and Ross, M. (2013) </w:t>
      </w:r>
      <w:r>
        <w:rPr>
          <w:rFonts w:eastAsia="Times New Roman"/>
          <w:i/>
        </w:rPr>
        <w:t>The data warehouse toolkit: the definitive guide to dimensional modeling</w:t>
      </w:r>
      <w:r>
        <w:rPr>
          <w:rFonts w:eastAsia="Times New Roman"/>
        </w:rPr>
        <w:t xml:space="preserve">. 3rd </w:t>
      </w:r>
      <w:proofErr w:type="spellStart"/>
      <w:r>
        <w:rPr>
          <w:rFonts w:eastAsia="Times New Roman"/>
        </w:rPr>
        <w:t>edn</w:t>
      </w:r>
      <w:proofErr w:type="spellEnd"/>
      <w:r>
        <w:rPr>
          <w:rFonts w:eastAsia="Times New Roman"/>
        </w:rPr>
        <w:t>. Indianapolis, IN: Wiley.</w:t>
      </w:r>
    </w:p>
    <w:p w14:paraId="19020047" w14:textId="77777777" w:rsidR="009B7292" w:rsidRDefault="006D169B">
      <w:pPr>
        <w:ind w:left="720" w:hanging="720"/>
      </w:pPr>
      <w:r>
        <w:rPr>
          <w:rFonts w:eastAsia="Times New Roman"/>
        </w:rPr>
        <w:t xml:space="preserve">Leis, V. and Kuschewski, M. (2021) ‘Towards cost-optimal query processing in the cloud’, </w:t>
      </w:r>
      <w:r>
        <w:rPr>
          <w:rFonts w:eastAsia="Times New Roman"/>
          <w:i/>
        </w:rPr>
        <w:t>Proceedings of the VLDB Endowment</w:t>
      </w:r>
      <w:r>
        <w:rPr>
          <w:rFonts w:eastAsia="Times New Roman"/>
        </w:rPr>
        <w:t>, 14(9), pp. 1606–1612. Available at: https://doi.org/10.14778/3461535.3461549 (Accessed: 14 July 2026).</w:t>
      </w:r>
    </w:p>
    <w:p w14:paraId="7CD1534B" w14:textId="77777777" w:rsidR="009B7292" w:rsidRDefault="006D169B">
      <w:pPr>
        <w:ind w:left="720" w:hanging="720"/>
      </w:pPr>
      <w:r>
        <w:rPr>
          <w:rFonts w:eastAsia="Times New Roman"/>
        </w:rPr>
        <w:t xml:space="preserve">Lutfi, A., </w:t>
      </w:r>
      <w:proofErr w:type="spellStart"/>
      <w:r>
        <w:rPr>
          <w:rFonts w:eastAsia="Times New Roman"/>
        </w:rPr>
        <w:t>Alrawad</w:t>
      </w:r>
      <w:proofErr w:type="spellEnd"/>
      <w:r>
        <w:rPr>
          <w:rFonts w:eastAsia="Times New Roman"/>
        </w:rPr>
        <w:t xml:space="preserve">, M., Alsyouf, A., </w:t>
      </w:r>
      <w:proofErr w:type="spellStart"/>
      <w:r>
        <w:rPr>
          <w:rFonts w:eastAsia="Times New Roman"/>
        </w:rPr>
        <w:t>Almaiah</w:t>
      </w:r>
      <w:proofErr w:type="spellEnd"/>
      <w:r>
        <w:rPr>
          <w:rFonts w:eastAsia="Times New Roman"/>
        </w:rPr>
        <w:t>, M.A., Al-</w:t>
      </w:r>
      <w:proofErr w:type="spellStart"/>
      <w:r>
        <w:rPr>
          <w:rFonts w:eastAsia="Times New Roman"/>
        </w:rPr>
        <w:t>Khasawneh</w:t>
      </w:r>
      <w:proofErr w:type="spellEnd"/>
      <w:r>
        <w:rPr>
          <w:rFonts w:eastAsia="Times New Roman"/>
        </w:rPr>
        <w:t>, A., Al-</w:t>
      </w:r>
      <w:proofErr w:type="spellStart"/>
      <w:r>
        <w:rPr>
          <w:rFonts w:eastAsia="Times New Roman"/>
        </w:rPr>
        <w:t>Khasawneh</w:t>
      </w:r>
      <w:proofErr w:type="spellEnd"/>
      <w:r>
        <w:rPr>
          <w:rFonts w:eastAsia="Times New Roman"/>
        </w:rPr>
        <w:t xml:space="preserve">, A.L., </w:t>
      </w:r>
      <w:proofErr w:type="spellStart"/>
      <w:r>
        <w:rPr>
          <w:rFonts w:eastAsia="Times New Roman"/>
        </w:rPr>
        <w:t>Alshira'h</w:t>
      </w:r>
      <w:proofErr w:type="spellEnd"/>
      <w:r>
        <w:rPr>
          <w:rFonts w:eastAsia="Times New Roman"/>
        </w:rPr>
        <w:t xml:space="preserve">, A.F., </w:t>
      </w:r>
      <w:proofErr w:type="spellStart"/>
      <w:r>
        <w:rPr>
          <w:rFonts w:eastAsia="Times New Roman"/>
        </w:rPr>
        <w:t>Alshirah</w:t>
      </w:r>
      <w:proofErr w:type="spellEnd"/>
      <w:r>
        <w:rPr>
          <w:rFonts w:eastAsia="Times New Roman"/>
        </w:rPr>
        <w:t xml:space="preserve">, M.H., Saad, M. and Ibrahim, N. (2023) ‘Drivers and impact of big data analytic adoption in the retail industry: a quantitative investigation applying structural equation modeling’, </w:t>
      </w:r>
      <w:r>
        <w:rPr>
          <w:rFonts w:eastAsia="Times New Roman"/>
          <w:i/>
        </w:rPr>
        <w:t>Journal of Retailing and Consumer Services</w:t>
      </w:r>
      <w:r>
        <w:rPr>
          <w:rFonts w:eastAsia="Times New Roman"/>
        </w:rPr>
        <w:t>, 70, 103129. Available at: https://doi.org/10.1016/j.jretconser.2022.103129 (Accessed: 19 July 2026).</w:t>
      </w:r>
    </w:p>
    <w:p w14:paraId="05756A99" w14:textId="77777777" w:rsidR="009253B2" w:rsidRDefault="00614624">
      <w:pPr>
        <w:ind w:left="720" w:hanging="720"/>
      </w:pPr>
      <w:r>
        <w:t xml:space="preserve">Mediavilla, M.A., Dietrich, F. and Palm, D. (2022) ‘Review and analysis of artificial intelligence methods for demand forecasting in supply chain management’, </w:t>
      </w:r>
      <w:r>
        <w:rPr>
          <w:i/>
        </w:rPr>
        <w:t>Procedia CIRP</w:t>
      </w:r>
      <w:r>
        <w:t xml:space="preserve">, 107, pp. </w:t>
      </w:r>
      <w:r>
        <w:lastRenderedPageBreak/>
        <w:t>1126–1131. Available at: https://doi.org/10.1016/j.procir.2022.05.119 (Accessed: 19 July 2026).</w:t>
      </w:r>
    </w:p>
    <w:p w14:paraId="048716EC" w14:textId="77777777" w:rsidR="009B7292" w:rsidRDefault="006D169B">
      <w:pPr>
        <w:ind w:left="720" w:hanging="720"/>
      </w:pPr>
      <w:r>
        <w:rPr>
          <w:rFonts w:eastAsia="Times New Roman"/>
        </w:rPr>
        <w:t xml:space="preserve">Microsoft (2026a) </w:t>
      </w:r>
      <w:r>
        <w:rPr>
          <w:rFonts w:eastAsia="Times New Roman"/>
          <w:i/>
        </w:rPr>
        <w:t>Power BI documentation</w:t>
      </w:r>
      <w:r>
        <w:rPr>
          <w:rFonts w:eastAsia="Times New Roman"/>
        </w:rPr>
        <w:t>. Available at: https://learn.microsoft.com/en-us/power-bi/ (Accessed: 18 July 2026).</w:t>
      </w:r>
    </w:p>
    <w:p w14:paraId="4D871D12" w14:textId="77777777" w:rsidR="009B7292" w:rsidRDefault="006D169B">
      <w:pPr>
        <w:ind w:left="720" w:hanging="720"/>
      </w:pPr>
      <w:r>
        <w:rPr>
          <w:rFonts w:eastAsia="Times New Roman"/>
        </w:rPr>
        <w:t xml:space="preserve">Microsoft (2026b) </w:t>
      </w:r>
      <w:r>
        <w:rPr>
          <w:rFonts w:eastAsia="Times New Roman"/>
          <w:i/>
        </w:rPr>
        <w:t>Row-level security (RLS) with Power BI</w:t>
      </w:r>
      <w:r>
        <w:rPr>
          <w:rFonts w:eastAsia="Times New Roman"/>
        </w:rPr>
        <w:t>. Available at: https://learn.microsoft.com/en-us/fabric/security/service-admin-row-level-security (Accessed: 18 July 2026).</w:t>
      </w:r>
    </w:p>
    <w:p w14:paraId="5373245D" w14:textId="77777777" w:rsidR="009B7292" w:rsidRDefault="006D169B">
      <w:pPr>
        <w:ind w:left="720" w:hanging="720"/>
      </w:pPr>
      <w:proofErr w:type="spellStart"/>
      <w:r>
        <w:rPr>
          <w:rFonts w:eastAsia="Times New Roman"/>
        </w:rPr>
        <w:t>Oddbox</w:t>
      </w:r>
      <w:proofErr w:type="spellEnd"/>
      <w:r>
        <w:rPr>
          <w:rFonts w:eastAsia="Times New Roman"/>
        </w:rPr>
        <w:t xml:space="preserve"> (2026a) </w:t>
      </w:r>
      <w:r>
        <w:rPr>
          <w:rFonts w:eastAsia="Times New Roman"/>
          <w:i/>
        </w:rPr>
        <w:t>Our mission</w:t>
      </w:r>
      <w:r>
        <w:rPr>
          <w:rFonts w:eastAsia="Times New Roman"/>
        </w:rPr>
        <w:t>. Available at: https://www.oddbox.co.uk/why (Accessed: 18 July 2026).</w:t>
      </w:r>
    </w:p>
    <w:p w14:paraId="0346E20D" w14:textId="77777777" w:rsidR="009B7292" w:rsidRDefault="006D169B">
      <w:pPr>
        <w:ind w:left="720" w:hanging="720"/>
      </w:pPr>
      <w:proofErr w:type="spellStart"/>
      <w:r>
        <w:rPr>
          <w:rFonts w:eastAsia="Times New Roman"/>
        </w:rPr>
        <w:t>Oddbox</w:t>
      </w:r>
      <w:proofErr w:type="spellEnd"/>
      <w:r>
        <w:rPr>
          <w:rFonts w:eastAsia="Times New Roman"/>
        </w:rPr>
        <w:t xml:space="preserve"> (2026b) </w:t>
      </w:r>
      <w:proofErr w:type="spellStart"/>
      <w:r>
        <w:rPr>
          <w:rFonts w:eastAsia="Times New Roman"/>
          <w:i/>
        </w:rPr>
        <w:t>Oddbox</w:t>
      </w:r>
      <w:proofErr w:type="spellEnd"/>
      <w:r>
        <w:rPr>
          <w:rFonts w:eastAsia="Times New Roman"/>
          <w:i/>
        </w:rPr>
        <w:t xml:space="preserve"> turns 10</w:t>
      </w:r>
      <w:r>
        <w:rPr>
          <w:rFonts w:eastAsia="Times New Roman"/>
        </w:rPr>
        <w:t>. Available at: https://www.oddbox.co.uk/blog/ten-years-of-oddbox (Accessed: 14 July 2026).</w:t>
      </w:r>
    </w:p>
    <w:p w14:paraId="515AAD2A" w14:textId="77777777" w:rsidR="009B7292" w:rsidRDefault="006D169B">
      <w:pPr>
        <w:ind w:left="720" w:hanging="720"/>
      </w:pPr>
      <w:r>
        <w:rPr>
          <w:rFonts w:eastAsia="Times New Roman"/>
        </w:rPr>
        <w:t xml:space="preserve">Schröer, C., Kruse, F. and Gómez, J.M. (2021) ‘A systematic literature review on applying CRISP-DM process model’, </w:t>
      </w:r>
      <w:r>
        <w:rPr>
          <w:rFonts w:eastAsia="Times New Roman"/>
          <w:i/>
        </w:rPr>
        <w:t>Procedia Computer Science</w:t>
      </w:r>
      <w:r>
        <w:rPr>
          <w:rFonts w:eastAsia="Times New Roman"/>
        </w:rPr>
        <w:t>, 181, pp. 526–534. Available at: https://doi.org/10.1016/j.procs.2021.01.199 (Accessed: 19 July 2026).</w:t>
      </w:r>
    </w:p>
    <w:p w14:paraId="1EB2170D" w14:textId="77777777" w:rsidR="009B7292" w:rsidRDefault="006D169B">
      <w:pPr>
        <w:ind w:left="720" w:hanging="720"/>
      </w:pPr>
      <w:r>
        <w:rPr>
          <w:rFonts w:eastAsia="Times New Roman"/>
        </w:rPr>
        <w:t xml:space="preserve">Shearer, C. (2000) ‘The CRISP-DM model: the new blueprint for data mining’, </w:t>
      </w:r>
      <w:r>
        <w:rPr>
          <w:rFonts w:eastAsia="Times New Roman"/>
          <w:i/>
        </w:rPr>
        <w:t>Journal of Data Warehousing</w:t>
      </w:r>
      <w:r>
        <w:rPr>
          <w:rFonts w:eastAsia="Times New Roman"/>
        </w:rPr>
        <w:t>, 5(4), pp. 13–22.</w:t>
      </w:r>
    </w:p>
    <w:p w14:paraId="312B22B1" w14:textId="77777777" w:rsidR="009B7292" w:rsidRDefault="006D169B">
      <w:pPr>
        <w:ind w:left="720" w:hanging="720"/>
      </w:pPr>
      <w:r>
        <w:rPr>
          <w:rFonts w:eastAsia="Times New Roman"/>
        </w:rPr>
        <w:t xml:space="preserve">Srivastava, G., </w:t>
      </w:r>
      <w:proofErr w:type="spellStart"/>
      <w:r>
        <w:rPr>
          <w:rFonts w:eastAsia="Times New Roman"/>
        </w:rPr>
        <w:t>Muneeswari</w:t>
      </w:r>
      <w:proofErr w:type="spellEnd"/>
      <w:r>
        <w:rPr>
          <w:rFonts w:eastAsia="Times New Roman"/>
        </w:rPr>
        <w:t xml:space="preserve">, S., Venkataraman, R., Kavitha, V. and Parthiban, N. (2022) ‘A review of the state of the art in business intelligence software’, </w:t>
      </w:r>
      <w:r>
        <w:rPr>
          <w:rFonts w:eastAsia="Times New Roman"/>
          <w:i/>
        </w:rPr>
        <w:t>Enterprise Information Systems</w:t>
      </w:r>
      <w:r>
        <w:rPr>
          <w:rFonts w:eastAsia="Times New Roman"/>
        </w:rPr>
        <w:t>, 16(1), pp. 1–28. Available at: https://doi.org/10.1080/17517575.2021.1872107 (Accessed: 18 July 2026).</w:t>
      </w:r>
    </w:p>
    <w:sectPr w:rsidR="009B7292" w:rsidSect="0003461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F58C8" w14:textId="77777777" w:rsidR="00D0096A" w:rsidRDefault="00D0096A">
      <w:pPr>
        <w:spacing w:after="0" w:line="240" w:lineRule="auto"/>
      </w:pPr>
      <w:r>
        <w:separator/>
      </w:r>
    </w:p>
  </w:endnote>
  <w:endnote w:type="continuationSeparator" w:id="0">
    <w:p w14:paraId="13D2719C" w14:textId="77777777" w:rsidR="00D0096A" w:rsidRDefault="00D00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319DC" w14:textId="77777777" w:rsidR="00BA215C" w:rsidRDefault="009825A8">
    <w:pPr>
      <w:pStyle w:val="Footer"/>
    </w:pPr>
    <w:r>
      <w:rPr>
        <w:noProof/>
      </w:rPr>
      <mc:AlternateContent>
        <mc:Choice Requires="wps">
          <w:drawing>
            <wp:anchor distT="0" distB="0" distL="0" distR="0" simplePos="0" relativeHeight="251659264" behindDoc="0" locked="0" layoutInCell="1" allowOverlap="1" wp14:anchorId="7EF15C91" wp14:editId="50B5AAA4">
              <wp:simplePos x="635" y="635"/>
              <wp:positionH relativeFrom="page">
                <wp:align>left</wp:align>
              </wp:positionH>
              <wp:positionV relativeFrom="page">
                <wp:align>bottom</wp:align>
              </wp:positionV>
              <wp:extent cx="633095" cy="422910"/>
              <wp:effectExtent l="0" t="0" r="14605" b="0"/>
              <wp:wrapNone/>
              <wp:docPr id="1896015141" name="Text Box 2" descr="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3095" cy="422910"/>
                      </a:xfrm>
                      <a:prstGeom prst="rect">
                        <a:avLst/>
                      </a:prstGeom>
                      <a:noFill/>
                      <a:ln>
                        <a:noFill/>
                      </a:ln>
                    </wps:spPr>
                    <wps:txbx>
                      <w:txbxContent>
                        <w:p w14:paraId="407EEDED" w14:textId="77777777" w:rsidR="009825A8" w:rsidRPr="009825A8" w:rsidRDefault="009825A8" w:rsidP="009825A8">
                          <w:pPr>
                            <w:spacing w:after="0"/>
                            <w:rPr>
                              <w:rFonts w:ascii="Aptos" w:eastAsia="Aptos" w:hAnsi="Aptos" w:cs="Aptos"/>
                              <w:noProof/>
                              <w:color w:val="000000"/>
                              <w:sz w:val="20"/>
                              <w:szCs w:val="20"/>
                            </w:rPr>
                          </w:pPr>
                          <w:r w:rsidRPr="009825A8">
                            <w:rPr>
                              <w:rFonts w:ascii="Aptos" w:eastAsia="Aptos" w:hAnsi="Aptos" w:cs="Aptos"/>
                              <w:noProof/>
                              <w:color w:val="000000"/>
                              <w:sz w:val="20"/>
                              <w:szCs w:val="20"/>
                            </w:rPr>
                            <w:t>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F15C91" id="_x0000_t202" coordsize="21600,21600" o:spt="202" path="m,l,21600r21600,l21600,xe">
              <v:stroke joinstyle="miter"/>
              <v:path gradientshapeok="t" o:connecttype="rect"/>
            </v:shapetype>
            <v:shape id="Text Box 2" o:spid="_x0000_s1026" type="#_x0000_t202" alt="Private" style="position:absolute;margin-left:0;margin-top:0;width:49.85pt;height:33.3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" filled="f" stroked="f">
              <v:textbox style="mso-fit-shape-to-text:t" inset="20pt,0,0,15pt">
                <w:txbxContent>
                  <w:p w14:paraId="407EEDED" w14:textId="77777777" w:rsidR="009825A8" w:rsidRPr="009825A8" w:rsidRDefault="009825A8" w:rsidP="009825A8">
                    <w:pPr>
                      <w:spacing w:after="0"/>
                      <w:rPr>
                        <w:rFonts w:ascii="Aptos" w:eastAsia="Aptos" w:hAnsi="Aptos" w:cs="Aptos"/>
                        <w:noProof/>
                        <w:color w:val="000000"/>
                        <w:sz w:val="20"/>
                        <w:szCs w:val="20"/>
                      </w:rPr>
                    </w:pPr>
                    <w:r w:rsidRPr="009825A8">
                      <w:rPr>
                        <w:rFonts w:ascii="Aptos" w:eastAsia="Aptos" w:hAnsi="Aptos" w:cs="Aptos"/>
                        <w:noProof/>
                        <w:color w:val="000000"/>
                        <w:sz w:val="20"/>
                        <w:szCs w:val="20"/>
                      </w:rPr>
                      <w:t>Private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5323" w14:textId="22B1F31C" w:rsidR="009B7292" w:rsidRDefault="006D169B">
    <w:pPr>
      <w:pStyle w:val="Footer"/>
      <w:jc w:val="center"/>
    </w:pPr>
    <w:r>
      <w:rPr>
        <w:rFonts w:eastAsia="Times New Roman"/>
        <w:sz w:val="20"/>
      </w:rPr>
      <w:fldChar w:fldCharType="begin"/>
    </w:r>
    <w:r>
      <w:rPr>
        <w:rFonts w:eastAsia="Times New Roman"/>
        <w:sz w:val="20"/>
      </w:rPr>
      <w:instrText>PAGE</w:instrText>
    </w:r>
    <w:r>
      <w:rPr>
        <w:rFonts w:eastAsia="Times New Roman"/>
        <w:sz w:val="20"/>
      </w:rPr>
      <w:fldChar w:fldCharType="separate"/>
    </w:r>
    <w:r w:rsidR="00BA215C">
      <w:rPr>
        <w:rFonts w:eastAsia="Times New Roman"/>
        <w:noProof/>
        <w:sz w:val="20"/>
      </w:rPr>
      <w:t>2</w:t>
    </w:r>
    <w:r>
      <w:rPr>
        <w:rFonts w:eastAsia="Times New Roman"/>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8A002" w14:textId="071A634D" w:rsidR="00BA215C" w:rsidRPr="009B4CFF" w:rsidRDefault="00BA215C" w:rsidP="009B4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793E3" w14:textId="77777777" w:rsidR="00D0096A" w:rsidRDefault="00D0096A">
      <w:pPr>
        <w:spacing w:after="0" w:line="240" w:lineRule="auto"/>
      </w:pPr>
      <w:r>
        <w:separator/>
      </w:r>
    </w:p>
  </w:footnote>
  <w:footnote w:type="continuationSeparator" w:id="0">
    <w:p w14:paraId="6375071C" w14:textId="77777777" w:rsidR="00D0096A" w:rsidRDefault="00D00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BB0FE" w14:textId="77777777" w:rsidR="009B4CFF" w:rsidRDefault="009B4C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82A8" w14:textId="77777777" w:rsidR="009B4CFF" w:rsidRDefault="009B4C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B9065" w14:textId="77777777" w:rsidR="009B4CFF" w:rsidRDefault="009B4C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80649577">
    <w:abstractNumId w:val="8"/>
  </w:num>
  <w:num w:numId="2" w16cid:durableId="747187878">
    <w:abstractNumId w:val="6"/>
  </w:num>
  <w:num w:numId="3" w16cid:durableId="211696699">
    <w:abstractNumId w:val="5"/>
  </w:num>
  <w:num w:numId="4" w16cid:durableId="1235631119">
    <w:abstractNumId w:val="4"/>
  </w:num>
  <w:num w:numId="5" w16cid:durableId="627274119">
    <w:abstractNumId w:val="7"/>
  </w:num>
  <w:num w:numId="6" w16cid:durableId="613708702">
    <w:abstractNumId w:val="3"/>
  </w:num>
  <w:num w:numId="7" w16cid:durableId="141045133">
    <w:abstractNumId w:val="2"/>
  </w:num>
  <w:num w:numId="8" w16cid:durableId="1037655957">
    <w:abstractNumId w:val="1"/>
  </w:num>
  <w:num w:numId="9" w16cid:durableId="859005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1A51"/>
    <w:rsid w:val="0026771B"/>
    <w:rsid w:val="0029639D"/>
    <w:rsid w:val="002C4D86"/>
    <w:rsid w:val="00326F90"/>
    <w:rsid w:val="00614624"/>
    <w:rsid w:val="006D169B"/>
    <w:rsid w:val="007C2114"/>
    <w:rsid w:val="009253B2"/>
    <w:rsid w:val="009825A8"/>
    <w:rsid w:val="009B4CFF"/>
    <w:rsid w:val="009B7292"/>
    <w:rsid w:val="00AA1D8D"/>
    <w:rsid w:val="00B47730"/>
    <w:rsid w:val="00B67417"/>
    <w:rsid w:val="00BA215C"/>
    <w:rsid w:val="00CB0664"/>
    <w:rsid w:val="00D0096A"/>
    <w:rsid w:val="00D54895"/>
    <w:rsid w:val="00E1021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6C4CA3"/>
  <w14:defaultImageDpi w14:val="300"/>
  <w15:docId w15:val="{BBC549AD-FD9B-4634-AB5C-3FDD5E2F1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c3a937fb-6ed7-499d-9b0c-5dbe3f7a968a}" enabled="1" method="Standard" siteId="{11bdded5-f39f-4b56-a7ab-f15f65dfecf6}"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3041</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Data Warehousing and Predictive Analytics at Oddbox</dc:title>
  <dc:subject>LCBB5014 Component 1 Individual Report</dc:subject>
  <dc:creator>Roger Aznar Montero</dc:creator>
  <cp:keywords>Business Intelligence, Data Warehousing, Data Mining, Predictive Analytics, Oddbox</cp:keywords>
  <dc:description>generated by python-docx</dc:description>
  <cp:lastModifiedBy>Roger Aznar Montero</cp:lastModifiedBy>
  <cp:revision>3</cp:revision>
  <dcterms:created xsi:type="dcterms:W3CDTF">2026-07-19T12:26:00Z</dcterms:created>
  <dcterms:modified xsi:type="dcterms:W3CDTF">2026-07-19T12:30:00Z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5b4cc47c,7102e525,1014d1be</vt:lpwstr>
  </property>
  <property fmtid="{D5CDD505-2E9C-101B-9397-08002B2CF9AE}" pid="3" name="ClassificationContentMarkingFooterFontProps">
    <vt:lpwstr>#000000,10,Aptos</vt:lpwstr>
  </property>
  <property fmtid="{D5CDD505-2E9C-101B-9397-08002B2CF9AE}" pid="4" name="ClassificationContentMarkingFooterText">
    <vt:lpwstr>Private</vt:lpwstr>
  </property>
</Properties>
</file>