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9D92E" w14:textId="77777777" w:rsidR="00C15386" w:rsidRPr="0049771F" w:rsidRDefault="00C15386" w:rsidP="00C15386">
      <w:pPr>
        <w:pStyle w:val="Title"/>
        <w:jc w:val="both"/>
        <w:rPr>
          <w:lang w:val="en-GB"/>
        </w:rPr>
      </w:pPr>
    </w:p>
    <w:p w14:paraId="01BD8219" w14:textId="77777777" w:rsidR="00C15386" w:rsidRPr="0049771F" w:rsidRDefault="00C15386" w:rsidP="00C15386">
      <w:pPr>
        <w:pStyle w:val="Title"/>
        <w:rPr>
          <w:lang w:val="en-GB"/>
        </w:rPr>
      </w:pPr>
      <w:r w:rsidRPr="0049771F">
        <w:rPr>
          <w:lang w:val="en-GB"/>
        </w:rPr>
        <w:t>LIABILITY BY OMISSION</w:t>
      </w:r>
    </w:p>
    <w:p w14:paraId="5E349807" w14:textId="77777777" w:rsidR="00C15386" w:rsidRPr="0049771F" w:rsidRDefault="00C15386" w:rsidP="00C15386">
      <w:pPr>
        <w:pStyle w:val="Normal1"/>
        <w:rPr>
          <w:sz w:val="32"/>
          <w:szCs w:val="32"/>
          <w:lang w:val="en-GB"/>
        </w:rPr>
      </w:pPr>
      <w:r w:rsidRPr="0049771F">
        <w:rPr>
          <w:lang w:val="en-GB"/>
        </w:rPr>
        <w:br w:type="page"/>
      </w:r>
    </w:p>
    <w:sdt>
      <w:sdtPr>
        <w:rPr>
          <w:rFonts w:ascii="Times New Roman" w:eastAsia="Times New Roman" w:hAnsi="Times New Roman" w:cs="Times New Roman"/>
          <w:b w:val="0"/>
          <w:bCs w:val="0"/>
          <w:color w:val="000000" w:themeColor="text1"/>
          <w:sz w:val="24"/>
          <w:szCs w:val="24"/>
          <w:lang w:val="en-GB"/>
        </w:rPr>
        <w:id w:val="32332970"/>
        <w:docPartObj>
          <w:docPartGallery w:val="Table of Contents"/>
          <w:docPartUnique/>
        </w:docPartObj>
      </w:sdtPr>
      <w:sdtEndPr>
        <w:rPr>
          <w:color w:val="auto"/>
        </w:rPr>
      </w:sdtEndPr>
      <w:sdtContent>
        <w:p w14:paraId="22B91F10" w14:textId="77777777" w:rsidR="00C15386" w:rsidRPr="0049771F" w:rsidRDefault="00C15386" w:rsidP="00C15386">
          <w:pPr>
            <w:pStyle w:val="TOCHeading"/>
            <w:spacing w:line="360" w:lineRule="auto"/>
            <w:jc w:val="center"/>
            <w:rPr>
              <w:rFonts w:ascii="Times New Roman" w:hAnsi="Times New Roman" w:cs="Times New Roman"/>
              <w:color w:val="000000" w:themeColor="text1"/>
              <w:sz w:val="24"/>
              <w:szCs w:val="24"/>
              <w:lang w:val="en-GB"/>
            </w:rPr>
          </w:pPr>
          <w:r w:rsidRPr="0049771F">
            <w:rPr>
              <w:rFonts w:ascii="Times New Roman" w:hAnsi="Times New Roman" w:cs="Times New Roman"/>
              <w:color w:val="000000" w:themeColor="text1"/>
              <w:sz w:val="24"/>
              <w:szCs w:val="24"/>
              <w:lang w:val="en-GB"/>
            </w:rPr>
            <w:t>Table of Contents</w:t>
          </w:r>
        </w:p>
        <w:p w14:paraId="32E95D1D" w14:textId="77777777" w:rsidR="00C15386" w:rsidRDefault="00C15386" w:rsidP="00C15386">
          <w:pPr>
            <w:pStyle w:val="TOC1"/>
            <w:tabs>
              <w:tab w:val="right" w:leader="dot" w:pos="9019"/>
            </w:tabs>
            <w:rPr>
              <w:rFonts w:asciiTheme="minorHAnsi" w:eastAsiaTheme="minorEastAsia" w:hAnsiTheme="minorHAnsi" w:cstheme="minorBidi"/>
              <w:noProof/>
              <w:sz w:val="22"/>
              <w:szCs w:val="22"/>
            </w:rPr>
          </w:pPr>
          <w:r w:rsidRPr="0049771F">
            <w:rPr>
              <w:lang w:val="en-GB"/>
            </w:rPr>
            <w:fldChar w:fldCharType="begin"/>
          </w:r>
          <w:r w:rsidRPr="0049771F">
            <w:rPr>
              <w:lang w:val="en-GB"/>
            </w:rPr>
            <w:instrText xml:space="preserve"> TOC \o "1-3" \h \z \u </w:instrText>
          </w:r>
          <w:r w:rsidRPr="0049771F">
            <w:rPr>
              <w:lang w:val="en-GB"/>
            </w:rPr>
            <w:fldChar w:fldCharType="separate"/>
          </w:r>
          <w:hyperlink w:anchor="_Toc118743263" w:history="1">
            <w:r w:rsidRPr="00B7062C">
              <w:rPr>
                <w:rStyle w:val="Hyperlink"/>
                <w:noProof/>
                <w:lang w:val="en-GB"/>
              </w:rPr>
              <w:t>Question 1</w:t>
            </w:r>
            <w:r>
              <w:rPr>
                <w:noProof/>
                <w:webHidden/>
              </w:rPr>
              <w:tab/>
            </w:r>
            <w:r>
              <w:rPr>
                <w:noProof/>
                <w:webHidden/>
              </w:rPr>
              <w:fldChar w:fldCharType="begin"/>
            </w:r>
            <w:r>
              <w:rPr>
                <w:noProof/>
                <w:webHidden/>
              </w:rPr>
              <w:instrText xml:space="preserve"> PAGEREF _Toc118743263 \h </w:instrText>
            </w:r>
            <w:r>
              <w:rPr>
                <w:noProof/>
                <w:webHidden/>
              </w:rPr>
            </w:r>
            <w:r>
              <w:rPr>
                <w:noProof/>
                <w:webHidden/>
              </w:rPr>
              <w:fldChar w:fldCharType="separate"/>
            </w:r>
            <w:r>
              <w:rPr>
                <w:noProof/>
                <w:webHidden/>
              </w:rPr>
              <w:t>2</w:t>
            </w:r>
            <w:r>
              <w:rPr>
                <w:noProof/>
                <w:webHidden/>
              </w:rPr>
              <w:fldChar w:fldCharType="end"/>
            </w:r>
          </w:hyperlink>
        </w:p>
        <w:p w14:paraId="3DA5F322" w14:textId="77777777" w:rsidR="00C15386" w:rsidRDefault="00C15386" w:rsidP="00C15386">
          <w:pPr>
            <w:pStyle w:val="TOC1"/>
            <w:tabs>
              <w:tab w:val="right" w:leader="dot" w:pos="9019"/>
            </w:tabs>
            <w:rPr>
              <w:rFonts w:asciiTheme="minorHAnsi" w:eastAsiaTheme="minorEastAsia" w:hAnsiTheme="minorHAnsi" w:cstheme="minorBidi"/>
              <w:noProof/>
              <w:sz w:val="22"/>
              <w:szCs w:val="22"/>
            </w:rPr>
          </w:pPr>
          <w:hyperlink w:anchor="_Toc118743264" w:history="1">
            <w:r w:rsidRPr="00B7062C">
              <w:rPr>
                <w:rStyle w:val="Hyperlink"/>
                <w:noProof/>
                <w:lang w:val="en-GB"/>
              </w:rPr>
              <w:t>Question 2</w:t>
            </w:r>
            <w:r>
              <w:rPr>
                <w:noProof/>
                <w:webHidden/>
              </w:rPr>
              <w:tab/>
            </w:r>
            <w:r>
              <w:rPr>
                <w:noProof/>
                <w:webHidden/>
              </w:rPr>
              <w:fldChar w:fldCharType="begin"/>
            </w:r>
            <w:r>
              <w:rPr>
                <w:noProof/>
                <w:webHidden/>
              </w:rPr>
              <w:instrText xml:space="preserve"> PAGEREF _Toc118743264 \h </w:instrText>
            </w:r>
            <w:r>
              <w:rPr>
                <w:noProof/>
                <w:webHidden/>
              </w:rPr>
            </w:r>
            <w:r>
              <w:rPr>
                <w:noProof/>
                <w:webHidden/>
              </w:rPr>
              <w:fldChar w:fldCharType="separate"/>
            </w:r>
            <w:r>
              <w:rPr>
                <w:noProof/>
                <w:webHidden/>
              </w:rPr>
              <w:t>2</w:t>
            </w:r>
            <w:r>
              <w:rPr>
                <w:noProof/>
                <w:webHidden/>
              </w:rPr>
              <w:fldChar w:fldCharType="end"/>
            </w:r>
          </w:hyperlink>
        </w:p>
        <w:p w14:paraId="226D31C6" w14:textId="77777777" w:rsidR="00C15386" w:rsidRDefault="00C15386" w:rsidP="00C15386">
          <w:pPr>
            <w:pStyle w:val="TOC1"/>
            <w:tabs>
              <w:tab w:val="right" w:leader="dot" w:pos="9019"/>
            </w:tabs>
            <w:rPr>
              <w:rFonts w:asciiTheme="minorHAnsi" w:eastAsiaTheme="minorEastAsia" w:hAnsiTheme="minorHAnsi" w:cstheme="minorBidi"/>
              <w:noProof/>
              <w:sz w:val="22"/>
              <w:szCs w:val="22"/>
            </w:rPr>
          </w:pPr>
          <w:hyperlink w:anchor="_Toc118743265" w:history="1">
            <w:r w:rsidRPr="00B7062C">
              <w:rPr>
                <w:rStyle w:val="Hyperlink"/>
                <w:noProof/>
                <w:lang w:val="en-GB"/>
              </w:rPr>
              <w:t>Question 3</w:t>
            </w:r>
            <w:r>
              <w:rPr>
                <w:noProof/>
                <w:webHidden/>
              </w:rPr>
              <w:tab/>
            </w:r>
            <w:r>
              <w:rPr>
                <w:noProof/>
                <w:webHidden/>
              </w:rPr>
              <w:fldChar w:fldCharType="begin"/>
            </w:r>
            <w:r>
              <w:rPr>
                <w:noProof/>
                <w:webHidden/>
              </w:rPr>
              <w:instrText xml:space="preserve"> PAGEREF _Toc118743265 \h </w:instrText>
            </w:r>
            <w:r>
              <w:rPr>
                <w:noProof/>
                <w:webHidden/>
              </w:rPr>
            </w:r>
            <w:r>
              <w:rPr>
                <w:noProof/>
                <w:webHidden/>
              </w:rPr>
              <w:fldChar w:fldCharType="separate"/>
            </w:r>
            <w:r>
              <w:rPr>
                <w:noProof/>
                <w:webHidden/>
              </w:rPr>
              <w:t>2</w:t>
            </w:r>
            <w:r>
              <w:rPr>
                <w:noProof/>
                <w:webHidden/>
              </w:rPr>
              <w:fldChar w:fldCharType="end"/>
            </w:r>
          </w:hyperlink>
        </w:p>
        <w:p w14:paraId="521B4B46" w14:textId="77777777" w:rsidR="00C15386" w:rsidRDefault="00C15386" w:rsidP="00C15386">
          <w:pPr>
            <w:pStyle w:val="TOC1"/>
            <w:tabs>
              <w:tab w:val="right" w:leader="dot" w:pos="9019"/>
            </w:tabs>
            <w:rPr>
              <w:rFonts w:asciiTheme="minorHAnsi" w:eastAsiaTheme="minorEastAsia" w:hAnsiTheme="minorHAnsi" w:cstheme="minorBidi"/>
              <w:noProof/>
              <w:sz w:val="22"/>
              <w:szCs w:val="22"/>
            </w:rPr>
          </w:pPr>
          <w:hyperlink w:anchor="_Toc118743266" w:history="1">
            <w:r w:rsidRPr="00B7062C">
              <w:rPr>
                <w:rStyle w:val="Hyperlink"/>
                <w:noProof/>
                <w:lang w:val="en-GB"/>
              </w:rPr>
              <w:t>Question 6</w:t>
            </w:r>
            <w:r>
              <w:rPr>
                <w:noProof/>
                <w:webHidden/>
              </w:rPr>
              <w:tab/>
            </w:r>
            <w:r>
              <w:rPr>
                <w:noProof/>
                <w:webHidden/>
              </w:rPr>
              <w:fldChar w:fldCharType="begin"/>
            </w:r>
            <w:r>
              <w:rPr>
                <w:noProof/>
                <w:webHidden/>
              </w:rPr>
              <w:instrText xml:space="preserve"> PAGEREF _Toc118743266 \h </w:instrText>
            </w:r>
            <w:r>
              <w:rPr>
                <w:noProof/>
                <w:webHidden/>
              </w:rPr>
            </w:r>
            <w:r>
              <w:rPr>
                <w:noProof/>
                <w:webHidden/>
              </w:rPr>
              <w:fldChar w:fldCharType="separate"/>
            </w:r>
            <w:r>
              <w:rPr>
                <w:noProof/>
                <w:webHidden/>
              </w:rPr>
              <w:t>4</w:t>
            </w:r>
            <w:r>
              <w:rPr>
                <w:noProof/>
                <w:webHidden/>
              </w:rPr>
              <w:fldChar w:fldCharType="end"/>
            </w:r>
          </w:hyperlink>
        </w:p>
        <w:p w14:paraId="7C23AE2B" w14:textId="77777777" w:rsidR="00C15386" w:rsidRDefault="00C15386" w:rsidP="00C15386">
          <w:pPr>
            <w:pStyle w:val="TOC1"/>
            <w:tabs>
              <w:tab w:val="right" w:leader="dot" w:pos="9019"/>
            </w:tabs>
            <w:rPr>
              <w:rFonts w:asciiTheme="minorHAnsi" w:eastAsiaTheme="minorEastAsia" w:hAnsiTheme="minorHAnsi" w:cstheme="minorBidi"/>
              <w:noProof/>
              <w:sz w:val="22"/>
              <w:szCs w:val="22"/>
            </w:rPr>
          </w:pPr>
          <w:hyperlink w:anchor="_Toc118743267" w:history="1">
            <w:r w:rsidRPr="00B7062C">
              <w:rPr>
                <w:rStyle w:val="Hyperlink"/>
                <w:noProof/>
                <w:lang w:val="en-GB"/>
              </w:rPr>
              <w:t>Question 7</w:t>
            </w:r>
            <w:r>
              <w:rPr>
                <w:noProof/>
                <w:webHidden/>
              </w:rPr>
              <w:tab/>
            </w:r>
            <w:r>
              <w:rPr>
                <w:noProof/>
                <w:webHidden/>
              </w:rPr>
              <w:fldChar w:fldCharType="begin"/>
            </w:r>
            <w:r>
              <w:rPr>
                <w:noProof/>
                <w:webHidden/>
              </w:rPr>
              <w:instrText xml:space="preserve"> PAGEREF _Toc118743267 \h </w:instrText>
            </w:r>
            <w:r>
              <w:rPr>
                <w:noProof/>
                <w:webHidden/>
              </w:rPr>
            </w:r>
            <w:r>
              <w:rPr>
                <w:noProof/>
                <w:webHidden/>
              </w:rPr>
              <w:fldChar w:fldCharType="separate"/>
            </w:r>
            <w:r>
              <w:rPr>
                <w:noProof/>
                <w:webHidden/>
              </w:rPr>
              <w:t>4</w:t>
            </w:r>
            <w:r>
              <w:rPr>
                <w:noProof/>
                <w:webHidden/>
              </w:rPr>
              <w:fldChar w:fldCharType="end"/>
            </w:r>
          </w:hyperlink>
        </w:p>
        <w:p w14:paraId="7FDD9D7B" w14:textId="77777777" w:rsidR="00C15386" w:rsidRDefault="00C15386" w:rsidP="00C15386">
          <w:pPr>
            <w:pStyle w:val="TOC1"/>
            <w:tabs>
              <w:tab w:val="right" w:leader="dot" w:pos="9019"/>
            </w:tabs>
            <w:rPr>
              <w:rFonts w:asciiTheme="minorHAnsi" w:eastAsiaTheme="minorEastAsia" w:hAnsiTheme="minorHAnsi" w:cstheme="minorBidi"/>
              <w:noProof/>
              <w:sz w:val="22"/>
              <w:szCs w:val="22"/>
            </w:rPr>
          </w:pPr>
          <w:hyperlink w:anchor="_Toc118743268" w:history="1">
            <w:r w:rsidRPr="00B7062C">
              <w:rPr>
                <w:rStyle w:val="Hyperlink"/>
                <w:noProof/>
                <w:lang w:val="en-GB"/>
              </w:rPr>
              <w:t>Question 8</w:t>
            </w:r>
            <w:r>
              <w:rPr>
                <w:noProof/>
                <w:webHidden/>
              </w:rPr>
              <w:tab/>
            </w:r>
            <w:r>
              <w:rPr>
                <w:noProof/>
                <w:webHidden/>
              </w:rPr>
              <w:fldChar w:fldCharType="begin"/>
            </w:r>
            <w:r>
              <w:rPr>
                <w:noProof/>
                <w:webHidden/>
              </w:rPr>
              <w:instrText xml:space="preserve"> PAGEREF _Toc118743268 \h </w:instrText>
            </w:r>
            <w:r>
              <w:rPr>
                <w:noProof/>
                <w:webHidden/>
              </w:rPr>
            </w:r>
            <w:r>
              <w:rPr>
                <w:noProof/>
                <w:webHidden/>
              </w:rPr>
              <w:fldChar w:fldCharType="separate"/>
            </w:r>
            <w:r>
              <w:rPr>
                <w:noProof/>
                <w:webHidden/>
              </w:rPr>
              <w:t>5</w:t>
            </w:r>
            <w:r>
              <w:rPr>
                <w:noProof/>
                <w:webHidden/>
              </w:rPr>
              <w:fldChar w:fldCharType="end"/>
            </w:r>
          </w:hyperlink>
        </w:p>
        <w:p w14:paraId="73EF6D3E" w14:textId="77777777" w:rsidR="00C15386" w:rsidRDefault="00C15386" w:rsidP="00C15386">
          <w:pPr>
            <w:pStyle w:val="TOC1"/>
            <w:tabs>
              <w:tab w:val="right" w:leader="dot" w:pos="9019"/>
            </w:tabs>
            <w:rPr>
              <w:rFonts w:asciiTheme="minorHAnsi" w:eastAsiaTheme="minorEastAsia" w:hAnsiTheme="minorHAnsi" w:cstheme="minorBidi"/>
              <w:noProof/>
              <w:sz w:val="22"/>
              <w:szCs w:val="22"/>
            </w:rPr>
          </w:pPr>
          <w:hyperlink w:anchor="_Toc118743269" w:history="1">
            <w:r w:rsidRPr="00B7062C">
              <w:rPr>
                <w:rStyle w:val="Hyperlink"/>
                <w:noProof/>
                <w:lang w:val="en-GB"/>
              </w:rPr>
              <w:t>Reference List</w:t>
            </w:r>
            <w:r>
              <w:rPr>
                <w:noProof/>
                <w:webHidden/>
              </w:rPr>
              <w:tab/>
            </w:r>
            <w:r>
              <w:rPr>
                <w:noProof/>
                <w:webHidden/>
              </w:rPr>
              <w:fldChar w:fldCharType="begin"/>
            </w:r>
            <w:r>
              <w:rPr>
                <w:noProof/>
                <w:webHidden/>
              </w:rPr>
              <w:instrText xml:space="preserve"> PAGEREF _Toc118743269 \h </w:instrText>
            </w:r>
            <w:r>
              <w:rPr>
                <w:noProof/>
                <w:webHidden/>
              </w:rPr>
            </w:r>
            <w:r>
              <w:rPr>
                <w:noProof/>
                <w:webHidden/>
              </w:rPr>
              <w:fldChar w:fldCharType="separate"/>
            </w:r>
            <w:r>
              <w:rPr>
                <w:noProof/>
                <w:webHidden/>
              </w:rPr>
              <w:t>6</w:t>
            </w:r>
            <w:r>
              <w:rPr>
                <w:noProof/>
                <w:webHidden/>
              </w:rPr>
              <w:fldChar w:fldCharType="end"/>
            </w:r>
          </w:hyperlink>
        </w:p>
        <w:p w14:paraId="433EE393" w14:textId="77777777" w:rsidR="00C15386" w:rsidRPr="0049771F" w:rsidRDefault="00C15386" w:rsidP="00C15386">
          <w:pPr>
            <w:rPr>
              <w:lang w:val="en-GB"/>
            </w:rPr>
          </w:pPr>
          <w:r w:rsidRPr="0049771F">
            <w:rPr>
              <w:lang w:val="en-GB"/>
            </w:rPr>
            <w:fldChar w:fldCharType="end"/>
          </w:r>
        </w:p>
      </w:sdtContent>
    </w:sdt>
    <w:p w14:paraId="5EAD6893" w14:textId="77777777" w:rsidR="00C15386" w:rsidRPr="0049771F" w:rsidRDefault="00C15386" w:rsidP="00C15386">
      <w:pPr>
        <w:pStyle w:val="Title"/>
        <w:jc w:val="both"/>
        <w:rPr>
          <w:lang w:val="en-GB"/>
        </w:rPr>
      </w:pPr>
    </w:p>
    <w:p w14:paraId="3D91B801" w14:textId="77777777" w:rsidR="00C15386" w:rsidRPr="0049771F" w:rsidRDefault="00C15386" w:rsidP="00C15386">
      <w:pPr>
        <w:pStyle w:val="Normal1"/>
        <w:rPr>
          <w:lang w:val="en-GB"/>
        </w:rPr>
      </w:pPr>
      <w:r w:rsidRPr="0049771F">
        <w:rPr>
          <w:lang w:val="en-GB"/>
        </w:rPr>
        <w:br w:type="page"/>
      </w:r>
    </w:p>
    <w:p w14:paraId="1A4CC7B9" w14:textId="77777777" w:rsidR="00C15386" w:rsidRPr="0049771F" w:rsidRDefault="00C15386" w:rsidP="00C15386">
      <w:pPr>
        <w:pStyle w:val="Heading1"/>
        <w:rPr>
          <w:lang w:val="en-GB"/>
        </w:rPr>
      </w:pPr>
      <w:bookmarkStart w:id="0" w:name="_988su59b1g7b" w:colFirst="0" w:colLast="0"/>
      <w:bookmarkStart w:id="1" w:name="_Toc118743263"/>
      <w:bookmarkEnd w:id="0"/>
      <w:r w:rsidRPr="0049771F">
        <w:rPr>
          <w:lang w:val="en-GB"/>
        </w:rPr>
        <w:lastRenderedPageBreak/>
        <w:t>Question 1</w:t>
      </w:r>
      <w:bookmarkEnd w:id="1"/>
    </w:p>
    <w:p w14:paraId="0E96B104" w14:textId="77777777" w:rsidR="00C15386" w:rsidRPr="0049771F" w:rsidRDefault="00C15386" w:rsidP="00C15386">
      <w:pPr>
        <w:pStyle w:val="Normal1"/>
        <w:rPr>
          <w:lang w:val="en-GB"/>
        </w:rPr>
      </w:pPr>
      <w:r w:rsidRPr="0049771F">
        <w:rPr>
          <w:lang w:val="en-GB"/>
        </w:rPr>
        <w:t xml:space="preserve">Criminal liability can also be predicted based on failure to act when the accused has been conducted under a legal duty to act and is logically capable of doing that. In simple words, a failure to act can be mentioned as if a person assigned a duty to perform a certain act but failed to do so. In this context, the case of </w:t>
      </w:r>
      <w:r w:rsidRPr="0049771F">
        <w:rPr>
          <w:i/>
          <w:lang w:val="en-GB"/>
        </w:rPr>
        <w:t>R v Gibbins and Proctor (1918) 13 Cr App Rep 134</w:t>
      </w:r>
      <w:r w:rsidRPr="0049771F">
        <w:rPr>
          <w:lang w:val="en-GB"/>
        </w:rPr>
        <w:t xml:space="preserve"> needs to be mentioned (lawprof.co, 2022). It is the general duty of the parents to take care of their child and if they fail to do so that can be counted on the approaches of failure to act criminal liability. In the mentioned case </w:t>
      </w:r>
      <w:proofErr w:type="gramStart"/>
      <w:r w:rsidRPr="0049771F">
        <w:rPr>
          <w:lang w:val="en-GB"/>
        </w:rPr>
        <w:t>it can be seen that Gibbins</w:t>
      </w:r>
      <w:proofErr w:type="gramEnd"/>
      <w:r w:rsidRPr="0049771F">
        <w:rPr>
          <w:lang w:val="en-GB"/>
        </w:rPr>
        <w:t xml:space="preserve"> and Proctor are the “loco parentis” of the child. It can be seen that as a </w:t>
      </w:r>
      <w:proofErr w:type="gramStart"/>
      <w:r w:rsidRPr="0049771F">
        <w:rPr>
          <w:lang w:val="en-GB"/>
        </w:rPr>
        <w:t>father</w:t>
      </w:r>
      <w:proofErr w:type="gramEnd"/>
      <w:r w:rsidRPr="0049771F">
        <w:rPr>
          <w:lang w:val="en-GB"/>
        </w:rPr>
        <w:t xml:space="preserve"> Gibbins pays money for taking care of his child. From this approach, it is evident that Proctor did not perform her duty which gets under the attributes of failure to act. The court held Gibbins guilty as he might pay money for the child’s care but ignored her conditions (ipsaloquitur.com, 2022). Keeping that in view it can be mentioned that when an individual fails to perform his duty or ignore activities related to the duty falls under the failure to relate act. </w:t>
      </w:r>
    </w:p>
    <w:p w14:paraId="4611B1C2" w14:textId="77777777" w:rsidR="00C15386" w:rsidRPr="0049771F" w:rsidRDefault="00C15386" w:rsidP="00C15386">
      <w:pPr>
        <w:pStyle w:val="Heading1"/>
        <w:rPr>
          <w:lang w:val="en-GB"/>
        </w:rPr>
      </w:pPr>
      <w:bookmarkStart w:id="2" w:name="_kdc9iogiqifw" w:colFirst="0" w:colLast="0"/>
      <w:bookmarkStart w:id="3" w:name="_Toc118743264"/>
      <w:bookmarkEnd w:id="2"/>
      <w:r w:rsidRPr="0049771F">
        <w:rPr>
          <w:lang w:val="en-GB"/>
        </w:rPr>
        <w:t>Question 2</w:t>
      </w:r>
      <w:bookmarkEnd w:id="3"/>
    </w:p>
    <w:p w14:paraId="2FDD2802" w14:textId="77777777" w:rsidR="00C15386" w:rsidRPr="0049771F" w:rsidRDefault="00C15386" w:rsidP="00C15386">
      <w:pPr>
        <w:pStyle w:val="Normal1"/>
        <w:rPr>
          <w:lang w:val="en-GB"/>
        </w:rPr>
      </w:pPr>
      <w:r w:rsidRPr="0049771F">
        <w:rPr>
          <w:lang w:val="en-GB"/>
        </w:rPr>
        <w:t xml:space="preserve">There are mainly four specific circumstances where common law imposes a duty to act. In case the defendant is a public servant, the defendant has a relationship with the victim, voluntary responsibility for the victim and if carted a danger to the victim that can be considered as a duty to act. The case law of </w:t>
      </w:r>
      <w:r w:rsidRPr="0049771F">
        <w:rPr>
          <w:i/>
          <w:lang w:val="en-GB"/>
        </w:rPr>
        <w:t xml:space="preserve">Airedale N.H.S. Trust v Bland [1993] A.C. 789 House of Lords </w:t>
      </w:r>
      <w:r w:rsidRPr="0049771F">
        <w:rPr>
          <w:lang w:val="en-GB"/>
        </w:rPr>
        <w:t xml:space="preserve">needs to be mentioned in this context (e-lawresources.co.uk, 2022). As per the case, </w:t>
      </w:r>
      <w:proofErr w:type="gramStart"/>
      <w:r w:rsidRPr="0049771F">
        <w:rPr>
          <w:lang w:val="en-GB"/>
        </w:rPr>
        <w:t>it can be seen that the</w:t>
      </w:r>
      <w:proofErr w:type="gramEnd"/>
      <w:r w:rsidRPr="0049771F">
        <w:rPr>
          <w:lang w:val="en-GB"/>
        </w:rPr>
        <w:t xml:space="preserve"> hospital after taking consent from the parents of Tony Bland intended to lawfully discontinue the life support system. The omission of the act might be nonetheless in case the presence of duty to act can be perceived. There is no point in duty to treat as if treatment is not in the best condition for the patient any improvement cannot be seen in the health condition of the patient. The court granted the declaration and there is no interest in Tony Bland continuing the process of tearing him artificially. The discussion under the shades of the mentioned case law depicts the general duty to act in criminal law. </w:t>
      </w:r>
    </w:p>
    <w:p w14:paraId="5254A7F9" w14:textId="77777777" w:rsidR="00C15386" w:rsidRPr="0049771F" w:rsidRDefault="00C15386" w:rsidP="00C15386">
      <w:pPr>
        <w:pStyle w:val="Heading1"/>
        <w:rPr>
          <w:lang w:val="en-GB"/>
        </w:rPr>
      </w:pPr>
      <w:bookmarkStart w:id="4" w:name="_h2xy65hsjfg7" w:colFirst="0" w:colLast="0"/>
      <w:bookmarkStart w:id="5" w:name="_Toc118743265"/>
      <w:bookmarkEnd w:id="4"/>
      <w:r w:rsidRPr="0049771F">
        <w:rPr>
          <w:lang w:val="en-GB"/>
        </w:rPr>
        <w:t>Question 3</w:t>
      </w:r>
      <w:bookmarkEnd w:id="5"/>
    </w:p>
    <w:p w14:paraId="14BCCDBB" w14:textId="77777777" w:rsidR="00C15386" w:rsidRPr="0049771F" w:rsidRDefault="00C15386" w:rsidP="00C15386">
      <w:pPr>
        <w:pStyle w:val="Normal1"/>
        <w:rPr>
          <w:lang w:val="en-GB"/>
        </w:rPr>
      </w:pPr>
      <w:r w:rsidRPr="0049771F">
        <w:rPr>
          <w:color w:val="000000"/>
          <w:lang w:val="en-GB"/>
        </w:rPr>
        <w:t>The establishment of crime committed by omission will require three conservative factors. The first factor is the duty of care; second factors consist of the evidence values that describe that the duty has been breached (</w:t>
      </w:r>
      <w:r w:rsidRPr="0049771F">
        <w:rPr>
          <w:color w:val="222222"/>
          <w:shd w:val="clear" w:color="auto" w:fill="FFFFFF"/>
          <w:lang w:val="en-GB"/>
        </w:rPr>
        <w:t>ojp.gov, 2022</w:t>
      </w:r>
      <w:r w:rsidRPr="0049771F">
        <w:rPr>
          <w:color w:val="000000"/>
          <w:lang w:val="en-GB"/>
        </w:rPr>
        <w:t xml:space="preserve">). The third and last factor validates the connection between the violation of responsibility and the harm that has been caused. Furthermore, the act may be accomplished innocently or in </w:t>
      </w:r>
      <w:proofErr w:type="spellStart"/>
      <w:r w:rsidRPr="0049771F">
        <w:rPr>
          <w:color w:val="000000"/>
          <w:lang w:val="en-GB"/>
        </w:rPr>
        <w:t>neglectfullness</w:t>
      </w:r>
      <w:proofErr w:type="spellEnd"/>
      <w:r w:rsidRPr="0049771F">
        <w:rPr>
          <w:color w:val="000000"/>
          <w:lang w:val="en-GB"/>
        </w:rPr>
        <w:t>, though it can nonetheless give an incline to any responsibility (</w:t>
      </w:r>
      <w:r w:rsidRPr="0049771F">
        <w:rPr>
          <w:color w:val="222222"/>
          <w:shd w:val="clear" w:color="auto" w:fill="FFFFFF"/>
          <w:lang w:val="en-GB"/>
        </w:rPr>
        <w:t>lexisnexis.co.uk, 2022</w:t>
      </w:r>
      <w:r w:rsidRPr="0049771F">
        <w:rPr>
          <w:color w:val="000000"/>
          <w:lang w:val="en-GB"/>
        </w:rPr>
        <w:t xml:space="preserve">). These aspects can be considered exclusively </w:t>
      </w:r>
      <w:r w:rsidRPr="0049771F">
        <w:rPr>
          <w:color w:val="000000"/>
          <w:lang w:val="en-GB"/>
        </w:rPr>
        <w:lastRenderedPageBreak/>
        <w:t xml:space="preserve">when the regulation imposes a responsibility to </w:t>
      </w:r>
      <w:proofErr w:type="gramStart"/>
      <w:r w:rsidRPr="0049771F">
        <w:rPr>
          <w:color w:val="000000"/>
          <w:lang w:val="en-GB"/>
        </w:rPr>
        <w:t>act</w:t>
      </w:r>
      <w:proofErr w:type="gramEnd"/>
      <w:r w:rsidRPr="0049771F">
        <w:rPr>
          <w:color w:val="000000"/>
          <w:lang w:val="en-GB"/>
        </w:rPr>
        <w:t xml:space="preserve"> and the defendant is in infringement of that duty. Thus, </w:t>
      </w:r>
      <w:proofErr w:type="gramStart"/>
      <w:r w:rsidRPr="0049771F">
        <w:rPr>
          <w:color w:val="000000"/>
          <w:lang w:val="en-GB"/>
        </w:rPr>
        <w:t>in light of</w:t>
      </w:r>
      <w:proofErr w:type="gramEnd"/>
      <w:r w:rsidRPr="0049771F">
        <w:rPr>
          <w:color w:val="000000"/>
          <w:lang w:val="en-GB"/>
        </w:rPr>
        <w:t xml:space="preserve"> the context, the crime can be considered as committed by omission.</w:t>
      </w:r>
    </w:p>
    <w:p w14:paraId="2A2D4358" w14:textId="77777777" w:rsidR="00C15386" w:rsidRPr="0049771F" w:rsidRDefault="00C15386" w:rsidP="00C15386">
      <w:pPr>
        <w:pStyle w:val="Normal1"/>
        <w:rPr>
          <w:lang w:val="en-GB"/>
        </w:rPr>
      </w:pPr>
      <w:r w:rsidRPr="0049771F">
        <w:rPr>
          <w:lang w:val="en-GB"/>
        </w:rPr>
        <w:t xml:space="preserve">In this context, the case reference of Miller needs to address. In this mentioned case it can be seen that D went to sleep holding a lit cigarette and due to this </w:t>
      </w:r>
      <w:proofErr w:type="gramStart"/>
      <w:r w:rsidRPr="0049771F">
        <w:rPr>
          <w:lang w:val="en-GB"/>
        </w:rPr>
        <w:t>factor</w:t>
      </w:r>
      <w:proofErr w:type="gramEnd"/>
      <w:r w:rsidRPr="0049771F">
        <w:rPr>
          <w:lang w:val="en-GB"/>
        </w:rPr>
        <w:t xml:space="preserve"> the mattress went on fire. Instead of putting the fire out, D went to the next room for sleeping (thestudentlawyer.com, 2022). This factor shades light upon the first factor which future connects the harmful incident as a negligence of duty and provides an evidential link to D and his breach of duty.</w:t>
      </w:r>
    </w:p>
    <w:p w14:paraId="257D5A97" w14:textId="77777777" w:rsidR="00C15386" w:rsidRPr="0049771F" w:rsidRDefault="00C15386" w:rsidP="00C15386">
      <w:pPr>
        <w:pStyle w:val="NormalWeb"/>
        <w:spacing w:before="0" w:beforeAutospacing="0" w:after="0" w:afterAutospacing="0" w:line="360" w:lineRule="auto"/>
        <w:jc w:val="both"/>
        <w:rPr>
          <w:lang w:val="en-GB"/>
        </w:rPr>
      </w:pPr>
      <w:r w:rsidRPr="0049771F">
        <w:rPr>
          <w:b/>
          <w:bCs/>
          <w:color w:val="000000"/>
          <w:lang w:val="en-GB"/>
        </w:rPr>
        <w:t>Question 4</w:t>
      </w:r>
    </w:p>
    <w:p w14:paraId="5509219B" w14:textId="77777777" w:rsidR="00C15386" w:rsidRPr="0049771F" w:rsidRDefault="00C15386" w:rsidP="00C15386">
      <w:pPr>
        <w:pStyle w:val="NormalWeb"/>
        <w:spacing w:before="0" w:beforeAutospacing="0" w:after="0" w:afterAutospacing="0" w:line="360" w:lineRule="auto"/>
        <w:jc w:val="both"/>
        <w:rPr>
          <w:lang w:val="en-GB"/>
        </w:rPr>
      </w:pPr>
      <w:r w:rsidRPr="0049771F">
        <w:rPr>
          <w:color w:val="000000"/>
          <w:lang w:val="en-GB"/>
        </w:rPr>
        <w:t>The determination of a legal breach or damage and breach of duty by the defendant requires the interception of the statutory duty act. Statutory duty involves organisations, not people which are a crucial factor to determine. In such context, in the “Wacker v. Personal Touch Home Care, Inc” case personal touch has a procedure of automatically removing thirty minutes per day from a planned “eight-and-a-half-hour shift” to account (casetext.com, 2009). The changes in the planned shift are considered a breach of duty and the plaintiff's motion to reopen was granted by the court.  These aspects require the existence of statutory laws that an institution, an administration association, or the associates of an individual affirmation must obey (southlakeland.gov.uk, 2022). Furthermore, the breach of statutory duty can be considered presumed negligence. The responsibility itself remains to be demonstrated before its infringement is established presenting advancement to a declaration for deterioration. Thus, the law requires the provision of adequate services under the legal framework stated by the UK government.</w:t>
      </w:r>
    </w:p>
    <w:p w14:paraId="5A5B0D7A" w14:textId="77777777" w:rsidR="00C15386" w:rsidRPr="0049771F" w:rsidRDefault="00C15386" w:rsidP="00C15386">
      <w:pPr>
        <w:pStyle w:val="NormalWeb"/>
        <w:spacing w:before="0" w:beforeAutospacing="0" w:after="0" w:afterAutospacing="0" w:line="360" w:lineRule="auto"/>
        <w:jc w:val="both"/>
        <w:rPr>
          <w:lang w:val="en-GB"/>
        </w:rPr>
      </w:pPr>
      <w:r w:rsidRPr="0049771F">
        <w:rPr>
          <w:b/>
          <w:bCs/>
          <w:color w:val="000000"/>
          <w:lang w:val="en-GB"/>
        </w:rPr>
        <w:t>Question 5</w:t>
      </w:r>
    </w:p>
    <w:p w14:paraId="7220D6D0" w14:textId="77777777" w:rsidR="00C15386" w:rsidRPr="0049771F" w:rsidRDefault="00C15386" w:rsidP="00C15386">
      <w:pPr>
        <w:pStyle w:val="NormalWeb"/>
        <w:spacing w:before="0" w:beforeAutospacing="0" w:after="0" w:afterAutospacing="0" w:line="360" w:lineRule="auto"/>
        <w:jc w:val="both"/>
        <w:rPr>
          <w:lang w:val="en-GB"/>
        </w:rPr>
      </w:pPr>
      <w:r w:rsidRPr="0049771F">
        <w:rPr>
          <w:color w:val="000000"/>
          <w:lang w:val="en-GB"/>
        </w:rPr>
        <w:t xml:space="preserve">Contractual responsibilities are those commitments that both employers and workers are lawfully accountable for in contract congruence.  In an arrangement, each partaker interacts with something of importance, </w:t>
      </w:r>
      <w:proofErr w:type="gramStart"/>
      <w:r w:rsidRPr="0049771F">
        <w:rPr>
          <w:color w:val="000000"/>
          <w:lang w:val="en-GB"/>
        </w:rPr>
        <w:t>regardless</w:t>
      </w:r>
      <w:proofErr w:type="gramEnd"/>
      <w:r w:rsidRPr="0049771F">
        <w:rPr>
          <w:color w:val="000000"/>
          <w:lang w:val="en-GB"/>
        </w:rPr>
        <w:t xml:space="preserve"> if it is a product, courtesy, or finances. The contractual duty also consists of the right, obligations and accountability of employers stated for the employees. The regulations of contractual duly derive that workers and employers must adhere to an accord until it terminates (</w:t>
      </w:r>
      <w:r w:rsidRPr="0049771F">
        <w:rPr>
          <w:color w:val="222222"/>
          <w:shd w:val="clear" w:color="auto" w:fill="FFFFFF"/>
          <w:lang w:val="en-GB"/>
        </w:rPr>
        <w:t>hs-legal.co.uk, 2022</w:t>
      </w:r>
      <w:r w:rsidRPr="0049771F">
        <w:rPr>
          <w:color w:val="000000"/>
          <w:lang w:val="en-GB"/>
        </w:rPr>
        <w:t xml:space="preserve">). The context is associated with the aspect in which a defendant raised the entrance to allow a coach to depart and then headed off to lunch forgetting to place it back down. </w:t>
      </w:r>
      <w:r>
        <w:rPr>
          <w:color w:val="000000"/>
          <w:lang w:val="en-GB"/>
        </w:rPr>
        <w:t xml:space="preserve">The </w:t>
      </w:r>
      <w:r w:rsidRPr="0049771F">
        <w:rPr>
          <w:color w:val="000000"/>
          <w:lang w:val="en-GB"/>
        </w:rPr>
        <w:t>“R</w:t>
      </w:r>
      <w:r>
        <w:rPr>
          <w:color w:val="000000"/>
          <w:lang w:val="en-GB"/>
        </w:rPr>
        <w:t xml:space="preserve"> v </w:t>
      </w:r>
      <w:proofErr w:type="spellStart"/>
      <w:r>
        <w:rPr>
          <w:color w:val="000000"/>
          <w:lang w:val="en-GB"/>
        </w:rPr>
        <w:t>Pittwood</w:t>
      </w:r>
      <w:proofErr w:type="spellEnd"/>
      <w:r>
        <w:rPr>
          <w:color w:val="000000"/>
          <w:lang w:val="en-GB"/>
        </w:rPr>
        <w:t xml:space="preserve"> (1902) 19 TLR 37” </w:t>
      </w:r>
      <w:r w:rsidRPr="0049771F">
        <w:rPr>
          <w:color w:val="000000"/>
          <w:lang w:val="en-GB"/>
        </w:rPr>
        <w:t>case the ma</w:t>
      </w:r>
      <w:r>
        <w:rPr>
          <w:color w:val="000000"/>
          <w:lang w:val="en-GB"/>
        </w:rPr>
        <w:t xml:space="preserve">in problem was an omission. The prospects </w:t>
      </w:r>
      <w:r w:rsidRPr="0049771F">
        <w:rPr>
          <w:color w:val="000000"/>
          <w:lang w:val="en-GB"/>
        </w:rPr>
        <w:t>led to the failure of a contractual duty to shut the portico (</w:t>
      </w:r>
      <w:r w:rsidRPr="0049771F">
        <w:rPr>
          <w:color w:val="222222"/>
          <w:shd w:val="clear" w:color="auto" w:fill="FFFFFF"/>
          <w:lang w:val="en-GB"/>
        </w:rPr>
        <w:t>e-lawresources.co.uk, 2022</w:t>
      </w:r>
      <w:r w:rsidRPr="0049771F">
        <w:rPr>
          <w:color w:val="000000"/>
          <w:lang w:val="en-GB"/>
        </w:rPr>
        <w:t>). The decision has been made to management that infringement of a “contractual duty” may level criminal disadvantage for an omission. The act of murder, the horse a</w:t>
      </w:r>
      <w:r>
        <w:rPr>
          <w:color w:val="000000"/>
          <w:lang w:val="en-GB"/>
        </w:rPr>
        <w:t xml:space="preserve">nd cart driver </w:t>
      </w:r>
      <w:proofErr w:type="gramStart"/>
      <w:r>
        <w:rPr>
          <w:color w:val="000000"/>
          <w:lang w:val="en-GB"/>
        </w:rPr>
        <w:t>was</w:t>
      </w:r>
      <w:proofErr w:type="gramEnd"/>
      <w:r>
        <w:rPr>
          <w:color w:val="000000"/>
          <w:lang w:val="en-GB"/>
        </w:rPr>
        <w:t xml:space="preserve"> killed because </w:t>
      </w:r>
      <w:r w:rsidRPr="0049771F">
        <w:rPr>
          <w:color w:val="000000"/>
          <w:lang w:val="en-GB"/>
        </w:rPr>
        <w:t xml:space="preserve">negligence </w:t>
      </w:r>
      <w:r>
        <w:rPr>
          <w:color w:val="000000"/>
          <w:lang w:val="en-GB"/>
        </w:rPr>
        <w:t xml:space="preserve">in </w:t>
      </w:r>
      <w:r w:rsidRPr="0049771F">
        <w:rPr>
          <w:color w:val="000000"/>
          <w:lang w:val="en-GB"/>
        </w:rPr>
        <w:t xml:space="preserve">contractual duty </w:t>
      </w:r>
      <w:r>
        <w:rPr>
          <w:color w:val="000000"/>
          <w:lang w:val="en-GB"/>
        </w:rPr>
        <w:lastRenderedPageBreak/>
        <w:t xml:space="preserve">committed </w:t>
      </w:r>
      <w:r w:rsidRPr="0049771F">
        <w:rPr>
          <w:color w:val="000000"/>
          <w:lang w:val="en-GB"/>
        </w:rPr>
        <w:t>by the offender. The possibility of criminal liability based on the factors of contractual breach or negligence can be comprehended from the case study evaluation. Breach of duty is considered as the circumstances leading to such accidents and damage.</w:t>
      </w:r>
    </w:p>
    <w:p w14:paraId="70DDCD11" w14:textId="77777777" w:rsidR="00C15386" w:rsidRPr="0049771F" w:rsidRDefault="00C15386" w:rsidP="00C15386">
      <w:pPr>
        <w:pStyle w:val="Heading1"/>
        <w:rPr>
          <w:lang w:val="en-GB"/>
        </w:rPr>
      </w:pPr>
      <w:bookmarkStart w:id="6" w:name="_Toc118743266"/>
      <w:r w:rsidRPr="0049771F">
        <w:rPr>
          <w:lang w:val="en-GB"/>
        </w:rPr>
        <w:t>Question 6</w:t>
      </w:r>
      <w:bookmarkEnd w:id="6"/>
    </w:p>
    <w:p w14:paraId="0810E769" w14:textId="77777777" w:rsidR="00C15386" w:rsidRPr="0049771F" w:rsidRDefault="00C15386" w:rsidP="00C15386">
      <w:pPr>
        <w:pStyle w:val="Normal1"/>
        <w:rPr>
          <w:lang w:val="en-GB"/>
        </w:rPr>
      </w:pPr>
      <w:r w:rsidRPr="0049771F">
        <w:rPr>
          <w:lang w:val="en-GB"/>
        </w:rPr>
        <w:t xml:space="preserve">The common law of duty can arise when a special relationship exists between the victim and the defendant. These relationships can be the relationship between child and parent, between husband and wife, or between the employers and employees of a company. In other cases, the common law of duty can be used in case of violation of regulation imposed by the legislation (lawshelf.com, 2022). In case of the violation of private contracts, these types of laws can be used against the convicted person. In such cases, it is noticed that written official documents are considered as the evidence of contracts and no such oral commitments are considered during using common law of duty prominently. </w:t>
      </w:r>
    </w:p>
    <w:p w14:paraId="0B8A5FB8" w14:textId="77777777" w:rsidR="00C15386" w:rsidRPr="0049771F" w:rsidRDefault="00C15386" w:rsidP="00C15386">
      <w:pPr>
        <w:pStyle w:val="Normal1"/>
        <w:rPr>
          <w:lang w:val="en-GB"/>
        </w:rPr>
      </w:pPr>
      <w:r w:rsidRPr="0049771F">
        <w:rPr>
          <w:lang w:val="en-GB"/>
        </w:rPr>
        <w:t xml:space="preserve">In some cases, if the defendant provides harm to the victim without any intention but not providing help- to reduce the danger to the victim then these types of cases can be considered criminal acts that can activate the common law of duty. In the case of </w:t>
      </w:r>
      <w:r w:rsidRPr="0049771F">
        <w:rPr>
          <w:b/>
          <w:i/>
          <w:lang w:val="en-GB"/>
        </w:rPr>
        <w:t xml:space="preserve">"DPP Vs </w:t>
      </w:r>
      <w:proofErr w:type="spellStart"/>
      <w:r w:rsidRPr="0049771F">
        <w:rPr>
          <w:b/>
          <w:i/>
          <w:lang w:val="en-GB"/>
        </w:rPr>
        <w:t>Sanata-Barmudez</w:t>
      </w:r>
      <w:proofErr w:type="spellEnd"/>
      <w:r w:rsidRPr="0049771F">
        <w:rPr>
          <w:b/>
          <w:i/>
          <w:lang w:val="en-GB"/>
        </w:rPr>
        <w:t>,"</w:t>
      </w:r>
      <w:r w:rsidRPr="0049771F">
        <w:rPr>
          <w:lang w:val="en-GB"/>
        </w:rPr>
        <w:t xml:space="preserve"> the defendant argued in the court that Santana had no intentions to harm the constable that influenced the decisions of the judiciary (simplestudying.com, 2018). However, the rate of punishment of the defendant in these cases is determined by the judicial; authority as per the intensity of the crime that affects the victim. In such cases where the defendant helps the victim to get out of danger, the judiciary will consider these cases differently during the judgment. </w:t>
      </w:r>
    </w:p>
    <w:p w14:paraId="5686CEA3" w14:textId="77777777" w:rsidR="00C15386" w:rsidRPr="0049771F" w:rsidRDefault="00C15386" w:rsidP="00C15386">
      <w:pPr>
        <w:pStyle w:val="Heading1"/>
        <w:rPr>
          <w:lang w:val="en-GB"/>
        </w:rPr>
      </w:pPr>
      <w:bookmarkStart w:id="7" w:name="_Toc118743267"/>
      <w:r w:rsidRPr="0049771F">
        <w:rPr>
          <w:lang w:val="en-GB"/>
        </w:rPr>
        <w:t>Question 7</w:t>
      </w:r>
      <w:bookmarkEnd w:id="7"/>
    </w:p>
    <w:p w14:paraId="0CB23748" w14:textId="77777777" w:rsidR="00C15386" w:rsidRPr="0049771F" w:rsidRDefault="00C15386" w:rsidP="00C15386">
      <w:pPr>
        <w:pStyle w:val="Normal1"/>
        <w:rPr>
          <w:lang w:val="en-GB"/>
        </w:rPr>
      </w:pPr>
      <w:r w:rsidRPr="0049771F">
        <w:rPr>
          <w:lang w:val="en-GB"/>
        </w:rPr>
        <w:t xml:space="preserve">The duty to act can be activated in the case of a contract when an individual or an organization can make a contract to save a person from harm.  However, in some cases, the duty of act can be stopped because of the need of circumstances. </w:t>
      </w:r>
      <w:r w:rsidRPr="0049771F">
        <w:rPr>
          <w:b/>
          <w:i/>
          <w:lang w:val="en-GB"/>
        </w:rPr>
        <w:t>“Airedale NHS trusts V Bland '' is</w:t>
      </w:r>
      <w:r w:rsidRPr="0049771F">
        <w:rPr>
          <w:lang w:val="en-GB"/>
        </w:rPr>
        <w:t xml:space="preserve"> a case where the "family division court" and the "court of appeal '' provide per\mission to the doctor and the family members to stop medication and food to a patient who is in a vegetative state (pubmed.ncbi.nlm.nih.gov, 2021). It can help the patient in peaceful death and get rid of tremendous suffering. The court also mentioned that this is different from euthanasia which is illegal where a doctor uses medicine or injection to kill a patient. In these types of cases, the duty to act cannot be activated, and need to be consider a special case. </w:t>
      </w:r>
    </w:p>
    <w:p w14:paraId="2BFF867F" w14:textId="77777777" w:rsidR="00C15386" w:rsidRPr="0049771F" w:rsidRDefault="00C15386" w:rsidP="00C15386">
      <w:pPr>
        <w:pStyle w:val="Heading1"/>
        <w:rPr>
          <w:lang w:val="en-GB"/>
        </w:rPr>
      </w:pPr>
      <w:bookmarkStart w:id="8" w:name="_Toc118743268"/>
      <w:r w:rsidRPr="0049771F">
        <w:rPr>
          <w:lang w:val="en-GB"/>
        </w:rPr>
        <w:t>Question 8</w:t>
      </w:r>
      <w:bookmarkEnd w:id="8"/>
    </w:p>
    <w:p w14:paraId="04D7789A" w14:textId="77777777" w:rsidR="00C15386" w:rsidRPr="0049771F" w:rsidRDefault="00C15386" w:rsidP="00C15386">
      <w:pPr>
        <w:pStyle w:val="Normal1"/>
        <w:rPr>
          <w:lang w:val="en-GB"/>
        </w:rPr>
      </w:pPr>
      <w:r w:rsidRPr="0049771F">
        <w:rPr>
          <w:lang w:val="en-GB"/>
        </w:rPr>
        <w:t xml:space="preserve">The general duty of activity is essential for the executive and judiciary to maintain the </w:t>
      </w:r>
      <w:proofErr w:type="gramStart"/>
      <w:r w:rsidRPr="0049771F">
        <w:rPr>
          <w:lang w:val="en-GB"/>
        </w:rPr>
        <w:t>law and order</w:t>
      </w:r>
      <w:proofErr w:type="gramEnd"/>
      <w:r w:rsidRPr="0049771F">
        <w:rPr>
          <w:lang w:val="en-GB"/>
        </w:rPr>
        <w:t xml:space="preserve"> effects in the place of a country. It can help the police and the judiciary to take prompt </w:t>
      </w:r>
      <w:r w:rsidRPr="0049771F">
        <w:rPr>
          <w:lang w:val="en-GB"/>
        </w:rPr>
        <w:lastRenderedPageBreak/>
        <w:t xml:space="preserve">and proper steps for specific crimes. However, it can be stated that in some special cases the general duty of the act needs to be modified such as in the case of </w:t>
      </w:r>
      <w:r w:rsidRPr="0049771F">
        <w:rPr>
          <w:b/>
          <w:i/>
          <w:lang w:val="en-GB"/>
        </w:rPr>
        <w:t>“DPP V K 1990”</w:t>
      </w:r>
      <w:r w:rsidRPr="0049771F">
        <w:rPr>
          <w:b/>
          <w:lang w:val="en-GB"/>
        </w:rPr>
        <w:t xml:space="preserve">. </w:t>
      </w:r>
      <w:r w:rsidRPr="0049771F">
        <w:rPr>
          <w:lang w:val="en-GB"/>
        </w:rPr>
        <w:t>In such a case a 15-year-old schoolboy stole acids from the lab and in panic mode kept the acid in the hot drier in the toilet that affects a person or provides harm (</w:t>
      </w:r>
      <w:proofErr w:type="gramStart"/>
      <w:r w:rsidRPr="0049771F">
        <w:rPr>
          <w:lang w:val="en-GB"/>
        </w:rPr>
        <w:t>e-</w:t>
      </w:r>
      <w:proofErr w:type="spellStart"/>
      <w:r w:rsidRPr="0049771F">
        <w:rPr>
          <w:lang w:val="en-GB"/>
        </w:rPr>
        <w:t>lawresources.co.u</w:t>
      </w:r>
      <w:proofErr w:type="spellEnd"/>
      <w:proofErr w:type="gramEnd"/>
      <w:r w:rsidRPr="0049771F">
        <w:rPr>
          <w:lang w:val="en-GB"/>
        </w:rPr>
        <w:t xml:space="preserve">, 1990). In this case, the boy has no intention to harm the victim, and the age of the boy also needs to be considered during judgment. Therefore, it can be stated that general rules need to be modified in some special cases for ensuring the rights of convicts. </w:t>
      </w:r>
    </w:p>
    <w:p w14:paraId="593A63D7" w14:textId="77777777" w:rsidR="00C15386" w:rsidRPr="0049771F" w:rsidRDefault="00C15386" w:rsidP="00C15386">
      <w:pPr>
        <w:pStyle w:val="Normal1"/>
        <w:rPr>
          <w:lang w:val="en-GB"/>
        </w:rPr>
      </w:pPr>
      <w:r w:rsidRPr="0049771F">
        <w:rPr>
          <w:lang w:val="en-GB"/>
        </w:rPr>
        <w:br w:type="page"/>
      </w:r>
    </w:p>
    <w:p w14:paraId="30151C47" w14:textId="77777777" w:rsidR="00C15386" w:rsidRPr="0049771F" w:rsidRDefault="00C15386" w:rsidP="00C15386">
      <w:pPr>
        <w:pStyle w:val="Heading1"/>
        <w:rPr>
          <w:lang w:val="en-GB"/>
        </w:rPr>
      </w:pPr>
      <w:bookmarkStart w:id="9" w:name="_Toc118743269"/>
      <w:r w:rsidRPr="0049771F">
        <w:rPr>
          <w:lang w:val="en-GB"/>
        </w:rPr>
        <w:lastRenderedPageBreak/>
        <w:t>Reference List</w:t>
      </w:r>
      <w:bookmarkEnd w:id="9"/>
    </w:p>
    <w:p w14:paraId="34EA9C39" w14:textId="77777777" w:rsidR="00C15386" w:rsidRPr="00A35067" w:rsidRDefault="00C15386" w:rsidP="00C15386">
      <w:pPr>
        <w:spacing w:after="60"/>
        <w:rPr>
          <w:color w:val="000000" w:themeColor="text1"/>
        </w:rPr>
      </w:pPr>
      <w:r w:rsidRPr="00A35067">
        <w:rPr>
          <w:color w:val="000000" w:themeColor="text1"/>
          <w:shd w:val="clear" w:color="auto" w:fill="FFFFFF"/>
        </w:rPr>
        <w:t xml:space="preserve">casetext.com, (2009). </w:t>
      </w:r>
      <w:r w:rsidRPr="00A35067">
        <w:rPr>
          <w:i/>
          <w:iCs/>
          <w:color w:val="000000" w:themeColor="text1"/>
          <w:shd w:val="clear" w:color="auto" w:fill="FFFFFF"/>
        </w:rPr>
        <w:t>Wacker v. Personal Touch Home Care, Inc</w:t>
      </w:r>
      <w:r w:rsidRPr="00A35067">
        <w:rPr>
          <w:color w:val="000000" w:themeColor="text1"/>
          <w:shd w:val="clear" w:color="auto" w:fill="FFFFFF"/>
        </w:rPr>
        <w:t xml:space="preserve">. Available at: https://casetext.com/case/wacker-v-personal-touch-home-care-2, [Accessed </w:t>
      </w:r>
      <w:proofErr w:type="gramStart"/>
      <w:r w:rsidRPr="00A35067">
        <w:rPr>
          <w:color w:val="000000" w:themeColor="text1"/>
          <w:shd w:val="clear" w:color="auto" w:fill="FFFFFF"/>
        </w:rPr>
        <w:t>on:</w:t>
      </w:r>
      <w:proofErr w:type="gramEnd"/>
      <w:r w:rsidRPr="00A35067">
        <w:rPr>
          <w:color w:val="000000" w:themeColor="text1"/>
          <w:shd w:val="clear" w:color="auto" w:fill="FFFFFF"/>
        </w:rPr>
        <w:t xml:space="preserve"> 4th November, 2022]</w:t>
      </w:r>
    </w:p>
    <w:p w14:paraId="2777F4AD" w14:textId="77777777" w:rsidR="00C15386" w:rsidRPr="00A35067" w:rsidRDefault="00C15386" w:rsidP="00C15386">
      <w:pPr>
        <w:rPr>
          <w:color w:val="000000" w:themeColor="text1"/>
          <w:lang w:val="en-GB"/>
        </w:rPr>
      </w:pPr>
      <w:r w:rsidRPr="00A35067">
        <w:rPr>
          <w:color w:val="000000" w:themeColor="text1"/>
          <w:lang w:val="en-GB"/>
        </w:rPr>
        <w:t>e-</w:t>
      </w:r>
      <w:proofErr w:type="spellStart"/>
      <w:r w:rsidRPr="00A35067">
        <w:rPr>
          <w:color w:val="000000" w:themeColor="text1"/>
          <w:lang w:val="en-GB"/>
        </w:rPr>
        <w:t>lawresources.co.u</w:t>
      </w:r>
      <w:proofErr w:type="spellEnd"/>
      <w:r w:rsidRPr="00A35067">
        <w:rPr>
          <w:color w:val="000000" w:themeColor="text1"/>
          <w:lang w:val="en-GB"/>
        </w:rPr>
        <w:t xml:space="preserve"> (1990) </w:t>
      </w:r>
      <w:r w:rsidRPr="00A35067">
        <w:rPr>
          <w:i/>
          <w:color w:val="000000" w:themeColor="text1"/>
          <w:lang w:val="en-GB"/>
        </w:rPr>
        <w:t>DPP V K,</w:t>
      </w:r>
      <w:r w:rsidRPr="00A35067">
        <w:rPr>
          <w:color w:val="000000" w:themeColor="text1"/>
          <w:lang w:val="en-GB"/>
        </w:rPr>
        <w:t xml:space="preserve"> Available at: </w:t>
      </w:r>
      <w:hyperlink r:id="rId4" w:history="1">
        <w:r w:rsidRPr="00A35067">
          <w:rPr>
            <w:rStyle w:val="Hyperlink"/>
            <w:color w:val="000000" w:themeColor="text1"/>
            <w:lang w:val="en-GB"/>
          </w:rPr>
          <w:t>http://www.e-lawresources.co.uk/DPP-v-K-(a-minor).php&amp;sa=D&amp;source=docs&amp;ust=1667832824900943&amp;usg=AOvVaw0_aI7EZ4bQFltFq22nhyeo</w:t>
        </w:r>
      </w:hyperlink>
      <w:r w:rsidRPr="00A35067">
        <w:rPr>
          <w:color w:val="000000" w:themeColor="text1"/>
          <w:lang w:val="en-GB"/>
        </w:rPr>
        <w:t xml:space="preserve"> (Accessed on: 7</w:t>
      </w:r>
      <w:r w:rsidRPr="00A35067">
        <w:rPr>
          <w:color w:val="000000" w:themeColor="text1"/>
          <w:vertAlign w:val="superscript"/>
          <w:lang w:val="en-GB"/>
        </w:rPr>
        <w:t>th</w:t>
      </w:r>
      <w:r w:rsidRPr="00A35067">
        <w:rPr>
          <w:color w:val="000000" w:themeColor="text1"/>
          <w:lang w:val="en-GB"/>
        </w:rPr>
        <w:t xml:space="preserve"> November, 2022)</w:t>
      </w:r>
    </w:p>
    <w:p w14:paraId="3FF24CA4" w14:textId="77777777" w:rsidR="00C15386" w:rsidRPr="00A35067" w:rsidRDefault="00C15386" w:rsidP="00C15386">
      <w:pPr>
        <w:spacing w:before="240"/>
        <w:rPr>
          <w:color w:val="000000" w:themeColor="text1"/>
          <w:lang w:val="en-GB"/>
        </w:rPr>
      </w:pPr>
      <w:r w:rsidRPr="00A35067">
        <w:rPr>
          <w:color w:val="000000" w:themeColor="text1"/>
          <w:lang w:val="en-GB"/>
        </w:rPr>
        <w:t>e-lawresources.co.uk, (2022). “</w:t>
      </w:r>
      <w:r w:rsidRPr="00A35067">
        <w:rPr>
          <w:i/>
          <w:color w:val="000000" w:themeColor="text1"/>
          <w:lang w:val="en-GB"/>
        </w:rPr>
        <w:t>Airedale N.H.S. Trust v Bland [1993] A.C. 789 House of Lords</w:t>
      </w:r>
      <w:r w:rsidRPr="00A35067">
        <w:rPr>
          <w:color w:val="000000" w:themeColor="text1"/>
          <w:lang w:val="en-GB"/>
        </w:rPr>
        <w:t xml:space="preserve">” Available at: </w:t>
      </w:r>
      <w:hyperlink r:id="rId5" w:history="1">
        <w:r w:rsidRPr="00A35067">
          <w:rPr>
            <w:rStyle w:val="Hyperlink"/>
            <w:color w:val="000000" w:themeColor="text1"/>
            <w:lang w:val="en-GB"/>
          </w:rPr>
          <w:t>https://www.e-lawresources.co.uk/Airedale-N-H-S--Trust-v-</w:t>
        </w:r>
        <w:proofErr w:type="spellStart"/>
        <w:r w:rsidRPr="00A35067">
          <w:rPr>
            <w:rStyle w:val="Hyperlink"/>
            <w:color w:val="000000" w:themeColor="text1"/>
            <w:lang w:val="en-GB"/>
          </w:rPr>
          <w:t>Bland.php</w:t>
        </w:r>
        <w:proofErr w:type="spellEnd"/>
      </w:hyperlink>
      <w:r w:rsidRPr="00A35067">
        <w:rPr>
          <w:color w:val="000000" w:themeColor="text1"/>
          <w:lang w:val="en-GB"/>
        </w:rPr>
        <w:t>, [Accessed on: 5</w:t>
      </w:r>
      <w:r w:rsidRPr="00A35067">
        <w:rPr>
          <w:color w:val="000000" w:themeColor="text1"/>
          <w:vertAlign w:val="superscript"/>
          <w:lang w:val="en-GB"/>
        </w:rPr>
        <w:t>th</w:t>
      </w:r>
      <w:r w:rsidRPr="00A35067">
        <w:rPr>
          <w:color w:val="000000" w:themeColor="text1"/>
          <w:lang w:val="en-GB"/>
        </w:rPr>
        <w:t xml:space="preserve"> </w:t>
      </w:r>
      <w:proofErr w:type="gramStart"/>
      <w:r w:rsidRPr="00A35067">
        <w:rPr>
          <w:color w:val="000000" w:themeColor="text1"/>
          <w:lang w:val="en-GB"/>
        </w:rPr>
        <w:t>November,</w:t>
      </w:r>
      <w:proofErr w:type="gramEnd"/>
      <w:r w:rsidRPr="00A35067">
        <w:rPr>
          <w:color w:val="000000" w:themeColor="text1"/>
          <w:lang w:val="en-GB"/>
        </w:rPr>
        <w:t xml:space="preserve"> 2022]</w:t>
      </w:r>
    </w:p>
    <w:p w14:paraId="4D730778" w14:textId="77777777" w:rsidR="00C15386" w:rsidRPr="00A35067" w:rsidRDefault="00C15386" w:rsidP="00C15386">
      <w:pPr>
        <w:spacing w:after="60"/>
        <w:rPr>
          <w:color w:val="000000" w:themeColor="text1"/>
        </w:rPr>
      </w:pPr>
      <w:r w:rsidRPr="00A35067">
        <w:rPr>
          <w:color w:val="000000" w:themeColor="text1"/>
          <w:shd w:val="clear" w:color="auto" w:fill="FFFFFF"/>
        </w:rPr>
        <w:t xml:space="preserve">e-lawresources.co.uk, (2022). </w:t>
      </w:r>
      <w:r w:rsidRPr="00A35067">
        <w:rPr>
          <w:i/>
          <w:iCs/>
          <w:color w:val="000000" w:themeColor="text1"/>
          <w:shd w:val="clear" w:color="auto" w:fill="FFFFFF"/>
        </w:rPr>
        <w:t xml:space="preserve">R v </w:t>
      </w:r>
      <w:proofErr w:type="spellStart"/>
      <w:r w:rsidRPr="00A35067">
        <w:rPr>
          <w:i/>
          <w:iCs/>
          <w:color w:val="000000" w:themeColor="text1"/>
          <w:shd w:val="clear" w:color="auto" w:fill="FFFFFF"/>
        </w:rPr>
        <w:t>Pittwood</w:t>
      </w:r>
      <w:proofErr w:type="spellEnd"/>
      <w:r w:rsidRPr="00A35067">
        <w:rPr>
          <w:i/>
          <w:iCs/>
          <w:color w:val="000000" w:themeColor="text1"/>
          <w:shd w:val="clear" w:color="auto" w:fill="FFFFFF"/>
        </w:rPr>
        <w:t xml:space="preserve"> [1902] TLR 37</w:t>
      </w:r>
      <w:r w:rsidRPr="00A35067">
        <w:rPr>
          <w:color w:val="000000" w:themeColor="text1"/>
          <w:shd w:val="clear" w:color="auto" w:fill="FFFFFF"/>
        </w:rPr>
        <w:t xml:space="preserve">. Available at: http://www.e-lawresources.co.uk/R-v-Pittwood.php#:~:text=R%20v%20Pittwood%20%5B1902%5D%20TLR%2037&amp;text=The%20defendant%20lifted%20the%20gate,duty%20to%20close%20the%20gate, [Accessed </w:t>
      </w:r>
      <w:proofErr w:type="gramStart"/>
      <w:r w:rsidRPr="00A35067">
        <w:rPr>
          <w:color w:val="000000" w:themeColor="text1"/>
          <w:shd w:val="clear" w:color="auto" w:fill="FFFFFF"/>
        </w:rPr>
        <w:t>on:</w:t>
      </w:r>
      <w:proofErr w:type="gramEnd"/>
      <w:r w:rsidRPr="00A35067">
        <w:rPr>
          <w:color w:val="000000" w:themeColor="text1"/>
          <w:shd w:val="clear" w:color="auto" w:fill="FFFFFF"/>
        </w:rPr>
        <w:t xml:space="preserve"> 4th November, 2022]</w:t>
      </w:r>
    </w:p>
    <w:p w14:paraId="50F262E8" w14:textId="77777777" w:rsidR="00C15386" w:rsidRPr="00A35067" w:rsidRDefault="00C15386" w:rsidP="00C15386">
      <w:pPr>
        <w:spacing w:before="240"/>
        <w:rPr>
          <w:color w:val="000000" w:themeColor="text1"/>
          <w:lang w:val="en-GB"/>
        </w:rPr>
      </w:pPr>
      <w:r w:rsidRPr="00A35067">
        <w:rPr>
          <w:color w:val="000000" w:themeColor="text1"/>
          <w:shd w:val="clear" w:color="auto" w:fill="FFFFFF"/>
        </w:rPr>
        <w:t xml:space="preserve">hs-legal.co.uk, (2022). </w:t>
      </w:r>
      <w:r w:rsidRPr="00A35067">
        <w:rPr>
          <w:i/>
          <w:iCs/>
          <w:color w:val="000000" w:themeColor="text1"/>
          <w:shd w:val="clear" w:color="auto" w:fill="FFFFFF"/>
        </w:rPr>
        <w:t xml:space="preserve">What Are Contract </w:t>
      </w:r>
      <w:proofErr w:type="gramStart"/>
      <w:r w:rsidRPr="00A35067">
        <w:rPr>
          <w:i/>
          <w:iCs/>
          <w:color w:val="000000" w:themeColor="text1"/>
          <w:shd w:val="clear" w:color="auto" w:fill="FFFFFF"/>
        </w:rPr>
        <w:t>Obligations?</w:t>
      </w:r>
      <w:r w:rsidRPr="00A35067">
        <w:rPr>
          <w:color w:val="000000" w:themeColor="text1"/>
          <w:shd w:val="clear" w:color="auto" w:fill="FFFFFF"/>
        </w:rPr>
        <w:t>.</w:t>
      </w:r>
      <w:proofErr w:type="gramEnd"/>
      <w:r w:rsidRPr="00A35067">
        <w:rPr>
          <w:color w:val="000000" w:themeColor="text1"/>
          <w:shd w:val="clear" w:color="auto" w:fill="FFFFFF"/>
        </w:rPr>
        <w:t xml:space="preserve"> Available at: https://hs-legal.co.uk/services/individual-services/civil-litigation/contractual-obligation/#:~:text=Contract%20obligations%20are%20those%20duties,in%20connection%20with%20this%20exchange., [Accessed </w:t>
      </w:r>
      <w:proofErr w:type="gramStart"/>
      <w:r w:rsidRPr="00A35067">
        <w:rPr>
          <w:color w:val="000000" w:themeColor="text1"/>
          <w:shd w:val="clear" w:color="auto" w:fill="FFFFFF"/>
        </w:rPr>
        <w:t>on:</w:t>
      </w:r>
      <w:proofErr w:type="gramEnd"/>
      <w:r w:rsidRPr="00A35067">
        <w:rPr>
          <w:color w:val="000000" w:themeColor="text1"/>
          <w:shd w:val="clear" w:color="auto" w:fill="FFFFFF"/>
        </w:rPr>
        <w:t xml:space="preserve"> 4th November, 2022]</w:t>
      </w:r>
    </w:p>
    <w:p w14:paraId="7DC92FBA" w14:textId="77777777" w:rsidR="00C15386" w:rsidRPr="00A35067" w:rsidRDefault="00C15386" w:rsidP="00C15386">
      <w:pPr>
        <w:spacing w:before="240"/>
        <w:rPr>
          <w:color w:val="000000" w:themeColor="text1"/>
          <w:lang w:val="en-GB"/>
        </w:rPr>
      </w:pPr>
      <w:r w:rsidRPr="00A35067">
        <w:rPr>
          <w:color w:val="000000" w:themeColor="text1"/>
          <w:lang w:val="en-GB"/>
        </w:rPr>
        <w:t>ipsaloquitur.com, (2022). “</w:t>
      </w:r>
      <w:r w:rsidRPr="00A35067">
        <w:rPr>
          <w:i/>
          <w:color w:val="000000" w:themeColor="text1"/>
          <w:lang w:val="en-GB"/>
        </w:rPr>
        <w:t xml:space="preserve">R v Gibbins (Walter)” </w:t>
      </w:r>
      <w:r w:rsidRPr="00A35067">
        <w:rPr>
          <w:color w:val="000000" w:themeColor="text1"/>
          <w:lang w:val="en-GB"/>
        </w:rPr>
        <w:t xml:space="preserve">Available at: </w:t>
      </w:r>
      <w:hyperlink r:id="rId6" w:history="1">
        <w:r w:rsidRPr="00A35067">
          <w:rPr>
            <w:rStyle w:val="Hyperlink"/>
            <w:color w:val="000000" w:themeColor="text1"/>
            <w:lang w:val="en-GB"/>
          </w:rPr>
          <w:t>https://ipsaloquitur.com/criminal-law/cases/r-v-gibbins-walter/</w:t>
        </w:r>
      </w:hyperlink>
      <w:r w:rsidRPr="00A35067">
        <w:rPr>
          <w:color w:val="000000" w:themeColor="text1"/>
          <w:lang w:val="en-GB"/>
        </w:rPr>
        <w:t xml:space="preserve">, [Accessed </w:t>
      </w:r>
      <w:proofErr w:type="gramStart"/>
      <w:r w:rsidRPr="00A35067">
        <w:rPr>
          <w:color w:val="000000" w:themeColor="text1"/>
          <w:lang w:val="en-GB"/>
        </w:rPr>
        <w:t>on:</w:t>
      </w:r>
      <w:proofErr w:type="gramEnd"/>
      <w:r w:rsidRPr="00A35067">
        <w:rPr>
          <w:color w:val="000000" w:themeColor="text1"/>
          <w:lang w:val="en-GB"/>
        </w:rPr>
        <w:t xml:space="preserve"> 5</w:t>
      </w:r>
      <w:r w:rsidRPr="00A35067">
        <w:rPr>
          <w:color w:val="000000" w:themeColor="text1"/>
          <w:vertAlign w:val="superscript"/>
          <w:lang w:val="en-GB"/>
        </w:rPr>
        <w:t>th</w:t>
      </w:r>
      <w:r w:rsidRPr="00A35067">
        <w:rPr>
          <w:color w:val="000000" w:themeColor="text1"/>
          <w:lang w:val="en-GB"/>
        </w:rPr>
        <w:t xml:space="preserve"> November, 2022]</w:t>
      </w:r>
    </w:p>
    <w:p w14:paraId="2A38DD6B" w14:textId="77777777" w:rsidR="00C15386" w:rsidRPr="00A35067" w:rsidRDefault="00C15386" w:rsidP="00C15386">
      <w:pPr>
        <w:spacing w:before="240"/>
        <w:rPr>
          <w:color w:val="000000" w:themeColor="text1"/>
          <w:lang w:val="en-GB"/>
        </w:rPr>
      </w:pPr>
      <w:r w:rsidRPr="00A35067">
        <w:rPr>
          <w:color w:val="000000" w:themeColor="text1"/>
          <w:lang w:val="en-GB"/>
        </w:rPr>
        <w:t>lawprof.co, (2022). “</w:t>
      </w:r>
      <w:r w:rsidRPr="00A35067">
        <w:rPr>
          <w:i/>
          <w:color w:val="000000" w:themeColor="text1"/>
          <w:lang w:val="en-GB"/>
        </w:rPr>
        <w:t>R v Gibbins and Proctor (1918) 13 Cr App Rep 134</w:t>
      </w:r>
      <w:r w:rsidRPr="00A35067">
        <w:rPr>
          <w:color w:val="000000" w:themeColor="text1"/>
          <w:lang w:val="en-GB"/>
        </w:rPr>
        <w:t xml:space="preserve">” Available at: </w:t>
      </w:r>
      <w:hyperlink r:id="rId7" w:history="1">
        <w:r w:rsidRPr="00A35067">
          <w:rPr>
            <w:rStyle w:val="Hyperlink"/>
            <w:color w:val="000000" w:themeColor="text1"/>
            <w:lang w:val="en-GB"/>
          </w:rPr>
          <w:t>https://lawprof.co/criminal-law/general-part-cases/r-v-gibbins-and-proctor-1918-13-cr-app-rep-134/</w:t>
        </w:r>
      </w:hyperlink>
      <w:r w:rsidRPr="00A35067">
        <w:rPr>
          <w:color w:val="000000" w:themeColor="text1"/>
          <w:lang w:val="en-GB"/>
        </w:rPr>
        <w:t>, [Accessed on: 5</w:t>
      </w:r>
      <w:r w:rsidRPr="00A35067">
        <w:rPr>
          <w:color w:val="000000" w:themeColor="text1"/>
          <w:vertAlign w:val="superscript"/>
          <w:lang w:val="en-GB"/>
        </w:rPr>
        <w:t>th</w:t>
      </w:r>
      <w:r w:rsidRPr="00A35067">
        <w:rPr>
          <w:color w:val="000000" w:themeColor="text1"/>
          <w:lang w:val="en-GB"/>
        </w:rPr>
        <w:t xml:space="preserve"> November, 2022]</w:t>
      </w:r>
    </w:p>
    <w:p w14:paraId="62932C9C" w14:textId="77777777" w:rsidR="00C15386" w:rsidRPr="00A35067" w:rsidRDefault="00C15386" w:rsidP="00C15386">
      <w:pPr>
        <w:rPr>
          <w:color w:val="000000" w:themeColor="text1"/>
          <w:lang w:val="en-GB"/>
        </w:rPr>
      </w:pPr>
      <w:r w:rsidRPr="00A35067">
        <w:rPr>
          <w:color w:val="000000" w:themeColor="text1"/>
          <w:lang w:val="en-GB"/>
        </w:rPr>
        <w:t xml:space="preserve">lawshelf.com (2022) </w:t>
      </w:r>
      <w:r w:rsidRPr="00A35067">
        <w:rPr>
          <w:i/>
          <w:color w:val="000000" w:themeColor="text1"/>
          <w:lang w:val="en-GB"/>
        </w:rPr>
        <w:t>Criminal Law,</w:t>
      </w:r>
      <w:r w:rsidRPr="00A35067">
        <w:rPr>
          <w:color w:val="000000" w:themeColor="text1"/>
          <w:lang w:val="en-GB"/>
        </w:rPr>
        <w:t xml:space="preserve"> Available at: </w:t>
      </w:r>
      <w:hyperlink r:id="rId8" w:history="1">
        <w:r w:rsidRPr="00A35067">
          <w:rPr>
            <w:rStyle w:val="Hyperlink"/>
            <w:color w:val="000000" w:themeColor="text1"/>
            <w:lang w:val="en-GB"/>
          </w:rPr>
          <w:t>https://lawshelf.com/shortvideoscontentview/actus-reus-the-physical-act-of-committing-a-crime&amp;sa=D&amp;source=docs&amp;ust=1667830660224548&amp;usg=AOvVaw2tSE73tErUUEV60SPOGRXU</w:t>
        </w:r>
      </w:hyperlink>
      <w:r w:rsidRPr="00A35067">
        <w:rPr>
          <w:color w:val="000000" w:themeColor="text1"/>
          <w:lang w:val="en-GB"/>
        </w:rPr>
        <w:t xml:space="preserve"> (Accessed on: 7</w:t>
      </w:r>
      <w:r w:rsidRPr="00A35067">
        <w:rPr>
          <w:color w:val="000000" w:themeColor="text1"/>
          <w:vertAlign w:val="superscript"/>
          <w:lang w:val="en-GB"/>
        </w:rPr>
        <w:t>th</w:t>
      </w:r>
      <w:r w:rsidRPr="00A35067">
        <w:rPr>
          <w:color w:val="000000" w:themeColor="text1"/>
          <w:lang w:val="en-GB"/>
        </w:rPr>
        <w:t xml:space="preserve"> November, 2022)</w:t>
      </w:r>
    </w:p>
    <w:p w14:paraId="4323353D" w14:textId="77777777" w:rsidR="00C15386" w:rsidRPr="00A35067" w:rsidRDefault="00C15386" w:rsidP="00C15386">
      <w:pPr>
        <w:spacing w:after="60"/>
        <w:rPr>
          <w:color w:val="000000" w:themeColor="text1"/>
        </w:rPr>
      </w:pPr>
      <w:r w:rsidRPr="00A35067">
        <w:rPr>
          <w:color w:val="000000" w:themeColor="text1"/>
          <w:shd w:val="clear" w:color="auto" w:fill="FFFFFF"/>
        </w:rPr>
        <w:lastRenderedPageBreak/>
        <w:t xml:space="preserve">lexisnexis.co.uk, (2022). </w:t>
      </w:r>
      <w:r w:rsidRPr="00A35067">
        <w:rPr>
          <w:i/>
          <w:iCs/>
          <w:color w:val="000000" w:themeColor="text1"/>
          <w:shd w:val="clear" w:color="auto" w:fill="FFFFFF"/>
        </w:rPr>
        <w:t>Criminal act or omission</w:t>
      </w:r>
      <w:r w:rsidRPr="00A35067">
        <w:rPr>
          <w:color w:val="000000" w:themeColor="text1"/>
          <w:shd w:val="clear" w:color="auto" w:fill="FFFFFF"/>
        </w:rPr>
        <w:t xml:space="preserve">. Available at: https://www.lexisnexis.co.uk/legal/guidance/criminal-act-or-omission, [Accessed </w:t>
      </w:r>
      <w:proofErr w:type="gramStart"/>
      <w:r w:rsidRPr="00A35067">
        <w:rPr>
          <w:color w:val="000000" w:themeColor="text1"/>
          <w:shd w:val="clear" w:color="auto" w:fill="FFFFFF"/>
        </w:rPr>
        <w:t>on:</w:t>
      </w:r>
      <w:proofErr w:type="gramEnd"/>
      <w:r w:rsidRPr="00A35067">
        <w:rPr>
          <w:color w:val="000000" w:themeColor="text1"/>
          <w:shd w:val="clear" w:color="auto" w:fill="FFFFFF"/>
        </w:rPr>
        <w:t xml:space="preserve"> 4th November, 2022]</w:t>
      </w:r>
    </w:p>
    <w:p w14:paraId="38BE3376" w14:textId="77777777" w:rsidR="00C15386" w:rsidRPr="00A35067" w:rsidRDefault="00C15386" w:rsidP="00C15386">
      <w:pPr>
        <w:spacing w:after="60"/>
        <w:rPr>
          <w:color w:val="000000" w:themeColor="text1"/>
        </w:rPr>
      </w:pPr>
      <w:r w:rsidRPr="00A35067">
        <w:rPr>
          <w:color w:val="000000" w:themeColor="text1"/>
          <w:shd w:val="clear" w:color="auto" w:fill="FFFFFF"/>
        </w:rPr>
        <w:t xml:space="preserve">ojp.gov, (2022). </w:t>
      </w:r>
      <w:r w:rsidRPr="00A35067">
        <w:rPr>
          <w:i/>
          <w:iCs/>
          <w:color w:val="000000" w:themeColor="text1"/>
          <w:shd w:val="clear" w:color="auto" w:fill="FFFFFF"/>
        </w:rPr>
        <w:t>Criminal Liability for Omissions - A Brief Summary</w:t>
      </w:r>
      <w:r w:rsidRPr="00A35067">
        <w:rPr>
          <w:color w:val="000000" w:themeColor="text1"/>
          <w:shd w:val="clear" w:color="auto" w:fill="FFFFFF"/>
        </w:rPr>
        <w:t xml:space="preserve">. Available at: </w:t>
      </w:r>
      <w:proofErr w:type="gramStart"/>
      <w:r w:rsidRPr="00A35067">
        <w:rPr>
          <w:color w:val="000000" w:themeColor="text1"/>
          <w:shd w:val="clear" w:color="auto" w:fill="FFFFFF"/>
        </w:rPr>
        <w:t>https://www.ojp.gov/ncjrs/virtual-library/abstracts/criminal-liability-omissions-brief-summary-and-critique-law-united[</w:t>
      </w:r>
      <w:proofErr w:type="gramEnd"/>
      <w:r w:rsidRPr="00A35067">
        <w:rPr>
          <w:color w:val="000000" w:themeColor="text1"/>
          <w:shd w:val="clear" w:color="auto" w:fill="FFFFFF"/>
        </w:rPr>
        <w:t>Accessed on: 4th November, 2022]</w:t>
      </w:r>
    </w:p>
    <w:p w14:paraId="73C90896" w14:textId="77777777" w:rsidR="00C15386" w:rsidRPr="00A35067" w:rsidRDefault="00C15386" w:rsidP="00C15386">
      <w:pPr>
        <w:rPr>
          <w:color w:val="000000" w:themeColor="text1"/>
          <w:lang w:val="en-GB"/>
        </w:rPr>
      </w:pPr>
      <w:r w:rsidRPr="00A35067">
        <w:rPr>
          <w:color w:val="000000" w:themeColor="text1"/>
          <w:lang w:val="en-GB"/>
        </w:rPr>
        <w:t xml:space="preserve">pubmed.ncbi.nlm.nih.gov (2021) </w:t>
      </w:r>
      <w:r w:rsidRPr="00A35067">
        <w:rPr>
          <w:i/>
          <w:color w:val="000000" w:themeColor="text1"/>
          <w:lang w:val="en-GB"/>
        </w:rPr>
        <w:t>Criminal Case,</w:t>
      </w:r>
      <w:r w:rsidRPr="00A35067">
        <w:rPr>
          <w:color w:val="000000" w:themeColor="text1"/>
          <w:lang w:val="en-GB"/>
        </w:rPr>
        <w:t xml:space="preserve"> Available at: </w:t>
      </w:r>
      <w:hyperlink r:id="rId9" w:history="1">
        <w:r w:rsidRPr="00A35067">
          <w:rPr>
            <w:rStyle w:val="Hyperlink"/>
            <w:color w:val="000000" w:themeColor="text1"/>
            <w:lang w:val="en-GB"/>
          </w:rPr>
          <w:t>https://pubmed.ncbi.nlm.nih.gov/11648606/&amp;sa=D&amp;source=docs&amp;ust=1667832046246936&amp;usg=AOvVaw1_ZRo1XGzCp3pPnAHwRlhq</w:t>
        </w:r>
      </w:hyperlink>
      <w:r w:rsidRPr="00A35067">
        <w:rPr>
          <w:color w:val="000000" w:themeColor="text1"/>
          <w:lang w:val="en-GB"/>
        </w:rPr>
        <w:t xml:space="preserve"> (Accessed on: 7</w:t>
      </w:r>
      <w:r w:rsidRPr="00A35067">
        <w:rPr>
          <w:color w:val="000000" w:themeColor="text1"/>
          <w:vertAlign w:val="superscript"/>
          <w:lang w:val="en-GB"/>
        </w:rPr>
        <w:t>th</w:t>
      </w:r>
      <w:r w:rsidRPr="00A35067">
        <w:rPr>
          <w:color w:val="000000" w:themeColor="text1"/>
          <w:lang w:val="en-GB"/>
        </w:rPr>
        <w:t xml:space="preserve"> November, 2022)</w:t>
      </w:r>
    </w:p>
    <w:p w14:paraId="025B50B7" w14:textId="77777777" w:rsidR="00C15386" w:rsidRPr="00A35067" w:rsidRDefault="00C15386" w:rsidP="00C15386">
      <w:pPr>
        <w:rPr>
          <w:color w:val="000000" w:themeColor="text1"/>
          <w:lang w:val="en-GB"/>
        </w:rPr>
      </w:pPr>
      <w:r w:rsidRPr="00A35067">
        <w:rPr>
          <w:color w:val="000000" w:themeColor="text1"/>
          <w:lang w:val="en-GB"/>
        </w:rPr>
        <w:t xml:space="preserve">simplestudying.com (2018) </w:t>
      </w:r>
      <w:r w:rsidRPr="00A35067">
        <w:rPr>
          <w:i/>
          <w:color w:val="000000" w:themeColor="text1"/>
          <w:lang w:val="en-GB"/>
        </w:rPr>
        <w:t>DPP V Santana,</w:t>
      </w:r>
      <w:r w:rsidRPr="00A35067">
        <w:rPr>
          <w:color w:val="000000" w:themeColor="text1"/>
          <w:lang w:val="en-GB"/>
        </w:rPr>
        <w:t xml:space="preserve"> Available at: </w:t>
      </w:r>
      <w:hyperlink r:id="rId10" w:history="1">
        <w:r w:rsidRPr="00A35067">
          <w:rPr>
            <w:rStyle w:val="Hyperlink"/>
            <w:color w:val="000000" w:themeColor="text1"/>
            <w:lang w:val="en-GB"/>
          </w:rPr>
          <w:t>https://simplestudying.com/dpp-v-santana-bermudez-2003-ewhc-2908/&amp;sa=D&amp;source=docs&amp;ust=1667831279433447&amp;usg=AOvVaw34Iirb_A5fMQf7c5W0zgVN</w:t>
        </w:r>
      </w:hyperlink>
      <w:r w:rsidRPr="00A35067">
        <w:rPr>
          <w:color w:val="000000" w:themeColor="text1"/>
          <w:lang w:val="en-GB"/>
        </w:rPr>
        <w:t xml:space="preserve"> (Accessed on: 7</w:t>
      </w:r>
      <w:r w:rsidRPr="00A35067">
        <w:rPr>
          <w:color w:val="000000" w:themeColor="text1"/>
          <w:vertAlign w:val="superscript"/>
          <w:lang w:val="en-GB"/>
        </w:rPr>
        <w:t>th</w:t>
      </w:r>
      <w:r w:rsidRPr="00A35067">
        <w:rPr>
          <w:color w:val="000000" w:themeColor="text1"/>
          <w:lang w:val="en-GB"/>
        </w:rPr>
        <w:t xml:space="preserve"> November, 2022)</w:t>
      </w:r>
    </w:p>
    <w:p w14:paraId="04343774" w14:textId="77777777" w:rsidR="00C15386" w:rsidRPr="00A35067" w:rsidRDefault="00C15386" w:rsidP="00C15386">
      <w:pPr>
        <w:spacing w:after="60"/>
        <w:rPr>
          <w:color w:val="000000" w:themeColor="text1"/>
        </w:rPr>
      </w:pPr>
      <w:r w:rsidRPr="00A35067">
        <w:rPr>
          <w:color w:val="000000" w:themeColor="text1"/>
          <w:shd w:val="clear" w:color="auto" w:fill="FFFFFF"/>
        </w:rPr>
        <w:t xml:space="preserve">southlakeland.gov.uk, (2022). </w:t>
      </w:r>
      <w:r w:rsidRPr="00A35067">
        <w:rPr>
          <w:i/>
          <w:iCs/>
          <w:color w:val="000000" w:themeColor="text1"/>
          <w:shd w:val="clear" w:color="auto" w:fill="FFFFFF"/>
        </w:rPr>
        <w:t>Statutory duties.</w:t>
      </w:r>
      <w:r w:rsidRPr="00A35067">
        <w:rPr>
          <w:color w:val="000000" w:themeColor="text1"/>
          <w:shd w:val="clear" w:color="auto" w:fill="FFFFFF"/>
        </w:rPr>
        <w:t xml:space="preserve"> Available at: https://www.southlakeland.gov.uk/your-council/about-your-council/statutory-duties/, [Accessed </w:t>
      </w:r>
      <w:proofErr w:type="gramStart"/>
      <w:r w:rsidRPr="00A35067">
        <w:rPr>
          <w:color w:val="000000" w:themeColor="text1"/>
          <w:shd w:val="clear" w:color="auto" w:fill="FFFFFF"/>
        </w:rPr>
        <w:t>on:</w:t>
      </w:r>
      <w:proofErr w:type="gramEnd"/>
      <w:r w:rsidRPr="00A35067">
        <w:rPr>
          <w:color w:val="000000" w:themeColor="text1"/>
          <w:shd w:val="clear" w:color="auto" w:fill="FFFFFF"/>
        </w:rPr>
        <w:t xml:space="preserve"> 4th November, 2022]</w:t>
      </w:r>
    </w:p>
    <w:p w14:paraId="62400EBE" w14:textId="77777777" w:rsidR="00C15386" w:rsidRPr="00A35067" w:rsidRDefault="00C15386" w:rsidP="00C15386">
      <w:pPr>
        <w:spacing w:before="240"/>
        <w:rPr>
          <w:color w:val="000000" w:themeColor="text1"/>
          <w:lang w:val="en-GB"/>
        </w:rPr>
      </w:pPr>
      <w:r w:rsidRPr="00A35067">
        <w:rPr>
          <w:color w:val="000000" w:themeColor="text1"/>
          <w:lang w:val="en-GB"/>
        </w:rPr>
        <w:t>thestudentlawyer.com, (2022). “</w:t>
      </w:r>
      <w:r w:rsidRPr="00A35067">
        <w:rPr>
          <w:i/>
          <w:color w:val="000000" w:themeColor="text1"/>
          <w:lang w:val="en-GB"/>
        </w:rPr>
        <w:t>Crime: Liability for Omissions</w:t>
      </w:r>
      <w:r w:rsidRPr="00A35067">
        <w:rPr>
          <w:color w:val="000000" w:themeColor="text1"/>
          <w:lang w:val="en-GB"/>
        </w:rPr>
        <w:t xml:space="preserve">” Available at: </w:t>
      </w:r>
      <w:hyperlink r:id="rId11" w:history="1">
        <w:r w:rsidRPr="00A35067">
          <w:rPr>
            <w:rStyle w:val="Hyperlink"/>
            <w:color w:val="000000" w:themeColor="text1"/>
            <w:lang w:val="en-GB"/>
          </w:rPr>
          <w:t>https://thestudentlawyer.com/2014/01/02/liability-for-omissions/</w:t>
        </w:r>
      </w:hyperlink>
      <w:r w:rsidRPr="00A35067">
        <w:rPr>
          <w:color w:val="000000" w:themeColor="text1"/>
          <w:lang w:val="en-GB"/>
        </w:rPr>
        <w:t xml:space="preserve">, [Accessed </w:t>
      </w:r>
      <w:proofErr w:type="gramStart"/>
      <w:r w:rsidRPr="00A35067">
        <w:rPr>
          <w:color w:val="000000" w:themeColor="text1"/>
          <w:lang w:val="en-GB"/>
        </w:rPr>
        <w:t>on:</w:t>
      </w:r>
      <w:proofErr w:type="gramEnd"/>
      <w:r w:rsidRPr="00A35067">
        <w:rPr>
          <w:color w:val="000000" w:themeColor="text1"/>
          <w:lang w:val="en-GB"/>
        </w:rPr>
        <w:t xml:space="preserve"> 5</w:t>
      </w:r>
      <w:r w:rsidRPr="00A35067">
        <w:rPr>
          <w:color w:val="000000" w:themeColor="text1"/>
          <w:vertAlign w:val="superscript"/>
          <w:lang w:val="en-GB"/>
        </w:rPr>
        <w:t>th</w:t>
      </w:r>
      <w:r w:rsidRPr="00A35067">
        <w:rPr>
          <w:color w:val="000000" w:themeColor="text1"/>
          <w:lang w:val="en-GB"/>
        </w:rPr>
        <w:t xml:space="preserve"> November, 2022]</w:t>
      </w:r>
    </w:p>
    <w:p w14:paraId="4E82894C" w14:textId="77777777" w:rsidR="00C15386" w:rsidRPr="0049771F" w:rsidRDefault="00C15386" w:rsidP="00C15386">
      <w:pPr>
        <w:spacing w:before="240"/>
        <w:rPr>
          <w:lang w:val="en-GB"/>
        </w:rPr>
      </w:pPr>
    </w:p>
    <w:p w14:paraId="00DA03F3" w14:textId="77777777" w:rsidR="00C15386" w:rsidRPr="0049771F" w:rsidRDefault="00C15386" w:rsidP="00C15386">
      <w:pPr>
        <w:pStyle w:val="Normal1"/>
        <w:rPr>
          <w:lang w:val="en-GB"/>
        </w:rPr>
      </w:pPr>
    </w:p>
    <w:p w14:paraId="2C0304ED" w14:textId="77777777" w:rsidR="00635111" w:rsidRDefault="00635111"/>
    <w:sectPr w:rsidR="00635111" w:rsidSect="00997E36">
      <w:footerReference w:type="default" r:id="rId12"/>
      <w:pgSz w:w="11909" w:h="16834"/>
      <w:pgMar w:top="1440" w:right="1440" w:bottom="1440" w:left="1440" w:header="720" w:footer="720" w:gutter="0"/>
      <w:pgNumType w:start="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32969"/>
      <w:docPartObj>
        <w:docPartGallery w:val="Page Numbers (Bottom of Page)"/>
        <w:docPartUnique/>
      </w:docPartObj>
    </w:sdtPr>
    <w:sdtEndPr/>
    <w:sdtContent>
      <w:p w14:paraId="46D644DD" w14:textId="77777777" w:rsidR="00997E36" w:rsidRDefault="00C1538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51CA5FC" w14:textId="77777777" w:rsidR="00997E36" w:rsidRDefault="00C15386">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386"/>
    <w:rsid w:val="00635111"/>
    <w:rsid w:val="00C15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CDB29"/>
  <w15:chartTrackingRefBased/>
  <w15:docId w15:val="{2FA6A767-37FE-4635-B4B7-D56D6D2CE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386"/>
    <w:pPr>
      <w:spacing w:after="0" w:line="360" w:lineRule="auto"/>
      <w:jc w:val="both"/>
    </w:pPr>
    <w:rPr>
      <w:rFonts w:ascii="Times New Roman" w:eastAsia="Times New Roman" w:hAnsi="Times New Roman" w:cs="Times New Roman"/>
      <w:sz w:val="24"/>
      <w:szCs w:val="24"/>
      <w:lang w:val="en-US"/>
    </w:rPr>
  </w:style>
  <w:style w:type="paragraph" w:styleId="Heading1">
    <w:name w:val="heading 1"/>
    <w:basedOn w:val="Normal1"/>
    <w:next w:val="Normal1"/>
    <w:link w:val="Heading1Char"/>
    <w:rsid w:val="00C15386"/>
    <w:pPr>
      <w:keepNext/>
      <w:keepLine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5386"/>
    <w:rPr>
      <w:rFonts w:ascii="Times New Roman" w:eastAsia="Times New Roman" w:hAnsi="Times New Roman" w:cs="Times New Roman"/>
      <w:b/>
      <w:sz w:val="24"/>
      <w:szCs w:val="24"/>
      <w:lang w:val="en-US"/>
    </w:rPr>
  </w:style>
  <w:style w:type="paragraph" w:customStyle="1" w:styleId="Normal1">
    <w:name w:val="Normal1"/>
    <w:rsid w:val="00C15386"/>
    <w:pPr>
      <w:spacing w:after="0" w:line="360" w:lineRule="auto"/>
      <w:jc w:val="both"/>
    </w:pPr>
    <w:rPr>
      <w:rFonts w:ascii="Times New Roman" w:eastAsia="Times New Roman" w:hAnsi="Times New Roman" w:cs="Times New Roman"/>
      <w:sz w:val="24"/>
      <w:szCs w:val="24"/>
      <w:lang w:val="en-US"/>
    </w:rPr>
  </w:style>
  <w:style w:type="paragraph" w:styleId="Title">
    <w:name w:val="Title"/>
    <w:basedOn w:val="Normal1"/>
    <w:next w:val="Normal1"/>
    <w:link w:val="TitleChar"/>
    <w:rsid w:val="00C15386"/>
    <w:pPr>
      <w:keepNext/>
      <w:keepLines/>
      <w:spacing w:before="200" w:after="60"/>
      <w:jc w:val="center"/>
    </w:pPr>
    <w:rPr>
      <w:b/>
      <w:sz w:val="32"/>
      <w:szCs w:val="32"/>
    </w:rPr>
  </w:style>
  <w:style w:type="character" w:customStyle="1" w:styleId="TitleChar">
    <w:name w:val="Title Char"/>
    <w:basedOn w:val="DefaultParagraphFont"/>
    <w:link w:val="Title"/>
    <w:rsid w:val="00C15386"/>
    <w:rPr>
      <w:rFonts w:ascii="Times New Roman" w:eastAsia="Times New Roman" w:hAnsi="Times New Roman" w:cs="Times New Roman"/>
      <w:b/>
      <w:sz w:val="32"/>
      <w:szCs w:val="32"/>
      <w:lang w:val="en-US"/>
    </w:rPr>
  </w:style>
  <w:style w:type="character" w:styleId="Hyperlink">
    <w:name w:val="Hyperlink"/>
    <w:basedOn w:val="DefaultParagraphFont"/>
    <w:uiPriority w:val="99"/>
    <w:unhideWhenUsed/>
    <w:rsid w:val="00C15386"/>
    <w:rPr>
      <w:color w:val="0563C1" w:themeColor="hyperlink"/>
      <w:u w:val="single"/>
    </w:rPr>
  </w:style>
  <w:style w:type="paragraph" w:styleId="Footer">
    <w:name w:val="footer"/>
    <w:basedOn w:val="Normal"/>
    <w:link w:val="FooterChar"/>
    <w:uiPriority w:val="99"/>
    <w:unhideWhenUsed/>
    <w:rsid w:val="00C15386"/>
    <w:pPr>
      <w:tabs>
        <w:tab w:val="center" w:pos="4680"/>
        <w:tab w:val="right" w:pos="9360"/>
      </w:tabs>
      <w:spacing w:line="240" w:lineRule="auto"/>
    </w:pPr>
  </w:style>
  <w:style w:type="character" w:customStyle="1" w:styleId="FooterChar">
    <w:name w:val="Footer Char"/>
    <w:basedOn w:val="DefaultParagraphFont"/>
    <w:link w:val="Footer"/>
    <w:uiPriority w:val="99"/>
    <w:rsid w:val="00C15386"/>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C15386"/>
    <w:pPr>
      <w:spacing w:before="480" w:line="276" w:lineRule="auto"/>
      <w:jc w:val="left"/>
      <w:outlineLvl w:val="9"/>
    </w:pPr>
    <w:rPr>
      <w:rFonts w:asciiTheme="majorHAnsi" w:eastAsiaTheme="majorEastAsia" w:hAnsiTheme="majorHAnsi" w:cstheme="majorBidi"/>
      <w:bCs/>
      <w:color w:val="2F5496" w:themeColor="accent1" w:themeShade="BF"/>
      <w:sz w:val="28"/>
      <w:szCs w:val="28"/>
    </w:rPr>
  </w:style>
  <w:style w:type="paragraph" w:styleId="TOC1">
    <w:name w:val="toc 1"/>
    <w:basedOn w:val="Normal"/>
    <w:next w:val="Normal"/>
    <w:autoRedefine/>
    <w:uiPriority w:val="39"/>
    <w:unhideWhenUsed/>
    <w:rsid w:val="00C15386"/>
    <w:pPr>
      <w:spacing w:after="100"/>
    </w:pPr>
  </w:style>
  <w:style w:type="paragraph" w:styleId="NormalWeb">
    <w:name w:val="Normal (Web)"/>
    <w:basedOn w:val="Normal"/>
    <w:uiPriority w:val="99"/>
    <w:unhideWhenUsed/>
    <w:rsid w:val="00C15386"/>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shelf.com/shortvideoscontentview/actus-reus-the-physical-act-of-committing-a-crime&amp;sa=D&amp;source=docs&amp;ust=1667830660224548&amp;usg=AOvVaw2tSE73tErUUEV60SPOGRX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awprof.co/criminal-law/general-part-cases/r-v-gibbins-and-proctor-1918-13-cr-app-rep-134/"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psaloquitur.com/criminal-law/cases/r-v-gibbins-walter/" TargetMode="External"/><Relationship Id="rId11" Type="http://schemas.openxmlformats.org/officeDocument/2006/relationships/hyperlink" Target="https://thestudentlawyer.com/2014/01/02/liability-for-omissions/" TargetMode="External"/><Relationship Id="rId5" Type="http://schemas.openxmlformats.org/officeDocument/2006/relationships/hyperlink" Target="https://www.e-lawresources.co.uk/Airedale-N-H-S--Trust-v-Bland.php" TargetMode="External"/><Relationship Id="rId10" Type="http://schemas.openxmlformats.org/officeDocument/2006/relationships/hyperlink" Target="https://simplestudying.com/dpp-v-santana-bermudez-2003-ewhc-2908/&amp;sa=D&amp;source=docs&amp;ust=1667831279433447&amp;usg=AOvVaw34Iirb_A5fMQf7c5W0zgVN" TargetMode="External"/><Relationship Id="rId4" Type="http://schemas.openxmlformats.org/officeDocument/2006/relationships/hyperlink" Target="http://www.e-lawresources.co.uk/DPP-v-K-(a-minor).php&amp;sa=D&amp;source=docs&amp;ust=1667832824900943&amp;usg=AOvVaw0_aI7EZ4bQFltFq22nhyeo" TargetMode="External"/><Relationship Id="rId9" Type="http://schemas.openxmlformats.org/officeDocument/2006/relationships/hyperlink" Target="https://pubmed.ncbi.nlm.nih.gov/11648606/&amp;sa=D&amp;source=docs&amp;ust=1667832046246936&amp;usg=AOvVaw1_ZRo1XGzCp3pPnAHwRlhq"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2053</Words>
  <Characters>11704</Characters>
  <Application>Microsoft Office Word</Application>
  <DocSecurity>0</DocSecurity>
  <Lines>97</Lines>
  <Paragraphs>27</Paragraphs>
  <ScaleCrop>false</ScaleCrop>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ayshasiddika1097@gmail.com</dc:creator>
  <cp:keywords/>
  <dc:description/>
  <cp:lastModifiedBy>ayshasiddika1097@gmail.com</cp:lastModifiedBy>
  <cp:revision>1</cp:revision>
  <dcterms:created xsi:type="dcterms:W3CDTF">2022-11-09T00:19:00Z</dcterms:created>
  <dcterms:modified xsi:type="dcterms:W3CDTF">2022-11-09T00:20:00Z</dcterms:modified>
</cp:coreProperties>
</file>