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68B6B2" w14:textId="472E8D80" w:rsidR="007C3AAC" w:rsidRPr="00406073" w:rsidRDefault="007C3AAC" w:rsidP="007C3AAC">
      <w:pPr>
        <w:spacing w:line="480" w:lineRule="auto"/>
        <w:jc w:val="center"/>
        <w:rPr>
          <w:sz w:val="24"/>
          <w:szCs w:val="24"/>
        </w:rPr>
      </w:pPr>
      <w:r w:rsidRPr="00406073">
        <w:rPr>
          <w:sz w:val="24"/>
          <w:szCs w:val="24"/>
        </w:rPr>
        <w:t xml:space="preserve">Crime theories- Harrold Shipman </w:t>
      </w:r>
    </w:p>
    <w:p w14:paraId="711336E4" w14:textId="7BFC4E7B" w:rsidR="00031583" w:rsidRPr="00406073" w:rsidRDefault="008D0EB3" w:rsidP="007C3AAC">
      <w:pPr>
        <w:spacing w:line="480" w:lineRule="auto"/>
        <w:rPr>
          <w:sz w:val="24"/>
          <w:szCs w:val="24"/>
        </w:rPr>
      </w:pPr>
      <w:r w:rsidRPr="00406073">
        <w:rPr>
          <w:sz w:val="24"/>
          <w:szCs w:val="24"/>
        </w:rPr>
        <w:t xml:space="preserve">As </w:t>
      </w:r>
      <w:r w:rsidR="00031583" w:rsidRPr="00406073">
        <w:rPr>
          <w:sz w:val="24"/>
          <w:szCs w:val="24"/>
        </w:rPr>
        <w:t xml:space="preserve">Akers (1994) </w:t>
      </w:r>
      <w:r w:rsidRPr="00406073">
        <w:rPr>
          <w:sz w:val="24"/>
          <w:szCs w:val="24"/>
        </w:rPr>
        <w:t xml:space="preserve">remarks that the basis for establishing the worth of any theory are their utility, logic, empirical support and testability. The expectation is that after building sensible explanations and then examine their fit, the organisation will determine sensible and constructive endorsement of the public policy </w:t>
      </w:r>
      <w:r w:rsidR="009E2157" w:rsidRPr="00406073">
        <w:rPr>
          <w:sz w:val="24"/>
          <w:szCs w:val="24"/>
        </w:rPr>
        <w:t xml:space="preserve">that will lessen levels of victimization and reduce occurrence of crime. These crime theories were created to have a better understanding of “why” people behave in the way that they do, and by understanding the “why” question, there will be a more effective response towards these actions and individuals. Within the criminology the focus on crime is with the question “why”? This is difference between the criminal justice question, which is “what now”? By answering the “why” question it presents a scope of questions and chances from the significant </w:t>
      </w:r>
      <w:r w:rsidR="009845F3" w:rsidRPr="00406073">
        <w:rPr>
          <w:sz w:val="24"/>
          <w:szCs w:val="24"/>
        </w:rPr>
        <w:t>number</w:t>
      </w:r>
      <w:r w:rsidR="009E2157" w:rsidRPr="00406073">
        <w:rPr>
          <w:sz w:val="24"/>
          <w:szCs w:val="24"/>
        </w:rPr>
        <w:t xml:space="preserve"> of angles and directions. In this venture there are a lot of “right” answers. </w:t>
      </w:r>
      <w:r w:rsidR="009845F3" w:rsidRPr="00406073">
        <w:rPr>
          <w:sz w:val="24"/>
          <w:szCs w:val="24"/>
        </w:rPr>
        <w:t xml:space="preserve">For example, the earliest explanation of the criminal behaviour was mainly with the religious direction. For instance, the demonic possession was believed to be a main answer to the “why” question. As more of the modern days approached and technology and the scientific methods became more evolved and have influenced </w:t>
      </w:r>
      <w:r w:rsidR="007C3AAC" w:rsidRPr="00406073">
        <w:rPr>
          <w:sz w:val="24"/>
          <w:szCs w:val="24"/>
        </w:rPr>
        <w:t xml:space="preserve">the academics, the similar theories have also increased. It is quite significant to understand this development to have the better understanding and approach to the more modern theories. </w:t>
      </w:r>
    </w:p>
    <w:p w14:paraId="6931CD4B" w14:textId="13EA91B1" w:rsidR="00E94D9D" w:rsidRPr="00406073" w:rsidRDefault="001C53AE" w:rsidP="001C53AE">
      <w:pPr>
        <w:spacing w:line="480" w:lineRule="auto"/>
        <w:rPr>
          <w:sz w:val="24"/>
          <w:szCs w:val="24"/>
        </w:rPr>
      </w:pPr>
      <w:r w:rsidRPr="00406073">
        <w:rPr>
          <w:sz w:val="24"/>
          <w:szCs w:val="24"/>
        </w:rPr>
        <w:t xml:space="preserve">As </w:t>
      </w:r>
      <w:r w:rsidR="0037780E" w:rsidRPr="00406073">
        <w:rPr>
          <w:sz w:val="24"/>
          <w:szCs w:val="24"/>
        </w:rPr>
        <w:t>Fitzgerald (2011)</w:t>
      </w:r>
      <w:r w:rsidRPr="00406073">
        <w:rPr>
          <w:sz w:val="24"/>
          <w:szCs w:val="24"/>
        </w:rPr>
        <w:t xml:space="preserve"> explains that after the studying of the two fundamental matters such as the disposition between the historians to </w:t>
      </w:r>
      <w:r w:rsidR="00E94D9D" w:rsidRPr="00406073">
        <w:rPr>
          <w:sz w:val="24"/>
          <w:szCs w:val="24"/>
        </w:rPr>
        <w:t xml:space="preserve">inspect crime in means of punishment and the pressure between determinism and indeterminism that penetrates the historical research. There are four groups of historical crime theories that explain crime and delinquency, such as the, positivism, post-structuralism, history of social science explanation and </w:t>
      </w:r>
      <w:r w:rsidR="00E94D9D" w:rsidRPr="00406073">
        <w:rPr>
          <w:sz w:val="24"/>
          <w:szCs w:val="24"/>
        </w:rPr>
        <w:lastRenderedPageBreak/>
        <w:t xml:space="preserve">constructionism. </w:t>
      </w:r>
      <w:r w:rsidR="00606DFD" w:rsidRPr="00406073">
        <w:rPr>
          <w:sz w:val="24"/>
          <w:szCs w:val="24"/>
        </w:rPr>
        <w:t xml:space="preserve">The case demonstrations detail the importance of social control and the critical theories, both constructionist groups, within the historical context. The conclusion of the literature remarked was on the tough but required task of uniting the human behaviours and social environments is the historical clarification of crime and delinquency. </w:t>
      </w:r>
    </w:p>
    <w:p w14:paraId="544813A4" w14:textId="09D7D5EC" w:rsidR="007A6F85" w:rsidRPr="00406073" w:rsidRDefault="00606DFD" w:rsidP="00606DFD">
      <w:pPr>
        <w:spacing w:line="480" w:lineRule="auto"/>
        <w:rPr>
          <w:sz w:val="24"/>
          <w:szCs w:val="24"/>
        </w:rPr>
      </w:pPr>
      <w:r w:rsidRPr="00406073">
        <w:rPr>
          <w:sz w:val="24"/>
          <w:szCs w:val="24"/>
        </w:rPr>
        <w:t xml:space="preserve">As </w:t>
      </w:r>
      <w:r w:rsidR="0037780E" w:rsidRPr="00406073">
        <w:rPr>
          <w:sz w:val="24"/>
          <w:szCs w:val="24"/>
        </w:rPr>
        <w:t>Rousseaux (1996)</w:t>
      </w:r>
      <w:r w:rsidR="00524C6E" w:rsidRPr="00406073">
        <w:rPr>
          <w:sz w:val="24"/>
          <w:szCs w:val="24"/>
        </w:rPr>
        <w:t xml:space="preserve"> clarifies that the literature that mentions historical theories of crime and delinquency is not substantial. In fact, many scholars have remarked that the area of history has significantly ignored the concerns of crime and delinquency. Nonetheless, the profundity of some of the theories surely reimburse for the lack of the depth. </w:t>
      </w:r>
      <w:r w:rsidR="007A6F85" w:rsidRPr="00406073">
        <w:rPr>
          <w:sz w:val="24"/>
          <w:szCs w:val="24"/>
        </w:rPr>
        <w:t xml:space="preserve">Profiting from years of source data, the theories that historians have advanced are quite colourful and “textured”, and they support the basis claim that crime, criminal law and criminal activity are dependent on several factors, such as the place, culture and time. Determining from the past, scholars are motivated to acquire knowledge from the past and potentially obtain higher understanding of crime and delinquency. Firstly, one of the categories address the historical explanations of crime and delinquency that is recognized in the field of criminology. </w:t>
      </w:r>
      <w:r w:rsidR="000635DB" w:rsidRPr="00406073">
        <w:rPr>
          <w:sz w:val="24"/>
          <w:szCs w:val="24"/>
        </w:rPr>
        <w:t xml:space="preserve">The second category is marked by structuralism and requires political, social and economic factors to recognize the several causes of crime and delinquency. Then the third category of theories is marked by constructionism to consider the influence of the criminal activity on the shifting criminal law in the means of critical theories, labelling and social control. The last category, number four is known as post-structuralism that focuses the significance of operating beyond systematic explanations to an assessment of the trading of power between several individuals.  </w:t>
      </w:r>
    </w:p>
    <w:p w14:paraId="38367309" w14:textId="25B8E16F" w:rsidR="000635DB" w:rsidRPr="00406073" w:rsidRDefault="000635DB" w:rsidP="00606DFD">
      <w:pPr>
        <w:spacing w:line="480" w:lineRule="auto"/>
        <w:rPr>
          <w:sz w:val="24"/>
          <w:szCs w:val="24"/>
        </w:rPr>
      </w:pPr>
      <w:r w:rsidRPr="00406073">
        <w:rPr>
          <w:sz w:val="24"/>
          <w:szCs w:val="24"/>
        </w:rPr>
        <w:t xml:space="preserve">As Dwyer (2001) identifies that the elements that correspond with crime are such as economic deprivation, which indicates </w:t>
      </w:r>
      <w:r w:rsidR="005E7CEC" w:rsidRPr="00406073">
        <w:rPr>
          <w:sz w:val="24"/>
          <w:szCs w:val="24"/>
        </w:rPr>
        <w:t xml:space="preserve">a relationship with the occurrence of the criminal </w:t>
      </w:r>
      <w:r w:rsidR="005E7CEC" w:rsidRPr="00406073">
        <w:rPr>
          <w:sz w:val="24"/>
          <w:szCs w:val="24"/>
        </w:rPr>
        <w:lastRenderedPageBreak/>
        <w:t xml:space="preserve">behaviour. Nonetheless, it is important to point out that the correspondence only presents that there is a relationship between one variable with another, but it does not show what causes what. For example, there is a relation between failing academically and juvenile delinquency, however, there is no evidence to prove that low academic achievements are an actual cause of delinquency. Many believe that when an individual does become mixed up in troublesome behaviour, their academic work begins to </w:t>
      </w:r>
      <w:r w:rsidR="00EB1782" w:rsidRPr="00406073">
        <w:rPr>
          <w:sz w:val="24"/>
          <w:szCs w:val="24"/>
        </w:rPr>
        <w:t>suffer,</w:t>
      </w:r>
      <w:r w:rsidR="005E7CEC" w:rsidRPr="00406073">
        <w:rPr>
          <w:sz w:val="24"/>
          <w:szCs w:val="24"/>
        </w:rPr>
        <w:t xml:space="preserve"> and the </w:t>
      </w:r>
      <w:r w:rsidR="00EB1782" w:rsidRPr="00406073">
        <w:rPr>
          <w:sz w:val="24"/>
          <w:szCs w:val="24"/>
        </w:rPr>
        <w:t xml:space="preserve">grades begin to collapse. </w:t>
      </w:r>
    </w:p>
    <w:p w14:paraId="40AD1F03" w14:textId="010FB627" w:rsidR="00EB1782" w:rsidRPr="00406073" w:rsidRDefault="00EB1782" w:rsidP="00606DFD">
      <w:pPr>
        <w:spacing w:line="480" w:lineRule="auto"/>
        <w:rPr>
          <w:sz w:val="24"/>
          <w:szCs w:val="24"/>
        </w:rPr>
      </w:pPr>
      <w:r w:rsidRPr="00406073">
        <w:rPr>
          <w:sz w:val="24"/>
          <w:szCs w:val="24"/>
        </w:rPr>
        <w:t>Jenkins (2006) explains the biography of Harold Shipman or in full Harold Frederick Shipman to gain a better understanding of his criminal behaviour. He was born on January 14</w:t>
      </w:r>
      <w:r w:rsidRPr="00406073">
        <w:rPr>
          <w:sz w:val="24"/>
          <w:szCs w:val="24"/>
          <w:vertAlign w:val="superscript"/>
        </w:rPr>
        <w:t>th</w:t>
      </w:r>
      <w:r w:rsidRPr="00406073">
        <w:rPr>
          <w:sz w:val="24"/>
          <w:szCs w:val="24"/>
        </w:rPr>
        <w:t xml:space="preserve"> in 1946, in Nottingham England. He did pass away in 2004 in Wakefield. He is known for being a British doctor and a serial killer that has murdered approximately 250 people that were his patients at the time, as stated in his official crime’s inquiry. Shipman`s actions have brought up distressed questions regarding the responsibilities and the powers of the medical community within the United Kingdom. </w:t>
      </w:r>
      <w:r w:rsidR="00DD0E94" w:rsidRPr="00406073">
        <w:rPr>
          <w:sz w:val="24"/>
          <w:szCs w:val="24"/>
        </w:rPr>
        <w:t>Also,</w:t>
      </w:r>
      <w:r w:rsidRPr="00406073">
        <w:rPr>
          <w:sz w:val="24"/>
          <w:szCs w:val="24"/>
        </w:rPr>
        <w:t xml:space="preserve"> </w:t>
      </w:r>
      <w:r w:rsidR="00DD0E94" w:rsidRPr="00406073">
        <w:rPr>
          <w:sz w:val="24"/>
          <w:szCs w:val="24"/>
        </w:rPr>
        <w:t xml:space="preserve">the questions were raised </w:t>
      </w:r>
      <w:r w:rsidRPr="00406073">
        <w:rPr>
          <w:sz w:val="24"/>
          <w:szCs w:val="24"/>
        </w:rPr>
        <w:t xml:space="preserve">about the sufficiency of the procedures for warranting </w:t>
      </w:r>
      <w:r w:rsidR="00DD0E94" w:rsidRPr="00406073">
        <w:rPr>
          <w:sz w:val="24"/>
          <w:szCs w:val="24"/>
        </w:rPr>
        <w:t xml:space="preserve">the sudden death. </w:t>
      </w:r>
      <w:r w:rsidRPr="00406073">
        <w:rPr>
          <w:sz w:val="24"/>
          <w:szCs w:val="24"/>
        </w:rPr>
        <w:t xml:space="preserve"> </w:t>
      </w:r>
      <w:r w:rsidR="00DD0E94" w:rsidRPr="00406073">
        <w:rPr>
          <w:sz w:val="24"/>
          <w:szCs w:val="24"/>
        </w:rPr>
        <w:t xml:space="preserve">Shipman was a son of the working-class family that lived in Manchester. It was mentioned that he was quite a bright child, that became fascinated with medicine by watching his mother receive morphine injections that were soothing her pain while passing away due to lung cancer. In 1970 he graduated the Leeds University with a medical degree, and then several years later he began his job as a GP in Todmorden in Lancashire. Then five years later in 1975 he became addicted to opiate pethidine and lost his job and was sent to the drug rehabilitation. This happened by the discovery of several fraudulent prescriptions that he had written to feed his habit. Two years after that, in 1977, Shipman managed to acquire a job in the general practice as a GP in Hyde in Greater Manchester. He eventually managed to become quite </w:t>
      </w:r>
      <w:r w:rsidR="00DD0E94" w:rsidRPr="00406073">
        <w:rPr>
          <w:sz w:val="24"/>
          <w:szCs w:val="24"/>
        </w:rPr>
        <w:lastRenderedPageBreak/>
        <w:t xml:space="preserve">respected and built a </w:t>
      </w:r>
      <w:r w:rsidR="004A5FBE" w:rsidRPr="00406073">
        <w:rPr>
          <w:sz w:val="24"/>
          <w:szCs w:val="24"/>
        </w:rPr>
        <w:t xml:space="preserve">successful practice. Several years later in 1998, an 81-year-old woman, who was one of the Shipman’s patients was found deceased in her home on several hours after she received a visit from Shipman. Her family was baffled by how sudden her death was, as she appeared in quite a good health prior. Also, they were stumped by the fact that her will has been amended in the way where it would benefit Shipman, her whole estate would be handed down to him, which was valued at approximately 400,000 pounds. It became more suspicious when Shipman insisted that autopsy was not necessary. </w:t>
      </w:r>
    </w:p>
    <w:p w14:paraId="52CB9736" w14:textId="04C9FAE3" w:rsidR="00D42902" w:rsidRPr="00406073" w:rsidRDefault="00D42902" w:rsidP="00606DFD">
      <w:pPr>
        <w:spacing w:line="480" w:lineRule="auto"/>
        <w:rPr>
          <w:sz w:val="24"/>
          <w:szCs w:val="24"/>
        </w:rPr>
      </w:pPr>
      <w:r w:rsidRPr="00406073">
        <w:rPr>
          <w:sz w:val="24"/>
          <w:szCs w:val="24"/>
        </w:rPr>
        <w:t xml:space="preserve">As Berman (2021) concluded that Shipman`s criminal behaviour was mainly homicides. Homicide is a legal expression for any killing of a human being by another human being. However, homicide is not essentially a crime, for example, a killing of a criminal by the police officer or within self-defence is a justifying killing. Where on the other hand manslaughter and murder are categorized as unlawful homicides. </w:t>
      </w:r>
      <w:r w:rsidR="00CC5F0A" w:rsidRPr="00406073">
        <w:rPr>
          <w:sz w:val="24"/>
          <w:szCs w:val="24"/>
        </w:rPr>
        <w:t xml:space="preserve">The legal definition of murder is under the common law the intentional killing that was unlawful and committed with “malice aforethought”. The malice aforethought does not mean that the person that killed has necessarily acted out of hate or spite towards their victim. It exists if the killer has killed someone without any excuse or legal justification. However, today murder is explained by statutes instead of the common law. Even though statutes </w:t>
      </w:r>
      <w:r w:rsidR="00580544" w:rsidRPr="00406073">
        <w:rPr>
          <w:sz w:val="24"/>
          <w:szCs w:val="24"/>
        </w:rPr>
        <w:t xml:space="preserve">descend from common law, it is significant to understand these variations. </w:t>
      </w:r>
    </w:p>
    <w:p w14:paraId="53AA903C" w14:textId="2CD4721E" w:rsidR="002B72A5" w:rsidRPr="00406073" w:rsidRDefault="002B72A5" w:rsidP="00606DFD">
      <w:pPr>
        <w:spacing w:line="480" w:lineRule="auto"/>
        <w:rPr>
          <w:sz w:val="24"/>
          <w:szCs w:val="24"/>
        </w:rPr>
      </w:pPr>
      <w:r w:rsidRPr="00406073">
        <w:rPr>
          <w:sz w:val="24"/>
          <w:szCs w:val="24"/>
        </w:rPr>
        <w:t xml:space="preserve">As Whittle and Richie (2000) comments that despite long examination of why the serial killer such as Harrold Shipman committed the crimes that he did lingers as s puzzle. Although, this question still needs to be addressed. Their research flows towards more of a structural approach rather than common individualistic explanations. This helps to </w:t>
      </w:r>
      <w:r w:rsidRPr="00406073">
        <w:rPr>
          <w:sz w:val="24"/>
          <w:szCs w:val="24"/>
        </w:rPr>
        <w:lastRenderedPageBreak/>
        <w:t xml:space="preserve">understand the serial killers at more of a societal level. However, they also believe that the behaviour and the actions of the serial killers can be used to recognize social breakdowns. </w:t>
      </w:r>
    </w:p>
    <w:p w14:paraId="194D1BCE" w14:textId="77777777" w:rsidR="002853C9" w:rsidRPr="00406073" w:rsidRDefault="002B72A5" w:rsidP="00606DFD">
      <w:pPr>
        <w:spacing w:line="480" w:lineRule="auto"/>
        <w:rPr>
          <w:sz w:val="24"/>
          <w:szCs w:val="24"/>
        </w:rPr>
      </w:pPr>
      <w:r w:rsidRPr="00406073">
        <w:rPr>
          <w:sz w:val="24"/>
          <w:szCs w:val="24"/>
        </w:rPr>
        <w:t xml:space="preserve">As Calnan (2015) describes that several disciplines could possibly </w:t>
      </w:r>
      <w:r w:rsidR="008270AB" w:rsidRPr="00406073">
        <w:rPr>
          <w:sz w:val="24"/>
          <w:szCs w:val="24"/>
        </w:rPr>
        <w:t xml:space="preserve">be a factor to the explanation of serial killing. Anyhow, it is significant to acknowledge that various disciplines may be more suitable towards explaining specific areas of the serial killing events. As an example, it appears improbable that sociological perception alone will issue a full understanding of the paradox such as Harold Shipman. However, sociology could be a contribute towards acknowledging the factor of why such a case has persisted to be hidden for such a long period.  As Calnan mentions that work of Eliot Freidson could possibly be quite useful as he contributed to several classic insights into the medical practice area.  </w:t>
      </w:r>
      <w:r w:rsidR="00F72391" w:rsidRPr="00406073">
        <w:rPr>
          <w:sz w:val="24"/>
          <w:szCs w:val="24"/>
        </w:rPr>
        <w:t xml:space="preserve">Many years ago, Freidson has been concerned with the dominant issues in the analysis of work which is the control of performance. This is the unique issue for the professional work due to professions, contrary to other occupations have sufficiently obtained freedom from control by the outsiders. Freidson mainly put his focus onto the solo practice jobs, such as Shipman`s, due to likeliness of the setting where professional abuse might occur is the solo profession. The explanation for this is that in a solo practice the sense of control is based almost completely on the individual motives and extent. The most significant point that Freidson is that the physicians or such a like </w:t>
      </w:r>
      <w:r w:rsidR="00F551D9" w:rsidRPr="00406073">
        <w:rPr>
          <w:sz w:val="24"/>
          <w:szCs w:val="24"/>
        </w:rPr>
        <w:t xml:space="preserve">fabricate an informal system of somewhat excluded, little circles of practitioners, the extremity of which are so secluded from one another that the surroundings that are important for the mutual governance on the behaviour are </w:t>
      </w:r>
      <w:r w:rsidR="002853C9" w:rsidRPr="00406073">
        <w:rPr>
          <w:sz w:val="24"/>
          <w:szCs w:val="24"/>
        </w:rPr>
        <w:t>non-existent</w:t>
      </w:r>
      <w:r w:rsidR="00F551D9" w:rsidRPr="00406073">
        <w:rPr>
          <w:sz w:val="24"/>
          <w:szCs w:val="24"/>
        </w:rPr>
        <w:t>.</w:t>
      </w:r>
    </w:p>
    <w:p w14:paraId="73EDB3B1" w14:textId="58FEB759" w:rsidR="00E01A81" w:rsidRPr="00406073" w:rsidRDefault="002853C9" w:rsidP="00E01A81">
      <w:pPr>
        <w:spacing w:line="480" w:lineRule="auto"/>
        <w:rPr>
          <w:sz w:val="24"/>
          <w:szCs w:val="24"/>
        </w:rPr>
      </w:pPr>
      <w:r w:rsidRPr="00406073">
        <w:rPr>
          <w:sz w:val="24"/>
          <w:szCs w:val="24"/>
        </w:rPr>
        <w:t xml:space="preserve">As Thompson (2016) discusses that in accordance with the Hirshi`s social control theory the troublesome behaviour could be related to the individual lack of role models in their lives, </w:t>
      </w:r>
      <w:r w:rsidRPr="00406073">
        <w:rPr>
          <w:sz w:val="24"/>
          <w:szCs w:val="24"/>
        </w:rPr>
        <w:lastRenderedPageBreak/>
        <w:t xml:space="preserve">or </w:t>
      </w:r>
      <w:r w:rsidR="00E01A81" w:rsidRPr="00406073">
        <w:rPr>
          <w:sz w:val="24"/>
          <w:szCs w:val="24"/>
        </w:rPr>
        <w:t xml:space="preserve">when the individual lacks the developmental relationships. </w:t>
      </w:r>
      <w:r w:rsidR="00F551D9" w:rsidRPr="00406073">
        <w:rPr>
          <w:sz w:val="24"/>
          <w:szCs w:val="24"/>
        </w:rPr>
        <w:t xml:space="preserve"> </w:t>
      </w:r>
      <w:r w:rsidR="00E01A81" w:rsidRPr="00406073">
        <w:rPr>
          <w:sz w:val="24"/>
          <w:szCs w:val="24"/>
        </w:rPr>
        <w:t xml:space="preserve">The social control theory defines that each bond that the person forms can be divided into four factors. The three out of four factors could be related to the relationship that Shipman had developed with Vera over many years. This theory could aid in demonstrating the significance of positive social bonds within the individual’s life. It is quite significantly likely that Shipman choose to poison his patients due to the absence of the love and support in his life from his mother, as a result of her passing away.  </w:t>
      </w:r>
    </w:p>
    <w:p w14:paraId="0B7D1797" w14:textId="6BB340AE" w:rsidR="00E01A81" w:rsidRPr="00406073" w:rsidRDefault="00E01A81" w:rsidP="00E01A81">
      <w:pPr>
        <w:spacing w:line="480" w:lineRule="auto"/>
        <w:rPr>
          <w:sz w:val="24"/>
          <w:szCs w:val="24"/>
        </w:rPr>
      </w:pPr>
      <w:r w:rsidRPr="00406073">
        <w:rPr>
          <w:sz w:val="24"/>
          <w:szCs w:val="24"/>
        </w:rPr>
        <w:t xml:space="preserve">As Siegel and Senna (2007) points out that the first element within the social control theory is the attachment. </w:t>
      </w:r>
      <w:r w:rsidR="002F15FD" w:rsidRPr="00406073">
        <w:rPr>
          <w:sz w:val="24"/>
          <w:szCs w:val="24"/>
        </w:rPr>
        <w:t xml:space="preserve">In accordance with Hirsh the attachment with a parent is the most significant bond an individual must from in their life. Shipman had the lack of the attachment element due to his mother dying at the early stage of his life. </w:t>
      </w:r>
    </w:p>
    <w:p w14:paraId="56C53FB5" w14:textId="016DBF23" w:rsidR="002F15FD" w:rsidRPr="00406073" w:rsidRDefault="002F15FD" w:rsidP="00E01A81">
      <w:pPr>
        <w:spacing w:line="480" w:lineRule="auto"/>
        <w:rPr>
          <w:sz w:val="24"/>
          <w:szCs w:val="24"/>
        </w:rPr>
      </w:pPr>
      <w:r w:rsidRPr="00406073">
        <w:rPr>
          <w:sz w:val="24"/>
          <w:szCs w:val="24"/>
        </w:rPr>
        <w:t xml:space="preserve">As Brown, Catalano, Fleming, Haggerty, Abbott, Cortes and Park (2005) notes that in the Shipman`s case it was identified that he had a significantly strong bond with his mother at the young age. Shipman and his mother were extremely close and got along very well. The second element of the social control theory is the commitment.  </w:t>
      </w:r>
    </w:p>
    <w:p w14:paraId="4FF8B552" w14:textId="02CF8B3B" w:rsidR="00EF2C57" w:rsidRPr="00406073" w:rsidRDefault="002F15FD" w:rsidP="00E01A81">
      <w:pPr>
        <w:spacing w:line="480" w:lineRule="auto"/>
        <w:rPr>
          <w:sz w:val="24"/>
          <w:szCs w:val="24"/>
        </w:rPr>
      </w:pPr>
      <w:r w:rsidRPr="00406073">
        <w:rPr>
          <w:sz w:val="24"/>
          <w:szCs w:val="24"/>
        </w:rPr>
        <w:t xml:space="preserve">As Hoffman (2002) remarks that Shipman was very committed from the young age, firstly he was very committed to his bond and relationship with his mother and then he was very committed to the medicine world. When she began to suffer from the side effects of cancer, Shipman took very good care of her on the day-to-day basis. When his mother did pass away, he made a commitment to himself to attend medical school and eventually become a doctor so he could help people. The third factor of the social control theory is the involvement. As its described in Hirshi`s theory the “heavy involvement in conventional activities leaves little or no time for illegal behaviour”. This could explain the fact that </w:t>
      </w:r>
      <w:r w:rsidR="001A0356" w:rsidRPr="00406073">
        <w:rPr>
          <w:sz w:val="24"/>
          <w:szCs w:val="24"/>
        </w:rPr>
        <w:lastRenderedPageBreak/>
        <w:t xml:space="preserve">Shipman stayed out of trouble up until he achieved his goals and only became criminally orientated when he achieved them. </w:t>
      </w:r>
      <w:r w:rsidRPr="00406073">
        <w:rPr>
          <w:sz w:val="24"/>
          <w:szCs w:val="24"/>
        </w:rPr>
        <w:t xml:space="preserve"> </w:t>
      </w:r>
    </w:p>
    <w:p w14:paraId="6F1CFAD9" w14:textId="19A44603" w:rsidR="00EF2C57" w:rsidRPr="00406073" w:rsidRDefault="00EF2C57" w:rsidP="00E01A81">
      <w:pPr>
        <w:spacing w:line="480" w:lineRule="auto"/>
        <w:rPr>
          <w:sz w:val="24"/>
          <w:szCs w:val="24"/>
        </w:rPr>
      </w:pPr>
      <w:r w:rsidRPr="00406073">
        <w:rPr>
          <w:sz w:val="24"/>
          <w:szCs w:val="24"/>
        </w:rPr>
        <w:t xml:space="preserve">As Soothill (2001) emphasises the argument that some individuals could interpret these types of cases as the type of a political statement that are hidden behind science. In his prologue to the Harold Shipman`s practice from 1974 to 1998, the professor Donaldson who is the Chief Medical Officer of the Department of Health stated that “everything points to the fact that a doctor with the sinister and </w:t>
      </w:r>
      <w:r w:rsidR="008174E6" w:rsidRPr="00406073">
        <w:rPr>
          <w:sz w:val="24"/>
          <w:szCs w:val="24"/>
        </w:rPr>
        <w:t xml:space="preserve">macabre motivation of Harold Shipman is a once in a lifetime occurrence”. </w:t>
      </w:r>
    </w:p>
    <w:p w14:paraId="68C86D51" w14:textId="11394113" w:rsidR="00360127" w:rsidRPr="00406073" w:rsidRDefault="008174E6" w:rsidP="008174E6">
      <w:pPr>
        <w:spacing w:line="480" w:lineRule="auto"/>
        <w:rPr>
          <w:sz w:val="24"/>
          <w:szCs w:val="24"/>
        </w:rPr>
      </w:pPr>
      <w:r w:rsidRPr="00406073">
        <w:rPr>
          <w:sz w:val="24"/>
          <w:szCs w:val="24"/>
        </w:rPr>
        <w:t xml:space="preserve">As the Department of Health (2001) explains that while the common sense may propose this, there is no information within the report that leads to such a conclusion. The statement provided by Professor Donaldson is an effort to reduce any concerns from the public without supplying any evidence. Nonetheless, the Chief Medical Officer`s point of view is that this is an abnormal case within the history of medicine. </w:t>
      </w:r>
    </w:p>
    <w:p w14:paraId="5C8220E9" w14:textId="6A21F269" w:rsidR="008174E6" w:rsidRPr="00406073" w:rsidRDefault="008174E6" w:rsidP="008174E6">
      <w:pPr>
        <w:spacing w:line="480" w:lineRule="auto"/>
        <w:rPr>
          <w:sz w:val="24"/>
          <w:szCs w:val="24"/>
        </w:rPr>
      </w:pPr>
      <w:r w:rsidRPr="00406073">
        <w:rPr>
          <w:sz w:val="24"/>
          <w:szCs w:val="24"/>
        </w:rPr>
        <w:t xml:space="preserve">Furthermore, as Grover and Soothill (1999) concludes that the structural argument may not be within favour of everyone, </w:t>
      </w:r>
      <w:r w:rsidR="00814334" w:rsidRPr="00406073">
        <w:rPr>
          <w:sz w:val="24"/>
          <w:szCs w:val="24"/>
        </w:rPr>
        <w:t xml:space="preserve">even though if there was an inquiry of the psyche of Harold Shipman the results would most likely be a pile of contradictions that would not undoubtedly present anything much closer to the explanation. There will not be any findings of the evil individual that is so adored by the tabloid headlines. Shipman was an individual that had accomplished many things considered as evil, however, he was also an individual that was perceived as a good doctor and respected by several of his patients who are still alive. He has been defined as arrogant individual, and even this may be a start to providing clues to that at some points Shipman recognised himself as above the law, an arrogant </w:t>
      </w:r>
      <w:r w:rsidR="00B450F9" w:rsidRPr="00406073">
        <w:rPr>
          <w:sz w:val="24"/>
          <w:szCs w:val="24"/>
        </w:rPr>
        <w:t>self-</w:t>
      </w:r>
      <w:r w:rsidR="00B450F9" w:rsidRPr="00406073">
        <w:rPr>
          <w:sz w:val="24"/>
          <w:szCs w:val="24"/>
        </w:rPr>
        <w:lastRenderedPageBreak/>
        <w:t>perception that</w:t>
      </w:r>
      <w:r w:rsidR="008E31AE" w:rsidRPr="00406073">
        <w:rPr>
          <w:sz w:val="24"/>
          <w:szCs w:val="24"/>
        </w:rPr>
        <w:t xml:space="preserve"> some</w:t>
      </w:r>
      <w:r w:rsidR="00B450F9" w:rsidRPr="00406073">
        <w:rPr>
          <w:sz w:val="24"/>
          <w:szCs w:val="24"/>
        </w:rPr>
        <w:t xml:space="preserve"> </w:t>
      </w:r>
      <w:r w:rsidR="008E31AE" w:rsidRPr="00406073">
        <w:rPr>
          <w:sz w:val="24"/>
          <w:szCs w:val="24"/>
        </w:rPr>
        <w:t>laws</w:t>
      </w:r>
      <w:r w:rsidR="00B450F9" w:rsidRPr="00406073">
        <w:rPr>
          <w:sz w:val="24"/>
          <w:szCs w:val="24"/>
        </w:rPr>
        <w:t xml:space="preserve"> do not relate to him, and this perception is not just limited to the medical professions. </w:t>
      </w:r>
    </w:p>
    <w:p w14:paraId="7C6A403B" w14:textId="07A52290" w:rsidR="00347200" w:rsidRPr="00406073" w:rsidRDefault="008E31AE" w:rsidP="008174E6">
      <w:pPr>
        <w:spacing w:line="480" w:lineRule="auto"/>
        <w:rPr>
          <w:sz w:val="24"/>
          <w:szCs w:val="24"/>
        </w:rPr>
      </w:pPr>
      <w:r w:rsidRPr="00406073">
        <w:rPr>
          <w:sz w:val="24"/>
          <w:szCs w:val="24"/>
        </w:rPr>
        <w:t xml:space="preserve">Then, as Wilson (2005) clarifies that the message emerges from the studies of the British serial killers is that Britain is insufficient in its services of economic and social protection for the vulnerable and financially deprived population. From studying the Shipman case it was projected that there was a lack of </w:t>
      </w:r>
      <w:r w:rsidR="008D442A" w:rsidRPr="00406073">
        <w:rPr>
          <w:sz w:val="24"/>
          <w:szCs w:val="24"/>
        </w:rPr>
        <w:t xml:space="preserve">precautions for the control of the performance. While many other scholars theorize about the psychological factors that participated towards Shipman committing his crimes, Wilson proclaimed that there needs a focus towards the more of a structural approach that proposes closer understanding of the meaning of the serial killings at the societal level. As mentioned previously, that he actions of the serial killers are a way of recognising the social breakdowns, even though it is a useful identification it is still mortifying method of doing so. In this regard the warning is crucial. The serial killers tend to victimize the vulnerable. In </w:t>
      </w:r>
      <w:r w:rsidR="00347200" w:rsidRPr="00406073">
        <w:rPr>
          <w:sz w:val="24"/>
          <w:szCs w:val="24"/>
        </w:rPr>
        <w:t>Britain,</w:t>
      </w:r>
      <w:r w:rsidR="008D442A" w:rsidRPr="00406073">
        <w:rPr>
          <w:sz w:val="24"/>
          <w:szCs w:val="24"/>
        </w:rPr>
        <w:t xml:space="preserve"> the vulnerable individuals are those who cannot participate within the systematic conditions of the patriarchal capitalism, these individuals who for numerous reasons do no</w:t>
      </w:r>
      <w:r w:rsidR="00347200" w:rsidRPr="00406073">
        <w:rPr>
          <w:sz w:val="24"/>
          <w:szCs w:val="24"/>
        </w:rPr>
        <w:t>t</w:t>
      </w:r>
      <w:r w:rsidR="008D442A" w:rsidRPr="00406073">
        <w:rPr>
          <w:sz w:val="24"/>
          <w:szCs w:val="24"/>
        </w:rPr>
        <w:t xml:space="preserve"> have the ability to “answer back” to those who</w:t>
      </w:r>
      <w:r w:rsidR="00347200" w:rsidRPr="00406073">
        <w:rPr>
          <w:sz w:val="24"/>
          <w:szCs w:val="24"/>
        </w:rPr>
        <w:t>m this system enrich with power, often the power is of life-or-death situation. The people that Shipman has murdered have avoided the attention for a long period of time, due to eventual incompetent social protection for the category of people that he victimized.</w:t>
      </w:r>
    </w:p>
    <w:p w14:paraId="335D8D8C" w14:textId="2B435C0A" w:rsidR="008E31AE" w:rsidRPr="00406073" w:rsidRDefault="00347200" w:rsidP="008174E6">
      <w:pPr>
        <w:spacing w:line="480" w:lineRule="auto"/>
        <w:rPr>
          <w:sz w:val="24"/>
          <w:szCs w:val="24"/>
        </w:rPr>
      </w:pPr>
      <w:r w:rsidRPr="00406073">
        <w:rPr>
          <w:sz w:val="24"/>
          <w:szCs w:val="24"/>
        </w:rPr>
        <w:t xml:space="preserve"> In addition, as Clark (2021) identifies that the common phrase is that if there is no evil then it would have to be invented. He questions the sociological perception, “what function does it have for the society? What`s its role? Why do certain things get labelled as evil, but others don`t? Because it`s not consistent,”. He also states that “for instance, you think of serial </w:t>
      </w:r>
      <w:r w:rsidRPr="00406073">
        <w:rPr>
          <w:sz w:val="24"/>
          <w:szCs w:val="24"/>
        </w:rPr>
        <w:lastRenderedPageBreak/>
        <w:t>killers as being veil but before Harold Shipman came along- in terms of the numbers of people killed</w:t>
      </w:r>
      <w:r w:rsidR="007F7760" w:rsidRPr="00406073">
        <w:rPr>
          <w:sz w:val="24"/>
          <w:szCs w:val="24"/>
        </w:rPr>
        <w:t xml:space="preserve"> </w:t>
      </w:r>
      <w:r w:rsidRPr="00406073">
        <w:rPr>
          <w:sz w:val="24"/>
          <w:szCs w:val="24"/>
        </w:rPr>
        <w:t xml:space="preserve">- the most evil serial killer was a bloke called Peter Dinsdale and no one knows who he is”. </w:t>
      </w:r>
      <w:r w:rsidR="007F7760" w:rsidRPr="00406073">
        <w:rPr>
          <w:sz w:val="24"/>
          <w:szCs w:val="24"/>
        </w:rPr>
        <w:t xml:space="preserve">He explains this by stating that Peter Dinsdale never was a part of any of the TV programmes such as the “most evil Killers”, due to being an arsonist and did not fit into that category that society created for the serial killers. There have been several theories produced to provide an explanation for why Shipman committed murders. Various theories propose that he was committing murder as a result of his mother’s death, who died when Shipman was only 17 years old. Another theory was that he was injecting morphine into elderly people in order to lessen the burden on the NHS. Additionally, another theory was that he simply believed he was God or had the God complex and was attempting to show the world that he could save the life as well as take it away. This could be interpreted as a super ego theory. </w:t>
      </w:r>
    </w:p>
    <w:p w14:paraId="4D7A60ED" w14:textId="30E4386B" w:rsidR="002337D6" w:rsidRPr="002337D6" w:rsidRDefault="002337D6" w:rsidP="002337D6">
      <w:pPr>
        <w:shd w:val="clear" w:color="auto" w:fill="FFFFFF"/>
        <w:spacing w:before="100" w:beforeAutospacing="1" w:after="100" w:afterAutospacing="1" w:line="240" w:lineRule="auto"/>
        <w:rPr>
          <w:rFonts w:ascii="Arial" w:eastAsia="Times New Roman" w:hAnsi="Arial" w:cs="Arial"/>
          <w:color w:val="333333"/>
          <w:sz w:val="27"/>
          <w:szCs w:val="27"/>
          <w:lang w:eastAsia="en-GB"/>
        </w:rPr>
      </w:pPr>
    </w:p>
    <w:p w14:paraId="1C0D1482" w14:textId="77777777" w:rsidR="002337D6" w:rsidRPr="00406073" w:rsidRDefault="002337D6">
      <w:pPr>
        <w:rPr>
          <w:rFonts w:ascii="Georgia" w:hAnsi="Georgia"/>
          <w:color w:val="121212"/>
          <w:sz w:val="24"/>
          <w:szCs w:val="24"/>
          <w:shd w:val="clear" w:color="auto" w:fill="FFFFFF"/>
        </w:rPr>
      </w:pPr>
    </w:p>
    <w:p w14:paraId="5BB1400B" w14:textId="39F2DB56" w:rsidR="002337D6" w:rsidRDefault="002337D6">
      <w:pPr>
        <w:rPr>
          <w:rFonts w:ascii="Georgia" w:hAnsi="Georgia"/>
          <w:color w:val="121212"/>
          <w:sz w:val="26"/>
          <w:szCs w:val="26"/>
          <w:shd w:val="clear" w:color="auto" w:fill="FFFFFF"/>
        </w:rPr>
      </w:pPr>
    </w:p>
    <w:p w14:paraId="470FF088" w14:textId="643744A9" w:rsidR="00031583" w:rsidRPr="00406073" w:rsidRDefault="0037780E">
      <w:pPr>
        <w:rPr>
          <w:b/>
          <w:bCs/>
          <w:sz w:val="28"/>
          <w:szCs w:val="28"/>
        </w:rPr>
      </w:pPr>
      <w:r w:rsidRPr="00406073">
        <w:rPr>
          <w:b/>
          <w:bCs/>
          <w:sz w:val="28"/>
          <w:szCs w:val="28"/>
        </w:rPr>
        <w:t>References</w:t>
      </w:r>
    </w:p>
    <w:p w14:paraId="02FA7472" w14:textId="72DEF021" w:rsidR="00031583" w:rsidRPr="00406073" w:rsidRDefault="00031583">
      <w:pPr>
        <w:rPr>
          <w:rFonts w:cstheme="minorHAnsi"/>
          <w:sz w:val="24"/>
          <w:szCs w:val="24"/>
        </w:rPr>
      </w:pPr>
      <w:r w:rsidRPr="00406073">
        <w:rPr>
          <w:rFonts w:cstheme="minorHAnsi"/>
          <w:sz w:val="24"/>
          <w:szCs w:val="24"/>
        </w:rPr>
        <w:t xml:space="preserve">Akers (1994), Criminological Theories: Introduction and Evaluation, Los Angeles, CA Roxbury. </w:t>
      </w:r>
    </w:p>
    <w:p w14:paraId="1666248F" w14:textId="4036B1C2" w:rsidR="00196216" w:rsidRPr="00406073" w:rsidRDefault="00196216">
      <w:pPr>
        <w:rPr>
          <w:rFonts w:cstheme="minorHAnsi"/>
          <w:sz w:val="24"/>
          <w:szCs w:val="24"/>
        </w:rPr>
      </w:pPr>
      <w:r w:rsidRPr="00406073">
        <w:rPr>
          <w:rFonts w:cstheme="minorHAnsi"/>
          <w:sz w:val="24"/>
          <w:szCs w:val="24"/>
        </w:rPr>
        <w:t xml:space="preserve">Berman (2021), What is murder? Is Murder Different from Homicide? [online], </w:t>
      </w:r>
      <w:proofErr w:type="spellStart"/>
      <w:r w:rsidRPr="00406073">
        <w:rPr>
          <w:rFonts w:cstheme="minorHAnsi"/>
          <w:i/>
          <w:iCs/>
          <w:sz w:val="24"/>
          <w:szCs w:val="24"/>
        </w:rPr>
        <w:t>Nolo</w:t>
      </w:r>
      <w:proofErr w:type="spellEnd"/>
      <w:r w:rsidRPr="00406073">
        <w:rPr>
          <w:rFonts w:cstheme="minorHAnsi"/>
          <w:sz w:val="24"/>
          <w:szCs w:val="24"/>
        </w:rPr>
        <w:t>, [Accessed on 10</w:t>
      </w:r>
      <w:r w:rsidRPr="00406073">
        <w:rPr>
          <w:rFonts w:cstheme="minorHAnsi"/>
          <w:sz w:val="24"/>
          <w:szCs w:val="24"/>
          <w:vertAlign w:val="superscript"/>
        </w:rPr>
        <w:t>th</w:t>
      </w:r>
      <w:r w:rsidRPr="00406073">
        <w:rPr>
          <w:rFonts w:cstheme="minorHAnsi"/>
          <w:sz w:val="24"/>
          <w:szCs w:val="24"/>
        </w:rPr>
        <w:t xml:space="preserve"> March 2021], Available at: </w:t>
      </w:r>
      <w:hyperlink r:id="rId5" w:history="1">
        <w:r w:rsidRPr="00406073">
          <w:rPr>
            <w:rStyle w:val="Hyperlink"/>
            <w:rFonts w:cstheme="minorHAnsi"/>
            <w:color w:val="auto"/>
            <w:sz w:val="24"/>
            <w:szCs w:val="24"/>
          </w:rPr>
          <w:t>https://www.nolo.com/legal-encyclopedia/homicide-murder-manslaughter-32637.html#:~:text=Homicide%20is%20a%20legal%20term,the%20category%20of%20unlawful%20homicides</w:t>
        </w:r>
      </w:hyperlink>
      <w:r w:rsidRPr="00406073">
        <w:rPr>
          <w:rFonts w:cstheme="minorHAnsi"/>
          <w:sz w:val="24"/>
          <w:szCs w:val="24"/>
        </w:rPr>
        <w:t xml:space="preserve">. </w:t>
      </w:r>
    </w:p>
    <w:p w14:paraId="1166D2CC" w14:textId="12E55DB3" w:rsidR="00BD42EF" w:rsidRPr="00406073" w:rsidRDefault="00BD42EF">
      <w:pPr>
        <w:rPr>
          <w:rFonts w:cstheme="minorHAnsi"/>
          <w:sz w:val="24"/>
          <w:szCs w:val="24"/>
        </w:rPr>
      </w:pPr>
      <w:r w:rsidRPr="00406073">
        <w:rPr>
          <w:rFonts w:cstheme="minorHAnsi"/>
          <w:sz w:val="24"/>
          <w:szCs w:val="24"/>
        </w:rPr>
        <w:t xml:space="preserve">Brown, Catalano, Fleming, Haggerty, Abbott, Cortes, &amp; Park (2005). Mediator effects in the social development model: An examination of constituent theories. Criminal </w:t>
      </w:r>
      <w:proofErr w:type="spellStart"/>
      <w:r w:rsidRPr="00406073">
        <w:rPr>
          <w:rFonts w:cstheme="minorHAnsi"/>
          <w:sz w:val="24"/>
          <w:szCs w:val="24"/>
        </w:rPr>
        <w:t>Behavior</w:t>
      </w:r>
      <w:proofErr w:type="spellEnd"/>
      <w:r w:rsidRPr="00406073">
        <w:rPr>
          <w:rFonts w:cstheme="minorHAnsi"/>
          <w:sz w:val="24"/>
          <w:szCs w:val="24"/>
        </w:rPr>
        <w:t xml:space="preserve"> and Mental Health, 15(4), 221-235.</w:t>
      </w:r>
    </w:p>
    <w:p w14:paraId="17B429BF" w14:textId="2E8A7993" w:rsidR="00930A12" w:rsidRPr="00406073" w:rsidRDefault="00930A12">
      <w:pPr>
        <w:rPr>
          <w:rFonts w:cstheme="minorHAnsi"/>
          <w:sz w:val="24"/>
          <w:szCs w:val="24"/>
        </w:rPr>
      </w:pPr>
      <w:r w:rsidRPr="00406073">
        <w:rPr>
          <w:rFonts w:cstheme="minorHAnsi"/>
          <w:sz w:val="24"/>
          <w:szCs w:val="24"/>
        </w:rPr>
        <w:t xml:space="preserve">Calnan (2015), </w:t>
      </w:r>
      <w:r w:rsidRPr="00406073">
        <w:rPr>
          <w:rFonts w:cstheme="minorHAnsi"/>
          <w:i/>
          <w:iCs/>
          <w:spacing w:val="4"/>
          <w:sz w:val="24"/>
          <w:szCs w:val="24"/>
          <w:shd w:val="clear" w:color="auto" w:fill="FCFCFC"/>
        </w:rPr>
        <w:t xml:space="preserve">Eliot Freidson: Sociological Narratives of Professionalism and Modern Medicine, </w:t>
      </w:r>
      <w:r w:rsidRPr="00406073">
        <w:rPr>
          <w:rFonts w:cstheme="minorHAnsi"/>
          <w:spacing w:val="4"/>
          <w:sz w:val="24"/>
          <w:szCs w:val="24"/>
          <w:shd w:val="clear" w:color="auto" w:fill="FCFCFC"/>
        </w:rPr>
        <w:t xml:space="preserve">In: Collyer F. eds. </w:t>
      </w:r>
      <w:r w:rsidRPr="00406073">
        <w:rPr>
          <w:rFonts w:cstheme="minorHAnsi"/>
          <w:i/>
          <w:iCs/>
          <w:spacing w:val="4"/>
          <w:sz w:val="24"/>
          <w:szCs w:val="24"/>
          <w:shd w:val="clear" w:color="auto" w:fill="FCFCFC"/>
        </w:rPr>
        <w:t xml:space="preserve">The Palgrave Handbook of Social Theory in Health, Illness and Medicine. </w:t>
      </w:r>
      <w:r w:rsidRPr="00406073">
        <w:rPr>
          <w:rFonts w:cstheme="minorHAnsi"/>
          <w:spacing w:val="4"/>
          <w:sz w:val="24"/>
          <w:szCs w:val="24"/>
          <w:shd w:val="clear" w:color="auto" w:fill="FCFCFC"/>
        </w:rPr>
        <w:t>London:</w:t>
      </w:r>
      <w:r w:rsidRPr="00406073">
        <w:rPr>
          <w:rFonts w:cstheme="minorHAnsi"/>
          <w:i/>
          <w:iCs/>
          <w:spacing w:val="4"/>
          <w:sz w:val="24"/>
          <w:szCs w:val="24"/>
          <w:shd w:val="clear" w:color="auto" w:fill="FCFCFC"/>
        </w:rPr>
        <w:t xml:space="preserve"> </w:t>
      </w:r>
      <w:r w:rsidRPr="00406073">
        <w:rPr>
          <w:rFonts w:cstheme="minorHAnsi"/>
          <w:spacing w:val="4"/>
          <w:sz w:val="24"/>
          <w:szCs w:val="24"/>
          <w:shd w:val="clear" w:color="auto" w:fill="FCFCFC"/>
        </w:rPr>
        <w:t>Palgrave Macmillan. Pp. 287-288</w:t>
      </w:r>
    </w:p>
    <w:p w14:paraId="39495F17" w14:textId="3F059D50" w:rsidR="00156DB1" w:rsidRPr="00406073" w:rsidRDefault="00156DB1" w:rsidP="00156DB1">
      <w:pPr>
        <w:rPr>
          <w:rFonts w:cstheme="minorHAnsi"/>
          <w:sz w:val="24"/>
          <w:szCs w:val="24"/>
        </w:rPr>
      </w:pPr>
      <w:r w:rsidRPr="00406073">
        <w:rPr>
          <w:rStyle w:val="Emphasis"/>
          <w:rFonts w:cstheme="minorHAnsi"/>
          <w:i w:val="0"/>
          <w:iCs w:val="0"/>
          <w:sz w:val="24"/>
          <w:szCs w:val="24"/>
          <w:bdr w:val="none" w:sz="0" w:space="0" w:color="auto" w:frame="1"/>
        </w:rPr>
        <w:lastRenderedPageBreak/>
        <w:t xml:space="preserve">Cherry (2020), </w:t>
      </w:r>
      <w:r w:rsidRPr="00406073">
        <w:rPr>
          <w:rFonts w:cstheme="minorHAnsi"/>
          <w:sz w:val="24"/>
          <w:szCs w:val="24"/>
        </w:rPr>
        <w:t xml:space="preserve">Freud's Id, Ego, and Superego, [online], </w:t>
      </w:r>
      <w:r w:rsidRPr="00406073">
        <w:rPr>
          <w:rFonts w:cstheme="minorHAnsi"/>
          <w:i/>
          <w:iCs/>
          <w:sz w:val="24"/>
          <w:szCs w:val="24"/>
        </w:rPr>
        <w:t>verywell mind</w:t>
      </w:r>
      <w:r w:rsidRPr="00406073">
        <w:rPr>
          <w:rFonts w:cstheme="minorHAnsi"/>
          <w:sz w:val="24"/>
          <w:szCs w:val="24"/>
        </w:rPr>
        <w:t>, [Accessed on 1</w:t>
      </w:r>
      <w:r w:rsidRPr="00406073">
        <w:rPr>
          <w:rFonts w:cstheme="minorHAnsi"/>
          <w:sz w:val="24"/>
          <w:szCs w:val="24"/>
          <w:vertAlign w:val="superscript"/>
        </w:rPr>
        <w:t>st</w:t>
      </w:r>
      <w:r w:rsidRPr="00406073">
        <w:rPr>
          <w:rFonts w:cstheme="minorHAnsi"/>
          <w:sz w:val="24"/>
          <w:szCs w:val="24"/>
        </w:rPr>
        <w:t xml:space="preserve"> march 2021], Available at: </w:t>
      </w:r>
      <w:hyperlink r:id="rId6" w:history="1">
        <w:r w:rsidRPr="00406073">
          <w:rPr>
            <w:rStyle w:val="Hyperlink"/>
            <w:rFonts w:cstheme="minorHAnsi"/>
            <w:color w:val="auto"/>
            <w:sz w:val="24"/>
            <w:szCs w:val="24"/>
          </w:rPr>
          <w:t>https://www.verywellmind.com/the-id-ego-and-superego-2795951</w:t>
        </w:r>
      </w:hyperlink>
      <w:r w:rsidRPr="00406073">
        <w:rPr>
          <w:rFonts w:cstheme="minorHAnsi"/>
          <w:sz w:val="24"/>
          <w:szCs w:val="24"/>
        </w:rPr>
        <w:t xml:space="preserve"> </w:t>
      </w:r>
    </w:p>
    <w:p w14:paraId="39EFD250" w14:textId="21BDB30D" w:rsidR="002337D6" w:rsidRPr="00406073" w:rsidRDefault="002337D6">
      <w:pPr>
        <w:rPr>
          <w:rStyle w:val="Emphasis"/>
          <w:rFonts w:cstheme="minorHAnsi"/>
          <w:i w:val="0"/>
          <w:iCs w:val="0"/>
          <w:sz w:val="24"/>
          <w:szCs w:val="24"/>
          <w:bdr w:val="none" w:sz="0" w:space="0" w:color="auto" w:frame="1"/>
        </w:rPr>
      </w:pPr>
      <w:r w:rsidRPr="00406073">
        <w:rPr>
          <w:rStyle w:val="Emphasis"/>
          <w:rFonts w:cstheme="minorHAnsi"/>
          <w:i w:val="0"/>
          <w:iCs w:val="0"/>
          <w:sz w:val="24"/>
          <w:szCs w:val="24"/>
          <w:bdr w:val="none" w:sz="0" w:space="0" w:color="auto" w:frame="1"/>
        </w:rPr>
        <w:t xml:space="preserve">Clark (2021), A `sociology of evil` gives students a fresh perspective on sociological theory, [online], </w:t>
      </w:r>
      <w:r w:rsidRPr="00406073">
        <w:rPr>
          <w:rStyle w:val="Emphasis"/>
          <w:rFonts w:cstheme="minorHAnsi"/>
          <w:sz w:val="24"/>
          <w:szCs w:val="24"/>
          <w:bdr w:val="none" w:sz="0" w:space="0" w:color="auto" w:frame="1"/>
        </w:rPr>
        <w:t>The University of Sheffield</w:t>
      </w:r>
      <w:r w:rsidRPr="00406073">
        <w:rPr>
          <w:rStyle w:val="Emphasis"/>
          <w:rFonts w:cstheme="minorHAnsi"/>
          <w:i w:val="0"/>
          <w:iCs w:val="0"/>
          <w:sz w:val="24"/>
          <w:szCs w:val="24"/>
          <w:bdr w:val="none" w:sz="0" w:space="0" w:color="auto" w:frame="1"/>
        </w:rPr>
        <w:t>, [Accessed on 5</w:t>
      </w:r>
      <w:r w:rsidRPr="00406073">
        <w:rPr>
          <w:rStyle w:val="Emphasis"/>
          <w:rFonts w:cstheme="minorHAnsi"/>
          <w:i w:val="0"/>
          <w:iCs w:val="0"/>
          <w:sz w:val="24"/>
          <w:szCs w:val="24"/>
          <w:bdr w:val="none" w:sz="0" w:space="0" w:color="auto" w:frame="1"/>
          <w:vertAlign w:val="superscript"/>
        </w:rPr>
        <w:t>th</w:t>
      </w:r>
      <w:r w:rsidRPr="00406073">
        <w:rPr>
          <w:rStyle w:val="Emphasis"/>
          <w:rFonts w:cstheme="minorHAnsi"/>
          <w:i w:val="0"/>
          <w:iCs w:val="0"/>
          <w:sz w:val="24"/>
          <w:szCs w:val="24"/>
          <w:bdr w:val="none" w:sz="0" w:space="0" w:color="auto" w:frame="1"/>
        </w:rPr>
        <w:t xml:space="preserve"> of March], Available at: </w:t>
      </w:r>
      <w:hyperlink r:id="rId7" w:history="1">
        <w:r w:rsidRPr="00406073">
          <w:rPr>
            <w:rStyle w:val="Hyperlink"/>
            <w:rFonts w:cstheme="minorHAnsi"/>
            <w:color w:val="auto"/>
            <w:sz w:val="24"/>
            <w:szCs w:val="24"/>
            <w:bdr w:val="none" w:sz="0" w:space="0" w:color="auto" w:frame="1"/>
          </w:rPr>
          <w:t>https://www.sheffield.ac.uk/social-sciences/research/teaching/sociology-evil</w:t>
        </w:r>
      </w:hyperlink>
      <w:r w:rsidRPr="00406073">
        <w:rPr>
          <w:rStyle w:val="Emphasis"/>
          <w:rFonts w:cstheme="minorHAnsi"/>
          <w:i w:val="0"/>
          <w:iCs w:val="0"/>
          <w:sz w:val="24"/>
          <w:szCs w:val="24"/>
          <w:bdr w:val="none" w:sz="0" w:space="0" w:color="auto" w:frame="1"/>
        </w:rPr>
        <w:t xml:space="preserve"> </w:t>
      </w:r>
    </w:p>
    <w:p w14:paraId="51654A47" w14:textId="7308F6C5" w:rsidR="00F6465A" w:rsidRPr="00406073" w:rsidRDefault="00F6465A">
      <w:pPr>
        <w:rPr>
          <w:rFonts w:cstheme="minorHAnsi"/>
          <w:i/>
          <w:iCs/>
          <w:sz w:val="24"/>
          <w:szCs w:val="24"/>
        </w:rPr>
      </w:pPr>
      <w:r w:rsidRPr="00406073">
        <w:rPr>
          <w:rStyle w:val="Emphasis"/>
          <w:rFonts w:cstheme="minorHAnsi"/>
          <w:i w:val="0"/>
          <w:iCs w:val="0"/>
          <w:sz w:val="24"/>
          <w:szCs w:val="24"/>
          <w:bdr w:val="none" w:sz="0" w:space="0" w:color="auto" w:frame="1"/>
        </w:rPr>
        <w:t>Department of Health (2001). Harold Shipman's clinical practice 1974–1998: A clinical audit commissioned by the Chief Medical Officer Retrieved [online</w:t>
      </w:r>
      <w:r w:rsidRPr="00406073">
        <w:rPr>
          <w:rStyle w:val="Emphasis"/>
          <w:rFonts w:cstheme="minorHAnsi"/>
          <w:sz w:val="24"/>
          <w:szCs w:val="24"/>
          <w:bdr w:val="none" w:sz="0" w:space="0" w:color="auto" w:frame="1"/>
        </w:rPr>
        <w:t>], Department of Health, GOV</w:t>
      </w:r>
      <w:r w:rsidRPr="00406073">
        <w:rPr>
          <w:rStyle w:val="Emphasis"/>
          <w:rFonts w:cstheme="minorHAnsi"/>
          <w:i w:val="0"/>
          <w:iCs w:val="0"/>
          <w:sz w:val="24"/>
          <w:szCs w:val="24"/>
          <w:bdr w:val="none" w:sz="0" w:space="0" w:color="auto" w:frame="1"/>
        </w:rPr>
        <w:t>, [Accessed on 2</w:t>
      </w:r>
      <w:r w:rsidRPr="00406073">
        <w:rPr>
          <w:rStyle w:val="Emphasis"/>
          <w:rFonts w:cstheme="minorHAnsi"/>
          <w:i w:val="0"/>
          <w:iCs w:val="0"/>
          <w:sz w:val="24"/>
          <w:szCs w:val="24"/>
          <w:bdr w:val="none" w:sz="0" w:space="0" w:color="auto" w:frame="1"/>
          <w:vertAlign w:val="superscript"/>
        </w:rPr>
        <w:t>nd</w:t>
      </w:r>
      <w:r w:rsidRPr="00406073">
        <w:rPr>
          <w:rStyle w:val="Emphasis"/>
          <w:rFonts w:cstheme="minorHAnsi"/>
          <w:i w:val="0"/>
          <w:iCs w:val="0"/>
          <w:sz w:val="24"/>
          <w:szCs w:val="24"/>
          <w:bdr w:val="none" w:sz="0" w:space="0" w:color="auto" w:frame="1"/>
        </w:rPr>
        <w:t xml:space="preserve"> of Marc 2021], Available at:</w:t>
      </w:r>
      <w:r w:rsidRPr="00406073">
        <w:rPr>
          <w:rStyle w:val="Emphasis"/>
          <w:rFonts w:cstheme="minorHAnsi"/>
          <w:sz w:val="24"/>
          <w:szCs w:val="24"/>
          <w:bdr w:val="none" w:sz="0" w:space="0" w:color="auto" w:frame="1"/>
        </w:rPr>
        <w:t> </w:t>
      </w:r>
      <w:hyperlink r:id="rId8" w:history="1">
        <w:r w:rsidRPr="00406073">
          <w:rPr>
            <w:rStyle w:val="Hyperlink"/>
            <w:rFonts w:cstheme="minorHAnsi"/>
            <w:color w:val="auto"/>
            <w:sz w:val="24"/>
            <w:szCs w:val="24"/>
            <w:u w:val="none"/>
            <w:bdr w:val="none" w:sz="0" w:space="0" w:color="auto" w:frame="1"/>
          </w:rPr>
          <w:t>http://www.doh.gov.uk/hshipmanpractice/index.htm</w:t>
        </w:r>
      </w:hyperlink>
      <w:r w:rsidRPr="00406073">
        <w:rPr>
          <w:rStyle w:val="Emphasis"/>
          <w:rFonts w:cstheme="minorHAnsi"/>
          <w:sz w:val="24"/>
          <w:szCs w:val="24"/>
          <w:bdr w:val="none" w:sz="0" w:space="0" w:color="auto" w:frame="1"/>
        </w:rPr>
        <w:t xml:space="preserve"> </w:t>
      </w:r>
    </w:p>
    <w:p w14:paraId="3745D261" w14:textId="321E59BC" w:rsidR="009C3904" w:rsidRPr="00406073" w:rsidRDefault="009C3904">
      <w:pPr>
        <w:rPr>
          <w:rFonts w:cstheme="minorHAnsi"/>
          <w:sz w:val="24"/>
          <w:szCs w:val="24"/>
        </w:rPr>
      </w:pPr>
      <w:r w:rsidRPr="00406073">
        <w:rPr>
          <w:rFonts w:cstheme="minorHAnsi"/>
          <w:sz w:val="24"/>
          <w:szCs w:val="24"/>
        </w:rPr>
        <w:t xml:space="preserve">Dwyer (2001), </w:t>
      </w:r>
      <w:r w:rsidRPr="00406073">
        <w:rPr>
          <w:rFonts w:cstheme="minorHAnsi"/>
          <w:i/>
          <w:iCs/>
          <w:sz w:val="24"/>
          <w:szCs w:val="24"/>
        </w:rPr>
        <w:t>Angles on Criminal Psychology</w:t>
      </w:r>
      <w:r w:rsidRPr="00406073">
        <w:rPr>
          <w:rFonts w:cstheme="minorHAnsi"/>
          <w:sz w:val="24"/>
          <w:szCs w:val="24"/>
        </w:rPr>
        <w:t xml:space="preserve">, Oxford: Oxford University Press. </w:t>
      </w:r>
    </w:p>
    <w:p w14:paraId="07350A5C" w14:textId="15154306" w:rsidR="0037780E" w:rsidRPr="00406073" w:rsidRDefault="0037780E">
      <w:pPr>
        <w:rPr>
          <w:rFonts w:cstheme="minorHAnsi"/>
          <w:sz w:val="24"/>
          <w:szCs w:val="24"/>
        </w:rPr>
      </w:pPr>
      <w:r w:rsidRPr="00406073">
        <w:rPr>
          <w:rFonts w:cstheme="minorHAnsi"/>
          <w:sz w:val="24"/>
          <w:szCs w:val="24"/>
        </w:rPr>
        <w:t xml:space="preserve">Fitzgerald (2011), Historical Theories of Crime and Delinquency, </w:t>
      </w:r>
      <w:r w:rsidRPr="00406073">
        <w:rPr>
          <w:rFonts w:cstheme="minorHAnsi"/>
          <w:i/>
          <w:iCs/>
          <w:sz w:val="24"/>
          <w:szCs w:val="24"/>
        </w:rPr>
        <w:t>Journal of Human Behaviour in the Social</w:t>
      </w:r>
      <w:r w:rsidRPr="00406073">
        <w:rPr>
          <w:rFonts w:cstheme="minorHAnsi"/>
          <w:sz w:val="24"/>
          <w:szCs w:val="24"/>
        </w:rPr>
        <w:t xml:space="preserve"> </w:t>
      </w:r>
      <w:r w:rsidRPr="00406073">
        <w:rPr>
          <w:rFonts w:cstheme="minorHAnsi"/>
          <w:i/>
          <w:iCs/>
          <w:sz w:val="24"/>
          <w:szCs w:val="24"/>
        </w:rPr>
        <w:t>Environment</w:t>
      </w:r>
      <w:r w:rsidRPr="00406073">
        <w:rPr>
          <w:rFonts w:cstheme="minorHAnsi"/>
          <w:sz w:val="24"/>
          <w:szCs w:val="24"/>
        </w:rPr>
        <w:t xml:space="preserve">, [online], </w:t>
      </w:r>
      <w:r w:rsidRPr="00406073">
        <w:rPr>
          <w:rFonts w:cstheme="minorHAnsi"/>
          <w:b/>
          <w:bCs/>
          <w:sz w:val="24"/>
          <w:szCs w:val="24"/>
        </w:rPr>
        <w:t>21</w:t>
      </w:r>
      <w:r w:rsidRPr="00406073">
        <w:rPr>
          <w:rFonts w:cstheme="minorHAnsi"/>
          <w:sz w:val="24"/>
          <w:szCs w:val="24"/>
        </w:rPr>
        <w:t>, 297-298, [ Accessed on 02</w:t>
      </w:r>
      <w:r w:rsidRPr="00406073">
        <w:rPr>
          <w:rFonts w:cstheme="minorHAnsi"/>
          <w:sz w:val="24"/>
          <w:szCs w:val="24"/>
          <w:vertAlign w:val="superscript"/>
        </w:rPr>
        <w:t>nd</w:t>
      </w:r>
      <w:r w:rsidRPr="00406073">
        <w:rPr>
          <w:rFonts w:cstheme="minorHAnsi"/>
          <w:sz w:val="24"/>
          <w:szCs w:val="24"/>
        </w:rPr>
        <w:t xml:space="preserve"> March 2021], Available from </w:t>
      </w:r>
      <w:proofErr w:type="spellStart"/>
      <w:r w:rsidRPr="00406073">
        <w:rPr>
          <w:rFonts w:cstheme="minorHAnsi"/>
          <w:sz w:val="24"/>
          <w:szCs w:val="24"/>
        </w:rPr>
        <w:t>doi</w:t>
      </w:r>
      <w:proofErr w:type="spellEnd"/>
      <w:r w:rsidRPr="00406073">
        <w:rPr>
          <w:rFonts w:cstheme="minorHAnsi"/>
          <w:sz w:val="24"/>
          <w:szCs w:val="24"/>
        </w:rPr>
        <w:t xml:space="preserve">: 10.1080/10911359.2011.564954 </w:t>
      </w:r>
    </w:p>
    <w:p w14:paraId="5836ED09" w14:textId="554540EF" w:rsidR="00360127" w:rsidRPr="00406073" w:rsidRDefault="00360127">
      <w:pPr>
        <w:rPr>
          <w:rFonts w:cstheme="minorHAnsi"/>
          <w:sz w:val="24"/>
          <w:szCs w:val="24"/>
        </w:rPr>
      </w:pPr>
      <w:r w:rsidRPr="00406073">
        <w:rPr>
          <w:rStyle w:val="Emphasis"/>
          <w:rFonts w:cstheme="minorHAnsi"/>
          <w:sz w:val="24"/>
          <w:szCs w:val="24"/>
          <w:bdr w:val="none" w:sz="0" w:space="0" w:color="auto" w:frame="1"/>
        </w:rPr>
        <w:t>Grover</w:t>
      </w:r>
      <w:r w:rsidR="004B7F1E" w:rsidRPr="00406073">
        <w:rPr>
          <w:rStyle w:val="Emphasis"/>
          <w:rFonts w:cstheme="minorHAnsi"/>
          <w:sz w:val="24"/>
          <w:szCs w:val="24"/>
          <w:bdr w:val="none" w:sz="0" w:space="0" w:color="auto" w:frame="1"/>
        </w:rPr>
        <w:t xml:space="preserve"> </w:t>
      </w:r>
      <w:r w:rsidRPr="00406073">
        <w:rPr>
          <w:rStyle w:val="Emphasis"/>
          <w:rFonts w:cstheme="minorHAnsi"/>
          <w:sz w:val="24"/>
          <w:szCs w:val="24"/>
          <w:bdr w:val="none" w:sz="0" w:space="0" w:color="auto" w:frame="1"/>
        </w:rPr>
        <w:t>and Soothill</w:t>
      </w:r>
      <w:r w:rsidR="004B7F1E" w:rsidRPr="00406073">
        <w:rPr>
          <w:rStyle w:val="Emphasis"/>
          <w:rFonts w:cstheme="minorHAnsi"/>
          <w:sz w:val="24"/>
          <w:szCs w:val="24"/>
          <w:bdr w:val="none" w:sz="0" w:space="0" w:color="auto" w:frame="1"/>
        </w:rPr>
        <w:t xml:space="preserve"> (</w:t>
      </w:r>
      <w:r w:rsidRPr="00406073">
        <w:rPr>
          <w:rStyle w:val="Emphasis"/>
          <w:rFonts w:cstheme="minorHAnsi"/>
          <w:sz w:val="24"/>
          <w:szCs w:val="24"/>
          <w:bdr w:val="none" w:sz="0" w:space="0" w:color="auto" w:frame="1"/>
        </w:rPr>
        <w:t>1999</w:t>
      </w:r>
      <w:r w:rsidR="004B7F1E" w:rsidRPr="00406073">
        <w:rPr>
          <w:rStyle w:val="Emphasis"/>
          <w:rFonts w:cstheme="minorHAnsi"/>
          <w:sz w:val="24"/>
          <w:szCs w:val="24"/>
          <w:bdr w:val="none" w:sz="0" w:space="0" w:color="auto" w:frame="1"/>
        </w:rPr>
        <w:t>)</w:t>
      </w:r>
      <w:r w:rsidRPr="00406073">
        <w:rPr>
          <w:rStyle w:val="Emphasis"/>
          <w:rFonts w:cstheme="minorHAnsi"/>
          <w:sz w:val="24"/>
          <w:szCs w:val="24"/>
          <w:bdr w:val="none" w:sz="0" w:space="0" w:color="auto" w:frame="1"/>
        </w:rPr>
        <w:t xml:space="preserve">. </w:t>
      </w:r>
      <w:r w:rsidRPr="00406073">
        <w:rPr>
          <w:rStyle w:val="Emphasis"/>
          <w:rFonts w:cstheme="minorHAnsi"/>
          <w:i w:val="0"/>
          <w:iCs w:val="0"/>
          <w:sz w:val="24"/>
          <w:szCs w:val="24"/>
          <w:bdr w:val="none" w:sz="0" w:space="0" w:color="auto" w:frame="1"/>
        </w:rPr>
        <w:t xml:space="preserve">"British serial killing: Towards a structural explanation". In The British Criminology Conferences: Selected proceedings, Vol. 2Edited by: </w:t>
      </w:r>
      <w:proofErr w:type="spellStart"/>
      <w:r w:rsidRPr="00406073">
        <w:rPr>
          <w:rStyle w:val="Emphasis"/>
          <w:rFonts w:cstheme="minorHAnsi"/>
          <w:i w:val="0"/>
          <w:iCs w:val="0"/>
          <w:sz w:val="24"/>
          <w:szCs w:val="24"/>
          <w:bdr w:val="none" w:sz="0" w:space="0" w:color="auto" w:frame="1"/>
        </w:rPr>
        <w:t>Brogden</w:t>
      </w:r>
      <w:proofErr w:type="spellEnd"/>
      <w:r w:rsidRPr="00406073">
        <w:rPr>
          <w:rStyle w:val="Emphasis"/>
          <w:rFonts w:cstheme="minorHAnsi"/>
          <w:i w:val="0"/>
          <w:iCs w:val="0"/>
          <w:sz w:val="24"/>
          <w:szCs w:val="24"/>
          <w:bdr w:val="none" w:sz="0" w:space="0" w:color="auto" w:frame="1"/>
        </w:rPr>
        <w:t>,</w:t>
      </w:r>
      <w:r w:rsidR="004B7F1E" w:rsidRPr="00406073">
        <w:rPr>
          <w:rStyle w:val="Emphasis"/>
          <w:rFonts w:cstheme="minorHAnsi"/>
          <w:sz w:val="24"/>
          <w:szCs w:val="24"/>
          <w:bdr w:val="none" w:sz="0" w:space="0" w:color="auto" w:frame="1"/>
        </w:rPr>
        <w:t xml:space="preserve"> </w:t>
      </w:r>
      <w:r w:rsidR="004B7F1E" w:rsidRPr="00406073">
        <w:rPr>
          <w:rStyle w:val="Emphasis"/>
          <w:rFonts w:cstheme="minorHAnsi"/>
          <w:i w:val="0"/>
          <w:iCs w:val="0"/>
          <w:sz w:val="24"/>
          <w:szCs w:val="24"/>
          <w:bdr w:val="none" w:sz="0" w:space="0" w:color="auto" w:frame="1"/>
        </w:rPr>
        <w:t>[online],</w:t>
      </w:r>
      <w:r w:rsidR="004B7F1E" w:rsidRPr="00406073">
        <w:rPr>
          <w:rStyle w:val="Emphasis"/>
          <w:rFonts w:cstheme="minorHAnsi"/>
          <w:sz w:val="24"/>
          <w:szCs w:val="24"/>
          <w:bdr w:val="none" w:sz="0" w:space="0" w:color="auto" w:frame="1"/>
        </w:rPr>
        <w:t>Britsoccrim, [Accessed on 1</w:t>
      </w:r>
      <w:r w:rsidR="004B7F1E" w:rsidRPr="00406073">
        <w:rPr>
          <w:rStyle w:val="Emphasis"/>
          <w:rFonts w:cstheme="minorHAnsi"/>
          <w:sz w:val="24"/>
          <w:szCs w:val="24"/>
          <w:bdr w:val="none" w:sz="0" w:space="0" w:color="auto" w:frame="1"/>
          <w:vertAlign w:val="superscript"/>
        </w:rPr>
        <w:t>st</w:t>
      </w:r>
      <w:r w:rsidR="004B7F1E" w:rsidRPr="00406073">
        <w:rPr>
          <w:rStyle w:val="Emphasis"/>
          <w:rFonts w:cstheme="minorHAnsi"/>
          <w:sz w:val="24"/>
          <w:szCs w:val="24"/>
          <w:bdr w:val="none" w:sz="0" w:space="0" w:color="auto" w:frame="1"/>
        </w:rPr>
        <w:t xml:space="preserve"> March 2021], Available at: </w:t>
      </w:r>
      <w:r w:rsidRPr="00406073">
        <w:rPr>
          <w:rStyle w:val="Emphasis"/>
          <w:rFonts w:cstheme="minorHAnsi"/>
          <w:sz w:val="24"/>
          <w:szCs w:val="24"/>
          <w:bdr w:val="none" w:sz="0" w:space="0" w:color="auto" w:frame="1"/>
        </w:rPr>
        <w:t>.</w:t>
      </w:r>
      <w:hyperlink r:id="rId9" w:history="1">
        <w:r w:rsidRPr="00406073">
          <w:rPr>
            <w:rStyle w:val="Hyperlink"/>
            <w:rFonts w:cstheme="minorHAnsi"/>
            <w:color w:val="auto"/>
            <w:sz w:val="24"/>
            <w:szCs w:val="24"/>
            <w:bdr w:val="none" w:sz="0" w:space="0" w:color="auto" w:frame="1"/>
          </w:rPr>
          <w:t>http://www.britsoccrim.org/bccsp/vol02/08GROVE.HTM</w:t>
        </w:r>
      </w:hyperlink>
      <w:r w:rsidRPr="00406073">
        <w:rPr>
          <w:rStyle w:val="Emphasis"/>
          <w:rFonts w:cstheme="minorHAnsi"/>
          <w:sz w:val="24"/>
          <w:szCs w:val="24"/>
          <w:bdr w:val="none" w:sz="0" w:space="0" w:color="auto" w:frame="1"/>
        </w:rPr>
        <w:t> </w:t>
      </w:r>
    </w:p>
    <w:p w14:paraId="6BB8F333" w14:textId="6AFF1E36" w:rsidR="00BD42EF" w:rsidRPr="00406073" w:rsidRDefault="00BD42EF">
      <w:pPr>
        <w:rPr>
          <w:rFonts w:cstheme="minorHAnsi"/>
          <w:sz w:val="24"/>
          <w:szCs w:val="24"/>
        </w:rPr>
      </w:pPr>
      <w:r w:rsidRPr="00406073">
        <w:rPr>
          <w:rFonts w:cstheme="minorHAnsi"/>
          <w:sz w:val="24"/>
          <w:szCs w:val="24"/>
        </w:rPr>
        <w:t>Hoffman (2002). A contextual analysis of differential associations, social control, and strain theories of delinquency. Social Forces, 81(3), 753-785.</w:t>
      </w:r>
    </w:p>
    <w:p w14:paraId="5E6DA297" w14:textId="4843C579" w:rsidR="00801AB5" w:rsidRPr="00406073" w:rsidRDefault="00801AB5">
      <w:pPr>
        <w:rPr>
          <w:rFonts w:cstheme="minorHAnsi"/>
          <w:sz w:val="24"/>
          <w:szCs w:val="24"/>
        </w:rPr>
      </w:pPr>
      <w:r w:rsidRPr="00406073">
        <w:rPr>
          <w:rFonts w:cstheme="minorHAnsi"/>
          <w:sz w:val="24"/>
          <w:szCs w:val="24"/>
        </w:rPr>
        <w:t xml:space="preserve">Jenkins (2006), Harold Shipman, [online], </w:t>
      </w:r>
      <w:r w:rsidRPr="00406073">
        <w:rPr>
          <w:rFonts w:cstheme="minorHAnsi"/>
          <w:i/>
          <w:iCs/>
          <w:sz w:val="24"/>
          <w:szCs w:val="24"/>
        </w:rPr>
        <w:t>Britannica</w:t>
      </w:r>
      <w:r w:rsidRPr="00406073">
        <w:rPr>
          <w:rFonts w:cstheme="minorHAnsi"/>
          <w:sz w:val="24"/>
          <w:szCs w:val="24"/>
        </w:rPr>
        <w:t>, [Accessed on 3</w:t>
      </w:r>
      <w:r w:rsidRPr="00406073">
        <w:rPr>
          <w:rFonts w:cstheme="minorHAnsi"/>
          <w:sz w:val="24"/>
          <w:szCs w:val="24"/>
          <w:vertAlign w:val="superscript"/>
        </w:rPr>
        <w:t>rd</w:t>
      </w:r>
      <w:r w:rsidRPr="00406073">
        <w:rPr>
          <w:rFonts w:cstheme="minorHAnsi"/>
          <w:sz w:val="24"/>
          <w:szCs w:val="24"/>
        </w:rPr>
        <w:t xml:space="preserve"> March 2021], Available at: </w:t>
      </w:r>
      <w:hyperlink r:id="rId10" w:history="1">
        <w:r w:rsidRPr="00406073">
          <w:rPr>
            <w:rStyle w:val="Hyperlink"/>
            <w:rFonts w:cstheme="minorHAnsi"/>
            <w:color w:val="auto"/>
            <w:sz w:val="24"/>
            <w:szCs w:val="24"/>
          </w:rPr>
          <w:t>https://www.britannica.com/biography/Harold-Shipman</w:t>
        </w:r>
      </w:hyperlink>
      <w:r w:rsidRPr="00406073">
        <w:rPr>
          <w:rFonts w:cstheme="minorHAnsi"/>
          <w:sz w:val="24"/>
          <w:szCs w:val="24"/>
        </w:rPr>
        <w:t xml:space="preserve">  </w:t>
      </w:r>
    </w:p>
    <w:p w14:paraId="66FFCA71" w14:textId="154F17A1" w:rsidR="0037780E" w:rsidRPr="00406073" w:rsidRDefault="0037780E">
      <w:pPr>
        <w:rPr>
          <w:rFonts w:cstheme="minorHAnsi"/>
          <w:sz w:val="24"/>
          <w:szCs w:val="24"/>
        </w:rPr>
      </w:pPr>
      <w:r w:rsidRPr="00406073">
        <w:rPr>
          <w:rFonts w:cstheme="minorHAnsi"/>
          <w:sz w:val="24"/>
          <w:szCs w:val="24"/>
        </w:rPr>
        <w:t xml:space="preserve">Rousseaux (1996). From medieval cities to national states, 1350–1850: The historiography of crime and criminal justice in Europe. Crime history and histories of crime: Studies in the historiography of crime and criminal justice in modern history. Westport, CT: Greenwood, (pp. 3–32). </w:t>
      </w:r>
    </w:p>
    <w:p w14:paraId="0A821306" w14:textId="72EF28B9" w:rsidR="00BD42EF" w:rsidRPr="00406073" w:rsidRDefault="00BD42EF">
      <w:pPr>
        <w:rPr>
          <w:rFonts w:cstheme="minorHAnsi"/>
          <w:sz w:val="24"/>
          <w:szCs w:val="24"/>
        </w:rPr>
      </w:pPr>
      <w:r w:rsidRPr="00406073">
        <w:rPr>
          <w:rFonts w:cstheme="minorHAnsi"/>
          <w:sz w:val="24"/>
          <w:szCs w:val="24"/>
        </w:rPr>
        <w:t>Siegel &amp; Senna (2007). Essentials of criminal justice. (5th Ed.). Belmont, CA: Thomson Learning Inc.</w:t>
      </w:r>
    </w:p>
    <w:p w14:paraId="56243431" w14:textId="5F25A7A1" w:rsidR="00F6465A" w:rsidRPr="00406073" w:rsidRDefault="00F6465A">
      <w:pPr>
        <w:rPr>
          <w:rFonts w:cstheme="minorHAnsi"/>
          <w:i/>
          <w:iCs/>
          <w:sz w:val="24"/>
          <w:szCs w:val="24"/>
        </w:rPr>
      </w:pPr>
      <w:r w:rsidRPr="00406073">
        <w:rPr>
          <w:rStyle w:val="Emphasis"/>
          <w:rFonts w:cstheme="minorHAnsi"/>
          <w:i w:val="0"/>
          <w:iCs w:val="0"/>
          <w:sz w:val="24"/>
          <w:szCs w:val="24"/>
          <w:bdr w:val="none" w:sz="0" w:space="0" w:color="auto" w:frame="1"/>
        </w:rPr>
        <w:t>Soothill, (2001). The Harold Shipman case: A sociological perspective. The Journal of Forensic Psychiatry, 12: 260–262.</w:t>
      </w:r>
    </w:p>
    <w:p w14:paraId="164A4898" w14:textId="4DA186E9" w:rsidR="00544CB6" w:rsidRPr="00406073" w:rsidRDefault="00544CB6">
      <w:pPr>
        <w:rPr>
          <w:rFonts w:cstheme="minorHAnsi"/>
          <w:sz w:val="24"/>
          <w:szCs w:val="24"/>
        </w:rPr>
      </w:pPr>
      <w:r w:rsidRPr="00406073">
        <w:rPr>
          <w:rFonts w:cstheme="minorHAnsi"/>
          <w:sz w:val="24"/>
          <w:szCs w:val="24"/>
        </w:rPr>
        <w:t xml:space="preserve">Thompson (2016) Hirschi`s Social Control Theory of Crime, [online], </w:t>
      </w:r>
      <w:r w:rsidRPr="00406073">
        <w:rPr>
          <w:rFonts w:cstheme="minorHAnsi"/>
          <w:i/>
          <w:iCs/>
          <w:sz w:val="24"/>
          <w:szCs w:val="24"/>
        </w:rPr>
        <w:t>Revisesociology</w:t>
      </w:r>
      <w:r w:rsidRPr="00406073">
        <w:rPr>
          <w:rFonts w:cstheme="minorHAnsi"/>
          <w:sz w:val="24"/>
          <w:szCs w:val="24"/>
        </w:rPr>
        <w:t>, [Accessed on 1</w:t>
      </w:r>
      <w:r w:rsidRPr="00406073">
        <w:rPr>
          <w:rFonts w:cstheme="minorHAnsi"/>
          <w:sz w:val="24"/>
          <w:szCs w:val="24"/>
          <w:vertAlign w:val="superscript"/>
        </w:rPr>
        <w:t>st</w:t>
      </w:r>
      <w:r w:rsidRPr="00406073">
        <w:rPr>
          <w:rFonts w:cstheme="minorHAnsi"/>
          <w:sz w:val="24"/>
          <w:szCs w:val="24"/>
        </w:rPr>
        <w:t xml:space="preserve"> March 2021], Available at: </w:t>
      </w:r>
      <w:hyperlink r:id="rId11" w:history="1">
        <w:r w:rsidRPr="00406073">
          <w:rPr>
            <w:rStyle w:val="Hyperlink"/>
            <w:rFonts w:cstheme="minorHAnsi"/>
            <w:color w:val="auto"/>
            <w:sz w:val="24"/>
            <w:szCs w:val="24"/>
          </w:rPr>
          <w:t>https://revisesociology.com/2016/04/04/hirschi-control-theory-crime/</w:t>
        </w:r>
      </w:hyperlink>
      <w:r w:rsidRPr="00406073">
        <w:rPr>
          <w:rFonts w:cstheme="minorHAnsi"/>
          <w:sz w:val="24"/>
          <w:szCs w:val="24"/>
        </w:rPr>
        <w:t xml:space="preserve"> </w:t>
      </w:r>
    </w:p>
    <w:p w14:paraId="00C30942" w14:textId="75AAF2D8" w:rsidR="00D42902" w:rsidRPr="00406073" w:rsidRDefault="00D42902">
      <w:pPr>
        <w:rPr>
          <w:rStyle w:val="Emphasis"/>
          <w:rFonts w:cstheme="minorHAnsi"/>
          <w:i w:val="0"/>
          <w:iCs w:val="0"/>
          <w:sz w:val="24"/>
          <w:szCs w:val="24"/>
          <w:bdr w:val="none" w:sz="0" w:space="0" w:color="auto" w:frame="1"/>
        </w:rPr>
      </w:pPr>
      <w:r w:rsidRPr="00406073">
        <w:rPr>
          <w:rFonts w:cstheme="minorHAnsi"/>
          <w:sz w:val="24"/>
          <w:szCs w:val="24"/>
          <w:shd w:val="clear" w:color="auto" w:fill="FFFFFF"/>
        </w:rPr>
        <w:t xml:space="preserve">Whittle and Richie (2000) </w:t>
      </w:r>
      <w:r w:rsidRPr="00406073">
        <w:rPr>
          <w:rFonts w:cstheme="minorHAnsi"/>
          <w:i/>
          <w:iCs/>
          <w:sz w:val="24"/>
          <w:szCs w:val="24"/>
          <w:shd w:val="clear" w:color="auto" w:fill="FFFFFF"/>
        </w:rPr>
        <w:t xml:space="preserve">Prescription for Murder: The True Story of </w:t>
      </w:r>
      <w:proofErr w:type="spellStart"/>
      <w:r w:rsidRPr="00406073">
        <w:rPr>
          <w:rFonts w:cstheme="minorHAnsi"/>
          <w:i/>
          <w:iCs/>
          <w:sz w:val="24"/>
          <w:szCs w:val="24"/>
          <w:shd w:val="clear" w:color="auto" w:fill="FFFFFF"/>
        </w:rPr>
        <w:t>Dr.</w:t>
      </w:r>
      <w:proofErr w:type="spellEnd"/>
      <w:r w:rsidRPr="00406073">
        <w:rPr>
          <w:rFonts w:cstheme="minorHAnsi"/>
          <w:i/>
          <w:iCs/>
          <w:sz w:val="24"/>
          <w:szCs w:val="24"/>
          <w:shd w:val="clear" w:color="auto" w:fill="FFFFFF"/>
        </w:rPr>
        <w:t xml:space="preserve"> Harold Frederick Shipman</w:t>
      </w:r>
      <w:r w:rsidRPr="00406073">
        <w:rPr>
          <w:rFonts w:cstheme="minorHAnsi"/>
          <w:sz w:val="24"/>
          <w:szCs w:val="24"/>
          <w:shd w:val="clear" w:color="auto" w:fill="FFFFFF"/>
        </w:rPr>
        <w:t>. Little Brown pp. 348–9. </w:t>
      </w:r>
      <w:hyperlink r:id="rId12" w:tooltip="ISBN (identifier)" w:history="1">
        <w:r w:rsidRPr="00406073">
          <w:rPr>
            <w:rStyle w:val="Hyperlink"/>
            <w:rFonts w:cstheme="minorHAnsi"/>
            <w:color w:val="auto"/>
            <w:sz w:val="24"/>
            <w:szCs w:val="24"/>
            <w:u w:val="none"/>
            <w:shd w:val="clear" w:color="auto" w:fill="FFFFFF"/>
          </w:rPr>
          <w:t>ISBN</w:t>
        </w:r>
      </w:hyperlink>
      <w:r w:rsidRPr="00406073">
        <w:rPr>
          <w:rFonts w:cstheme="minorHAnsi"/>
          <w:sz w:val="24"/>
          <w:szCs w:val="24"/>
          <w:shd w:val="clear" w:color="auto" w:fill="FFFFFF"/>
        </w:rPr>
        <w:t> </w:t>
      </w:r>
      <w:hyperlink r:id="rId13" w:tooltip="Special:BookSources/0751529982" w:history="1">
        <w:r w:rsidRPr="00406073">
          <w:rPr>
            <w:rStyle w:val="Hyperlink"/>
            <w:rFonts w:cstheme="minorHAnsi"/>
            <w:color w:val="auto"/>
            <w:sz w:val="24"/>
            <w:szCs w:val="24"/>
            <w:shd w:val="clear" w:color="auto" w:fill="FFFFFF"/>
          </w:rPr>
          <w:t>0751529982</w:t>
        </w:r>
      </w:hyperlink>
      <w:r w:rsidRPr="00406073">
        <w:rPr>
          <w:rFonts w:cstheme="minorHAnsi"/>
          <w:sz w:val="24"/>
          <w:szCs w:val="24"/>
          <w:shd w:val="clear" w:color="auto" w:fill="FFFFFF"/>
        </w:rPr>
        <w:t>.</w:t>
      </w:r>
    </w:p>
    <w:p w14:paraId="48C16D50" w14:textId="72F01E30" w:rsidR="004B7F1E" w:rsidRPr="00406073" w:rsidRDefault="004B7F1E">
      <w:pPr>
        <w:rPr>
          <w:rFonts w:cstheme="minorHAnsi"/>
          <w:sz w:val="24"/>
          <w:szCs w:val="24"/>
        </w:rPr>
      </w:pPr>
      <w:r w:rsidRPr="00406073">
        <w:rPr>
          <w:rStyle w:val="Emphasis"/>
          <w:rFonts w:cstheme="minorHAnsi"/>
          <w:i w:val="0"/>
          <w:iCs w:val="0"/>
          <w:sz w:val="24"/>
          <w:szCs w:val="24"/>
          <w:bdr w:val="none" w:sz="0" w:space="0" w:color="auto" w:frame="1"/>
        </w:rPr>
        <w:t>Wilson (2005). Death at the hands of the state, London: The Howard League for Penal Reform</w:t>
      </w:r>
      <w:r w:rsidRPr="00406073">
        <w:rPr>
          <w:rStyle w:val="Emphasis"/>
          <w:rFonts w:cstheme="minorHAnsi"/>
          <w:sz w:val="24"/>
          <w:szCs w:val="24"/>
          <w:bdr w:val="none" w:sz="0" w:space="0" w:color="auto" w:frame="1"/>
        </w:rPr>
        <w:t>.</w:t>
      </w:r>
    </w:p>
    <w:sectPr w:rsidR="004B7F1E" w:rsidRPr="00406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7594F"/>
    <w:multiLevelType w:val="multilevel"/>
    <w:tmpl w:val="D0CA7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056D31"/>
    <w:multiLevelType w:val="multilevel"/>
    <w:tmpl w:val="7A60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80E"/>
    <w:rsid w:val="00031583"/>
    <w:rsid w:val="000635DB"/>
    <w:rsid w:val="00156DB1"/>
    <w:rsid w:val="00196216"/>
    <w:rsid w:val="001A0356"/>
    <w:rsid w:val="001C53AE"/>
    <w:rsid w:val="002337D6"/>
    <w:rsid w:val="002853C9"/>
    <w:rsid w:val="002B72A5"/>
    <w:rsid w:val="002F15FD"/>
    <w:rsid w:val="00347200"/>
    <w:rsid w:val="00360127"/>
    <w:rsid w:val="0037780E"/>
    <w:rsid w:val="00406073"/>
    <w:rsid w:val="00431F60"/>
    <w:rsid w:val="004A5FBE"/>
    <w:rsid w:val="004B7F1E"/>
    <w:rsid w:val="00524C6E"/>
    <w:rsid w:val="00544CB6"/>
    <w:rsid w:val="00580544"/>
    <w:rsid w:val="005C5263"/>
    <w:rsid w:val="005E7CEC"/>
    <w:rsid w:val="00606DFD"/>
    <w:rsid w:val="007524EE"/>
    <w:rsid w:val="007A6F85"/>
    <w:rsid w:val="007C3AAC"/>
    <w:rsid w:val="007F7760"/>
    <w:rsid w:val="00801AB5"/>
    <w:rsid w:val="00814334"/>
    <w:rsid w:val="008174E6"/>
    <w:rsid w:val="008270AB"/>
    <w:rsid w:val="008D0EB3"/>
    <w:rsid w:val="008D442A"/>
    <w:rsid w:val="008E31AE"/>
    <w:rsid w:val="00930A12"/>
    <w:rsid w:val="009845F3"/>
    <w:rsid w:val="009C3904"/>
    <w:rsid w:val="009E2157"/>
    <w:rsid w:val="00B450F9"/>
    <w:rsid w:val="00B67C5F"/>
    <w:rsid w:val="00BD42EF"/>
    <w:rsid w:val="00CC5F0A"/>
    <w:rsid w:val="00D42902"/>
    <w:rsid w:val="00DD0E94"/>
    <w:rsid w:val="00E01A81"/>
    <w:rsid w:val="00E56A6E"/>
    <w:rsid w:val="00E94D9D"/>
    <w:rsid w:val="00EB1782"/>
    <w:rsid w:val="00EF16D4"/>
    <w:rsid w:val="00EF2C57"/>
    <w:rsid w:val="00F551D9"/>
    <w:rsid w:val="00F6465A"/>
    <w:rsid w:val="00F72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9CF39"/>
  <w15:chartTrackingRefBased/>
  <w15:docId w15:val="{0FD8C813-3773-4179-983E-FA554688A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D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C526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01AB5"/>
    <w:rPr>
      <w:b/>
      <w:bCs/>
    </w:rPr>
  </w:style>
  <w:style w:type="character" w:styleId="Hyperlink">
    <w:name w:val="Hyperlink"/>
    <w:basedOn w:val="DefaultParagraphFont"/>
    <w:uiPriority w:val="99"/>
    <w:unhideWhenUsed/>
    <w:rsid w:val="00801AB5"/>
    <w:rPr>
      <w:color w:val="0000FF"/>
      <w:u w:val="single"/>
    </w:rPr>
  </w:style>
  <w:style w:type="paragraph" w:customStyle="1" w:styleId="topic-paragraph">
    <w:name w:val="topic-paragraph"/>
    <w:basedOn w:val="Normal"/>
    <w:rsid w:val="00801A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01AB5"/>
    <w:rPr>
      <w:color w:val="605E5C"/>
      <w:shd w:val="clear" w:color="auto" w:fill="E1DFDD"/>
    </w:rPr>
  </w:style>
  <w:style w:type="character" w:customStyle="1" w:styleId="Heading2Char">
    <w:name w:val="Heading 2 Char"/>
    <w:basedOn w:val="DefaultParagraphFont"/>
    <w:link w:val="Heading2"/>
    <w:uiPriority w:val="9"/>
    <w:rsid w:val="005C526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C52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6465A"/>
    <w:rPr>
      <w:i/>
      <w:iCs/>
    </w:rPr>
  </w:style>
  <w:style w:type="character" w:customStyle="1" w:styleId="Heading1Char">
    <w:name w:val="Heading 1 Char"/>
    <w:basedOn w:val="DefaultParagraphFont"/>
    <w:link w:val="Heading1"/>
    <w:uiPriority w:val="9"/>
    <w:rsid w:val="00156DB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9913193">
      <w:bodyDiv w:val="1"/>
      <w:marLeft w:val="0"/>
      <w:marRight w:val="0"/>
      <w:marTop w:val="0"/>
      <w:marBottom w:val="0"/>
      <w:divBdr>
        <w:top w:val="none" w:sz="0" w:space="0" w:color="auto"/>
        <w:left w:val="none" w:sz="0" w:space="0" w:color="auto"/>
        <w:bottom w:val="none" w:sz="0" w:space="0" w:color="auto"/>
        <w:right w:val="none" w:sz="0" w:space="0" w:color="auto"/>
      </w:divBdr>
    </w:div>
    <w:div w:id="1408763596">
      <w:bodyDiv w:val="1"/>
      <w:marLeft w:val="0"/>
      <w:marRight w:val="0"/>
      <w:marTop w:val="0"/>
      <w:marBottom w:val="0"/>
      <w:divBdr>
        <w:top w:val="none" w:sz="0" w:space="0" w:color="auto"/>
        <w:left w:val="none" w:sz="0" w:space="0" w:color="auto"/>
        <w:bottom w:val="none" w:sz="0" w:space="0" w:color="auto"/>
        <w:right w:val="none" w:sz="0" w:space="0" w:color="auto"/>
      </w:divBdr>
    </w:div>
    <w:div w:id="1542783609">
      <w:bodyDiv w:val="1"/>
      <w:marLeft w:val="0"/>
      <w:marRight w:val="0"/>
      <w:marTop w:val="0"/>
      <w:marBottom w:val="0"/>
      <w:divBdr>
        <w:top w:val="none" w:sz="0" w:space="0" w:color="auto"/>
        <w:left w:val="none" w:sz="0" w:space="0" w:color="auto"/>
        <w:bottom w:val="none" w:sz="0" w:space="0" w:color="auto"/>
        <w:right w:val="none" w:sz="0" w:space="0" w:color="auto"/>
      </w:divBdr>
    </w:div>
    <w:div w:id="2113240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h.gov.uk/hshipmanpractice/index.htm" TargetMode="External"/><Relationship Id="rId13" Type="http://schemas.openxmlformats.org/officeDocument/2006/relationships/hyperlink" Target="https://en.wikipedia.org/wiki/Special:BookSources/0751529982" TargetMode="External"/><Relationship Id="rId3" Type="http://schemas.openxmlformats.org/officeDocument/2006/relationships/settings" Target="settings.xml"/><Relationship Id="rId7" Type="http://schemas.openxmlformats.org/officeDocument/2006/relationships/hyperlink" Target="https://www.sheffield.ac.uk/social-sciences/research/teaching/sociology-evil" TargetMode="External"/><Relationship Id="rId12" Type="http://schemas.openxmlformats.org/officeDocument/2006/relationships/hyperlink" Target="https://en.wikipedia.org/wiki/ISBN_(identifi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the-id-ego-and-superego-2795951" TargetMode="External"/><Relationship Id="rId11" Type="http://schemas.openxmlformats.org/officeDocument/2006/relationships/hyperlink" Target="https://revisesociology.com/2016/04/04/hirschi-control-theory-crime/" TargetMode="External"/><Relationship Id="rId5" Type="http://schemas.openxmlformats.org/officeDocument/2006/relationships/hyperlink" Target="https://www.nolo.com/legal-encyclopedia/homicide-murder-manslaughter-32637.html#:~:text=Homicide%20is%20a%20legal%20term,the%20category%20of%20unlawful%20homicides" TargetMode="External"/><Relationship Id="rId15" Type="http://schemas.openxmlformats.org/officeDocument/2006/relationships/theme" Target="theme/theme1.xml"/><Relationship Id="rId10" Type="http://schemas.openxmlformats.org/officeDocument/2006/relationships/hyperlink" Target="https://www.britannica.com/biography/Harold-Shipman" TargetMode="External"/><Relationship Id="rId4" Type="http://schemas.openxmlformats.org/officeDocument/2006/relationships/webSettings" Target="webSettings.xml"/><Relationship Id="rId9" Type="http://schemas.openxmlformats.org/officeDocument/2006/relationships/hyperlink" Target="http://www.britsoccrim.org/bccsp/vol02/08GROVE.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1410</TotalTime>
  <Pages>10</Pages>
  <Words>3116</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Griba (1702591)</dc:creator>
  <cp:keywords/>
  <dc:description/>
  <cp:lastModifiedBy>Karina Griba (1702591)</cp:lastModifiedBy>
  <cp:revision>19</cp:revision>
  <dcterms:created xsi:type="dcterms:W3CDTF">2021-03-11T22:52:00Z</dcterms:created>
  <dcterms:modified xsi:type="dcterms:W3CDTF">2021-03-12T22:37:00Z</dcterms:modified>
</cp:coreProperties>
</file>