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pPr>
      <w:r>
        <w:rPr>
          <w:rtl w:val="0"/>
          <w:lang w:val="en-US"/>
        </w:rPr>
        <w:t>Course: BSc (Hons) Health and Social Care</w:t>
      </w:r>
    </w:p>
    <w:p>
      <w:pPr>
        <w:pStyle w:val="Body"/>
        <w:spacing w:line="360" w:lineRule="auto"/>
      </w:pPr>
      <w:r>
        <w:rPr>
          <w:rtl w:val="0"/>
          <w:lang w:val="en-US"/>
        </w:rPr>
        <w:t>Module: Independent Project (BMHP6020_BIRM)</w:t>
      </w:r>
    </w:p>
    <w:p>
      <w:pPr>
        <w:pStyle w:val="Body"/>
        <w:spacing w:line="360" w:lineRule="auto"/>
      </w:pPr>
      <w:r>
        <w:rPr>
          <w:rtl w:val="0"/>
          <w:lang w:val="en-US"/>
        </w:rPr>
        <w:t>Component 1: Element 1 - Project Proposal</w:t>
      </w:r>
    </w:p>
    <w:p>
      <w:pPr>
        <w:pStyle w:val="Body"/>
        <w:spacing w:line="360" w:lineRule="auto"/>
      </w:pPr>
    </w:p>
    <w:p>
      <w:pPr>
        <w:pStyle w:val="Body"/>
        <w:spacing w:line="360" w:lineRule="auto"/>
      </w:pPr>
      <w:r>
        <w:rPr>
          <w:rtl w:val="0"/>
        </w:rPr>
        <w:t>Student Name: Farha Bano</w:t>
      </w:r>
    </w:p>
    <w:p>
      <w:pPr>
        <w:pStyle w:val="Body"/>
        <w:spacing w:line="360" w:lineRule="auto"/>
      </w:pPr>
      <w:r>
        <w:rPr>
          <w:rtl w:val="0"/>
        </w:rPr>
        <w:t>Student ID: 2238827</w:t>
      </w:r>
    </w:p>
    <w:p>
      <w:pPr>
        <w:pStyle w:val="Body"/>
        <w:spacing w:line="360" w:lineRule="auto"/>
      </w:pPr>
    </w:p>
    <w:p>
      <w:pPr>
        <w:pStyle w:val="Body"/>
        <w:spacing w:line="360" w:lineRule="auto"/>
      </w:pPr>
      <w:r>
        <w:rPr>
          <w:b w:val="1"/>
          <w:bCs w:val="1"/>
          <w:rtl w:val="0"/>
          <w:lang w:val="en-US"/>
        </w:rPr>
        <w:t>Element 1 - Project Proposal</w:t>
      </w:r>
    </w:p>
    <w:p>
      <w:pPr>
        <w:pStyle w:val="Body"/>
        <w:spacing w:line="360" w:lineRule="auto"/>
      </w:pPr>
    </w:p>
    <w:p>
      <w:pPr>
        <w:pStyle w:val="Body"/>
        <w:spacing w:line="360" w:lineRule="auto"/>
      </w:pPr>
      <w:r>
        <w:rPr>
          <w:b w:val="1"/>
          <w:bCs w:val="1"/>
          <w:rtl w:val="0"/>
          <w:lang w:val="en-US"/>
        </w:rPr>
        <w:t>Project Title:</w:t>
      </w:r>
    </w:p>
    <w:p>
      <w:pPr>
        <w:pStyle w:val="Body"/>
        <w:spacing w:line="360" w:lineRule="auto"/>
      </w:pPr>
      <w:r>
        <w:rPr>
          <w:rtl w:val="0"/>
          <w:lang w:val="en-US"/>
        </w:rPr>
        <w:t>An Analysis of the Factors Contributing to Mental Health Issues Among Different Ethnic Groups Within University Students in the United Kingdom</w:t>
      </w:r>
    </w:p>
    <w:p>
      <w:pPr>
        <w:pStyle w:val="Body"/>
        <w:spacing w:line="360" w:lineRule="auto"/>
      </w:pPr>
    </w:p>
    <w:p>
      <w:pPr>
        <w:pStyle w:val="Body"/>
        <w:spacing w:line="360" w:lineRule="auto"/>
      </w:pPr>
      <w:r>
        <w:rPr>
          <w:b w:val="1"/>
          <w:bCs w:val="1"/>
          <w:rtl w:val="0"/>
        </w:rPr>
        <w:t>1) Aim:</w:t>
      </w:r>
    </w:p>
    <w:p>
      <w:pPr>
        <w:pStyle w:val="Body"/>
        <w:spacing w:line="360" w:lineRule="auto"/>
      </w:pPr>
      <w:r>
        <w:rPr>
          <w:rtl w:val="0"/>
          <w:lang w:val="en-US"/>
        </w:rPr>
        <w:t>To comprehensively analyse the social, cultural, environmental and psychological factors influencing the prevalence and severity of mental health issues among university students from diverse ethnic backgrounds in the United Kingdom.</w:t>
      </w:r>
    </w:p>
    <w:p>
      <w:pPr>
        <w:pStyle w:val="Body"/>
        <w:spacing w:line="360" w:lineRule="auto"/>
      </w:pPr>
    </w:p>
    <w:p>
      <w:pPr>
        <w:pStyle w:val="Body"/>
        <w:spacing w:line="360" w:lineRule="auto"/>
      </w:pPr>
      <w:r>
        <w:rPr>
          <w:b w:val="1"/>
          <w:bCs w:val="1"/>
          <w:rtl w:val="0"/>
          <w:lang w:val="fr-FR"/>
        </w:rPr>
        <w:t>2) Objectives:</w:t>
      </w:r>
    </w:p>
    <w:p>
      <w:pPr>
        <w:pStyle w:val="Body"/>
        <w:spacing w:line="360" w:lineRule="auto"/>
      </w:pPr>
      <w:r>
        <w:rPr>
          <w:rtl w:val="0"/>
        </w:rPr>
        <w:t xml:space="preserve">• </w:t>
      </w:r>
      <w:r>
        <w:rPr>
          <w:rtl w:val="0"/>
          <w:lang w:val="en-US"/>
        </w:rPr>
        <w:t>To analyse the general and ethnicity-specific impact of mental health problems among university students in the United Kingdom.</w:t>
      </w:r>
    </w:p>
    <w:p>
      <w:pPr>
        <w:pStyle w:val="Body"/>
        <w:spacing w:line="360" w:lineRule="auto"/>
      </w:pPr>
      <w:r>
        <w:rPr>
          <w:rtl w:val="0"/>
        </w:rPr>
        <w:t xml:space="preserve">• </w:t>
      </w:r>
      <w:r>
        <w:rPr>
          <w:rtl w:val="0"/>
          <w:lang w:val="en-US"/>
        </w:rPr>
        <w:t>To identify and evaluate social, cultural, academic and institutional factors affecting mental health outcomes among students from different ethnic backgrounds.</w:t>
      </w:r>
    </w:p>
    <w:p>
      <w:pPr>
        <w:pStyle w:val="Body"/>
        <w:spacing w:line="360" w:lineRule="auto"/>
      </w:pPr>
      <w:r>
        <w:rPr>
          <w:rtl w:val="0"/>
        </w:rPr>
        <w:t xml:space="preserve">• </w:t>
      </w:r>
      <w:r>
        <w:rPr>
          <w:rtl w:val="0"/>
          <w:lang w:val="en-US"/>
        </w:rPr>
        <w:t>To examine exposure to discrimination, stigma and inequalities in access to services and the resulting impact on wellbeing.</w:t>
      </w:r>
    </w:p>
    <w:p>
      <w:pPr>
        <w:pStyle w:val="Body"/>
        <w:spacing w:line="360" w:lineRule="auto"/>
      </w:pPr>
      <w:r>
        <w:rPr>
          <w:rtl w:val="0"/>
        </w:rPr>
        <w:t xml:space="preserve">• </w:t>
      </w:r>
      <w:r>
        <w:rPr>
          <w:rtl w:val="0"/>
          <w:lang w:val="en-US"/>
        </w:rPr>
        <w:t>To provide recommendations for universities and policymakers to improve culturally responsive mental health support.</w:t>
      </w:r>
    </w:p>
    <w:p>
      <w:pPr>
        <w:pStyle w:val="Body"/>
        <w:spacing w:line="360" w:lineRule="auto"/>
      </w:pPr>
    </w:p>
    <w:p>
      <w:pPr>
        <w:pStyle w:val="Body"/>
        <w:spacing w:line="360" w:lineRule="auto"/>
      </w:pPr>
      <w:r>
        <w:rPr>
          <w:b w:val="1"/>
          <w:bCs w:val="1"/>
          <w:rtl w:val="0"/>
          <w:lang w:val="en-US"/>
        </w:rPr>
        <w:t>3) Background/Rationale:</w:t>
      </w:r>
    </w:p>
    <w:p>
      <w:pPr>
        <w:pStyle w:val="Body"/>
        <w:spacing w:line="360" w:lineRule="auto"/>
      </w:pPr>
      <w:r>
        <w:rPr>
          <w:rtl w:val="0"/>
          <w:lang w:val="en-US"/>
        </w:rPr>
        <w:t>Mental health concerns among university students in the United Kingdom have increased significantly in recent years, particularly anxiety, depression and stress-related disorders. Research suggests that experiences and outcomes vary across ethnic groups, with Black, Asian and minority ethnic students often experiencing additional stressors such as discrimination, stigma and barriers to accessing services. Understanding these disparities is essential to promote equity, inclusion and person-centred care within higher education.</w:t>
      </w:r>
    </w:p>
    <w:p>
      <w:pPr>
        <w:pStyle w:val="Body"/>
        <w:spacing w:line="360" w:lineRule="auto"/>
      </w:pPr>
    </w:p>
    <w:p>
      <w:pPr>
        <w:pStyle w:val="Body"/>
        <w:spacing w:line="360" w:lineRule="auto"/>
      </w:pPr>
      <w:r>
        <w:rPr>
          <w:b w:val="1"/>
          <w:bCs w:val="1"/>
          <w:rtl w:val="0"/>
          <w:lang w:val="en-US"/>
        </w:rPr>
        <w:t>4) Methods:</w:t>
      </w:r>
    </w:p>
    <w:p>
      <w:pPr>
        <w:pStyle w:val="Body"/>
        <w:spacing w:line="360" w:lineRule="auto"/>
      </w:pPr>
      <w:r>
        <w:rPr>
          <w:rtl w:val="0"/>
          <w:lang w:val="en-US"/>
        </w:rPr>
        <w:t>This study will adopt a secondary research design using peer-reviewed literature published within the last decade. Databases such as PubMed, PsycINFO and Google Scholar will be utilised. A qualitative thematic analysis will be conducted. Ethical considerations include accurate referencing and adherence to academic integrity guidelines.</w:t>
      </w:r>
    </w:p>
    <w:p>
      <w:pPr>
        <w:pStyle w:val="Body"/>
        <w:spacing w:line="360" w:lineRule="auto"/>
      </w:pPr>
    </w:p>
    <w:p>
      <w:pPr>
        <w:pStyle w:val="Body"/>
        <w:spacing w:line="360" w:lineRule="auto"/>
      </w:pPr>
      <w:r>
        <w:rPr>
          <w:b w:val="1"/>
          <w:bCs w:val="1"/>
          <w:rtl w:val="0"/>
          <w:lang w:val="en-US"/>
        </w:rPr>
        <w:t>5) Resources:</w:t>
      </w:r>
    </w:p>
    <w:p>
      <w:pPr>
        <w:pStyle w:val="Body"/>
        <w:spacing w:line="360" w:lineRule="auto"/>
      </w:pPr>
      <w:r>
        <w:rPr>
          <w:rtl w:val="0"/>
        </w:rPr>
        <w:t xml:space="preserve">• </w:t>
      </w:r>
      <w:r>
        <w:rPr>
          <w:rtl w:val="0"/>
        </w:rPr>
        <w:t>PubMed</w:t>
      </w:r>
    </w:p>
    <w:p>
      <w:pPr>
        <w:pStyle w:val="Body"/>
        <w:spacing w:line="360" w:lineRule="auto"/>
      </w:pPr>
      <w:r>
        <w:rPr>
          <w:rtl w:val="0"/>
        </w:rPr>
        <w:t xml:space="preserve">• </w:t>
      </w:r>
      <w:r>
        <w:rPr>
          <w:rtl w:val="0"/>
          <w:lang w:val="en-US"/>
        </w:rPr>
        <w:t>PsycINFO</w:t>
      </w:r>
    </w:p>
    <w:p>
      <w:pPr>
        <w:pStyle w:val="Body"/>
        <w:spacing w:line="360" w:lineRule="auto"/>
      </w:pPr>
      <w:r>
        <w:rPr>
          <w:rtl w:val="0"/>
        </w:rPr>
        <w:t xml:space="preserve">• </w:t>
      </w:r>
      <w:r>
        <w:rPr>
          <w:rtl w:val="0"/>
          <w:lang w:val="de-DE"/>
        </w:rPr>
        <w:t>Google Scholar</w:t>
      </w:r>
    </w:p>
    <w:p>
      <w:pPr>
        <w:pStyle w:val="Body"/>
        <w:spacing w:line="360" w:lineRule="auto"/>
      </w:pPr>
      <w:r>
        <w:rPr>
          <w:rtl w:val="0"/>
        </w:rPr>
        <w:t xml:space="preserve">• </w:t>
      </w:r>
      <w:r>
        <w:rPr>
          <w:rtl w:val="0"/>
          <w:lang w:val="en-US"/>
        </w:rPr>
        <w:t>University online library</w:t>
      </w:r>
    </w:p>
    <w:p>
      <w:pPr>
        <w:pStyle w:val="Body"/>
        <w:spacing w:line="360" w:lineRule="auto"/>
      </w:pPr>
      <w:r>
        <w:rPr>
          <w:rtl w:val="0"/>
        </w:rPr>
        <w:t xml:space="preserve">• </w:t>
      </w:r>
      <w:r>
        <w:rPr>
          <w:rtl w:val="0"/>
          <w:lang w:val="de-DE"/>
        </w:rPr>
        <w:t>Microsoft Word</w:t>
      </w:r>
    </w:p>
    <w:p>
      <w:pPr>
        <w:pStyle w:val="Body"/>
        <w:spacing w:line="360" w:lineRule="auto"/>
      </w:pPr>
    </w:p>
    <w:p>
      <w:pPr>
        <w:pStyle w:val="Body"/>
        <w:spacing w:line="360" w:lineRule="auto"/>
      </w:pPr>
      <w:r>
        <w:rPr>
          <w:b w:val="1"/>
          <w:bCs w:val="1"/>
          <w:rtl w:val="0"/>
        </w:rPr>
        <w:t>6) Timescale:</w:t>
      </w:r>
    </w:p>
    <w:tbl>
      <w:tblPr>
        <w:tblW w:w="864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320"/>
        <w:gridCol w:w="4320"/>
      </w:tblGrid>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Topic finalisation and proposal approval</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February</w:t>
            </w:r>
          </w:p>
        </w:tc>
      </w:tr>
      <w:tr>
        <w:tblPrEx>
          <w:shd w:val="clear" w:color="auto" w:fill="ced7e7"/>
        </w:tblPrEx>
        <w:trPr>
          <w:trHeight w:val="48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Develop research plan and search strategy</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February</w:t>
            </w:r>
            <w:r>
              <w:rPr>
                <w:shd w:val="nil" w:color="auto" w:fill="auto"/>
                <w:rtl w:val="0"/>
                <w:lang w:val="en-US"/>
              </w:rPr>
              <w:t>–</w:t>
            </w:r>
            <w:r>
              <w:rPr>
                <w:shd w:val="nil" w:color="auto" w:fill="auto"/>
                <w:rtl w:val="0"/>
                <w:lang w:val="en-US"/>
              </w:rPr>
              <w:t>March</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Literature search and screening</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March</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Data extraction and thematic analysis</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April</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Draft literature review and methodology</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May</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Draft findings and discussion</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June</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Write introduction and conclusion</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June</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Review, edit and proofread</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July</w:t>
            </w:r>
          </w:p>
        </w:tc>
      </w:tr>
      <w:tr>
        <w:tblPrEx>
          <w:shd w:val="clear" w:color="auto" w:fill="ced7e7"/>
        </w:tblPrEx>
        <w:trPr>
          <w:trHeight w:val="243" w:hRule="atLeast"/>
        </w:trPr>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Final submission</w:t>
            </w:r>
          </w:p>
        </w:tc>
        <w:tc>
          <w:tcPr>
            <w:tcW w:type="dxa" w:w="43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July</w:t>
            </w:r>
          </w:p>
        </w:tc>
      </w:tr>
    </w:tbl>
    <w:p>
      <w:pPr>
        <w:pStyle w:val="Body"/>
        <w:widowControl w:val="0"/>
        <w:spacing w:line="240" w:lineRule="auto"/>
        <w:jc w:val="center"/>
      </w:pPr>
    </w:p>
    <w:p>
      <w:pPr>
        <w:pStyle w:val="Body"/>
        <w:spacing w:line="360" w:lineRule="auto"/>
      </w:pPr>
    </w:p>
    <w:p>
      <w:pPr>
        <w:pStyle w:val="Body"/>
        <w:spacing w:line="360" w:lineRule="auto"/>
      </w:pPr>
      <w:r>
        <w:rPr>
          <w:b w:val="1"/>
          <w:bCs w:val="1"/>
          <w:rtl w:val="0"/>
          <w:lang w:val="en-US"/>
        </w:rPr>
        <w:t>7) Self-Reflection as Researcher:</w:t>
      </w:r>
    </w:p>
    <w:p>
      <w:pPr>
        <w:pStyle w:val="Body"/>
        <w:spacing w:line="360" w:lineRule="auto"/>
      </w:pPr>
      <w:r>
        <w:rPr>
          <w:rtl w:val="0"/>
          <w:lang w:val="en-US"/>
        </w:rPr>
        <w:t>A strength of this research is the ability to critically evaluate and synthesise academic literature. A potential challenge is managing contradictory findings across studies. This project will further develop skills in thematic analysis, academic writing and methodological rigour.</w:t>
      </w:r>
    </w:p>
    <w:p>
      <w:pPr>
        <w:pStyle w:val="Body"/>
        <w:spacing w:line="360" w:lineRule="auto"/>
      </w:pPr>
    </w:p>
    <w:p>
      <w:pPr>
        <w:pStyle w:val="Body"/>
        <w:spacing w:line="360" w:lineRule="auto"/>
      </w:pPr>
      <w:r>
        <w:rPr>
          <w:b w:val="1"/>
          <w:bCs w:val="1"/>
          <w:rtl w:val="0"/>
          <w:lang w:val="fr-FR"/>
        </w:rPr>
        <w:t>References:</w:t>
      </w:r>
    </w:p>
    <w:p>
      <w:pPr>
        <w:pStyle w:val="Body"/>
        <w:spacing w:line="360" w:lineRule="auto"/>
      </w:pPr>
      <w:r>
        <w:rPr>
          <w:rtl w:val="0"/>
          <w:lang w:val="it-IT"/>
        </w:rPr>
        <w:t xml:space="preserve">Dykxhoorn, J., Osborn, D., Walters, K., Kirkbride, J.B., Gnani, S. and Lazzarino, A.I. (2024) </w:t>
      </w:r>
      <w:r>
        <w:rPr>
          <w:rtl w:val="1"/>
        </w:rPr>
        <w:t>‘</w:t>
      </w:r>
      <w:r>
        <w:rPr>
          <w:rtl w:val="0"/>
          <w:lang w:val="en-US"/>
        </w:rPr>
        <w:t>Temporal patterns in the recorded annual incidence of common mental disorders over two decades in the United Kingdom: A primary care cohort study</w:t>
      </w:r>
      <w:r>
        <w:rPr>
          <w:rtl w:val="1"/>
        </w:rPr>
        <w:t>’</w:t>
      </w:r>
      <w:r>
        <w:rPr>
          <w:rtl w:val="0"/>
          <w:lang w:val="en-US"/>
        </w:rPr>
        <w:t>, Psychological Medicine, 54(4), pp. 663</w:t>
      </w:r>
      <w:r>
        <w:rPr>
          <w:rtl w:val="0"/>
        </w:rPr>
        <w:t>–</w:t>
      </w:r>
      <w:r>
        <w:rPr>
          <w:rtl w:val="0"/>
        </w:rPr>
        <w:t>674.</w:t>
      </w:r>
    </w:p>
    <w:p>
      <w:pPr>
        <w:pStyle w:val="Body"/>
        <w:spacing w:line="360" w:lineRule="auto"/>
      </w:pPr>
      <w:r>
        <w:rPr>
          <w:rtl w:val="0"/>
          <w:lang w:val="en-US"/>
        </w:rPr>
        <w:t>GOV.UK (2024) Health disparities and health inequalities: Applying all our health - Office for Health Improvement &amp; Disparities. Available at: https://www.gov.uk (Accessed: 20 February 2026).</w:t>
      </w:r>
    </w:p>
    <w:p>
      <w:pPr>
        <w:pStyle w:val="Body"/>
        <w:spacing w:line="360" w:lineRule="auto"/>
      </w:pPr>
      <w:r>
        <w:rPr>
          <w:rtl w:val="0"/>
          <w:lang w:val="en-US"/>
        </w:rPr>
        <w:t xml:space="preserve">Hardy, R., West, H. and Fisher, P. (2025) </w:t>
      </w:r>
      <w:r>
        <w:rPr>
          <w:rtl w:val="1"/>
        </w:rPr>
        <w:t>‘</w:t>
      </w:r>
      <w:r>
        <w:rPr>
          <w:rtl w:val="0"/>
          <w:lang w:val="en-US"/>
        </w:rPr>
        <w:t>Exploring attitudes towards seeking help for mental health problems among university students from racially minoritised backgrounds: A systematic review and thematic synthesis</w:t>
      </w:r>
      <w:r>
        <w:rPr>
          <w:rtl w:val="1"/>
        </w:rPr>
        <w:t>’</w:t>
      </w:r>
      <w:r>
        <w:rPr>
          <w:rtl w:val="0"/>
          <w:lang w:val="en-US"/>
        </w:rPr>
        <w:t>, BMC Public Health, 25(1), p. 1428.</w:t>
      </w:r>
    </w:p>
    <w:p>
      <w:pPr>
        <w:pStyle w:val="Body"/>
        <w:spacing w:line="360" w:lineRule="auto"/>
      </w:pPr>
      <w:r>
        <w:rPr>
          <w:rtl w:val="0"/>
        </w:rPr>
        <w:t xml:space="preserve">Jacobs, L. and Pentaris, P. (2021) </w:t>
      </w:r>
      <w:r>
        <w:rPr>
          <w:rtl w:val="1"/>
        </w:rPr>
        <w:t>‘</w:t>
      </w:r>
      <w:r>
        <w:rPr>
          <w:rtl w:val="0"/>
          <w:lang w:val="en-US"/>
        </w:rPr>
        <w:t>Factors affecting the help-seeking behaviour of Black Asian Minority Ethnic (BAME) groups for mental health services in the UK: A literature review</w:t>
      </w:r>
      <w:r>
        <w:rPr>
          <w:rtl w:val="1"/>
        </w:rPr>
        <w:t>’</w:t>
      </w:r>
      <w:r>
        <w:rPr>
          <w:rtl w:val="0"/>
          <w:lang w:val="en-US"/>
        </w:rPr>
        <w:t>, Greenwich Social Work Review, 2(1), pp. 156</w:t>
      </w:r>
      <w:r>
        <w:rPr>
          <w:rtl w:val="0"/>
        </w:rPr>
        <w:t>–</w:t>
      </w:r>
      <w:r>
        <w:rPr>
          <w:rtl w:val="0"/>
        </w:rPr>
        <w:t>170.</w:t>
      </w:r>
    </w:p>
    <w:p>
      <w:pPr>
        <w:pStyle w:val="Body"/>
        <w:spacing w:line="360" w:lineRule="auto"/>
      </w:pPr>
      <w:r>
        <w:rPr>
          <w:rtl w:val="0"/>
        </w:rPr>
        <w:t xml:space="preserve">Kanagasingam, D., Hurd, L. and Norman, M. (2023) </w:t>
      </w:r>
      <w:r>
        <w:rPr>
          <w:rtl w:val="1"/>
        </w:rPr>
        <w:t>‘</w:t>
      </w:r>
      <w:r>
        <w:rPr>
          <w:rtl w:val="0"/>
          <w:lang w:val="en-US"/>
        </w:rPr>
        <w:t>Integrating person-centred care and social justice: A model for practice with larger-bodied patients</w:t>
      </w:r>
      <w:r>
        <w:rPr>
          <w:rtl w:val="1"/>
        </w:rPr>
        <w:t>’</w:t>
      </w:r>
      <w:r>
        <w:rPr>
          <w:rtl w:val="0"/>
          <w:lang w:val="fr-FR"/>
        </w:rPr>
        <w:t>, Medical Humanities, 49(3), pp. 436</w:t>
      </w:r>
      <w:r>
        <w:rPr>
          <w:rtl w:val="0"/>
        </w:rPr>
        <w:t>–</w:t>
      </w:r>
      <w:r>
        <w:rPr>
          <w:rtl w:val="0"/>
        </w:rPr>
        <w:t>446.</w:t>
      </w:r>
    </w:p>
    <w:p>
      <w:pPr>
        <w:pStyle w:val="Body"/>
        <w:spacing w:line="360" w:lineRule="auto"/>
      </w:pPr>
      <w:r>
        <w:rPr>
          <w:rtl w:val="0"/>
          <w:lang w:val="en-US"/>
        </w:rPr>
        <w:t>Mental Health Foundation (2023) Black, Asian and Minority Ethnic (BAME) Communities. Available at: https://www.mentalhealth.org.uk (Accessed: 20 February 2026).</w:t>
      </w:r>
    </w:p>
    <w:p>
      <w:pPr>
        <w:pStyle w:val="Body"/>
        <w:spacing w:line="360" w:lineRule="auto"/>
      </w:pPr>
      <w:r>
        <w:rPr>
          <w:rtl w:val="0"/>
          <w:lang w:val="en-US"/>
        </w:rPr>
        <w:t>NHS England (2025) Improving Black, Asian and minority ethnic community experiences of mental health services. Available at: https://www.england.nhs.uk (Accessed: 20 February 2026).</w:t>
      </w:r>
    </w:p>
    <w:p>
      <w:pPr>
        <w:pStyle w:val="Body"/>
        <w:spacing w:line="360" w:lineRule="auto"/>
      </w:pPr>
      <w:r>
        <w:rPr>
          <w:rtl w:val="0"/>
          <w:lang w:val="en-US"/>
        </w:rPr>
        <w:t xml:space="preserve">Stoll, N., Yalipende, Y., Byrom, N.C., Hatch, S.L. and Lempp, H. (2022) </w:t>
      </w:r>
      <w:r>
        <w:rPr>
          <w:rtl w:val="1"/>
        </w:rPr>
        <w:t>‘</w:t>
      </w:r>
      <w:r>
        <w:rPr>
          <w:rtl w:val="0"/>
          <w:lang w:val="en-US"/>
        </w:rPr>
        <w:t>Mental health and mental well-being of Black students at UK universities: A review and thematic synthesis</w:t>
      </w:r>
      <w:r>
        <w:rPr>
          <w:rtl w:val="1"/>
        </w:rPr>
        <w:t>’</w:t>
      </w:r>
      <w:r>
        <w:rPr>
          <w:rtl w:val="0"/>
        </w:rPr>
        <w:t>, BMJ Open, 12(2), e050720.</w:t>
      </w:r>
    </w:p>
    <w:sectPr>
      <w:headerReference w:type="default" r:id="rId4"/>
      <w:footerReference w:type="default" r:id="rId5"/>
      <w:pgSz w:w="12240" w:h="15840" w:orient="portrait"/>
      <w:pgMar w:top="1440" w:right="1800" w:bottom="1440" w:left="18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620"/>
        <w:tab w:val="clear" w:pos="9360"/>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