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Merriweather" w:cs="Merriweather" w:eastAsia="Merriweather" w:hAnsi="Merriweather"/>
          <w:sz w:val="36"/>
          <w:szCs w:val="36"/>
          <w:u w:val="single"/>
        </w:rPr>
      </w:pPr>
      <w:r w:rsidDel="00000000" w:rsidR="00000000" w:rsidRPr="00000000">
        <w:rPr>
          <w:rFonts w:ascii="Merriweather" w:cs="Merriweather" w:eastAsia="Merriweather" w:hAnsi="Merriweather"/>
          <w:sz w:val="36"/>
          <w:szCs w:val="36"/>
          <w:u w:val="single"/>
          <w:rtl w:val="0"/>
        </w:rPr>
        <w:t xml:space="preserve">Can the experience of many British soldiers during the Great War be considered as ‘Positive’?</w:t>
      </w:r>
    </w:p>
    <w:p w:rsidR="00000000" w:rsidDel="00000000" w:rsidP="00000000" w:rsidRDefault="00000000" w:rsidRPr="00000000" w14:paraId="00000002">
      <w:pPr>
        <w:jc w:val="center"/>
        <w:rPr>
          <w:rFonts w:ascii="Merriweather" w:cs="Merriweather" w:eastAsia="Merriweather" w:hAnsi="Merriweather"/>
          <w:sz w:val="20"/>
          <w:szCs w:val="20"/>
          <w:u w:val="single"/>
        </w:rPr>
      </w:pPr>
      <w:r w:rsidDel="00000000" w:rsidR="00000000" w:rsidRPr="00000000">
        <w:rPr>
          <w:rtl w:val="0"/>
        </w:rPr>
      </w:r>
    </w:p>
    <w:p w:rsidR="00000000" w:rsidDel="00000000" w:rsidP="00000000" w:rsidRDefault="00000000" w:rsidRPr="00000000" w14:paraId="00000003">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While it is of little doubt to me that the day to day horror of the war, especially in the trenches of the western front, can be described as anything else but as the worst of war. However the camaraderie created between those who fought is also something that cannot be ignored, yet I do not believe that this can be used to suggest that the experience was a ‘positive’ one. Camaraderie commonly develops in stressful and trying situations, but that does not mean that those situations were therefore positive for the individuals involved. Yet the experience of those soldiers </w:t>
      </w:r>
      <w:r w:rsidDel="00000000" w:rsidR="00000000" w:rsidRPr="00000000">
        <w:rPr>
          <w:rFonts w:ascii="Merriweather" w:cs="Merriweather" w:eastAsia="Merriweather" w:hAnsi="Merriweather"/>
          <w:sz w:val="20"/>
          <w:szCs w:val="20"/>
          <w:rtl w:val="0"/>
        </w:rPr>
        <w:t xml:space="preserve">whom</w:t>
      </w:r>
      <w:r w:rsidDel="00000000" w:rsidR="00000000" w:rsidRPr="00000000">
        <w:rPr>
          <w:rFonts w:ascii="Merriweather" w:cs="Merriweather" w:eastAsia="Merriweather" w:hAnsi="Merriweather"/>
          <w:sz w:val="20"/>
          <w:szCs w:val="20"/>
          <w:rtl w:val="0"/>
        </w:rPr>
        <w:t xml:space="preserve"> fought in the war cannot be totally characterised as wholly negative, as for at least there were times when they enjoyed time away from the front and each others company as is touched on in the critically acclaimed documentary They Shall Not Grow Old</w:t>
      </w:r>
      <w:r w:rsidDel="00000000" w:rsidR="00000000" w:rsidRPr="00000000">
        <w:rPr>
          <w:rFonts w:ascii="Merriweather" w:cs="Merriweather" w:eastAsia="Merriweather" w:hAnsi="Merriweather"/>
          <w:sz w:val="20"/>
          <w:szCs w:val="20"/>
          <w:vertAlign w:val="superscript"/>
        </w:rPr>
        <w:footnoteReference w:customMarkFollows="0" w:id="0"/>
      </w:r>
      <w:r w:rsidDel="00000000" w:rsidR="00000000" w:rsidRPr="00000000">
        <w:rPr>
          <w:rFonts w:ascii="Merriweather" w:cs="Merriweather" w:eastAsia="Merriweather" w:hAnsi="Merriweather"/>
          <w:sz w:val="20"/>
          <w:szCs w:val="20"/>
          <w:rtl w:val="0"/>
        </w:rPr>
        <w:t xml:space="preserve"> as several of the interviews draw attention to the positive times that the soldiers had together. Yet here again there is a focus on the Western Front which makes sense as the documentary seeks to stand as a touchstone for future generations and so they focus on the most common experience of both British, French and American troops, this was likely also in an attempt to capture wider viewership from the United States and their somewhat notorious tendency to not indulge  in foriegn media, though this trend has been changing recently, the decision to focus on the Western Front was still likely affected by the allure of the American market and so was a business decision. </w:t>
      </w:r>
    </w:p>
    <w:p w:rsidR="00000000" w:rsidDel="00000000" w:rsidP="00000000" w:rsidRDefault="00000000" w:rsidRPr="00000000" w14:paraId="00000004">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5">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A key point of contention for me in this debate is to the point at which you are looking as I feel that many would look back on the experience from later life and would see when and how it helped them and would use this to justify it as a positive experience meanwhile if you8 where to look at accounts from the time they generally give a less than positive view, one of the best examples of this is Wilfred Owen</w:t>
      </w:r>
      <w:r w:rsidDel="00000000" w:rsidR="00000000" w:rsidRPr="00000000">
        <w:rPr>
          <w:rFonts w:ascii="Merriweather" w:cs="Merriweather" w:eastAsia="Merriweather" w:hAnsi="Merriweather"/>
          <w:sz w:val="20"/>
          <w:szCs w:val="20"/>
          <w:vertAlign w:val="superscript"/>
        </w:rPr>
        <w:footnoteReference w:customMarkFollows="0" w:id="1"/>
      </w:r>
      <w:r w:rsidDel="00000000" w:rsidR="00000000" w:rsidRPr="00000000">
        <w:rPr>
          <w:rFonts w:ascii="Merriweather" w:cs="Merriweather" w:eastAsia="Merriweather" w:hAnsi="Merriweather"/>
          <w:sz w:val="20"/>
          <w:szCs w:val="20"/>
          <w:rtl w:val="0"/>
        </w:rPr>
        <w:t xml:space="preserve">, </w:t>
      </w:r>
      <w:r w:rsidDel="00000000" w:rsidR="00000000" w:rsidRPr="00000000">
        <w:rPr>
          <w:rFonts w:ascii="Merriweather" w:cs="Merriweather" w:eastAsia="Merriweather" w:hAnsi="Merriweather"/>
          <w:sz w:val="20"/>
          <w:szCs w:val="20"/>
          <w:rtl w:val="0"/>
        </w:rPr>
        <w:t xml:space="preserve">as much</w:t>
      </w:r>
      <w:r w:rsidDel="00000000" w:rsidR="00000000" w:rsidRPr="00000000">
        <w:rPr>
          <w:rFonts w:ascii="Merriweather" w:cs="Merriweather" w:eastAsia="Merriweather" w:hAnsi="Merriweather"/>
          <w:sz w:val="20"/>
          <w:szCs w:val="20"/>
          <w:rtl w:val="0"/>
        </w:rPr>
        <w:t xml:space="preserve"> of his work looks at the horrors of battle such as Gas Gas or the feeling of betrayal in perhaps his most well known work, Dulce et Decorum Est. I have picked these two as my personal favourites of his work, but you could pick from most of his impressive catalogue and find the theme of the horror of the war and yet they often also get across some essence of the friendship and fellowship felt between the men, but these themes seemingly clash, however when considering the works of Owen we must keep in mind that while a soldier he was also a Poet, so he was likely attempting to bottle all the feelings from his experiences into each poem rather than someone who simply sought to show the war from a longer and more flowing perspective and media which would allow for smooth transitions from between the two duelling ideas.</w:t>
      </w:r>
    </w:p>
    <w:p w:rsidR="00000000" w:rsidDel="00000000" w:rsidP="00000000" w:rsidRDefault="00000000" w:rsidRPr="00000000" w14:paraId="00000006">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7">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While it does not depict the experience of a British soldier, nor is it a wholly truthful account of the war, rather, a work of fiction that was woven into the framework of the war by one who fought in it All Quiet on the Western Front by Erich Remarque</w:t>
      </w:r>
      <w:r w:rsidDel="00000000" w:rsidR="00000000" w:rsidRPr="00000000">
        <w:rPr>
          <w:rFonts w:ascii="Merriweather" w:cs="Merriweather" w:eastAsia="Merriweather" w:hAnsi="Merriweather"/>
          <w:sz w:val="20"/>
          <w:szCs w:val="20"/>
          <w:vertAlign w:val="superscript"/>
        </w:rPr>
        <w:footnoteReference w:customMarkFollows="0" w:id="2"/>
      </w:r>
      <w:r w:rsidDel="00000000" w:rsidR="00000000" w:rsidRPr="00000000">
        <w:rPr>
          <w:rFonts w:ascii="Merriweather" w:cs="Merriweather" w:eastAsia="Merriweather" w:hAnsi="Merriweather"/>
          <w:sz w:val="20"/>
          <w:szCs w:val="20"/>
          <w:rtl w:val="0"/>
        </w:rPr>
        <w:t xml:space="preserve">. Yet despite all of these shortcomings the book and the story it tells can be used to demonstrate how soldiers felt when fighting in the trenches of the western front as Remarque clearly displays the way in which time away from the front was spent with a more joyful and jovial tone, however one the part of the book that has always stuck out to me can shine a light on the more favourable feelings some may have had after the war. That is when Paul (the protagonist) returns home on leave but can't find any comfort as he is constantly asked about the progress of the war and importantly he is asked if he has performed and heroic deeds by men who served long before, this clearly made him feel detached from a place that he once considered his whole world and his home, but now it was little more than an empty shell. I believe that this cannot have been a type of experience that was limited to the German soldier, so I pose that this would have also affected the Soldiers of the British army, as to that Remarque suggests that Paul began to miss being among others who truly understood the Horror of the war and who did not hold onto the ideas of glorious war. With this in mind it is not difficult to imagine that some British soldiers genuinely did find some fondness for the war as almost a support group as they all knew and understood the horrific ordeals that they underwent and all that they entailed, whilst after the  war they could rarely trust that they were speaking to someone else that understood. And with the prevalence of PTSD in the guise of Shellshock many if not most soldiers who fought refused to speak about their trials and tribulations from during the Great War. </w:t>
      </w:r>
    </w:p>
    <w:p w:rsidR="00000000" w:rsidDel="00000000" w:rsidP="00000000" w:rsidRDefault="00000000" w:rsidRPr="00000000" w14:paraId="00000008">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9">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With the way that history is often taught in modern education with focuses on specific points in times with less of an emphasis on the flowing nature of time, I believe we often forget quite how much the Great War affected generations of men. The link between the First and Second World Wars is often now seen as merely political in as much as the German leadership was unhappy with the Treaty of Versailles and sought to reverse its stipulations, however the driving factor behind the policy of appeasement is often put down to weak leadership or agreeing  that the Treaty of Versailles did go too far, rather I believe that the driving force behind appeasement was in fact the memory of The Great War and seeking to avoid any such conflict from ever arising. This alone demonstrates the cultural impact that the bloodshed and horrendous conditions had, this could only happen if the general consensus among those who fought was that the Great War (again with an emphasis on the western front) was harrowing and nightmarish, with such a strongly held cultural memory of the war it is difficult to believe that many at the time looked back on it in a favourable or even vaguely positive light. However this begs the question as the weather this was due to recency bias and survivor guilt and that in truth at the time during the war itself the feeling was more positive. And even in looking back at the war some may have found a source of pride, as from my experience even now there are posters, cut outs and small memorials dotted around northern France and Belgium thanking both “The British” and “the British Soldier” and this would have given some a sense of pride for what they did during the war in my opinion. And the positive recollection of the war would no doubt also have been influenced by the post war period with its economic downturn and the social disconnect that was felt by returning soldiers would surely have tempered the feelings of those returning to such conditions. However I again feel the need to mention the disconnect between the feelings at the time of the conflict and the feelings later on, as the more time there is between the events of the war and the posing of the question the easier it becomes to see the positives that sprung from the war, and we have even now become so removed and detached from the conflict as to discuss the merits of the conflict, thus we must decide when to ask the question. </w:t>
      </w:r>
    </w:p>
    <w:p w:rsidR="00000000" w:rsidDel="00000000" w:rsidP="00000000" w:rsidRDefault="00000000" w:rsidRPr="00000000" w14:paraId="0000000A">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B">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I believe that we should focus more on the opinions and feelings of soldiers during the war but that we should also not disregard the interwar period or later as they too hold valuable insight, yet this insight is more of an indication of the cultural memory and feelings of the war rather than those of the soldiers who fought. And with that in mind the idea of suggesting that the overarching experience was positive, is absolutely ridiculous. So I pose that the overarching experience was catastrophically negative, but yet I will not say that it was exclusively negative as that would be an oversight, it is impossible to ever say that any experience is wholly and totally negative or positive, so I shall refrain from doing so. With that having been said I will stand behind my belief that the majority would describe the war as a misery for the majority of time and perhaps the good times shone ever brighter for being engulfed in the darkest of times yet that does not mean that they were of ‘more importance’ but perhaps those moments would stay longer in the mind rather than dwelling on the darkest moments that were more likely to haunt the nightmares of those who fought. And it is perhaps this quality that came to define the way that many felt about the war and thus how they expressed their experiences of the war and what the war taught them, as despite the push back against the idea of romantic war it can still very much be found throughout the works of those who fought in the war for an example of this I will be focusing on perhaps one of the most famous and accomplished authors of all time not to mention someone who fought on the western front, </w:t>
      </w:r>
      <w:r w:rsidDel="00000000" w:rsidR="00000000" w:rsidRPr="00000000">
        <w:rPr>
          <w:rFonts w:ascii="Merriweather" w:cs="Merriweather" w:eastAsia="Merriweather" w:hAnsi="Merriweather"/>
          <w:sz w:val="20"/>
          <w:szCs w:val="20"/>
          <w:rtl w:val="0"/>
        </w:rPr>
        <w:t xml:space="preserve">J R.R</w:t>
      </w:r>
      <w:r w:rsidDel="00000000" w:rsidR="00000000" w:rsidRPr="00000000">
        <w:rPr>
          <w:rFonts w:ascii="Merriweather" w:cs="Merriweather" w:eastAsia="Merriweather" w:hAnsi="Merriweather"/>
          <w:sz w:val="20"/>
          <w:szCs w:val="20"/>
          <w:rtl w:val="0"/>
        </w:rPr>
        <w:t xml:space="preserve"> Tolkien, and in particular his most seminal works The Hobbit</w:t>
      </w:r>
      <w:r w:rsidDel="00000000" w:rsidR="00000000" w:rsidRPr="00000000">
        <w:rPr>
          <w:rFonts w:ascii="Merriweather" w:cs="Merriweather" w:eastAsia="Merriweather" w:hAnsi="Merriweather"/>
          <w:sz w:val="20"/>
          <w:szCs w:val="20"/>
          <w:vertAlign w:val="superscript"/>
        </w:rPr>
        <w:footnoteReference w:customMarkFollows="0" w:id="3"/>
      </w:r>
      <w:r w:rsidDel="00000000" w:rsidR="00000000" w:rsidRPr="00000000">
        <w:rPr>
          <w:rFonts w:ascii="Merriweather" w:cs="Merriweather" w:eastAsia="Merriweather" w:hAnsi="Merriweather"/>
          <w:sz w:val="20"/>
          <w:szCs w:val="20"/>
          <w:rtl w:val="0"/>
        </w:rPr>
        <w:t xml:space="preserve"> and The Lord of the Rings trilogy</w:t>
      </w:r>
      <w:r w:rsidDel="00000000" w:rsidR="00000000" w:rsidRPr="00000000">
        <w:rPr>
          <w:rFonts w:ascii="Merriweather" w:cs="Merriweather" w:eastAsia="Merriweather" w:hAnsi="Merriweather"/>
          <w:sz w:val="20"/>
          <w:szCs w:val="20"/>
          <w:vertAlign w:val="superscript"/>
        </w:rPr>
        <w:footnoteReference w:customMarkFollows="0" w:id="4"/>
      </w:r>
      <w:r w:rsidDel="00000000" w:rsidR="00000000" w:rsidRPr="00000000">
        <w:rPr>
          <w:rFonts w:ascii="Merriweather" w:cs="Merriweather" w:eastAsia="Merriweather" w:hAnsi="Merriweather"/>
          <w:sz w:val="20"/>
          <w:szCs w:val="20"/>
          <w:rtl w:val="0"/>
        </w:rPr>
        <w:t xml:space="preserve"> as well as a lesser well known of his works The Silmarillion</w:t>
      </w:r>
      <w:r w:rsidDel="00000000" w:rsidR="00000000" w:rsidRPr="00000000">
        <w:rPr>
          <w:rFonts w:ascii="Merriweather" w:cs="Merriweather" w:eastAsia="Merriweather" w:hAnsi="Merriweather"/>
          <w:sz w:val="20"/>
          <w:szCs w:val="20"/>
          <w:vertAlign w:val="superscript"/>
        </w:rPr>
        <w:footnoteReference w:customMarkFollows="0" w:id="5"/>
      </w:r>
      <w:r w:rsidDel="00000000" w:rsidR="00000000" w:rsidRPr="00000000">
        <w:rPr>
          <w:rFonts w:ascii="Merriweather" w:cs="Merriweather" w:eastAsia="Merriweather" w:hAnsi="Merriweather"/>
          <w:sz w:val="20"/>
          <w:szCs w:val="20"/>
          <w:rtl w:val="0"/>
        </w:rPr>
        <w:t xml:space="preserve">.</w:t>
      </w:r>
    </w:p>
    <w:p w:rsidR="00000000" w:rsidDel="00000000" w:rsidP="00000000" w:rsidRDefault="00000000" w:rsidRPr="00000000" w14:paraId="0000000C">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D">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As all three glorify and romanticise war to some extent, this is not to say that any of these three works of fiction hide the death and destruction of war. Rather that they portray war as a simpler good against evil struggle, and I wonder if this was how Tolkien himself reframed the war that he fought to make it an easier proposition to come to terms with in his mind both at the time and certainly after the fact. It is not difficult to see a simplified version of the Great War in the Hobbit for example, as in the book Bilbo Baggins, an everyman from a small quiet country village goes off to war to help </w:t>
      </w:r>
      <w:r w:rsidDel="00000000" w:rsidR="00000000" w:rsidRPr="00000000">
        <w:rPr>
          <w:rFonts w:ascii="Merriweather" w:cs="Merriweather" w:eastAsia="Merriweather" w:hAnsi="Merriweather"/>
          <w:sz w:val="20"/>
          <w:szCs w:val="20"/>
          <w:rtl w:val="0"/>
        </w:rPr>
        <w:t xml:space="preserve">another</w:t>
      </w:r>
      <w:r w:rsidDel="00000000" w:rsidR="00000000" w:rsidRPr="00000000">
        <w:rPr>
          <w:rFonts w:ascii="Merriweather" w:cs="Merriweather" w:eastAsia="Merriweather" w:hAnsi="Merriweather"/>
          <w:sz w:val="20"/>
          <w:szCs w:val="20"/>
          <w:rtl w:val="0"/>
        </w:rPr>
        <w:t xml:space="preserve"> people reclaim their homeland. In this analogy Tolkien himself is Bilbo going off to war to help defend and reclaim Belgium and to go further a defining theme of the book is of the fellowship and brotherhood that forms between those who fight together and while many of the characters die fighting in the climactic final battle of the book they are remembered more for the positive and jovial moments they spent together rather than the darker moments of doubt and conflict. This to me demonstrates that to some the way it was remembered was more based on those few shining moments of joy and companionship rather than the darkest moments, so with that said the war could certainly have been seen as a positive especially with regards to Tolkein who was clearly inspired by his time fighting as the inspiration it gave him lead to some of  his greatest literary works and the great acclaim and wealth that came with that, so the experiance can certainly have been portrayed as positive in that light, however I once again find myself struggling to believe that this is how Tolkien felt about the war while he was fighting or shortly after but certainly he did seem to develop some fondness for the memory of the time spent in the company of others who were fighting, of those who would later on inspire legendary characters such as Thorin Oakensheild, Gimli son of Gloin, Legolas Greenleaf and Aragorn Elessar.</w:t>
      </w:r>
    </w:p>
    <w:p w:rsidR="00000000" w:rsidDel="00000000" w:rsidP="00000000" w:rsidRDefault="00000000" w:rsidRPr="00000000" w14:paraId="0000000E">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F">
      <w:pPr>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In the totality of the Great war it is impossible that the whole experience was viewed as negative by all even at the time, however it cannot be said that the war was even a majority positive experience, so it comes down to the finer details and personal experiences that can be so hard to quantify. It is to this end that I  come to the conclusion that the question itself is flawed as we cannot presume to even think of the war as an entirely universal experience even within the western front the war was experienced very differently by those who fought, just as the British experience was different to the German or French so to was the experience different between regiments and even individuals, yet despite this I believe that it is safe to say that the experience proved to be mostly negative for those British servicemen who fought, I am well aware that my presumption goes against the very idea that I posed of individuality of experience. However in </w:t>
      </w:r>
      <w:r w:rsidDel="00000000" w:rsidR="00000000" w:rsidRPr="00000000">
        <w:rPr>
          <w:rFonts w:ascii="Merriweather" w:cs="Merriweather" w:eastAsia="Merriweather" w:hAnsi="Merriweather"/>
          <w:sz w:val="20"/>
          <w:szCs w:val="20"/>
          <w:rtl w:val="0"/>
        </w:rPr>
        <w:t xml:space="preserve">such as a</w:t>
      </w:r>
      <w:r w:rsidDel="00000000" w:rsidR="00000000" w:rsidRPr="00000000">
        <w:rPr>
          <w:rFonts w:ascii="Merriweather" w:cs="Merriweather" w:eastAsia="Merriweather" w:hAnsi="Merriweather"/>
          <w:sz w:val="20"/>
          <w:szCs w:val="20"/>
          <w:rtl w:val="0"/>
        </w:rPr>
        <w:t xml:space="preserve"> broad scale as can be used in such discussions as this the idea that a general mood can be established and used as a guide of as close to an average experience as we can find. And it is this in my </w:t>
      </w:r>
      <w:r w:rsidDel="00000000" w:rsidR="00000000" w:rsidRPr="00000000">
        <w:rPr>
          <w:rFonts w:ascii="Merriweather" w:cs="Merriweather" w:eastAsia="Merriweather" w:hAnsi="Merriweather"/>
          <w:sz w:val="20"/>
          <w:szCs w:val="20"/>
          <w:rtl w:val="0"/>
        </w:rPr>
        <w:t xml:space="preserve">opinion is displayed</w:t>
      </w:r>
      <w:r w:rsidDel="00000000" w:rsidR="00000000" w:rsidRPr="00000000">
        <w:rPr>
          <w:rFonts w:ascii="Merriweather" w:cs="Merriweather" w:eastAsia="Merriweather" w:hAnsi="Merriweather"/>
          <w:sz w:val="20"/>
          <w:szCs w:val="20"/>
          <w:rtl w:val="0"/>
        </w:rPr>
        <w:t xml:space="preserve"> throughout the writings of soldiers who fought and of the post war reaction as well as beyond into the opening phases of the Second World War and the hesitance to even have such a war. With this general mood being of a distinctly negative reaction it is in my opinion safe to say that the general experience of the British soldier during the Great war fighting in the trenches of the western front was harrowing and negative far beyond any positive moments or sense of camaraderie that was built up between the men.</w:t>
      </w:r>
    </w:p>
    <w:p w:rsidR="00000000" w:rsidDel="00000000" w:rsidP="00000000" w:rsidRDefault="00000000" w:rsidRPr="00000000" w14:paraId="00000010">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1">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2">
      <w:pPr>
        <w:jc w:val="center"/>
        <w:rPr>
          <w:rFonts w:ascii="Merriweather" w:cs="Merriweather" w:eastAsia="Merriweather" w:hAnsi="Merriweather"/>
          <w:sz w:val="30"/>
          <w:szCs w:val="30"/>
          <w:u w:val="single"/>
        </w:rPr>
      </w:pPr>
      <w:r w:rsidDel="00000000" w:rsidR="00000000" w:rsidRPr="00000000">
        <w:rPr>
          <w:rFonts w:ascii="Merriweather" w:cs="Merriweather" w:eastAsia="Merriweather" w:hAnsi="Merriweather"/>
          <w:sz w:val="30"/>
          <w:szCs w:val="30"/>
          <w:u w:val="single"/>
          <w:rtl w:val="0"/>
        </w:rPr>
        <w:t xml:space="preserve">Bibliography</w:t>
      </w:r>
    </w:p>
    <w:p w:rsidR="00000000" w:rsidDel="00000000" w:rsidP="00000000" w:rsidRDefault="00000000" w:rsidRPr="00000000" w14:paraId="00000013">
      <w:pPr>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4">
      <w:pPr>
        <w:spacing w:line="240" w:lineRule="auto"/>
        <w:rPr>
          <w:rFonts w:ascii="Merriweather" w:cs="Merriweather" w:eastAsia="Merriweather" w:hAnsi="Merriweather"/>
          <w:sz w:val="20"/>
          <w:szCs w:val="20"/>
          <w:highlight w:val="white"/>
        </w:rPr>
      </w:pPr>
      <w:r w:rsidDel="00000000" w:rsidR="00000000" w:rsidRPr="00000000">
        <w:rPr>
          <w:rFonts w:ascii="Merriweather" w:cs="Merriweather" w:eastAsia="Merriweather" w:hAnsi="Merriweather"/>
          <w:sz w:val="20"/>
          <w:szCs w:val="20"/>
          <w:rtl w:val="0"/>
        </w:rPr>
        <w:t xml:space="preserve"> </w:t>
      </w:r>
      <w:r w:rsidDel="00000000" w:rsidR="00000000" w:rsidRPr="00000000">
        <w:rPr>
          <w:rFonts w:ascii="Merriweather" w:cs="Merriweather" w:eastAsia="Merriweather" w:hAnsi="Merriweather"/>
          <w:sz w:val="20"/>
          <w:szCs w:val="20"/>
          <w:highlight w:val="white"/>
          <w:rtl w:val="0"/>
        </w:rPr>
        <w:t xml:space="preserve">They Shall Not Grow Old, Peter Jackson, Fathom Events, 2018</w:t>
      </w:r>
    </w:p>
    <w:p w:rsidR="00000000" w:rsidDel="00000000" w:rsidP="00000000" w:rsidRDefault="00000000" w:rsidRPr="00000000" w14:paraId="00000015">
      <w:pPr>
        <w:spacing w:line="240" w:lineRule="auto"/>
        <w:rPr>
          <w:rFonts w:ascii="Merriweather" w:cs="Merriweather" w:eastAsia="Merriweather" w:hAnsi="Merriweather"/>
          <w:sz w:val="20"/>
          <w:szCs w:val="20"/>
          <w:highlight w:val="white"/>
        </w:rPr>
      </w:pPr>
      <w:r w:rsidDel="00000000" w:rsidR="00000000" w:rsidRPr="00000000">
        <w:rPr>
          <w:rtl w:val="0"/>
        </w:rPr>
      </w:r>
    </w:p>
    <w:p w:rsidR="00000000" w:rsidDel="00000000" w:rsidP="00000000" w:rsidRDefault="00000000" w:rsidRPr="00000000" w14:paraId="00000016">
      <w:pPr>
        <w:spacing w:line="240" w:lineRule="auto"/>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The collected poems of Wilfred Owen, Wilfred Owen, Edmund Blunden, Chatto &amp; Windus, 1963</w:t>
      </w:r>
    </w:p>
    <w:p w:rsidR="00000000" w:rsidDel="00000000" w:rsidP="00000000" w:rsidRDefault="00000000" w:rsidRPr="00000000" w14:paraId="00000017">
      <w:pPr>
        <w:spacing w:line="240" w:lineRule="auto"/>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8">
      <w:pPr>
        <w:spacing w:line="240" w:lineRule="auto"/>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All Quiet on the Western Front, Erich Remarque, Random House, 2010</w:t>
      </w:r>
    </w:p>
    <w:p w:rsidR="00000000" w:rsidDel="00000000" w:rsidP="00000000" w:rsidRDefault="00000000" w:rsidRPr="00000000" w14:paraId="00000019">
      <w:pPr>
        <w:spacing w:line="240" w:lineRule="auto"/>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A">
      <w:pPr>
        <w:spacing w:line="240" w:lineRule="auto"/>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The Hobbit, </w:t>
      </w:r>
      <w:r w:rsidDel="00000000" w:rsidR="00000000" w:rsidRPr="00000000">
        <w:rPr>
          <w:rFonts w:ascii="Merriweather" w:cs="Merriweather" w:eastAsia="Merriweather" w:hAnsi="Merriweather"/>
          <w:sz w:val="20"/>
          <w:szCs w:val="20"/>
          <w:rtl w:val="0"/>
        </w:rPr>
        <w:t xml:space="preserve">J.R.R</w:t>
      </w:r>
      <w:r w:rsidDel="00000000" w:rsidR="00000000" w:rsidRPr="00000000">
        <w:rPr>
          <w:rFonts w:ascii="Merriweather" w:cs="Merriweather" w:eastAsia="Merriweather" w:hAnsi="Merriweather"/>
          <w:sz w:val="20"/>
          <w:szCs w:val="20"/>
          <w:rtl w:val="0"/>
        </w:rPr>
        <w:t xml:space="preserve"> Tolkien, HarperCollins, 1997</w:t>
      </w:r>
    </w:p>
    <w:p w:rsidR="00000000" w:rsidDel="00000000" w:rsidP="00000000" w:rsidRDefault="00000000" w:rsidRPr="00000000" w14:paraId="0000001B">
      <w:pPr>
        <w:spacing w:line="240" w:lineRule="auto"/>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C">
      <w:pPr>
        <w:spacing w:line="240" w:lineRule="auto"/>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The Lord of the Rings, </w:t>
      </w:r>
      <w:r w:rsidDel="00000000" w:rsidR="00000000" w:rsidRPr="00000000">
        <w:rPr>
          <w:rFonts w:ascii="Merriweather" w:cs="Merriweather" w:eastAsia="Merriweather" w:hAnsi="Merriweather"/>
          <w:sz w:val="20"/>
          <w:szCs w:val="20"/>
          <w:rtl w:val="0"/>
        </w:rPr>
        <w:t xml:space="preserve">J.RR</w:t>
      </w:r>
      <w:r w:rsidDel="00000000" w:rsidR="00000000" w:rsidRPr="00000000">
        <w:rPr>
          <w:rFonts w:ascii="Merriweather" w:cs="Merriweather" w:eastAsia="Merriweather" w:hAnsi="Merriweather"/>
          <w:sz w:val="20"/>
          <w:szCs w:val="20"/>
          <w:rtl w:val="0"/>
        </w:rPr>
        <w:t xml:space="preserve"> Tolkien, Houghton Mifflin Harcourt, 2013</w:t>
      </w:r>
    </w:p>
    <w:p w:rsidR="00000000" w:rsidDel="00000000" w:rsidP="00000000" w:rsidRDefault="00000000" w:rsidRPr="00000000" w14:paraId="0000001D">
      <w:pPr>
        <w:spacing w:line="240" w:lineRule="auto"/>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1E">
      <w:pPr>
        <w:spacing w:line="240" w:lineRule="auto"/>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 The Silmarillion, J.R.R. Tolkien, Houghton Mifflin Harcourt, 2012</w:t>
      </w:r>
    </w:p>
    <w:p w:rsidR="00000000" w:rsidDel="00000000" w:rsidP="00000000" w:rsidRDefault="00000000" w:rsidRPr="00000000" w14:paraId="0000001F">
      <w:pPr>
        <w:spacing w:line="240" w:lineRule="auto"/>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20">
      <w:pPr>
        <w:spacing w:line="240" w:lineRule="auto"/>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The Penguin Book of First World War Poetry, George Walter, Penguin Publishing Group, 2006</w:t>
      </w:r>
    </w:p>
    <w:p w:rsidR="00000000" w:rsidDel="00000000" w:rsidP="00000000" w:rsidRDefault="00000000" w:rsidRPr="00000000" w14:paraId="00000021">
      <w:pPr>
        <w:spacing w:line="240" w:lineRule="auto"/>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22">
      <w:pPr>
        <w:spacing w:line="240" w:lineRule="auto"/>
        <w:rPr>
          <w:rFonts w:ascii="Merriweather" w:cs="Merriweather" w:eastAsia="Merriweather" w:hAnsi="Merriweather"/>
          <w:sz w:val="20"/>
          <w:szCs w:val="20"/>
        </w:rPr>
      </w:pPr>
      <w:r w:rsidDel="00000000" w:rsidR="00000000" w:rsidRPr="00000000">
        <w:rPr>
          <w:rFonts w:ascii="Merriweather" w:cs="Merriweather" w:eastAsia="Merriweather" w:hAnsi="Merriweather"/>
          <w:sz w:val="20"/>
          <w:szCs w:val="20"/>
          <w:rtl w:val="0"/>
        </w:rPr>
        <w:t xml:space="preserve">Munich, 1938: Appeasement and World War II, David Faber, Simon &amp; Schuster, 2009</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3">
      <w:pPr>
        <w:spacing w:line="240" w:lineRule="auto"/>
        <w:rPr>
          <w:rFonts w:ascii="Merriweather" w:cs="Merriweather" w:eastAsia="Merriweather" w:hAnsi="Merriweather"/>
          <w:sz w:val="20"/>
          <w:szCs w:val="20"/>
        </w:rPr>
      </w:pPr>
      <w:r w:rsidDel="00000000" w:rsidR="00000000" w:rsidRPr="00000000">
        <w:rPr>
          <w:rStyle w:val="FootnoteReference"/>
          <w:vertAlign w:val="superscript"/>
        </w:rPr>
        <w:footnoteRef/>
      </w:r>
      <w:r w:rsidDel="00000000" w:rsidR="00000000" w:rsidRPr="00000000">
        <w:rPr>
          <w:rFonts w:ascii="Merriweather" w:cs="Merriweather" w:eastAsia="Merriweather" w:hAnsi="Merriweather"/>
          <w:sz w:val="20"/>
          <w:szCs w:val="20"/>
          <w:rtl w:val="0"/>
        </w:rPr>
        <w:t xml:space="preserve"> </w:t>
      </w:r>
      <w:r w:rsidDel="00000000" w:rsidR="00000000" w:rsidRPr="00000000">
        <w:rPr>
          <w:rFonts w:ascii="Merriweather" w:cs="Merriweather" w:eastAsia="Merriweather" w:hAnsi="Merriweather"/>
          <w:sz w:val="20"/>
          <w:szCs w:val="20"/>
          <w:highlight w:val="white"/>
          <w:rtl w:val="0"/>
        </w:rPr>
        <w:t xml:space="preserve">They Shall Not Grow Old, Peter Jackson, Fathom Events, 2018</w:t>
      </w:r>
      <w:r w:rsidDel="00000000" w:rsidR="00000000" w:rsidRPr="00000000">
        <w:rPr>
          <w:rtl w:val="0"/>
        </w:rPr>
      </w:r>
    </w:p>
  </w:footnote>
  <w:footnote w:id="1">
    <w:p w:rsidR="00000000" w:rsidDel="00000000" w:rsidP="00000000" w:rsidRDefault="00000000" w:rsidRPr="00000000" w14:paraId="00000024">
      <w:pPr>
        <w:spacing w:line="240" w:lineRule="auto"/>
        <w:rPr>
          <w:rFonts w:ascii="Merriweather" w:cs="Merriweather" w:eastAsia="Merriweather" w:hAnsi="Merriweather"/>
          <w:sz w:val="20"/>
          <w:szCs w:val="20"/>
        </w:rPr>
      </w:pPr>
      <w:r w:rsidDel="00000000" w:rsidR="00000000" w:rsidRPr="00000000">
        <w:rPr>
          <w:rStyle w:val="FootnoteReference"/>
          <w:vertAlign w:val="superscript"/>
        </w:rPr>
        <w:footnoteRef/>
      </w:r>
      <w:r w:rsidDel="00000000" w:rsidR="00000000" w:rsidRPr="00000000">
        <w:rPr>
          <w:rFonts w:ascii="Merriweather" w:cs="Merriweather" w:eastAsia="Merriweather" w:hAnsi="Merriweather"/>
          <w:sz w:val="20"/>
          <w:szCs w:val="20"/>
          <w:rtl w:val="0"/>
        </w:rPr>
        <w:t xml:space="preserve"> The collected poems of Wilfred Owen, Wilfred Owen, Edmund Blunden, Chatto &amp; Windus, 1963</w:t>
      </w:r>
    </w:p>
  </w:footnote>
  <w:footnote w:id="2">
    <w:p w:rsidR="00000000" w:rsidDel="00000000" w:rsidP="00000000" w:rsidRDefault="00000000" w:rsidRPr="00000000" w14:paraId="00000025">
      <w:pPr>
        <w:spacing w:line="240" w:lineRule="auto"/>
        <w:rPr>
          <w:rFonts w:ascii="Merriweather" w:cs="Merriweather" w:eastAsia="Merriweather" w:hAnsi="Merriweather"/>
          <w:sz w:val="20"/>
          <w:szCs w:val="20"/>
        </w:rPr>
      </w:pPr>
      <w:r w:rsidDel="00000000" w:rsidR="00000000" w:rsidRPr="00000000">
        <w:rPr>
          <w:rStyle w:val="FootnoteReference"/>
          <w:vertAlign w:val="superscript"/>
        </w:rPr>
        <w:footnoteRef/>
      </w:r>
      <w:r w:rsidDel="00000000" w:rsidR="00000000" w:rsidRPr="00000000">
        <w:rPr>
          <w:rFonts w:ascii="Merriweather" w:cs="Merriweather" w:eastAsia="Merriweather" w:hAnsi="Merriweather"/>
          <w:sz w:val="20"/>
          <w:szCs w:val="20"/>
          <w:rtl w:val="0"/>
        </w:rPr>
        <w:t xml:space="preserve"> All Quiet on the Western Front, Erich Remarque, Random House, 2010</w:t>
      </w:r>
    </w:p>
  </w:footnote>
  <w:footnote w:id="3">
    <w:p w:rsidR="00000000" w:rsidDel="00000000" w:rsidP="00000000" w:rsidRDefault="00000000" w:rsidRPr="00000000" w14:paraId="00000026">
      <w:pPr>
        <w:spacing w:line="240" w:lineRule="auto"/>
        <w:rPr>
          <w:rFonts w:ascii="Merriweather" w:cs="Merriweather" w:eastAsia="Merriweather" w:hAnsi="Merriweather"/>
          <w:sz w:val="20"/>
          <w:szCs w:val="20"/>
        </w:rPr>
      </w:pPr>
      <w:r w:rsidDel="00000000" w:rsidR="00000000" w:rsidRPr="00000000">
        <w:rPr>
          <w:rStyle w:val="FootnoteReference"/>
          <w:vertAlign w:val="superscript"/>
        </w:rPr>
        <w:footnoteRef/>
      </w:r>
      <w:r w:rsidDel="00000000" w:rsidR="00000000" w:rsidRPr="00000000">
        <w:rPr>
          <w:rFonts w:ascii="Merriweather" w:cs="Merriweather" w:eastAsia="Merriweather" w:hAnsi="Merriweather"/>
          <w:sz w:val="20"/>
          <w:szCs w:val="20"/>
          <w:rtl w:val="0"/>
        </w:rPr>
        <w:t xml:space="preserve"> The Hobbit, </w:t>
      </w:r>
      <w:r w:rsidDel="00000000" w:rsidR="00000000" w:rsidRPr="00000000">
        <w:rPr>
          <w:rFonts w:ascii="Merriweather" w:cs="Merriweather" w:eastAsia="Merriweather" w:hAnsi="Merriweather"/>
          <w:sz w:val="20"/>
          <w:szCs w:val="20"/>
          <w:rtl w:val="0"/>
        </w:rPr>
        <w:t xml:space="preserve">J.R.R</w:t>
      </w:r>
      <w:r w:rsidDel="00000000" w:rsidR="00000000" w:rsidRPr="00000000">
        <w:rPr>
          <w:rFonts w:ascii="Merriweather" w:cs="Merriweather" w:eastAsia="Merriweather" w:hAnsi="Merriweather"/>
          <w:sz w:val="20"/>
          <w:szCs w:val="20"/>
          <w:rtl w:val="0"/>
        </w:rPr>
        <w:t xml:space="preserve"> Tolkien, HarperCollins, 1997</w:t>
      </w:r>
    </w:p>
  </w:footnote>
  <w:footnote w:id="4">
    <w:p w:rsidR="00000000" w:rsidDel="00000000" w:rsidP="00000000" w:rsidRDefault="00000000" w:rsidRPr="00000000" w14:paraId="00000027">
      <w:pPr>
        <w:spacing w:line="240" w:lineRule="auto"/>
        <w:rPr>
          <w:rFonts w:ascii="Merriweather" w:cs="Merriweather" w:eastAsia="Merriweather" w:hAnsi="Merriweather"/>
          <w:sz w:val="20"/>
          <w:szCs w:val="20"/>
        </w:rPr>
      </w:pPr>
      <w:r w:rsidDel="00000000" w:rsidR="00000000" w:rsidRPr="00000000">
        <w:rPr>
          <w:rStyle w:val="FootnoteReference"/>
          <w:vertAlign w:val="superscript"/>
        </w:rPr>
        <w:footnoteRef/>
      </w:r>
      <w:r w:rsidDel="00000000" w:rsidR="00000000" w:rsidRPr="00000000">
        <w:rPr>
          <w:rFonts w:ascii="Merriweather" w:cs="Merriweather" w:eastAsia="Merriweather" w:hAnsi="Merriweather"/>
          <w:sz w:val="20"/>
          <w:szCs w:val="20"/>
          <w:rtl w:val="0"/>
        </w:rPr>
        <w:t xml:space="preserve"> The Lord of the Rings, </w:t>
      </w:r>
      <w:r w:rsidDel="00000000" w:rsidR="00000000" w:rsidRPr="00000000">
        <w:rPr>
          <w:rFonts w:ascii="Merriweather" w:cs="Merriweather" w:eastAsia="Merriweather" w:hAnsi="Merriweather"/>
          <w:sz w:val="20"/>
          <w:szCs w:val="20"/>
          <w:rtl w:val="0"/>
        </w:rPr>
        <w:t xml:space="preserve">J.RR</w:t>
      </w:r>
      <w:r w:rsidDel="00000000" w:rsidR="00000000" w:rsidRPr="00000000">
        <w:rPr>
          <w:rFonts w:ascii="Merriweather" w:cs="Merriweather" w:eastAsia="Merriweather" w:hAnsi="Merriweather"/>
          <w:sz w:val="20"/>
          <w:szCs w:val="20"/>
          <w:rtl w:val="0"/>
        </w:rPr>
        <w:t xml:space="preserve"> Tolkien, Houghton Mifflin Harcourt, 2013</w:t>
      </w:r>
    </w:p>
  </w:footnote>
  <w:footnote w:id="5">
    <w:p w:rsidR="00000000" w:rsidDel="00000000" w:rsidP="00000000" w:rsidRDefault="00000000" w:rsidRPr="00000000" w14:paraId="00000028">
      <w:pPr>
        <w:spacing w:line="240" w:lineRule="auto"/>
        <w:rPr>
          <w:rFonts w:ascii="Merriweather" w:cs="Merriweather" w:eastAsia="Merriweather" w:hAnsi="Merriweather"/>
          <w:sz w:val="20"/>
          <w:szCs w:val="20"/>
        </w:rPr>
      </w:pPr>
      <w:r w:rsidDel="00000000" w:rsidR="00000000" w:rsidRPr="00000000">
        <w:rPr>
          <w:rStyle w:val="FootnoteReference"/>
          <w:vertAlign w:val="superscript"/>
        </w:rPr>
        <w:footnoteRef/>
      </w:r>
      <w:r w:rsidDel="00000000" w:rsidR="00000000" w:rsidRPr="00000000">
        <w:rPr>
          <w:rFonts w:ascii="Merriweather" w:cs="Merriweather" w:eastAsia="Merriweather" w:hAnsi="Merriweather"/>
          <w:sz w:val="20"/>
          <w:szCs w:val="20"/>
          <w:rtl w:val="0"/>
        </w:rPr>
        <w:t xml:space="preserve"> The Silmarillion, J.R.R. Tolkien, Houghton Mifflin Harcourt, 2012</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