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AB06DD" w14:textId="77777777" w:rsidR="00C50A51" w:rsidRDefault="00C50A51"/>
    <w:p w14:paraId="6052316F" w14:textId="77777777" w:rsidR="00C50A51" w:rsidRDefault="00C50A51"/>
    <w:p w14:paraId="7E7E6B91" w14:textId="5E7EB7CB" w:rsidR="00973CE9" w:rsidRDefault="00C50A51" w:rsidP="00F277B8">
      <w:pPr>
        <w:jc w:val="center"/>
        <w:rPr>
          <w:rFonts w:ascii="Times New Roman" w:hAnsi="Times New Roman" w:cs="Times New Roman"/>
          <w:b/>
          <w:bCs/>
          <w:sz w:val="24"/>
          <w:szCs w:val="24"/>
          <w:u w:val="single"/>
        </w:rPr>
      </w:pPr>
      <w:r w:rsidRPr="003A26D0">
        <w:rPr>
          <w:rFonts w:ascii="Times New Roman" w:hAnsi="Times New Roman" w:cs="Times New Roman"/>
          <w:b/>
          <w:bCs/>
          <w:sz w:val="24"/>
          <w:szCs w:val="24"/>
          <w:u w:val="single"/>
        </w:rPr>
        <w:t xml:space="preserve">Specialist </w:t>
      </w:r>
      <w:r w:rsidR="003642B3" w:rsidRPr="003A26D0">
        <w:rPr>
          <w:rFonts w:ascii="Times New Roman" w:hAnsi="Times New Roman" w:cs="Times New Roman"/>
          <w:b/>
          <w:bCs/>
          <w:sz w:val="24"/>
          <w:szCs w:val="24"/>
          <w:u w:val="single"/>
        </w:rPr>
        <w:t xml:space="preserve">Employment </w:t>
      </w:r>
      <w:r w:rsidRPr="003A26D0">
        <w:rPr>
          <w:rFonts w:ascii="Times New Roman" w:hAnsi="Times New Roman" w:cs="Times New Roman"/>
          <w:b/>
          <w:bCs/>
          <w:sz w:val="24"/>
          <w:szCs w:val="24"/>
          <w:u w:val="single"/>
        </w:rPr>
        <w:t>Law</w:t>
      </w:r>
    </w:p>
    <w:p w14:paraId="175D1056" w14:textId="58C950E7" w:rsidR="00952D20" w:rsidRPr="00952D20" w:rsidRDefault="00952D20" w:rsidP="00952D20">
      <w:pPr>
        <w:rPr>
          <w:rFonts w:ascii="Times New Roman" w:hAnsi="Times New Roman" w:cs="Times New Roman"/>
          <w:i/>
          <w:iCs/>
          <w:sz w:val="24"/>
          <w:szCs w:val="24"/>
          <w:u w:val="single"/>
        </w:rPr>
      </w:pPr>
      <w:r w:rsidRPr="00952D20">
        <w:rPr>
          <w:rFonts w:ascii="Times New Roman" w:hAnsi="Times New Roman" w:cs="Times New Roman"/>
          <w:i/>
          <w:iCs/>
          <w:sz w:val="24"/>
          <w:szCs w:val="24"/>
          <w:u w:val="single"/>
        </w:rPr>
        <w:t>Word count – 4053</w:t>
      </w:r>
    </w:p>
    <w:p w14:paraId="22558535" w14:textId="0ACFDD61" w:rsidR="00952D20" w:rsidRPr="00952D20" w:rsidRDefault="00952D20" w:rsidP="00952D20">
      <w:pPr>
        <w:rPr>
          <w:rFonts w:ascii="Times New Roman" w:hAnsi="Times New Roman" w:cs="Times New Roman"/>
          <w:i/>
          <w:iCs/>
          <w:sz w:val="24"/>
          <w:szCs w:val="24"/>
          <w:u w:val="single"/>
        </w:rPr>
      </w:pPr>
      <w:r w:rsidRPr="00952D20">
        <w:rPr>
          <w:rFonts w:ascii="Times New Roman" w:hAnsi="Times New Roman" w:cs="Times New Roman"/>
          <w:i/>
          <w:iCs/>
          <w:sz w:val="24"/>
          <w:szCs w:val="24"/>
          <w:u w:val="single"/>
        </w:rPr>
        <w:t>CIPD Number - 89206628</w:t>
      </w:r>
    </w:p>
    <w:p w14:paraId="3328BEF5" w14:textId="77777777" w:rsidR="00C50A51" w:rsidRPr="003A26D0" w:rsidRDefault="00C50A51">
      <w:pPr>
        <w:rPr>
          <w:rFonts w:ascii="Times New Roman" w:hAnsi="Times New Roman" w:cs="Times New Roman"/>
          <w:sz w:val="24"/>
          <w:szCs w:val="24"/>
        </w:rPr>
      </w:pPr>
    </w:p>
    <w:p w14:paraId="62E6A8AF" w14:textId="77777777" w:rsidR="006648EA" w:rsidRDefault="00FC39C9" w:rsidP="006648EA">
      <w:pPr>
        <w:pStyle w:val="ListParagraph"/>
        <w:numPr>
          <w:ilvl w:val="0"/>
          <w:numId w:val="11"/>
        </w:numPr>
        <w:spacing w:before="100" w:beforeAutospacing="1" w:after="100" w:afterAutospacing="1" w:line="240" w:lineRule="auto"/>
        <w:ind w:left="0"/>
        <w:rPr>
          <w:rFonts w:ascii="Times New Roman" w:eastAsia="Times New Roman" w:hAnsi="Times New Roman" w:cs="Times New Roman"/>
          <w:b/>
          <w:bCs/>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(AC 1.1)</w:t>
      </w:r>
    </w:p>
    <w:p w14:paraId="151017F3" w14:textId="77777777" w:rsidR="00C16955" w:rsidRPr="003A26D0" w:rsidRDefault="00C16955" w:rsidP="00C16955">
      <w:pPr>
        <w:pStyle w:val="ListParagraph"/>
        <w:spacing w:before="100" w:beforeAutospacing="1" w:after="100" w:afterAutospacing="1" w:line="240" w:lineRule="auto"/>
        <w:ind w:left="0"/>
        <w:rPr>
          <w:rFonts w:ascii="Times New Roman" w:eastAsia="Times New Roman" w:hAnsi="Times New Roman" w:cs="Times New Roman"/>
          <w:b/>
          <w:bCs/>
          <w:kern w:val="0"/>
          <w:sz w:val="24"/>
          <w:szCs w:val="24"/>
          <w:lang w:eastAsia="en-GB"/>
          <w14:ligatures w14:val="none"/>
        </w:rPr>
      </w:pPr>
    </w:p>
    <w:p w14:paraId="6DD0254E" w14:textId="1502AB6A" w:rsidR="006648EA" w:rsidRPr="00B60BFC" w:rsidRDefault="006648EA" w:rsidP="006648EA">
      <w:pPr>
        <w:pStyle w:val="ListParagraph"/>
        <w:spacing w:before="100" w:beforeAutospacing="1" w:after="100" w:afterAutospacing="1" w:line="240" w:lineRule="auto"/>
        <w:ind w:left="0"/>
        <w:rPr>
          <w:rFonts w:ascii="Times New Roman" w:eastAsia="Times New Roman" w:hAnsi="Times New Roman" w:cs="Times New Roman"/>
          <w:b/>
          <w:bCs/>
          <w:strike/>
          <w:color w:val="000000" w:themeColor="text1"/>
          <w:kern w:val="0"/>
          <w:sz w:val="24"/>
          <w:szCs w:val="24"/>
          <w:lang w:eastAsia="en-GB"/>
          <w14:ligatures w14:val="none"/>
        </w:rPr>
      </w:pPr>
      <w:r w:rsidRPr="00B60BFC">
        <w:rPr>
          <w:rFonts w:ascii="Times New Roman" w:hAnsi="Times New Roman" w:cs="Times New Roman"/>
          <w:strike/>
          <w:color w:val="000000" w:themeColor="text1"/>
          <w:sz w:val="24"/>
          <w:szCs w:val="24"/>
        </w:rPr>
        <w:t xml:space="preserve">Thank you for your email and for sharing your concern on how regulatory activities take up a significant portion of your working time. I understand your concern and appreciate your commitment to enhancing the employment experience for our colleagues at the Trust. Although you feel your time is not spent enhancing the employment experience for staff, </w:t>
      </w:r>
      <w:r w:rsidR="007A01D1" w:rsidRPr="00B60BFC">
        <w:rPr>
          <w:rFonts w:ascii="Times New Roman" w:hAnsi="Times New Roman" w:cs="Times New Roman"/>
          <w:strike/>
          <w:color w:val="000000" w:themeColor="text1"/>
          <w:sz w:val="24"/>
          <w:szCs w:val="24"/>
        </w:rPr>
        <w:t xml:space="preserve">your involvement in </w:t>
      </w:r>
      <w:r w:rsidRPr="00B60BFC">
        <w:rPr>
          <w:rFonts w:ascii="Times New Roman" w:hAnsi="Times New Roman" w:cs="Times New Roman"/>
          <w:strike/>
          <w:color w:val="000000" w:themeColor="text1"/>
          <w:sz w:val="24"/>
          <w:szCs w:val="24"/>
        </w:rPr>
        <w:t xml:space="preserve">employment regulations do play a fundamental role in creating a fair, safe, and inclusive working environment for everyone, which does improve the overall employee experience. Without </w:t>
      </w:r>
      <w:r w:rsidR="009059AF" w:rsidRPr="00B60BFC">
        <w:rPr>
          <w:rFonts w:ascii="Times New Roman" w:hAnsi="Times New Roman" w:cs="Times New Roman"/>
          <w:strike/>
          <w:color w:val="000000" w:themeColor="text1"/>
          <w:sz w:val="24"/>
          <w:szCs w:val="24"/>
        </w:rPr>
        <w:t xml:space="preserve">the work that you do, </w:t>
      </w:r>
      <w:r w:rsidRPr="00B60BFC">
        <w:rPr>
          <w:rFonts w:ascii="Times New Roman" w:hAnsi="Times New Roman" w:cs="Times New Roman"/>
          <w:strike/>
          <w:color w:val="000000" w:themeColor="text1"/>
          <w:sz w:val="24"/>
          <w:szCs w:val="24"/>
        </w:rPr>
        <w:t>these protections, workplace disputes and inequalities could escalate, leading to dissatisfaction, higher staff turnover, and reputational risks for the organisation.</w:t>
      </w:r>
    </w:p>
    <w:p w14:paraId="65341F5D" w14:textId="10B31908" w:rsidR="006648EA" w:rsidRPr="00B60BFC" w:rsidRDefault="006648EA" w:rsidP="006648EA">
      <w:pPr>
        <w:pStyle w:val="NormalWeb"/>
        <w:rPr>
          <w:strike/>
          <w:color w:val="000000" w:themeColor="text1"/>
        </w:rPr>
      </w:pPr>
      <w:r w:rsidRPr="00B60BFC">
        <w:rPr>
          <w:strike/>
          <w:color w:val="000000" w:themeColor="text1"/>
        </w:rPr>
        <w:t>The</w:t>
      </w:r>
      <w:r w:rsidR="00671F87" w:rsidRPr="00B60BFC">
        <w:rPr>
          <w:strike/>
          <w:color w:val="000000" w:themeColor="text1"/>
        </w:rPr>
        <w:t xml:space="preserve"> main purpose</w:t>
      </w:r>
      <w:r w:rsidRPr="00B60BFC">
        <w:rPr>
          <w:strike/>
          <w:color w:val="000000" w:themeColor="text1"/>
        </w:rPr>
        <w:t xml:space="preserve"> of employment regulation is to protect employees’ rights and ensure fair treatment across the board. The </w:t>
      </w:r>
      <w:r w:rsidRPr="00B60BFC">
        <w:rPr>
          <w:rStyle w:val="Strong"/>
          <w:rFonts w:eastAsiaTheme="majorEastAsia"/>
          <w:b w:val="0"/>
          <w:bCs w:val="0"/>
          <w:strike/>
          <w:color w:val="000000" w:themeColor="text1"/>
        </w:rPr>
        <w:t>Equality Act 2010</w:t>
      </w:r>
      <w:r w:rsidRPr="00B60BFC">
        <w:rPr>
          <w:strike/>
          <w:color w:val="000000" w:themeColor="text1"/>
        </w:rPr>
        <w:t xml:space="preserve"> provides a framework to stop discrimination such as age, race, or gender. </w:t>
      </w:r>
      <w:r w:rsidR="00671F87" w:rsidRPr="00B60BFC">
        <w:rPr>
          <w:strike/>
          <w:color w:val="000000" w:themeColor="text1"/>
        </w:rPr>
        <w:t xml:space="preserve">By working within this legal framework, we not only meet our obligations but also create a culture of fairness and respect. </w:t>
      </w:r>
      <w:r w:rsidRPr="00B60BFC">
        <w:rPr>
          <w:rStyle w:val="Strong"/>
          <w:rFonts w:eastAsiaTheme="majorEastAsia"/>
          <w:b w:val="0"/>
          <w:bCs w:val="0"/>
          <w:strike/>
          <w:color w:val="000000" w:themeColor="text1"/>
        </w:rPr>
        <w:t>Daniels (2022)</w:t>
      </w:r>
      <w:r w:rsidRPr="00B60BFC">
        <w:rPr>
          <w:strike/>
          <w:color w:val="000000" w:themeColor="text1"/>
        </w:rPr>
        <w:t xml:space="preserve"> </w:t>
      </w:r>
      <w:r w:rsidR="009A7C7F" w:rsidRPr="00B60BFC">
        <w:rPr>
          <w:strike/>
          <w:color w:val="000000" w:themeColor="text1"/>
        </w:rPr>
        <w:t>tells us</w:t>
      </w:r>
      <w:r w:rsidRPr="00B60BFC">
        <w:rPr>
          <w:strike/>
          <w:color w:val="000000" w:themeColor="text1"/>
        </w:rPr>
        <w:t xml:space="preserve"> </w:t>
      </w:r>
      <w:r w:rsidR="00671F87" w:rsidRPr="00B60BFC">
        <w:rPr>
          <w:strike/>
          <w:color w:val="000000" w:themeColor="text1"/>
        </w:rPr>
        <w:t>that when organisations actively prevent discrimination, they help build a diverse and inclusive workforce, which has benefits for both employee engagement and overall performance.</w:t>
      </w:r>
    </w:p>
    <w:p w14:paraId="1BA420B5" w14:textId="0D1EB366" w:rsidR="006648EA" w:rsidRPr="00B60BFC" w:rsidRDefault="006648EA" w:rsidP="006648EA">
      <w:pPr>
        <w:pStyle w:val="NormalWeb"/>
        <w:rPr>
          <w:strike/>
          <w:color w:val="000000" w:themeColor="text1"/>
        </w:rPr>
      </w:pPr>
      <w:r w:rsidRPr="00B60BFC">
        <w:rPr>
          <w:strike/>
          <w:color w:val="000000" w:themeColor="text1"/>
        </w:rPr>
        <w:t xml:space="preserve">Another objective of employment regulation is to ensure that we have safety in the workplace. The </w:t>
      </w:r>
      <w:r w:rsidRPr="00B60BFC">
        <w:rPr>
          <w:rStyle w:val="Strong"/>
          <w:rFonts w:eastAsiaTheme="majorEastAsia"/>
          <w:b w:val="0"/>
          <w:bCs w:val="0"/>
          <w:strike/>
          <w:color w:val="000000" w:themeColor="text1"/>
        </w:rPr>
        <w:t>Health and Safety at Work Act 1974</w:t>
      </w:r>
      <w:r w:rsidRPr="00B60BFC">
        <w:rPr>
          <w:strike/>
          <w:color w:val="000000" w:themeColor="text1"/>
        </w:rPr>
        <w:t xml:space="preserve"> requires that employers identify risks and put measures in place to prevent them. For a healthcare environment like ours, prioritising safety is critical to maintaining staff wellbeing and helping them to deliver high-quality care. </w:t>
      </w:r>
      <w:r w:rsidRPr="00B60BFC">
        <w:rPr>
          <w:rStyle w:val="Strong"/>
          <w:rFonts w:eastAsiaTheme="majorEastAsia"/>
          <w:b w:val="0"/>
          <w:bCs w:val="0"/>
          <w:strike/>
          <w:color w:val="000000" w:themeColor="text1"/>
        </w:rPr>
        <w:t>Armstrong and Taylor (2022)</w:t>
      </w:r>
      <w:r w:rsidRPr="00B60BFC">
        <w:rPr>
          <w:strike/>
          <w:color w:val="000000" w:themeColor="text1"/>
        </w:rPr>
        <w:t xml:space="preserve"> show that these regulations not only safeguard employees but also improve efficiency by reducing sickness and staff turnover. </w:t>
      </w:r>
      <w:r w:rsidR="00335F63" w:rsidRPr="00B60BFC">
        <w:rPr>
          <w:strike/>
          <w:color w:val="000000" w:themeColor="text1"/>
        </w:rPr>
        <w:t>When employees know their workplace is safe, they feel more secure and engaged in their roles</w:t>
      </w:r>
    </w:p>
    <w:p w14:paraId="3F8B11F7" w14:textId="5889CA4B" w:rsidR="004F7E9D" w:rsidRPr="00B60BFC" w:rsidRDefault="004F7E9D" w:rsidP="006648EA">
      <w:pPr>
        <w:pStyle w:val="NormalWeb"/>
        <w:rPr>
          <w:strike/>
          <w:color w:val="000000" w:themeColor="text1"/>
        </w:rPr>
      </w:pPr>
      <w:r w:rsidRPr="00B60BFC">
        <w:rPr>
          <w:strike/>
          <w:color w:val="000000" w:themeColor="text1"/>
        </w:rPr>
        <w:t xml:space="preserve">Employment regulations protect both employees and employers by ensuring fair treatment and setting clear expectations. The </w:t>
      </w:r>
      <w:r w:rsidRPr="00B60BFC">
        <w:rPr>
          <w:rStyle w:val="Strong"/>
          <w:rFonts w:eastAsiaTheme="majorEastAsia"/>
          <w:b w:val="0"/>
          <w:bCs w:val="0"/>
          <w:strike/>
          <w:color w:val="000000" w:themeColor="text1"/>
        </w:rPr>
        <w:t>Employment Rights Act 1996</w:t>
      </w:r>
      <w:r w:rsidRPr="00B60BFC">
        <w:rPr>
          <w:b/>
          <w:bCs/>
          <w:strike/>
          <w:color w:val="000000" w:themeColor="text1"/>
        </w:rPr>
        <w:t xml:space="preserve"> </w:t>
      </w:r>
      <w:r w:rsidRPr="00B60BFC">
        <w:rPr>
          <w:strike/>
          <w:color w:val="000000" w:themeColor="text1"/>
        </w:rPr>
        <w:t>p</w:t>
      </w:r>
      <w:r w:rsidR="007A01D1" w:rsidRPr="00B60BFC">
        <w:rPr>
          <w:strike/>
          <w:color w:val="000000" w:themeColor="text1"/>
        </w:rPr>
        <w:t>rotects</w:t>
      </w:r>
      <w:r w:rsidR="00B1245A" w:rsidRPr="00B60BFC">
        <w:rPr>
          <w:strike/>
          <w:color w:val="000000" w:themeColor="text1"/>
        </w:rPr>
        <w:t xml:space="preserve"> employees from unfair dismissal and redundancy, ensuring fairness and stability in the workplace</w:t>
      </w:r>
      <w:r w:rsidRPr="00B60BFC">
        <w:rPr>
          <w:strike/>
          <w:color w:val="000000" w:themeColor="text1"/>
        </w:rPr>
        <w:t>. Following employment law promotes integrity, improves relationships, and increases employee engagement</w:t>
      </w:r>
      <w:r w:rsidR="00B1245A" w:rsidRPr="00B60BFC">
        <w:rPr>
          <w:strike/>
          <w:color w:val="000000" w:themeColor="text1"/>
        </w:rPr>
        <w:t>.</w:t>
      </w:r>
      <w:r w:rsidRPr="00B60BFC">
        <w:rPr>
          <w:strike/>
          <w:color w:val="000000" w:themeColor="text1"/>
        </w:rPr>
        <w:t xml:space="preserve"> </w:t>
      </w:r>
      <w:r w:rsidR="009059AF" w:rsidRPr="00B60BFC">
        <w:rPr>
          <w:strike/>
          <w:color w:val="000000" w:themeColor="text1"/>
        </w:rPr>
        <w:t>L</w:t>
      </w:r>
      <w:r w:rsidRPr="00B60BFC">
        <w:rPr>
          <w:strike/>
          <w:color w:val="000000" w:themeColor="text1"/>
        </w:rPr>
        <w:t xml:space="preserve">egal compliance </w:t>
      </w:r>
      <w:r w:rsidR="00B1245A" w:rsidRPr="00B60BFC">
        <w:rPr>
          <w:strike/>
          <w:color w:val="000000" w:themeColor="text1"/>
        </w:rPr>
        <w:t xml:space="preserve">helps our staff have trust in us while also </w:t>
      </w:r>
      <w:r w:rsidRPr="00B60BFC">
        <w:rPr>
          <w:strike/>
          <w:color w:val="000000" w:themeColor="text1"/>
        </w:rPr>
        <w:t>reduc</w:t>
      </w:r>
      <w:r w:rsidR="00B1245A" w:rsidRPr="00B60BFC">
        <w:rPr>
          <w:strike/>
          <w:color w:val="000000" w:themeColor="text1"/>
        </w:rPr>
        <w:t>ing</w:t>
      </w:r>
      <w:r w:rsidRPr="00B60BFC">
        <w:rPr>
          <w:strike/>
          <w:color w:val="000000" w:themeColor="text1"/>
        </w:rPr>
        <w:t xml:space="preserve"> workplace </w:t>
      </w:r>
      <w:r w:rsidR="00B1245A" w:rsidRPr="00B60BFC">
        <w:rPr>
          <w:strike/>
          <w:color w:val="000000" w:themeColor="text1"/>
        </w:rPr>
        <w:t>disputes and</w:t>
      </w:r>
      <w:r w:rsidRPr="00B60BFC">
        <w:rPr>
          <w:strike/>
          <w:color w:val="000000" w:themeColor="text1"/>
        </w:rPr>
        <w:t xml:space="preserve"> supports a positive working environment. By clarifying rights and responsibilities, these regulations help prevent conflicts and create fairer workplaces for all.</w:t>
      </w:r>
    </w:p>
    <w:p w14:paraId="240B7133" w14:textId="447882B1" w:rsidR="006648EA" w:rsidRPr="00B60BFC" w:rsidRDefault="006648EA" w:rsidP="006648EA">
      <w:pPr>
        <w:pStyle w:val="NormalWeb"/>
        <w:rPr>
          <w:strike/>
          <w:color w:val="000000" w:themeColor="text1"/>
        </w:rPr>
      </w:pPr>
      <w:r w:rsidRPr="00B60BFC">
        <w:rPr>
          <w:strike/>
          <w:color w:val="000000" w:themeColor="text1"/>
        </w:rPr>
        <w:t xml:space="preserve">While it may feel that time spent on regulatory matters takes you away from other priorities, this effort does contribute to improving the Trust’s employment experience. By </w:t>
      </w:r>
      <w:r w:rsidR="009059AF" w:rsidRPr="00B60BFC">
        <w:rPr>
          <w:strike/>
          <w:color w:val="000000" w:themeColor="text1"/>
        </w:rPr>
        <w:t>including</w:t>
      </w:r>
      <w:r w:rsidRPr="00B60BFC">
        <w:rPr>
          <w:strike/>
          <w:color w:val="000000" w:themeColor="text1"/>
        </w:rPr>
        <w:t xml:space="preserve"> compliance into our daily practices, we reduce risks of litigation, enhance our reputation, and </w:t>
      </w:r>
      <w:r w:rsidRPr="00B60BFC">
        <w:rPr>
          <w:strike/>
          <w:color w:val="000000" w:themeColor="text1"/>
        </w:rPr>
        <w:lastRenderedPageBreak/>
        <w:t>create a supportive workplace where</w:t>
      </w:r>
      <w:r w:rsidR="00970C1E" w:rsidRPr="00B60BFC">
        <w:rPr>
          <w:strike/>
          <w:color w:val="000000" w:themeColor="text1"/>
        </w:rPr>
        <w:t xml:space="preserve"> our</w:t>
      </w:r>
      <w:r w:rsidRPr="00B60BFC">
        <w:rPr>
          <w:strike/>
          <w:color w:val="000000" w:themeColor="text1"/>
        </w:rPr>
        <w:t xml:space="preserve"> colleagues feel valued and protected. </w:t>
      </w:r>
      <w:r w:rsidR="00970C1E" w:rsidRPr="00B60BFC">
        <w:rPr>
          <w:strike/>
          <w:color w:val="000000" w:themeColor="text1"/>
        </w:rPr>
        <w:t xml:space="preserve">Not only is the work you’re doing helping our current staff, </w:t>
      </w:r>
      <w:proofErr w:type="gramStart"/>
      <w:r w:rsidR="00970C1E" w:rsidRPr="00B60BFC">
        <w:rPr>
          <w:strike/>
          <w:color w:val="000000" w:themeColor="text1"/>
        </w:rPr>
        <w:t>it</w:t>
      </w:r>
      <w:proofErr w:type="gramEnd"/>
      <w:r w:rsidR="00970C1E" w:rsidRPr="00B60BFC">
        <w:rPr>
          <w:strike/>
          <w:color w:val="000000" w:themeColor="text1"/>
        </w:rPr>
        <w:t xml:space="preserve"> is also helping us t</w:t>
      </w:r>
      <w:r w:rsidRPr="00B60BFC">
        <w:rPr>
          <w:strike/>
          <w:color w:val="000000" w:themeColor="text1"/>
        </w:rPr>
        <w:t>o recruit top talent.</w:t>
      </w:r>
    </w:p>
    <w:p w14:paraId="66027111" w14:textId="0A8E846D" w:rsidR="006648EA" w:rsidRPr="00B60BFC" w:rsidRDefault="006648EA" w:rsidP="006648EA">
      <w:pPr>
        <w:pStyle w:val="NormalWeb"/>
        <w:rPr>
          <w:strike/>
          <w:color w:val="000000" w:themeColor="text1"/>
        </w:rPr>
      </w:pPr>
      <w:r w:rsidRPr="00B60BFC">
        <w:rPr>
          <w:strike/>
          <w:color w:val="000000" w:themeColor="text1"/>
        </w:rPr>
        <w:t xml:space="preserve">I appreciate your efforts and encourage you to see the regulatory work you are carrying out as key to maintaining high standards. Thank you for your hard work and the vital role you play in </w:t>
      </w:r>
      <w:r w:rsidR="00970C1E" w:rsidRPr="00B60BFC">
        <w:rPr>
          <w:strike/>
          <w:color w:val="000000" w:themeColor="text1"/>
        </w:rPr>
        <w:t>promoting</w:t>
      </w:r>
      <w:r w:rsidRPr="00B60BFC">
        <w:rPr>
          <w:strike/>
          <w:color w:val="000000" w:themeColor="text1"/>
        </w:rPr>
        <w:t xml:space="preserve"> excellence within the Trust.</w:t>
      </w:r>
    </w:p>
    <w:p w14:paraId="1D245894" w14:textId="46DABA30" w:rsidR="006648EA" w:rsidRDefault="00406E3D" w:rsidP="006648E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(AC 1.1)</w:t>
      </w:r>
    </w:p>
    <w:p w14:paraId="3FC5816D" w14:textId="7A51435F" w:rsidR="00406E3D" w:rsidRPr="00406E3D" w:rsidRDefault="00406E3D" w:rsidP="00406E3D">
      <w:pPr>
        <w:spacing w:before="100" w:beforeAutospacing="1" w:after="100" w:afterAutospacing="1" w:line="240" w:lineRule="auto"/>
        <w:rPr>
          <w:rFonts w:ascii="Times New Roman" w:eastAsia="Times New Roman" w:hAnsi="Times New Roman" w:cs="Times New Roman"/>
          <w:color w:val="FF0000"/>
          <w:kern w:val="0"/>
          <w:sz w:val="24"/>
          <w:szCs w:val="24"/>
          <w:lang w:eastAsia="en-GB"/>
          <w14:ligatures w14:val="none"/>
        </w:rPr>
      </w:pPr>
      <w:r w:rsidRPr="00406E3D">
        <w:rPr>
          <w:rFonts w:ascii="Times New Roman" w:eastAsia="Times New Roman" w:hAnsi="Times New Roman" w:cs="Times New Roman"/>
          <w:color w:val="FF0000"/>
          <w:kern w:val="0"/>
          <w:sz w:val="24"/>
          <w:szCs w:val="24"/>
          <w:lang w:eastAsia="en-GB"/>
          <w14:ligatures w14:val="none"/>
        </w:rPr>
        <w:t xml:space="preserve">Thank you for raising this important point. While it is understandable to feel that regulatory tasks </w:t>
      </w:r>
      <w:r w:rsidR="00D0575C" w:rsidRPr="00B60BFC">
        <w:rPr>
          <w:rFonts w:ascii="Times New Roman" w:eastAsia="Times New Roman" w:hAnsi="Times New Roman" w:cs="Times New Roman"/>
          <w:color w:val="FF0000"/>
          <w:kern w:val="0"/>
          <w:sz w:val="24"/>
          <w:szCs w:val="24"/>
          <w:lang w:eastAsia="en-GB"/>
          <w14:ligatures w14:val="none"/>
        </w:rPr>
        <w:t>move you away</w:t>
      </w:r>
      <w:r w:rsidRPr="00406E3D">
        <w:rPr>
          <w:rFonts w:ascii="Times New Roman" w:eastAsia="Times New Roman" w:hAnsi="Times New Roman" w:cs="Times New Roman"/>
          <w:color w:val="FF0000"/>
          <w:kern w:val="0"/>
          <w:sz w:val="24"/>
          <w:szCs w:val="24"/>
          <w:lang w:eastAsia="en-GB"/>
          <w14:ligatures w14:val="none"/>
        </w:rPr>
        <w:t xml:space="preserve"> from proactive people initiatives, employment regulation plays a vital and strategic role in shaping a positive employment experience.</w:t>
      </w:r>
    </w:p>
    <w:p w14:paraId="17031B80" w14:textId="77777777" w:rsidR="00406E3D" w:rsidRPr="00406E3D" w:rsidRDefault="00406E3D" w:rsidP="00406E3D">
      <w:pPr>
        <w:spacing w:before="100" w:beforeAutospacing="1" w:after="100" w:afterAutospacing="1" w:line="240" w:lineRule="auto"/>
        <w:rPr>
          <w:rFonts w:ascii="Times New Roman" w:eastAsia="Times New Roman" w:hAnsi="Times New Roman" w:cs="Times New Roman"/>
          <w:color w:val="FF0000"/>
          <w:kern w:val="0"/>
          <w:sz w:val="24"/>
          <w:szCs w:val="24"/>
          <w:lang w:eastAsia="en-GB"/>
          <w14:ligatures w14:val="none"/>
        </w:rPr>
      </w:pPr>
      <w:r w:rsidRPr="00406E3D">
        <w:rPr>
          <w:rFonts w:ascii="Times New Roman" w:eastAsia="Times New Roman" w:hAnsi="Times New Roman" w:cs="Times New Roman"/>
          <w:color w:val="FF0000"/>
          <w:kern w:val="0"/>
          <w:sz w:val="24"/>
          <w:szCs w:val="24"/>
          <w:lang w:eastAsia="en-GB"/>
          <w14:ligatures w14:val="none"/>
        </w:rPr>
        <w:t xml:space="preserve">Employment regulation primarily exists to protect workers' rights and promote equality and consistency. Legislation such as the </w:t>
      </w:r>
      <w:r w:rsidRPr="00406E3D">
        <w:rPr>
          <w:rFonts w:ascii="Times New Roman" w:eastAsia="Times New Roman" w:hAnsi="Times New Roman" w:cs="Times New Roman"/>
          <w:i/>
          <w:iCs/>
          <w:color w:val="FF0000"/>
          <w:kern w:val="0"/>
          <w:sz w:val="24"/>
          <w:szCs w:val="24"/>
          <w:lang w:eastAsia="en-GB"/>
          <w14:ligatures w14:val="none"/>
        </w:rPr>
        <w:t>Employment Rights Act 1996</w:t>
      </w:r>
      <w:r w:rsidRPr="00406E3D">
        <w:rPr>
          <w:rFonts w:ascii="Times New Roman" w:eastAsia="Times New Roman" w:hAnsi="Times New Roman" w:cs="Times New Roman"/>
          <w:color w:val="FF0000"/>
          <w:kern w:val="0"/>
          <w:sz w:val="24"/>
          <w:szCs w:val="24"/>
          <w:lang w:eastAsia="en-GB"/>
          <w14:ligatures w14:val="none"/>
        </w:rPr>
        <w:t xml:space="preserve"> and the </w:t>
      </w:r>
      <w:r w:rsidRPr="00406E3D">
        <w:rPr>
          <w:rFonts w:ascii="Times New Roman" w:eastAsia="Times New Roman" w:hAnsi="Times New Roman" w:cs="Times New Roman"/>
          <w:i/>
          <w:iCs/>
          <w:color w:val="FF0000"/>
          <w:kern w:val="0"/>
          <w:sz w:val="24"/>
          <w:szCs w:val="24"/>
          <w:lang w:eastAsia="en-GB"/>
          <w14:ligatures w14:val="none"/>
        </w:rPr>
        <w:t>Equality Act 2010</w:t>
      </w:r>
      <w:r w:rsidRPr="00406E3D">
        <w:rPr>
          <w:rFonts w:ascii="Times New Roman" w:eastAsia="Times New Roman" w:hAnsi="Times New Roman" w:cs="Times New Roman"/>
          <w:color w:val="FF0000"/>
          <w:kern w:val="0"/>
          <w:sz w:val="24"/>
          <w:szCs w:val="24"/>
          <w:lang w:eastAsia="en-GB"/>
          <w14:ligatures w14:val="none"/>
        </w:rPr>
        <w:t xml:space="preserve"> create a legal framework that ensures fair treatment and safeguards employees against unfair dismissal and discrimination. As Daniels (2022) explains, these protections support a just and inclusive workforce, which in turn improves morale, retention, and trust.</w:t>
      </w:r>
    </w:p>
    <w:p w14:paraId="6D42BC5D" w14:textId="0F966480" w:rsidR="00406E3D" w:rsidRPr="00406E3D" w:rsidRDefault="00406E3D" w:rsidP="00406E3D">
      <w:pPr>
        <w:spacing w:before="100" w:beforeAutospacing="1" w:after="100" w:afterAutospacing="1" w:line="240" w:lineRule="auto"/>
        <w:rPr>
          <w:rFonts w:ascii="Times New Roman" w:eastAsia="Times New Roman" w:hAnsi="Times New Roman" w:cs="Times New Roman"/>
          <w:color w:val="FF0000"/>
          <w:kern w:val="0"/>
          <w:sz w:val="24"/>
          <w:szCs w:val="24"/>
          <w:lang w:eastAsia="en-GB"/>
          <w14:ligatures w14:val="none"/>
        </w:rPr>
      </w:pPr>
      <w:r w:rsidRPr="00406E3D">
        <w:rPr>
          <w:rFonts w:ascii="Times New Roman" w:eastAsia="Times New Roman" w:hAnsi="Times New Roman" w:cs="Times New Roman"/>
          <w:color w:val="FF0000"/>
          <w:kern w:val="0"/>
          <w:sz w:val="24"/>
          <w:szCs w:val="24"/>
          <w:lang w:eastAsia="en-GB"/>
          <w14:ligatures w14:val="none"/>
        </w:rPr>
        <w:t xml:space="preserve">However, from an employer perspective, some stakeholders argue that regulation can be </w:t>
      </w:r>
      <w:r w:rsidR="003B4194">
        <w:rPr>
          <w:rFonts w:ascii="Times New Roman" w:eastAsia="Times New Roman" w:hAnsi="Times New Roman" w:cs="Times New Roman"/>
          <w:color w:val="FF0000"/>
          <w:kern w:val="0"/>
          <w:sz w:val="24"/>
          <w:szCs w:val="24"/>
          <w:lang w:eastAsia="en-GB"/>
          <w14:ligatures w14:val="none"/>
        </w:rPr>
        <w:t xml:space="preserve">a </w:t>
      </w:r>
      <w:r w:rsidRPr="00406E3D">
        <w:rPr>
          <w:rFonts w:ascii="Times New Roman" w:eastAsia="Times New Roman" w:hAnsi="Times New Roman" w:cs="Times New Roman"/>
          <w:color w:val="FF0000"/>
          <w:kern w:val="0"/>
          <w:sz w:val="24"/>
          <w:szCs w:val="24"/>
          <w:lang w:eastAsia="en-GB"/>
          <w14:ligatures w14:val="none"/>
        </w:rPr>
        <w:t xml:space="preserve">burden. For instance, the </w:t>
      </w:r>
      <w:r w:rsidRPr="00406E3D">
        <w:rPr>
          <w:rFonts w:ascii="Times New Roman" w:eastAsia="Times New Roman" w:hAnsi="Times New Roman" w:cs="Times New Roman"/>
          <w:i/>
          <w:iCs/>
          <w:color w:val="FF0000"/>
          <w:kern w:val="0"/>
          <w:sz w:val="24"/>
          <w:szCs w:val="24"/>
          <w:lang w:eastAsia="en-GB"/>
          <w14:ligatures w14:val="none"/>
        </w:rPr>
        <w:t>Confederation of British Industry (CBI)</w:t>
      </w:r>
      <w:r w:rsidRPr="00406E3D">
        <w:rPr>
          <w:rFonts w:ascii="Times New Roman" w:eastAsia="Times New Roman" w:hAnsi="Times New Roman" w:cs="Times New Roman"/>
          <w:color w:val="FF0000"/>
          <w:kern w:val="0"/>
          <w:sz w:val="24"/>
          <w:szCs w:val="24"/>
          <w:lang w:eastAsia="en-GB"/>
          <w14:ligatures w14:val="none"/>
        </w:rPr>
        <w:t xml:space="preserve"> has suggested that excessive regulation can limit organisational flexibility and increase administrative costs (CBI, 2023). Employers may feel that time and resources could be better invested in innovation or staff development. </w:t>
      </w:r>
      <w:r w:rsidR="003B4194">
        <w:rPr>
          <w:rFonts w:ascii="Times New Roman" w:eastAsia="Times New Roman" w:hAnsi="Times New Roman" w:cs="Times New Roman"/>
          <w:color w:val="FF0000"/>
          <w:kern w:val="0"/>
          <w:sz w:val="24"/>
          <w:szCs w:val="24"/>
          <w:lang w:eastAsia="en-GB"/>
          <w14:ligatures w14:val="none"/>
        </w:rPr>
        <w:t>These</w:t>
      </w:r>
      <w:r w:rsidRPr="00406E3D">
        <w:rPr>
          <w:rFonts w:ascii="Times New Roman" w:eastAsia="Times New Roman" w:hAnsi="Times New Roman" w:cs="Times New Roman"/>
          <w:color w:val="FF0000"/>
          <w:kern w:val="0"/>
          <w:sz w:val="24"/>
          <w:szCs w:val="24"/>
          <w:lang w:eastAsia="en-GB"/>
          <w14:ligatures w14:val="none"/>
        </w:rPr>
        <w:t xml:space="preserve"> concerns must be balanced against the benefits of reduced litigation risk, higher engagement, and better employer reputation.</w:t>
      </w:r>
    </w:p>
    <w:p w14:paraId="344124D6" w14:textId="7BD9ACDB" w:rsidR="00406E3D" w:rsidRPr="00406E3D" w:rsidRDefault="00406E3D" w:rsidP="00406E3D">
      <w:pPr>
        <w:spacing w:before="100" w:beforeAutospacing="1" w:after="100" w:afterAutospacing="1" w:line="240" w:lineRule="auto"/>
        <w:rPr>
          <w:rFonts w:ascii="Times New Roman" w:eastAsia="Times New Roman" w:hAnsi="Times New Roman" w:cs="Times New Roman"/>
          <w:color w:val="FF0000"/>
          <w:kern w:val="0"/>
          <w:sz w:val="24"/>
          <w:szCs w:val="24"/>
          <w:lang w:eastAsia="en-GB"/>
          <w14:ligatures w14:val="none"/>
        </w:rPr>
      </w:pPr>
      <w:r w:rsidRPr="00406E3D">
        <w:rPr>
          <w:rFonts w:ascii="Times New Roman" w:eastAsia="Times New Roman" w:hAnsi="Times New Roman" w:cs="Times New Roman"/>
          <w:color w:val="FF0000"/>
          <w:kern w:val="0"/>
          <w:sz w:val="24"/>
          <w:szCs w:val="24"/>
          <w:lang w:eastAsia="en-GB"/>
          <w14:ligatures w14:val="none"/>
        </w:rPr>
        <w:t xml:space="preserve">Trade unions and employee </w:t>
      </w:r>
      <w:r w:rsidR="003B4194">
        <w:rPr>
          <w:rFonts w:ascii="Times New Roman" w:eastAsia="Times New Roman" w:hAnsi="Times New Roman" w:cs="Times New Roman"/>
          <w:color w:val="FF0000"/>
          <w:kern w:val="0"/>
          <w:sz w:val="24"/>
          <w:szCs w:val="24"/>
          <w:lang w:eastAsia="en-GB"/>
          <w14:ligatures w14:val="none"/>
        </w:rPr>
        <w:t>voice</w:t>
      </w:r>
      <w:r w:rsidRPr="00406E3D">
        <w:rPr>
          <w:rFonts w:ascii="Times New Roman" w:eastAsia="Times New Roman" w:hAnsi="Times New Roman" w:cs="Times New Roman"/>
          <w:color w:val="FF0000"/>
          <w:kern w:val="0"/>
          <w:sz w:val="24"/>
          <w:szCs w:val="24"/>
          <w:lang w:eastAsia="en-GB"/>
          <w14:ligatures w14:val="none"/>
        </w:rPr>
        <w:t xml:space="preserve"> groups take a different view, arguing that regulation is essential to protect workers from exploitation, especially in sectors where imbalance of power exists. The </w:t>
      </w:r>
      <w:r w:rsidRPr="00406E3D">
        <w:rPr>
          <w:rFonts w:ascii="Times New Roman" w:eastAsia="Times New Roman" w:hAnsi="Times New Roman" w:cs="Times New Roman"/>
          <w:i/>
          <w:iCs/>
          <w:color w:val="FF0000"/>
          <w:kern w:val="0"/>
          <w:sz w:val="24"/>
          <w:szCs w:val="24"/>
          <w:lang w:eastAsia="en-GB"/>
          <w14:ligatures w14:val="none"/>
        </w:rPr>
        <w:t>Trades Union Congress (TUC)</w:t>
      </w:r>
      <w:r w:rsidRPr="00406E3D">
        <w:rPr>
          <w:rFonts w:ascii="Times New Roman" w:eastAsia="Times New Roman" w:hAnsi="Times New Roman" w:cs="Times New Roman"/>
          <w:color w:val="FF0000"/>
          <w:kern w:val="0"/>
          <w:sz w:val="24"/>
          <w:szCs w:val="24"/>
          <w:lang w:eastAsia="en-GB"/>
          <w14:ligatures w14:val="none"/>
        </w:rPr>
        <w:t xml:space="preserve"> contends that weakening regulation can lead to a rise in insecure work and wage inequality (TUC, 2023), undermining long-term economic stability.</w:t>
      </w:r>
    </w:p>
    <w:p w14:paraId="422EF2B2" w14:textId="77777777" w:rsidR="00406E3D" w:rsidRPr="00406E3D" w:rsidRDefault="00406E3D" w:rsidP="00406E3D">
      <w:pPr>
        <w:spacing w:before="100" w:beforeAutospacing="1" w:after="100" w:afterAutospacing="1" w:line="240" w:lineRule="auto"/>
        <w:rPr>
          <w:rFonts w:ascii="Times New Roman" w:eastAsia="Times New Roman" w:hAnsi="Times New Roman" w:cs="Times New Roman"/>
          <w:color w:val="FF0000"/>
          <w:kern w:val="0"/>
          <w:sz w:val="24"/>
          <w:szCs w:val="24"/>
          <w:lang w:eastAsia="en-GB"/>
          <w14:ligatures w14:val="none"/>
        </w:rPr>
      </w:pPr>
      <w:r w:rsidRPr="00406E3D">
        <w:rPr>
          <w:rFonts w:ascii="Times New Roman" w:eastAsia="Times New Roman" w:hAnsi="Times New Roman" w:cs="Times New Roman"/>
          <w:color w:val="FF0000"/>
          <w:kern w:val="0"/>
          <w:sz w:val="24"/>
          <w:szCs w:val="24"/>
          <w:lang w:eastAsia="en-GB"/>
          <w14:ligatures w14:val="none"/>
        </w:rPr>
        <w:t xml:space="preserve">Health and safety legislation is another key area. The </w:t>
      </w:r>
      <w:r w:rsidRPr="00406E3D">
        <w:rPr>
          <w:rFonts w:ascii="Times New Roman" w:eastAsia="Times New Roman" w:hAnsi="Times New Roman" w:cs="Times New Roman"/>
          <w:i/>
          <w:iCs/>
          <w:color w:val="FF0000"/>
          <w:kern w:val="0"/>
          <w:sz w:val="24"/>
          <w:szCs w:val="24"/>
          <w:lang w:eastAsia="en-GB"/>
          <w14:ligatures w14:val="none"/>
        </w:rPr>
        <w:t>Health and Safety at Work etc. Act 1974</w:t>
      </w:r>
      <w:r w:rsidRPr="00406E3D">
        <w:rPr>
          <w:rFonts w:ascii="Times New Roman" w:eastAsia="Times New Roman" w:hAnsi="Times New Roman" w:cs="Times New Roman"/>
          <w:color w:val="FF0000"/>
          <w:kern w:val="0"/>
          <w:sz w:val="24"/>
          <w:szCs w:val="24"/>
          <w:lang w:eastAsia="en-GB"/>
          <w14:ligatures w14:val="none"/>
        </w:rPr>
        <w:t xml:space="preserve"> places a legal duty on employers to protect their staff. In a healthcare environment, where risk is high, such regulation is not just necessary—it is vital. Armstrong and Taylor (2022) note that regulation in this area improves wellbeing and reduces absence, leading to better performance outcomes.</w:t>
      </w:r>
    </w:p>
    <w:p w14:paraId="1E215F0C" w14:textId="77777777" w:rsidR="00406E3D" w:rsidRPr="00406E3D" w:rsidRDefault="00406E3D" w:rsidP="00406E3D">
      <w:pPr>
        <w:spacing w:before="100" w:beforeAutospacing="1" w:after="100" w:afterAutospacing="1" w:line="240" w:lineRule="auto"/>
        <w:rPr>
          <w:rFonts w:ascii="Times New Roman" w:eastAsia="Times New Roman" w:hAnsi="Times New Roman" w:cs="Times New Roman"/>
          <w:color w:val="FF0000"/>
          <w:kern w:val="0"/>
          <w:sz w:val="24"/>
          <w:szCs w:val="24"/>
          <w:lang w:eastAsia="en-GB"/>
          <w14:ligatures w14:val="none"/>
        </w:rPr>
      </w:pPr>
      <w:r w:rsidRPr="00406E3D">
        <w:rPr>
          <w:rFonts w:ascii="Times New Roman" w:eastAsia="Times New Roman" w:hAnsi="Times New Roman" w:cs="Times New Roman"/>
          <w:color w:val="FF0000"/>
          <w:kern w:val="0"/>
          <w:sz w:val="24"/>
          <w:szCs w:val="24"/>
          <w:lang w:eastAsia="en-GB"/>
          <w14:ligatures w14:val="none"/>
        </w:rPr>
        <w:t>Ultimately, while regulation does demand time and resources, it underpins a positive employment experience by ensuring legal compliance, promoting equity, and enhancing organisational integrity. Rather than a barrier, it should be seen as a mechanism for achieving better working lives (CIPD, 2023).</w:t>
      </w:r>
    </w:p>
    <w:p w14:paraId="4CB96DDB" w14:textId="77777777" w:rsidR="00406E3D" w:rsidRPr="003A26D0" w:rsidRDefault="00406E3D" w:rsidP="006648E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3FFFA688" w14:textId="79DD533D" w:rsidR="00C50A51" w:rsidRPr="003A26D0" w:rsidRDefault="00E45BE0" w:rsidP="00B9634F">
      <w:pPr>
        <w:pStyle w:val="ListParagraph"/>
        <w:numPr>
          <w:ilvl w:val="0"/>
          <w:numId w:val="11"/>
        </w:numPr>
        <w:spacing w:before="100" w:beforeAutospacing="1" w:after="100" w:afterAutospacing="1" w:line="240" w:lineRule="auto"/>
        <w:ind w:left="0"/>
        <w:rPr>
          <w:rFonts w:ascii="Times New Roman" w:eastAsia="Times New Roman" w:hAnsi="Times New Roman" w:cs="Times New Roman"/>
          <w:b/>
          <w:bCs/>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w:t>
      </w:r>
      <w:r w:rsidR="006A64F7" w:rsidRPr="003A26D0">
        <w:rPr>
          <w:rFonts w:ascii="Times New Roman" w:eastAsia="Times New Roman" w:hAnsi="Times New Roman" w:cs="Times New Roman"/>
          <w:b/>
          <w:bCs/>
          <w:kern w:val="0"/>
          <w:sz w:val="24"/>
          <w:szCs w:val="24"/>
          <w:lang w:eastAsia="en-GB"/>
          <w14:ligatures w14:val="none"/>
        </w:rPr>
        <w:t>AC 1.2</w:t>
      </w:r>
      <w:r w:rsidRPr="003A26D0">
        <w:rPr>
          <w:rFonts w:ascii="Times New Roman" w:eastAsia="Times New Roman" w:hAnsi="Times New Roman" w:cs="Times New Roman"/>
          <w:b/>
          <w:bCs/>
          <w:kern w:val="0"/>
          <w:sz w:val="24"/>
          <w:szCs w:val="24"/>
          <w:lang w:eastAsia="en-GB"/>
          <w14:ligatures w14:val="none"/>
        </w:rPr>
        <w:t>)</w:t>
      </w:r>
    </w:p>
    <w:p w14:paraId="0ED6394E" w14:textId="77777777" w:rsidR="00601C1D" w:rsidRPr="003A26D0"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Thank you for your query regarding the status of European Court of Justice (ECJ) judgments following the UK’s departure from the European Union in 2020.</w:t>
      </w:r>
    </w:p>
    <w:p w14:paraId="6604C09D" w14:textId="708B1782" w:rsidR="00601C1D" w:rsidRPr="003A26D0"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lastRenderedPageBreak/>
        <w:t>Before Brexit, ECJ rulings were binding on UK courts in matters of EU law, meaning they had to be followed. The EU (Withdrawal) Act 2018 and the Retained EU Law (Revocation and Reform) Act 2023 (REUL) changed this, allowing the UK to modify or remove laws previously taken from the EU. Since 1 January 2024, ECJ rulings are no longer automatically binding, though they can still be considered where relevant, particularly in areas where UK law has not yet changed. Courts now have the power to review and set aside ECJ decisions if they conflict with UK law or policy.</w:t>
      </w:r>
    </w:p>
    <w:p w14:paraId="3BA9A5D2" w14:textId="0C7A9B64" w:rsidR="00601C1D" w:rsidRPr="003A26D0"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While UK courts no longer </w:t>
      </w:r>
      <w:proofErr w:type="gramStart"/>
      <w:r w:rsidRPr="003A26D0">
        <w:rPr>
          <w:rFonts w:ascii="Times New Roman" w:eastAsia="Times New Roman" w:hAnsi="Times New Roman" w:cs="Times New Roman"/>
          <w:kern w:val="0"/>
          <w:sz w:val="24"/>
          <w:szCs w:val="24"/>
          <w:lang w:eastAsia="en-GB"/>
          <w14:ligatures w14:val="none"/>
        </w:rPr>
        <w:t>have to</w:t>
      </w:r>
      <w:proofErr w:type="gramEnd"/>
      <w:r w:rsidRPr="003A26D0">
        <w:rPr>
          <w:rFonts w:ascii="Times New Roman" w:eastAsia="Times New Roman" w:hAnsi="Times New Roman" w:cs="Times New Roman"/>
          <w:kern w:val="0"/>
          <w:sz w:val="24"/>
          <w:szCs w:val="24"/>
          <w:lang w:eastAsia="en-GB"/>
          <w14:ligatures w14:val="none"/>
        </w:rPr>
        <w:t xml:space="preserve"> follow ECJ rulings, decisions made before Brexit still apply unless changed by UK legislation. The UK Supreme Court and Court of Appeal can now </w:t>
      </w:r>
      <w:r w:rsidR="007803A7" w:rsidRPr="003A26D0">
        <w:rPr>
          <w:rFonts w:ascii="Times New Roman" w:eastAsia="Times New Roman" w:hAnsi="Times New Roman" w:cs="Times New Roman"/>
          <w:kern w:val="0"/>
          <w:sz w:val="24"/>
          <w:szCs w:val="24"/>
          <w:lang w:eastAsia="en-GB"/>
          <w14:ligatures w14:val="none"/>
        </w:rPr>
        <w:t>move away</w:t>
      </w:r>
      <w:r w:rsidRPr="003A26D0">
        <w:rPr>
          <w:rFonts w:ascii="Times New Roman" w:eastAsia="Times New Roman" w:hAnsi="Times New Roman" w:cs="Times New Roman"/>
          <w:kern w:val="0"/>
          <w:sz w:val="24"/>
          <w:szCs w:val="24"/>
          <w:lang w:eastAsia="en-GB"/>
          <w14:ligatures w14:val="none"/>
        </w:rPr>
        <w:t xml:space="preserve"> from these rulings if necessary, ensuring that UK employment law evolves independently. Employment tribunals and the Employment Appeal Tribunal (EAT) can escalate cases involving retained EU law to higher courts for clarification.</w:t>
      </w:r>
    </w:p>
    <w:p w14:paraId="3EB1ADCD" w14:textId="7A68E1B9" w:rsidR="00601C1D" w:rsidRPr="003A26D0"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A good example of this shift can be seen in holiday pay calculations. ECJ case law, such as British Gas Trading Ltd v Lock (2016), previously established that normal pay should include regular overtime and commission. UK tribunals followed this approach, but post-Brexit, courts may revisit how holiday pay is calculated under UK law.</w:t>
      </w:r>
    </w:p>
    <w:p w14:paraId="6A31B4F9" w14:textId="27EAE9F0" w:rsidR="00601C1D" w:rsidRPr="003A26D0"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Employment tribunals continue to play a vital role in resolving workplace disputes, handling claims related to unfair dismissal, discrimination, and redundancy. They offer employees an accessible and cost-effective route to challenge unlawful employment practices, while the EAT ensures consistency in how employment law is interpreted</w:t>
      </w:r>
      <w:r w:rsidR="00FD3BB9" w:rsidRPr="003A26D0">
        <w:rPr>
          <w:rFonts w:ascii="Times New Roman" w:eastAsia="Times New Roman" w:hAnsi="Times New Roman" w:cs="Times New Roman"/>
          <w:kern w:val="0"/>
          <w:sz w:val="24"/>
          <w:szCs w:val="24"/>
          <w:lang w:eastAsia="en-GB"/>
          <w14:ligatures w14:val="none"/>
        </w:rPr>
        <w:t>.</w:t>
      </w:r>
      <w:r w:rsidR="00E12A94" w:rsidRPr="003A26D0">
        <w:rPr>
          <w:rFonts w:ascii="Times New Roman" w:hAnsi="Times New Roman" w:cs="Times New Roman"/>
          <w:sz w:val="24"/>
          <w:szCs w:val="24"/>
        </w:rPr>
        <w:t xml:space="preserve"> (Unison, 2024)</w:t>
      </w:r>
    </w:p>
    <w:p w14:paraId="533D48CF" w14:textId="10CE0741" w:rsidR="00601C1D" w:rsidRPr="003A26D0"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The case of Uber BV v Aslam (2021) </w:t>
      </w:r>
      <w:r w:rsidR="00E12A94" w:rsidRPr="003A26D0">
        <w:rPr>
          <w:rFonts w:ascii="Times New Roman" w:eastAsia="Times New Roman" w:hAnsi="Times New Roman" w:cs="Times New Roman"/>
          <w:kern w:val="0"/>
          <w:sz w:val="24"/>
          <w:szCs w:val="24"/>
          <w:lang w:eastAsia="en-GB"/>
          <w14:ligatures w14:val="none"/>
        </w:rPr>
        <w:t xml:space="preserve">shows us </w:t>
      </w:r>
      <w:r w:rsidRPr="003A26D0">
        <w:rPr>
          <w:rFonts w:ascii="Times New Roman" w:eastAsia="Times New Roman" w:hAnsi="Times New Roman" w:cs="Times New Roman"/>
          <w:kern w:val="0"/>
          <w:sz w:val="24"/>
          <w:szCs w:val="24"/>
          <w:lang w:eastAsia="en-GB"/>
          <w14:ligatures w14:val="none"/>
        </w:rPr>
        <w:t>how UK courts enforce employment law independently of ECJ influence. The employment tribunal initially ruled that Uber drivers were "workers" rather than self-employed, meaning they were entitled to rights such as holiday pay and the national minimum wage. Uber appealed, but the UK Supreme Court upheld the ruling, reinforcing worker protections under UK law.</w:t>
      </w:r>
    </w:p>
    <w:p w14:paraId="1B56D307" w14:textId="1840323A" w:rsidR="006A64F7" w:rsidRPr="003A26D0" w:rsidRDefault="00601C1D" w:rsidP="00601C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Although ECJ rulings remain relevant, they are no longer binding on UK courts. Employment tribunals will continue to uphold employment rights, ensuring compliance with UK-specific laws and adapting to legal changes in the post-Brexit era. If you need any further clarification, </w:t>
      </w:r>
      <w:r w:rsidR="00E12A94" w:rsidRPr="003A26D0">
        <w:rPr>
          <w:rFonts w:ascii="Times New Roman" w:eastAsia="Times New Roman" w:hAnsi="Times New Roman" w:cs="Times New Roman"/>
          <w:kern w:val="0"/>
          <w:sz w:val="24"/>
          <w:szCs w:val="24"/>
          <w:lang w:eastAsia="en-GB"/>
          <w14:ligatures w14:val="none"/>
        </w:rPr>
        <w:t>please let me know and I will be happy</w:t>
      </w:r>
      <w:r w:rsidRPr="003A26D0">
        <w:rPr>
          <w:rFonts w:ascii="Times New Roman" w:eastAsia="Times New Roman" w:hAnsi="Times New Roman" w:cs="Times New Roman"/>
          <w:kern w:val="0"/>
          <w:sz w:val="24"/>
          <w:szCs w:val="24"/>
          <w:lang w:eastAsia="en-GB"/>
          <w14:ligatures w14:val="none"/>
        </w:rPr>
        <w:t xml:space="preserve"> to discuss this in more detail.</w:t>
      </w:r>
    </w:p>
    <w:p w14:paraId="37D002FE" w14:textId="6A3F6376" w:rsidR="00C50A51" w:rsidRPr="003A26D0" w:rsidRDefault="00E45BE0" w:rsidP="00B9634F">
      <w:pPr>
        <w:pStyle w:val="ListParagraph"/>
        <w:numPr>
          <w:ilvl w:val="0"/>
          <w:numId w:val="11"/>
        </w:numPr>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 xml:space="preserve">(AC </w:t>
      </w:r>
      <w:r w:rsidR="005657B8" w:rsidRPr="003A26D0">
        <w:rPr>
          <w:rFonts w:ascii="Times New Roman" w:eastAsia="Times New Roman" w:hAnsi="Times New Roman" w:cs="Times New Roman"/>
          <w:b/>
          <w:bCs/>
          <w:kern w:val="0"/>
          <w:sz w:val="24"/>
          <w:szCs w:val="24"/>
          <w:lang w:eastAsia="en-GB"/>
          <w14:ligatures w14:val="none"/>
        </w:rPr>
        <w:t>2.1</w:t>
      </w:r>
      <w:r w:rsidRPr="003A26D0">
        <w:rPr>
          <w:rFonts w:ascii="Times New Roman" w:eastAsia="Times New Roman" w:hAnsi="Times New Roman" w:cs="Times New Roman"/>
          <w:b/>
          <w:bCs/>
          <w:kern w:val="0"/>
          <w:sz w:val="24"/>
          <w:szCs w:val="24"/>
          <w:lang w:eastAsia="en-GB"/>
          <w14:ligatures w14:val="none"/>
        </w:rPr>
        <w:t>)</w:t>
      </w:r>
    </w:p>
    <w:p w14:paraId="79BED7B4" w14:textId="77777777" w:rsidR="00741DF7" w:rsidRPr="003A26D0" w:rsidRDefault="00741DF7" w:rsidP="00741DF7">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p>
    <w:p w14:paraId="61A0D184" w14:textId="77777777" w:rsidR="001F6D0C" w:rsidRPr="003A26D0" w:rsidRDefault="001F6D0C" w:rsidP="001F6D0C">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Under the Equality Act 2010 (</w:t>
      </w:r>
      <w:proofErr w:type="spellStart"/>
      <w:r w:rsidRPr="003A26D0">
        <w:rPr>
          <w:rFonts w:ascii="Times New Roman" w:eastAsia="Times New Roman" w:hAnsi="Times New Roman" w:cs="Times New Roman"/>
          <w:kern w:val="0"/>
          <w:sz w:val="24"/>
          <w:szCs w:val="24"/>
          <w:lang w:eastAsia="en-GB"/>
          <w14:ligatures w14:val="none"/>
        </w:rPr>
        <w:t>EqA</w:t>
      </w:r>
      <w:proofErr w:type="spellEnd"/>
      <w:r w:rsidRPr="003A26D0">
        <w:rPr>
          <w:rFonts w:ascii="Times New Roman" w:eastAsia="Times New Roman" w:hAnsi="Times New Roman" w:cs="Times New Roman"/>
          <w:kern w:val="0"/>
          <w:sz w:val="24"/>
          <w:szCs w:val="24"/>
          <w:lang w:eastAsia="en-GB"/>
          <w14:ligatures w14:val="none"/>
        </w:rPr>
        <w:t xml:space="preserve"> 2010), discrimination in recruitment and selection based on protected characteristics such as sex, race, disability, religion, or sexual orientation is generally prohibited. However, there are a few occupational exceptions, which allow an employer to specify certain characteristics if they can justify them as a "proportionate means of achieving a legitimate aim" (</w:t>
      </w:r>
      <w:proofErr w:type="spellStart"/>
      <w:r w:rsidRPr="003A26D0">
        <w:rPr>
          <w:rFonts w:ascii="Times New Roman" w:eastAsia="Times New Roman" w:hAnsi="Times New Roman" w:cs="Times New Roman"/>
          <w:kern w:val="0"/>
          <w:sz w:val="24"/>
          <w:szCs w:val="24"/>
          <w:lang w:eastAsia="en-GB"/>
          <w14:ligatures w14:val="none"/>
        </w:rPr>
        <w:t>EqA</w:t>
      </w:r>
      <w:proofErr w:type="spellEnd"/>
      <w:r w:rsidRPr="003A26D0">
        <w:rPr>
          <w:rFonts w:ascii="Times New Roman" w:eastAsia="Times New Roman" w:hAnsi="Times New Roman" w:cs="Times New Roman"/>
          <w:kern w:val="0"/>
          <w:sz w:val="24"/>
          <w:szCs w:val="24"/>
          <w:lang w:eastAsia="en-GB"/>
          <w14:ligatures w14:val="none"/>
        </w:rPr>
        <w:t xml:space="preserve"> 2010).</w:t>
      </w:r>
    </w:p>
    <w:p w14:paraId="7192A424" w14:textId="77777777" w:rsidR="001F6D0C" w:rsidRPr="003A26D0" w:rsidRDefault="001F6D0C" w:rsidP="001F6D0C">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1AFE08E" w14:textId="4B732580" w:rsidR="001F6D0C" w:rsidRPr="003A26D0" w:rsidRDefault="001F6D0C"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An occupational requirement is only allowed when the </w:t>
      </w:r>
      <w:r w:rsidR="000B4714" w:rsidRPr="003A26D0">
        <w:rPr>
          <w:rFonts w:ascii="Times New Roman" w:eastAsia="Times New Roman" w:hAnsi="Times New Roman" w:cs="Times New Roman"/>
          <w:kern w:val="0"/>
          <w:sz w:val="24"/>
          <w:szCs w:val="24"/>
          <w:lang w:eastAsia="en-GB"/>
          <w14:ligatures w14:val="none"/>
        </w:rPr>
        <w:t xml:space="preserve">job </w:t>
      </w:r>
      <w:r w:rsidRPr="003A26D0">
        <w:rPr>
          <w:rFonts w:ascii="Times New Roman" w:eastAsia="Times New Roman" w:hAnsi="Times New Roman" w:cs="Times New Roman"/>
          <w:kern w:val="0"/>
          <w:sz w:val="24"/>
          <w:szCs w:val="24"/>
          <w:lang w:eastAsia="en-GB"/>
          <w14:ligatures w14:val="none"/>
        </w:rPr>
        <w:t>role</w:t>
      </w:r>
      <w:r w:rsidR="000B4714" w:rsidRPr="003A26D0">
        <w:rPr>
          <w:rFonts w:ascii="Times New Roman" w:eastAsia="Times New Roman" w:hAnsi="Times New Roman" w:cs="Times New Roman"/>
          <w:kern w:val="0"/>
          <w:sz w:val="24"/>
          <w:szCs w:val="24"/>
          <w:lang w:eastAsia="en-GB"/>
          <w14:ligatures w14:val="none"/>
        </w:rPr>
        <w:t xml:space="preserve"> </w:t>
      </w:r>
      <w:r w:rsidRPr="003A26D0">
        <w:rPr>
          <w:rFonts w:ascii="Times New Roman" w:eastAsia="Times New Roman" w:hAnsi="Times New Roman" w:cs="Times New Roman"/>
          <w:kern w:val="0"/>
          <w:sz w:val="24"/>
          <w:szCs w:val="24"/>
          <w:lang w:eastAsia="en-GB"/>
          <w14:ligatures w14:val="none"/>
        </w:rPr>
        <w:t xml:space="preserve">makes it essential, and there is no </w:t>
      </w:r>
      <w:r w:rsidR="000B4714" w:rsidRPr="003A26D0">
        <w:rPr>
          <w:rFonts w:ascii="Times New Roman" w:eastAsia="Times New Roman" w:hAnsi="Times New Roman" w:cs="Times New Roman"/>
          <w:kern w:val="0"/>
          <w:sz w:val="24"/>
          <w:szCs w:val="24"/>
          <w:lang w:eastAsia="en-GB"/>
          <w14:ligatures w14:val="none"/>
        </w:rPr>
        <w:t>other option</w:t>
      </w:r>
      <w:r w:rsidRPr="003A26D0">
        <w:rPr>
          <w:rFonts w:ascii="Times New Roman" w:eastAsia="Times New Roman" w:hAnsi="Times New Roman" w:cs="Times New Roman"/>
          <w:kern w:val="0"/>
          <w:sz w:val="24"/>
          <w:szCs w:val="24"/>
          <w:lang w:eastAsia="en-GB"/>
          <w14:ligatures w14:val="none"/>
        </w:rPr>
        <w:t xml:space="preserve">. This </w:t>
      </w:r>
      <w:r w:rsidR="000B4714" w:rsidRPr="003A26D0">
        <w:rPr>
          <w:rFonts w:ascii="Times New Roman" w:eastAsia="Times New Roman" w:hAnsi="Times New Roman" w:cs="Times New Roman"/>
          <w:kern w:val="0"/>
          <w:sz w:val="24"/>
          <w:szCs w:val="24"/>
          <w:lang w:eastAsia="en-GB"/>
          <w14:ligatures w14:val="none"/>
        </w:rPr>
        <w:t>makes sure</w:t>
      </w:r>
      <w:r w:rsidRPr="003A26D0">
        <w:rPr>
          <w:rFonts w:ascii="Times New Roman" w:eastAsia="Times New Roman" w:hAnsi="Times New Roman" w:cs="Times New Roman"/>
          <w:kern w:val="0"/>
          <w:sz w:val="24"/>
          <w:szCs w:val="24"/>
          <w:lang w:eastAsia="en-GB"/>
          <w14:ligatures w14:val="none"/>
        </w:rPr>
        <w:t xml:space="preserve"> that the requirement is genuinely necessary rather than based on assumptions or employer preference (Daniels, 2022). A same-sex carer providing intimate personal care </w:t>
      </w:r>
      <w:r w:rsidR="000B4714" w:rsidRPr="003A26D0">
        <w:rPr>
          <w:rFonts w:ascii="Times New Roman" w:eastAsia="Times New Roman" w:hAnsi="Times New Roman" w:cs="Times New Roman"/>
          <w:kern w:val="0"/>
          <w:sz w:val="24"/>
          <w:szCs w:val="24"/>
          <w:lang w:eastAsia="en-GB"/>
          <w14:ligatures w14:val="none"/>
        </w:rPr>
        <w:t>can</w:t>
      </w:r>
      <w:r w:rsidRPr="003A26D0">
        <w:rPr>
          <w:rFonts w:ascii="Times New Roman" w:eastAsia="Times New Roman" w:hAnsi="Times New Roman" w:cs="Times New Roman"/>
          <w:kern w:val="0"/>
          <w:sz w:val="24"/>
          <w:szCs w:val="24"/>
          <w:lang w:eastAsia="en-GB"/>
          <w14:ligatures w14:val="none"/>
        </w:rPr>
        <w:t xml:space="preserve"> be justified </w:t>
      </w:r>
      <w:r w:rsidR="000B4714" w:rsidRPr="003A26D0">
        <w:rPr>
          <w:rFonts w:ascii="Times New Roman" w:eastAsia="Times New Roman" w:hAnsi="Times New Roman" w:cs="Times New Roman"/>
          <w:kern w:val="0"/>
          <w:sz w:val="24"/>
          <w:szCs w:val="24"/>
          <w:lang w:eastAsia="en-GB"/>
          <w14:ligatures w14:val="none"/>
        </w:rPr>
        <w:t xml:space="preserve">when taking </w:t>
      </w:r>
      <w:r w:rsidR="00741DF7" w:rsidRPr="003A26D0">
        <w:rPr>
          <w:rFonts w:ascii="Times New Roman" w:eastAsia="Times New Roman" w:hAnsi="Times New Roman" w:cs="Times New Roman"/>
          <w:kern w:val="0"/>
          <w:sz w:val="24"/>
          <w:szCs w:val="24"/>
          <w:lang w:eastAsia="en-GB"/>
          <w14:ligatures w14:val="none"/>
        </w:rPr>
        <w:t>into</w:t>
      </w:r>
      <w:r w:rsidR="000B4714" w:rsidRPr="003A26D0">
        <w:rPr>
          <w:rFonts w:ascii="Times New Roman" w:eastAsia="Times New Roman" w:hAnsi="Times New Roman" w:cs="Times New Roman"/>
          <w:kern w:val="0"/>
          <w:sz w:val="24"/>
          <w:szCs w:val="24"/>
          <w:lang w:eastAsia="en-GB"/>
          <w14:ligatures w14:val="none"/>
        </w:rPr>
        <w:t xml:space="preserve"> consideration</w:t>
      </w:r>
      <w:r w:rsidRPr="003A26D0">
        <w:rPr>
          <w:rFonts w:ascii="Times New Roman" w:eastAsia="Times New Roman" w:hAnsi="Times New Roman" w:cs="Times New Roman"/>
          <w:kern w:val="0"/>
          <w:sz w:val="24"/>
          <w:szCs w:val="24"/>
          <w:lang w:eastAsia="en-GB"/>
          <w14:ligatures w14:val="none"/>
        </w:rPr>
        <w:t xml:space="preserve"> privacy and dignity (EHRC, 2024). </w:t>
      </w:r>
      <w:r w:rsidR="000B4714" w:rsidRPr="003A26D0">
        <w:rPr>
          <w:rFonts w:ascii="Times New Roman" w:eastAsia="Times New Roman" w:hAnsi="Times New Roman" w:cs="Times New Roman"/>
          <w:kern w:val="0"/>
          <w:sz w:val="24"/>
          <w:szCs w:val="24"/>
          <w:lang w:eastAsia="en-GB"/>
          <w14:ligatures w14:val="none"/>
        </w:rPr>
        <w:t>In sensitive areas such as</w:t>
      </w:r>
      <w:r w:rsidRPr="003A26D0">
        <w:rPr>
          <w:rFonts w:ascii="Times New Roman" w:eastAsia="Times New Roman" w:hAnsi="Times New Roman" w:cs="Times New Roman"/>
          <w:kern w:val="0"/>
          <w:sz w:val="24"/>
          <w:szCs w:val="24"/>
          <w:lang w:eastAsia="en-GB"/>
          <w14:ligatures w14:val="none"/>
        </w:rPr>
        <w:t xml:space="preserve"> rape crisis centre</w:t>
      </w:r>
      <w:r w:rsidR="000B4714" w:rsidRPr="003A26D0">
        <w:rPr>
          <w:rFonts w:ascii="Times New Roman" w:eastAsia="Times New Roman" w:hAnsi="Times New Roman" w:cs="Times New Roman"/>
          <w:kern w:val="0"/>
          <w:sz w:val="24"/>
          <w:szCs w:val="24"/>
          <w:lang w:eastAsia="en-GB"/>
          <w14:ligatures w14:val="none"/>
        </w:rPr>
        <w:t>s</w:t>
      </w:r>
      <w:r w:rsidRPr="003A26D0">
        <w:rPr>
          <w:rFonts w:ascii="Times New Roman" w:eastAsia="Times New Roman" w:hAnsi="Times New Roman" w:cs="Times New Roman"/>
          <w:kern w:val="0"/>
          <w:sz w:val="24"/>
          <w:szCs w:val="24"/>
          <w:lang w:eastAsia="en-GB"/>
          <w14:ligatures w14:val="none"/>
        </w:rPr>
        <w:t xml:space="preserve"> may lawfully require female counsellors to support female victims of sexual violence, as male staff could cause further distress (CIPD, 2025).</w:t>
      </w:r>
    </w:p>
    <w:p w14:paraId="73467B94" w14:textId="77777777" w:rsidR="001F6D0C" w:rsidRPr="003A26D0" w:rsidRDefault="001F6D0C"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p>
    <w:p w14:paraId="71FFCE5B" w14:textId="2D1CA012" w:rsidR="001F6D0C" w:rsidRPr="003A26D0" w:rsidRDefault="000B4714"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With all that in mind,</w:t>
      </w:r>
      <w:r w:rsidR="001F6D0C" w:rsidRPr="003A26D0">
        <w:rPr>
          <w:rFonts w:ascii="Times New Roman" w:eastAsia="Times New Roman" w:hAnsi="Times New Roman" w:cs="Times New Roman"/>
          <w:kern w:val="0"/>
          <w:sz w:val="24"/>
          <w:szCs w:val="24"/>
          <w:lang w:eastAsia="en-GB"/>
          <w14:ligatures w14:val="none"/>
        </w:rPr>
        <w:t xml:space="preserve"> requirements cannot be used to satisfy customer preferences. A company cannot justify hiring only male managers based on stereotypical assumptions about leadership ability. Likewise, a women’s clothing store cannot refuse to hire men because it assumes only women can assist female customers, as shown in Etam plc v Rowan (1989), where the tribunal ruled that male employees could perform the same duties (Daniels, 2022). In Home Office v </w:t>
      </w:r>
      <w:proofErr w:type="spellStart"/>
      <w:r w:rsidR="001F6D0C" w:rsidRPr="003A26D0">
        <w:rPr>
          <w:rFonts w:ascii="Times New Roman" w:eastAsia="Times New Roman" w:hAnsi="Times New Roman" w:cs="Times New Roman"/>
          <w:kern w:val="0"/>
          <w:sz w:val="24"/>
          <w:szCs w:val="24"/>
          <w:lang w:eastAsia="en-GB"/>
          <w14:ligatures w14:val="none"/>
        </w:rPr>
        <w:t>Moyhing</w:t>
      </w:r>
      <w:proofErr w:type="spellEnd"/>
      <w:r w:rsidR="001F6D0C" w:rsidRPr="003A26D0">
        <w:rPr>
          <w:rFonts w:ascii="Times New Roman" w:eastAsia="Times New Roman" w:hAnsi="Times New Roman" w:cs="Times New Roman"/>
          <w:kern w:val="0"/>
          <w:sz w:val="24"/>
          <w:szCs w:val="24"/>
          <w:lang w:eastAsia="en-GB"/>
          <w14:ligatures w14:val="none"/>
        </w:rPr>
        <w:t xml:space="preserve"> (2000), the courts upheld a requirement for female staff to conduct intimate searches of female detainees, as it was necessary for privacy reasons.</w:t>
      </w:r>
    </w:p>
    <w:p w14:paraId="7D9C60FB" w14:textId="77777777" w:rsidR="001F6D0C" w:rsidRPr="003A26D0" w:rsidRDefault="001F6D0C"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p>
    <w:p w14:paraId="73417AFC" w14:textId="0B062136" w:rsidR="001F6D0C" w:rsidRPr="003A26D0" w:rsidRDefault="000B4714"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Employers</w:t>
      </w:r>
      <w:r w:rsidR="001F6D0C" w:rsidRPr="003A26D0">
        <w:rPr>
          <w:rFonts w:ascii="Times New Roman" w:eastAsia="Times New Roman" w:hAnsi="Times New Roman" w:cs="Times New Roman"/>
          <w:kern w:val="0"/>
          <w:sz w:val="24"/>
          <w:szCs w:val="24"/>
          <w:lang w:eastAsia="en-GB"/>
          <w14:ligatures w14:val="none"/>
        </w:rPr>
        <w:t xml:space="preserve"> must be cautious when relying on occupational requirements to avoid claims of indirect discrimination. They must ensure that any restriction is supported by strong evidence and meets the legal test of being a fair way to achieve a legitimate aim. A key example is religious organisations, where a requirement to be of a particular faith may be justified only if it is central to the role (EHRC, 2024).</w:t>
      </w:r>
    </w:p>
    <w:p w14:paraId="321814DA" w14:textId="77777777" w:rsidR="001F6D0C" w:rsidRPr="003A26D0" w:rsidRDefault="001F6D0C"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p>
    <w:p w14:paraId="60E4BA0C" w14:textId="0DA3BA4C" w:rsidR="001F6D0C" w:rsidRPr="003A26D0" w:rsidRDefault="001F6D0C" w:rsidP="000B4714">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It is also important to note that occupational requirements should </w:t>
      </w:r>
      <w:r w:rsidR="000B4714" w:rsidRPr="003A26D0">
        <w:rPr>
          <w:rFonts w:ascii="Times New Roman" w:eastAsia="Times New Roman" w:hAnsi="Times New Roman" w:cs="Times New Roman"/>
          <w:kern w:val="0"/>
          <w:sz w:val="24"/>
          <w:szCs w:val="24"/>
          <w:lang w:eastAsia="en-GB"/>
          <w14:ligatures w14:val="none"/>
        </w:rPr>
        <w:t xml:space="preserve">always be </w:t>
      </w:r>
      <w:r w:rsidR="00741DF7" w:rsidRPr="003A26D0">
        <w:rPr>
          <w:rFonts w:ascii="Times New Roman" w:eastAsia="Times New Roman" w:hAnsi="Times New Roman" w:cs="Times New Roman"/>
          <w:kern w:val="0"/>
          <w:sz w:val="24"/>
          <w:szCs w:val="24"/>
          <w:lang w:eastAsia="en-GB"/>
          <w14:ligatures w14:val="none"/>
        </w:rPr>
        <w:t>investigated</w:t>
      </w:r>
      <w:r w:rsidRPr="003A26D0">
        <w:rPr>
          <w:rFonts w:ascii="Times New Roman" w:eastAsia="Times New Roman" w:hAnsi="Times New Roman" w:cs="Times New Roman"/>
          <w:kern w:val="0"/>
          <w:sz w:val="24"/>
          <w:szCs w:val="24"/>
          <w:lang w:eastAsia="en-GB"/>
          <w14:ligatures w14:val="none"/>
        </w:rPr>
        <w:t xml:space="preserve"> to ensure they remain </w:t>
      </w:r>
      <w:r w:rsidR="000B4714" w:rsidRPr="003A26D0">
        <w:rPr>
          <w:rFonts w:ascii="Times New Roman" w:eastAsia="Times New Roman" w:hAnsi="Times New Roman" w:cs="Times New Roman"/>
          <w:kern w:val="0"/>
          <w:sz w:val="24"/>
          <w:szCs w:val="24"/>
          <w:lang w:eastAsia="en-GB"/>
          <w14:ligatures w14:val="none"/>
        </w:rPr>
        <w:t>correct</w:t>
      </w:r>
      <w:r w:rsidRPr="003A26D0">
        <w:rPr>
          <w:rFonts w:ascii="Times New Roman" w:eastAsia="Times New Roman" w:hAnsi="Times New Roman" w:cs="Times New Roman"/>
          <w:kern w:val="0"/>
          <w:sz w:val="24"/>
          <w:szCs w:val="24"/>
          <w:lang w:eastAsia="en-GB"/>
          <w14:ligatures w14:val="none"/>
        </w:rPr>
        <w:t xml:space="preserve"> as workplace policies </w:t>
      </w:r>
      <w:r w:rsidR="00741DF7" w:rsidRPr="003A26D0">
        <w:rPr>
          <w:rFonts w:ascii="Times New Roman" w:eastAsia="Times New Roman" w:hAnsi="Times New Roman" w:cs="Times New Roman"/>
          <w:kern w:val="0"/>
          <w:sz w:val="24"/>
          <w:szCs w:val="24"/>
          <w:lang w:eastAsia="en-GB"/>
          <w14:ligatures w14:val="none"/>
        </w:rPr>
        <w:t>change</w:t>
      </w:r>
      <w:r w:rsidRPr="003A26D0">
        <w:rPr>
          <w:rFonts w:ascii="Times New Roman" w:eastAsia="Times New Roman" w:hAnsi="Times New Roman" w:cs="Times New Roman"/>
          <w:kern w:val="0"/>
          <w:sz w:val="24"/>
          <w:szCs w:val="24"/>
          <w:lang w:eastAsia="en-GB"/>
          <w14:ligatures w14:val="none"/>
        </w:rPr>
        <w:t>. Employers should also consult guidance from the Equality and Human Rights Commission (EHRC) and CIPD to ensure compliance with the law.</w:t>
      </w:r>
    </w:p>
    <w:p w14:paraId="41C249CF" w14:textId="77777777" w:rsidR="001F6D0C" w:rsidRPr="003A26D0" w:rsidRDefault="001F6D0C" w:rsidP="001F6D0C">
      <w:pPr>
        <w:pStyle w:val="ListParagraph"/>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01A24F2" w14:textId="55964FCE" w:rsidR="001F6D0C" w:rsidRPr="003A26D0" w:rsidRDefault="001F6D0C" w:rsidP="001F6D0C">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I hope this helps clarify the principles of occupational requirements. Please let me know if you need any further assistance.</w:t>
      </w:r>
    </w:p>
    <w:p w14:paraId="103E886F" w14:textId="77777777" w:rsidR="001F6D0C" w:rsidRPr="003A26D0" w:rsidRDefault="001F6D0C" w:rsidP="001F6D0C">
      <w:pPr>
        <w:pStyle w:val="ListParagraph"/>
        <w:spacing w:before="100" w:beforeAutospacing="1" w:after="100" w:afterAutospacing="1" w:line="240" w:lineRule="auto"/>
        <w:ind w:left="0"/>
        <w:rPr>
          <w:rFonts w:ascii="Times New Roman" w:eastAsia="Times New Roman" w:hAnsi="Times New Roman" w:cs="Times New Roman"/>
          <w:kern w:val="0"/>
          <w:sz w:val="24"/>
          <w:szCs w:val="24"/>
          <w:lang w:eastAsia="en-GB"/>
          <w14:ligatures w14:val="none"/>
        </w:rPr>
      </w:pPr>
    </w:p>
    <w:p w14:paraId="4D98CE87" w14:textId="77777777" w:rsidR="001F6D0C" w:rsidRPr="003A26D0" w:rsidRDefault="001F6D0C" w:rsidP="001F6D0C">
      <w:pPr>
        <w:pStyle w:val="ListParagraph"/>
        <w:spacing w:after="0" w:line="240" w:lineRule="auto"/>
        <w:ind w:left="0"/>
        <w:rPr>
          <w:rFonts w:ascii="Times New Roman" w:eastAsia="Times New Roman" w:hAnsi="Times New Roman" w:cs="Times New Roman"/>
          <w:b/>
          <w:bCs/>
          <w:kern w:val="0"/>
          <w:sz w:val="24"/>
          <w:szCs w:val="24"/>
          <w:lang w:eastAsia="en-GB"/>
          <w14:ligatures w14:val="none"/>
        </w:rPr>
      </w:pPr>
    </w:p>
    <w:p w14:paraId="513FEEFC" w14:textId="77777777" w:rsidR="001F6D0C" w:rsidRPr="003A26D0" w:rsidRDefault="001F6D0C" w:rsidP="001F6D0C">
      <w:pPr>
        <w:pStyle w:val="ListParagraph"/>
        <w:spacing w:after="0" w:line="240" w:lineRule="auto"/>
        <w:ind w:left="0"/>
        <w:rPr>
          <w:rFonts w:ascii="Times New Roman" w:eastAsia="Times New Roman" w:hAnsi="Times New Roman" w:cs="Times New Roman"/>
          <w:b/>
          <w:bCs/>
          <w:kern w:val="0"/>
          <w:sz w:val="24"/>
          <w:szCs w:val="24"/>
          <w:lang w:eastAsia="en-GB"/>
          <w14:ligatures w14:val="none"/>
        </w:rPr>
      </w:pPr>
    </w:p>
    <w:p w14:paraId="4712C237" w14:textId="53705A6E" w:rsidR="00B9634F" w:rsidRPr="003A26D0" w:rsidRDefault="00582405" w:rsidP="000B4714">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(AC 2.2)</w:t>
      </w:r>
    </w:p>
    <w:p w14:paraId="41894856" w14:textId="2576511E"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br/>
      </w:r>
      <w:r w:rsidRPr="003A26D0">
        <w:rPr>
          <w:rFonts w:ascii="Times New Roman" w:eastAsia="Times New Roman" w:hAnsi="Times New Roman" w:cs="Times New Roman"/>
          <w:kern w:val="0"/>
          <w:sz w:val="24"/>
          <w:szCs w:val="24"/>
          <w:lang w:eastAsia="en-GB"/>
          <w14:ligatures w14:val="none"/>
        </w:rPr>
        <w:t>Before approving, it is</w:t>
      </w:r>
      <w:r w:rsidR="003D5FC4" w:rsidRPr="003A26D0">
        <w:rPr>
          <w:rFonts w:ascii="Times New Roman" w:eastAsia="Times New Roman" w:hAnsi="Times New Roman" w:cs="Times New Roman"/>
          <w:kern w:val="0"/>
          <w:sz w:val="24"/>
          <w:szCs w:val="24"/>
          <w:lang w:eastAsia="en-GB"/>
          <w14:ligatures w14:val="none"/>
        </w:rPr>
        <w:t xml:space="preserve"> important </w:t>
      </w:r>
      <w:r w:rsidRPr="003A26D0">
        <w:rPr>
          <w:rFonts w:ascii="Times New Roman" w:eastAsia="Times New Roman" w:hAnsi="Times New Roman" w:cs="Times New Roman"/>
          <w:kern w:val="0"/>
          <w:sz w:val="24"/>
          <w:szCs w:val="24"/>
          <w:lang w:eastAsia="en-GB"/>
          <w14:ligatures w14:val="none"/>
        </w:rPr>
        <w:t>to consider the legal requirements of equal pay under the Equality Act 2010, which ensures that men and women performing the same or equivalent work receive equal pay and benefits (Equality Act 2010).</w:t>
      </w:r>
    </w:p>
    <w:p w14:paraId="4AA8DD37" w14:textId="77777777"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p>
    <w:p w14:paraId="4B3B55E1" w14:textId="77777777"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Equal pay law requires that employees of different genders be paid equally for like work, which involves similar tasks and responsibilities. It also applies to work rated as equivalent, where a job evaluation scheme has determined that roles are of equal worth, and work of equal value, where different jobs require comparable levels of skill, responsibility, and effort (Daniels, 2022).</w:t>
      </w:r>
    </w:p>
    <w:p w14:paraId="3E5A7CD8" w14:textId="77777777"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p>
    <w:p w14:paraId="307437B9" w14:textId="77777777"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Given that 80% of HCAs in the Trust are women, upgrading only the two male employees may raise concerns about indirect sex discrimination. If other HCAs, particularly women, perform similar roles at Grade A but are not considered for promotion, they may have grounds to bring an equal pay claim. Under the law, an equal pay claim requires a comparator, meaning an individual of the opposite gender performing the same or equivalent work but receiving higher pay (ACAS, 2024). If a female HCA at Grade A can show that she performs similar work to those being upgraded but is not receiving the same benefits, this could lead to legal challenges.</w:t>
      </w:r>
    </w:p>
    <w:p w14:paraId="758A7218" w14:textId="77777777"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p>
    <w:p w14:paraId="5B480445" w14:textId="523E3633"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To ensure </w:t>
      </w:r>
      <w:r w:rsidR="00CA761E" w:rsidRPr="003A26D0">
        <w:rPr>
          <w:rFonts w:ascii="Times New Roman" w:eastAsia="Times New Roman" w:hAnsi="Times New Roman" w:cs="Times New Roman"/>
          <w:kern w:val="0"/>
          <w:sz w:val="24"/>
          <w:szCs w:val="24"/>
          <w:lang w:eastAsia="en-GB"/>
          <w14:ligatures w14:val="none"/>
        </w:rPr>
        <w:t>fairness</w:t>
      </w:r>
      <w:r w:rsidRPr="003A26D0">
        <w:rPr>
          <w:rFonts w:ascii="Times New Roman" w:eastAsia="Times New Roman" w:hAnsi="Times New Roman" w:cs="Times New Roman"/>
          <w:kern w:val="0"/>
          <w:sz w:val="24"/>
          <w:szCs w:val="24"/>
          <w:lang w:eastAsia="en-GB"/>
          <w14:ligatures w14:val="none"/>
        </w:rPr>
        <w:t>, the Trust must have a clear</w:t>
      </w:r>
      <w:r w:rsidR="00CA761E" w:rsidRPr="003A26D0">
        <w:rPr>
          <w:rFonts w:ascii="Times New Roman" w:eastAsia="Times New Roman" w:hAnsi="Times New Roman" w:cs="Times New Roman"/>
          <w:kern w:val="0"/>
          <w:sz w:val="24"/>
          <w:szCs w:val="24"/>
          <w:lang w:eastAsia="en-GB"/>
          <w14:ligatures w14:val="none"/>
        </w:rPr>
        <w:t xml:space="preserve"> reason</w:t>
      </w:r>
      <w:r w:rsidRPr="003A26D0">
        <w:rPr>
          <w:rFonts w:ascii="Times New Roman" w:eastAsia="Times New Roman" w:hAnsi="Times New Roman" w:cs="Times New Roman"/>
          <w:kern w:val="0"/>
          <w:sz w:val="24"/>
          <w:szCs w:val="24"/>
          <w:lang w:eastAsia="en-GB"/>
          <w14:ligatures w14:val="none"/>
        </w:rPr>
        <w:t xml:space="preserve"> for selecting these two individuals for an upgrade. The law allows pay differences if they are due to a material factor that is genuine and unrelated to gender. This could include additional qualifications or specialist training required for the higher grade</w:t>
      </w:r>
      <w:r w:rsidR="00117577" w:rsidRPr="003A26D0">
        <w:rPr>
          <w:rFonts w:ascii="Times New Roman" w:eastAsia="Times New Roman" w:hAnsi="Times New Roman" w:cs="Times New Roman"/>
          <w:kern w:val="0"/>
          <w:sz w:val="24"/>
          <w:szCs w:val="24"/>
          <w:lang w:eastAsia="en-GB"/>
          <w14:ligatures w14:val="none"/>
        </w:rPr>
        <w:t xml:space="preserve"> (NI Business Info, 2024), </w:t>
      </w:r>
      <w:r w:rsidRPr="003A26D0">
        <w:rPr>
          <w:rFonts w:ascii="Times New Roman" w:eastAsia="Times New Roman" w:hAnsi="Times New Roman" w:cs="Times New Roman"/>
          <w:kern w:val="0"/>
          <w:sz w:val="24"/>
          <w:szCs w:val="24"/>
          <w:lang w:eastAsia="en-GB"/>
          <w14:ligatures w14:val="none"/>
        </w:rPr>
        <w:t xml:space="preserve">measurable performance-based </w:t>
      </w:r>
      <w:r w:rsidRPr="003A26D0">
        <w:rPr>
          <w:rFonts w:ascii="Times New Roman" w:eastAsia="Times New Roman" w:hAnsi="Times New Roman" w:cs="Times New Roman"/>
          <w:kern w:val="0"/>
          <w:sz w:val="24"/>
          <w:szCs w:val="24"/>
          <w:lang w:eastAsia="en-GB"/>
          <w14:ligatures w14:val="none"/>
        </w:rPr>
        <w:lastRenderedPageBreak/>
        <w:t>criteria justifying a pay increase, or an established job evaluation scheme confirming that these roles warrant higher pay</w:t>
      </w:r>
      <w:r w:rsidR="006B6B19" w:rsidRPr="003A26D0">
        <w:rPr>
          <w:rFonts w:ascii="Times New Roman" w:eastAsia="Times New Roman" w:hAnsi="Times New Roman" w:cs="Times New Roman"/>
          <w:kern w:val="0"/>
          <w:sz w:val="24"/>
          <w:szCs w:val="24"/>
          <w:lang w:eastAsia="en-GB"/>
          <w14:ligatures w14:val="none"/>
        </w:rPr>
        <w:t>.</w:t>
      </w:r>
    </w:p>
    <w:p w14:paraId="74D8A726" w14:textId="77777777"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p>
    <w:p w14:paraId="36916613" w14:textId="2960AAE6"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A</w:t>
      </w:r>
      <w:r w:rsidR="00CA761E" w:rsidRPr="003A26D0">
        <w:rPr>
          <w:rFonts w:ascii="Times New Roman" w:eastAsia="Times New Roman" w:hAnsi="Times New Roman" w:cs="Times New Roman"/>
          <w:kern w:val="0"/>
          <w:sz w:val="24"/>
          <w:szCs w:val="24"/>
          <w:lang w:eastAsia="en-GB"/>
          <w14:ligatures w14:val="none"/>
        </w:rPr>
        <w:t xml:space="preserve">n </w:t>
      </w:r>
      <w:r w:rsidRPr="003A26D0">
        <w:rPr>
          <w:rFonts w:ascii="Times New Roman" w:eastAsia="Times New Roman" w:hAnsi="Times New Roman" w:cs="Times New Roman"/>
          <w:kern w:val="0"/>
          <w:sz w:val="24"/>
          <w:szCs w:val="24"/>
          <w:lang w:eastAsia="en-GB"/>
          <w14:ligatures w14:val="none"/>
        </w:rPr>
        <w:t xml:space="preserve">example of equal pay laws can be seen in the case of the Dagenham Ford workers in 1968, where female sewing machinists at the Ford plant went on strike after </w:t>
      </w:r>
      <w:r w:rsidR="00CA761E" w:rsidRPr="003A26D0">
        <w:rPr>
          <w:rFonts w:ascii="Times New Roman" w:eastAsia="Times New Roman" w:hAnsi="Times New Roman" w:cs="Times New Roman"/>
          <w:kern w:val="0"/>
          <w:sz w:val="24"/>
          <w:szCs w:val="24"/>
          <w:lang w:eastAsia="en-GB"/>
          <w14:ligatures w14:val="none"/>
        </w:rPr>
        <w:t>finding out</w:t>
      </w:r>
      <w:r w:rsidRPr="003A26D0">
        <w:rPr>
          <w:rFonts w:ascii="Times New Roman" w:eastAsia="Times New Roman" w:hAnsi="Times New Roman" w:cs="Times New Roman"/>
          <w:kern w:val="0"/>
          <w:sz w:val="24"/>
          <w:szCs w:val="24"/>
          <w:lang w:eastAsia="en-GB"/>
          <w14:ligatures w14:val="none"/>
        </w:rPr>
        <w:t xml:space="preserve"> they were paid </w:t>
      </w:r>
      <w:r w:rsidR="00CA761E" w:rsidRPr="003A26D0">
        <w:rPr>
          <w:rFonts w:ascii="Times New Roman" w:eastAsia="Times New Roman" w:hAnsi="Times New Roman" w:cs="Times New Roman"/>
          <w:kern w:val="0"/>
          <w:sz w:val="24"/>
          <w:szCs w:val="24"/>
          <w:lang w:eastAsia="en-GB"/>
          <w14:ligatures w14:val="none"/>
        </w:rPr>
        <w:t>a lot</w:t>
      </w:r>
      <w:r w:rsidRPr="003A26D0">
        <w:rPr>
          <w:rFonts w:ascii="Times New Roman" w:eastAsia="Times New Roman" w:hAnsi="Times New Roman" w:cs="Times New Roman"/>
          <w:kern w:val="0"/>
          <w:sz w:val="24"/>
          <w:szCs w:val="24"/>
          <w:lang w:eastAsia="en-GB"/>
          <w14:ligatures w14:val="none"/>
        </w:rPr>
        <w:t xml:space="preserve"> less than </w:t>
      </w:r>
      <w:r w:rsidR="00CA761E" w:rsidRPr="003A26D0">
        <w:rPr>
          <w:rFonts w:ascii="Times New Roman" w:eastAsia="Times New Roman" w:hAnsi="Times New Roman" w:cs="Times New Roman"/>
          <w:kern w:val="0"/>
          <w:sz w:val="24"/>
          <w:szCs w:val="24"/>
          <w:lang w:eastAsia="en-GB"/>
          <w14:ligatures w14:val="none"/>
        </w:rPr>
        <w:t>male employees</w:t>
      </w:r>
      <w:r w:rsidRPr="003A26D0">
        <w:rPr>
          <w:rFonts w:ascii="Times New Roman" w:eastAsia="Times New Roman" w:hAnsi="Times New Roman" w:cs="Times New Roman"/>
          <w:kern w:val="0"/>
          <w:sz w:val="24"/>
          <w:szCs w:val="24"/>
          <w:lang w:eastAsia="en-GB"/>
          <w14:ligatures w14:val="none"/>
        </w:rPr>
        <w:t xml:space="preserve">, despite performing skilled work. Their protest led to the introduction of the Equal Pay Act 1970, which later </w:t>
      </w:r>
      <w:r w:rsidR="003E338F" w:rsidRPr="003A26D0">
        <w:rPr>
          <w:rFonts w:ascii="Times New Roman" w:eastAsia="Times New Roman" w:hAnsi="Times New Roman" w:cs="Times New Roman"/>
          <w:kern w:val="0"/>
          <w:sz w:val="24"/>
          <w:szCs w:val="24"/>
          <w:lang w:eastAsia="en-GB"/>
          <w14:ligatures w14:val="none"/>
        </w:rPr>
        <w:t>developed into</w:t>
      </w:r>
      <w:r w:rsidRPr="003A26D0">
        <w:rPr>
          <w:rFonts w:ascii="Times New Roman" w:eastAsia="Times New Roman" w:hAnsi="Times New Roman" w:cs="Times New Roman"/>
          <w:kern w:val="0"/>
          <w:sz w:val="24"/>
          <w:szCs w:val="24"/>
          <w:lang w:eastAsia="en-GB"/>
          <w14:ligatures w14:val="none"/>
        </w:rPr>
        <w:t xml:space="preserve"> the Equality Act 2010 (Daniels, 2022). Cases like this highlight why pay decisions must be based on transparent, </w:t>
      </w:r>
      <w:r w:rsidR="00CA761E" w:rsidRPr="003A26D0">
        <w:rPr>
          <w:rFonts w:ascii="Times New Roman" w:eastAsia="Times New Roman" w:hAnsi="Times New Roman" w:cs="Times New Roman"/>
          <w:kern w:val="0"/>
          <w:sz w:val="24"/>
          <w:szCs w:val="24"/>
          <w:lang w:eastAsia="en-GB"/>
          <w14:ligatures w14:val="none"/>
        </w:rPr>
        <w:t>clear</w:t>
      </w:r>
      <w:r w:rsidRPr="003A26D0">
        <w:rPr>
          <w:rFonts w:ascii="Times New Roman" w:eastAsia="Times New Roman" w:hAnsi="Times New Roman" w:cs="Times New Roman"/>
          <w:kern w:val="0"/>
          <w:sz w:val="24"/>
          <w:szCs w:val="24"/>
          <w:lang w:eastAsia="en-GB"/>
          <w14:ligatures w14:val="none"/>
        </w:rPr>
        <w:t xml:space="preserve"> criteria to avoid claims of discrimination.</w:t>
      </w:r>
    </w:p>
    <w:p w14:paraId="0305B7C1" w14:textId="77777777"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p>
    <w:p w14:paraId="1CB2EDFC" w14:textId="653E903F" w:rsidR="000E2D88" w:rsidRPr="003A26D0" w:rsidRDefault="000E2D88" w:rsidP="000E2D88">
      <w:pPr>
        <w:spacing w:after="0"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I recommend reviewing whether other HCAs of similar experience and responsibilities are eligible for an upgrade and ensuring that any decision is based on clear, non-discriminatory factors. Please let me know if you need further guidance on conducting an internal equal pay review.</w:t>
      </w:r>
    </w:p>
    <w:p w14:paraId="6452ADB3" w14:textId="77777777" w:rsidR="003642B3" w:rsidRPr="003A26D0" w:rsidRDefault="003642B3" w:rsidP="000E2D88">
      <w:pPr>
        <w:spacing w:after="0" w:line="240" w:lineRule="auto"/>
        <w:rPr>
          <w:rFonts w:ascii="Times New Roman" w:eastAsia="Times New Roman" w:hAnsi="Times New Roman" w:cs="Times New Roman"/>
          <w:kern w:val="0"/>
          <w:sz w:val="24"/>
          <w:szCs w:val="24"/>
          <w:lang w:eastAsia="en-GB"/>
          <w14:ligatures w14:val="none"/>
        </w:rPr>
      </w:pPr>
    </w:p>
    <w:p w14:paraId="40B9452E" w14:textId="77777777" w:rsidR="003642B3" w:rsidRPr="003A26D0" w:rsidRDefault="003642B3" w:rsidP="000E2D88">
      <w:pPr>
        <w:spacing w:after="0" w:line="240" w:lineRule="auto"/>
        <w:rPr>
          <w:rFonts w:ascii="Times New Roman" w:eastAsia="Times New Roman" w:hAnsi="Times New Roman" w:cs="Times New Roman"/>
          <w:kern w:val="0"/>
          <w:sz w:val="24"/>
          <w:szCs w:val="24"/>
          <w:lang w:eastAsia="en-GB"/>
          <w14:ligatures w14:val="none"/>
        </w:rPr>
      </w:pPr>
    </w:p>
    <w:p w14:paraId="4E6181EA" w14:textId="559F6897" w:rsidR="00C50A51" w:rsidRPr="003A26D0" w:rsidRDefault="003E338F"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(AC 3.1)</w:t>
      </w:r>
    </w:p>
    <w:p w14:paraId="4B80F97D" w14:textId="19072415" w:rsidR="00AD2A4C" w:rsidRPr="003A26D0" w:rsidRDefault="00AD2A4C" w:rsidP="00AD2A4C">
      <w:pPr>
        <w:pStyle w:val="NormalWeb"/>
      </w:pPr>
      <w:r w:rsidRPr="003A26D0">
        <w:t xml:space="preserve">Constructive dismissal occurs when an employee resigns due to a serious breach of contract by their employer, making it </w:t>
      </w:r>
      <w:r w:rsidR="007F018E" w:rsidRPr="003A26D0">
        <w:t>extremely difficult</w:t>
      </w:r>
      <w:r w:rsidRPr="003A26D0">
        <w:t xml:space="preserve"> for them to continue working under the given conditions, as outlined in section 95(1)(c) of the Employment Rights Act 1996.</w:t>
      </w:r>
      <w:r w:rsidR="002C43A3" w:rsidRPr="003A26D0">
        <w:t xml:space="preserve"> An employee can only file a constructive dismissal claim if they have completed two years of continuous service. (People Management, 2017)</w:t>
      </w:r>
    </w:p>
    <w:p w14:paraId="2DF00B86" w14:textId="2960A7D7" w:rsidR="00AD2A4C" w:rsidRPr="003A26D0" w:rsidRDefault="00AD2A4C" w:rsidP="00AD2A4C">
      <w:pPr>
        <w:pStyle w:val="NormalWeb"/>
      </w:pPr>
      <w:r w:rsidRPr="003A26D0">
        <w:t xml:space="preserve">For a claim to succeed, the employee must </w:t>
      </w:r>
      <w:r w:rsidR="00E821E4" w:rsidRPr="003A26D0">
        <w:t>show</w:t>
      </w:r>
      <w:r w:rsidRPr="003A26D0">
        <w:t xml:space="preserve"> that </w:t>
      </w:r>
      <w:r w:rsidR="00117577" w:rsidRPr="003A26D0">
        <w:t xml:space="preserve">we have </w:t>
      </w:r>
      <w:r w:rsidRPr="003A26D0">
        <w:t>breach</w:t>
      </w:r>
      <w:r w:rsidR="00E821E4" w:rsidRPr="003A26D0">
        <w:t>ed the</w:t>
      </w:r>
      <w:r w:rsidR="00117577" w:rsidRPr="003A26D0">
        <w:t>ir</w:t>
      </w:r>
      <w:r w:rsidRPr="003A26D0">
        <w:t xml:space="preserve"> contract</w:t>
      </w:r>
      <w:r w:rsidR="00344D3A" w:rsidRPr="003A26D0">
        <w:t xml:space="preserve"> and </w:t>
      </w:r>
      <w:r w:rsidRPr="003A26D0">
        <w:t xml:space="preserve">that they resigned </w:t>
      </w:r>
      <w:r w:rsidR="00E821E4" w:rsidRPr="003A26D0">
        <w:t>because of t</w:t>
      </w:r>
      <w:r w:rsidRPr="003A26D0">
        <w:t>his breac</w:t>
      </w:r>
      <w:r w:rsidR="00344D3A" w:rsidRPr="003A26D0">
        <w:t>h</w:t>
      </w:r>
      <w:r w:rsidRPr="003A26D0">
        <w:t xml:space="preserve">. </w:t>
      </w:r>
      <w:r w:rsidR="003303C0" w:rsidRPr="003303C0">
        <w:t>In healthcare, changes to shift patterns can be particularly challenging for staff with caring responsibilities, so HR must ensure any adjustments are reasonable and consulted on</w:t>
      </w:r>
      <w:r w:rsidR="003303C0">
        <w:t xml:space="preserve">. </w:t>
      </w:r>
      <w:r w:rsidRPr="003A26D0">
        <w:t xml:space="preserve">If the radiographer’s contract stated specific working hours, such as day shifts only, but they were suddenly required to work night shifts, this could be considered an unreasonable change. </w:t>
      </w:r>
      <w:r w:rsidR="00344D3A" w:rsidRPr="003A26D0">
        <w:t>A</w:t>
      </w:r>
      <w:r w:rsidRPr="003A26D0">
        <w:t xml:space="preserve"> breach of mutual trust and confidence, such as implementing changes without consultation, can support a claim (Daniels, 2022</w:t>
      </w:r>
      <w:r w:rsidR="00117577" w:rsidRPr="003A26D0">
        <w:t>.)</w:t>
      </w:r>
    </w:p>
    <w:p w14:paraId="6CF6E8B9" w14:textId="14BE8226" w:rsidR="00AD2A4C" w:rsidRPr="003A26D0" w:rsidRDefault="00AD2A4C" w:rsidP="00AD2A4C">
      <w:pPr>
        <w:pStyle w:val="NormalWeb"/>
      </w:pPr>
      <w:r w:rsidRPr="003A26D0">
        <w:t>The Employment Tribunal time limit for bringing a claim is three months minus one day from the date of termination, as set out in section 111 of the Employment Rights Act 1996. If the radiographer does not submit their claim within this period, it is likely to be dismissed as out of time unless exceptional circumstances apply (Daniels, 2022).</w:t>
      </w:r>
    </w:p>
    <w:p w14:paraId="574AE144" w14:textId="29CE2C85" w:rsidR="00AD2A4C" w:rsidRPr="003A26D0" w:rsidRDefault="00AD2A4C" w:rsidP="00AD2A4C">
      <w:pPr>
        <w:pStyle w:val="NormalWeb"/>
      </w:pPr>
      <w:r w:rsidRPr="003A26D0">
        <w:t xml:space="preserve">Employers can defend against a constructive dismissal claim by demonstrating that there was no breach of contract, that the changes were </w:t>
      </w:r>
      <w:r w:rsidR="00344D3A" w:rsidRPr="003A26D0">
        <w:t xml:space="preserve">small </w:t>
      </w:r>
      <w:r w:rsidRPr="003A26D0">
        <w:t>or reasonable under the terms of employment, or that the employee accepted the changes. If the changes were necessary for business reasons and the Trust provided appropriate consultation and notice, this could also serve as a defence</w:t>
      </w:r>
      <w:r w:rsidR="00117577" w:rsidRPr="003A26D0">
        <w:t>.</w:t>
      </w:r>
      <w:r w:rsidR="008E0ADD" w:rsidRPr="003A26D0">
        <w:t xml:space="preserve"> (ACAS,2024)</w:t>
      </w:r>
    </w:p>
    <w:p w14:paraId="6EB0C272" w14:textId="4EC8FE1B" w:rsidR="00AD2A4C" w:rsidRPr="003A26D0" w:rsidRDefault="00AD2A4C" w:rsidP="00AD2A4C">
      <w:pPr>
        <w:pStyle w:val="NormalWeb"/>
      </w:pPr>
      <w:r w:rsidRPr="003A26D0">
        <w:t xml:space="preserve">If a claim is successful, compensation may include a basic award, which is calculated based on the length of service, age, and weekly pay, </w:t>
      </w:r>
      <w:r w:rsidR="00344D3A" w:rsidRPr="003A26D0">
        <w:t>like</w:t>
      </w:r>
      <w:r w:rsidRPr="003A26D0">
        <w:t xml:space="preserve"> redundancy pay. A compensatory award may also be granted, covering past and future loss of earnings, but this is subject to a statutory cap of 12 months' pay or the statutory maximum, whichever is lower. The employee must also demonstrate efforts by seeking alternative employment (ACAS, 2024).</w:t>
      </w:r>
    </w:p>
    <w:p w14:paraId="0E2079F7" w14:textId="2BC0BD3F" w:rsidR="00AD2A4C" w:rsidRPr="003A26D0" w:rsidRDefault="00AD2A4C" w:rsidP="00AD2A4C">
      <w:pPr>
        <w:pStyle w:val="NormalWeb"/>
      </w:pPr>
      <w:r w:rsidRPr="003A26D0">
        <w:lastRenderedPageBreak/>
        <w:t>I</w:t>
      </w:r>
      <w:r w:rsidR="00344D3A" w:rsidRPr="003A26D0">
        <w:t xml:space="preserve"> would advise to look at </w:t>
      </w:r>
      <w:r w:rsidRPr="003A26D0">
        <w:t xml:space="preserve">the radiographer’s contract and the process followed in implementing the change. If consultation took place and </w:t>
      </w:r>
      <w:r w:rsidR="00344D3A" w:rsidRPr="003A26D0">
        <w:t xml:space="preserve">it was for a good business reason </w:t>
      </w:r>
      <w:r w:rsidRPr="003A26D0">
        <w:t>this could support the Trust’s position. Please let me know if you would like further assistance in reviewing the case.</w:t>
      </w:r>
    </w:p>
    <w:p w14:paraId="0052D864" w14:textId="77777777" w:rsidR="007F018E" w:rsidRPr="003A26D0" w:rsidRDefault="007F018E" w:rsidP="00AD2A4C">
      <w:pPr>
        <w:spacing w:after="0" w:line="240" w:lineRule="auto"/>
        <w:rPr>
          <w:rFonts w:ascii="Times New Roman" w:eastAsia="Times New Roman" w:hAnsi="Times New Roman" w:cs="Times New Roman"/>
          <w:kern w:val="0"/>
          <w:sz w:val="24"/>
          <w:szCs w:val="24"/>
          <w:lang w:eastAsia="en-GB"/>
          <w14:ligatures w14:val="none"/>
        </w:rPr>
      </w:pPr>
    </w:p>
    <w:p w14:paraId="21FD0F6A" w14:textId="2507B95C" w:rsidR="007F018E" w:rsidRPr="003A26D0" w:rsidRDefault="007F018E"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(A.C 3.2)</w:t>
      </w:r>
    </w:p>
    <w:p w14:paraId="1D71D5F0" w14:textId="77777777" w:rsidR="00FD71AC" w:rsidRPr="003A26D0" w:rsidRDefault="00FD71AC" w:rsidP="00FD71AC">
      <w:pPr>
        <w:pStyle w:val="NormalWeb"/>
      </w:pPr>
      <w:r w:rsidRPr="003A26D0">
        <w:t xml:space="preserve">While I understand the need to proceed efficiently, it is key that the process follows employment law to avoid legal risks and claims for unfair dismissal. The Employment Rights Act 1996 and the Trade Union and Labour Relations (Consolidation) Act 1992 (TULRCA) set out clear requirements for redundancy, particularly in cases involving </w:t>
      </w:r>
      <w:proofErr w:type="gramStart"/>
      <w:r w:rsidRPr="003A26D0">
        <w:t>a large number of</w:t>
      </w:r>
      <w:proofErr w:type="gramEnd"/>
      <w:r w:rsidRPr="003A26D0">
        <w:t xml:space="preserve"> job losses.</w:t>
      </w:r>
    </w:p>
    <w:p w14:paraId="33290871" w14:textId="377D1B70" w:rsidR="00FD71AC" w:rsidRPr="003A26D0" w:rsidRDefault="00FD71AC" w:rsidP="00FD71AC">
      <w:pPr>
        <w:pStyle w:val="NormalWeb"/>
      </w:pPr>
      <w:r w:rsidRPr="003A26D0">
        <w:t xml:space="preserve">Where 20 or more employees are at risk of redundancy within a 90-day period, the Trust must engage in a collective consultation with staff members, as required under TULRCA 1992, s.188 (Daniels, 2022). The information </w:t>
      </w:r>
      <w:r w:rsidR="008E0ADD" w:rsidRPr="003A26D0">
        <w:t>that must</w:t>
      </w:r>
      <w:r w:rsidRPr="003A26D0">
        <w:t xml:space="preserve"> be given to all employees is the reason for redundancy, how many could face redundancy, the selection process, and redundancy pay calculations. Since 50 posts are to be made redundant, the Trust must have a consultation period of at least 30 days before issuing any dismissal notices. </w:t>
      </w:r>
      <w:r w:rsidR="008E0ADD" w:rsidRPr="003A26D0">
        <w:t xml:space="preserve">(GOV.UK) </w:t>
      </w:r>
      <w:r w:rsidRPr="003A26D0">
        <w:t>Failure to comply could lead to claims for protective awards, requiring the employer to pay up to 90 days' pay per affected employee</w:t>
      </w:r>
      <w:r w:rsidR="008E0ADD" w:rsidRPr="003A26D0">
        <w:t>. (ACAS)</w:t>
      </w:r>
    </w:p>
    <w:p w14:paraId="4835AFFE" w14:textId="2FA951DA" w:rsidR="00FD71AC" w:rsidRPr="003A26D0" w:rsidRDefault="00FD71AC" w:rsidP="00FD71AC">
      <w:pPr>
        <w:pStyle w:val="NormalWeb"/>
      </w:pPr>
      <w:r w:rsidRPr="003A26D0">
        <w:t xml:space="preserve">Redundancy selections must be based on fair and objective criteria rather than automatically dismissing the "poorest performers." While performance can be a valid factor, it must be measurable, transparent, and applied consistently. Other factors, such as length of service, skills, and experience, should also be considered (Daniels, 2022). If performance is used, there should be documented evidence, such as appraisals or performance records, to support the decision. Automatically targeting underperformers without considering alternative options could expose </w:t>
      </w:r>
      <w:r w:rsidR="008E0ADD" w:rsidRPr="003A26D0">
        <w:t xml:space="preserve">us </w:t>
      </w:r>
      <w:r w:rsidRPr="003A26D0">
        <w:t>to unfair dismissal claims under the Employment Rights Act 1996.</w:t>
      </w:r>
    </w:p>
    <w:p w14:paraId="4EAD6E0D" w14:textId="5E8ABB17" w:rsidR="00FD71AC" w:rsidRPr="003A26D0" w:rsidRDefault="00FD71AC" w:rsidP="00FD71AC">
      <w:pPr>
        <w:pStyle w:val="NormalWeb"/>
      </w:pPr>
      <w:r w:rsidRPr="003A26D0">
        <w:t xml:space="preserve">During the consultation period, employees must be given a genuine opportunity to explore alternatives to redundancy, such as redeployment, voluntary redundancy, or reduced working hours. If </w:t>
      </w:r>
      <w:r w:rsidR="008E0ADD" w:rsidRPr="003A26D0">
        <w:t>we can</w:t>
      </w:r>
      <w:r w:rsidRPr="003A26D0">
        <w:t xml:space="preserve">, offering suitable alternative employment could help retain skilled staff and </w:t>
      </w:r>
      <w:r w:rsidR="007108EC" w:rsidRPr="003A26D0">
        <w:t>avoid</w:t>
      </w:r>
      <w:r w:rsidRPr="003A26D0">
        <w:t xml:space="preserve"> financial and reputational risks (ACAS, 2024).</w:t>
      </w:r>
    </w:p>
    <w:p w14:paraId="6E63CD33" w14:textId="77777777" w:rsidR="00FD71AC" w:rsidRPr="003A26D0" w:rsidRDefault="00FD71AC" w:rsidP="00FD71AC">
      <w:pPr>
        <w:pStyle w:val="NormalWeb"/>
      </w:pPr>
      <w:r w:rsidRPr="003A26D0">
        <w:t>Employees selected for redundancy must also receive their statutory redundancy pay, provided they have at least two years of continuous service. The amount is calculated based on age, length of service, and weekly pay, subject to a statutory cap (ACAS, 2024). The Trust must ensure redundancy dismissals are genuine and unavoidable, as failing to do so could result in claims of wrongful dismissal or breach of contract.</w:t>
      </w:r>
    </w:p>
    <w:p w14:paraId="05C40DA0" w14:textId="77777777" w:rsidR="00FD71AC" w:rsidRPr="003A26D0" w:rsidRDefault="00FD71AC" w:rsidP="00FD71AC">
      <w:pPr>
        <w:pStyle w:val="NormalWeb"/>
      </w:pPr>
      <w:r w:rsidRPr="003A26D0">
        <w:t>Taking the time to properly consult, document decisions, and explore all available options will help protect the Trust from legal risks while ensuring that affected employees are treated fairly.</w:t>
      </w:r>
    </w:p>
    <w:p w14:paraId="7C3763C2" w14:textId="77777777" w:rsidR="00387498" w:rsidRPr="003A26D0" w:rsidRDefault="00387498" w:rsidP="00D27B48">
      <w:pPr>
        <w:spacing w:after="0" w:line="240" w:lineRule="auto"/>
        <w:rPr>
          <w:rFonts w:ascii="Times New Roman" w:eastAsia="Times New Roman" w:hAnsi="Times New Roman" w:cs="Times New Roman"/>
          <w:kern w:val="0"/>
          <w:sz w:val="24"/>
          <w:szCs w:val="24"/>
          <w:lang w:eastAsia="en-GB"/>
          <w14:ligatures w14:val="none"/>
        </w:rPr>
      </w:pPr>
    </w:p>
    <w:p w14:paraId="18CB54D0" w14:textId="77777777" w:rsidR="00387498" w:rsidRPr="003A26D0" w:rsidRDefault="00387498" w:rsidP="00D27B48">
      <w:pPr>
        <w:spacing w:after="0" w:line="240" w:lineRule="auto"/>
        <w:rPr>
          <w:rFonts w:ascii="Times New Roman" w:eastAsia="Times New Roman" w:hAnsi="Times New Roman" w:cs="Times New Roman"/>
          <w:kern w:val="0"/>
          <w:sz w:val="24"/>
          <w:szCs w:val="24"/>
          <w:lang w:eastAsia="en-GB"/>
          <w14:ligatures w14:val="none"/>
        </w:rPr>
      </w:pPr>
    </w:p>
    <w:p w14:paraId="41649E67" w14:textId="7275C96F" w:rsidR="00387498" w:rsidRPr="003A26D0" w:rsidRDefault="00B36FFD"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(AC 3.3)</w:t>
      </w:r>
    </w:p>
    <w:p w14:paraId="40636FA8" w14:textId="5B2E3A2C" w:rsidR="001B5481" w:rsidRPr="003A26D0" w:rsidRDefault="001B5481" w:rsidP="001B5481">
      <w:pPr>
        <w:pStyle w:val="NormalWeb"/>
      </w:pPr>
      <w:r w:rsidRPr="003A26D0">
        <w:lastRenderedPageBreak/>
        <w:t>As you prepare to enter discussions regarding the potential merger of our Trust’s pharmacy operations with those of our neighbouring hospital trust, it is important to consider the legal implications for employees under the Transfer of Undertakings Protection of Employment Regulations 2006 (TUPE). If the merger proceeds and involves the transfer of an economic entity that retains its identity, TUPE will apply, ensuring that employees’ rights are protected (Daniels, 2022). This regulation is particularly important in the healthcare sector, where length of service is essential to patient care and operational stability.</w:t>
      </w:r>
    </w:p>
    <w:p w14:paraId="41BF5034" w14:textId="2B945F7D" w:rsidR="001B5481" w:rsidRPr="003A26D0" w:rsidRDefault="001B5481" w:rsidP="001B5481">
      <w:pPr>
        <w:pStyle w:val="NormalWeb"/>
      </w:pPr>
      <w:r w:rsidRPr="003A26D0">
        <w:t>Under TUPE, employees involved in the transferring pharmacy operations will have their contracts of employment automatically transferred to the new employer under the same terms and conditions. The new employer assumes all contractual rights, duties, and liabilities, ensuring that continuity of service is maintained and existing employment rights, such as redundancy pay and unfair dismissal protections, remain intact. Any agreements in place before the transfer continue to apply (CIPD, 2024). Employees must be reassured that their length of service and contractual entitlements will be carried over, preventing any disadvantage due to the</w:t>
      </w:r>
      <w:r w:rsidR="007108EC" w:rsidRPr="003A26D0">
        <w:t xml:space="preserve"> change</w:t>
      </w:r>
      <w:r w:rsidRPr="003A26D0">
        <w:t>.</w:t>
      </w:r>
    </w:p>
    <w:p w14:paraId="6374C25D" w14:textId="77777777" w:rsidR="001B5481" w:rsidRPr="003A26D0" w:rsidRDefault="001B5481" w:rsidP="001B5481">
      <w:pPr>
        <w:pStyle w:val="NormalWeb"/>
      </w:pPr>
      <w:r w:rsidRPr="003A26D0">
        <w:t>Dismissals linked to the transfer are automatically treated as unfair unless they are for an economic, technical, or organisational (ETO) reason entailing changes in the workforce. Employees dismissed immediately before the transfer due to reasons related to it may claim unfair dismissal. If substantial changes to working conditions occur that are detrimental to employees, they may be considered constructively dismissed (Daniels, 2022). Employers must be mindful of these risks and ensure that any restructuring is legally justified.</w:t>
      </w:r>
    </w:p>
    <w:p w14:paraId="11516412" w14:textId="22FB4CFA" w:rsidR="001B5481" w:rsidRPr="003A26D0" w:rsidRDefault="001B5481" w:rsidP="001B5481">
      <w:pPr>
        <w:pStyle w:val="NormalWeb"/>
      </w:pPr>
      <w:r w:rsidRPr="003A26D0">
        <w:t xml:space="preserve">Employers involved in the transfer must provide affected employees and their representatives with key information about the transfer, including its expected date, legal implications, and any proposed measures. If any measures are </w:t>
      </w:r>
      <w:r w:rsidR="007108EC" w:rsidRPr="003A26D0">
        <w:t>foreseen</w:t>
      </w:r>
      <w:r w:rsidRPr="003A26D0">
        <w:t>, consultation with employee representatives is required. Failure to inform and consult can result in financial penalties, including compensation of up to 13 weeks’ pay per affected employee (CIPD, 2024). Communicating with employees early in the process helps to iron out concerns and keep morale.</w:t>
      </w:r>
    </w:p>
    <w:p w14:paraId="7A78CACC" w14:textId="5FD36015" w:rsidR="001B5481" w:rsidRPr="003A26D0" w:rsidRDefault="001B5481" w:rsidP="001B5481">
      <w:pPr>
        <w:pStyle w:val="NormalWeb"/>
      </w:pPr>
      <w:r w:rsidRPr="003A26D0">
        <w:t>Post-transfer, contractual changes are usually void unless there is an ETO reason. These reasons must involve changes to the workforce, such as job role modifications, redundancies, or restructuring. Changes cannot be made simply because of the transfer itself (Armstrong and Taylor, 2023). It is advised to review the operational structure in advance to assess whether any changes will be necessary and how they can be managed within the scope of TUPE regulations.</w:t>
      </w:r>
    </w:p>
    <w:p w14:paraId="0708E029" w14:textId="6F21DCEF" w:rsidR="001B5481" w:rsidRPr="003A26D0" w:rsidRDefault="001B5481" w:rsidP="001B5481">
      <w:pPr>
        <w:pStyle w:val="NormalWeb"/>
      </w:pPr>
      <w:r w:rsidRPr="003A26D0">
        <w:t>Given that our Trust will be the host for the centralised pharmacy, TUPE is likely to apply to employees from the other Trust. A detailed assessment should be carried out to determine which employees are assigned to the pharmacy services that will transfer. Clear communication and planning with affected employees are important for transparency and will help ensure a smooth transition. Employees should be encouraged to raise any concerns so that they can be addressed quickly and factually, reducing uncertainty and resistance to change.</w:t>
      </w:r>
    </w:p>
    <w:p w14:paraId="22A859F9" w14:textId="77777777" w:rsidR="00B36FFD" w:rsidRPr="003A26D0" w:rsidRDefault="00B36FFD" w:rsidP="00D27B48">
      <w:pPr>
        <w:spacing w:after="0" w:line="240" w:lineRule="auto"/>
        <w:rPr>
          <w:rFonts w:ascii="Times New Roman" w:eastAsia="Times New Roman" w:hAnsi="Times New Roman" w:cs="Times New Roman"/>
          <w:b/>
          <w:bCs/>
          <w:kern w:val="0"/>
          <w:sz w:val="24"/>
          <w:szCs w:val="24"/>
          <w:lang w:eastAsia="en-GB"/>
          <w14:ligatures w14:val="none"/>
        </w:rPr>
      </w:pPr>
    </w:p>
    <w:p w14:paraId="07033DBC" w14:textId="16D5040C" w:rsidR="00B60BFC" w:rsidRPr="00B60BFC" w:rsidRDefault="002832E1" w:rsidP="00B60BFC">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(AC 4.1)</w:t>
      </w:r>
    </w:p>
    <w:p w14:paraId="3E122D00" w14:textId="77777777" w:rsidR="00B60BFC" w:rsidRPr="00B60BFC" w:rsidRDefault="00B60BFC" w:rsidP="00B60BFC">
      <w:pPr>
        <w:spacing w:after="0" w:line="240" w:lineRule="auto"/>
        <w:rPr>
          <w:rFonts w:ascii="Times New Roman" w:eastAsia="Times New Roman" w:hAnsi="Times New Roman" w:cs="Times New Roman"/>
          <w:b/>
          <w:bCs/>
          <w:kern w:val="0"/>
          <w:sz w:val="24"/>
          <w:szCs w:val="24"/>
          <w:lang w:eastAsia="en-GB"/>
          <w14:ligatures w14:val="none"/>
        </w:rPr>
      </w:pPr>
    </w:p>
    <w:p w14:paraId="375FD29D" w14:textId="77777777" w:rsidR="00C86655" w:rsidRPr="003A26D0" w:rsidRDefault="00C86655" w:rsidP="00C86655">
      <w:pPr>
        <w:pStyle w:val="ListParagraph"/>
        <w:spacing w:after="0" w:line="240" w:lineRule="auto"/>
        <w:ind w:left="0"/>
        <w:rPr>
          <w:rFonts w:ascii="Times New Roman" w:eastAsia="Times New Roman" w:hAnsi="Times New Roman" w:cs="Times New Roman"/>
          <w:b/>
          <w:bCs/>
          <w:kern w:val="0"/>
          <w:sz w:val="24"/>
          <w:szCs w:val="24"/>
          <w:lang w:eastAsia="en-GB"/>
          <w14:ligatures w14:val="none"/>
        </w:rPr>
      </w:pPr>
    </w:p>
    <w:p w14:paraId="33698149" w14:textId="074536B1" w:rsidR="00C86655" w:rsidRPr="00B60BFC" w:rsidRDefault="00C86655" w:rsidP="00C86655">
      <w:pPr>
        <w:spacing w:after="0" w:line="240" w:lineRule="auto"/>
        <w:rPr>
          <w:rFonts w:ascii="Times New Roman" w:eastAsia="Times New Roman" w:hAnsi="Times New Roman" w:cs="Times New Roman"/>
          <w:strike/>
          <w:kern w:val="0"/>
          <w:sz w:val="24"/>
          <w:szCs w:val="24"/>
          <w:lang w:eastAsia="en-GB"/>
          <w14:ligatures w14:val="none"/>
        </w:rPr>
      </w:pPr>
      <w:r w:rsidRPr="00B60BFC">
        <w:rPr>
          <w:rFonts w:ascii="Times New Roman" w:eastAsia="Times New Roman" w:hAnsi="Times New Roman" w:cs="Times New Roman"/>
          <w:strike/>
          <w:kern w:val="0"/>
          <w:sz w:val="24"/>
          <w:szCs w:val="24"/>
          <w:lang w:eastAsia="en-GB"/>
          <w14:ligatures w14:val="none"/>
        </w:rPr>
        <w:t>Under the Working Time Regulations 1998 (WTR), all workers, including those on casual and irregular-hour contracts, are entitled to a minimum of 5.6 weeks (28 days) of paid annual leave per year, which can be pro-rated based on their working patterns (ACAS, 2024). For workers with irregular hours, holiday pay should be calculated using their average weekly earnings over the previous 52 weeks, counting only the weeks in which they were paid. If they have been employed for less than 52 weeks, the calculation should be based on the total number of full weeks worked (ACAS, 2024).</w:t>
      </w:r>
    </w:p>
    <w:p w14:paraId="71919BD1" w14:textId="77777777" w:rsidR="00C86655" w:rsidRPr="00B60BFC" w:rsidRDefault="00C86655" w:rsidP="00C86655">
      <w:pPr>
        <w:spacing w:after="0" w:line="240" w:lineRule="auto"/>
        <w:rPr>
          <w:rFonts w:ascii="Times New Roman" w:eastAsia="Times New Roman" w:hAnsi="Times New Roman" w:cs="Times New Roman"/>
          <w:strike/>
          <w:kern w:val="0"/>
          <w:sz w:val="24"/>
          <w:szCs w:val="24"/>
          <w:lang w:eastAsia="en-GB"/>
          <w14:ligatures w14:val="none"/>
        </w:rPr>
      </w:pPr>
    </w:p>
    <w:p w14:paraId="7A139A02" w14:textId="3C4762A1" w:rsidR="00C86655" w:rsidRPr="00B60BFC" w:rsidRDefault="00C86655" w:rsidP="00C86655">
      <w:pPr>
        <w:spacing w:after="0" w:line="240" w:lineRule="auto"/>
        <w:rPr>
          <w:rFonts w:ascii="Times New Roman" w:eastAsia="Times New Roman" w:hAnsi="Times New Roman" w:cs="Times New Roman"/>
          <w:strike/>
          <w:kern w:val="0"/>
          <w:sz w:val="24"/>
          <w:szCs w:val="24"/>
          <w:lang w:eastAsia="en-GB"/>
          <w14:ligatures w14:val="none"/>
        </w:rPr>
      </w:pPr>
      <w:r w:rsidRPr="00B60BFC">
        <w:rPr>
          <w:rFonts w:ascii="Times New Roman" w:eastAsia="Times New Roman" w:hAnsi="Times New Roman" w:cs="Times New Roman"/>
          <w:strike/>
          <w:kern w:val="0"/>
          <w:sz w:val="24"/>
          <w:szCs w:val="24"/>
          <w:lang w:eastAsia="en-GB"/>
          <w14:ligatures w14:val="none"/>
        </w:rPr>
        <w:t xml:space="preserve">To ensure fairness, holiday pay must reflect the worker’s usual earnings, including commission, bonuses, and regular overtime (ACAS, 2024). If a worker’s pay cycle runs from Thursday to Wednesday instead of the standard Sunday to Saturday, their holiday pay should be calculated based on their average earnings </w:t>
      </w:r>
      <w:r w:rsidR="00335F63" w:rsidRPr="00B60BFC">
        <w:rPr>
          <w:rFonts w:ascii="Times New Roman" w:eastAsia="Times New Roman" w:hAnsi="Times New Roman" w:cs="Times New Roman"/>
          <w:strike/>
          <w:kern w:val="0"/>
          <w:sz w:val="24"/>
          <w:szCs w:val="24"/>
          <w:lang w:eastAsia="en-GB"/>
          <w14:ligatures w14:val="none"/>
        </w:rPr>
        <w:t>from</w:t>
      </w:r>
      <w:r w:rsidRPr="00B60BFC">
        <w:rPr>
          <w:rFonts w:ascii="Times New Roman" w:eastAsia="Times New Roman" w:hAnsi="Times New Roman" w:cs="Times New Roman"/>
          <w:strike/>
          <w:kern w:val="0"/>
          <w:sz w:val="24"/>
          <w:szCs w:val="24"/>
          <w:lang w:eastAsia="en-GB"/>
          <w14:ligatures w14:val="none"/>
        </w:rPr>
        <w:t xml:space="preserve"> Thursday</w:t>
      </w:r>
      <w:r w:rsidR="007108EC" w:rsidRPr="00B60BFC">
        <w:rPr>
          <w:rFonts w:ascii="Times New Roman" w:eastAsia="Times New Roman" w:hAnsi="Times New Roman" w:cs="Times New Roman"/>
          <w:strike/>
          <w:kern w:val="0"/>
          <w:sz w:val="24"/>
          <w:szCs w:val="24"/>
          <w:lang w:eastAsia="en-GB"/>
          <w14:ligatures w14:val="none"/>
        </w:rPr>
        <w:t xml:space="preserve"> </w:t>
      </w:r>
      <w:r w:rsidRPr="00B60BFC">
        <w:rPr>
          <w:rFonts w:ascii="Times New Roman" w:eastAsia="Times New Roman" w:hAnsi="Times New Roman" w:cs="Times New Roman"/>
          <w:strike/>
          <w:kern w:val="0"/>
          <w:sz w:val="24"/>
          <w:szCs w:val="24"/>
          <w:lang w:eastAsia="en-GB"/>
          <w14:ligatures w14:val="none"/>
        </w:rPr>
        <w:t>to</w:t>
      </w:r>
      <w:r w:rsidR="007108EC" w:rsidRPr="00B60BFC">
        <w:rPr>
          <w:rFonts w:ascii="Times New Roman" w:eastAsia="Times New Roman" w:hAnsi="Times New Roman" w:cs="Times New Roman"/>
          <w:strike/>
          <w:kern w:val="0"/>
          <w:sz w:val="24"/>
          <w:szCs w:val="24"/>
          <w:lang w:eastAsia="en-GB"/>
          <w14:ligatures w14:val="none"/>
        </w:rPr>
        <w:t xml:space="preserve"> </w:t>
      </w:r>
      <w:r w:rsidRPr="00B60BFC">
        <w:rPr>
          <w:rFonts w:ascii="Times New Roman" w:eastAsia="Times New Roman" w:hAnsi="Times New Roman" w:cs="Times New Roman"/>
          <w:strike/>
          <w:kern w:val="0"/>
          <w:sz w:val="24"/>
          <w:szCs w:val="24"/>
          <w:lang w:eastAsia="en-GB"/>
          <w14:ligatures w14:val="none"/>
        </w:rPr>
        <w:t>Wednesday</w:t>
      </w:r>
      <w:r w:rsidR="00335F63" w:rsidRPr="00B60BFC">
        <w:rPr>
          <w:rFonts w:ascii="Times New Roman" w:eastAsia="Times New Roman" w:hAnsi="Times New Roman" w:cs="Times New Roman"/>
          <w:strike/>
          <w:kern w:val="0"/>
          <w:sz w:val="24"/>
          <w:szCs w:val="24"/>
          <w:lang w:eastAsia="en-GB"/>
          <w14:ligatures w14:val="none"/>
        </w:rPr>
        <w:t>.</w:t>
      </w:r>
      <w:r w:rsidRPr="00B60BFC">
        <w:rPr>
          <w:rFonts w:ascii="Times New Roman" w:eastAsia="Times New Roman" w:hAnsi="Times New Roman" w:cs="Times New Roman"/>
          <w:strike/>
          <w:kern w:val="0"/>
          <w:sz w:val="24"/>
          <w:szCs w:val="24"/>
          <w:lang w:eastAsia="en-GB"/>
          <w14:ligatures w14:val="none"/>
        </w:rPr>
        <w:t xml:space="preserve"> (ACAS, 2024). This ensures that employees receive holiday pay that reflects their typical earnings rather than a basic hourly rate, which could otherwise result in financial disadvantage.</w:t>
      </w:r>
    </w:p>
    <w:p w14:paraId="5D082CF2" w14:textId="77777777" w:rsidR="00C86655" w:rsidRPr="00B60BFC" w:rsidRDefault="00C86655" w:rsidP="00C86655">
      <w:pPr>
        <w:spacing w:after="0" w:line="240" w:lineRule="auto"/>
        <w:rPr>
          <w:rFonts w:ascii="Times New Roman" w:eastAsia="Times New Roman" w:hAnsi="Times New Roman" w:cs="Times New Roman"/>
          <w:strike/>
          <w:kern w:val="0"/>
          <w:sz w:val="24"/>
          <w:szCs w:val="24"/>
          <w:lang w:eastAsia="en-GB"/>
          <w14:ligatures w14:val="none"/>
        </w:rPr>
      </w:pPr>
    </w:p>
    <w:p w14:paraId="1DB12140" w14:textId="4540C953" w:rsidR="00C86655" w:rsidRPr="00B60BFC" w:rsidRDefault="00C86655" w:rsidP="00C86655">
      <w:pPr>
        <w:spacing w:after="0" w:line="240" w:lineRule="auto"/>
        <w:rPr>
          <w:rFonts w:ascii="Times New Roman" w:eastAsia="Times New Roman" w:hAnsi="Times New Roman" w:cs="Times New Roman"/>
          <w:strike/>
          <w:kern w:val="0"/>
          <w:sz w:val="24"/>
          <w:szCs w:val="24"/>
          <w:lang w:eastAsia="en-GB"/>
          <w14:ligatures w14:val="none"/>
        </w:rPr>
      </w:pPr>
      <w:r w:rsidRPr="00B60BFC">
        <w:rPr>
          <w:rFonts w:ascii="Times New Roman" w:eastAsia="Times New Roman" w:hAnsi="Times New Roman" w:cs="Times New Roman"/>
          <w:strike/>
          <w:kern w:val="0"/>
          <w:sz w:val="24"/>
          <w:szCs w:val="24"/>
          <w:lang w:eastAsia="en-GB"/>
          <w14:ligatures w14:val="none"/>
        </w:rPr>
        <w:t xml:space="preserve">Recent changes have legalised rolled up holiday pay for part year and irregular hours workers. Under Regulation 16A of the Working Time Regulations 1998, employers can include holiday pay within each pay period instead of paying it when leave is taken. This is known as rolled-up holiday pay and is now legal for part year and irregular hours workers, provided that an uplift of 12.07% is applied to their pay to reflect their holiday entitlement (ACAS, 2024). This does not apply to employees on fixed hour contracts, where holiday pay must still be paid separately when leave is taken. </w:t>
      </w:r>
      <w:r w:rsidR="00335F63" w:rsidRPr="00B60BFC">
        <w:rPr>
          <w:rFonts w:ascii="Times New Roman" w:eastAsia="Times New Roman" w:hAnsi="Times New Roman" w:cs="Times New Roman"/>
          <w:strike/>
          <w:kern w:val="0"/>
          <w:sz w:val="24"/>
          <w:szCs w:val="24"/>
          <w:lang w:eastAsia="en-GB"/>
          <w14:ligatures w14:val="none"/>
        </w:rPr>
        <w:t xml:space="preserve">Employers now </w:t>
      </w:r>
      <w:proofErr w:type="gramStart"/>
      <w:r w:rsidR="00335F63" w:rsidRPr="00B60BFC">
        <w:rPr>
          <w:rFonts w:ascii="Times New Roman" w:eastAsia="Times New Roman" w:hAnsi="Times New Roman" w:cs="Times New Roman"/>
          <w:strike/>
          <w:kern w:val="0"/>
          <w:sz w:val="24"/>
          <w:szCs w:val="24"/>
          <w:lang w:eastAsia="en-GB"/>
          <w14:ligatures w14:val="none"/>
        </w:rPr>
        <w:t>have to</w:t>
      </w:r>
      <w:proofErr w:type="gramEnd"/>
      <w:r w:rsidR="00335F63" w:rsidRPr="00B60BFC">
        <w:rPr>
          <w:rFonts w:ascii="Times New Roman" w:eastAsia="Times New Roman" w:hAnsi="Times New Roman" w:cs="Times New Roman"/>
          <w:strike/>
          <w:kern w:val="0"/>
          <w:sz w:val="24"/>
          <w:szCs w:val="24"/>
          <w:lang w:eastAsia="en-GB"/>
          <w14:ligatures w14:val="none"/>
        </w:rPr>
        <w:t xml:space="preserve"> clearly show rolled up holiday pay on payslips, so staff understand what they’re getting. </w:t>
      </w:r>
      <w:r w:rsidRPr="00B60BFC">
        <w:rPr>
          <w:rFonts w:ascii="Times New Roman" w:eastAsia="Times New Roman" w:hAnsi="Times New Roman" w:cs="Times New Roman"/>
          <w:strike/>
          <w:kern w:val="0"/>
          <w:sz w:val="24"/>
          <w:szCs w:val="24"/>
          <w:lang w:eastAsia="en-GB"/>
          <w14:ligatures w14:val="none"/>
        </w:rPr>
        <w:t>(ACAS, 2024).</w:t>
      </w:r>
    </w:p>
    <w:p w14:paraId="2F5545DB" w14:textId="77777777" w:rsidR="00C86655" w:rsidRPr="00B60BFC" w:rsidRDefault="00C86655" w:rsidP="00C86655">
      <w:pPr>
        <w:spacing w:after="0" w:line="240" w:lineRule="auto"/>
        <w:rPr>
          <w:rFonts w:ascii="Times New Roman" w:eastAsia="Times New Roman" w:hAnsi="Times New Roman" w:cs="Times New Roman"/>
          <w:strike/>
          <w:kern w:val="0"/>
          <w:sz w:val="24"/>
          <w:szCs w:val="24"/>
          <w:lang w:eastAsia="en-GB"/>
          <w14:ligatures w14:val="none"/>
        </w:rPr>
      </w:pPr>
    </w:p>
    <w:p w14:paraId="75659F79" w14:textId="479174F5" w:rsidR="00C86655" w:rsidRPr="00B60BFC" w:rsidRDefault="00C86655" w:rsidP="00C86655">
      <w:pPr>
        <w:spacing w:after="0" w:line="240" w:lineRule="auto"/>
        <w:rPr>
          <w:rFonts w:ascii="Times New Roman" w:eastAsia="Times New Roman" w:hAnsi="Times New Roman" w:cs="Times New Roman"/>
          <w:strike/>
          <w:kern w:val="0"/>
          <w:sz w:val="24"/>
          <w:szCs w:val="24"/>
          <w:lang w:eastAsia="en-GB"/>
          <w14:ligatures w14:val="none"/>
        </w:rPr>
      </w:pPr>
      <w:r w:rsidRPr="00B60BFC">
        <w:rPr>
          <w:rFonts w:ascii="Times New Roman" w:eastAsia="Times New Roman" w:hAnsi="Times New Roman" w:cs="Times New Roman"/>
          <w:strike/>
          <w:kern w:val="0"/>
          <w:sz w:val="24"/>
          <w:szCs w:val="24"/>
          <w:lang w:eastAsia="en-GB"/>
          <w14:ligatures w14:val="none"/>
        </w:rPr>
        <w:t>For bank staff who work varying hours, you need to ensure that their holiday entitlement is calculated fairly and does not disadvantage them compared to full</w:t>
      </w:r>
      <w:r w:rsidR="00B90A64" w:rsidRPr="00B60BFC">
        <w:rPr>
          <w:rFonts w:ascii="Times New Roman" w:eastAsia="Times New Roman" w:hAnsi="Times New Roman" w:cs="Times New Roman"/>
          <w:strike/>
          <w:kern w:val="0"/>
          <w:sz w:val="24"/>
          <w:szCs w:val="24"/>
          <w:lang w:eastAsia="en-GB"/>
          <w14:ligatures w14:val="none"/>
        </w:rPr>
        <w:t xml:space="preserve"> t</w:t>
      </w:r>
      <w:r w:rsidRPr="00B60BFC">
        <w:rPr>
          <w:rFonts w:ascii="Times New Roman" w:eastAsia="Times New Roman" w:hAnsi="Times New Roman" w:cs="Times New Roman"/>
          <w:strike/>
          <w:kern w:val="0"/>
          <w:sz w:val="24"/>
          <w:szCs w:val="24"/>
          <w:lang w:eastAsia="en-GB"/>
          <w14:ligatures w14:val="none"/>
        </w:rPr>
        <w:t xml:space="preserve">ime staff. If an employer fails to properly calculate holiday pay, this could lead to claims at an Employment Tribunal under WTR 1998. </w:t>
      </w:r>
      <w:r w:rsidR="00B90A64" w:rsidRPr="00B60BFC">
        <w:rPr>
          <w:rFonts w:ascii="Times New Roman" w:eastAsia="Times New Roman" w:hAnsi="Times New Roman" w:cs="Times New Roman"/>
          <w:strike/>
          <w:kern w:val="0"/>
          <w:sz w:val="24"/>
          <w:szCs w:val="24"/>
          <w:lang w:eastAsia="en-GB"/>
          <w14:ligatures w14:val="none"/>
        </w:rPr>
        <w:t>Employers should remember the British Gas Trading Ltd v Lock (2016) case, which confirmed that holiday pay must include regular earnings like commission and overtime, not just base salary.</w:t>
      </w:r>
    </w:p>
    <w:p w14:paraId="56A3D8A5" w14:textId="77777777" w:rsidR="00C86655" w:rsidRPr="00B60BFC" w:rsidRDefault="00C86655" w:rsidP="00C86655">
      <w:pPr>
        <w:spacing w:after="0" w:line="240" w:lineRule="auto"/>
        <w:rPr>
          <w:rFonts w:ascii="Times New Roman" w:eastAsia="Times New Roman" w:hAnsi="Times New Roman" w:cs="Times New Roman"/>
          <w:strike/>
          <w:kern w:val="0"/>
          <w:sz w:val="24"/>
          <w:szCs w:val="24"/>
          <w:lang w:eastAsia="en-GB"/>
          <w14:ligatures w14:val="none"/>
        </w:rPr>
      </w:pPr>
    </w:p>
    <w:p w14:paraId="66BB1D29" w14:textId="27F2D909" w:rsidR="00C86655" w:rsidRPr="00B60BFC" w:rsidRDefault="00C86655" w:rsidP="00C86655">
      <w:pPr>
        <w:spacing w:after="0" w:line="240" w:lineRule="auto"/>
        <w:rPr>
          <w:rFonts w:ascii="Times New Roman" w:eastAsia="Times New Roman" w:hAnsi="Times New Roman" w:cs="Times New Roman"/>
          <w:strike/>
          <w:kern w:val="0"/>
          <w:sz w:val="24"/>
          <w:szCs w:val="24"/>
          <w:lang w:eastAsia="en-GB"/>
          <w14:ligatures w14:val="none"/>
        </w:rPr>
      </w:pPr>
      <w:r w:rsidRPr="00B60BFC">
        <w:rPr>
          <w:rFonts w:ascii="Times New Roman" w:eastAsia="Times New Roman" w:hAnsi="Times New Roman" w:cs="Times New Roman"/>
          <w:strike/>
          <w:kern w:val="0"/>
          <w:sz w:val="24"/>
          <w:szCs w:val="24"/>
          <w:lang w:eastAsia="en-GB"/>
          <w14:ligatures w14:val="none"/>
        </w:rPr>
        <w:t>The Supreme Court case of Harpur Trust v Brazel (2022) also clarified that casual and zero</w:t>
      </w:r>
      <w:r w:rsidR="00B90A64" w:rsidRPr="00B60BFC">
        <w:rPr>
          <w:rFonts w:ascii="Times New Roman" w:eastAsia="Times New Roman" w:hAnsi="Times New Roman" w:cs="Times New Roman"/>
          <w:strike/>
          <w:kern w:val="0"/>
          <w:sz w:val="24"/>
          <w:szCs w:val="24"/>
          <w:lang w:eastAsia="en-GB"/>
          <w14:ligatures w14:val="none"/>
        </w:rPr>
        <w:t xml:space="preserve"> </w:t>
      </w:r>
      <w:r w:rsidRPr="00B60BFC">
        <w:rPr>
          <w:rFonts w:ascii="Times New Roman" w:eastAsia="Times New Roman" w:hAnsi="Times New Roman" w:cs="Times New Roman"/>
          <w:strike/>
          <w:kern w:val="0"/>
          <w:sz w:val="24"/>
          <w:szCs w:val="24"/>
          <w:lang w:eastAsia="en-GB"/>
          <w14:ligatures w14:val="none"/>
        </w:rPr>
        <w:t xml:space="preserve">hours workers should not have their holiday entitlement reduced proportionally using the 12.07% </w:t>
      </w:r>
      <w:r w:rsidR="00E47F08" w:rsidRPr="00B60BFC">
        <w:rPr>
          <w:rFonts w:ascii="Times New Roman" w:eastAsia="Times New Roman" w:hAnsi="Times New Roman" w:cs="Times New Roman"/>
          <w:strike/>
          <w:kern w:val="0"/>
          <w:sz w:val="24"/>
          <w:szCs w:val="24"/>
          <w:lang w:eastAsia="en-GB"/>
          <w14:ligatures w14:val="none"/>
        </w:rPr>
        <w:t>calculation but</w:t>
      </w:r>
      <w:r w:rsidRPr="00B60BFC">
        <w:rPr>
          <w:rFonts w:ascii="Times New Roman" w:eastAsia="Times New Roman" w:hAnsi="Times New Roman" w:cs="Times New Roman"/>
          <w:strike/>
          <w:kern w:val="0"/>
          <w:sz w:val="24"/>
          <w:szCs w:val="24"/>
          <w:lang w:eastAsia="en-GB"/>
          <w14:ligatures w14:val="none"/>
        </w:rPr>
        <w:t xml:space="preserve"> instead should receive the full 5.6 weeks’ statutory leave entitlement. This means that bank nurses working irregular hours must be given their full holiday entitlement, and employers should ensure that policies align with this ruling to avoid non-compliance (Daniels, 2022).</w:t>
      </w:r>
    </w:p>
    <w:p w14:paraId="335AAB53" w14:textId="77777777" w:rsidR="00C86655" w:rsidRPr="00B60BFC" w:rsidRDefault="00C86655" w:rsidP="00C86655">
      <w:pPr>
        <w:spacing w:after="0" w:line="240" w:lineRule="auto"/>
        <w:rPr>
          <w:rFonts w:ascii="Times New Roman" w:eastAsia="Times New Roman" w:hAnsi="Times New Roman" w:cs="Times New Roman"/>
          <w:strike/>
          <w:kern w:val="0"/>
          <w:sz w:val="24"/>
          <w:szCs w:val="24"/>
          <w:lang w:eastAsia="en-GB"/>
          <w14:ligatures w14:val="none"/>
        </w:rPr>
      </w:pPr>
    </w:p>
    <w:p w14:paraId="386B6B8A" w14:textId="195ECC75" w:rsidR="00C86655" w:rsidRDefault="00B90A64" w:rsidP="00C86655">
      <w:pPr>
        <w:spacing w:after="0" w:line="240" w:lineRule="auto"/>
        <w:rPr>
          <w:rFonts w:ascii="Times New Roman" w:eastAsia="Times New Roman" w:hAnsi="Times New Roman" w:cs="Times New Roman"/>
          <w:strike/>
          <w:kern w:val="0"/>
          <w:sz w:val="24"/>
          <w:szCs w:val="24"/>
          <w:lang w:eastAsia="en-GB"/>
          <w14:ligatures w14:val="none"/>
        </w:rPr>
      </w:pPr>
      <w:r w:rsidRPr="00B60BFC">
        <w:rPr>
          <w:rFonts w:ascii="Times New Roman" w:eastAsia="Times New Roman" w:hAnsi="Times New Roman" w:cs="Times New Roman"/>
          <w:strike/>
          <w:kern w:val="0"/>
          <w:sz w:val="24"/>
          <w:szCs w:val="24"/>
          <w:lang w:eastAsia="en-GB"/>
          <w14:ligatures w14:val="none"/>
        </w:rPr>
        <w:t>When looking at</w:t>
      </w:r>
      <w:r w:rsidR="00C86655" w:rsidRPr="00B60BFC">
        <w:rPr>
          <w:rFonts w:ascii="Times New Roman" w:eastAsia="Times New Roman" w:hAnsi="Times New Roman" w:cs="Times New Roman"/>
          <w:strike/>
          <w:kern w:val="0"/>
          <w:sz w:val="24"/>
          <w:szCs w:val="24"/>
          <w:lang w:eastAsia="en-GB"/>
          <w14:ligatures w14:val="none"/>
        </w:rPr>
        <w:t xml:space="preserve"> holiday pay calculations for bank staff, it is advisable to keep detailed payroll records, provide clear payslips, and communicate entitlements clearly. Ensuring compliance with WTR 1998, case law, and ACAS guidance will help the Trust avoid legal disputes and promote fairness in employment practices.</w:t>
      </w:r>
    </w:p>
    <w:p w14:paraId="46480A57" w14:textId="77777777" w:rsidR="00B60BFC" w:rsidRDefault="00B60BFC" w:rsidP="00C86655">
      <w:pPr>
        <w:spacing w:after="0" w:line="240" w:lineRule="auto"/>
        <w:rPr>
          <w:rFonts w:ascii="Times New Roman" w:eastAsia="Times New Roman" w:hAnsi="Times New Roman" w:cs="Times New Roman"/>
          <w:strike/>
          <w:kern w:val="0"/>
          <w:sz w:val="24"/>
          <w:szCs w:val="24"/>
          <w:lang w:eastAsia="en-GB"/>
          <w14:ligatures w14:val="none"/>
        </w:rPr>
      </w:pPr>
    </w:p>
    <w:p w14:paraId="7F70A7EF" w14:textId="217D98D3" w:rsidR="00B60BFC" w:rsidRPr="00B60BFC" w:rsidRDefault="00B60BFC" w:rsidP="00B60BFC">
      <w:pPr>
        <w:spacing w:before="100" w:beforeAutospacing="1" w:after="100" w:afterAutospacing="1" w:line="240" w:lineRule="auto"/>
        <w:rPr>
          <w:rFonts w:ascii="Times New Roman" w:eastAsia="Times New Roman" w:hAnsi="Times New Roman" w:cs="Times New Roman"/>
          <w:color w:val="ED0000"/>
          <w:kern w:val="0"/>
          <w:sz w:val="24"/>
          <w:szCs w:val="24"/>
          <w:lang w:eastAsia="en-GB"/>
          <w14:ligatures w14:val="none"/>
        </w:rPr>
      </w:pPr>
      <w:r w:rsidRPr="00B60BFC">
        <w:rPr>
          <w:rFonts w:ascii="Times New Roman" w:eastAsia="Times New Roman" w:hAnsi="Times New Roman" w:cs="Times New Roman"/>
          <w:color w:val="ED0000"/>
          <w:kern w:val="0"/>
          <w:sz w:val="24"/>
          <w:szCs w:val="24"/>
          <w:lang w:eastAsia="en-GB"/>
          <w14:ligatures w14:val="none"/>
        </w:rPr>
        <w:t>Under the Working Time Regulations 1998 (WTR), all workers</w:t>
      </w:r>
      <w:r w:rsidR="009A14C7">
        <w:rPr>
          <w:rFonts w:ascii="Times New Roman" w:eastAsia="Times New Roman" w:hAnsi="Times New Roman" w:cs="Times New Roman"/>
          <w:color w:val="ED0000"/>
          <w:kern w:val="0"/>
          <w:sz w:val="24"/>
          <w:szCs w:val="24"/>
          <w:lang w:eastAsia="en-GB"/>
          <w14:ligatures w14:val="none"/>
        </w:rPr>
        <w:t xml:space="preserve">, </w:t>
      </w:r>
      <w:r w:rsidRPr="00B60BFC">
        <w:rPr>
          <w:rFonts w:ascii="Times New Roman" w:eastAsia="Times New Roman" w:hAnsi="Times New Roman" w:cs="Times New Roman"/>
          <w:color w:val="ED0000"/>
          <w:kern w:val="0"/>
          <w:sz w:val="24"/>
          <w:szCs w:val="24"/>
          <w:lang w:eastAsia="en-GB"/>
          <w14:ligatures w14:val="none"/>
        </w:rPr>
        <w:t>including those on zero</w:t>
      </w:r>
      <w:r w:rsidR="009A14C7">
        <w:rPr>
          <w:rFonts w:ascii="Times New Roman" w:eastAsia="Times New Roman" w:hAnsi="Times New Roman" w:cs="Times New Roman"/>
          <w:color w:val="ED0000"/>
          <w:kern w:val="0"/>
          <w:sz w:val="24"/>
          <w:szCs w:val="24"/>
          <w:lang w:eastAsia="en-GB"/>
          <w14:ligatures w14:val="none"/>
        </w:rPr>
        <w:t xml:space="preserve"> </w:t>
      </w:r>
      <w:r w:rsidRPr="00B60BFC">
        <w:rPr>
          <w:rFonts w:ascii="Times New Roman" w:eastAsia="Times New Roman" w:hAnsi="Times New Roman" w:cs="Times New Roman"/>
          <w:color w:val="ED0000"/>
          <w:kern w:val="0"/>
          <w:sz w:val="24"/>
          <w:szCs w:val="24"/>
          <w:lang w:eastAsia="en-GB"/>
          <w14:ligatures w14:val="none"/>
        </w:rPr>
        <w:t>hours or irregular contracts</w:t>
      </w:r>
      <w:r w:rsidR="009A14C7">
        <w:rPr>
          <w:rFonts w:ascii="Times New Roman" w:eastAsia="Times New Roman" w:hAnsi="Times New Roman" w:cs="Times New Roman"/>
          <w:color w:val="ED0000"/>
          <w:kern w:val="0"/>
          <w:sz w:val="24"/>
          <w:szCs w:val="24"/>
          <w:lang w:eastAsia="en-GB"/>
          <w14:ligatures w14:val="none"/>
        </w:rPr>
        <w:t xml:space="preserve"> </w:t>
      </w:r>
      <w:r w:rsidRPr="00B60BFC">
        <w:rPr>
          <w:rFonts w:ascii="Times New Roman" w:eastAsia="Times New Roman" w:hAnsi="Times New Roman" w:cs="Times New Roman"/>
          <w:color w:val="ED0000"/>
          <w:kern w:val="0"/>
          <w:sz w:val="24"/>
          <w:szCs w:val="24"/>
          <w:lang w:eastAsia="en-GB"/>
          <w14:ligatures w14:val="none"/>
        </w:rPr>
        <w:t>are entitled to a minimum of 5.6 weeks (28 days) of paid annual leave per year, pro-rated according to their working pattern (ACAS, 2024). For bank nurses, this right applies regardless of how irregular their hours are.</w:t>
      </w:r>
    </w:p>
    <w:p w14:paraId="1FE77EA7" w14:textId="40E2DF9A" w:rsidR="00B60BFC" w:rsidRPr="00B60BFC" w:rsidRDefault="00B60BFC" w:rsidP="00B60BFC">
      <w:pPr>
        <w:spacing w:before="100" w:beforeAutospacing="1" w:after="100" w:afterAutospacing="1" w:line="240" w:lineRule="auto"/>
        <w:rPr>
          <w:rFonts w:ascii="Times New Roman" w:eastAsia="Times New Roman" w:hAnsi="Times New Roman" w:cs="Times New Roman"/>
          <w:color w:val="ED0000"/>
          <w:kern w:val="0"/>
          <w:sz w:val="24"/>
          <w:szCs w:val="24"/>
          <w:lang w:eastAsia="en-GB"/>
          <w14:ligatures w14:val="none"/>
        </w:rPr>
      </w:pPr>
      <w:r w:rsidRPr="00B60BFC">
        <w:rPr>
          <w:rFonts w:ascii="Times New Roman" w:eastAsia="Times New Roman" w:hAnsi="Times New Roman" w:cs="Times New Roman"/>
          <w:color w:val="ED0000"/>
          <w:kern w:val="0"/>
          <w:sz w:val="24"/>
          <w:szCs w:val="24"/>
          <w:lang w:eastAsia="en-GB"/>
          <w14:ligatures w14:val="none"/>
        </w:rPr>
        <w:lastRenderedPageBreak/>
        <w:t xml:space="preserve">Historically, employers often calculated holiday entitlement for casual staff using 12.07% of hours worked, but this method was challenged in Harpur Trust v Brazel (2022). The Supreme Court ruled that part-year workers (like bank staff) should not have their holiday entitlement reduced based on the number of weeks they </w:t>
      </w:r>
      <w:proofErr w:type="gramStart"/>
      <w:r w:rsidRPr="00B60BFC">
        <w:rPr>
          <w:rFonts w:ascii="Times New Roman" w:eastAsia="Times New Roman" w:hAnsi="Times New Roman" w:cs="Times New Roman"/>
          <w:color w:val="ED0000"/>
          <w:kern w:val="0"/>
          <w:sz w:val="24"/>
          <w:szCs w:val="24"/>
          <w:lang w:eastAsia="en-GB"/>
          <w14:ligatures w14:val="none"/>
        </w:rPr>
        <w:t>actually work</w:t>
      </w:r>
      <w:proofErr w:type="gramEnd"/>
      <w:r w:rsidRPr="00B60BFC">
        <w:rPr>
          <w:rFonts w:ascii="Times New Roman" w:eastAsia="Times New Roman" w:hAnsi="Times New Roman" w:cs="Times New Roman"/>
          <w:color w:val="ED0000"/>
          <w:kern w:val="0"/>
          <w:sz w:val="24"/>
          <w:szCs w:val="24"/>
          <w:lang w:eastAsia="en-GB"/>
          <w14:ligatures w14:val="none"/>
        </w:rPr>
        <w:t>. Instead, they are entitled to the full 5.6 weeks of leave, calculated based on their average weekly pay over a 52-week reference period that excludes weeks with no pay (Daniels, 2022). This ruling remains applicable and must be followed for bank staff unless they are genuinely on a new category of irregular</w:t>
      </w:r>
      <w:r w:rsidR="009A14C7">
        <w:rPr>
          <w:rFonts w:ascii="Times New Roman" w:eastAsia="Times New Roman" w:hAnsi="Times New Roman" w:cs="Times New Roman"/>
          <w:color w:val="ED0000"/>
          <w:kern w:val="0"/>
          <w:sz w:val="24"/>
          <w:szCs w:val="24"/>
          <w:lang w:eastAsia="en-GB"/>
          <w14:ligatures w14:val="none"/>
        </w:rPr>
        <w:t xml:space="preserve"> </w:t>
      </w:r>
      <w:r w:rsidRPr="00B60BFC">
        <w:rPr>
          <w:rFonts w:ascii="Times New Roman" w:eastAsia="Times New Roman" w:hAnsi="Times New Roman" w:cs="Times New Roman"/>
          <w:color w:val="ED0000"/>
          <w:kern w:val="0"/>
          <w:sz w:val="24"/>
          <w:szCs w:val="24"/>
          <w:lang w:eastAsia="en-GB"/>
          <w14:ligatures w14:val="none"/>
        </w:rPr>
        <w:t>hours contract that falls within the 2024 changes.</w:t>
      </w:r>
    </w:p>
    <w:p w14:paraId="0EF285D7" w14:textId="6F459B30" w:rsidR="00B60BFC" w:rsidRPr="00B60BFC" w:rsidRDefault="00B60BFC" w:rsidP="00B60BFC">
      <w:pPr>
        <w:spacing w:before="100" w:beforeAutospacing="1" w:after="100" w:afterAutospacing="1" w:line="240" w:lineRule="auto"/>
        <w:rPr>
          <w:rFonts w:ascii="Times New Roman" w:eastAsia="Times New Roman" w:hAnsi="Times New Roman" w:cs="Times New Roman"/>
          <w:color w:val="ED0000"/>
          <w:kern w:val="0"/>
          <w:sz w:val="24"/>
          <w:szCs w:val="24"/>
          <w:lang w:eastAsia="en-GB"/>
          <w14:ligatures w14:val="none"/>
        </w:rPr>
      </w:pPr>
      <w:r w:rsidRPr="00B60BFC">
        <w:rPr>
          <w:rFonts w:ascii="Times New Roman" w:eastAsia="Times New Roman" w:hAnsi="Times New Roman" w:cs="Times New Roman"/>
          <w:color w:val="ED0000"/>
          <w:kern w:val="0"/>
          <w:sz w:val="24"/>
          <w:szCs w:val="24"/>
          <w:lang w:eastAsia="en-GB"/>
          <w14:ligatures w14:val="none"/>
        </w:rPr>
        <w:t>As of January 2024, amendments to the WTR introduced rolled</w:t>
      </w:r>
      <w:r w:rsidR="009A14C7">
        <w:rPr>
          <w:rFonts w:ascii="Times New Roman" w:eastAsia="Times New Roman" w:hAnsi="Times New Roman" w:cs="Times New Roman"/>
          <w:color w:val="ED0000"/>
          <w:kern w:val="0"/>
          <w:sz w:val="24"/>
          <w:szCs w:val="24"/>
          <w:lang w:eastAsia="en-GB"/>
          <w14:ligatures w14:val="none"/>
        </w:rPr>
        <w:t xml:space="preserve"> </w:t>
      </w:r>
      <w:r w:rsidRPr="00B60BFC">
        <w:rPr>
          <w:rFonts w:ascii="Times New Roman" w:eastAsia="Times New Roman" w:hAnsi="Times New Roman" w:cs="Times New Roman"/>
          <w:color w:val="ED0000"/>
          <w:kern w:val="0"/>
          <w:sz w:val="24"/>
          <w:szCs w:val="24"/>
          <w:lang w:eastAsia="en-GB"/>
          <w14:ligatures w14:val="none"/>
        </w:rPr>
        <w:t xml:space="preserve">up holiday pay for irregular and part-year workers, provided they are on appropriate contracts. Employers may now pay holiday pay within each pay period (instead of when leave is taken), but only if this is clearly </w:t>
      </w:r>
      <w:r w:rsidR="009A14C7">
        <w:rPr>
          <w:rFonts w:ascii="Times New Roman" w:eastAsia="Times New Roman" w:hAnsi="Times New Roman" w:cs="Times New Roman"/>
          <w:color w:val="ED0000"/>
          <w:kern w:val="0"/>
          <w:sz w:val="24"/>
          <w:szCs w:val="24"/>
          <w:lang w:eastAsia="en-GB"/>
          <w14:ligatures w14:val="none"/>
        </w:rPr>
        <w:t>shown</w:t>
      </w:r>
      <w:r w:rsidRPr="00B60BFC">
        <w:rPr>
          <w:rFonts w:ascii="Times New Roman" w:eastAsia="Times New Roman" w:hAnsi="Times New Roman" w:cs="Times New Roman"/>
          <w:color w:val="ED0000"/>
          <w:kern w:val="0"/>
          <w:sz w:val="24"/>
          <w:szCs w:val="24"/>
          <w:lang w:eastAsia="en-GB"/>
          <w14:ligatures w14:val="none"/>
        </w:rPr>
        <w:t xml:space="preserve"> on payslips and calculated as 12.07% of the worker’s total pay for that period (ACAS, 2024). However, care must be taken here</w:t>
      </w:r>
      <w:r w:rsidR="0083026D">
        <w:rPr>
          <w:rFonts w:ascii="Times New Roman" w:eastAsia="Times New Roman" w:hAnsi="Times New Roman" w:cs="Times New Roman"/>
          <w:color w:val="ED0000"/>
          <w:kern w:val="0"/>
          <w:sz w:val="24"/>
          <w:szCs w:val="24"/>
          <w:lang w:eastAsia="en-GB"/>
          <w14:ligatures w14:val="none"/>
        </w:rPr>
        <w:t xml:space="preserve"> as</w:t>
      </w:r>
      <w:r w:rsidRPr="00B60BFC">
        <w:rPr>
          <w:rFonts w:ascii="Times New Roman" w:eastAsia="Times New Roman" w:hAnsi="Times New Roman" w:cs="Times New Roman"/>
          <w:color w:val="ED0000"/>
          <w:kern w:val="0"/>
          <w:sz w:val="24"/>
          <w:szCs w:val="24"/>
          <w:lang w:eastAsia="en-GB"/>
          <w14:ligatures w14:val="none"/>
        </w:rPr>
        <w:t xml:space="preserve"> rolled</w:t>
      </w:r>
      <w:r w:rsidR="0083026D">
        <w:rPr>
          <w:rFonts w:ascii="Times New Roman" w:eastAsia="Times New Roman" w:hAnsi="Times New Roman" w:cs="Times New Roman"/>
          <w:color w:val="ED0000"/>
          <w:kern w:val="0"/>
          <w:sz w:val="24"/>
          <w:szCs w:val="24"/>
          <w:lang w:eastAsia="en-GB"/>
          <w14:ligatures w14:val="none"/>
        </w:rPr>
        <w:t xml:space="preserve"> </w:t>
      </w:r>
      <w:r w:rsidRPr="00B60BFC">
        <w:rPr>
          <w:rFonts w:ascii="Times New Roman" w:eastAsia="Times New Roman" w:hAnsi="Times New Roman" w:cs="Times New Roman"/>
          <w:color w:val="ED0000"/>
          <w:kern w:val="0"/>
          <w:sz w:val="24"/>
          <w:szCs w:val="24"/>
          <w:lang w:eastAsia="en-GB"/>
          <w14:ligatures w14:val="none"/>
        </w:rPr>
        <w:t>up holiday pay is only lawful if the individual’s contract meets the definition of “irregular hours” or “part-year” under the new legislation. For existing bank staff contracts that reflect casual work under Harpur, the full statutory entitlement remains the safer legal approach.</w:t>
      </w:r>
    </w:p>
    <w:p w14:paraId="0905534A" w14:textId="77777777" w:rsidR="00B60BFC" w:rsidRDefault="00B60BFC" w:rsidP="00B60BFC">
      <w:pPr>
        <w:spacing w:before="100" w:beforeAutospacing="1" w:after="100" w:afterAutospacing="1" w:line="240" w:lineRule="auto"/>
        <w:rPr>
          <w:rFonts w:ascii="Times New Roman" w:eastAsia="Times New Roman" w:hAnsi="Times New Roman" w:cs="Times New Roman"/>
          <w:color w:val="ED0000"/>
          <w:kern w:val="0"/>
          <w:sz w:val="24"/>
          <w:szCs w:val="24"/>
          <w:lang w:eastAsia="en-GB"/>
          <w14:ligatures w14:val="none"/>
        </w:rPr>
      </w:pPr>
      <w:r w:rsidRPr="00B60BFC">
        <w:rPr>
          <w:rFonts w:ascii="Times New Roman" w:eastAsia="Times New Roman" w:hAnsi="Times New Roman" w:cs="Times New Roman"/>
          <w:color w:val="ED0000"/>
          <w:kern w:val="0"/>
          <w:sz w:val="24"/>
          <w:szCs w:val="24"/>
          <w:lang w:eastAsia="en-GB"/>
          <w14:ligatures w14:val="none"/>
        </w:rPr>
        <w:t>Employers should also be aware of the British Gas Trading Ltd v Lock (2016) case, which established that holiday pay must reflect normal pay—including commission and overtime, not just basic pay.</w:t>
      </w:r>
    </w:p>
    <w:p w14:paraId="088E39B5" w14:textId="17BC71CE" w:rsidR="009A14C7" w:rsidRPr="00B60BFC" w:rsidRDefault="009A14C7" w:rsidP="00B60BFC">
      <w:pPr>
        <w:spacing w:before="100" w:beforeAutospacing="1" w:after="100" w:afterAutospacing="1" w:line="240" w:lineRule="auto"/>
        <w:rPr>
          <w:rFonts w:ascii="Times New Roman" w:eastAsia="Times New Roman" w:hAnsi="Times New Roman" w:cs="Times New Roman"/>
          <w:color w:val="ED0000"/>
          <w:kern w:val="0"/>
          <w:sz w:val="24"/>
          <w:szCs w:val="24"/>
          <w:lang w:eastAsia="en-GB"/>
          <w14:ligatures w14:val="none"/>
        </w:rPr>
      </w:pPr>
      <w:r w:rsidRPr="009A14C7">
        <w:rPr>
          <w:rFonts w:ascii="Times New Roman" w:hAnsi="Times New Roman" w:cs="Times New Roman"/>
          <w:color w:val="ED0000"/>
          <w:sz w:val="24"/>
          <w:szCs w:val="24"/>
        </w:rPr>
        <w:t>In addition to holiday rights, the Working Time Regulations 1998 also set out key protections for working time. These include a maximum average working week of 48 hours (unless the worker opts out), a right to 11 consecutive hours of rest in every 24-hour period, and one full day (24 hours) of rest per week or 48 hours every two weeks. Workers are also entitled to a 20-minute rest break if their daily working time exceeds six hours. These statutory rights are especially relevant for NHS workers such as bank nurses, who may work irregular shifts and must be protected from fatigue and burnout (ACAS, 2024).</w:t>
      </w:r>
    </w:p>
    <w:p w14:paraId="2C58EA9E" w14:textId="77777777" w:rsidR="00B60BFC" w:rsidRDefault="00B60BFC" w:rsidP="00B60BFC">
      <w:pPr>
        <w:spacing w:before="100" w:beforeAutospacing="1" w:after="100" w:afterAutospacing="1" w:line="240" w:lineRule="auto"/>
        <w:rPr>
          <w:rFonts w:ascii="Times New Roman" w:eastAsia="Times New Roman" w:hAnsi="Times New Roman" w:cs="Times New Roman"/>
          <w:color w:val="ED0000"/>
          <w:kern w:val="0"/>
          <w:sz w:val="24"/>
          <w:szCs w:val="24"/>
          <w:lang w:eastAsia="en-GB"/>
          <w14:ligatures w14:val="none"/>
        </w:rPr>
      </w:pPr>
      <w:r w:rsidRPr="00B60BFC">
        <w:rPr>
          <w:rFonts w:ascii="Times New Roman" w:eastAsia="Times New Roman" w:hAnsi="Times New Roman" w:cs="Times New Roman"/>
          <w:color w:val="ED0000"/>
          <w:kern w:val="0"/>
          <w:sz w:val="24"/>
          <w:szCs w:val="24"/>
          <w:lang w:eastAsia="en-GB"/>
          <w14:ligatures w14:val="none"/>
        </w:rPr>
        <w:t>To ensure legal compliance, detailed records should be kept, payslips must be transparent, and entitlements communicated clearly. Aligning practice with WTR 1998, relevant case law, and updated ACAS guidance will minimise risk and promote fairness in how bank nurses are treated.</w:t>
      </w:r>
    </w:p>
    <w:p w14:paraId="6D9316C7" w14:textId="3DB1D59A" w:rsidR="00C86655" w:rsidRPr="003A26D0" w:rsidRDefault="00C86655" w:rsidP="00C86655">
      <w:pPr>
        <w:spacing w:after="0" w:line="240" w:lineRule="auto"/>
        <w:rPr>
          <w:rFonts w:ascii="Times New Roman" w:eastAsia="Times New Roman" w:hAnsi="Times New Roman" w:cs="Times New Roman"/>
          <w:kern w:val="0"/>
          <w:sz w:val="24"/>
          <w:szCs w:val="24"/>
          <w:lang w:eastAsia="en-GB"/>
          <w14:ligatures w14:val="none"/>
        </w:rPr>
      </w:pPr>
    </w:p>
    <w:p w14:paraId="40562E4D" w14:textId="77777777" w:rsidR="00C86655" w:rsidRPr="003A26D0" w:rsidRDefault="00C86655" w:rsidP="00C86655">
      <w:pPr>
        <w:spacing w:after="0" w:line="240" w:lineRule="auto"/>
        <w:rPr>
          <w:rFonts w:ascii="Times New Roman" w:eastAsia="Times New Roman" w:hAnsi="Times New Roman" w:cs="Times New Roman"/>
          <w:kern w:val="0"/>
          <w:sz w:val="24"/>
          <w:szCs w:val="24"/>
          <w:lang w:eastAsia="en-GB"/>
          <w14:ligatures w14:val="none"/>
        </w:rPr>
      </w:pPr>
    </w:p>
    <w:p w14:paraId="4DCB5341" w14:textId="5AA0F957" w:rsidR="002832E1" w:rsidRPr="003A26D0" w:rsidRDefault="000940D6"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(AC 4.2)</w:t>
      </w:r>
    </w:p>
    <w:p w14:paraId="2A6273E6" w14:textId="0451F545" w:rsidR="00880126" w:rsidRPr="003A26D0" w:rsidRDefault="00880126" w:rsidP="00880126">
      <w:pPr>
        <w:pStyle w:val="NormalWeb"/>
      </w:pPr>
      <w:r w:rsidRPr="003A26D0">
        <w:t xml:space="preserve">Maternity leave is a statutory entitlement for pregnant employees, allowing up to 52 weeks of leave, which includes 26 weeks of Ordinary Maternity Leave (OML) and 26 weeks of Additional Maternity Leave (AML) (Daniels, 2023). Throughout this, </w:t>
      </w:r>
      <w:r w:rsidR="001A4121" w:rsidRPr="003A26D0">
        <w:t>your</w:t>
      </w:r>
      <w:r w:rsidRPr="003A26D0">
        <w:t xml:space="preserve"> employment contract remains in place, meaning </w:t>
      </w:r>
      <w:r w:rsidR="001A4121" w:rsidRPr="003A26D0">
        <w:t xml:space="preserve">your </w:t>
      </w:r>
      <w:r w:rsidRPr="003A26D0">
        <w:t xml:space="preserve">terms and conditions </w:t>
      </w:r>
      <w:r w:rsidR="005A1503" w:rsidRPr="003A26D0">
        <w:t xml:space="preserve">remain the same </w:t>
      </w:r>
      <w:r w:rsidRPr="003A26D0">
        <w:t xml:space="preserve">except for pay. Statutory Maternity Pay (SMP) is available for up to 39 weeks, with the first six weeks paid at 90% of </w:t>
      </w:r>
      <w:r w:rsidR="001A4121" w:rsidRPr="003A26D0">
        <w:t>your</w:t>
      </w:r>
      <w:r w:rsidRPr="003A26D0">
        <w:t xml:space="preserve"> average earnings and the remaining weeks paid at a rate or 90% of earnings, whichever is lower (Maternity Action, 2024). If </w:t>
      </w:r>
      <w:r w:rsidR="001A4121" w:rsidRPr="003A26D0">
        <w:t>you</w:t>
      </w:r>
      <w:r w:rsidRPr="003A26D0">
        <w:t xml:space="preserve"> do not qualify for SMP, </w:t>
      </w:r>
      <w:r w:rsidR="001A4121" w:rsidRPr="003A26D0">
        <w:t>you</w:t>
      </w:r>
      <w:r w:rsidR="005A1503" w:rsidRPr="003A26D0">
        <w:t xml:space="preserve"> </w:t>
      </w:r>
      <w:r w:rsidRPr="003A26D0">
        <w:t>may be eligible for Maternity Allowance.</w:t>
      </w:r>
    </w:p>
    <w:p w14:paraId="1E04F9C0" w14:textId="094A6A80" w:rsidR="00880126" w:rsidRPr="003A26D0" w:rsidRDefault="00880126" w:rsidP="00880126">
      <w:pPr>
        <w:pStyle w:val="NormalWeb"/>
      </w:pPr>
      <w:r w:rsidRPr="003A26D0">
        <w:t>One key benefit of maternity leave is the right to return to the same job if OML</w:t>
      </w:r>
      <w:r w:rsidR="005A1503" w:rsidRPr="003A26D0">
        <w:t xml:space="preserve"> is taken</w:t>
      </w:r>
      <w:r w:rsidRPr="003A26D0">
        <w:t xml:space="preserve"> or a total of 26 weeks or less of leave, including any period of shared parental leave. If leave </w:t>
      </w:r>
      <w:r w:rsidRPr="003A26D0">
        <w:lastRenderedPageBreak/>
        <w:t xml:space="preserve">exceeds this, and </w:t>
      </w:r>
      <w:r w:rsidR="005A1503" w:rsidRPr="003A26D0">
        <w:t>the</w:t>
      </w:r>
      <w:r w:rsidRPr="003A26D0">
        <w:t xml:space="preserve"> previous role is no longer available, </w:t>
      </w:r>
      <w:r w:rsidR="001A4121" w:rsidRPr="003A26D0">
        <w:t>you</w:t>
      </w:r>
      <w:r w:rsidRPr="003A26D0">
        <w:t xml:space="preserve"> must be offered a suitable alternative with no less favourable terms and conditions (CIPD, 2024).</w:t>
      </w:r>
    </w:p>
    <w:p w14:paraId="3FEE0142" w14:textId="7A970A00" w:rsidR="00880126" w:rsidRPr="003A26D0" w:rsidRDefault="00880126" w:rsidP="00880126">
      <w:pPr>
        <w:pStyle w:val="NormalWeb"/>
      </w:pPr>
      <w:r w:rsidRPr="003A26D0">
        <w:t xml:space="preserve">Shared Parental Leave (SPL) is a more flexible option that allows eligible parents to share up to 50 weeks of leave and 37 weeks of pay, which can be taken together or separately (Maternity Action, 2024). This flexibility </w:t>
      </w:r>
      <w:r w:rsidR="005A1503" w:rsidRPr="003A26D0">
        <w:t>lets</w:t>
      </w:r>
      <w:r w:rsidRPr="003A26D0">
        <w:t xml:space="preserve"> both parents to be off work at the same time or to </w:t>
      </w:r>
      <w:r w:rsidR="005A1503" w:rsidRPr="003A26D0">
        <w:t xml:space="preserve">alternate </w:t>
      </w:r>
      <w:r w:rsidRPr="003A26D0">
        <w:t xml:space="preserve">their leave, ensuring that one parent is always at home with </w:t>
      </w:r>
      <w:r w:rsidR="00E47F08" w:rsidRPr="003A26D0">
        <w:t>your</w:t>
      </w:r>
      <w:r w:rsidRPr="003A26D0">
        <w:t xml:space="preserve"> child during the first year. To qualify for SPL and Shared Parental Pay (</w:t>
      </w:r>
      <w:proofErr w:type="spellStart"/>
      <w:r w:rsidRPr="003A26D0">
        <w:t>ShPP</w:t>
      </w:r>
      <w:proofErr w:type="spellEnd"/>
      <w:r w:rsidRPr="003A26D0">
        <w:t xml:space="preserve">), both </w:t>
      </w:r>
      <w:r w:rsidR="007727CC" w:rsidRPr="003A26D0">
        <w:t>parents</w:t>
      </w:r>
      <w:r w:rsidRPr="003A26D0">
        <w:t xml:space="preserve"> must meet specific eligibility criteria. </w:t>
      </w:r>
      <w:r w:rsidR="001A4121" w:rsidRPr="003A26D0">
        <w:t>You and your partner</w:t>
      </w:r>
      <w:r w:rsidRPr="003A26D0">
        <w:t xml:space="preserve"> must have worked for at least 26 weeks in the 66 weeks before the due date and earned at least £390 across any 13 of those weeks. </w:t>
      </w:r>
      <w:r w:rsidR="00E47F08" w:rsidRPr="003A26D0">
        <w:t>Also,</w:t>
      </w:r>
      <w:r w:rsidR="001A4121" w:rsidRPr="003A26D0">
        <w:t xml:space="preserve"> you both</w:t>
      </w:r>
      <w:r w:rsidRPr="003A26D0">
        <w:t xml:space="preserve"> must have been continuously employed with the same employer for at least 26 weeks before the 15th week before the due date and earn at least £123 per week on average (CIPD, 2024).</w:t>
      </w:r>
    </w:p>
    <w:p w14:paraId="28B317E5" w14:textId="06B2260F" w:rsidR="00880126" w:rsidRPr="003A26D0" w:rsidRDefault="00880126" w:rsidP="00880126">
      <w:pPr>
        <w:pStyle w:val="NormalWeb"/>
      </w:pPr>
      <w:r w:rsidRPr="003A26D0">
        <w:t xml:space="preserve">One of the main advantages of SPL is that it allows </w:t>
      </w:r>
      <w:r w:rsidR="001A4121" w:rsidRPr="003A26D0">
        <w:t>both you and your partner</w:t>
      </w:r>
      <w:r w:rsidRPr="003A26D0">
        <w:t xml:space="preserve"> to take time off in blocks rather than a continuous period</w:t>
      </w:r>
      <w:r w:rsidR="00E47F08" w:rsidRPr="003A26D0">
        <w:t xml:space="preserve">. </w:t>
      </w:r>
      <w:r w:rsidRPr="003A26D0">
        <w:t xml:space="preserve">However, maternity leave provides a longer period of job protection and continuity. The best option will depend on </w:t>
      </w:r>
      <w:r w:rsidR="00E47F08" w:rsidRPr="003A26D0">
        <w:t>what suits you and your partner taking into consideration</w:t>
      </w:r>
      <w:r w:rsidR="005A1503" w:rsidRPr="003A26D0">
        <w:t xml:space="preserve"> </w:t>
      </w:r>
      <w:r w:rsidRPr="003A26D0">
        <w:t xml:space="preserve">family circumstances, financial needs, and how </w:t>
      </w:r>
      <w:r w:rsidR="001A4121" w:rsidRPr="003A26D0">
        <w:t>you</w:t>
      </w:r>
      <w:r w:rsidRPr="003A26D0">
        <w:t xml:space="preserve"> want to share childcare responsibilities.</w:t>
      </w:r>
    </w:p>
    <w:p w14:paraId="067F40F3" w14:textId="77777777" w:rsidR="000940D6" w:rsidRPr="003A26D0" w:rsidRDefault="000940D6" w:rsidP="00D27B48">
      <w:pPr>
        <w:spacing w:after="0" w:line="240" w:lineRule="auto"/>
        <w:rPr>
          <w:rFonts w:ascii="Times New Roman" w:eastAsia="Times New Roman" w:hAnsi="Times New Roman" w:cs="Times New Roman"/>
          <w:b/>
          <w:bCs/>
          <w:kern w:val="0"/>
          <w:sz w:val="24"/>
          <w:szCs w:val="24"/>
          <w:lang w:eastAsia="en-GB"/>
          <w14:ligatures w14:val="none"/>
        </w:rPr>
      </w:pPr>
    </w:p>
    <w:p w14:paraId="62D5CBB4" w14:textId="73F662C3" w:rsidR="001A4121" w:rsidRPr="003A26D0" w:rsidRDefault="001A4121" w:rsidP="00B9634F">
      <w:pPr>
        <w:pStyle w:val="ListParagraph"/>
        <w:numPr>
          <w:ilvl w:val="0"/>
          <w:numId w:val="11"/>
        </w:numPr>
        <w:spacing w:after="0" w:line="240" w:lineRule="auto"/>
        <w:ind w:left="0"/>
        <w:rPr>
          <w:rFonts w:ascii="Times New Roman" w:eastAsia="Times New Roman" w:hAnsi="Times New Roman" w:cs="Times New Roman"/>
          <w:b/>
          <w:bCs/>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(AC 4.3)</w:t>
      </w:r>
    </w:p>
    <w:p w14:paraId="058B59C8" w14:textId="77777777" w:rsidR="001A4121" w:rsidRPr="003A26D0" w:rsidRDefault="001A4121" w:rsidP="001A4121">
      <w:pPr>
        <w:spacing w:after="0" w:line="240" w:lineRule="auto"/>
        <w:rPr>
          <w:rFonts w:ascii="Times New Roman" w:eastAsia="Times New Roman" w:hAnsi="Times New Roman" w:cs="Times New Roman"/>
          <w:b/>
          <w:bCs/>
          <w:kern w:val="0"/>
          <w:sz w:val="24"/>
          <w:szCs w:val="24"/>
          <w:lang w:eastAsia="en-GB"/>
          <w14:ligatures w14:val="none"/>
        </w:rPr>
      </w:pPr>
    </w:p>
    <w:p w14:paraId="74DC7907" w14:textId="78956D98" w:rsidR="001A4121" w:rsidRPr="003A26D0" w:rsidRDefault="001A4121" w:rsidP="001A4121">
      <w:pPr>
        <w:spacing w:after="0" w:line="240" w:lineRule="auto"/>
        <w:rPr>
          <w:rFonts w:ascii="Times New Roman" w:eastAsia="Times New Roman" w:hAnsi="Times New Roman" w:cs="Times New Roman"/>
          <w:kern w:val="0"/>
          <w:sz w:val="24"/>
          <w:szCs w:val="24"/>
          <w:lang w:eastAsia="en-GB"/>
          <w14:ligatures w14:val="none"/>
        </w:rPr>
      </w:pPr>
      <w:r w:rsidRPr="003A26D0">
        <w:rPr>
          <w:rFonts w:ascii="Times New Roman" w:hAnsi="Times New Roman" w:cs="Times New Roman"/>
          <w:sz w:val="24"/>
          <w:szCs w:val="24"/>
        </w:rPr>
        <w:t xml:space="preserve">Under the Employment Rights Act 1996, all employees have the statutory right to request flexible working, </w:t>
      </w:r>
      <w:r w:rsidR="003A26D0" w:rsidRPr="003A26D0">
        <w:rPr>
          <w:rFonts w:ascii="Times New Roman" w:hAnsi="Times New Roman" w:cs="Times New Roman"/>
          <w:sz w:val="24"/>
          <w:szCs w:val="24"/>
        </w:rPr>
        <w:t xml:space="preserve">From April 2024, legislative changes removed the 26-week service requirement, allowing employees to request flexible working from day one of employment (GOV.UK, 2024). </w:t>
      </w:r>
      <w:r w:rsidRPr="003A26D0">
        <w:rPr>
          <w:rFonts w:ascii="Times New Roman" w:hAnsi="Times New Roman" w:cs="Times New Roman"/>
          <w:sz w:val="24"/>
          <w:szCs w:val="24"/>
        </w:rPr>
        <w:t>A flexible working request can be changes to working hours, working days, or the place of work, such as remote working (CIPD, 2024). The request must be made in writing</w:t>
      </w:r>
      <w:r w:rsidR="00E47F08" w:rsidRPr="003A26D0">
        <w:rPr>
          <w:rFonts w:ascii="Times New Roman" w:hAnsi="Times New Roman" w:cs="Times New Roman"/>
          <w:sz w:val="24"/>
          <w:szCs w:val="24"/>
        </w:rPr>
        <w:t>, which I understand she has,</w:t>
      </w:r>
      <w:r w:rsidRPr="003A26D0">
        <w:rPr>
          <w:rFonts w:ascii="Times New Roman" w:hAnsi="Times New Roman" w:cs="Times New Roman"/>
          <w:sz w:val="24"/>
          <w:szCs w:val="24"/>
        </w:rPr>
        <w:t xml:space="preserve"> and include details of the changes, the requested start date, and whether the employee has made previous requests. Employers have a </w:t>
      </w:r>
      <w:r w:rsidRPr="003A26D0">
        <w:rPr>
          <w:rStyle w:val="Strong"/>
          <w:rFonts w:ascii="Times New Roman" w:hAnsi="Times New Roman" w:cs="Times New Roman"/>
          <w:b w:val="0"/>
          <w:bCs w:val="0"/>
          <w:sz w:val="24"/>
          <w:szCs w:val="24"/>
        </w:rPr>
        <w:t>legal obligation</w:t>
      </w:r>
      <w:r w:rsidRPr="003A26D0">
        <w:rPr>
          <w:rFonts w:ascii="Times New Roman" w:hAnsi="Times New Roman" w:cs="Times New Roman"/>
          <w:sz w:val="24"/>
          <w:szCs w:val="24"/>
        </w:rPr>
        <w:t xml:space="preserve"> to handle such requests in a </w:t>
      </w:r>
      <w:r w:rsidRPr="003A26D0">
        <w:rPr>
          <w:rStyle w:val="Strong"/>
          <w:rFonts w:ascii="Times New Roman" w:hAnsi="Times New Roman" w:cs="Times New Roman"/>
          <w:b w:val="0"/>
          <w:bCs w:val="0"/>
          <w:sz w:val="24"/>
          <w:szCs w:val="24"/>
        </w:rPr>
        <w:t>reasonable manner</w:t>
      </w:r>
      <w:r w:rsidRPr="003A26D0">
        <w:rPr>
          <w:rFonts w:ascii="Times New Roman" w:hAnsi="Times New Roman" w:cs="Times New Roman"/>
          <w:sz w:val="24"/>
          <w:szCs w:val="24"/>
        </w:rPr>
        <w:t xml:space="preserve"> and </w:t>
      </w:r>
      <w:r w:rsidR="00E47F08" w:rsidRPr="003A26D0">
        <w:rPr>
          <w:rFonts w:ascii="Times New Roman" w:hAnsi="Times New Roman" w:cs="Times New Roman"/>
          <w:sz w:val="24"/>
          <w:szCs w:val="24"/>
        </w:rPr>
        <w:t xml:space="preserve">you </w:t>
      </w:r>
      <w:r w:rsidRPr="003A26D0">
        <w:rPr>
          <w:rFonts w:ascii="Times New Roman" w:hAnsi="Times New Roman" w:cs="Times New Roman"/>
          <w:sz w:val="24"/>
          <w:szCs w:val="24"/>
        </w:rPr>
        <w:t xml:space="preserve">must </w:t>
      </w:r>
      <w:r w:rsidR="00E47F08" w:rsidRPr="003A26D0">
        <w:rPr>
          <w:rFonts w:ascii="Times New Roman" w:hAnsi="Times New Roman" w:cs="Times New Roman"/>
          <w:sz w:val="24"/>
          <w:szCs w:val="24"/>
        </w:rPr>
        <w:t>give a decision</w:t>
      </w:r>
      <w:r w:rsidRPr="003A26D0">
        <w:rPr>
          <w:rFonts w:ascii="Times New Roman" w:hAnsi="Times New Roman" w:cs="Times New Roman"/>
          <w:sz w:val="24"/>
          <w:szCs w:val="24"/>
        </w:rPr>
        <w:t xml:space="preserve"> within </w:t>
      </w:r>
      <w:r w:rsidRPr="003A26D0">
        <w:rPr>
          <w:rStyle w:val="Strong"/>
          <w:rFonts w:ascii="Times New Roman" w:hAnsi="Times New Roman" w:cs="Times New Roman"/>
          <w:b w:val="0"/>
          <w:bCs w:val="0"/>
          <w:sz w:val="24"/>
          <w:szCs w:val="24"/>
        </w:rPr>
        <w:t>two months</w:t>
      </w:r>
      <w:r w:rsidRPr="003A26D0">
        <w:rPr>
          <w:rFonts w:ascii="Times New Roman" w:hAnsi="Times New Roman" w:cs="Times New Roman"/>
          <w:sz w:val="24"/>
          <w:szCs w:val="24"/>
        </w:rPr>
        <w:t xml:space="preserve"> (CIPD, 2024).</w:t>
      </w:r>
    </w:p>
    <w:p w14:paraId="491BF396" w14:textId="31434C2F" w:rsidR="001A4121" w:rsidRPr="003A26D0" w:rsidRDefault="00E47F08" w:rsidP="001A4121">
      <w:pPr>
        <w:pStyle w:val="NormalWeb"/>
      </w:pPr>
      <w:r w:rsidRPr="003A26D0">
        <w:t>You</w:t>
      </w:r>
      <w:r w:rsidR="001A4121" w:rsidRPr="003A26D0">
        <w:t xml:space="preserve"> can </w:t>
      </w:r>
      <w:r w:rsidR="001A4121" w:rsidRPr="003A26D0">
        <w:rPr>
          <w:rStyle w:val="Strong"/>
          <w:rFonts w:eastAsiaTheme="majorEastAsia"/>
          <w:b w:val="0"/>
          <w:bCs w:val="0"/>
        </w:rPr>
        <w:t>refuse a request</w:t>
      </w:r>
      <w:r w:rsidR="001A4121" w:rsidRPr="003A26D0">
        <w:rPr>
          <w:b/>
          <w:bCs/>
        </w:rPr>
        <w:t>,</w:t>
      </w:r>
      <w:r w:rsidR="001A4121" w:rsidRPr="003A26D0">
        <w:t xml:space="preserve"> but it must be based on one or more of the legally recognised grounds, such as </w:t>
      </w:r>
      <w:r w:rsidR="00B9634F" w:rsidRPr="003A26D0">
        <w:t>add</w:t>
      </w:r>
      <w:r w:rsidR="001A4121" w:rsidRPr="003A26D0">
        <w:t>itional costs, a</w:t>
      </w:r>
      <w:r w:rsidR="00B9634F" w:rsidRPr="003A26D0">
        <w:t xml:space="preserve">n </w:t>
      </w:r>
      <w:r w:rsidR="001A4121" w:rsidRPr="003A26D0">
        <w:t xml:space="preserve">impact on the quality of service, or </w:t>
      </w:r>
      <w:r w:rsidR="00B9634F" w:rsidRPr="003A26D0">
        <w:t>if you are not able</w:t>
      </w:r>
      <w:r w:rsidR="001A4121" w:rsidRPr="003A26D0">
        <w:t xml:space="preserve"> to reorganise work among existing staff (CIPD, 2024). If the request is </w:t>
      </w:r>
      <w:r w:rsidR="00B9634F" w:rsidRPr="003A26D0">
        <w:t>declined</w:t>
      </w:r>
      <w:r w:rsidR="001A4121" w:rsidRPr="003A26D0">
        <w:t xml:space="preserve">, the employee must be given a clear explanation of the reason, and it may be </w:t>
      </w:r>
      <w:r w:rsidR="00B9634F" w:rsidRPr="003A26D0">
        <w:t>worth giving a few options to explore</w:t>
      </w:r>
      <w:r w:rsidR="001A4121" w:rsidRPr="003A26D0">
        <w:t xml:space="preserve">, such as a trial period, to </w:t>
      </w:r>
      <w:r w:rsidR="00B9634F" w:rsidRPr="003A26D0">
        <w:t>see what it is like and what impact it has</w:t>
      </w:r>
      <w:r w:rsidR="001A4121" w:rsidRPr="003A26D0">
        <w:t xml:space="preserve"> before making a final decision.</w:t>
      </w:r>
    </w:p>
    <w:p w14:paraId="505C944A" w14:textId="208F9CA4" w:rsidR="001A4121" w:rsidRPr="003A26D0" w:rsidRDefault="00B9634F" w:rsidP="001A4121">
      <w:pPr>
        <w:pStyle w:val="NormalWeb"/>
      </w:pPr>
      <w:r w:rsidRPr="003A26D0">
        <w:t>If we don’t</w:t>
      </w:r>
      <w:r w:rsidR="001A4121" w:rsidRPr="003A26D0">
        <w:t xml:space="preserve"> </w:t>
      </w:r>
      <w:r w:rsidR="001A4121" w:rsidRPr="003A26D0">
        <w:rPr>
          <w:rStyle w:val="Strong"/>
          <w:rFonts w:eastAsiaTheme="majorEastAsia"/>
          <w:b w:val="0"/>
          <w:bCs w:val="0"/>
        </w:rPr>
        <w:t>handle a flexible working request fairly and in line with legal requirements</w:t>
      </w:r>
      <w:r w:rsidRPr="003A26D0">
        <w:t xml:space="preserve">, it </w:t>
      </w:r>
      <w:r w:rsidR="001A4121" w:rsidRPr="003A26D0">
        <w:t xml:space="preserve">can lead to claims being raised at an employment tribunal. Employees may challenge the decision if the employer does not consider their request in a reasonable manner, treats their application as </w:t>
      </w:r>
      <w:r w:rsidRPr="003A26D0">
        <w:t>no</w:t>
      </w:r>
      <w:r w:rsidR="001A4121" w:rsidRPr="003A26D0">
        <w:t xml:space="preserve"> without justification, or refuses the request based on incorrect facts (CIPD, 2024). If a tribunal finds that the employer has failed in their obligations, they can order the reconsideration of the request or award </w:t>
      </w:r>
      <w:r w:rsidR="001A4121" w:rsidRPr="003A26D0">
        <w:rPr>
          <w:rStyle w:val="Strong"/>
          <w:rFonts w:eastAsiaTheme="majorEastAsia"/>
          <w:b w:val="0"/>
          <w:bCs w:val="0"/>
        </w:rPr>
        <w:t>compensation of up to eight weeks’ pay</w:t>
      </w:r>
      <w:r w:rsidR="001A4121" w:rsidRPr="003A26D0">
        <w:t>. In cases where an employee suffers detriment, such as being unfairly dismissed due to their request, the tribunal may award reinstatement, re-engagement, or compensation (Employment Rights Act 1996</w:t>
      </w:r>
      <w:r w:rsidRPr="003A26D0">
        <w:t>)</w:t>
      </w:r>
    </w:p>
    <w:p w14:paraId="0AB1A9B6" w14:textId="2223A5D4" w:rsidR="001A4121" w:rsidRPr="003A26D0" w:rsidRDefault="001A4121" w:rsidP="001A4121">
      <w:pPr>
        <w:pStyle w:val="NormalWeb"/>
      </w:pPr>
      <w:r w:rsidRPr="003A26D0">
        <w:lastRenderedPageBreak/>
        <w:t xml:space="preserve">Given the importance of fair and consistent decision-making, it may be helpful to </w:t>
      </w:r>
      <w:r w:rsidRPr="003A26D0">
        <w:rPr>
          <w:rStyle w:val="Strong"/>
          <w:rFonts w:eastAsiaTheme="majorEastAsia"/>
          <w:b w:val="0"/>
          <w:bCs w:val="0"/>
        </w:rPr>
        <w:t>review the request on an individual basis</w:t>
      </w:r>
      <w:r w:rsidRPr="003A26D0">
        <w:t xml:space="preserve"> rather than basing the decision on concerns that others may follow suit. A discussion </w:t>
      </w:r>
      <w:r w:rsidR="00B9634F" w:rsidRPr="003A26D0">
        <w:t>would help to see if</w:t>
      </w:r>
      <w:r w:rsidRPr="003A26D0">
        <w:t xml:space="preserve"> </w:t>
      </w:r>
      <w:r w:rsidRPr="003A26D0">
        <w:rPr>
          <w:rStyle w:val="Strong"/>
          <w:rFonts w:eastAsiaTheme="majorEastAsia"/>
          <w:b w:val="0"/>
          <w:bCs w:val="0"/>
        </w:rPr>
        <w:t>alternative flexible arrangements</w:t>
      </w:r>
      <w:r w:rsidRPr="003A26D0">
        <w:t xml:space="preserve"> could be agreed upon, such as hybrid working on fewer days</w:t>
      </w:r>
      <w:r w:rsidR="00B9634F" w:rsidRPr="003A26D0">
        <w:t>,</w:t>
      </w:r>
      <w:r w:rsidRPr="003A26D0">
        <w:t xml:space="preserve"> or</w:t>
      </w:r>
      <w:r w:rsidR="00B9634F" w:rsidRPr="003A26D0">
        <w:t>, as mentioned above,</w:t>
      </w:r>
      <w:r w:rsidRPr="003A26D0">
        <w:t xml:space="preserve"> a trial period, may also be worthwhile.</w:t>
      </w:r>
      <w:r w:rsidR="003A26D0" w:rsidRPr="003A26D0">
        <w:t xml:space="preserve"> </w:t>
      </w:r>
    </w:p>
    <w:p w14:paraId="044F8801"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b/>
          <w:bCs/>
          <w:kern w:val="0"/>
          <w:sz w:val="24"/>
          <w:szCs w:val="24"/>
          <w:lang w:eastAsia="en-GB"/>
          <w14:ligatures w14:val="none"/>
        </w:rPr>
        <w:t>References</w:t>
      </w:r>
    </w:p>
    <w:p w14:paraId="7A213373" w14:textId="4ED11ECA" w:rsid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ACAS (2024) ‘Constructive Dismissal: Employee Rights and Employer Defences.’ Available at: </w:t>
      </w:r>
      <w:hyperlink r:id="rId5" w:tgtFrame="_new" w:history="1">
        <w:r w:rsidRPr="003A26D0">
          <w:rPr>
            <w:rFonts w:ascii="Times New Roman" w:eastAsia="Times New Roman" w:hAnsi="Times New Roman" w:cs="Times New Roman"/>
            <w:color w:val="0000FF"/>
            <w:kern w:val="0"/>
            <w:sz w:val="24"/>
            <w:szCs w:val="24"/>
            <w:u w:val="single"/>
            <w:lang w:eastAsia="en-GB"/>
            <w14:ligatures w14:val="none"/>
          </w:rPr>
          <w:t>www.acas.org.uk</w:t>
        </w:r>
      </w:hyperlink>
      <w:r w:rsidRPr="003A26D0">
        <w:rPr>
          <w:rFonts w:ascii="Times New Roman" w:eastAsia="Times New Roman" w:hAnsi="Times New Roman" w:cs="Times New Roman"/>
          <w:kern w:val="0"/>
          <w:sz w:val="24"/>
          <w:szCs w:val="24"/>
          <w:lang w:eastAsia="en-GB"/>
          <w14:ligatures w14:val="none"/>
        </w:rPr>
        <w:t>.</w:t>
      </w:r>
    </w:p>
    <w:p w14:paraId="66BFBF9B"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ACAS (2024) ‘Equal Pay and Gender Pay Gap Guidance.’ Available at: </w:t>
      </w:r>
      <w:hyperlink r:id="rId6" w:tgtFrame="_new" w:history="1">
        <w:r w:rsidRPr="003A26D0">
          <w:rPr>
            <w:rFonts w:ascii="Times New Roman" w:eastAsia="Times New Roman" w:hAnsi="Times New Roman" w:cs="Times New Roman"/>
            <w:color w:val="0000FF"/>
            <w:kern w:val="0"/>
            <w:sz w:val="24"/>
            <w:szCs w:val="24"/>
            <w:u w:val="single"/>
            <w:lang w:eastAsia="en-GB"/>
            <w14:ligatures w14:val="none"/>
          </w:rPr>
          <w:t>www.acas.org.uk</w:t>
        </w:r>
      </w:hyperlink>
      <w:r w:rsidRPr="003A26D0">
        <w:rPr>
          <w:rFonts w:ascii="Times New Roman" w:eastAsia="Times New Roman" w:hAnsi="Times New Roman" w:cs="Times New Roman"/>
          <w:kern w:val="0"/>
          <w:sz w:val="24"/>
          <w:szCs w:val="24"/>
          <w:lang w:eastAsia="en-GB"/>
          <w14:ligatures w14:val="none"/>
        </w:rPr>
        <w:t>.</w:t>
      </w:r>
    </w:p>
    <w:p w14:paraId="435EDF84" w14:textId="4270DDCD" w:rsidR="008E0ADD" w:rsidRDefault="008E0ADD" w:rsidP="00F277B8">
      <w:pPr>
        <w:spacing w:before="100" w:beforeAutospacing="1" w:after="100" w:afterAutospacing="1" w:line="240" w:lineRule="auto"/>
      </w:pPr>
      <w:proofErr w:type="gramStart"/>
      <w:r w:rsidRPr="003A26D0">
        <w:rPr>
          <w:rFonts w:ascii="Times New Roman" w:eastAsia="Times New Roman" w:hAnsi="Times New Roman" w:cs="Times New Roman"/>
          <w:kern w:val="0"/>
          <w:sz w:val="24"/>
          <w:szCs w:val="24"/>
          <w:lang w:eastAsia="en-GB"/>
          <w14:ligatures w14:val="none"/>
        </w:rPr>
        <w:t>A</w:t>
      </w:r>
      <w:r w:rsidR="009C621F">
        <w:rPr>
          <w:rFonts w:ascii="Times New Roman" w:eastAsia="Times New Roman" w:hAnsi="Times New Roman" w:cs="Times New Roman"/>
          <w:kern w:val="0"/>
          <w:sz w:val="24"/>
          <w:szCs w:val="24"/>
          <w:lang w:eastAsia="en-GB"/>
          <w14:ligatures w14:val="none"/>
        </w:rPr>
        <w:t>CAS</w:t>
      </w:r>
      <w:r w:rsidRPr="003A26D0">
        <w:rPr>
          <w:rFonts w:ascii="Times New Roman" w:eastAsia="Times New Roman" w:hAnsi="Times New Roman" w:cs="Times New Roman"/>
          <w:kern w:val="0"/>
          <w:sz w:val="24"/>
          <w:szCs w:val="24"/>
          <w:lang w:eastAsia="en-GB"/>
          <w14:ligatures w14:val="none"/>
        </w:rPr>
        <w:t xml:space="preserve">  ‘</w:t>
      </w:r>
      <w:proofErr w:type="gramEnd"/>
      <w:r w:rsidRPr="003A26D0">
        <w:rPr>
          <w:rFonts w:ascii="Times New Roman" w:eastAsia="Times New Roman" w:hAnsi="Times New Roman" w:cs="Times New Roman"/>
          <w:kern w:val="0"/>
          <w:sz w:val="24"/>
          <w:szCs w:val="24"/>
          <w:lang w:eastAsia="en-GB"/>
          <w14:ligatures w14:val="none"/>
        </w:rPr>
        <w:t xml:space="preserve">Failure to consult – Collective consultation for redundancy.’ Available at: </w:t>
      </w:r>
      <w:hyperlink r:id="rId7" w:tgtFrame="_new" w:history="1">
        <w:r w:rsidRPr="003A26D0">
          <w:rPr>
            <w:rStyle w:val="Hyperlink"/>
            <w:rFonts w:ascii="Times New Roman" w:eastAsia="Times New Roman" w:hAnsi="Times New Roman" w:cs="Times New Roman"/>
            <w:kern w:val="0"/>
            <w:sz w:val="24"/>
            <w:szCs w:val="24"/>
            <w:lang w:eastAsia="en-GB"/>
            <w14:ligatures w14:val="none"/>
          </w:rPr>
          <w:t>https://www.acas.org.uk/collective-consultation-redundancy/if-an-employer-does-not-collectively-consult</w:t>
        </w:r>
      </w:hyperlink>
    </w:p>
    <w:p w14:paraId="3FD3AD69" w14:textId="2A8760BF" w:rsidR="00495F77" w:rsidRPr="003A26D0" w:rsidRDefault="00495F77"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5F77">
        <w:rPr>
          <w:rFonts w:ascii="Times New Roman" w:hAnsi="Times New Roman" w:cs="Times New Roman"/>
          <w:sz w:val="24"/>
          <w:szCs w:val="24"/>
        </w:rPr>
        <w:t xml:space="preserve">ACAS (2024) </w:t>
      </w:r>
      <w:r w:rsidRPr="00495F77">
        <w:rPr>
          <w:rStyle w:val="Emphasis"/>
          <w:rFonts w:ascii="Times New Roman" w:hAnsi="Times New Roman" w:cs="Times New Roman"/>
          <w:sz w:val="24"/>
          <w:szCs w:val="24"/>
        </w:rPr>
        <w:t>Holiday entitlement and pay: Irregular hours and part-year workers</w:t>
      </w:r>
      <w:r w:rsidRPr="00495F77">
        <w:rPr>
          <w:rFonts w:ascii="Times New Roman" w:hAnsi="Times New Roman" w:cs="Times New Roman"/>
          <w:sz w:val="24"/>
          <w:szCs w:val="24"/>
        </w:rPr>
        <w:t>. Available at: https://www.acas.org.uk/holiday-entitlement</w:t>
      </w:r>
    </w:p>
    <w:p w14:paraId="65268ED3"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ACAS (2024) ‘Irregular hours and part-year workers: calculating holiday pay.’ Available at: </w:t>
      </w:r>
      <w:hyperlink r:id="rId8" w:tgtFrame="_new" w:history="1">
        <w:r w:rsidRPr="003A26D0">
          <w:rPr>
            <w:rFonts w:ascii="Times New Roman" w:eastAsia="Times New Roman" w:hAnsi="Times New Roman" w:cs="Times New Roman"/>
            <w:color w:val="0000FF"/>
            <w:kern w:val="0"/>
            <w:sz w:val="24"/>
            <w:szCs w:val="24"/>
            <w:u w:val="single"/>
            <w:lang w:eastAsia="en-GB"/>
            <w14:ligatures w14:val="none"/>
          </w:rPr>
          <w:t>https://www.acas.org.uk/irregular-hours-and-part-year-workers/calculating-holiday-pay</w:t>
        </w:r>
      </w:hyperlink>
      <w:r w:rsidRPr="003A26D0">
        <w:rPr>
          <w:rFonts w:ascii="Times New Roman" w:eastAsia="Times New Roman" w:hAnsi="Times New Roman" w:cs="Times New Roman"/>
          <w:kern w:val="0"/>
          <w:sz w:val="24"/>
          <w:szCs w:val="24"/>
          <w:lang w:eastAsia="en-GB"/>
          <w14:ligatures w14:val="none"/>
        </w:rPr>
        <w:t>.</w:t>
      </w:r>
    </w:p>
    <w:p w14:paraId="1342159D" w14:textId="77777777" w:rsid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ACAS (2024) ‘Redundancy: Employee Rights and Employer Obligations.’ Available at: </w:t>
      </w:r>
      <w:hyperlink r:id="rId9" w:tgtFrame="_new" w:history="1">
        <w:r w:rsidRPr="003A26D0">
          <w:rPr>
            <w:rFonts w:ascii="Times New Roman" w:eastAsia="Times New Roman" w:hAnsi="Times New Roman" w:cs="Times New Roman"/>
            <w:color w:val="0000FF"/>
            <w:kern w:val="0"/>
            <w:sz w:val="24"/>
            <w:szCs w:val="24"/>
            <w:u w:val="single"/>
            <w:lang w:eastAsia="en-GB"/>
            <w14:ligatures w14:val="none"/>
          </w:rPr>
          <w:t>www.acas.org.uk</w:t>
        </w:r>
      </w:hyperlink>
      <w:r w:rsidRPr="003A26D0">
        <w:rPr>
          <w:rFonts w:ascii="Times New Roman" w:eastAsia="Times New Roman" w:hAnsi="Times New Roman" w:cs="Times New Roman"/>
          <w:kern w:val="0"/>
          <w:sz w:val="24"/>
          <w:szCs w:val="24"/>
          <w:lang w:eastAsia="en-GB"/>
          <w14:ligatures w14:val="none"/>
        </w:rPr>
        <w:t>.</w:t>
      </w:r>
    </w:p>
    <w:p w14:paraId="132DA6F3" w14:textId="1A89D83C" w:rsidR="00495F77" w:rsidRPr="00495F77" w:rsidRDefault="00495F77"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95F77">
        <w:rPr>
          <w:rFonts w:ascii="Times New Roman" w:hAnsi="Times New Roman" w:cs="Times New Roman"/>
          <w:sz w:val="24"/>
          <w:szCs w:val="24"/>
        </w:rPr>
        <w:t xml:space="preserve">ACAS (2024) </w:t>
      </w:r>
      <w:r w:rsidRPr="00495F77">
        <w:rPr>
          <w:rStyle w:val="Emphasis"/>
          <w:rFonts w:ascii="Times New Roman" w:hAnsi="Times New Roman" w:cs="Times New Roman"/>
          <w:sz w:val="24"/>
          <w:szCs w:val="24"/>
        </w:rPr>
        <w:t>Working hours</w:t>
      </w:r>
      <w:r w:rsidRPr="00495F77">
        <w:rPr>
          <w:rFonts w:ascii="Times New Roman" w:hAnsi="Times New Roman" w:cs="Times New Roman"/>
          <w:sz w:val="24"/>
          <w:szCs w:val="24"/>
        </w:rPr>
        <w:t>. Available at: https://www.acas.org.uk/working-hours</w:t>
      </w:r>
    </w:p>
    <w:p w14:paraId="6943DD28"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Armstrong, M. and Taylor, S. (2022) </w:t>
      </w:r>
      <w:r w:rsidRPr="003A26D0">
        <w:rPr>
          <w:rFonts w:ascii="Times New Roman" w:eastAsia="Times New Roman" w:hAnsi="Times New Roman" w:cs="Times New Roman"/>
          <w:i/>
          <w:iCs/>
          <w:kern w:val="0"/>
          <w:sz w:val="24"/>
          <w:szCs w:val="24"/>
          <w:lang w:eastAsia="en-GB"/>
          <w14:ligatures w14:val="none"/>
        </w:rPr>
        <w:t>Armstrong’s Handbook of Human Resource Management Practice</w:t>
      </w:r>
      <w:r w:rsidRPr="003A26D0">
        <w:rPr>
          <w:rFonts w:ascii="Times New Roman" w:eastAsia="Times New Roman" w:hAnsi="Times New Roman" w:cs="Times New Roman"/>
          <w:kern w:val="0"/>
          <w:sz w:val="24"/>
          <w:szCs w:val="24"/>
          <w:lang w:eastAsia="en-GB"/>
          <w14:ligatures w14:val="none"/>
        </w:rPr>
        <w:t xml:space="preserve">. 16th </w:t>
      </w:r>
      <w:proofErr w:type="spellStart"/>
      <w:r w:rsidRPr="003A26D0">
        <w:rPr>
          <w:rFonts w:ascii="Times New Roman" w:eastAsia="Times New Roman" w:hAnsi="Times New Roman" w:cs="Times New Roman"/>
          <w:kern w:val="0"/>
          <w:sz w:val="24"/>
          <w:szCs w:val="24"/>
          <w:lang w:eastAsia="en-GB"/>
          <w14:ligatures w14:val="none"/>
        </w:rPr>
        <w:t>edn</w:t>
      </w:r>
      <w:proofErr w:type="spellEnd"/>
      <w:r w:rsidRPr="003A26D0">
        <w:rPr>
          <w:rFonts w:ascii="Times New Roman" w:eastAsia="Times New Roman" w:hAnsi="Times New Roman" w:cs="Times New Roman"/>
          <w:kern w:val="0"/>
          <w:sz w:val="24"/>
          <w:szCs w:val="24"/>
          <w:lang w:eastAsia="en-GB"/>
          <w14:ligatures w14:val="none"/>
        </w:rPr>
        <w:t>. London: Kogan Page.</w:t>
      </w:r>
    </w:p>
    <w:p w14:paraId="6B883F6A" w14:textId="77777777" w:rsid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British Gas Trading Ltd v Lock [2016] ICR 503.</w:t>
      </w:r>
    </w:p>
    <w:p w14:paraId="634865C6" w14:textId="648D35F9" w:rsidR="00406E3D" w:rsidRPr="00406E3D" w:rsidRDefault="00406E3D"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06E3D">
        <w:rPr>
          <w:rFonts w:ascii="Times New Roman" w:hAnsi="Times New Roman" w:cs="Times New Roman"/>
          <w:sz w:val="24"/>
          <w:szCs w:val="24"/>
        </w:rPr>
        <w:t xml:space="preserve">CBI (2023) </w:t>
      </w:r>
      <w:r w:rsidRPr="00406E3D">
        <w:rPr>
          <w:rFonts w:ascii="Times New Roman" w:hAnsi="Times New Roman" w:cs="Times New Roman"/>
          <w:i/>
          <w:iCs/>
          <w:sz w:val="24"/>
          <w:szCs w:val="24"/>
        </w:rPr>
        <w:t>Regulation and Business: A Balancing Act</w:t>
      </w:r>
      <w:r w:rsidRPr="00406E3D">
        <w:rPr>
          <w:rFonts w:ascii="Times New Roman" w:hAnsi="Times New Roman" w:cs="Times New Roman"/>
          <w:sz w:val="24"/>
          <w:szCs w:val="24"/>
        </w:rPr>
        <w:t xml:space="preserve">. Available at: </w:t>
      </w:r>
      <w:hyperlink r:id="rId10" w:tgtFrame="_new" w:history="1">
        <w:r w:rsidRPr="00406E3D">
          <w:rPr>
            <w:rFonts w:ascii="Times New Roman" w:hAnsi="Times New Roman" w:cs="Times New Roman"/>
            <w:color w:val="0000FF"/>
            <w:sz w:val="24"/>
            <w:szCs w:val="24"/>
            <w:u w:val="single"/>
          </w:rPr>
          <w:t>https://www.cbi.org.uk/</w:t>
        </w:r>
      </w:hyperlink>
    </w:p>
    <w:p w14:paraId="64F5B752"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CIPD (2024) ‘A Guide for People Professionals (TUPE).’ Available at: </w:t>
      </w:r>
      <w:hyperlink r:id="rId11" w:tgtFrame="_new" w:history="1">
        <w:r w:rsidRPr="003A26D0">
          <w:rPr>
            <w:rFonts w:ascii="Times New Roman" w:eastAsia="Times New Roman" w:hAnsi="Times New Roman" w:cs="Times New Roman"/>
            <w:color w:val="0000FF"/>
            <w:kern w:val="0"/>
            <w:sz w:val="24"/>
            <w:szCs w:val="24"/>
            <w:u w:val="single"/>
            <w:lang w:eastAsia="en-GB"/>
            <w14:ligatures w14:val="none"/>
          </w:rPr>
          <w:t>https://www.cipd.co.uk/knowledge/fundamentals/emp-law</w:t>
        </w:r>
      </w:hyperlink>
      <w:r w:rsidRPr="003A26D0">
        <w:rPr>
          <w:rFonts w:ascii="Times New Roman" w:eastAsia="Times New Roman" w:hAnsi="Times New Roman" w:cs="Times New Roman"/>
          <w:kern w:val="0"/>
          <w:sz w:val="24"/>
          <w:szCs w:val="24"/>
          <w:lang w:eastAsia="en-GB"/>
          <w14:ligatures w14:val="none"/>
        </w:rPr>
        <w:t>.</w:t>
      </w:r>
    </w:p>
    <w:p w14:paraId="4186C1B2"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CIPD (2024) ‘Flexible working: understanding the law and best practice.’ Available at: </w:t>
      </w:r>
      <w:hyperlink r:id="rId12" w:tgtFrame="_new" w:history="1">
        <w:r w:rsidRPr="003A26D0">
          <w:rPr>
            <w:rFonts w:ascii="Times New Roman" w:eastAsia="Times New Roman" w:hAnsi="Times New Roman" w:cs="Times New Roman"/>
            <w:color w:val="0000FF"/>
            <w:kern w:val="0"/>
            <w:sz w:val="24"/>
            <w:szCs w:val="24"/>
            <w:u w:val="single"/>
            <w:lang w:eastAsia="en-GB"/>
            <w14:ligatures w14:val="none"/>
          </w:rPr>
          <w:t>https://www.cipd.org.uk/knowledge/factsheets/flexible-working-factsheet/</w:t>
        </w:r>
      </w:hyperlink>
      <w:r w:rsidRPr="003A26D0">
        <w:rPr>
          <w:rFonts w:ascii="Times New Roman" w:eastAsia="Times New Roman" w:hAnsi="Times New Roman" w:cs="Times New Roman"/>
          <w:kern w:val="0"/>
          <w:sz w:val="24"/>
          <w:szCs w:val="24"/>
          <w:lang w:eastAsia="en-GB"/>
          <w14:ligatures w14:val="none"/>
        </w:rPr>
        <w:t>.</w:t>
      </w:r>
    </w:p>
    <w:p w14:paraId="69C19BA2"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CIPD (2024) ‘Maternity and paternity rights.’ Available at: </w:t>
      </w:r>
      <w:hyperlink r:id="rId13" w:tgtFrame="_new" w:history="1">
        <w:r w:rsidRPr="003A26D0">
          <w:rPr>
            <w:rFonts w:ascii="Times New Roman" w:eastAsia="Times New Roman" w:hAnsi="Times New Roman" w:cs="Times New Roman"/>
            <w:color w:val="0000FF"/>
            <w:kern w:val="0"/>
            <w:sz w:val="24"/>
            <w:szCs w:val="24"/>
            <w:u w:val="single"/>
            <w:lang w:eastAsia="en-GB"/>
            <w14:ligatures w14:val="none"/>
          </w:rPr>
          <w:t>https://www.cipd.org.uk/uk/knowledge/factsheets/maternity-paternity-rights-factsheet/</w:t>
        </w:r>
      </w:hyperlink>
      <w:r w:rsidRPr="003A26D0">
        <w:rPr>
          <w:rFonts w:ascii="Times New Roman" w:eastAsia="Times New Roman" w:hAnsi="Times New Roman" w:cs="Times New Roman"/>
          <w:kern w:val="0"/>
          <w:sz w:val="24"/>
          <w:szCs w:val="24"/>
          <w:lang w:eastAsia="en-GB"/>
          <w14:ligatures w14:val="none"/>
        </w:rPr>
        <w:t>.</w:t>
      </w:r>
    </w:p>
    <w:p w14:paraId="685C58EE"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Daniels, K. (2022) </w:t>
      </w:r>
      <w:r w:rsidRPr="003A26D0">
        <w:rPr>
          <w:rFonts w:ascii="Times New Roman" w:eastAsia="Times New Roman" w:hAnsi="Times New Roman" w:cs="Times New Roman"/>
          <w:i/>
          <w:iCs/>
          <w:kern w:val="0"/>
          <w:sz w:val="24"/>
          <w:szCs w:val="24"/>
          <w:lang w:eastAsia="en-GB"/>
          <w14:ligatures w14:val="none"/>
        </w:rPr>
        <w:t>Introduction to Employment Law: Fundamentals for HR and Business Students</w:t>
      </w:r>
      <w:r w:rsidRPr="003A26D0">
        <w:rPr>
          <w:rFonts w:ascii="Times New Roman" w:eastAsia="Times New Roman" w:hAnsi="Times New Roman" w:cs="Times New Roman"/>
          <w:kern w:val="0"/>
          <w:sz w:val="24"/>
          <w:szCs w:val="24"/>
          <w:lang w:eastAsia="en-GB"/>
          <w14:ligatures w14:val="none"/>
        </w:rPr>
        <w:t xml:space="preserve">. 6th </w:t>
      </w:r>
      <w:proofErr w:type="spellStart"/>
      <w:r w:rsidRPr="003A26D0">
        <w:rPr>
          <w:rFonts w:ascii="Times New Roman" w:eastAsia="Times New Roman" w:hAnsi="Times New Roman" w:cs="Times New Roman"/>
          <w:kern w:val="0"/>
          <w:sz w:val="24"/>
          <w:szCs w:val="24"/>
          <w:lang w:eastAsia="en-GB"/>
          <w14:ligatures w14:val="none"/>
        </w:rPr>
        <w:t>edn</w:t>
      </w:r>
      <w:proofErr w:type="spellEnd"/>
      <w:r w:rsidRPr="003A26D0">
        <w:rPr>
          <w:rFonts w:ascii="Times New Roman" w:eastAsia="Times New Roman" w:hAnsi="Times New Roman" w:cs="Times New Roman"/>
          <w:kern w:val="0"/>
          <w:sz w:val="24"/>
          <w:szCs w:val="24"/>
          <w:lang w:eastAsia="en-GB"/>
          <w14:ligatures w14:val="none"/>
        </w:rPr>
        <w:t>. London: CIPD.</w:t>
      </w:r>
    </w:p>
    <w:p w14:paraId="39CC99AC" w14:textId="77777777" w:rsid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EHRC (2024) ‘Equality and Human Rights Commission Guidance on Discrimination in Recruitment.’ Available at: </w:t>
      </w:r>
      <w:hyperlink r:id="rId14" w:tgtFrame="_new" w:history="1">
        <w:r w:rsidRPr="003A26D0">
          <w:rPr>
            <w:rFonts w:ascii="Times New Roman" w:eastAsia="Times New Roman" w:hAnsi="Times New Roman" w:cs="Times New Roman"/>
            <w:color w:val="0000FF"/>
            <w:kern w:val="0"/>
            <w:sz w:val="24"/>
            <w:szCs w:val="24"/>
            <w:u w:val="single"/>
            <w:lang w:eastAsia="en-GB"/>
            <w14:ligatures w14:val="none"/>
          </w:rPr>
          <w:t>www.equalityhumanrights.com</w:t>
        </w:r>
      </w:hyperlink>
      <w:r w:rsidRPr="003A26D0">
        <w:rPr>
          <w:rFonts w:ascii="Times New Roman" w:eastAsia="Times New Roman" w:hAnsi="Times New Roman" w:cs="Times New Roman"/>
          <w:kern w:val="0"/>
          <w:sz w:val="24"/>
          <w:szCs w:val="24"/>
          <w:lang w:eastAsia="en-GB"/>
          <w14:ligatures w14:val="none"/>
        </w:rPr>
        <w:t>.</w:t>
      </w:r>
    </w:p>
    <w:p w14:paraId="26D4D386" w14:textId="34735CDF" w:rsidR="00EB07C9" w:rsidRPr="003A26D0" w:rsidRDefault="00EB07C9"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07C9">
        <w:rPr>
          <w:rFonts w:ascii="Times New Roman" w:eastAsia="Times New Roman" w:hAnsi="Times New Roman" w:cs="Times New Roman"/>
          <w:kern w:val="0"/>
          <w:sz w:val="24"/>
          <w:szCs w:val="24"/>
          <w:lang w:eastAsia="en-GB"/>
          <w14:ligatures w14:val="none"/>
        </w:rPr>
        <w:lastRenderedPageBreak/>
        <w:t xml:space="preserve">Employment Rights Act 1996. [Online] Available at: </w:t>
      </w:r>
      <w:hyperlink r:id="rId15" w:tgtFrame="_new" w:history="1">
        <w:r w:rsidRPr="00EB07C9">
          <w:rPr>
            <w:rStyle w:val="Hyperlink"/>
            <w:rFonts w:ascii="Times New Roman" w:eastAsia="Times New Roman" w:hAnsi="Times New Roman" w:cs="Times New Roman"/>
            <w:kern w:val="0"/>
            <w:sz w:val="24"/>
            <w:szCs w:val="24"/>
            <w:lang w:eastAsia="en-GB"/>
            <w14:ligatures w14:val="none"/>
          </w:rPr>
          <w:t>www.legislation.gov.uk</w:t>
        </w:r>
      </w:hyperlink>
    </w:p>
    <w:p w14:paraId="70F10C81" w14:textId="77777777" w:rsid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Etam plc v Rowan [1989] IRLR 150.</w:t>
      </w:r>
    </w:p>
    <w:p w14:paraId="0D54DDEB" w14:textId="3BA2AFCB" w:rsidR="00EB07C9" w:rsidRPr="003A26D0" w:rsidRDefault="00EB07C9"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07C9">
        <w:rPr>
          <w:rFonts w:ascii="Times New Roman" w:eastAsia="Times New Roman" w:hAnsi="Times New Roman" w:cs="Times New Roman"/>
          <w:kern w:val="0"/>
          <w:sz w:val="24"/>
          <w:szCs w:val="24"/>
          <w:lang w:eastAsia="en-GB"/>
          <w14:ligatures w14:val="none"/>
        </w:rPr>
        <w:t xml:space="preserve">Equality Act 2010. [Online] Available at: </w:t>
      </w:r>
      <w:hyperlink r:id="rId16" w:tgtFrame="_new" w:history="1">
        <w:r w:rsidRPr="00EB07C9">
          <w:rPr>
            <w:rStyle w:val="Hyperlink"/>
            <w:rFonts w:ascii="Times New Roman" w:eastAsia="Times New Roman" w:hAnsi="Times New Roman" w:cs="Times New Roman"/>
            <w:kern w:val="0"/>
            <w:sz w:val="24"/>
            <w:szCs w:val="24"/>
            <w:lang w:eastAsia="en-GB"/>
            <w14:ligatures w14:val="none"/>
          </w:rPr>
          <w:t>www.legislation.gov.uk</w:t>
        </w:r>
      </w:hyperlink>
    </w:p>
    <w:p w14:paraId="74E2E8E4" w14:textId="02DC8F76" w:rsidR="008E0ADD" w:rsidRPr="003A26D0" w:rsidRDefault="008E0ADD"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hAnsi="Times New Roman" w:cs="Times New Roman"/>
          <w:sz w:val="24"/>
          <w:szCs w:val="24"/>
        </w:rPr>
        <w:t xml:space="preserve">GOV.UK (n.d.) ‘Redundancy: your rights – Consultation.’ Available at: </w:t>
      </w:r>
      <w:hyperlink r:id="rId17" w:tgtFrame="_new" w:history="1">
        <w:r w:rsidRPr="003A26D0">
          <w:rPr>
            <w:rFonts w:ascii="Times New Roman" w:hAnsi="Times New Roman" w:cs="Times New Roman"/>
            <w:color w:val="0000FF"/>
            <w:sz w:val="24"/>
            <w:szCs w:val="24"/>
            <w:u w:val="single"/>
          </w:rPr>
          <w:t>https://www.gov.uk/redundancy-your-rights/consultation</w:t>
        </w:r>
      </w:hyperlink>
    </w:p>
    <w:p w14:paraId="6A7998C9"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Harpur Trust v Brazel [2022] UKSC 21.</w:t>
      </w:r>
    </w:p>
    <w:p w14:paraId="55E754D3"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Health and Safety at Work Act 1974. Available at: </w:t>
      </w:r>
      <w:hyperlink r:id="rId18" w:tgtFrame="_new" w:history="1">
        <w:r w:rsidRPr="003A26D0">
          <w:rPr>
            <w:rFonts w:ascii="Times New Roman" w:eastAsia="Times New Roman" w:hAnsi="Times New Roman" w:cs="Times New Roman"/>
            <w:color w:val="0000FF"/>
            <w:kern w:val="0"/>
            <w:sz w:val="24"/>
            <w:szCs w:val="24"/>
            <w:u w:val="single"/>
            <w:lang w:eastAsia="en-GB"/>
            <w14:ligatures w14:val="none"/>
          </w:rPr>
          <w:t>www.legislation.gov.uk</w:t>
        </w:r>
      </w:hyperlink>
      <w:r w:rsidRPr="003A26D0">
        <w:rPr>
          <w:rFonts w:ascii="Times New Roman" w:eastAsia="Times New Roman" w:hAnsi="Times New Roman" w:cs="Times New Roman"/>
          <w:kern w:val="0"/>
          <w:sz w:val="24"/>
          <w:szCs w:val="24"/>
          <w:lang w:eastAsia="en-GB"/>
          <w14:ligatures w14:val="none"/>
        </w:rPr>
        <w:t>.</w:t>
      </w:r>
    </w:p>
    <w:p w14:paraId="26ADFB85"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Home Office v </w:t>
      </w:r>
      <w:proofErr w:type="spellStart"/>
      <w:r w:rsidRPr="003A26D0">
        <w:rPr>
          <w:rFonts w:ascii="Times New Roman" w:eastAsia="Times New Roman" w:hAnsi="Times New Roman" w:cs="Times New Roman"/>
          <w:kern w:val="0"/>
          <w:sz w:val="24"/>
          <w:szCs w:val="24"/>
          <w:lang w:eastAsia="en-GB"/>
          <w14:ligatures w14:val="none"/>
        </w:rPr>
        <w:t>Moyhing</w:t>
      </w:r>
      <w:proofErr w:type="spellEnd"/>
      <w:r w:rsidRPr="003A26D0">
        <w:rPr>
          <w:rFonts w:ascii="Times New Roman" w:eastAsia="Times New Roman" w:hAnsi="Times New Roman" w:cs="Times New Roman"/>
          <w:kern w:val="0"/>
          <w:sz w:val="24"/>
          <w:szCs w:val="24"/>
          <w:lang w:eastAsia="en-GB"/>
          <w14:ligatures w14:val="none"/>
        </w:rPr>
        <w:t xml:space="preserve"> [2000] IRLR 185.</w:t>
      </w:r>
    </w:p>
    <w:p w14:paraId="7B96E120"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Maternity Action (2024) ‘Maternity and parental leave rights.’ Available at: </w:t>
      </w:r>
      <w:hyperlink r:id="rId19" w:tgtFrame="_new" w:history="1">
        <w:r w:rsidRPr="003A26D0">
          <w:rPr>
            <w:rFonts w:ascii="Times New Roman" w:eastAsia="Times New Roman" w:hAnsi="Times New Roman" w:cs="Times New Roman"/>
            <w:color w:val="0000FF"/>
            <w:kern w:val="0"/>
            <w:sz w:val="24"/>
            <w:szCs w:val="24"/>
            <w:u w:val="single"/>
            <w:lang w:eastAsia="en-GB"/>
            <w14:ligatures w14:val="none"/>
          </w:rPr>
          <w:t>https://maternityaction.org.uk/</w:t>
        </w:r>
      </w:hyperlink>
      <w:r w:rsidRPr="003A26D0">
        <w:rPr>
          <w:rFonts w:ascii="Times New Roman" w:eastAsia="Times New Roman" w:hAnsi="Times New Roman" w:cs="Times New Roman"/>
          <w:kern w:val="0"/>
          <w:sz w:val="24"/>
          <w:szCs w:val="24"/>
          <w:lang w:eastAsia="en-GB"/>
          <w14:ligatures w14:val="none"/>
        </w:rPr>
        <w:t>.</w:t>
      </w:r>
    </w:p>
    <w:p w14:paraId="66477139"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People Management (2017) ‘Constructive dismissal: a guide for employers.’ Available at: </w:t>
      </w:r>
      <w:hyperlink r:id="rId20" w:tgtFrame="_new" w:history="1">
        <w:r w:rsidRPr="003A26D0">
          <w:rPr>
            <w:rFonts w:ascii="Times New Roman" w:eastAsia="Times New Roman" w:hAnsi="Times New Roman" w:cs="Times New Roman"/>
            <w:color w:val="0000FF"/>
            <w:kern w:val="0"/>
            <w:sz w:val="24"/>
            <w:szCs w:val="24"/>
            <w:u w:val="single"/>
            <w:lang w:eastAsia="en-GB"/>
            <w14:ligatures w14:val="none"/>
          </w:rPr>
          <w:t>https://www.peoplemanagement.co.uk/article/1743377/constructive-dismissal-guide</w:t>
        </w:r>
      </w:hyperlink>
      <w:r w:rsidRPr="003A26D0">
        <w:rPr>
          <w:rFonts w:ascii="Times New Roman" w:eastAsia="Times New Roman" w:hAnsi="Times New Roman" w:cs="Times New Roman"/>
          <w:kern w:val="0"/>
          <w:sz w:val="24"/>
          <w:szCs w:val="24"/>
          <w:lang w:eastAsia="en-GB"/>
          <w14:ligatures w14:val="none"/>
        </w:rPr>
        <w:t>.</w:t>
      </w:r>
    </w:p>
    <w:p w14:paraId="5DCF876C"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People Management (2024) ‘Legal Issues in Employment Contract Variations.’ Available at: </w:t>
      </w:r>
      <w:hyperlink r:id="rId21" w:tgtFrame="_new" w:history="1">
        <w:r w:rsidRPr="003A26D0">
          <w:rPr>
            <w:rFonts w:ascii="Times New Roman" w:eastAsia="Times New Roman" w:hAnsi="Times New Roman" w:cs="Times New Roman"/>
            <w:color w:val="0000FF"/>
            <w:kern w:val="0"/>
            <w:sz w:val="24"/>
            <w:szCs w:val="24"/>
            <w:u w:val="single"/>
            <w:lang w:eastAsia="en-GB"/>
            <w14:ligatures w14:val="none"/>
          </w:rPr>
          <w:t>www.peoplemanagement.co.uk</w:t>
        </w:r>
      </w:hyperlink>
      <w:r w:rsidRPr="003A26D0">
        <w:rPr>
          <w:rFonts w:ascii="Times New Roman" w:eastAsia="Times New Roman" w:hAnsi="Times New Roman" w:cs="Times New Roman"/>
          <w:kern w:val="0"/>
          <w:sz w:val="24"/>
          <w:szCs w:val="24"/>
          <w:lang w:eastAsia="en-GB"/>
          <w14:ligatures w14:val="none"/>
        </w:rPr>
        <w:t>.</w:t>
      </w:r>
    </w:p>
    <w:p w14:paraId="7D8B33C4"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Retained EU Law (Revocation and Reform) Act 2023.</w:t>
      </w:r>
    </w:p>
    <w:p w14:paraId="604DD7DE" w14:textId="77777777" w:rsidR="00F277B8"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 xml:space="preserve">Trade Union and Labour Relations (Consolidation) Act 1992, s.188. Available at: </w:t>
      </w:r>
      <w:hyperlink r:id="rId22" w:tgtFrame="_new" w:history="1">
        <w:r w:rsidRPr="003A26D0">
          <w:rPr>
            <w:rFonts w:ascii="Times New Roman" w:eastAsia="Times New Roman" w:hAnsi="Times New Roman" w:cs="Times New Roman"/>
            <w:color w:val="0000FF"/>
            <w:kern w:val="0"/>
            <w:sz w:val="24"/>
            <w:szCs w:val="24"/>
            <w:u w:val="single"/>
            <w:lang w:eastAsia="en-GB"/>
            <w14:ligatures w14:val="none"/>
          </w:rPr>
          <w:t>www.legislation.gov.uk</w:t>
        </w:r>
      </w:hyperlink>
      <w:r w:rsidRPr="003A26D0">
        <w:rPr>
          <w:rFonts w:ascii="Times New Roman" w:eastAsia="Times New Roman" w:hAnsi="Times New Roman" w:cs="Times New Roman"/>
          <w:kern w:val="0"/>
          <w:sz w:val="24"/>
          <w:szCs w:val="24"/>
          <w:lang w:eastAsia="en-GB"/>
          <w14:ligatures w14:val="none"/>
        </w:rPr>
        <w:t>.</w:t>
      </w:r>
    </w:p>
    <w:p w14:paraId="78112B62" w14:textId="3DDE8594" w:rsidR="00406E3D" w:rsidRPr="00406E3D" w:rsidRDefault="00406E3D"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06E3D">
        <w:rPr>
          <w:rFonts w:ascii="Times New Roman" w:hAnsi="Times New Roman" w:cs="Times New Roman"/>
          <w:sz w:val="24"/>
          <w:szCs w:val="24"/>
        </w:rPr>
        <w:t xml:space="preserve">TUC (2023) </w:t>
      </w:r>
      <w:r w:rsidRPr="00406E3D">
        <w:rPr>
          <w:rFonts w:ascii="Times New Roman" w:hAnsi="Times New Roman" w:cs="Times New Roman"/>
          <w:i/>
          <w:iCs/>
          <w:sz w:val="24"/>
          <w:szCs w:val="24"/>
        </w:rPr>
        <w:t>Why Employment Regulation Matters</w:t>
      </w:r>
      <w:r w:rsidRPr="00406E3D">
        <w:rPr>
          <w:rFonts w:ascii="Times New Roman" w:hAnsi="Times New Roman" w:cs="Times New Roman"/>
          <w:sz w:val="24"/>
          <w:szCs w:val="24"/>
        </w:rPr>
        <w:t xml:space="preserve">. Available at: </w:t>
      </w:r>
      <w:hyperlink r:id="rId23" w:tgtFrame="_new" w:history="1">
        <w:r w:rsidRPr="00406E3D">
          <w:rPr>
            <w:rFonts w:ascii="Times New Roman" w:hAnsi="Times New Roman" w:cs="Times New Roman"/>
            <w:color w:val="0000FF"/>
            <w:sz w:val="24"/>
            <w:szCs w:val="24"/>
            <w:u w:val="single"/>
          </w:rPr>
          <w:t>https://www.tuc.org.uk/</w:t>
        </w:r>
      </w:hyperlink>
    </w:p>
    <w:p w14:paraId="255F4E9F" w14:textId="77777777" w:rsidR="00F277B8" w:rsidRPr="003A26D0" w:rsidRDefault="00F277B8"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A26D0">
        <w:rPr>
          <w:rFonts w:ascii="Times New Roman" w:eastAsia="Times New Roman" w:hAnsi="Times New Roman" w:cs="Times New Roman"/>
          <w:kern w:val="0"/>
          <w:sz w:val="24"/>
          <w:szCs w:val="24"/>
          <w:lang w:eastAsia="en-GB"/>
          <w14:ligatures w14:val="none"/>
        </w:rPr>
        <w:t>Uber BV v Aslam [2021] UKSC 5.</w:t>
      </w:r>
    </w:p>
    <w:p w14:paraId="34FF9C91" w14:textId="024EE064" w:rsidR="00D50E11" w:rsidRDefault="00D50E11" w:rsidP="00F277B8">
      <w:pPr>
        <w:spacing w:before="100" w:beforeAutospacing="1" w:after="100" w:afterAutospacing="1" w:line="240" w:lineRule="auto"/>
        <w:rPr>
          <w:rFonts w:ascii="Times New Roman" w:hAnsi="Times New Roman" w:cs="Times New Roman"/>
          <w:sz w:val="24"/>
          <w:szCs w:val="24"/>
        </w:rPr>
      </w:pPr>
      <w:r w:rsidRPr="00D50E11">
        <w:rPr>
          <w:rFonts w:ascii="Times New Roman" w:hAnsi="Times New Roman" w:cs="Times New Roman"/>
          <w:sz w:val="24"/>
          <w:szCs w:val="24"/>
        </w:rPr>
        <w:t xml:space="preserve">Unison (2024) </w:t>
      </w:r>
      <w:r w:rsidRPr="00D50E11">
        <w:rPr>
          <w:rFonts w:ascii="Times New Roman" w:hAnsi="Times New Roman" w:cs="Times New Roman"/>
          <w:i/>
          <w:iCs/>
          <w:sz w:val="24"/>
          <w:szCs w:val="24"/>
        </w:rPr>
        <w:t>Employment tribunals</w:t>
      </w:r>
      <w:r w:rsidRPr="00D50E11">
        <w:rPr>
          <w:rFonts w:ascii="Times New Roman" w:hAnsi="Times New Roman" w:cs="Times New Roman"/>
          <w:sz w:val="24"/>
          <w:szCs w:val="24"/>
        </w:rPr>
        <w:t xml:space="preserve">. [Online] Available at: </w:t>
      </w:r>
      <w:hyperlink r:id="rId24" w:tgtFrame="_new" w:history="1">
        <w:r w:rsidRPr="00D50E11">
          <w:rPr>
            <w:rStyle w:val="Hyperlink"/>
            <w:rFonts w:ascii="Times New Roman" w:hAnsi="Times New Roman" w:cs="Times New Roman"/>
            <w:sz w:val="24"/>
            <w:szCs w:val="24"/>
          </w:rPr>
          <w:t>https://www.unison.org.uk/get-help/knowledge/disputes-grievances/employment-tribunals</w:t>
        </w:r>
      </w:hyperlink>
      <w:r w:rsidRPr="00D50E11">
        <w:rPr>
          <w:rFonts w:ascii="Times New Roman" w:hAnsi="Times New Roman" w:cs="Times New Roman"/>
          <w:sz w:val="24"/>
          <w:szCs w:val="24"/>
        </w:rPr>
        <w:t xml:space="preserve"> </w:t>
      </w:r>
    </w:p>
    <w:p w14:paraId="53099244" w14:textId="6E9DC0F0" w:rsidR="00F010D9" w:rsidRPr="003A26D0" w:rsidRDefault="00F010D9" w:rsidP="00F277B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010D9">
        <w:rPr>
          <w:rFonts w:ascii="Times New Roman" w:eastAsia="Times New Roman" w:hAnsi="Times New Roman" w:cs="Times New Roman"/>
          <w:kern w:val="0"/>
          <w:sz w:val="24"/>
          <w:szCs w:val="24"/>
          <w:lang w:eastAsia="en-GB"/>
          <w14:ligatures w14:val="none"/>
        </w:rPr>
        <w:t>Working Time Regulations 1998. Available at:</w:t>
      </w:r>
      <w:r w:rsidR="00D50E11">
        <w:rPr>
          <w:rFonts w:ascii="Times New Roman" w:eastAsia="Times New Roman" w:hAnsi="Times New Roman" w:cs="Times New Roman"/>
          <w:kern w:val="0"/>
          <w:sz w:val="24"/>
          <w:szCs w:val="24"/>
          <w:lang w:eastAsia="en-GB"/>
          <w14:ligatures w14:val="none"/>
        </w:rPr>
        <w:t xml:space="preserve"> </w:t>
      </w:r>
      <w:r w:rsidRPr="00F010D9">
        <w:rPr>
          <w:rFonts w:ascii="Times New Roman" w:eastAsia="Times New Roman" w:hAnsi="Times New Roman" w:cs="Times New Roman"/>
          <w:kern w:val="0"/>
          <w:sz w:val="24"/>
          <w:szCs w:val="24"/>
          <w:lang w:eastAsia="en-GB"/>
          <w14:ligatures w14:val="none"/>
        </w:rPr>
        <w:t>https://www.legislation.gov.uk/uksi/1998/1833/contents/made</w:t>
      </w:r>
    </w:p>
    <w:p w14:paraId="6E013170" w14:textId="77777777" w:rsidR="00523605" w:rsidRPr="003A26D0" w:rsidRDefault="00523605" w:rsidP="0052360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FA97F1F" w14:textId="77777777" w:rsidR="00B9634F" w:rsidRPr="003A26D0" w:rsidRDefault="00B9634F" w:rsidP="00B9634F">
      <w:pPr>
        <w:pStyle w:val="NormalWeb"/>
      </w:pPr>
    </w:p>
    <w:p w14:paraId="6D4CEEC7" w14:textId="77777777" w:rsidR="00B9634F" w:rsidRPr="003A26D0" w:rsidRDefault="00B9634F" w:rsidP="00B9634F">
      <w:pPr>
        <w:pStyle w:val="NormalWeb"/>
      </w:pPr>
    </w:p>
    <w:p w14:paraId="7FE1CA01" w14:textId="77777777" w:rsidR="00B9634F" w:rsidRPr="003A26D0" w:rsidRDefault="00B9634F" w:rsidP="00B9634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E7B2407" w14:textId="77777777" w:rsidR="00B9634F" w:rsidRPr="003A26D0" w:rsidRDefault="00B9634F" w:rsidP="00B9634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7E94838" w14:textId="77777777" w:rsidR="00B9634F" w:rsidRPr="003A26D0" w:rsidRDefault="00B9634F" w:rsidP="00B9634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7EC04EE" w14:textId="77777777" w:rsidR="00B9634F" w:rsidRPr="003A26D0" w:rsidRDefault="00B9634F" w:rsidP="00B9634F">
      <w:pPr>
        <w:pStyle w:val="NormalWeb"/>
      </w:pPr>
    </w:p>
    <w:p w14:paraId="42ABE771" w14:textId="77777777" w:rsidR="00B9634F" w:rsidRPr="003A26D0" w:rsidRDefault="00B9634F" w:rsidP="001A41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38BCFC8" w14:textId="77777777" w:rsidR="00B9634F" w:rsidRPr="003A26D0" w:rsidRDefault="00B9634F" w:rsidP="001A412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F9F0BF6" w14:textId="77777777" w:rsidR="001A4121" w:rsidRPr="003A26D0" w:rsidRDefault="001A4121" w:rsidP="00D27B48">
      <w:pPr>
        <w:spacing w:after="0" w:line="240" w:lineRule="auto"/>
        <w:rPr>
          <w:rFonts w:ascii="Times New Roman" w:eastAsia="Times New Roman" w:hAnsi="Times New Roman" w:cs="Times New Roman"/>
          <w:b/>
          <w:bCs/>
          <w:kern w:val="0"/>
          <w:sz w:val="24"/>
          <w:szCs w:val="24"/>
          <w:lang w:eastAsia="en-GB"/>
          <w14:ligatures w14:val="none"/>
        </w:rPr>
      </w:pPr>
    </w:p>
    <w:sectPr w:rsidR="001A4121" w:rsidRPr="003A26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2130F"/>
    <w:multiLevelType w:val="multilevel"/>
    <w:tmpl w:val="A3C2C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E1896"/>
    <w:multiLevelType w:val="hybridMultilevel"/>
    <w:tmpl w:val="C8B45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871699"/>
    <w:multiLevelType w:val="multilevel"/>
    <w:tmpl w:val="5B0E9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9C46EE"/>
    <w:multiLevelType w:val="multilevel"/>
    <w:tmpl w:val="BA909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F231F2"/>
    <w:multiLevelType w:val="multilevel"/>
    <w:tmpl w:val="865E6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E04501"/>
    <w:multiLevelType w:val="multilevel"/>
    <w:tmpl w:val="E97E0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726304"/>
    <w:multiLevelType w:val="multilevel"/>
    <w:tmpl w:val="B890E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862837"/>
    <w:multiLevelType w:val="multilevel"/>
    <w:tmpl w:val="E1725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7F49FE"/>
    <w:multiLevelType w:val="multilevel"/>
    <w:tmpl w:val="B2505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61438F"/>
    <w:multiLevelType w:val="multilevel"/>
    <w:tmpl w:val="FAE48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8623D5"/>
    <w:multiLevelType w:val="multilevel"/>
    <w:tmpl w:val="C276B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4557938">
    <w:abstractNumId w:val="0"/>
  </w:num>
  <w:num w:numId="2" w16cid:durableId="1672180638">
    <w:abstractNumId w:val="2"/>
  </w:num>
  <w:num w:numId="3" w16cid:durableId="630551549">
    <w:abstractNumId w:val="5"/>
  </w:num>
  <w:num w:numId="4" w16cid:durableId="293565802">
    <w:abstractNumId w:val="8"/>
  </w:num>
  <w:num w:numId="5" w16cid:durableId="1319384479">
    <w:abstractNumId w:val="10"/>
  </w:num>
  <w:num w:numId="6" w16cid:durableId="1736271407">
    <w:abstractNumId w:val="7"/>
  </w:num>
  <w:num w:numId="7" w16cid:durableId="1874340457">
    <w:abstractNumId w:val="9"/>
  </w:num>
  <w:num w:numId="8" w16cid:durableId="1559321687">
    <w:abstractNumId w:val="4"/>
  </w:num>
  <w:num w:numId="9" w16cid:durableId="311180901">
    <w:abstractNumId w:val="3"/>
  </w:num>
  <w:num w:numId="10" w16cid:durableId="284434878">
    <w:abstractNumId w:val="6"/>
  </w:num>
  <w:num w:numId="11" w16cid:durableId="1698768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A51"/>
    <w:rsid w:val="00025681"/>
    <w:rsid w:val="00046EEA"/>
    <w:rsid w:val="00084A8B"/>
    <w:rsid w:val="000940D6"/>
    <w:rsid w:val="000B4714"/>
    <w:rsid w:val="000C2232"/>
    <w:rsid w:val="000E2D88"/>
    <w:rsid w:val="00117577"/>
    <w:rsid w:val="00164BE7"/>
    <w:rsid w:val="001A4121"/>
    <w:rsid w:val="001B1D1D"/>
    <w:rsid w:val="001B2E2E"/>
    <w:rsid w:val="001B5481"/>
    <w:rsid w:val="001C2DBD"/>
    <w:rsid w:val="001F6D0C"/>
    <w:rsid w:val="00221BCF"/>
    <w:rsid w:val="00254671"/>
    <w:rsid w:val="00257E95"/>
    <w:rsid w:val="002832E1"/>
    <w:rsid w:val="002B4576"/>
    <w:rsid w:val="002C43A3"/>
    <w:rsid w:val="00301552"/>
    <w:rsid w:val="00322BF0"/>
    <w:rsid w:val="003303C0"/>
    <w:rsid w:val="00335F63"/>
    <w:rsid w:val="00344D3A"/>
    <w:rsid w:val="003642B3"/>
    <w:rsid w:val="00387498"/>
    <w:rsid w:val="003A26D0"/>
    <w:rsid w:val="003B4194"/>
    <w:rsid w:val="003D5FC4"/>
    <w:rsid w:val="003E338F"/>
    <w:rsid w:val="003E4FD2"/>
    <w:rsid w:val="00405729"/>
    <w:rsid w:val="00406E3D"/>
    <w:rsid w:val="00482E10"/>
    <w:rsid w:val="00495F77"/>
    <w:rsid w:val="004A7D65"/>
    <w:rsid w:val="004B7AF1"/>
    <w:rsid w:val="004F7E9D"/>
    <w:rsid w:val="005113E4"/>
    <w:rsid w:val="00523605"/>
    <w:rsid w:val="00546251"/>
    <w:rsid w:val="005657B8"/>
    <w:rsid w:val="005664F8"/>
    <w:rsid w:val="00582405"/>
    <w:rsid w:val="005A1503"/>
    <w:rsid w:val="005D23CC"/>
    <w:rsid w:val="005E02E6"/>
    <w:rsid w:val="00601C1D"/>
    <w:rsid w:val="006518EA"/>
    <w:rsid w:val="006648EA"/>
    <w:rsid w:val="00671F87"/>
    <w:rsid w:val="006860FE"/>
    <w:rsid w:val="0069026E"/>
    <w:rsid w:val="006A64F7"/>
    <w:rsid w:val="006B6B19"/>
    <w:rsid w:val="007108EC"/>
    <w:rsid w:val="00720A0A"/>
    <w:rsid w:val="00741DF7"/>
    <w:rsid w:val="007727CC"/>
    <w:rsid w:val="0077447D"/>
    <w:rsid w:val="007803A7"/>
    <w:rsid w:val="007A01D1"/>
    <w:rsid w:val="007B25FC"/>
    <w:rsid w:val="007E2BBF"/>
    <w:rsid w:val="007F018E"/>
    <w:rsid w:val="00823025"/>
    <w:rsid w:val="0083026D"/>
    <w:rsid w:val="008372CA"/>
    <w:rsid w:val="0084659C"/>
    <w:rsid w:val="00876BBC"/>
    <w:rsid w:val="00880126"/>
    <w:rsid w:val="008A0475"/>
    <w:rsid w:val="008E0ADD"/>
    <w:rsid w:val="009059AF"/>
    <w:rsid w:val="00951809"/>
    <w:rsid w:val="00952D20"/>
    <w:rsid w:val="00970C1E"/>
    <w:rsid w:val="00973CE9"/>
    <w:rsid w:val="009A14C7"/>
    <w:rsid w:val="009A3EE8"/>
    <w:rsid w:val="009A7C7F"/>
    <w:rsid w:val="009C621F"/>
    <w:rsid w:val="00A15D79"/>
    <w:rsid w:val="00A34C96"/>
    <w:rsid w:val="00AB3440"/>
    <w:rsid w:val="00AD2A4C"/>
    <w:rsid w:val="00B1245A"/>
    <w:rsid w:val="00B31C43"/>
    <w:rsid w:val="00B36FFD"/>
    <w:rsid w:val="00B60BFC"/>
    <w:rsid w:val="00B66326"/>
    <w:rsid w:val="00B90A64"/>
    <w:rsid w:val="00B9634F"/>
    <w:rsid w:val="00BF39FD"/>
    <w:rsid w:val="00C12FCB"/>
    <w:rsid w:val="00C16955"/>
    <w:rsid w:val="00C50A51"/>
    <w:rsid w:val="00C86655"/>
    <w:rsid w:val="00CA761E"/>
    <w:rsid w:val="00D0575C"/>
    <w:rsid w:val="00D2698D"/>
    <w:rsid w:val="00D2702D"/>
    <w:rsid w:val="00D27B48"/>
    <w:rsid w:val="00D45C26"/>
    <w:rsid w:val="00D50E11"/>
    <w:rsid w:val="00D51255"/>
    <w:rsid w:val="00D61B67"/>
    <w:rsid w:val="00DC4FE4"/>
    <w:rsid w:val="00DC7629"/>
    <w:rsid w:val="00DE018C"/>
    <w:rsid w:val="00E12A94"/>
    <w:rsid w:val="00E2363A"/>
    <w:rsid w:val="00E45BE0"/>
    <w:rsid w:val="00E47F08"/>
    <w:rsid w:val="00E821E4"/>
    <w:rsid w:val="00E92AAC"/>
    <w:rsid w:val="00E97E87"/>
    <w:rsid w:val="00EA5902"/>
    <w:rsid w:val="00EB07C9"/>
    <w:rsid w:val="00EE16B8"/>
    <w:rsid w:val="00F010D9"/>
    <w:rsid w:val="00F277B8"/>
    <w:rsid w:val="00F865F8"/>
    <w:rsid w:val="00FB1FA7"/>
    <w:rsid w:val="00FC39C9"/>
    <w:rsid w:val="00FD3BB9"/>
    <w:rsid w:val="00FD7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659CC"/>
  <w15:chartTrackingRefBased/>
  <w15:docId w15:val="{CAC2D2F3-C292-4AF3-8ED0-87D5BEAAF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A5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50A5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50A5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50A5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50A5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50A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A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A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A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A5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50A5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50A5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50A5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50A5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50A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A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A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A51"/>
    <w:rPr>
      <w:rFonts w:eastAsiaTheme="majorEastAsia" w:cstheme="majorBidi"/>
      <w:color w:val="272727" w:themeColor="text1" w:themeTint="D8"/>
    </w:rPr>
  </w:style>
  <w:style w:type="paragraph" w:styleId="Title">
    <w:name w:val="Title"/>
    <w:basedOn w:val="Normal"/>
    <w:next w:val="Normal"/>
    <w:link w:val="TitleChar"/>
    <w:uiPriority w:val="10"/>
    <w:qFormat/>
    <w:rsid w:val="00C50A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A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A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A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A51"/>
    <w:pPr>
      <w:spacing w:before="160"/>
      <w:jc w:val="center"/>
    </w:pPr>
    <w:rPr>
      <w:i/>
      <w:iCs/>
      <w:color w:val="404040" w:themeColor="text1" w:themeTint="BF"/>
    </w:rPr>
  </w:style>
  <w:style w:type="character" w:customStyle="1" w:styleId="QuoteChar">
    <w:name w:val="Quote Char"/>
    <w:basedOn w:val="DefaultParagraphFont"/>
    <w:link w:val="Quote"/>
    <w:uiPriority w:val="29"/>
    <w:rsid w:val="00C50A51"/>
    <w:rPr>
      <w:i/>
      <w:iCs/>
      <w:color w:val="404040" w:themeColor="text1" w:themeTint="BF"/>
    </w:rPr>
  </w:style>
  <w:style w:type="paragraph" w:styleId="ListParagraph">
    <w:name w:val="List Paragraph"/>
    <w:basedOn w:val="Normal"/>
    <w:uiPriority w:val="34"/>
    <w:qFormat/>
    <w:rsid w:val="00C50A51"/>
    <w:pPr>
      <w:ind w:left="720"/>
      <w:contextualSpacing/>
    </w:pPr>
  </w:style>
  <w:style w:type="character" w:styleId="IntenseEmphasis">
    <w:name w:val="Intense Emphasis"/>
    <w:basedOn w:val="DefaultParagraphFont"/>
    <w:uiPriority w:val="21"/>
    <w:qFormat/>
    <w:rsid w:val="00C50A51"/>
    <w:rPr>
      <w:i/>
      <w:iCs/>
      <w:color w:val="2E74B5" w:themeColor="accent1" w:themeShade="BF"/>
    </w:rPr>
  </w:style>
  <w:style w:type="paragraph" w:styleId="IntenseQuote">
    <w:name w:val="Intense Quote"/>
    <w:basedOn w:val="Normal"/>
    <w:next w:val="Normal"/>
    <w:link w:val="IntenseQuoteChar"/>
    <w:uiPriority w:val="30"/>
    <w:qFormat/>
    <w:rsid w:val="00C50A5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50A51"/>
    <w:rPr>
      <w:i/>
      <w:iCs/>
      <w:color w:val="2E74B5" w:themeColor="accent1" w:themeShade="BF"/>
    </w:rPr>
  </w:style>
  <w:style w:type="character" w:styleId="IntenseReference">
    <w:name w:val="Intense Reference"/>
    <w:basedOn w:val="DefaultParagraphFont"/>
    <w:uiPriority w:val="32"/>
    <w:qFormat/>
    <w:rsid w:val="00C50A51"/>
    <w:rPr>
      <w:b/>
      <w:bCs/>
      <w:smallCaps/>
      <w:color w:val="2E74B5" w:themeColor="accent1" w:themeShade="BF"/>
      <w:spacing w:val="5"/>
    </w:rPr>
  </w:style>
  <w:style w:type="paragraph" w:styleId="NormalWeb">
    <w:name w:val="Normal (Web)"/>
    <w:basedOn w:val="Normal"/>
    <w:uiPriority w:val="99"/>
    <w:unhideWhenUsed/>
    <w:rsid w:val="00D61B6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61B67"/>
    <w:rPr>
      <w:i/>
      <w:iCs/>
    </w:rPr>
  </w:style>
  <w:style w:type="character" w:styleId="Hyperlink">
    <w:name w:val="Hyperlink"/>
    <w:basedOn w:val="DefaultParagraphFont"/>
    <w:uiPriority w:val="99"/>
    <w:unhideWhenUsed/>
    <w:rsid w:val="00E45BE0"/>
    <w:rPr>
      <w:color w:val="0563C1" w:themeColor="hyperlink"/>
      <w:u w:val="single"/>
    </w:rPr>
  </w:style>
  <w:style w:type="character" w:styleId="UnresolvedMention">
    <w:name w:val="Unresolved Mention"/>
    <w:basedOn w:val="DefaultParagraphFont"/>
    <w:uiPriority w:val="99"/>
    <w:semiHidden/>
    <w:unhideWhenUsed/>
    <w:rsid w:val="00E45BE0"/>
    <w:rPr>
      <w:color w:val="605E5C"/>
      <w:shd w:val="clear" w:color="auto" w:fill="E1DFDD"/>
    </w:rPr>
  </w:style>
  <w:style w:type="character" w:styleId="Strong">
    <w:name w:val="Strong"/>
    <w:basedOn w:val="DefaultParagraphFont"/>
    <w:uiPriority w:val="22"/>
    <w:qFormat/>
    <w:rsid w:val="00B36F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482763">
      <w:bodyDiv w:val="1"/>
      <w:marLeft w:val="0"/>
      <w:marRight w:val="0"/>
      <w:marTop w:val="0"/>
      <w:marBottom w:val="0"/>
      <w:divBdr>
        <w:top w:val="none" w:sz="0" w:space="0" w:color="auto"/>
        <w:left w:val="none" w:sz="0" w:space="0" w:color="auto"/>
        <w:bottom w:val="none" w:sz="0" w:space="0" w:color="auto"/>
        <w:right w:val="none" w:sz="0" w:space="0" w:color="auto"/>
      </w:divBdr>
    </w:div>
    <w:div w:id="290938177">
      <w:bodyDiv w:val="1"/>
      <w:marLeft w:val="0"/>
      <w:marRight w:val="0"/>
      <w:marTop w:val="0"/>
      <w:marBottom w:val="0"/>
      <w:divBdr>
        <w:top w:val="none" w:sz="0" w:space="0" w:color="auto"/>
        <w:left w:val="none" w:sz="0" w:space="0" w:color="auto"/>
        <w:bottom w:val="none" w:sz="0" w:space="0" w:color="auto"/>
        <w:right w:val="none" w:sz="0" w:space="0" w:color="auto"/>
      </w:divBdr>
    </w:div>
    <w:div w:id="320742576">
      <w:bodyDiv w:val="1"/>
      <w:marLeft w:val="0"/>
      <w:marRight w:val="0"/>
      <w:marTop w:val="0"/>
      <w:marBottom w:val="0"/>
      <w:divBdr>
        <w:top w:val="none" w:sz="0" w:space="0" w:color="auto"/>
        <w:left w:val="none" w:sz="0" w:space="0" w:color="auto"/>
        <w:bottom w:val="none" w:sz="0" w:space="0" w:color="auto"/>
        <w:right w:val="none" w:sz="0" w:space="0" w:color="auto"/>
      </w:divBdr>
    </w:div>
    <w:div w:id="379135282">
      <w:bodyDiv w:val="1"/>
      <w:marLeft w:val="0"/>
      <w:marRight w:val="0"/>
      <w:marTop w:val="0"/>
      <w:marBottom w:val="0"/>
      <w:divBdr>
        <w:top w:val="none" w:sz="0" w:space="0" w:color="auto"/>
        <w:left w:val="none" w:sz="0" w:space="0" w:color="auto"/>
        <w:bottom w:val="none" w:sz="0" w:space="0" w:color="auto"/>
        <w:right w:val="none" w:sz="0" w:space="0" w:color="auto"/>
      </w:divBdr>
    </w:div>
    <w:div w:id="443765216">
      <w:bodyDiv w:val="1"/>
      <w:marLeft w:val="0"/>
      <w:marRight w:val="0"/>
      <w:marTop w:val="0"/>
      <w:marBottom w:val="0"/>
      <w:divBdr>
        <w:top w:val="none" w:sz="0" w:space="0" w:color="auto"/>
        <w:left w:val="none" w:sz="0" w:space="0" w:color="auto"/>
        <w:bottom w:val="none" w:sz="0" w:space="0" w:color="auto"/>
        <w:right w:val="none" w:sz="0" w:space="0" w:color="auto"/>
      </w:divBdr>
    </w:div>
    <w:div w:id="468010818">
      <w:bodyDiv w:val="1"/>
      <w:marLeft w:val="0"/>
      <w:marRight w:val="0"/>
      <w:marTop w:val="0"/>
      <w:marBottom w:val="0"/>
      <w:divBdr>
        <w:top w:val="none" w:sz="0" w:space="0" w:color="auto"/>
        <w:left w:val="none" w:sz="0" w:space="0" w:color="auto"/>
        <w:bottom w:val="none" w:sz="0" w:space="0" w:color="auto"/>
        <w:right w:val="none" w:sz="0" w:space="0" w:color="auto"/>
      </w:divBdr>
    </w:div>
    <w:div w:id="481240294">
      <w:bodyDiv w:val="1"/>
      <w:marLeft w:val="0"/>
      <w:marRight w:val="0"/>
      <w:marTop w:val="0"/>
      <w:marBottom w:val="0"/>
      <w:divBdr>
        <w:top w:val="none" w:sz="0" w:space="0" w:color="auto"/>
        <w:left w:val="none" w:sz="0" w:space="0" w:color="auto"/>
        <w:bottom w:val="none" w:sz="0" w:space="0" w:color="auto"/>
        <w:right w:val="none" w:sz="0" w:space="0" w:color="auto"/>
      </w:divBdr>
    </w:div>
    <w:div w:id="484126237">
      <w:bodyDiv w:val="1"/>
      <w:marLeft w:val="0"/>
      <w:marRight w:val="0"/>
      <w:marTop w:val="0"/>
      <w:marBottom w:val="0"/>
      <w:divBdr>
        <w:top w:val="none" w:sz="0" w:space="0" w:color="auto"/>
        <w:left w:val="none" w:sz="0" w:space="0" w:color="auto"/>
        <w:bottom w:val="none" w:sz="0" w:space="0" w:color="auto"/>
        <w:right w:val="none" w:sz="0" w:space="0" w:color="auto"/>
      </w:divBdr>
    </w:div>
    <w:div w:id="561982798">
      <w:bodyDiv w:val="1"/>
      <w:marLeft w:val="0"/>
      <w:marRight w:val="0"/>
      <w:marTop w:val="0"/>
      <w:marBottom w:val="0"/>
      <w:divBdr>
        <w:top w:val="none" w:sz="0" w:space="0" w:color="auto"/>
        <w:left w:val="none" w:sz="0" w:space="0" w:color="auto"/>
        <w:bottom w:val="none" w:sz="0" w:space="0" w:color="auto"/>
        <w:right w:val="none" w:sz="0" w:space="0" w:color="auto"/>
      </w:divBdr>
    </w:div>
    <w:div w:id="586840047">
      <w:bodyDiv w:val="1"/>
      <w:marLeft w:val="0"/>
      <w:marRight w:val="0"/>
      <w:marTop w:val="0"/>
      <w:marBottom w:val="0"/>
      <w:divBdr>
        <w:top w:val="none" w:sz="0" w:space="0" w:color="auto"/>
        <w:left w:val="none" w:sz="0" w:space="0" w:color="auto"/>
        <w:bottom w:val="none" w:sz="0" w:space="0" w:color="auto"/>
        <w:right w:val="none" w:sz="0" w:space="0" w:color="auto"/>
      </w:divBdr>
    </w:div>
    <w:div w:id="609168276">
      <w:bodyDiv w:val="1"/>
      <w:marLeft w:val="0"/>
      <w:marRight w:val="0"/>
      <w:marTop w:val="0"/>
      <w:marBottom w:val="0"/>
      <w:divBdr>
        <w:top w:val="none" w:sz="0" w:space="0" w:color="auto"/>
        <w:left w:val="none" w:sz="0" w:space="0" w:color="auto"/>
        <w:bottom w:val="none" w:sz="0" w:space="0" w:color="auto"/>
        <w:right w:val="none" w:sz="0" w:space="0" w:color="auto"/>
      </w:divBdr>
    </w:div>
    <w:div w:id="733048739">
      <w:bodyDiv w:val="1"/>
      <w:marLeft w:val="0"/>
      <w:marRight w:val="0"/>
      <w:marTop w:val="0"/>
      <w:marBottom w:val="0"/>
      <w:divBdr>
        <w:top w:val="none" w:sz="0" w:space="0" w:color="auto"/>
        <w:left w:val="none" w:sz="0" w:space="0" w:color="auto"/>
        <w:bottom w:val="none" w:sz="0" w:space="0" w:color="auto"/>
        <w:right w:val="none" w:sz="0" w:space="0" w:color="auto"/>
      </w:divBdr>
    </w:div>
    <w:div w:id="735083942">
      <w:bodyDiv w:val="1"/>
      <w:marLeft w:val="0"/>
      <w:marRight w:val="0"/>
      <w:marTop w:val="0"/>
      <w:marBottom w:val="0"/>
      <w:divBdr>
        <w:top w:val="none" w:sz="0" w:space="0" w:color="auto"/>
        <w:left w:val="none" w:sz="0" w:space="0" w:color="auto"/>
        <w:bottom w:val="none" w:sz="0" w:space="0" w:color="auto"/>
        <w:right w:val="none" w:sz="0" w:space="0" w:color="auto"/>
      </w:divBdr>
    </w:div>
    <w:div w:id="764571111">
      <w:bodyDiv w:val="1"/>
      <w:marLeft w:val="0"/>
      <w:marRight w:val="0"/>
      <w:marTop w:val="0"/>
      <w:marBottom w:val="0"/>
      <w:divBdr>
        <w:top w:val="none" w:sz="0" w:space="0" w:color="auto"/>
        <w:left w:val="none" w:sz="0" w:space="0" w:color="auto"/>
        <w:bottom w:val="none" w:sz="0" w:space="0" w:color="auto"/>
        <w:right w:val="none" w:sz="0" w:space="0" w:color="auto"/>
      </w:divBdr>
    </w:div>
    <w:div w:id="814612874">
      <w:bodyDiv w:val="1"/>
      <w:marLeft w:val="0"/>
      <w:marRight w:val="0"/>
      <w:marTop w:val="0"/>
      <w:marBottom w:val="0"/>
      <w:divBdr>
        <w:top w:val="none" w:sz="0" w:space="0" w:color="auto"/>
        <w:left w:val="none" w:sz="0" w:space="0" w:color="auto"/>
        <w:bottom w:val="none" w:sz="0" w:space="0" w:color="auto"/>
        <w:right w:val="none" w:sz="0" w:space="0" w:color="auto"/>
      </w:divBdr>
    </w:div>
    <w:div w:id="911045069">
      <w:bodyDiv w:val="1"/>
      <w:marLeft w:val="0"/>
      <w:marRight w:val="0"/>
      <w:marTop w:val="0"/>
      <w:marBottom w:val="0"/>
      <w:divBdr>
        <w:top w:val="none" w:sz="0" w:space="0" w:color="auto"/>
        <w:left w:val="none" w:sz="0" w:space="0" w:color="auto"/>
        <w:bottom w:val="none" w:sz="0" w:space="0" w:color="auto"/>
        <w:right w:val="none" w:sz="0" w:space="0" w:color="auto"/>
      </w:divBdr>
    </w:div>
    <w:div w:id="960573338">
      <w:bodyDiv w:val="1"/>
      <w:marLeft w:val="0"/>
      <w:marRight w:val="0"/>
      <w:marTop w:val="0"/>
      <w:marBottom w:val="0"/>
      <w:divBdr>
        <w:top w:val="none" w:sz="0" w:space="0" w:color="auto"/>
        <w:left w:val="none" w:sz="0" w:space="0" w:color="auto"/>
        <w:bottom w:val="none" w:sz="0" w:space="0" w:color="auto"/>
        <w:right w:val="none" w:sz="0" w:space="0" w:color="auto"/>
      </w:divBdr>
      <w:divsChild>
        <w:div w:id="322242273">
          <w:marLeft w:val="0"/>
          <w:marRight w:val="0"/>
          <w:marTop w:val="0"/>
          <w:marBottom w:val="0"/>
          <w:divBdr>
            <w:top w:val="none" w:sz="0" w:space="0" w:color="auto"/>
            <w:left w:val="none" w:sz="0" w:space="0" w:color="auto"/>
            <w:bottom w:val="none" w:sz="0" w:space="0" w:color="auto"/>
            <w:right w:val="none" w:sz="0" w:space="0" w:color="auto"/>
          </w:divBdr>
        </w:div>
        <w:div w:id="898395478">
          <w:marLeft w:val="0"/>
          <w:marRight w:val="0"/>
          <w:marTop w:val="0"/>
          <w:marBottom w:val="0"/>
          <w:divBdr>
            <w:top w:val="none" w:sz="0" w:space="0" w:color="auto"/>
            <w:left w:val="none" w:sz="0" w:space="0" w:color="auto"/>
            <w:bottom w:val="none" w:sz="0" w:space="0" w:color="auto"/>
            <w:right w:val="none" w:sz="0" w:space="0" w:color="auto"/>
          </w:divBdr>
        </w:div>
        <w:div w:id="910581988">
          <w:marLeft w:val="0"/>
          <w:marRight w:val="0"/>
          <w:marTop w:val="0"/>
          <w:marBottom w:val="0"/>
          <w:divBdr>
            <w:top w:val="none" w:sz="0" w:space="0" w:color="auto"/>
            <w:left w:val="none" w:sz="0" w:space="0" w:color="auto"/>
            <w:bottom w:val="none" w:sz="0" w:space="0" w:color="auto"/>
            <w:right w:val="none" w:sz="0" w:space="0" w:color="auto"/>
          </w:divBdr>
        </w:div>
        <w:div w:id="954867944">
          <w:marLeft w:val="0"/>
          <w:marRight w:val="0"/>
          <w:marTop w:val="0"/>
          <w:marBottom w:val="0"/>
          <w:divBdr>
            <w:top w:val="none" w:sz="0" w:space="0" w:color="auto"/>
            <w:left w:val="none" w:sz="0" w:space="0" w:color="auto"/>
            <w:bottom w:val="none" w:sz="0" w:space="0" w:color="auto"/>
            <w:right w:val="none" w:sz="0" w:space="0" w:color="auto"/>
          </w:divBdr>
        </w:div>
        <w:div w:id="1205287402">
          <w:marLeft w:val="0"/>
          <w:marRight w:val="0"/>
          <w:marTop w:val="0"/>
          <w:marBottom w:val="0"/>
          <w:divBdr>
            <w:top w:val="none" w:sz="0" w:space="0" w:color="auto"/>
            <w:left w:val="none" w:sz="0" w:space="0" w:color="auto"/>
            <w:bottom w:val="none" w:sz="0" w:space="0" w:color="auto"/>
            <w:right w:val="none" w:sz="0" w:space="0" w:color="auto"/>
          </w:divBdr>
        </w:div>
        <w:div w:id="1285774180">
          <w:marLeft w:val="0"/>
          <w:marRight w:val="0"/>
          <w:marTop w:val="0"/>
          <w:marBottom w:val="0"/>
          <w:divBdr>
            <w:top w:val="none" w:sz="0" w:space="0" w:color="auto"/>
            <w:left w:val="none" w:sz="0" w:space="0" w:color="auto"/>
            <w:bottom w:val="none" w:sz="0" w:space="0" w:color="auto"/>
            <w:right w:val="none" w:sz="0" w:space="0" w:color="auto"/>
          </w:divBdr>
        </w:div>
        <w:div w:id="1464275129">
          <w:marLeft w:val="0"/>
          <w:marRight w:val="0"/>
          <w:marTop w:val="0"/>
          <w:marBottom w:val="0"/>
          <w:divBdr>
            <w:top w:val="none" w:sz="0" w:space="0" w:color="auto"/>
            <w:left w:val="none" w:sz="0" w:space="0" w:color="auto"/>
            <w:bottom w:val="none" w:sz="0" w:space="0" w:color="auto"/>
            <w:right w:val="none" w:sz="0" w:space="0" w:color="auto"/>
          </w:divBdr>
        </w:div>
        <w:div w:id="1747409532">
          <w:marLeft w:val="0"/>
          <w:marRight w:val="0"/>
          <w:marTop w:val="0"/>
          <w:marBottom w:val="0"/>
          <w:divBdr>
            <w:top w:val="none" w:sz="0" w:space="0" w:color="auto"/>
            <w:left w:val="none" w:sz="0" w:space="0" w:color="auto"/>
            <w:bottom w:val="none" w:sz="0" w:space="0" w:color="auto"/>
            <w:right w:val="none" w:sz="0" w:space="0" w:color="auto"/>
          </w:divBdr>
        </w:div>
        <w:div w:id="2072264576">
          <w:marLeft w:val="0"/>
          <w:marRight w:val="0"/>
          <w:marTop w:val="0"/>
          <w:marBottom w:val="0"/>
          <w:divBdr>
            <w:top w:val="none" w:sz="0" w:space="0" w:color="auto"/>
            <w:left w:val="none" w:sz="0" w:space="0" w:color="auto"/>
            <w:bottom w:val="none" w:sz="0" w:space="0" w:color="auto"/>
            <w:right w:val="none" w:sz="0" w:space="0" w:color="auto"/>
          </w:divBdr>
        </w:div>
      </w:divsChild>
    </w:div>
    <w:div w:id="1189027262">
      <w:bodyDiv w:val="1"/>
      <w:marLeft w:val="0"/>
      <w:marRight w:val="0"/>
      <w:marTop w:val="0"/>
      <w:marBottom w:val="0"/>
      <w:divBdr>
        <w:top w:val="none" w:sz="0" w:space="0" w:color="auto"/>
        <w:left w:val="none" w:sz="0" w:space="0" w:color="auto"/>
        <w:bottom w:val="none" w:sz="0" w:space="0" w:color="auto"/>
        <w:right w:val="none" w:sz="0" w:space="0" w:color="auto"/>
      </w:divBdr>
    </w:div>
    <w:div w:id="1246302362">
      <w:bodyDiv w:val="1"/>
      <w:marLeft w:val="0"/>
      <w:marRight w:val="0"/>
      <w:marTop w:val="0"/>
      <w:marBottom w:val="0"/>
      <w:divBdr>
        <w:top w:val="none" w:sz="0" w:space="0" w:color="auto"/>
        <w:left w:val="none" w:sz="0" w:space="0" w:color="auto"/>
        <w:bottom w:val="none" w:sz="0" w:space="0" w:color="auto"/>
        <w:right w:val="none" w:sz="0" w:space="0" w:color="auto"/>
      </w:divBdr>
    </w:div>
    <w:div w:id="1255743793">
      <w:bodyDiv w:val="1"/>
      <w:marLeft w:val="0"/>
      <w:marRight w:val="0"/>
      <w:marTop w:val="0"/>
      <w:marBottom w:val="0"/>
      <w:divBdr>
        <w:top w:val="none" w:sz="0" w:space="0" w:color="auto"/>
        <w:left w:val="none" w:sz="0" w:space="0" w:color="auto"/>
        <w:bottom w:val="none" w:sz="0" w:space="0" w:color="auto"/>
        <w:right w:val="none" w:sz="0" w:space="0" w:color="auto"/>
      </w:divBdr>
    </w:div>
    <w:div w:id="1385300134">
      <w:bodyDiv w:val="1"/>
      <w:marLeft w:val="0"/>
      <w:marRight w:val="0"/>
      <w:marTop w:val="0"/>
      <w:marBottom w:val="0"/>
      <w:divBdr>
        <w:top w:val="none" w:sz="0" w:space="0" w:color="auto"/>
        <w:left w:val="none" w:sz="0" w:space="0" w:color="auto"/>
        <w:bottom w:val="none" w:sz="0" w:space="0" w:color="auto"/>
        <w:right w:val="none" w:sz="0" w:space="0" w:color="auto"/>
      </w:divBdr>
    </w:div>
    <w:div w:id="1407146215">
      <w:bodyDiv w:val="1"/>
      <w:marLeft w:val="0"/>
      <w:marRight w:val="0"/>
      <w:marTop w:val="0"/>
      <w:marBottom w:val="0"/>
      <w:divBdr>
        <w:top w:val="none" w:sz="0" w:space="0" w:color="auto"/>
        <w:left w:val="none" w:sz="0" w:space="0" w:color="auto"/>
        <w:bottom w:val="none" w:sz="0" w:space="0" w:color="auto"/>
        <w:right w:val="none" w:sz="0" w:space="0" w:color="auto"/>
      </w:divBdr>
    </w:div>
    <w:div w:id="1426222470">
      <w:bodyDiv w:val="1"/>
      <w:marLeft w:val="0"/>
      <w:marRight w:val="0"/>
      <w:marTop w:val="0"/>
      <w:marBottom w:val="0"/>
      <w:divBdr>
        <w:top w:val="none" w:sz="0" w:space="0" w:color="auto"/>
        <w:left w:val="none" w:sz="0" w:space="0" w:color="auto"/>
        <w:bottom w:val="none" w:sz="0" w:space="0" w:color="auto"/>
        <w:right w:val="none" w:sz="0" w:space="0" w:color="auto"/>
      </w:divBdr>
    </w:div>
    <w:div w:id="1950309797">
      <w:bodyDiv w:val="1"/>
      <w:marLeft w:val="0"/>
      <w:marRight w:val="0"/>
      <w:marTop w:val="0"/>
      <w:marBottom w:val="0"/>
      <w:divBdr>
        <w:top w:val="none" w:sz="0" w:space="0" w:color="auto"/>
        <w:left w:val="none" w:sz="0" w:space="0" w:color="auto"/>
        <w:bottom w:val="none" w:sz="0" w:space="0" w:color="auto"/>
        <w:right w:val="none" w:sz="0" w:space="0" w:color="auto"/>
      </w:divBdr>
    </w:div>
    <w:div w:id="1964654676">
      <w:bodyDiv w:val="1"/>
      <w:marLeft w:val="0"/>
      <w:marRight w:val="0"/>
      <w:marTop w:val="0"/>
      <w:marBottom w:val="0"/>
      <w:divBdr>
        <w:top w:val="none" w:sz="0" w:space="0" w:color="auto"/>
        <w:left w:val="none" w:sz="0" w:space="0" w:color="auto"/>
        <w:bottom w:val="none" w:sz="0" w:space="0" w:color="auto"/>
        <w:right w:val="none" w:sz="0" w:space="0" w:color="auto"/>
      </w:divBdr>
    </w:div>
    <w:div w:id="1994672012">
      <w:bodyDiv w:val="1"/>
      <w:marLeft w:val="0"/>
      <w:marRight w:val="0"/>
      <w:marTop w:val="0"/>
      <w:marBottom w:val="0"/>
      <w:divBdr>
        <w:top w:val="none" w:sz="0" w:space="0" w:color="auto"/>
        <w:left w:val="none" w:sz="0" w:space="0" w:color="auto"/>
        <w:bottom w:val="none" w:sz="0" w:space="0" w:color="auto"/>
        <w:right w:val="none" w:sz="0" w:space="0" w:color="auto"/>
      </w:divBdr>
    </w:div>
    <w:div w:id="2040276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irregular-hours-and-part-year-workers/calculating-holiday-pay" TargetMode="External"/><Relationship Id="rId13" Type="http://schemas.openxmlformats.org/officeDocument/2006/relationships/hyperlink" Target="https://www.cipd.org.uk/uk/knowledge/factsheets/maternity-paternity-rights-factsheet/" TargetMode="External"/><Relationship Id="rId18" Type="http://schemas.openxmlformats.org/officeDocument/2006/relationships/hyperlink" Target="http://www.legislation.gov.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peoplemanagement.co.uk" TargetMode="External"/><Relationship Id="rId7" Type="http://schemas.openxmlformats.org/officeDocument/2006/relationships/hyperlink" Target="https://www.acas.org.uk/collective-consultation-redundancy/if-an-employer-does-not-collectively-consult" TargetMode="External"/><Relationship Id="rId12" Type="http://schemas.openxmlformats.org/officeDocument/2006/relationships/hyperlink" Target="https://www.cipd.org.uk/knowledge/factsheets/flexible-working-factsheet/" TargetMode="External"/><Relationship Id="rId17" Type="http://schemas.openxmlformats.org/officeDocument/2006/relationships/hyperlink" Target="https://www.gov.uk/redundancy-your-rights/consultat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legislation.gov.uk" TargetMode="External"/><Relationship Id="rId20" Type="http://schemas.openxmlformats.org/officeDocument/2006/relationships/hyperlink" Target="https://www.peoplemanagement.co.uk/article/1743377/constructive-dismissal-guide" TargetMode="External"/><Relationship Id="rId1" Type="http://schemas.openxmlformats.org/officeDocument/2006/relationships/numbering" Target="numbering.xml"/><Relationship Id="rId6" Type="http://schemas.openxmlformats.org/officeDocument/2006/relationships/hyperlink" Target="http://www.acas.org.uk" TargetMode="External"/><Relationship Id="rId11" Type="http://schemas.openxmlformats.org/officeDocument/2006/relationships/hyperlink" Target="https://www.cipd.co.uk/knowledge/fundamentals/emp-law" TargetMode="External"/><Relationship Id="rId24" Type="http://schemas.openxmlformats.org/officeDocument/2006/relationships/hyperlink" Target="https://www.unison.org.uk/get-help/knowledge/disputes-grievances/employment-tribunals" TargetMode="External"/><Relationship Id="rId5" Type="http://schemas.openxmlformats.org/officeDocument/2006/relationships/hyperlink" Target="http://www.acas.org.uk" TargetMode="External"/><Relationship Id="rId15" Type="http://schemas.openxmlformats.org/officeDocument/2006/relationships/hyperlink" Target="http://www.legislation.gov.uk" TargetMode="External"/><Relationship Id="rId23" Type="http://schemas.openxmlformats.org/officeDocument/2006/relationships/hyperlink" Target="https://www.tuc.org.uk/" TargetMode="External"/><Relationship Id="rId10" Type="http://schemas.openxmlformats.org/officeDocument/2006/relationships/hyperlink" Target="https://www.cbi.org.uk/" TargetMode="External"/><Relationship Id="rId19" Type="http://schemas.openxmlformats.org/officeDocument/2006/relationships/hyperlink" Target="https://maternityaction.org.uk/" TargetMode="External"/><Relationship Id="rId4" Type="http://schemas.openxmlformats.org/officeDocument/2006/relationships/webSettings" Target="webSettings.xml"/><Relationship Id="rId9" Type="http://schemas.openxmlformats.org/officeDocument/2006/relationships/hyperlink" Target="http://www.acas.org.uk" TargetMode="External"/><Relationship Id="rId14" Type="http://schemas.openxmlformats.org/officeDocument/2006/relationships/hyperlink" Target="http://www.equalityhumanrights.com" TargetMode="External"/><Relationship Id="rId22" Type="http://schemas.openxmlformats.org/officeDocument/2006/relationships/hyperlink" Target="http://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451</TotalTime>
  <Pages>13</Pages>
  <Words>5505</Words>
  <Characters>31379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Warrender, Jacqueline</dc:creator>
  <cp:keywords/>
  <dc:description/>
  <cp:lastModifiedBy>Warrender, Jacqueline</cp:lastModifiedBy>
  <cp:revision>14</cp:revision>
  <dcterms:created xsi:type="dcterms:W3CDTF">2025-03-14T22:15:00Z</dcterms:created>
  <dcterms:modified xsi:type="dcterms:W3CDTF">2025-05-06T13:37:00Z</dcterms:modified>
</cp:coreProperties>
</file>