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before="163" w:line="480" w:lineRule="auto"/>
      </w:pPr>
      <w:bookmarkStart w:id="53" w:name="_GoBack"/>
      <w:bookmarkEnd w:id="53"/>
    </w:p>
    <w:p>
      <w:pPr>
        <w:spacing w:before="163" w:line="480" w:lineRule="auto"/>
      </w:pPr>
    </w:p>
    <w:p>
      <w:pPr>
        <w:spacing w:before="163" w:line="480" w:lineRule="auto"/>
      </w:pPr>
    </w:p>
    <w:p>
      <w:pPr>
        <w:spacing w:before="163" w:line="480" w:lineRule="auto"/>
      </w:pPr>
    </w:p>
    <w:p>
      <w:pPr>
        <w:spacing w:before="163" w:line="480" w:lineRule="auto"/>
        <w:rPr>
          <w:sz w:val="28"/>
          <w:szCs w:val="28"/>
        </w:rPr>
      </w:pPr>
    </w:p>
    <w:p>
      <w:pPr>
        <w:spacing w:before="163" w:line="480" w:lineRule="auto"/>
        <w:rPr>
          <w:sz w:val="28"/>
          <w:szCs w:val="28"/>
        </w:rPr>
      </w:pPr>
      <w:r>
        <w:rPr>
          <w:rFonts w:hint="eastAsia"/>
          <w:sz w:val="28"/>
          <w:szCs w:val="28"/>
        </w:rPr>
        <w:t>BMMB7000 (</w:t>
      </w:r>
      <w:r>
        <w:rPr>
          <w:sz w:val="28"/>
          <w:szCs w:val="28"/>
        </w:rPr>
        <w:t>Change and Stability Management</w:t>
      </w:r>
      <w:r>
        <w:rPr>
          <w:rFonts w:hint="eastAsia"/>
          <w:sz w:val="28"/>
          <w:szCs w:val="28"/>
        </w:rPr>
        <w:t>)</w:t>
      </w:r>
    </w:p>
    <w:p>
      <w:pPr>
        <w:pStyle w:val="2"/>
        <w:spacing w:before="163" w:line="480" w:lineRule="auto"/>
        <w:rPr>
          <w:rFonts w:hint="eastAsia"/>
        </w:rPr>
      </w:pPr>
      <w:bookmarkStart w:id="0" w:name="_Toc140182166"/>
      <w:r>
        <w:t>Analyzing Wal-Mart's Organizational Changes</w:t>
      </w:r>
      <w:bookmarkEnd w:id="0"/>
    </w:p>
    <w:p>
      <w:pPr>
        <w:spacing w:before="163" w:line="480" w:lineRule="auto"/>
      </w:pPr>
      <w:r>
        <w:rPr>
          <w:rFonts w:hint="eastAsia"/>
        </w:rPr>
        <w:t>Xue Sun（Chelsea）  2233452</w:t>
      </w:r>
    </w:p>
    <w:p>
      <w:pPr>
        <w:spacing w:before="163" w:line="480" w:lineRule="auto"/>
      </w:pPr>
    </w:p>
    <w:p>
      <w:pPr>
        <w:spacing w:before="163" w:line="480" w:lineRule="auto"/>
      </w:pPr>
    </w:p>
    <w:p>
      <w:pPr>
        <w:spacing w:before="163" w:line="480" w:lineRule="auto"/>
      </w:pPr>
    </w:p>
    <w:p>
      <w:pPr>
        <w:spacing w:before="163" w:line="480" w:lineRule="auto"/>
      </w:pPr>
    </w:p>
    <w:p>
      <w:pPr>
        <w:spacing w:before="163" w:line="480" w:lineRule="auto"/>
      </w:pPr>
    </w:p>
    <w:p>
      <w:pPr>
        <w:spacing w:before="163" w:line="480" w:lineRule="auto"/>
      </w:pPr>
    </w:p>
    <w:p>
      <w:pPr>
        <w:spacing w:before="163" w:line="480" w:lineRule="auto"/>
      </w:pPr>
    </w:p>
    <w:p>
      <w:pPr>
        <w:pStyle w:val="2"/>
        <w:spacing w:before="163" w:line="480" w:lineRule="auto"/>
      </w:pPr>
      <w:bookmarkStart w:id="1" w:name="_Toc140182167"/>
      <w:r>
        <w:t>Executive Summary:</w:t>
      </w:r>
      <w:bookmarkEnd w:id="1"/>
    </w:p>
    <w:p>
      <w:pPr>
        <w:spacing w:before="163" w:line="480" w:lineRule="auto"/>
      </w:pPr>
      <w:r>
        <w:t>This article introduces the situation and changes that Walmart has faced internally and externally since 2019. It pulls together a range of secondary data about the company (from reliable sources including corporate earnings, news, and peer-reviewed literature) and conducts case studies from a transformative perspective. Based on its analysis, the applied model, a series of discussions are presented.First of all, Wal-Mart's change drivers are mainly reflected in culture, leadership, digitalization, and business scope. In terms of culture, this paper applies the McKinsey 7S model to explain the reasons for the changes. In terms of leadership, the servant leadership style advocated by Wal-Mart is actually a democratic style. The era of new retail driven by the pandemic has urged a digital upgrade in the retail industry, so Walmart has expanded its reach. Second, in terms of the incentives for change, the analysis of the macro and micro environments reveals the factors of the external environment of the enterprise. Triggers for change revolve largely around the cause of the pandemic. Third, the resistance to change is concentrated in the multiculturalism at the organizational level, the cohesion at the group level, and the insecurity in the face of change at the individual level. In order to overcome these resistances, Wal-Mart must establish various forms of communication with employees and use power and politics as the last resort for change. Finally, the way Wal-Mart conducts change follows Kurt Lewin's change model, and the specific steps are Unfreezing, Moving, and Refre</w:t>
      </w:r>
      <w:r>
        <w:rPr>
          <w:rFonts w:hint="eastAsia"/>
        </w:rPr>
        <w:t>e</w:t>
      </w:r>
      <w:r>
        <w:t>zing. Good operating results and the most complete logistics system are the witnesses to the successful transformation.</w:t>
      </w:r>
    </w:p>
    <w:sdt>
      <w:sdtPr>
        <w:rPr>
          <w:rFonts w:ascii="Times New Roman" w:hAnsi="Times New Roman" w:eastAsia="宋体" w:cstheme="minorBidi"/>
          <w:color w:val="auto"/>
          <w:kern w:val="2"/>
          <w:sz w:val="24"/>
          <w:szCs w:val="22"/>
          <w:lang w:val="zh-CN"/>
        </w:rPr>
        <w:id w:val="1913271976"/>
        <w:docPartObj>
          <w:docPartGallery w:val="Table of Contents"/>
          <w:docPartUnique/>
        </w:docPartObj>
      </w:sdtPr>
      <w:sdtEndPr>
        <w:rPr>
          <w:rFonts w:ascii="Times New Roman" w:hAnsi="Times New Roman" w:eastAsia="宋体" w:cstheme="minorBidi"/>
          <w:b/>
          <w:bCs/>
          <w:color w:val="auto"/>
          <w:kern w:val="2"/>
          <w:sz w:val="24"/>
          <w:szCs w:val="22"/>
          <w:lang w:val="zh-CN"/>
        </w:rPr>
      </w:sdtEndPr>
      <w:sdtContent>
        <w:p>
          <w:pPr>
            <w:pStyle w:val="21"/>
            <w:spacing w:before="163" w:line="360" w:lineRule="auto"/>
          </w:pPr>
          <w:r>
            <w:rPr>
              <w:rFonts w:hint="eastAsia"/>
              <w:lang w:val="zh-CN"/>
            </w:rPr>
            <w:t>C</w:t>
          </w:r>
          <w:r>
            <w:rPr>
              <w:lang w:val="zh-CN"/>
            </w:rPr>
            <w:t>ONTENTS TABLE</w:t>
          </w:r>
        </w:p>
        <w:p>
          <w:pPr>
            <w:pStyle w:val="9"/>
            <w:tabs>
              <w:tab w:val="right" w:leader="dot" w:pos="9016"/>
            </w:tabs>
            <w:spacing w:before="163" w:line="360" w:lineRule="auto"/>
          </w:pPr>
          <w:r>
            <w:fldChar w:fldCharType="begin"/>
          </w:r>
          <w:r>
            <w:instrText xml:space="preserve"> TOC \o "1-3" \h \z \u </w:instrText>
          </w:r>
          <w:r>
            <w:fldChar w:fldCharType="separate"/>
          </w:r>
          <w:r>
            <w:fldChar w:fldCharType="begin"/>
          </w:r>
          <w:r>
            <w:instrText xml:space="preserve"> HYPERLINK \l "_Toc140182166" </w:instrText>
          </w:r>
          <w:r>
            <w:fldChar w:fldCharType="separate"/>
          </w:r>
          <w:r>
            <w:rPr>
              <w:rStyle w:val="14"/>
            </w:rPr>
            <w:t>Analyzing Wal-Mart's Organizational Changes</w:t>
          </w:r>
          <w:r>
            <w:tab/>
          </w:r>
          <w:r>
            <w:fldChar w:fldCharType="begin"/>
          </w:r>
          <w:r>
            <w:instrText xml:space="preserve"> PAGEREF _Toc140182166 \h </w:instrText>
          </w:r>
          <w:r>
            <w:fldChar w:fldCharType="separate"/>
          </w:r>
          <w:r>
            <w:t>1</w:t>
          </w:r>
          <w:r>
            <w:fldChar w:fldCharType="end"/>
          </w:r>
          <w:r>
            <w:fldChar w:fldCharType="end"/>
          </w:r>
        </w:p>
        <w:p>
          <w:pPr>
            <w:pStyle w:val="9"/>
            <w:tabs>
              <w:tab w:val="right" w:leader="dot" w:pos="9016"/>
            </w:tabs>
            <w:spacing w:before="163" w:line="360" w:lineRule="auto"/>
          </w:pPr>
          <w:r>
            <w:fldChar w:fldCharType="begin"/>
          </w:r>
          <w:r>
            <w:instrText xml:space="preserve"> HYPERLINK \l "_Toc140182167" </w:instrText>
          </w:r>
          <w:r>
            <w:fldChar w:fldCharType="separate"/>
          </w:r>
          <w:r>
            <w:rPr>
              <w:rStyle w:val="14"/>
            </w:rPr>
            <w:t>Executive Summary:</w:t>
          </w:r>
          <w:r>
            <w:tab/>
          </w:r>
          <w:r>
            <w:fldChar w:fldCharType="begin"/>
          </w:r>
          <w:r>
            <w:instrText xml:space="preserve"> PAGEREF _Toc140182167 \h </w:instrText>
          </w:r>
          <w:r>
            <w:fldChar w:fldCharType="separate"/>
          </w:r>
          <w:r>
            <w:t>2</w:t>
          </w:r>
          <w:r>
            <w:fldChar w:fldCharType="end"/>
          </w:r>
          <w:r>
            <w:fldChar w:fldCharType="end"/>
          </w:r>
        </w:p>
        <w:p>
          <w:pPr>
            <w:pStyle w:val="9"/>
            <w:tabs>
              <w:tab w:val="right" w:leader="dot" w:pos="9016"/>
            </w:tabs>
            <w:spacing w:before="163" w:line="360" w:lineRule="auto"/>
          </w:pPr>
          <w:r>
            <w:fldChar w:fldCharType="begin"/>
          </w:r>
          <w:r>
            <w:instrText xml:space="preserve"> HYPERLINK \l "_Toc140182168" </w:instrText>
          </w:r>
          <w:r>
            <w:fldChar w:fldCharType="separate"/>
          </w:r>
          <w:r>
            <w:rPr>
              <w:rStyle w:val="14"/>
            </w:rPr>
            <w:t>1. Introduction</w:t>
          </w:r>
          <w:r>
            <w:tab/>
          </w:r>
          <w:r>
            <w:fldChar w:fldCharType="begin"/>
          </w:r>
          <w:r>
            <w:instrText xml:space="preserve"> PAGEREF _Toc140182168 \h </w:instrText>
          </w:r>
          <w:r>
            <w:fldChar w:fldCharType="separate"/>
          </w:r>
          <w:r>
            <w:t>3</w:t>
          </w:r>
          <w:r>
            <w:fldChar w:fldCharType="end"/>
          </w:r>
          <w:r>
            <w:fldChar w:fldCharType="end"/>
          </w:r>
        </w:p>
        <w:p>
          <w:pPr>
            <w:pStyle w:val="9"/>
            <w:tabs>
              <w:tab w:val="right" w:leader="dot" w:pos="9016"/>
            </w:tabs>
            <w:spacing w:before="163" w:line="360" w:lineRule="auto"/>
          </w:pPr>
          <w:r>
            <w:fldChar w:fldCharType="begin"/>
          </w:r>
          <w:r>
            <w:instrText xml:space="preserve"> HYPERLINK \l "_Toc140182169" </w:instrText>
          </w:r>
          <w:r>
            <w:fldChar w:fldCharType="separate"/>
          </w:r>
          <w:r>
            <w:rPr>
              <w:rStyle w:val="14"/>
            </w:rPr>
            <w:t>2. Drivers of Change</w:t>
          </w:r>
          <w:r>
            <w:tab/>
          </w:r>
          <w:r>
            <w:fldChar w:fldCharType="begin"/>
          </w:r>
          <w:r>
            <w:instrText xml:space="preserve"> PAGEREF _Toc140182169 \h </w:instrText>
          </w:r>
          <w:r>
            <w:fldChar w:fldCharType="separate"/>
          </w:r>
          <w:r>
            <w:t>4</w:t>
          </w:r>
          <w:r>
            <w:fldChar w:fldCharType="end"/>
          </w:r>
          <w:r>
            <w:fldChar w:fldCharType="end"/>
          </w:r>
        </w:p>
        <w:p>
          <w:pPr>
            <w:pStyle w:val="10"/>
            <w:tabs>
              <w:tab w:val="right" w:leader="dot" w:pos="9016"/>
            </w:tabs>
            <w:spacing w:before="163" w:line="360" w:lineRule="auto"/>
            <w:ind w:left="480"/>
          </w:pPr>
          <w:r>
            <w:fldChar w:fldCharType="begin"/>
          </w:r>
          <w:r>
            <w:instrText xml:space="preserve"> HYPERLINK \l "_Toc140182170" </w:instrText>
          </w:r>
          <w:r>
            <w:fldChar w:fldCharType="separate"/>
          </w:r>
          <w:r>
            <w:rPr>
              <w:rStyle w:val="14"/>
            </w:rPr>
            <w:t>2.1. Culture</w:t>
          </w:r>
          <w:r>
            <w:tab/>
          </w:r>
          <w:r>
            <w:fldChar w:fldCharType="begin"/>
          </w:r>
          <w:r>
            <w:instrText xml:space="preserve"> PAGEREF _Toc140182170 \h </w:instrText>
          </w:r>
          <w:r>
            <w:fldChar w:fldCharType="separate"/>
          </w:r>
          <w:r>
            <w:t>4</w:t>
          </w:r>
          <w:r>
            <w:fldChar w:fldCharType="end"/>
          </w:r>
          <w:r>
            <w:fldChar w:fldCharType="end"/>
          </w:r>
        </w:p>
        <w:p>
          <w:pPr>
            <w:pStyle w:val="10"/>
            <w:tabs>
              <w:tab w:val="right" w:leader="dot" w:pos="9016"/>
            </w:tabs>
            <w:spacing w:before="163" w:line="360" w:lineRule="auto"/>
            <w:ind w:left="480"/>
          </w:pPr>
          <w:r>
            <w:fldChar w:fldCharType="begin"/>
          </w:r>
          <w:r>
            <w:instrText xml:space="preserve"> HYPERLINK \l "_Toc140182171" </w:instrText>
          </w:r>
          <w:r>
            <w:fldChar w:fldCharType="separate"/>
          </w:r>
          <w:r>
            <w:rPr>
              <w:rStyle w:val="14"/>
            </w:rPr>
            <w:t>2.2. Leadership</w:t>
          </w:r>
          <w:r>
            <w:tab/>
          </w:r>
          <w:r>
            <w:fldChar w:fldCharType="begin"/>
          </w:r>
          <w:r>
            <w:instrText xml:space="preserve"> PAGEREF _Toc140182171 \h </w:instrText>
          </w:r>
          <w:r>
            <w:fldChar w:fldCharType="separate"/>
          </w:r>
          <w:r>
            <w:t>5</w:t>
          </w:r>
          <w:r>
            <w:fldChar w:fldCharType="end"/>
          </w:r>
          <w:r>
            <w:fldChar w:fldCharType="end"/>
          </w:r>
        </w:p>
        <w:p>
          <w:pPr>
            <w:pStyle w:val="10"/>
            <w:tabs>
              <w:tab w:val="right" w:leader="dot" w:pos="9016"/>
            </w:tabs>
            <w:spacing w:before="163" w:line="360" w:lineRule="auto"/>
            <w:ind w:left="480"/>
          </w:pPr>
          <w:r>
            <w:fldChar w:fldCharType="begin"/>
          </w:r>
          <w:r>
            <w:instrText xml:space="preserve"> HYPERLINK \l "_Toc140182172" </w:instrText>
          </w:r>
          <w:r>
            <w:fldChar w:fldCharType="separate"/>
          </w:r>
          <w:r>
            <w:rPr>
              <w:rStyle w:val="14"/>
            </w:rPr>
            <w:t>2.3. Digitization</w:t>
          </w:r>
          <w:r>
            <w:tab/>
          </w:r>
          <w:r>
            <w:fldChar w:fldCharType="begin"/>
          </w:r>
          <w:r>
            <w:instrText xml:space="preserve"> PAGEREF _Toc140182172 \h </w:instrText>
          </w:r>
          <w:r>
            <w:fldChar w:fldCharType="separate"/>
          </w:r>
          <w:r>
            <w:t>6</w:t>
          </w:r>
          <w:r>
            <w:fldChar w:fldCharType="end"/>
          </w:r>
          <w:r>
            <w:fldChar w:fldCharType="end"/>
          </w:r>
        </w:p>
        <w:p>
          <w:pPr>
            <w:pStyle w:val="10"/>
            <w:tabs>
              <w:tab w:val="right" w:leader="dot" w:pos="9016"/>
            </w:tabs>
            <w:spacing w:before="163" w:line="360" w:lineRule="auto"/>
            <w:ind w:left="480"/>
          </w:pPr>
          <w:r>
            <w:fldChar w:fldCharType="begin"/>
          </w:r>
          <w:r>
            <w:instrText xml:space="preserve"> HYPERLINK \l "_Toc140182173" </w:instrText>
          </w:r>
          <w:r>
            <w:fldChar w:fldCharType="separate"/>
          </w:r>
          <w:r>
            <w:rPr>
              <w:rStyle w:val="14"/>
            </w:rPr>
            <w:t>2.4. Business Scope</w:t>
          </w:r>
          <w:r>
            <w:tab/>
          </w:r>
          <w:r>
            <w:fldChar w:fldCharType="begin"/>
          </w:r>
          <w:r>
            <w:instrText xml:space="preserve"> PAGEREF _Toc140182173 \h </w:instrText>
          </w:r>
          <w:r>
            <w:fldChar w:fldCharType="separate"/>
          </w:r>
          <w:r>
            <w:t>6</w:t>
          </w:r>
          <w:r>
            <w:fldChar w:fldCharType="end"/>
          </w:r>
          <w:r>
            <w:fldChar w:fldCharType="end"/>
          </w:r>
        </w:p>
        <w:p>
          <w:pPr>
            <w:pStyle w:val="9"/>
            <w:tabs>
              <w:tab w:val="right" w:leader="dot" w:pos="9016"/>
            </w:tabs>
            <w:spacing w:before="163" w:line="360" w:lineRule="auto"/>
          </w:pPr>
          <w:r>
            <w:fldChar w:fldCharType="begin"/>
          </w:r>
          <w:r>
            <w:instrText xml:space="preserve"> HYPERLINK \l "_Toc140182174" </w:instrText>
          </w:r>
          <w:r>
            <w:fldChar w:fldCharType="separate"/>
          </w:r>
          <w:r>
            <w:rPr>
              <w:rStyle w:val="14"/>
            </w:rPr>
            <w:t>3. Incentives for Change</w:t>
          </w:r>
          <w:r>
            <w:tab/>
          </w:r>
          <w:r>
            <w:fldChar w:fldCharType="begin"/>
          </w:r>
          <w:r>
            <w:instrText xml:space="preserve"> PAGEREF _Toc140182174 \h </w:instrText>
          </w:r>
          <w:r>
            <w:fldChar w:fldCharType="separate"/>
          </w:r>
          <w:r>
            <w:t>7</w:t>
          </w:r>
          <w:r>
            <w:fldChar w:fldCharType="end"/>
          </w:r>
          <w:r>
            <w:fldChar w:fldCharType="end"/>
          </w:r>
        </w:p>
        <w:p>
          <w:pPr>
            <w:pStyle w:val="10"/>
            <w:tabs>
              <w:tab w:val="right" w:leader="dot" w:pos="9016"/>
            </w:tabs>
            <w:spacing w:before="163" w:line="360" w:lineRule="auto"/>
            <w:ind w:left="480"/>
          </w:pPr>
          <w:r>
            <w:fldChar w:fldCharType="begin"/>
          </w:r>
          <w:r>
            <w:instrText xml:space="preserve"> HYPERLINK \l "_Toc140182175" </w:instrText>
          </w:r>
          <w:r>
            <w:fldChar w:fldCharType="separate"/>
          </w:r>
          <w:r>
            <w:rPr>
              <w:rStyle w:val="14"/>
            </w:rPr>
            <w:t>3.1. PESTEL</w:t>
          </w:r>
          <w:r>
            <w:tab/>
          </w:r>
          <w:r>
            <w:fldChar w:fldCharType="begin"/>
          </w:r>
          <w:r>
            <w:instrText xml:space="preserve"> PAGEREF _Toc140182175 \h </w:instrText>
          </w:r>
          <w:r>
            <w:fldChar w:fldCharType="separate"/>
          </w:r>
          <w:r>
            <w:t>7</w:t>
          </w:r>
          <w:r>
            <w:fldChar w:fldCharType="end"/>
          </w:r>
          <w:r>
            <w:fldChar w:fldCharType="end"/>
          </w:r>
        </w:p>
        <w:p>
          <w:pPr>
            <w:pStyle w:val="5"/>
            <w:tabs>
              <w:tab w:val="right" w:leader="dot" w:pos="9016"/>
            </w:tabs>
            <w:spacing w:before="163" w:line="360" w:lineRule="auto"/>
            <w:ind w:left="960"/>
          </w:pPr>
          <w:r>
            <w:fldChar w:fldCharType="begin"/>
          </w:r>
          <w:r>
            <w:instrText xml:space="preserve"> HYPERLINK \l "_Toc140182176" </w:instrText>
          </w:r>
          <w:r>
            <w:fldChar w:fldCharType="separate"/>
          </w:r>
          <w:r>
            <w:rPr>
              <w:rStyle w:val="14"/>
            </w:rPr>
            <w:t>3.1.1. Political</w:t>
          </w:r>
          <w:r>
            <w:tab/>
          </w:r>
          <w:r>
            <w:fldChar w:fldCharType="begin"/>
          </w:r>
          <w:r>
            <w:instrText xml:space="preserve"> PAGEREF _Toc140182176 \h </w:instrText>
          </w:r>
          <w:r>
            <w:fldChar w:fldCharType="separate"/>
          </w:r>
          <w:r>
            <w:t>7</w:t>
          </w:r>
          <w:r>
            <w:fldChar w:fldCharType="end"/>
          </w:r>
          <w:r>
            <w:fldChar w:fldCharType="end"/>
          </w:r>
        </w:p>
        <w:p>
          <w:pPr>
            <w:pStyle w:val="5"/>
            <w:tabs>
              <w:tab w:val="right" w:leader="dot" w:pos="9016"/>
            </w:tabs>
            <w:spacing w:before="163" w:line="360" w:lineRule="auto"/>
            <w:ind w:left="960"/>
          </w:pPr>
          <w:r>
            <w:fldChar w:fldCharType="begin"/>
          </w:r>
          <w:r>
            <w:instrText xml:space="preserve"> HYPERLINK \l "_Toc140182177" </w:instrText>
          </w:r>
          <w:r>
            <w:fldChar w:fldCharType="separate"/>
          </w:r>
          <w:r>
            <w:rPr>
              <w:rStyle w:val="14"/>
            </w:rPr>
            <w:t>3.1.2. Economic</w:t>
          </w:r>
          <w:r>
            <w:tab/>
          </w:r>
          <w:r>
            <w:fldChar w:fldCharType="begin"/>
          </w:r>
          <w:r>
            <w:instrText xml:space="preserve"> PAGEREF _Toc140182177 \h </w:instrText>
          </w:r>
          <w:r>
            <w:fldChar w:fldCharType="separate"/>
          </w:r>
          <w:r>
            <w:t>7</w:t>
          </w:r>
          <w:r>
            <w:fldChar w:fldCharType="end"/>
          </w:r>
          <w:r>
            <w:fldChar w:fldCharType="end"/>
          </w:r>
        </w:p>
        <w:p>
          <w:pPr>
            <w:pStyle w:val="5"/>
            <w:tabs>
              <w:tab w:val="right" w:leader="dot" w:pos="9016"/>
            </w:tabs>
            <w:spacing w:before="163" w:line="360" w:lineRule="auto"/>
            <w:ind w:left="960"/>
          </w:pPr>
          <w:r>
            <w:fldChar w:fldCharType="begin"/>
          </w:r>
          <w:r>
            <w:instrText xml:space="preserve"> HYPERLINK \l "_Toc140182178" </w:instrText>
          </w:r>
          <w:r>
            <w:fldChar w:fldCharType="separate"/>
          </w:r>
          <w:r>
            <w:rPr>
              <w:rStyle w:val="14"/>
            </w:rPr>
            <w:t>3.1.3. Social</w:t>
          </w:r>
          <w:r>
            <w:tab/>
          </w:r>
          <w:r>
            <w:fldChar w:fldCharType="begin"/>
          </w:r>
          <w:r>
            <w:instrText xml:space="preserve"> PAGEREF _Toc140182178 \h </w:instrText>
          </w:r>
          <w:r>
            <w:fldChar w:fldCharType="separate"/>
          </w:r>
          <w:r>
            <w:t>8</w:t>
          </w:r>
          <w:r>
            <w:fldChar w:fldCharType="end"/>
          </w:r>
          <w:r>
            <w:fldChar w:fldCharType="end"/>
          </w:r>
        </w:p>
        <w:p>
          <w:pPr>
            <w:pStyle w:val="5"/>
            <w:tabs>
              <w:tab w:val="right" w:leader="dot" w:pos="9016"/>
            </w:tabs>
            <w:spacing w:before="163" w:line="360" w:lineRule="auto"/>
            <w:ind w:left="960"/>
          </w:pPr>
          <w:r>
            <w:fldChar w:fldCharType="begin"/>
          </w:r>
          <w:r>
            <w:instrText xml:space="preserve"> HYPERLINK \l "_Toc140182179" </w:instrText>
          </w:r>
          <w:r>
            <w:fldChar w:fldCharType="separate"/>
          </w:r>
          <w:r>
            <w:rPr>
              <w:rStyle w:val="14"/>
            </w:rPr>
            <w:t>3.1.4. Technology</w:t>
          </w:r>
          <w:r>
            <w:tab/>
          </w:r>
          <w:r>
            <w:fldChar w:fldCharType="begin"/>
          </w:r>
          <w:r>
            <w:instrText xml:space="preserve"> PAGEREF _Toc140182179 \h </w:instrText>
          </w:r>
          <w:r>
            <w:fldChar w:fldCharType="separate"/>
          </w:r>
          <w:r>
            <w:t>8</w:t>
          </w:r>
          <w:r>
            <w:fldChar w:fldCharType="end"/>
          </w:r>
          <w:r>
            <w:fldChar w:fldCharType="end"/>
          </w:r>
        </w:p>
        <w:p>
          <w:pPr>
            <w:pStyle w:val="5"/>
            <w:tabs>
              <w:tab w:val="right" w:leader="dot" w:pos="9016"/>
            </w:tabs>
            <w:spacing w:before="163" w:line="360" w:lineRule="auto"/>
            <w:ind w:left="960"/>
          </w:pPr>
          <w:r>
            <w:fldChar w:fldCharType="begin"/>
          </w:r>
          <w:r>
            <w:instrText xml:space="preserve"> HYPERLINK \l "_Toc140182180" </w:instrText>
          </w:r>
          <w:r>
            <w:fldChar w:fldCharType="separate"/>
          </w:r>
          <w:r>
            <w:rPr>
              <w:rStyle w:val="14"/>
            </w:rPr>
            <w:t>3.1.5. Environment</w:t>
          </w:r>
          <w:r>
            <w:tab/>
          </w:r>
          <w:r>
            <w:fldChar w:fldCharType="begin"/>
          </w:r>
          <w:r>
            <w:instrText xml:space="preserve"> PAGEREF _Toc140182180 \h </w:instrText>
          </w:r>
          <w:r>
            <w:fldChar w:fldCharType="separate"/>
          </w:r>
          <w:r>
            <w:t>9</w:t>
          </w:r>
          <w:r>
            <w:fldChar w:fldCharType="end"/>
          </w:r>
          <w:r>
            <w:fldChar w:fldCharType="end"/>
          </w:r>
        </w:p>
        <w:p>
          <w:pPr>
            <w:pStyle w:val="5"/>
            <w:tabs>
              <w:tab w:val="right" w:leader="dot" w:pos="9016"/>
            </w:tabs>
            <w:spacing w:before="163" w:line="360" w:lineRule="auto"/>
            <w:ind w:left="960"/>
          </w:pPr>
          <w:r>
            <w:fldChar w:fldCharType="begin"/>
          </w:r>
          <w:r>
            <w:instrText xml:space="preserve"> HYPERLINK \l "_Toc140182181" </w:instrText>
          </w:r>
          <w:r>
            <w:fldChar w:fldCharType="separate"/>
          </w:r>
          <w:r>
            <w:rPr>
              <w:rStyle w:val="14"/>
            </w:rPr>
            <w:t>3.1.6. Legal</w:t>
          </w:r>
          <w:r>
            <w:tab/>
          </w:r>
          <w:r>
            <w:fldChar w:fldCharType="begin"/>
          </w:r>
          <w:r>
            <w:instrText xml:space="preserve"> PAGEREF _Toc140182181 \h </w:instrText>
          </w:r>
          <w:r>
            <w:fldChar w:fldCharType="separate"/>
          </w:r>
          <w:r>
            <w:t>9</w:t>
          </w:r>
          <w:r>
            <w:fldChar w:fldCharType="end"/>
          </w:r>
          <w:r>
            <w:fldChar w:fldCharType="end"/>
          </w:r>
        </w:p>
        <w:p>
          <w:pPr>
            <w:pStyle w:val="10"/>
            <w:tabs>
              <w:tab w:val="right" w:leader="dot" w:pos="9016"/>
            </w:tabs>
            <w:spacing w:before="163" w:line="360" w:lineRule="auto"/>
            <w:ind w:left="480"/>
          </w:pPr>
          <w:r>
            <w:fldChar w:fldCharType="begin"/>
          </w:r>
          <w:r>
            <w:instrText xml:space="preserve"> HYPERLINK \l "_Toc140182182" </w:instrText>
          </w:r>
          <w:r>
            <w:fldChar w:fldCharType="separate"/>
          </w:r>
          <w:r>
            <w:rPr>
              <w:rStyle w:val="14"/>
            </w:rPr>
            <w:t>3.2. SWOT Analysis</w:t>
          </w:r>
          <w:r>
            <w:tab/>
          </w:r>
          <w:r>
            <w:fldChar w:fldCharType="begin"/>
          </w:r>
          <w:r>
            <w:instrText xml:space="preserve"> PAGEREF _Toc140182182 \h </w:instrText>
          </w:r>
          <w:r>
            <w:fldChar w:fldCharType="separate"/>
          </w:r>
          <w:r>
            <w:t>9</w:t>
          </w:r>
          <w:r>
            <w:fldChar w:fldCharType="end"/>
          </w:r>
          <w:r>
            <w:fldChar w:fldCharType="end"/>
          </w:r>
        </w:p>
        <w:p>
          <w:pPr>
            <w:pStyle w:val="5"/>
            <w:tabs>
              <w:tab w:val="right" w:leader="dot" w:pos="9016"/>
            </w:tabs>
            <w:spacing w:before="163" w:line="360" w:lineRule="auto"/>
            <w:ind w:left="960"/>
          </w:pPr>
          <w:r>
            <w:fldChar w:fldCharType="begin"/>
          </w:r>
          <w:r>
            <w:instrText xml:space="preserve"> HYPERLINK \l "_Toc140182183" </w:instrText>
          </w:r>
          <w:r>
            <w:fldChar w:fldCharType="separate"/>
          </w:r>
          <w:r>
            <w:rPr>
              <w:rStyle w:val="14"/>
            </w:rPr>
            <w:t>3.2.1. Strengths.</w:t>
          </w:r>
          <w:r>
            <w:tab/>
          </w:r>
          <w:r>
            <w:fldChar w:fldCharType="begin"/>
          </w:r>
          <w:r>
            <w:instrText xml:space="preserve"> PAGEREF _Toc140182183 \h </w:instrText>
          </w:r>
          <w:r>
            <w:fldChar w:fldCharType="separate"/>
          </w:r>
          <w:r>
            <w:t>9</w:t>
          </w:r>
          <w:r>
            <w:fldChar w:fldCharType="end"/>
          </w:r>
          <w:r>
            <w:fldChar w:fldCharType="end"/>
          </w:r>
        </w:p>
        <w:p>
          <w:pPr>
            <w:pStyle w:val="5"/>
            <w:tabs>
              <w:tab w:val="right" w:leader="dot" w:pos="9016"/>
            </w:tabs>
            <w:spacing w:before="163" w:line="360" w:lineRule="auto"/>
            <w:ind w:left="960"/>
          </w:pPr>
          <w:r>
            <w:fldChar w:fldCharType="begin"/>
          </w:r>
          <w:r>
            <w:instrText xml:space="preserve"> HYPERLINK \l "_Toc140182184" </w:instrText>
          </w:r>
          <w:r>
            <w:fldChar w:fldCharType="separate"/>
          </w:r>
          <w:r>
            <w:rPr>
              <w:rStyle w:val="14"/>
            </w:rPr>
            <w:t>3.2.2. Weaknesses</w:t>
          </w:r>
          <w:r>
            <w:tab/>
          </w:r>
          <w:r>
            <w:fldChar w:fldCharType="begin"/>
          </w:r>
          <w:r>
            <w:instrText xml:space="preserve"> PAGEREF _Toc140182184 \h </w:instrText>
          </w:r>
          <w:r>
            <w:fldChar w:fldCharType="separate"/>
          </w:r>
          <w:r>
            <w:t>10</w:t>
          </w:r>
          <w:r>
            <w:fldChar w:fldCharType="end"/>
          </w:r>
          <w:r>
            <w:fldChar w:fldCharType="end"/>
          </w:r>
        </w:p>
        <w:p>
          <w:pPr>
            <w:pStyle w:val="5"/>
            <w:tabs>
              <w:tab w:val="right" w:leader="dot" w:pos="9016"/>
            </w:tabs>
            <w:spacing w:before="163" w:line="360" w:lineRule="auto"/>
            <w:ind w:left="960"/>
          </w:pPr>
          <w:r>
            <w:fldChar w:fldCharType="begin"/>
          </w:r>
          <w:r>
            <w:instrText xml:space="preserve"> HYPERLINK \l "_Toc140182185" </w:instrText>
          </w:r>
          <w:r>
            <w:fldChar w:fldCharType="separate"/>
          </w:r>
          <w:r>
            <w:rPr>
              <w:rStyle w:val="14"/>
            </w:rPr>
            <w:t>3.2.3. Opportunities</w:t>
          </w:r>
          <w:r>
            <w:tab/>
          </w:r>
          <w:r>
            <w:fldChar w:fldCharType="begin"/>
          </w:r>
          <w:r>
            <w:instrText xml:space="preserve"> PAGEREF _Toc140182185 \h </w:instrText>
          </w:r>
          <w:r>
            <w:fldChar w:fldCharType="separate"/>
          </w:r>
          <w:r>
            <w:t>10</w:t>
          </w:r>
          <w:r>
            <w:fldChar w:fldCharType="end"/>
          </w:r>
          <w:r>
            <w:fldChar w:fldCharType="end"/>
          </w:r>
        </w:p>
        <w:p>
          <w:pPr>
            <w:pStyle w:val="5"/>
            <w:tabs>
              <w:tab w:val="right" w:leader="dot" w:pos="9016"/>
            </w:tabs>
            <w:spacing w:before="163" w:line="360" w:lineRule="auto"/>
            <w:ind w:left="960"/>
          </w:pPr>
          <w:r>
            <w:fldChar w:fldCharType="begin"/>
          </w:r>
          <w:r>
            <w:instrText xml:space="preserve"> HYPERLINK \l "_Toc140182186" </w:instrText>
          </w:r>
          <w:r>
            <w:fldChar w:fldCharType="separate"/>
          </w:r>
          <w:r>
            <w:rPr>
              <w:rStyle w:val="14"/>
            </w:rPr>
            <w:t>3.2.4. Threats</w:t>
          </w:r>
          <w:r>
            <w:tab/>
          </w:r>
          <w:r>
            <w:fldChar w:fldCharType="begin"/>
          </w:r>
          <w:r>
            <w:instrText xml:space="preserve"> PAGEREF _Toc140182186 \h </w:instrText>
          </w:r>
          <w:r>
            <w:fldChar w:fldCharType="separate"/>
          </w:r>
          <w:r>
            <w:t>10</w:t>
          </w:r>
          <w:r>
            <w:fldChar w:fldCharType="end"/>
          </w:r>
          <w:r>
            <w:fldChar w:fldCharType="end"/>
          </w:r>
        </w:p>
        <w:p>
          <w:pPr>
            <w:pStyle w:val="10"/>
            <w:tabs>
              <w:tab w:val="right" w:leader="dot" w:pos="9016"/>
            </w:tabs>
            <w:spacing w:before="163" w:line="360" w:lineRule="auto"/>
            <w:ind w:left="480"/>
          </w:pPr>
          <w:r>
            <w:fldChar w:fldCharType="begin"/>
          </w:r>
          <w:r>
            <w:instrText xml:space="preserve"> HYPERLINK \l "_Toc140182187" </w:instrText>
          </w:r>
          <w:r>
            <w:fldChar w:fldCharType="separate"/>
          </w:r>
          <w:r>
            <w:rPr>
              <w:rStyle w:val="14"/>
            </w:rPr>
            <w:t>3.3. Stakeholder Analysis</w:t>
          </w:r>
          <w:r>
            <w:tab/>
          </w:r>
          <w:r>
            <w:fldChar w:fldCharType="begin"/>
          </w:r>
          <w:r>
            <w:instrText xml:space="preserve"> PAGEREF _Toc140182187 \h </w:instrText>
          </w:r>
          <w:r>
            <w:fldChar w:fldCharType="separate"/>
          </w:r>
          <w:r>
            <w:t>10</w:t>
          </w:r>
          <w:r>
            <w:fldChar w:fldCharType="end"/>
          </w:r>
          <w:r>
            <w:fldChar w:fldCharType="end"/>
          </w:r>
        </w:p>
        <w:p>
          <w:pPr>
            <w:pStyle w:val="9"/>
            <w:tabs>
              <w:tab w:val="right" w:leader="dot" w:pos="9016"/>
            </w:tabs>
            <w:spacing w:before="163" w:line="360" w:lineRule="auto"/>
          </w:pPr>
          <w:r>
            <w:fldChar w:fldCharType="begin"/>
          </w:r>
          <w:r>
            <w:instrText xml:space="preserve"> HYPERLINK \l "_Toc140182188" </w:instrText>
          </w:r>
          <w:r>
            <w:fldChar w:fldCharType="separate"/>
          </w:r>
          <w:r>
            <w:rPr>
              <w:rStyle w:val="14"/>
            </w:rPr>
            <w:t>4. Resistance to Change framework</w:t>
          </w:r>
          <w:r>
            <w:tab/>
          </w:r>
          <w:r>
            <w:fldChar w:fldCharType="begin"/>
          </w:r>
          <w:r>
            <w:instrText xml:space="preserve"> PAGEREF _Toc140182188 \h </w:instrText>
          </w:r>
          <w:r>
            <w:fldChar w:fldCharType="separate"/>
          </w:r>
          <w:r>
            <w:t>11</w:t>
          </w:r>
          <w:r>
            <w:fldChar w:fldCharType="end"/>
          </w:r>
          <w:r>
            <w:fldChar w:fldCharType="end"/>
          </w:r>
        </w:p>
        <w:p>
          <w:pPr>
            <w:pStyle w:val="9"/>
            <w:tabs>
              <w:tab w:val="right" w:leader="dot" w:pos="9016"/>
            </w:tabs>
            <w:spacing w:before="163" w:line="360" w:lineRule="auto"/>
          </w:pPr>
          <w:r>
            <w:fldChar w:fldCharType="begin"/>
          </w:r>
          <w:r>
            <w:instrText xml:space="preserve"> HYPERLINK \l "_Toc140182189" </w:instrText>
          </w:r>
          <w:r>
            <w:fldChar w:fldCharType="separate"/>
          </w:r>
          <w:r>
            <w:rPr>
              <w:rStyle w:val="14"/>
            </w:rPr>
            <w:t>5. Ways to Implement Change: Kurt Lewin's model of change</w:t>
          </w:r>
          <w:r>
            <w:tab/>
          </w:r>
          <w:r>
            <w:fldChar w:fldCharType="begin"/>
          </w:r>
          <w:r>
            <w:instrText xml:space="preserve"> PAGEREF _Toc140182189 \h </w:instrText>
          </w:r>
          <w:r>
            <w:fldChar w:fldCharType="separate"/>
          </w:r>
          <w:r>
            <w:t>14</w:t>
          </w:r>
          <w:r>
            <w:fldChar w:fldCharType="end"/>
          </w:r>
          <w:r>
            <w:fldChar w:fldCharType="end"/>
          </w:r>
        </w:p>
        <w:p>
          <w:pPr>
            <w:pStyle w:val="9"/>
            <w:tabs>
              <w:tab w:val="right" w:leader="dot" w:pos="9016"/>
            </w:tabs>
            <w:spacing w:before="163" w:line="360" w:lineRule="auto"/>
          </w:pPr>
          <w:r>
            <w:fldChar w:fldCharType="begin"/>
          </w:r>
          <w:r>
            <w:instrText xml:space="preserve"> HYPERLINK \l "_Toc140182190" </w:instrText>
          </w:r>
          <w:r>
            <w:fldChar w:fldCharType="separate"/>
          </w:r>
          <w:r>
            <w:rPr>
              <w:rStyle w:val="14"/>
            </w:rPr>
            <w:t>6. Change Assessment</w:t>
          </w:r>
          <w:r>
            <w:tab/>
          </w:r>
          <w:r>
            <w:fldChar w:fldCharType="begin"/>
          </w:r>
          <w:r>
            <w:instrText xml:space="preserve"> PAGEREF _Toc140182190 \h </w:instrText>
          </w:r>
          <w:r>
            <w:fldChar w:fldCharType="separate"/>
          </w:r>
          <w:r>
            <w:t>16</w:t>
          </w:r>
          <w:r>
            <w:fldChar w:fldCharType="end"/>
          </w:r>
          <w:r>
            <w:fldChar w:fldCharType="end"/>
          </w:r>
        </w:p>
        <w:p>
          <w:pPr>
            <w:pStyle w:val="9"/>
            <w:tabs>
              <w:tab w:val="right" w:leader="dot" w:pos="9016"/>
            </w:tabs>
            <w:spacing w:before="163" w:line="360" w:lineRule="auto"/>
          </w:pPr>
          <w:r>
            <w:fldChar w:fldCharType="begin"/>
          </w:r>
          <w:r>
            <w:instrText xml:space="preserve"> HYPERLINK \l "_Toc140182191" </w:instrText>
          </w:r>
          <w:r>
            <w:fldChar w:fldCharType="separate"/>
          </w:r>
          <w:r>
            <w:rPr>
              <w:rStyle w:val="14"/>
            </w:rPr>
            <w:t>7. Conclusions and Recommendations</w:t>
          </w:r>
          <w:r>
            <w:tab/>
          </w:r>
          <w:r>
            <w:fldChar w:fldCharType="begin"/>
          </w:r>
          <w:r>
            <w:instrText xml:space="preserve"> PAGEREF _Toc140182191 \h </w:instrText>
          </w:r>
          <w:r>
            <w:fldChar w:fldCharType="separate"/>
          </w:r>
          <w:r>
            <w:t>17</w:t>
          </w:r>
          <w:r>
            <w:fldChar w:fldCharType="end"/>
          </w:r>
          <w:r>
            <w:fldChar w:fldCharType="end"/>
          </w:r>
        </w:p>
        <w:p>
          <w:pPr>
            <w:pStyle w:val="9"/>
            <w:tabs>
              <w:tab w:val="right" w:leader="dot" w:pos="9016"/>
            </w:tabs>
            <w:spacing w:before="163" w:line="360" w:lineRule="auto"/>
          </w:pPr>
          <w:r>
            <w:fldChar w:fldCharType="begin"/>
          </w:r>
          <w:r>
            <w:instrText xml:space="preserve"> HYPERLINK \l "_Toc140182192" </w:instrText>
          </w:r>
          <w:r>
            <w:fldChar w:fldCharType="separate"/>
          </w:r>
          <w:r>
            <w:rPr>
              <w:rStyle w:val="14"/>
            </w:rPr>
            <w:t>References List:</w:t>
          </w:r>
          <w:r>
            <w:tab/>
          </w:r>
          <w:r>
            <w:fldChar w:fldCharType="begin"/>
          </w:r>
          <w:r>
            <w:instrText xml:space="preserve"> PAGEREF _Toc140182192 \h </w:instrText>
          </w:r>
          <w:r>
            <w:fldChar w:fldCharType="separate"/>
          </w:r>
          <w:r>
            <w:t>19</w:t>
          </w:r>
          <w:r>
            <w:fldChar w:fldCharType="end"/>
          </w:r>
          <w:r>
            <w:fldChar w:fldCharType="end"/>
          </w:r>
        </w:p>
        <w:p>
          <w:pPr>
            <w:pStyle w:val="9"/>
            <w:tabs>
              <w:tab w:val="right" w:leader="dot" w:pos="9016"/>
            </w:tabs>
            <w:spacing w:before="163" w:line="360" w:lineRule="auto"/>
          </w:pPr>
          <w:r>
            <w:fldChar w:fldCharType="begin"/>
          </w:r>
          <w:r>
            <w:instrText xml:space="preserve"> HYPERLINK \l "_Toc140182193" </w:instrText>
          </w:r>
          <w:r>
            <w:fldChar w:fldCharType="separate"/>
          </w:r>
          <w:r>
            <w:rPr>
              <w:rStyle w:val="14"/>
            </w:rPr>
            <w:t>Appendix:</w:t>
          </w:r>
          <w:r>
            <w:tab/>
          </w:r>
          <w:r>
            <w:fldChar w:fldCharType="begin"/>
          </w:r>
          <w:r>
            <w:instrText xml:space="preserve"> PAGEREF _Toc140182193 \h </w:instrText>
          </w:r>
          <w:r>
            <w:fldChar w:fldCharType="separate"/>
          </w:r>
          <w:r>
            <w:t>24</w:t>
          </w:r>
          <w:r>
            <w:fldChar w:fldCharType="end"/>
          </w:r>
          <w:r>
            <w:fldChar w:fldCharType="end"/>
          </w:r>
        </w:p>
        <w:p>
          <w:pPr>
            <w:spacing w:before="163" w:line="360" w:lineRule="auto"/>
          </w:pPr>
          <w:r>
            <w:rPr>
              <w:b/>
              <w:bCs/>
              <w:lang w:val="zh-CN"/>
            </w:rPr>
            <w:fldChar w:fldCharType="end"/>
          </w:r>
        </w:p>
      </w:sdtContent>
    </w:sdt>
    <w:p>
      <w:pPr>
        <w:spacing w:before="163" w:line="480" w:lineRule="auto"/>
      </w:pPr>
    </w:p>
    <w:p>
      <w:pPr>
        <w:spacing w:before="163" w:line="480" w:lineRule="auto"/>
      </w:pPr>
    </w:p>
    <w:p>
      <w:pPr>
        <w:spacing w:before="163" w:line="480" w:lineRule="auto"/>
      </w:pPr>
    </w:p>
    <w:p>
      <w:pPr>
        <w:spacing w:before="163" w:line="480" w:lineRule="auto"/>
      </w:pPr>
    </w:p>
    <w:p>
      <w:pPr>
        <w:spacing w:before="163" w:line="480" w:lineRule="auto"/>
      </w:pPr>
    </w:p>
    <w:p>
      <w:pPr>
        <w:spacing w:before="163" w:line="480" w:lineRule="auto"/>
      </w:pPr>
    </w:p>
    <w:p>
      <w:pPr>
        <w:spacing w:before="163" w:line="480" w:lineRule="auto"/>
      </w:pPr>
    </w:p>
    <w:p>
      <w:pPr>
        <w:spacing w:before="163" w:line="480" w:lineRule="auto"/>
      </w:pPr>
    </w:p>
    <w:p>
      <w:pPr>
        <w:spacing w:before="163" w:line="480" w:lineRule="auto"/>
      </w:pPr>
    </w:p>
    <w:p>
      <w:pPr>
        <w:pStyle w:val="2"/>
        <w:spacing w:before="163" w:line="480" w:lineRule="auto"/>
      </w:pPr>
      <w:bookmarkStart w:id="2" w:name="_Toc140182168"/>
      <w:r>
        <w:t>1. Introduction</w:t>
      </w:r>
      <w:bookmarkEnd w:id="2"/>
    </w:p>
    <w:p>
      <w:pPr>
        <w:spacing w:before="163" w:line="480" w:lineRule="auto"/>
      </w:pPr>
      <w:r>
        <w:t xml:space="preserve">Wal-Mart was founded in Arkansas in 1962 by Mr. Sam Walton, a legend in the American retail industry. After more than half a century of development, Wal-Mart has become the largest private employer in the United States and the largest retail chain enterprise in the world (Ortega, 1999). During the COVID-19 pandemic, Walmart experienced a major turning point in corporate history. The large-scale isolation caused by the epidemic has caused orders for the US supermarket industry to plummet. At the same time, employees who are in contact with customers every day have also become a high-risk group for infections, and the entire system is facing a state of paralysis at any time. It is worth noting that supply chain disruptions and social unrest caused by the epidemic have left supermarkets often without new products to sell, which has seriously affected profits. </w:t>
      </w:r>
    </w:p>
    <w:p>
      <w:pPr>
        <w:spacing w:before="163" w:line="480" w:lineRule="auto"/>
      </w:pPr>
      <w:r>
        <w:t xml:space="preserve">Therefore, Wal-Mart decided to complete a comprehensive supply chain management and digital operating system upgrade during this period, which induces a </w:t>
      </w:r>
      <w:r>
        <w:rPr>
          <w:b/>
          <w:bCs/>
        </w:rPr>
        <w:t>transformational change</w:t>
      </w:r>
      <w:r>
        <w:t>change. This article aims to analyze the</w:t>
      </w:r>
      <w:r>
        <w:rPr>
          <w:b/>
          <w:bCs/>
        </w:rPr>
        <w:t xml:space="preserve"> transformation </w:t>
      </w:r>
      <w:r>
        <w:t>of Walmart during the pandemic and provide practical suggestions for related industries. The paper begins by presenting the drivers of change. Second, the paper introduces the incentives for change. Third, the paper examines resistance to change and ways to overcome it. Fourth, this paper introduces the specific process of change. Finally, this paper analyzes the effect of Wal-Mart's transformation and puts forward corresponding suggestions.</w:t>
      </w:r>
    </w:p>
    <w:p>
      <w:pPr>
        <w:pStyle w:val="2"/>
        <w:spacing w:before="163" w:line="480" w:lineRule="auto"/>
      </w:pPr>
      <w:bookmarkStart w:id="3" w:name="_Toc140182169"/>
      <w:r>
        <w:t>2. Drivers of Change</w:t>
      </w:r>
      <w:bookmarkEnd w:id="3"/>
    </w:p>
    <w:p>
      <w:pPr>
        <w:pStyle w:val="3"/>
        <w:spacing w:before="163" w:line="480" w:lineRule="auto"/>
      </w:pPr>
      <w:bookmarkStart w:id="4" w:name="_Toc140182170"/>
      <w:r>
        <w:t>2.1. Culture</w:t>
      </w:r>
      <w:bookmarkEnd w:id="4"/>
    </w:p>
    <w:p>
      <w:pPr>
        <w:spacing w:before="163" w:line="480" w:lineRule="auto"/>
      </w:pPr>
      <w:r>
        <w:t xml:space="preserve">Culture is very critical for driving change. The diverse and inclusive culture advocated by Wal-Mart may form a series of subcultures within the organization to hinder change. Fortunately, however, Wal-Mart's cultural system also advocates innovation and embraces change, which makes religious and national cultures less of a hindrance to change. McKinsey's 7S model can effectively promote organizational change within Wal-Mart (Channon &amp;Caldart, 2015) </w:t>
      </w:r>
      <w:r>
        <w:rPr>
          <w:b/>
          <w:bCs/>
        </w:rPr>
        <w:t>(Fig. 1)</w:t>
      </w:r>
      <w:r>
        <w:t>. Among them, in terms of Staff, the diversity advocated by Wal-Mart can make reasonable use of the advantages of different employees and maintain their greatest potential (Lobel, 2020). In terms of skills, Walmart promotes change by selecting and cultivating transformational leaders. In terms of system, Wal-Mart's human resources system has formulated a comprehensive development plan for employees to ensure that they can keep pace with organizational changes. In terms of style, Wal-Mart's management style and culture advocate customer-centricity and provide better services, which provides support for technological process changes (ADUGNA, 2021). In terms of strategy, Wal-Mart changed its business goal from providing supermarket services to providing complete logistics and distribution services during the epidemic, which was more suitable for the current situation. In terms of structure, Walmart updated the processes of key management systems, provided vacations, and reorgani</w:t>
      </w:r>
      <w:r>
        <w:rPr>
          <w:rFonts w:hint="eastAsia"/>
        </w:rPr>
        <w:t>z</w:t>
      </w:r>
      <w:r>
        <w:t>ed personnel by letting robots replace the work of more basic employees during the pandemic. In terms of shared values, the guiding principle of this change is to make the organization more adaptable to the isolated market environment through internal reforms amidst the pandemic caused by the new crown pneumonia.</w:t>
      </w:r>
    </w:p>
    <w:p>
      <w:pPr>
        <w:spacing w:before="163" w:line="480" w:lineRule="auto"/>
      </w:pPr>
    </w:p>
    <w:p>
      <w:pPr>
        <w:pStyle w:val="3"/>
        <w:spacing w:before="163" w:line="480" w:lineRule="auto"/>
      </w:pPr>
      <w:bookmarkStart w:id="5" w:name="_Toc140182171"/>
      <w:r>
        <w:t>2.2. Leadership</w:t>
      </w:r>
      <w:bookmarkEnd w:id="5"/>
    </w:p>
    <w:p>
      <w:pPr>
        <w:spacing w:before="163" w:line="480" w:lineRule="auto"/>
      </w:pPr>
      <w:r>
        <w:t>Wal-Mart leaders are viewed as employees’ servants who drive change by using a psychodynamic approach (Beerel, 2009). In management activities, Wal-Mart leaders respect employees, understand their emotional states, show them the benefits of change, and work according to their feelings. Wal-Mart employees are regarded by leaders as partners rather than employees. The relationship between leaders, employees, and customers is an inverted pyramid. Customers are placed first, employees are in the middle, and leaders are placed at the bottom. The leader's job is to give employees enough guidance, care, and support so that they can better serve customers. This humanistic psychological approach embodies a supportive role in the change process (Mann, 2011). Because this leadership style enables good communication between managers and employees, managers can actually hear the voices of employees and can also explain the ideas of change to them so that they can be easily accepted. In this subordinate-subordinate relationship, the leader's style is democratic, the manager believes that people are capable of change and just need the right structure to make it happen, open communication to make this happen, and appropriate strategies to help the individual grow and develop. Gareth Morgan's (2006) research on four organi</w:t>
      </w:r>
      <w:r>
        <w:rPr>
          <w:rFonts w:hint="eastAsia"/>
        </w:rPr>
        <w:t>z</w:t>
      </w:r>
      <w:r>
        <w:t xml:space="preserve">ational metaphors shows that in the process of change, Wal-Mart's leaders regard the organizational structure as an organism and recognize that the health and well-being of individuals, groups, and organizations are essential components </w:t>
      </w:r>
      <w:r>
        <w:rPr>
          <w:b/>
          <w:bCs/>
        </w:rPr>
        <w:t>(Fig. 2)</w:t>
      </w:r>
      <w:r>
        <w:t>. Therefore, change is adaptive and leads to growth. This means that the role of the leader is to provide the necessary guidance and support to the employees.</w:t>
      </w:r>
    </w:p>
    <w:p>
      <w:pPr>
        <w:spacing w:before="163" w:line="480" w:lineRule="auto"/>
      </w:pPr>
    </w:p>
    <w:p>
      <w:pPr>
        <w:pStyle w:val="3"/>
        <w:spacing w:before="163" w:line="480" w:lineRule="auto"/>
      </w:pPr>
      <w:bookmarkStart w:id="6" w:name="_Toc140182172"/>
      <w:r>
        <w:t>2.3. Digitization</w:t>
      </w:r>
      <w:bookmarkEnd w:id="6"/>
    </w:p>
    <w:p>
      <w:pPr>
        <w:spacing w:before="163" w:line="480" w:lineRule="auto"/>
      </w:pPr>
      <w:r>
        <w:t>In the era of new retail driven by the pandemic, Walmart has noticed the technological necessity of change, and digital transformation is driven by market pressure. Therefore, it is necessary for Wal-Mart to reasonably introduce and utilize the power of digital technology to achieve change. Wal-Mart transformed dozens of offline stores into high-tech warehouses to cope with a surge in online orders (Kahn, 2021). Through the use of big data and automation, the order fulfilment center has greatly improved the quality of online services and order processing capabilities (Sazu&amp; Jahan, 2022). Therefore, Wal-Mart's change is an urgent change because the organization operates in a turbulent, dynamic and unpredictable environment (Bigley &amp; Roberts, 2001).</w:t>
      </w:r>
    </w:p>
    <w:p>
      <w:pPr>
        <w:spacing w:before="163" w:line="480" w:lineRule="auto"/>
      </w:pPr>
    </w:p>
    <w:p>
      <w:pPr>
        <w:pStyle w:val="3"/>
        <w:spacing w:before="163" w:line="480" w:lineRule="auto"/>
      </w:pPr>
      <w:bookmarkStart w:id="7" w:name="_Toc140182173"/>
      <w:r>
        <w:t>2.4. Business Scope</w:t>
      </w:r>
      <w:bookmarkEnd w:id="7"/>
    </w:p>
    <w:p>
      <w:pPr>
        <w:spacing w:before="163" w:line="480" w:lineRule="auto"/>
      </w:pPr>
      <w:r>
        <w:t>Noticing the impact of the epidemic, Wal-Mart's business scope must also be adjusted accordingly, which is the result of adapting to the external environment. As an omni-channel retailer, Wal-Mart changed its legal name from "Wal-Mart Department Stores" to "Wal-Mart Inc." This means that the business scope of enterprises has expanded beyond the original retail services, covering seamlessly connected retail businesses such as logistics distribution and online purchases (Ferrell et al., 2020). Thus, Wal-Mart's change can be described as a transformational change, as it is a response to changes in the organizational environment or technology, resulting in a revision of the company's business strategy, which in turn may require modifications to internal structures and processes, as well as corporate culture, to support the new direction (Beer et al., 2005).</w:t>
      </w:r>
    </w:p>
    <w:p>
      <w:pPr>
        <w:spacing w:before="163" w:line="480" w:lineRule="auto"/>
      </w:pPr>
    </w:p>
    <w:p>
      <w:pPr>
        <w:pStyle w:val="2"/>
        <w:spacing w:before="163" w:line="480" w:lineRule="auto"/>
      </w:pPr>
      <w:bookmarkStart w:id="8" w:name="_Toc140182174"/>
      <w:r>
        <w:t>3. triggers for Change</w:t>
      </w:r>
      <w:bookmarkEnd w:id="8"/>
    </w:p>
    <w:p>
      <w:pPr>
        <w:pStyle w:val="3"/>
        <w:spacing w:before="163" w:line="480" w:lineRule="auto"/>
      </w:pPr>
      <w:bookmarkStart w:id="9" w:name="_Toc140182175"/>
      <w:r>
        <w:t>3.1. PESTEL</w:t>
      </w:r>
      <w:bookmarkEnd w:id="9"/>
    </w:p>
    <w:p>
      <w:pPr>
        <w:pStyle w:val="4"/>
        <w:spacing w:before="163" w:line="480" w:lineRule="auto"/>
      </w:pPr>
      <w:bookmarkStart w:id="10" w:name="_Toc140182176"/>
      <w:r>
        <w:t>3.1.1. Political</w:t>
      </w:r>
      <w:bookmarkEnd w:id="10"/>
    </w:p>
    <w:p>
      <w:pPr>
        <w:spacing w:before="163" w:line="480" w:lineRule="auto"/>
      </w:pPr>
      <w:r>
        <w:t>As the economy fluctuates, the U.S. government has been looking to stimulate the retail industry through subsidy policies. First, the U.S. government provides large subsidies to companies to help retail companies maintain job stability and business expansion (Porter, 2015). Second, many enterprises can enjoy financial allocations. Finally, different types of goods may benefit from tax breaks.</w:t>
      </w:r>
    </w:p>
    <w:p>
      <w:pPr>
        <w:pStyle w:val="4"/>
        <w:spacing w:before="163" w:line="480" w:lineRule="auto"/>
      </w:pPr>
      <w:bookmarkStart w:id="11" w:name="_Toc140182177"/>
      <w:r>
        <w:t>3.1.2. Economic</w:t>
      </w:r>
      <w:bookmarkEnd w:id="11"/>
    </w:p>
    <w:p>
      <w:pPr>
        <w:spacing w:before="163" w:line="480" w:lineRule="auto"/>
      </w:pPr>
      <w:r>
        <w:t>During the new crown epidemic, as government transfer payments rose sharply and consumers reduced spending</w:t>
      </w:r>
      <w:r>
        <w:rPr>
          <w:rFonts w:hint="eastAsia"/>
        </w:rPr>
        <w:t>，</w:t>
      </w:r>
      <w:r>
        <w:t xml:space="preserve"> the household savings rate rose from 8% before the new crown epidemic to nearly 30%. The personal consumption expenditures/disposable income ratio has also fallen from 0.88 pre-pandemic to an all-time low near 0.6 (Romer, 2021). This means that people's expenditure on daily necessities and things will be correspondingly reduced at that time, which will affect the sales of supermarkets.</w:t>
      </w:r>
    </w:p>
    <w:p>
      <w:pPr>
        <w:pStyle w:val="4"/>
        <w:spacing w:before="163" w:line="480" w:lineRule="auto"/>
      </w:pPr>
      <w:bookmarkStart w:id="12" w:name="_Toc140182178"/>
      <w:r>
        <w:t>3.1.3. Social</w:t>
      </w:r>
      <w:bookmarkEnd w:id="12"/>
    </w:p>
    <w:p>
      <w:pPr>
        <w:spacing w:before="163" w:line="480" w:lineRule="auto"/>
      </w:pPr>
      <w:r>
        <w:t>Due to factors such as the mandatory isolation caused by the epidemic, the supply of many products was forced to be cut off. This led to a panic-buying spree among Americans. At the same time, demand for common goods has skyrocketed amid widespread supermarket robbery due to the social unrest brought on by the pandemic, which has created a widespread supply chain crisis.</w:t>
      </w:r>
    </w:p>
    <w:p>
      <w:pPr>
        <w:pStyle w:val="4"/>
        <w:spacing w:before="163" w:line="480" w:lineRule="auto"/>
      </w:pPr>
      <w:bookmarkStart w:id="13" w:name="_Toc140182179"/>
      <w:r>
        <w:t>3.1.4. Technology</w:t>
      </w:r>
      <w:bookmarkEnd w:id="13"/>
    </w:p>
    <w:p>
      <w:pPr>
        <w:spacing w:before="163" w:line="480" w:lineRule="auto"/>
      </w:pPr>
      <w:r>
        <w:t>The development of supply chain technology provides a new way out for the retail industry. During the pandemic, the supply chain technology in the United States has achieved unprecedented development and has been able to form characteristics of high integration, high agility, high efficiency, and low cost. Among them, information interaction management technology has been able to provide 24-hour logistics network monitoring and real-time product sales and inventory data (Har et al., 2022). This can greatly improve the efficiency of supermarket inventory management and logistics distribution services.</w:t>
      </w:r>
    </w:p>
    <w:p>
      <w:pPr>
        <w:pStyle w:val="4"/>
        <w:spacing w:before="163" w:line="480" w:lineRule="auto"/>
      </w:pPr>
      <w:bookmarkStart w:id="14" w:name="_Toc140182180"/>
      <w:r>
        <w:t>3.1.5. Environment</w:t>
      </w:r>
      <w:bookmarkEnd w:id="14"/>
    </w:p>
    <w:p>
      <w:pPr>
        <w:spacing w:before="163" w:line="480" w:lineRule="auto"/>
      </w:pPr>
      <w:r>
        <w:t>The white pollution caused by commodity packaging has seriously hindered the strategic practice of sustainable development. After waste plastic packaging enters the environment, it is difficult to degrade, causing long-term and deep-seated ecological problems. This leads to strict requirements for the packaging bags provided by large supermarkets. At the same time, the problem of pollutant emissions due to increased logistics and distribution may increase the severity of the greenhouse effect.</w:t>
      </w:r>
    </w:p>
    <w:p>
      <w:pPr>
        <w:pStyle w:val="4"/>
        <w:spacing w:before="163" w:line="480" w:lineRule="auto"/>
      </w:pPr>
      <w:bookmarkStart w:id="15" w:name="_Toc140182181"/>
      <w:r>
        <w:t>3.1.6. Legal</w:t>
      </w:r>
      <w:bookmarkEnd w:id="15"/>
    </w:p>
    <w:p>
      <w:pPr>
        <w:spacing w:before="163" w:line="480" w:lineRule="auto"/>
      </w:pPr>
      <w:r>
        <w:t>Retail theft costs retailers more than $69 billion annually and puts hundreds of thousands of Americans out of work (Nagle, 2020). Counterfeiting issues can also weigh heavily on sales, and these issues put significant pressure on retail performance. Therefore, Congress will enact the INFORM Act to address theft and counterfeiting (Singh, 2023).</w:t>
      </w:r>
    </w:p>
    <w:p>
      <w:pPr>
        <w:spacing w:before="163" w:line="480" w:lineRule="auto"/>
      </w:pPr>
    </w:p>
    <w:p>
      <w:pPr>
        <w:pStyle w:val="3"/>
        <w:spacing w:before="163" w:line="480" w:lineRule="auto"/>
      </w:pPr>
      <w:bookmarkStart w:id="16" w:name="_Toc140182182"/>
      <w:r>
        <w:t>3.2. SWOT Analysis</w:t>
      </w:r>
      <w:bookmarkEnd w:id="16"/>
    </w:p>
    <w:p>
      <w:pPr>
        <w:pStyle w:val="4"/>
        <w:spacing w:before="163" w:line="480" w:lineRule="auto"/>
      </w:pPr>
      <w:bookmarkStart w:id="17" w:name="_Toc140182183"/>
      <w:r>
        <w:t>3.2.1. Strengths.</w:t>
      </w:r>
      <w:bookmarkEnd w:id="17"/>
    </w:p>
    <w:p>
      <w:pPr>
        <w:spacing w:before="163" w:line="480" w:lineRule="auto"/>
      </w:pPr>
      <w:r>
        <w:t>First of all, Walmart has always been known for its high quality and low price, wide range of goods, and one-stop shopping (Pandey et al., 2021). Second, Wal-Mart's global expansion plan provides the company with strong, comprehensive strength. Finally, an excellent talent management system provides enterprises with a steady stream of excellent talent.</w:t>
      </w:r>
    </w:p>
    <w:p>
      <w:pPr>
        <w:pStyle w:val="4"/>
        <w:spacing w:before="163" w:line="480" w:lineRule="auto"/>
      </w:pPr>
      <w:bookmarkStart w:id="18" w:name="_Toc140182184"/>
      <w:r>
        <w:t>3.2.2. Weaknesses</w:t>
      </w:r>
      <w:bookmarkEnd w:id="18"/>
    </w:p>
    <w:p>
      <w:pPr>
        <w:spacing w:before="163" w:line="480" w:lineRule="auto"/>
      </w:pPr>
      <w:r>
        <w:t>Huge business expansion can make it difficult for companies to pursue details, resulting in a lack of control. At the same time, the wide range of business types makes Wal-Mart less adaptable than its specific competitors.</w:t>
      </w:r>
    </w:p>
    <w:p>
      <w:pPr>
        <w:pStyle w:val="4"/>
        <w:spacing w:before="163" w:line="480" w:lineRule="auto"/>
      </w:pPr>
      <w:bookmarkStart w:id="19" w:name="_Toc140182185"/>
      <w:r>
        <w:t>3.2.3. Opportunities</w:t>
      </w:r>
      <w:bookmarkEnd w:id="19"/>
    </w:p>
    <w:p>
      <w:pPr>
        <w:spacing w:before="163" w:line="480" w:lineRule="auto"/>
      </w:pPr>
      <w:r>
        <w:t>The successful acquisition and reorganisation model gives the company great potential in new markets. The continuous upgrading of supply chain technology can also provide support for Wal-Mart in providing more thoughtful services.</w:t>
      </w:r>
    </w:p>
    <w:p>
      <w:pPr>
        <w:pStyle w:val="4"/>
        <w:spacing w:before="163" w:line="480" w:lineRule="auto"/>
      </w:pPr>
      <w:bookmarkStart w:id="20" w:name="_Toc140182186"/>
      <w:r>
        <w:t>3.2.4. Threats</w:t>
      </w:r>
      <w:bookmarkEnd w:id="20"/>
    </w:p>
    <w:p>
      <w:pPr>
        <w:spacing w:before="163" w:line="480" w:lineRule="auto"/>
      </w:pPr>
      <w:r>
        <w:t>Wal-Mart's globali</w:t>
      </w:r>
      <w:r>
        <w:rPr>
          <w:rFonts w:hint="eastAsia"/>
        </w:rPr>
        <w:t>z</w:t>
      </w:r>
      <w:r>
        <w:t>ation strategy makes it possible to run into political problems in the countries in which it operates. At the same time, with the tariff reduction and exemption policies among various countries, some competitors began to outsource production to low-cost regions to reduce production costs, thereby competing on price (Yang et al., 2021).</w:t>
      </w:r>
    </w:p>
    <w:p>
      <w:pPr>
        <w:spacing w:before="163" w:line="480" w:lineRule="auto"/>
      </w:pPr>
    </w:p>
    <w:p>
      <w:pPr>
        <w:pStyle w:val="3"/>
        <w:spacing w:before="163" w:line="480" w:lineRule="auto"/>
      </w:pPr>
      <w:bookmarkStart w:id="21" w:name="_Toc140182187"/>
      <w:r>
        <w:t>3.3. Stakeholder Analysis</w:t>
      </w:r>
      <w:bookmarkEnd w:id="21"/>
    </w:p>
    <w:p>
      <w:pPr>
        <w:spacing w:before="163" w:line="480" w:lineRule="auto"/>
      </w:pPr>
      <w:r>
        <w:t>Wal-Mart's stakeholders include shareholders, managers, regulators, social organizations, customers, employees, suppliers, etc. Mendelow's Matrix analyzes stakeholders by measuring their interests and power (Bank, 2012). This information can then be used to determine the extent of their potential influence on Walmart's larger business decisions</w:t>
      </w:r>
      <w:r>
        <w:rPr>
          <w:b/>
          <w:bCs/>
        </w:rPr>
        <w:t xml:space="preserve"> (Fig</w:t>
      </w:r>
      <w:r>
        <w:rPr>
          <w:rFonts w:hint="eastAsia"/>
          <w:b/>
          <w:bCs/>
        </w:rPr>
        <w:t>.</w:t>
      </w:r>
      <w:r>
        <w:rPr>
          <w:b/>
          <w:bCs/>
        </w:rPr>
        <w:t xml:space="preserve"> 3)</w:t>
      </w:r>
      <w:r>
        <w:t>.</w:t>
      </w:r>
    </w:p>
    <w:p>
      <w:pPr>
        <w:spacing w:before="163" w:line="480" w:lineRule="auto"/>
      </w:pPr>
      <w:r>
        <w:t>First of all, shareholders and customers have great power and great interests in Wal-Mart. Walmart must manage closely by allocating the most sources and maintaining good communication to meet their needs. The wish of shareholders is to increase profits. Through online delivery, Wal-Mart can receive more orders to maintain sales and increase profits. Secondly, the regulatory authorities, social organizations, and internal managers have great power but little interest, and Wal-Mart needs to keep them satisfied during the transformation process. Regulators are mainly concerned with product quality and sales methods, so Wal-Mart must use formal channels to compete reasonably. This requires Wal-Mart to focus on operations, business model involvement, and customer development to prevent mistakes. Third, employees and suppliers have little power but great benefits. They cannot change the direction of change, but they can provide the necessary help. T</w:t>
      </w:r>
      <w:r>
        <w:rPr>
          <w:rFonts w:hint="eastAsia"/>
        </w:rPr>
        <w:t>h</w:t>
      </w:r>
      <w:r>
        <w:t>erefore, Walmart needs to keep in touch with them. Wal-Mart needs to pay attention to the emotional changes of employees and guide them when making changes. Finally, other irrelevant personnel have little power and little interest, and Wal-Mart only needs to keep the investment to a minimum.</w:t>
      </w:r>
    </w:p>
    <w:p>
      <w:pPr>
        <w:spacing w:before="163" w:line="480" w:lineRule="auto"/>
      </w:pPr>
    </w:p>
    <w:p>
      <w:pPr>
        <w:pStyle w:val="2"/>
        <w:spacing w:before="163" w:line="480" w:lineRule="auto"/>
      </w:pPr>
      <w:bookmarkStart w:id="22" w:name="_Toc140182188"/>
      <w:r>
        <w:t>4. Resistance to Changeframework</w:t>
      </w:r>
      <w:bookmarkEnd w:id="22"/>
    </w:p>
    <w:p>
      <w:pPr>
        <w:spacing w:before="163" w:line="480" w:lineRule="auto"/>
      </w:pPr>
      <w:r>
        <w:t>Resistance to changeinclud</w:t>
      </w:r>
      <w:r>
        <w:rPr>
          <w:rFonts w:hint="eastAsia"/>
        </w:rPr>
        <w:t>es</w:t>
      </w:r>
      <w:r>
        <w:t xml:space="preserve"> behaviors taken by recipients to slow down or terminate organizational change (Lines, 2004). The framework of Resistance to Change shows that the types of resistance that Wal-Mart's change faces are concentrated at the organizational level, group level, and individual level.</w:t>
      </w:r>
    </w:p>
    <w:p>
      <w:pPr>
        <w:spacing w:before="163" w:line="480" w:lineRule="auto"/>
      </w:pPr>
      <w:r>
        <w:t xml:space="preserve">First, resistance to change at the </w:t>
      </w:r>
      <w:r>
        <w:rPr>
          <w:b/>
          <w:bCs/>
        </w:rPr>
        <w:t>organizational level</w:t>
      </w:r>
      <w:r>
        <w:t xml:space="preserve"> stems from Wal-Mart's organizational culture. If organizational change disrupts the values and norms that people have taken for granted and forces people to change what they do and how they do it, then the culture of the organization can lead to resistance to change (SitiNabiha&amp;Scapens, 2005). Wal-Mart's organizational culture advocates diversity and inclusiveness, which determines that there must be subcultures of different races and nationalities within the organi</w:t>
      </w:r>
      <w:r>
        <w:rPr>
          <w:rFonts w:hint="eastAsia"/>
        </w:rPr>
        <w:t>z</w:t>
      </w:r>
      <w:r>
        <w:t>ation (Baldwin et al., 2014). However, this can become a resistance to organizational change. Because these subcultures spawn departmental or structural changes that can cause people to talk to each other and misunderstand each other, And leaders must have a deep understanding of each subculture to drive change. At the same time, the broad ethnic environment makes objective factors such as different religions, nationalities, and laws hinder the smooth implementation of changes. To mitigate this effect, leaders need to support change by allocating resources wisely, screening people, and building systems that are more responsive to change.</w:t>
      </w:r>
    </w:p>
    <w:p>
      <w:pPr>
        <w:spacing w:before="163" w:line="480" w:lineRule="auto"/>
      </w:pPr>
      <w:r>
        <w:t xml:space="preserve">Second, at the </w:t>
      </w:r>
      <w:r>
        <w:rPr>
          <w:b/>
          <w:bCs/>
        </w:rPr>
        <w:t>group level</w:t>
      </w:r>
      <w:r>
        <w:t>, groupthink is an important factor that hinders change. Wal-Mart employees, especially grassroots employees, advocate unity and cohesion within the group. Employees can feel that Wal-Mart is a united, equal, progressive, and happy family, which can enhance Wal-Mart's core cohesion (Copeland &amp;Labuski, 2013). This cohesion leads to groupthink among employees, which occurs when members ignore negative information in order to achieve harmony, which can be an important reason for refusing to accept change. Incentive policies and performance management can help adjust to the changes that are taking place. Managers should explain in detail what their performance requirements are and how behavior is defined.</w:t>
      </w:r>
    </w:p>
    <w:p>
      <w:pPr>
        <w:spacing w:before="163" w:line="480" w:lineRule="auto"/>
      </w:pPr>
      <w:r>
        <w:t xml:space="preserve">Finally, at the </w:t>
      </w:r>
      <w:r>
        <w:rPr>
          <w:b/>
          <w:bCs/>
        </w:rPr>
        <w:t>individual level</w:t>
      </w:r>
      <w:r>
        <w:t>, the uncertainty of change may create a sense of insecurity among employees, who worry about losing their jobs or experiencing more work pressure due to technological upgrades. This requires reasonable communication between managers and employees. Managers can use a cognitive approach to motivate employees by clearly showing how change connects to organizational goals and vision. Ongoing mentoring also helps bring about positive change.</w:t>
      </w:r>
    </w:p>
    <w:p>
      <w:pPr>
        <w:spacing w:before="163" w:line="480" w:lineRule="auto"/>
      </w:pPr>
      <w:r>
        <w:t>The way to solve these resistances depends on the urgency of the change and the internal resistance. First of all, communication is a peaceful solution. By establishing a two-way feedback system, managers can hear employees’ voices, convey the reasons for change to employees, and make a commitment to provide follow-up support to reduce employees’ insecurity. Second, encouraging employees to actively participate in the change can help employees better understand the need for change and increase their sense of belonging. Third, at the grassroots level, line managers can provide appropriate support and understanding to reduce employee anxiety. Finally, balancing different stakeholders through the use of power and politics can help drive change. Organizations can be defined as collections of individuals, groups, and communities of practice (Lesser &amp;Prusak, 1999). When there is a conflict of interest, it is the power and influence of those involved rather than logical and rational arguments that determine the outcome (Flyvbjerg, 1998). Issues of power and influence cannot, therefore, be ignored by those charged with managing change. The essence of politics is the exercise of power. Therefore, enforcement is an option when all else fails.</w:t>
      </w:r>
    </w:p>
    <w:p>
      <w:pPr>
        <w:spacing w:before="163" w:line="480" w:lineRule="auto"/>
      </w:pPr>
    </w:p>
    <w:p>
      <w:pPr>
        <w:pStyle w:val="2"/>
        <w:spacing w:before="163" w:line="480" w:lineRule="auto"/>
      </w:pPr>
      <w:bookmarkStart w:id="23" w:name="_Toc140182189"/>
      <w:r>
        <w:t>5. Ways to Implement Change: Kurt Lewin's model of change</w:t>
      </w:r>
      <w:bookmarkEnd w:id="23"/>
    </w:p>
    <w:p>
      <w:pPr>
        <w:spacing w:before="163" w:line="480" w:lineRule="auto"/>
        <w:rPr>
          <w:b/>
          <w:bCs/>
        </w:rPr>
      </w:pPr>
      <w:r>
        <w:t>Kurt Lewin's model of change has worked for Walmart. The model believes that the process of change is composed of three stages: unfreezing, moving, and Refreezing (Burnes, 2004)</w:t>
      </w:r>
      <w:r>
        <w:rPr>
          <w:b/>
          <w:bCs/>
        </w:rPr>
        <w:t xml:space="preserve"> (Fig. 4).</w:t>
      </w:r>
    </w:p>
    <w:p>
      <w:pPr>
        <w:spacing w:before="163" w:line="480" w:lineRule="auto"/>
      </w:pPr>
      <w:r>
        <w:t xml:space="preserve">During the </w:t>
      </w:r>
      <w:r>
        <w:rPr>
          <w:b/>
          <w:bCs/>
        </w:rPr>
        <w:t>Unfreeze phase,</w:t>
      </w:r>
      <w:r>
        <w:t xml:space="preserve"> the focus is on being ready to accept change, a process of letting go of the status quo. The key to this step is to recogni</w:t>
      </w:r>
      <w:r>
        <w:rPr>
          <w:rFonts w:hint="eastAsia"/>
        </w:rPr>
        <w:t>z</w:t>
      </w:r>
      <w:r>
        <w:t>e that people may be biased against the status quo. Therefore, for Wal-Mart, this stage needs to create incentives to actively prepare for change. This means that before the change begins, managers need to weaken the power to maintain the level of organizational behavior, and sometimes some stimulating themes or events are needed to make organizational members aware of the change. Wal-Mart's approach is to encourage employees to change their original behavior patterns and work attitudes and adopt new behaviors and attitudes that adapt to the strategic development of the organization (Adaeze&amp;Ekwutosi, 2020). To do this, managers must negate old behaviors and attitudes. On the other hand, reflection and discussions start with management, who needs to be deeply aware of the urgency of change. During this process, Wal-Mart created an open atmosphere and a sense of psychological security by repeatedly emphasizing the career planning of employees, the benefits after the change, and establishing a two-way feedback mechanism, reducing psychological barriers to change and improving confidence in the success of the change (Luo, 2021).</w:t>
      </w:r>
    </w:p>
    <w:p>
      <w:pPr>
        <w:spacing w:before="163" w:line="480" w:lineRule="auto"/>
      </w:pPr>
      <w:r>
        <w:t xml:space="preserve">The </w:t>
      </w:r>
      <w:r>
        <w:rPr>
          <w:b/>
          <w:bCs/>
        </w:rPr>
        <w:t>Moving stage</w:t>
      </w:r>
      <w:r>
        <w:t xml:space="preserve"> is the process of an enterprise moving to the next state, and it is a transitional stage in which the organization and its internal personnel change from one way of doing things to a new way of doing things. At this stage, the transmission of values is particularly important. Therefore, organizations need to guide employees to make changes through education, communication, and training. After introducing new technologies and distribution models, Wal-Mart attaches importance to the learning process during the transformation. It explains the new supply chain working model to employees, conducts on-the-job training, and re-plans personnel arrangements to indicate the direction of change (Nuseir, 2021). In this step, in order to promote the enthusiasm of employees, managers set an example for new work attitudes and behaviors and use various methods such as role models, mentoring, expert speeches, and group training to encourage employees to embrace new changes (Weinstein et al., 2022).</w:t>
      </w:r>
    </w:p>
    <w:p>
      <w:pPr>
        <w:spacing w:before="163" w:line="480" w:lineRule="auto"/>
      </w:pPr>
      <w:r>
        <w:t>The</w:t>
      </w:r>
      <w:r>
        <w:rPr>
          <w:b/>
          <w:bCs/>
        </w:rPr>
        <w:t xml:space="preserve"> Refreezing stag</w:t>
      </w:r>
      <w:r>
        <w:t>e is the stage where change becomes the new normal when changes are translated into organizational goals, processes, structures, or roles and become the new status quo and integrated into the organizational culture, Make it a punctuated balance</w:t>
      </w:r>
      <w:r>
        <w:rPr>
          <w:b/>
          <w:bCs/>
        </w:rPr>
        <w:t xml:space="preserve"> (Fig. 5). </w:t>
      </w:r>
      <w:r>
        <w:t>Reinforcement through the use of support mechanisms and the introduction of rewards and recognition Wal-Mart pays special attention to the practical effects on employees at this stage and improves the fault tolerance rate of employees with the help of management, actively based on positive feedback and reward mechanisms (Can &amp;Lanxi, 2023). This behavior not only reinforces the stability of change but also increases the adaptability of employees.</w:t>
      </w:r>
    </w:p>
    <w:p>
      <w:pPr>
        <w:spacing w:before="163" w:line="480" w:lineRule="auto"/>
      </w:pPr>
    </w:p>
    <w:p>
      <w:pPr>
        <w:pStyle w:val="2"/>
        <w:spacing w:before="163" w:line="480" w:lineRule="auto"/>
      </w:pPr>
      <w:bookmarkStart w:id="24" w:name="_Toc140182190"/>
      <w:r>
        <w:t>6. Change Assessment</w:t>
      </w:r>
      <w:bookmarkEnd w:id="24"/>
    </w:p>
    <w:p>
      <w:pPr>
        <w:spacing w:before="163" w:line="480" w:lineRule="auto"/>
      </w:pPr>
      <w:r>
        <w:t>This article evaluates the change from the perspective of Wal-Mart's change process and its operating results since the change. First of all, in terms of the change process, Wal-Mart attaches great importance to active communication with employees before, during, and after the change. This is caused by Wal-Mart's corporate culture, which values employees. In the process of communication, Wal-Mart pays attention to two-way feedback rather than purely top-down guidance. This results in employees having a clear sense of participation and being valued during the change process, creating a sense of belonging. However, after the change, Wal-Mart puts a lot of emphasis on refreezing, which means that the organization may lose its agility (Roosmalen&amp;Hoppenbrouwers, 2008). Because in the current changing business environment, there is no need to refreeze new changes; instead, it is better for organizations to avoid going back to old ways of doing things (Ng’aru&amp;Wafula, 2015).</w:t>
      </w:r>
    </w:p>
    <w:p>
      <w:pPr>
        <w:spacing w:before="163" w:line="480" w:lineRule="auto"/>
        <w:rPr>
          <w:b/>
          <w:bCs/>
        </w:rPr>
      </w:pPr>
      <w:r>
        <w:t>Fortunately, Wal-Mart's changes have been very effective in terms of results. Currently, Walmart, as an omni-channel retailer, has established enough distribution centers to maintain product supply throughout each region. The new supply chain management system is highly integrated and supports online sales (Strauss-Wieder, 2023). This is inseparable from the organizational change to support the new system. Through reasonable internal organizational upgrades, Wal-Mart has reasonably adapted to new technologies and formed a supply chain interactive information system for management</w:t>
      </w:r>
      <w:r>
        <w:rPr>
          <w:b/>
          <w:bCs/>
        </w:rPr>
        <w:t xml:space="preserve"> (Fig.6).</w:t>
      </w:r>
    </w:p>
    <w:p>
      <w:pPr>
        <w:spacing w:before="163" w:line="480" w:lineRule="auto"/>
      </w:pPr>
    </w:p>
    <w:p>
      <w:pPr>
        <w:pStyle w:val="2"/>
        <w:spacing w:before="163" w:line="480" w:lineRule="auto"/>
      </w:pPr>
      <w:bookmarkStart w:id="25" w:name="_Toc140182191"/>
      <w:r>
        <w:t>7. Conclusions and Recommendations</w:t>
      </w:r>
      <w:bookmarkEnd w:id="25"/>
    </w:p>
    <w:p>
      <w:pPr>
        <w:spacing w:before="163" w:line="480" w:lineRule="auto"/>
      </w:pPr>
      <w:r>
        <w:t>By rationally analyzing the internal and external environment and overcoming resistance to change, Wal-Mart has created a favorable environment for change. During the reform process, Wal-Mart paid attention to communication with employees and enhanced the sense of participation, which made the reform go smoothly. The change process and the operating results since the change are appropriate evaluation tools to monitor the effectiveness of the change.</w:t>
      </w:r>
    </w:p>
    <w:p>
      <w:pPr>
        <w:spacing w:before="163" w:line="480" w:lineRule="auto"/>
      </w:pPr>
      <w:r>
        <w:t>It is worth noting that the process of refreezing can affect the agility of the organization. Therefore, Wal-Mart needs to improve at this point to ensure that the organization can quickly adapt to the changing environment and deal with various possible situations. First, improving employee engagement is the way to go. For Wal-Mart, resistance to change largely stems from employees. Therefore, making full use of the workforce, selecting agile leaders, and implementing a people-center strategic model can all improve employee engagement (Azmy, 2021). This makes it easier for employees to accept new ideas and deal with subsequent changes. Secondly, under the premise of introducing new technologies, ensuring that employees' characteristics and positions match each other is an important means of improving agility (Asgarnezhad Nouri &amp; Mir Mousavi, 2020). Companies always perform better when there are both generalists and specialists on the team. Therefore, a reasonable allocation of employee skills and job requirements can better respond to changes in the market and organizational needs.</w:t>
      </w:r>
    </w:p>
    <w:p>
      <w:pPr>
        <w:spacing w:before="163" w:line="480" w:lineRule="auto"/>
      </w:pPr>
      <w:r>
        <w:br w:type="page"/>
      </w:r>
    </w:p>
    <w:p>
      <w:pPr>
        <w:pStyle w:val="2"/>
        <w:spacing w:before="163" w:line="480" w:lineRule="auto"/>
      </w:pPr>
      <w:bookmarkStart w:id="26" w:name="_Toc140182192"/>
      <w:r>
        <w:rPr>
          <w:rFonts w:hint="eastAsia"/>
        </w:rPr>
        <w:t>R</w:t>
      </w:r>
      <w:r>
        <w:t>eferences List:</w:t>
      </w:r>
      <w:bookmarkEnd w:id="26"/>
    </w:p>
    <w:p>
      <w:pPr>
        <w:spacing w:before="163" w:line="480" w:lineRule="auto"/>
        <w:ind w:left="480" w:hanging="480" w:hangingChars="200"/>
      </w:pPr>
      <w:bookmarkStart w:id="27" w:name="OLE_LINK29"/>
      <w:r>
        <w:t>Adaeze, E.E. and Ekwutosi</w:t>
      </w:r>
      <w:bookmarkEnd w:id="27"/>
      <w:r>
        <w:t xml:space="preserve">, O.C., 2020. Effect of Organizational Structure on Management Effectiveness: A Study of Federal Radio Corporation of Nigeria (FRCN), Enugu, Nigeria. </w:t>
      </w:r>
      <w:r>
        <w:rPr>
          <w:i/>
          <w:iCs/>
        </w:rPr>
        <w:t>IAA Journal Arts and Humanities</w:t>
      </w:r>
      <w:r>
        <w:t xml:space="preserve">, </w:t>
      </w:r>
      <w:r>
        <w:rPr>
          <w:i/>
          <w:iCs/>
        </w:rPr>
        <w:t>6</w:t>
      </w:r>
      <w:r>
        <w:t>, pp.21-34.</w:t>
      </w:r>
    </w:p>
    <w:p>
      <w:pPr>
        <w:spacing w:before="163" w:line="480" w:lineRule="auto"/>
        <w:ind w:left="480" w:hanging="480" w:hangingChars="200"/>
      </w:pPr>
      <w:bookmarkStart w:id="28" w:name="OLE_LINK9"/>
      <w:r>
        <w:t xml:space="preserve">ADUGNA, D., 2021. </w:t>
      </w:r>
      <w:r>
        <w:rPr>
          <w:i/>
          <w:iCs/>
        </w:rPr>
        <w:t>INFORMATION SYSTEM SUCCESS ANALYSIS AND THE FLOW OF E-COMMERCE: CASE STUDY ON BAE FOREIGN TRADE AND EXPORT</w:t>
      </w:r>
      <w:r>
        <w:t xml:space="preserve"> (Doctoral dissertation, ST. MARY’S UNIVERSITY).</w:t>
      </w:r>
      <w:bookmarkEnd w:id="28"/>
    </w:p>
    <w:p>
      <w:pPr>
        <w:spacing w:before="163" w:line="480" w:lineRule="auto"/>
        <w:ind w:left="480" w:hanging="480" w:hangingChars="200"/>
      </w:pPr>
      <w:r>
        <w:t>Asgarnezhad Nouri, B. and Mir Mousavi, M., 2020. Effect of cooperative management on organizational agility with the mediating role of employee empowerment in public transportation sector.</w:t>
      </w:r>
    </w:p>
    <w:p>
      <w:pPr>
        <w:spacing w:before="163" w:line="480" w:lineRule="auto"/>
        <w:ind w:left="480" w:hanging="480" w:hangingChars="200"/>
      </w:pPr>
      <w:bookmarkStart w:id="29" w:name="OLE_LINK37"/>
      <w:r>
        <w:t>Azmy,</w:t>
      </w:r>
      <w:bookmarkEnd w:id="29"/>
      <w:r>
        <w:t xml:space="preserve"> A., 2021. The effect of employee engagement and job satisfaction on workforce agility through talent management in public transportation companies. </w:t>
      </w:r>
      <w:r>
        <w:rPr>
          <w:i/>
          <w:iCs/>
        </w:rPr>
        <w:t>Media Ekonomi Dan Manajemen</w:t>
      </w:r>
      <w:r>
        <w:t xml:space="preserve">, </w:t>
      </w:r>
      <w:r>
        <w:rPr>
          <w:i/>
          <w:iCs/>
        </w:rPr>
        <w:t>36</w:t>
      </w:r>
      <w:r>
        <w:t>(2), pp.212-229.</w:t>
      </w:r>
    </w:p>
    <w:p>
      <w:pPr>
        <w:spacing w:before="163" w:line="480" w:lineRule="auto"/>
        <w:ind w:left="480" w:hanging="480" w:hangingChars="200"/>
      </w:pPr>
      <w:bookmarkStart w:id="30" w:name="OLE_LINK25"/>
      <w:r>
        <w:t>Baldwin</w:t>
      </w:r>
      <w:bookmarkEnd w:id="30"/>
      <w:r>
        <w:t xml:space="preserve">, J.R., Coleman, R.R.M., González, A. and Shenoy-Packer, S., 2014. </w:t>
      </w:r>
      <w:r>
        <w:rPr>
          <w:i/>
          <w:iCs/>
        </w:rPr>
        <w:t>Intercultural communication for everyday life</w:t>
      </w:r>
      <w:r>
        <w:t>. John Wiley &amp; Sons.</w:t>
      </w:r>
    </w:p>
    <w:p>
      <w:pPr>
        <w:spacing w:before="163" w:line="480" w:lineRule="auto"/>
        <w:ind w:left="480" w:hanging="480" w:hangingChars="200"/>
      </w:pPr>
      <w:r>
        <w:t xml:space="preserve">Bank, K.F.K., 2012. Mendelow's matrix. </w:t>
      </w:r>
      <w:r>
        <w:rPr>
          <w:i/>
          <w:iCs/>
        </w:rPr>
        <w:t>London: Kaplan Financial</w:t>
      </w:r>
      <w:r>
        <w:t>.</w:t>
      </w:r>
    </w:p>
    <w:p>
      <w:pPr>
        <w:spacing w:before="163" w:line="480" w:lineRule="auto"/>
        <w:ind w:left="480" w:hanging="480" w:hangingChars="200"/>
      </w:pPr>
      <w:bookmarkStart w:id="31" w:name="OLE_LINK28"/>
      <w:r>
        <w:rPr>
          <w:lang w:val="nl-NL"/>
        </w:rPr>
        <w:t xml:space="preserve">Beer, M., Voelpel, S.C., Leibold, M. and Tekie, E.B., 2005. </w:t>
      </w:r>
      <w:r>
        <w:t>Strategic management as organizational learning: Developing fit and alignment through a disciplined process. Long Range Planning, 38(5), pp.445-465.</w:t>
      </w:r>
    </w:p>
    <w:p>
      <w:pPr>
        <w:spacing w:before="163" w:line="480" w:lineRule="auto"/>
        <w:ind w:left="480" w:hanging="480" w:hangingChars="200"/>
      </w:pPr>
      <w:r>
        <w:t>Beerel, A., 2009. Leadership and change management. Sage.</w:t>
      </w:r>
    </w:p>
    <w:p>
      <w:pPr>
        <w:spacing w:before="163" w:line="480" w:lineRule="auto"/>
        <w:ind w:left="480" w:hanging="480" w:hangingChars="200"/>
      </w:pPr>
      <w:r>
        <w:t>Bigley, G.A. and Roberts, K.H., 2001. The incident command system: High-reliability organizing for complex and volatile task environments. Academy of Management Journal, 44(6), pp.1281-1299.Burnes,</w:t>
      </w:r>
      <w:bookmarkEnd w:id="31"/>
      <w:r>
        <w:t xml:space="preserve"> B., 2004. Kurt Lewin and the planned approach to change: a re‐appraisal. </w:t>
      </w:r>
      <w:r>
        <w:rPr>
          <w:i/>
          <w:iCs/>
        </w:rPr>
        <w:t>Journal of Management studies</w:t>
      </w:r>
      <w:r>
        <w:t xml:space="preserve">, </w:t>
      </w:r>
      <w:r>
        <w:rPr>
          <w:i/>
          <w:iCs/>
        </w:rPr>
        <w:t>41</w:t>
      </w:r>
      <w:r>
        <w:t>(6), pp.977-1002.</w:t>
      </w:r>
    </w:p>
    <w:p>
      <w:pPr>
        <w:spacing w:before="163" w:line="480" w:lineRule="auto"/>
        <w:ind w:left="480" w:hanging="480" w:hangingChars="200"/>
      </w:pPr>
      <w:bookmarkStart w:id="32" w:name="OLE_LINK33"/>
      <w:r>
        <w:t>Can, Z. and Lanxi,</w:t>
      </w:r>
      <w:bookmarkEnd w:id="32"/>
      <w:r>
        <w:t xml:space="preserve"> L., 2023. Organizational behavior management analysis of attitude (Job dissatisfaction) and communication—Take Wal-Mart as an example. </w:t>
      </w:r>
      <w:r>
        <w:rPr>
          <w:i/>
          <w:iCs/>
        </w:rPr>
        <w:t>Academic Journal of Business &amp; Management</w:t>
      </w:r>
      <w:r>
        <w:t xml:space="preserve">, </w:t>
      </w:r>
      <w:r>
        <w:rPr>
          <w:i/>
          <w:iCs/>
        </w:rPr>
        <w:t>5</w:t>
      </w:r>
      <w:r>
        <w:t>(6).</w:t>
      </w:r>
    </w:p>
    <w:p>
      <w:pPr>
        <w:spacing w:before="163" w:line="480" w:lineRule="auto"/>
        <w:ind w:left="480" w:hanging="480" w:hangingChars="200"/>
      </w:pPr>
      <w:bookmarkStart w:id="33" w:name="OLE_LINK6"/>
      <w:r>
        <w:t xml:space="preserve">Channon, D. F., &amp;Caldart, </w:t>
      </w:r>
      <w:bookmarkEnd w:id="33"/>
      <w:r>
        <w:t xml:space="preserve">A. A. (2015). McKinsey 7S model. </w:t>
      </w:r>
      <w:r>
        <w:rPr>
          <w:i/>
          <w:iCs/>
        </w:rPr>
        <w:t>Wiley encyclopedia of management</w:t>
      </w:r>
      <w:r>
        <w:t>, 1-1.</w:t>
      </w:r>
    </w:p>
    <w:p>
      <w:pPr>
        <w:spacing w:before="163" w:line="480" w:lineRule="auto"/>
        <w:ind w:left="480" w:hanging="480" w:hangingChars="200"/>
      </w:pPr>
      <w:r>
        <w:t xml:space="preserve">Copeland, N. and Labuski, C., 2013. </w:t>
      </w:r>
      <w:r>
        <w:rPr>
          <w:i/>
          <w:iCs/>
        </w:rPr>
        <w:t>The world of Wal-Mart: discounting the american dream</w:t>
      </w:r>
      <w:r>
        <w:t>. Routledge.</w:t>
      </w:r>
    </w:p>
    <w:p>
      <w:pPr>
        <w:spacing w:before="163" w:line="480" w:lineRule="auto"/>
        <w:ind w:left="480" w:hanging="480" w:hangingChars="200"/>
      </w:pPr>
      <w:bookmarkStart w:id="34" w:name="OLE_LINK16"/>
      <w:r>
        <w:t>Ferrell</w:t>
      </w:r>
      <w:bookmarkEnd w:id="34"/>
      <w:r>
        <w:t xml:space="preserve">, W., Ellis, K., Kaminsky, P. and Rainwater, C., 2020. Horizontal collaboration: opportunities for improved logistics planning. </w:t>
      </w:r>
      <w:r>
        <w:rPr>
          <w:i/>
          <w:iCs/>
        </w:rPr>
        <w:t>International Journal of Production Research</w:t>
      </w:r>
      <w:r>
        <w:t xml:space="preserve">, </w:t>
      </w:r>
      <w:r>
        <w:rPr>
          <w:i/>
          <w:iCs/>
        </w:rPr>
        <w:t>58</w:t>
      </w:r>
      <w:r>
        <w:t>(14), pp.4267-4284.</w:t>
      </w:r>
    </w:p>
    <w:p>
      <w:pPr>
        <w:spacing w:before="163" w:line="480" w:lineRule="auto"/>
        <w:ind w:left="480" w:hanging="480" w:hangingChars="200"/>
      </w:pPr>
      <w:bookmarkStart w:id="35" w:name="OLE_LINK27"/>
      <w:r>
        <w:t>Flyvbjerg,</w:t>
      </w:r>
      <w:bookmarkEnd w:id="35"/>
      <w:r>
        <w:t xml:space="preserve"> B., 1998. </w:t>
      </w:r>
      <w:r>
        <w:rPr>
          <w:i/>
          <w:iCs/>
        </w:rPr>
        <w:t>Rationality and power: Democracy in practice</w:t>
      </w:r>
      <w:r>
        <w:t>. University of Chicago press.</w:t>
      </w:r>
    </w:p>
    <w:p>
      <w:pPr>
        <w:spacing w:before="163" w:line="480" w:lineRule="auto"/>
        <w:ind w:left="480" w:hanging="480" w:hangingChars="200"/>
      </w:pPr>
      <w:bookmarkStart w:id="36" w:name="OLE_LINK18"/>
      <w:r>
        <w:t>Har</w:t>
      </w:r>
      <w:bookmarkEnd w:id="36"/>
      <w:r>
        <w:t xml:space="preserve">, L.L., Rashid, U.K., Te Chuan, L., Sen, S.C. and Xia, L.Y., 2022. Revolution of retail industry: from perspective of retail 1.0 to 4.0. </w:t>
      </w:r>
      <w:r>
        <w:rPr>
          <w:i/>
          <w:iCs/>
        </w:rPr>
        <w:t>Procedia Computer Science</w:t>
      </w:r>
      <w:r>
        <w:t xml:space="preserve">, </w:t>
      </w:r>
      <w:r>
        <w:rPr>
          <w:i/>
          <w:iCs/>
        </w:rPr>
        <w:t>200</w:t>
      </w:r>
      <w:r>
        <w:t>, pp.1615-1625.</w:t>
      </w:r>
    </w:p>
    <w:p>
      <w:pPr>
        <w:spacing w:before="163" w:line="480" w:lineRule="auto"/>
        <w:ind w:left="480" w:hanging="480" w:hangingChars="200"/>
      </w:pPr>
      <w:r>
        <w:t xml:space="preserve">Kahn, B.E., 2021. </w:t>
      </w:r>
      <w:r>
        <w:rPr>
          <w:i/>
          <w:iCs/>
        </w:rPr>
        <w:t>The Shopping Revolution, Updated and Expanded Edition: How Retailers Succeed in an Era of Endless Disruption Accelerated by COVID-19</w:t>
      </w:r>
      <w:r>
        <w:t>. University of Pennsylvania Press.</w:t>
      </w:r>
    </w:p>
    <w:p>
      <w:pPr>
        <w:spacing w:before="163" w:line="480" w:lineRule="auto"/>
        <w:ind w:left="480" w:hanging="480" w:hangingChars="200"/>
      </w:pPr>
      <w:r>
        <w:t xml:space="preserve">Lesser, E. and Prusak, L., 1999. Communities of practice, social capital, and organizational knowledge. </w:t>
      </w:r>
      <w:r>
        <w:rPr>
          <w:i/>
          <w:iCs/>
        </w:rPr>
        <w:t>The knowledge management yearbook</w:t>
      </w:r>
      <w:r>
        <w:t>, pp.251-259.</w:t>
      </w:r>
    </w:p>
    <w:p>
      <w:pPr>
        <w:spacing w:before="163" w:line="480" w:lineRule="auto"/>
        <w:ind w:left="480" w:hanging="480" w:hangingChars="200"/>
      </w:pPr>
      <w:r>
        <w:t xml:space="preserve">Lines*, R., 2004. Influence of participation in strategic change: resistance, organizational commitment and change goal achievement. </w:t>
      </w:r>
      <w:r>
        <w:rPr>
          <w:i/>
          <w:iCs/>
        </w:rPr>
        <w:t>Journal of change management</w:t>
      </w:r>
      <w:r>
        <w:t xml:space="preserve">, </w:t>
      </w:r>
      <w:r>
        <w:rPr>
          <w:i/>
          <w:iCs/>
        </w:rPr>
        <w:t>4</w:t>
      </w:r>
      <w:r>
        <w:t>(3), pp.193-215.</w:t>
      </w:r>
    </w:p>
    <w:p>
      <w:pPr>
        <w:spacing w:before="163" w:line="480" w:lineRule="auto"/>
        <w:ind w:left="480" w:hanging="480" w:hangingChars="200"/>
      </w:pPr>
      <w:bookmarkStart w:id="37" w:name="OLE_LINK8"/>
      <w:r>
        <w:t xml:space="preserve">Lobel, O., 2020. We Are All Gig Workers Now: Online Platforms, Freelancers &amp; the Battles over Employment Status &amp; Rights During the Covid-19 Pandemic. </w:t>
      </w:r>
      <w:r>
        <w:rPr>
          <w:i/>
          <w:iCs/>
        </w:rPr>
        <w:t>San Diego L. Rev.</w:t>
      </w:r>
      <w:r>
        <w:t xml:space="preserve">, </w:t>
      </w:r>
      <w:r>
        <w:rPr>
          <w:i/>
          <w:iCs/>
        </w:rPr>
        <w:t>57</w:t>
      </w:r>
      <w:r>
        <w:t>, p.919.</w:t>
      </w:r>
      <w:bookmarkEnd w:id="37"/>
    </w:p>
    <w:p>
      <w:pPr>
        <w:spacing w:before="163" w:line="480" w:lineRule="auto"/>
        <w:ind w:left="480" w:hanging="480" w:hangingChars="200"/>
      </w:pPr>
      <w:bookmarkStart w:id="38" w:name="OLE_LINK30"/>
      <w:r>
        <w:t>Luo,</w:t>
      </w:r>
      <w:bookmarkEnd w:id="38"/>
      <w:r>
        <w:t xml:space="preserve"> Q., 2021. Research on Carrefour China marketing strategy for the new retail era.</w:t>
      </w:r>
    </w:p>
    <w:p>
      <w:pPr>
        <w:spacing w:before="163" w:line="480" w:lineRule="auto"/>
        <w:ind w:left="480" w:hanging="480" w:hangingChars="200"/>
      </w:pPr>
      <w:bookmarkStart w:id="39" w:name="OLE_LINK11"/>
      <w:r>
        <w:t xml:space="preserve">Mann, K.V., 2011. Theoretical perspectives in medical education: past experience and future possibilities. </w:t>
      </w:r>
      <w:r>
        <w:rPr>
          <w:i/>
          <w:iCs/>
        </w:rPr>
        <w:t>Medical education</w:t>
      </w:r>
      <w:r>
        <w:t xml:space="preserve">, </w:t>
      </w:r>
      <w:r>
        <w:rPr>
          <w:i/>
          <w:iCs/>
        </w:rPr>
        <w:t>45</w:t>
      </w:r>
      <w:r>
        <w:t>(1), pp.60-68.</w:t>
      </w:r>
    </w:p>
    <w:p>
      <w:pPr>
        <w:spacing w:before="163" w:line="480" w:lineRule="auto"/>
        <w:ind w:left="480" w:hanging="480" w:hangingChars="200"/>
      </w:pPr>
      <w:r>
        <w:t>Morgan</w:t>
      </w:r>
      <w:bookmarkEnd w:id="39"/>
      <w:r>
        <w:t xml:space="preserve">, G. 2006. </w:t>
      </w:r>
      <w:r>
        <w:rPr>
          <w:i/>
          <w:iCs/>
        </w:rPr>
        <w:t>Images of Organization</w:t>
      </w:r>
      <w:r>
        <w:t xml:space="preserve"> (3rd edn). Thousand Oaks, CA: SAGE.</w:t>
      </w:r>
    </w:p>
    <w:p>
      <w:pPr>
        <w:spacing w:before="163" w:line="480" w:lineRule="auto"/>
        <w:ind w:left="480" w:hanging="480" w:hangingChars="200"/>
      </w:pPr>
      <w:bookmarkStart w:id="40" w:name="OLE_LINK19"/>
      <w:r>
        <w:t xml:space="preserve">Nagle, </w:t>
      </w:r>
      <w:bookmarkEnd w:id="40"/>
      <w:r>
        <w:t xml:space="preserve">J., 2020. </w:t>
      </w:r>
      <w:r>
        <w:rPr>
          <w:i/>
          <w:iCs/>
        </w:rPr>
        <w:t>Working with Tech in Retail</w:t>
      </w:r>
      <w:r>
        <w:t>. The Rosen Publishing Group, Inc.</w:t>
      </w:r>
    </w:p>
    <w:p>
      <w:pPr>
        <w:spacing w:before="163" w:line="480" w:lineRule="auto"/>
        <w:ind w:left="480" w:hanging="480" w:hangingChars="200"/>
      </w:pPr>
      <w:bookmarkStart w:id="41" w:name="OLE_LINK35"/>
      <w:r>
        <w:t xml:space="preserve">Ng’aru, S.W. and Wafula, </w:t>
      </w:r>
      <w:bookmarkEnd w:id="41"/>
      <w:r>
        <w:t xml:space="preserve">M.K., 2015. Factors Influencing the Choice of Huduma Centers’ Services (A Case Study of Mombasa Huduma Centre). </w:t>
      </w:r>
      <w:r>
        <w:rPr>
          <w:i/>
          <w:iCs/>
        </w:rPr>
        <w:t>International Journal of Scientific and Research Publications</w:t>
      </w:r>
      <w:r>
        <w:t xml:space="preserve">, </w:t>
      </w:r>
      <w:r>
        <w:rPr>
          <w:i/>
          <w:iCs/>
        </w:rPr>
        <w:t>5</w:t>
      </w:r>
      <w:r>
        <w:t>(6), pp.1-9.</w:t>
      </w:r>
    </w:p>
    <w:p>
      <w:pPr>
        <w:spacing w:before="163" w:line="480" w:lineRule="auto"/>
        <w:ind w:left="480" w:hanging="480" w:hangingChars="200"/>
      </w:pPr>
      <w:bookmarkStart w:id="42" w:name="OLE_LINK31"/>
      <w:r>
        <w:t>Nuseir,</w:t>
      </w:r>
      <w:bookmarkEnd w:id="42"/>
      <w:r>
        <w:t xml:space="preserve"> M.T., 2021. Potential impacts of blockchain technology on business practices of bricks and mortar (B&amp;M) grocery stores. </w:t>
      </w:r>
      <w:r>
        <w:rPr>
          <w:i/>
          <w:iCs/>
        </w:rPr>
        <w:t>Business Process Management Journal</w:t>
      </w:r>
      <w:r>
        <w:t xml:space="preserve">, </w:t>
      </w:r>
      <w:r>
        <w:rPr>
          <w:i/>
          <w:iCs/>
        </w:rPr>
        <w:t>27</w:t>
      </w:r>
      <w:r>
        <w:t>(4), pp.1256-1274.</w:t>
      </w:r>
      <w:bookmarkStart w:id="43" w:name="OLE_LINK5"/>
      <w:r>
        <w:t xml:space="preserve"> Ortega,</w:t>
      </w:r>
      <w:bookmarkEnd w:id="43"/>
      <w:r>
        <w:t xml:space="preserve"> B., 1999. </w:t>
      </w:r>
      <w:r>
        <w:rPr>
          <w:i/>
          <w:iCs/>
        </w:rPr>
        <w:t>In Sam We Trust: the untold story of Sam Walton and how Wal-Mart is devouring the world</w:t>
      </w:r>
      <w:r>
        <w:t>. Kogan Page Publishers.</w:t>
      </w:r>
    </w:p>
    <w:p>
      <w:pPr>
        <w:spacing w:before="163" w:line="480" w:lineRule="auto"/>
        <w:ind w:left="480" w:hanging="480" w:hangingChars="200"/>
      </w:pPr>
      <w:r>
        <w:t xml:space="preserve">Ortega, B., 1999. </w:t>
      </w:r>
      <w:r>
        <w:rPr>
          <w:i/>
          <w:iCs/>
        </w:rPr>
        <w:t>In Sam We Trust: the untold story of Sam Walton and how Wal-Mart is devouring the world</w:t>
      </w:r>
      <w:r>
        <w:t>. Kogan Page Publishers.</w:t>
      </w:r>
    </w:p>
    <w:p>
      <w:pPr>
        <w:spacing w:before="163" w:line="480" w:lineRule="auto"/>
        <w:ind w:left="480" w:hanging="480" w:hangingChars="200"/>
      </w:pPr>
      <w:bookmarkStart w:id="44" w:name="OLE_LINK21"/>
      <w:r>
        <w:t>Pandey</w:t>
      </w:r>
      <w:bookmarkEnd w:id="44"/>
      <w:r>
        <w:t xml:space="preserve">, R., Dillip, D., Jayant, J., Vashishth, K., Nikhil, N., Qi, T.J., Kee, D.M.H., Mei, T.C., Xin, R.Y.K. and Qhi, L.Y., 2021. Factors Influencing Organization Success: A Case Study of Walmart. </w:t>
      </w:r>
      <w:r>
        <w:rPr>
          <w:i/>
          <w:iCs/>
        </w:rPr>
        <w:t>International Journal of Tourism and Hospitality in Asia Pasific (IJTHAP)</w:t>
      </w:r>
      <w:r>
        <w:t xml:space="preserve">, </w:t>
      </w:r>
      <w:r>
        <w:rPr>
          <w:i/>
          <w:iCs/>
        </w:rPr>
        <w:t>4</w:t>
      </w:r>
      <w:r>
        <w:t>(2), pp.112-123.</w:t>
      </w:r>
    </w:p>
    <w:p>
      <w:pPr>
        <w:spacing w:before="163" w:line="480" w:lineRule="auto"/>
        <w:ind w:left="480" w:hanging="480" w:hangingChars="200"/>
      </w:pPr>
      <w:r>
        <w:t xml:space="preserve">Porter, M., 2015. The competitive advantage of the inner city. In </w:t>
      </w:r>
      <w:r>
        <w:rPr>
          <w:i/>
          <w:iCs/>
        </w:rPr>
        <w:t>The city reader</w:t>
      </w:r>
      <w:r>
        <w:t xml:space="preserve"> (pp. 358-371). Routledge.</w:t>
      </w:r>
    </w:p>
    <w:p>
      <w:pPr>
        <w:spacing w:before="163" w:line="480" w:lineRule="auto"/>
        <w:ind w:left="480" w:hanging="480" w:hangingChars="200"/>
      </w:pPr>
      <w:bookmarkStart w:id="45" w:name="OLE_LINK17"/>
      <w:r>
        <w:t>Romer</w:t>
      </w:r>
      <w:bookmarkEnd w:id="45"/>
      <w:r>
        <w:t xml:space="preserve">, C.D., 2021. The fiscal policy response to the pandemic. </w:t>
      </w:r>
      <w:r>
        <w:rPr>
          <w:i/>
          <w:iCs/>
        </w:rPr>
        <w:t>Brookings Papers on Economic Activity</w:t>
      </w:r>
      <w:r>
        <w:t>, pp.89-110.</w:t>
      </w:r>
    </w:p>
    <w:p>
      <w:pPr>
        <w:spacing w:before="163" w:line="480" w:lineRule="auto"/>
        <w:ind w:left="480" w:hanging="480" w:hangingChars="200"/>
      </w:pPr>
      <w:bookmarkStart w:id="46" w:name="OLE_LINK34"/>
      <w:r>
        <w:t>Roosmalen, M.V. and Hoppenbrouwers,</w:t>
      </w:r>
      <w:bookmarkEnd w:id="46"/>
      <w:r>
        <w:t>S.J.B.A., 2008. Supporting corporate governance with enterprise architecture and business rule management: a synthesis of stability and agility.</w:t>
      </w:r>
    </w:p>
    <w:p>
      <w:pPr>
        <w:spacing w:before="163" w:line="480" w:lineRule="auto"/>
        <w:ind w:left="480" w:hanging="480" w:hangingChars="200"/>
      </w:pPr>
      <w:r>
        <w:t xml:space="preserve">Sazu, M.H. and Jahan, S.A., 2022. Impact of big data analytics on business performance. </w:t>
      </w:r>
      <w:r>
        <w:rPr>
          <w:i/>
          <w:iCs/>
        </w:rPr>
        <w:t>International Research Journal of Modernization in Engineering Technology and Science</w:t>
      </w:r>
      <w:r>
        <w:t xml:space="preserve">, </w:t>
      </w:r>
      <w:r>
        <w:rPr>
          <w:i/>
          <w:iCs/>
        </w:rPr>
        <w:t>4</w:t>
      </w:r>
      <w:r>
        <w:t>(03), pp.367-378.</w:t>
      </w:r>
    </w:p>
    <w:p>
      <w:pPr>
        <w:spacing w:before="163" w:line="480" w:lineRule="auto"/>
        <w:ind w:left="480" w:hanging="480" w:hangingChars="200"/>
      </w:pPr>
      <w:bookmarkStart w:id="47" w:name="OLE_LINK20"/>
      <w:r>
        <w:t>Singh,</w:t>
      </w:r>
      <w:bookmarkEnd w:id="47"/>
      <w:r>
        <w:t xml:space="preserve"> S., 2023. The Ustr Special Report 301: Analyzing Intellectual Property Disputes And Counterfeit Goods In Asian Countries (Working Paper, 2023).</w:t>
      </w:r>
      <w:bookmarkStart w:id="48" w:name="OLE_LINK24"/>
    </w:p>
    <w:p>
      <w:pPr>
        <w:spacing w:before="163" w:line="480" w:lineRule="auto"/>
        <w:ind w:left="480" w:hanging="480" w:hangingChars="200"/>
      </w:pPr>
      <w:r>
        <w:t>Siti‐Nabiha, A.K. and Scapens,</w:t>
      </w:r>
      <w:bookmarkEnd w:id="48"/>
      <w:r>
        <w:t xml:space="preserve"> R.W., 2005. Stability and change: an institutionalist study of management accounting change. </w:t>
      </w:r>
      <w:r>
        <w:rPr>
          <w:i/>
          <w:iCs/>
        </w:rPr>
        <w:t>Accounting, Auditing &amp; Accountability Journal</w:t>
      </w:r>
      <w:r>
        <w:t xml:space="preserve">, </w:t>
      </w:r>
      <w:r>
        <w:rPr>
          <w:i/>
          <w:iCs/>
        </w:rPr>
        <w:t>18</w:t>
      </w:r>
      <w:r>
        <w:t>(1), pp.44-73.</w:t>
      </w:r>
    </w:p>
    <w:p>
      <w:pPr>
        <w:spacing w:before="163" w:line="480" w:lineRule="auto"/>
        <w:ind w:left="480" w:hanging="480" w:hangingChars="200"/>
      </w:pPr>
      <w:bookmarkStart w:id="49" w:name="OLE_LINK36"/>
      <w:r>
        <w:t>Strauss-Wieder</w:t>
      </w:r>
      <w:bookmarkEnd w:id="49"/>
      <w:r>
        <w:t xml:space="preserve">, A., 2023. Evolving with Rapidly Shifting Supply Chains and Freight Systems: The Past, the Present, and the Emerging Future. </w:t>
      </w:r>
      <w:r>
        <w:rPr>
          <w:i/>
          <w:iCs/>
        </w:rPr>
        <w:t>Transportation Research Record</w:t>
      </w:r>
      <w:r>
        <w:t xml:space="preserve">, </w:t>
      </w:r>
      <w:r>
        <w:rPr>
          <w:i/>
          <w:iCs/>
        </w:rPr>
        <w:t>2677</w:t>
      </w:r>
      <w:r>
        <w:t>(2), pp.1-14.</w:t>
      </w:r>
    </w:p>
    <w:p>
      <w:pPr>
        <w:spacing w:before="163" w:line="480" w:lineRule="auto"/>
        <w:ind w:left="480" w:hanging="480" w:hangingChars="200"/>
      </w:pPr>
      <w:bookmarkStart w:id="50" w:name="OLE_LINK32"/>
      <w:r>
        <w:t>Weinstein,</w:t>
      </w:r>
      <w:bookmarkEnd w:id="50"/>
      <w:r>
        <w:t xml:space="preserve"> A.T., Anti, K. and Ochoa, E., 2022. World’s biggest retailer launches Walmart Plus and customers have their say. </w:t>
      </w:r>
      <w:r>
        <w:rPr>
          <w:i/>
          <w:iCs/>
        </w:rPr>
        <w:t>Journal of Business Strategy</w:t>
      </w:r>
      <w:r>
        <w:t xml:space="preserve">, </w:t>
      </w:r>
      <w:r>
        <w:rPr>
          <w:i/>
          <w:iCs/>
        </w:rPr>
        <w:t>43</w:t>
      </w:r>
      <w:r>
        <w:t>(6), pp.381-390.</w:t>
      </w:r>
    </w:p>
    <w:p>
      <w:pPr>
        <w:spacing w:before="163" w:line="480" w:lineRule="auto"/>
        <w:ind w:left="480" w:hanging="480" w:hangingChars="200"/>
      </w:pPr>
      <w:bookmarkStart w:id="51" w:name="OLE_LINK22"/>
      <w:r>
        <w:t>Yang</w:t>
      </w:r>
      <w:bookmarkEnd w:id="51"/>
      <w:r>
        <w:t xml:space="preserve">, H., Ou, J. and Chen, X., 2021. Impact of tariffs and production cost on a multinational firm's incentive for backshoring under competition. </w:t>
      </w:r>
      <w:r>
        <w:rPr>
          <w:i/>
          <w:iCs/>
        </w:rPr>
        <w:t>Omega</w:t>
      </w:r>
      <w:r>
        <w:t xml:space="preserve">, </w:t>
      </w:r>
      <w:r>
        <w:rPr>
          <w:i/>
          <w:iCs/>
        </w:rPr>
        <w:t>105</w:t>
      </w:r>
      <w:r>
        <w:t>, p.102500.</w:t>
      </w:r>
    </w:p>
    <w:p>
      <w:pPr>
        <w:spacing w:before="163" w:line="480" w:lineRule="auto"/>
      </w:pPr>
      <w:r>
        <w:br w:type="page"/>
      </w:r>
    </w:p>
    <w:p>
      <w:pPr>
        <w:pStyle w:val="2"/>
        <w:spacing w:before="163" w:line="480" w:lineRule="auto"/>
      </w:pPr>
      <w:bookmarkStart w:id="52" w:name="_Toc140182193"/>
      <w:r>
        <w:rPr>
          <w:rFonts w:hint="eastAsia"/>
        </w:rPr>
        <w:t>A</w:t>
      </w:r>
      <w:r>
        <w:t>ppendix:</w:t>
      </w:r>
      <w:bookmarkEnd w:id="52"/>
    </w:p>
    <w:p>
      <w:pPr>
        <w:spacing w:before="163" w:line="480" w:lineRule="auto"/>
      </w:pPr>
    </w:p>
    <w:p>
      <w:pPr>
        <w:spacing w:before="163" w:line="480" w:lineRule="auto"/>
      </w:pPr>
      <w:r>
        <w:drawing>
          <wp:inline distT="0" distB="0" distL="0" distR="0">
            <wp:extent cx="5274310" cy="2426970"/>
            <wp:effectExtent l="0" t="0" r="2540" b="0"/>
            <wp:docPr id="1941663773"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1663773" name="图片 1"/>
                    <pic:cNvPicPr>
                      <a:picLocks noChangeAspect="1"/>
                    </pic:cNvPicPr>
                  </pic:nvPicPr>
                  <pic:blipFill>
                    <a:blip r:embed="rId11"/>
                    <a:stretch>
                      <a:fillRect/>
                    </a:stretch>
                  </pic:blipFill>
                  <pic:spPr>
                    <a:xfrm>
                      <a:off x="0" y="0"/>
                      <a:ext cx="5274310" cy="2426970"/>
                    </a:xfrm>
                    <a:prstGeom prst="rect">
                      <a:avLst/>
                    </a:prstGeom>
                  </pic:spPr>
                </pic:pic>
              </a:graphicData>
            </a:graphic>
          </wp:inline>
        </w:drawing>
      </w:r>
    </w:p>
    <w:p>
      <w:pPr>
        <w:pStyle w:val="3"/>
        <w:spacing w:before="163"/>
      </w:pPr>
      <w:r>
        <w:t>Figure 1. McKinsey's 7S model</w:t>
      </w:r>
    </w:p>
    <w:p>
      <w:pPr>
        <w:spacing w:before="163" w:line="480" w:lineRule="auto"/>
        <w:rPr>
          <w:i/>
          <w:iCs/>
        </w:rPr>
      </w:pPr>
      <w:r>
        <w:rPr>
          <w:i/>
          <w:iCs/>
        </w:rPr>
        <w:t>Source: https://www.mindtools.com/aicks4s/the-mckinsey-7-s-framework</w:t>
      </w:r>
    </w:p>
    <w:p>
      <w:pPr>
        <w:spacing w:before="163" w:line="480" w:lineRule="auto"/>
      </w:pPr>
      <w:r>
        <w:drawing>
          <wp:inline distT="0" distB="0" distL="0" distR="0">
            <wp:extent cx="5274310" cy="2891155"/>
            <wp:effectExtent l="0" t="0" r="2540" b="4445"/>
            <wp:docPr id="1222101114"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2101114" name="图片 1"/>
                    <pic:cNvPicPr>
                      <a:picLocks noChangeAspect="1"/>
                    </pic:cNvPicPr>
                  </pic:nvPicPr>
                  <pic:blipFill>
                    <a:blip r:embed="rId12" cstate="print"/>
                    <a:stretch>
                      <a:fillRect/>
                    </a:stretch>
                  </pic:blipFill>
                  <pic:spPr>
                    <a:xfrm>
                      <a:off x="0" y="0"/>
                      <a:ext cx="5274310" cy="2891155"/>
                    </a:xfrm>
                    <a:prstGeom prst="rect">
                      <a:avLst/>
                    </a:prstGeom>
                  </pic:spPr>
                </pic:pic>
              </a:graphicData>
            </a:graphic>
          </wp:inline>
        </w:drawing>
      </w:r>
    </w:p>
    <w:p>
      <w:pPr>
        <w:pStyle w:val="3"/>
        <w:spacing w:before="163"/>
      </w:pPr>
      <w:r>
        <w:t>Figure 2. Gareth Morgan (2006) on 4 organizational metaphors</w:t>
      </w:r>
    </w:p>
    <w:p>
      <w:pPr>
        <w:spacing w:before="163" w:line="480" w:lineRule="auto"/>
        <w:rPr>
          <w:i/>
          <w:iCs/>
        </w:rPr>
      </w:pPr>
      <w:r>
        <w:rPr>
          <w:i/>
          <w:iCs/>
        </w:rPr>
        <w:t>Source</w:t>
      </w:r>
      <w:r>
        <w:rPr>
          <w:rFonts w:hint="eastAsia"/>
          <w:i/>
          <w:iCs/>
        </w:rPr>
        <w:t>:</w:t>
      </w:r>
      <w:r>
        <w:rPr>
          <w:i/>
          <w:iCs/>
        </w:rPr>
        <w:t xml:space="preserve"> class materials</w:t>
      </w:r>
    </w:p>
    <w:p>
      <w:pPr>
        <w:spacing w:before="163" w:line="480" w:lineRule="auto"/>
      </w:pPr>
    </w:p>
    <w:p>
      <w:pPr>
        <w:spacing w:before="163" w:line="480" w:lineRule="auto"/>
      </w:pPr>
      <w:r>
        <w:drawing>
          <wp:inline distT="0" distB="0" distL="0" distR="0">
            <wp:extent cx="5274310" cy="3173730"/>
            <wp:effectExtent l="0" t="0" r="2540" b="7620"/>
            <wp:docPr id="1555484396"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5484396" name="图片 1"/>
                    <pic:cNvPicPr>
                      <a:picLocks noChangeAspect="1"/>
                    </pic:cNvPicPr>
                  </pic:nvPicPr>
                  <pic:blipFill>
                    <a:blip r:embed="rId13"/>
                    <a:stretch>
                      <a:fillRect/>
                    </a:stretch>
                  </pic:blipFill>
                  <pic:spPr>
                    <a:xfrm>
                      <a:off x="0" y="0"/>
                      <a:ext cx="5274310" cy="3173730"/>
                    </a:xfrm>
                    <a:prstGeom prst="rect">
                      <a:avLst/>
                    </a:prstGeom>
                  </pic:spPr>
                </pic:pic>
              </a:graphicData>
            </a:graphic>
          </wp:inline>
        </w:drawing>
      </w:r>
    </w:p>
    <w:p>
      <w:pPr>
        <w:pStyle w:val="3"/>
        <w:spacing w:before="163"/>
      </w:pPr>
      <w:r>
        <w:t>Figure 3. Mendelow's Matrix</w:t>
      </w:r>
    </w:p>
    <w:p>
      <w:pPr>
        <w:spacing w:before="163" w:line="480" w:lineRule="auto"/>
        <w:rPr>
          <w:i/>
          <w:iCs/>
        </w:rPr>
      </w:pPr>
      <w:r>
        <w:rPr>
          <w:i/>
          <w:iCs/>
        </w:rPr>
        <w:t>Source</w:t>
      </w:r>
      <w:r>
        <w:rPr>
          <w:rFonts w:hint="eastAsia"/>
          <w:i/>
          <w:iCs/>
        </w:rPr>
        <w:t>:</w:t>
      </w:r>
      <w:r>
        <w:rPr>
          <w:i/>
          <w:iCs/>
        </w:rPr>
        <w:t xml:space="preserve"> https://www.mbaknol.com/strategic-management/stakeholder-analysis-mendelows-matrix/</w:t>
      </w:r>
    </w:p>
    <w:p>
      <w:pPr>
        <w:spacing w:before="163" w:line="480" w:lineRule="auto"/>
      </w:pPr>
    </w:p>
    <w:p>
      <w:pPr>
        <w:spacing w:before="163" w:line="480" w:lineRule="auto"/>
      </w:pPr>
      <w:r>
        <w:drawing>
          <wp:inline distT="0" distB="0" distL="0" distR="0">
            <wp:extent cx="5274310" cy="3121025"/>
            <wp:effectExtent l="0" t="0" r="2540" b="3175"/>
            <wp:docPr id="1333199378"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3199378" name="图片 1"/>
                    <pic:cNvPicPr>
                      <a:picLocks noChangeAspect="1"/>
                    </pic:cNvPicPr>
                  </pic:nvPicPr>
                  <pic:blipFill>
                    <a:blip r:embed="rId14"/>
                    <a:stretch>
                      <a:fillRect/>
                    </a:stretch>
                  </pic:blipFill>
                  <pic:spPr>
                    <a:xfrm>
                      <a:off x="0" y="0"/>
                      <a:ext cx="5274310" cy="3121025"/>
                    </a:xfrm>
                    <a:prstGeom prst="rect">
                      <a:avLst/>
                    </a:prstGeom>
                  </pic:spPr>
                </pic:pic>
              </a:graphicData>
            </a:graphic>
          </wp:inline>
        </w:drawing>
      </w:r>
    </w:p>
    <w:p>
      <w:pPr>
        <w:pStyle w:val="3"/>
        <w:spacing w:before="163"/>
      </w:pPr>
      <w:r>
        <w:t>Figure 4. Kurt Lewin's Model of Change</w:t>
      </w:r>
    </w:p>
    <w:p>
      <w:pPr>
        <w:spacing w:before="163" w:line="480" w:lineRule="auto"/>
        <w:rPr>
          <w:i/>
          <w:iCs/>
        </w:rPr>
      </w:pPr>
      <w:r>
        <w:rPr>
          <w:i/>
          <w:iCs/>
        </w:rPr>
        <w:t>Source</w:t>
      </w:r>
      <w:r>
        <w:rPr>
          <w:rFonts w:hint="eastAsia"/>
          <w:i/>
          <w:iCs/>
        </w:rPr>
        <w:t>:</w:t>
      </w:r>
      <w:r>
        <w:rPr>
          <w:i/>
          <w:iCs/>
        </w:rPr>
        <w:t xml:space="preserve"> https://www.leadershipcentre.org.uk/artofchangemaking/theory/lewins-model-of-change/</w:t>
      </w:r>
    </w:p>
    <w:p>
      <w:pPr>
        <w:spacing w:before="163" w:line="480" w:lineRule="auto"/>
      </w:pPr>
    </w:p>
    <w:p>
      <w:pPr>
        <w:spacing w:before="163" w:line="480" w:lineRule="auto"/>
      </w:pPr>
      <w:r>
        <w:drawing>
          <wp:inline distT="0" distB="0" distL="0" distR="0">
            <wp:extent cx="5274310" cy="3048635"/>
            <wp:effectExtent l="0" t="0" r="2540" b="0"/>
            <wp:docPr id="868389146"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8389146" name="图片 1"/>
                    <pic:cNvPicPr>
                      <a:picLocks noChangeAspect="1"/>
                    </pic:cNvPicPr>
                  </pic:nvPicPr>
                  <pic:blipFill>
                    <a:blip r:embed="rId15"/>
                    <a:stretch>
                      <a:fillRect/>
                    </a:stretch>
                  </pic:blipFill>
                  <pic:spPr>
                    <a:xfrm>
                      <a:off x="0" y="0"/>
                      <a:ext cx="5274310" cy="3048635"/>
                    </a:xfrm>
                    <a:prstGeom prst="rect">
                      <a:avLst/>
                    </a:prstGeom>
                  </pic:spPr>
                </pic:pic>
              </a:graphicData>
            </a:graphic>
          </wp:inline>
        </w:drawing>
      </w:r>
    </w:p>
    <w:p>
      <w:pPr>
        <w:pStyle w:val="3"/>
        <w:spacing w:before="163"/>
      </w:pPr>
      <w:r>
        <w:t>Figure 5. punctuated equilibrium model</w:t>
      </w:r>
    </w:p>
    <w:p>
      <w:pPr>
        <w:spacing w:before="163" w:line="480" w:lineRule="auto"/>
        <w:rPr>
          <w:i/>
          <w:iCs/>
        </w:rPr>
      </w:pPr>
      <w:r>
        <w:rPr>
          <w:i/>
          <w:iCs/>
        </w:rPr>
        <w:t>Source: https://www.researchgate.net/figure/The-punctuated-equilibrium-model-of-group-development-4_fig2_337964841</w:t>
      </w:r>
    </w:p>
    <w:p>
      <w:pPr>
        <w:spacing w:before="163" w:line="480" w:lineRule="auto"/>
      </w:pPr>
    </w:p>
    <w:p>
      <w:pPr>
        <w:spacing w:before="163" w:line="480" w:lineRule="auto"/>
      </w:pPr>
      <w:r>
        <w:drawing>
          <wp:inline distT="0" distB="0" distL="0" distR="0">
            <wp:extent cx="5274310" cy="2994025"/>
            <wp:effectExtent l="0" t="0" r="2540" b="0"/>
            <wp:docPr id="1747945330"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945330" name="图片 1"/>
                    <pic:cNvPicPr>
                      <a:picLocks noChangeAspect="1"/>
                    </pic:cNvPicPr>
                  </pic:nvPicPr>
                  <pic:blipFill>
                    <a:blip r:embed="rId16"/>
                    <a:stretch>
                      <a:fillRect/>
                    </a:stretch>
                  </pic:blipFill>
                  <pic:spPr>
                    <a:xfrm>
                      <a:off x="0" y="0"/>
                      <a:ext cx="5274310" cy="2994025"/>
                    </a:xfrm>
                    <a:prstGeom prst="rect">
                      <a:avLst/>
                    </a:prstGeom>
                  </pic:spPr>
                </pic:pic>
              </a:graphicData>
            </a:graphic>
          </wp:inline>
        </w:drawing>
      </w:r>
    </w:p>
    <w:p>
      <w:pPr>
        <w:pStyle w:val="3"/>
        <w:spacing w:before="163"/>
      </w:pPr>
      <w:r>
        <w:t>Figure 6. Wal-Mart Supply Chain System</w:t>
      </w:r>
    </w:p>
    <w:p>
      <w:pPr>
        <w:spacing w:before="163" w:line="480" w:lineRule="auto"/>
        <w:rPr>
          <w:i/>
          <w:iCs/>
        </w:rPr>
      </w:pPr>
      <w:r>
        <w:rPr>
          <w:i/>
          <w:iCs/>
        </w:rPr>
        <w:t>Source: https://shaastra.substack.com/p/blockchain-technology-usage-by-walmart</w:t>
      </w:r>
    </w:p>
    <w:p>
      <w:pPr>
        <w:spacing w:before="163" w:line="480" w:lineRule="auto"/>
      </w:pPr>
    </w:p>
    <w:sectPr>
      <w:headerReference r:id="rId6" w:type="first"/>
      <w:footerReference r:id="rId9" w:type="first"/>
      <w:headerReference r:id="rId4" w:type="default"/>
      <w:footerReference r:id="rId7" w:type="default"/>
      <w:headerReference r:id="rId5" w:type="even"/>
      <w:footerReference r:id="rId8" w:type="even"/>
      <w:pgSz w:w="11906" w:h="16838"/>
      <w:pgMar w:top="1440" w:right="1440" w:bottom="1440" w:left="1440" w:header="851" w:footer="992" w:gutter="0"/>
      <w:cols w:space="425" w:num="1"/>
      <w:docGrid w:type="lines" w:linePitch="326"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等线 Light">
    <w:panose1 w:val="02010600030101010101"/>
    <w:charset w:val="86"/>
    <w:family w:val="auto"/>
    <w:pitch w:val="default"/>
    <w:sig w:usb0="A00002BF" w:usb1="38CF7CFA" w:usb2="00000016" w:usb3="00000000" w:csb0="0004000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659218215"/>
      <w:docPartObj>
        <w:docPartGallery w:val="AutoText"/>
      </w:docPartObj>
    </w:sdtPr>
    <w:sdtContent>
      <w:p>
        <w:pPr>
          <w:pStyle w:val="7"/>
          <w:spacing w:before="120"/>
          <w:jc w:val="right"/>
        </w:pPr>
        <w:r>
          <w:fldChar w:fldCharType="begin"/>
        </w:r>
        <w:r>
          <w:instrText xml:space="preserve">PAGE   \* MERGEFORMAT</w:instrText>
        </w:r>
        <w:r>
          <w:fldChar w:fldCharType="separate"/>
        </w:r>
        <w:r>
          <w:rPr>
            <w:lang w:val="zh-CN"/>
          </w:rPr>
          <w:t>28</w:t>
        </w:r>
        <w:r>
          <w:fldChar w:fldCharType="end"/>
        </w:r>
      </w:p>
    </w:sdtContent>
  </w:sdt>
  <w:p>
    <w:pPr>
      <w:pStyle w:val="7"/>
      <w:spacing w:before="12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spacing w:before="120"/>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spacing w:before="12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pPr>
      <w:r>
        <w:separator/>
      </w:r>
    </w:p>
  </w:footnote>
  <w:footnote w:type="continuationSeparator" w:id="1">
    <w:p>
      <w:pPr>
        <w:spacing w:before="0" w:after="0"/>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8"/>
      <w:spacing w:before="120"/>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8"/>
      <w:spacing w:before="120"/>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8"/>
      <w:spacing w:before="12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1"/>
  <w:bordersDoNotSurroundFooter w:val="1"/>
  <w:documentProtection w:enforcement="0"/>
  <w:defaultTabStop w:val="420"/>
  <w:drawingGridHorizontalSpacing w:val="120"/>
  <w:drawingGridVerticalSpacing w:val="163"/>
  <w:displayHorizontalDrawingGridEvery w:val="0"/>
  <w:displayVerticalDrawingGridEvery w:val="2"/>
  <w:characterSpacingControl w:val="compressPunctuation"/>
  <w:footnotePr>
    <w:footnote w:id="0"/>
    <w:footnote w:id="1"/>
  </w:foot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D5DB8"/>
    <w:rsid w:val="0003033C"/>
    <w:rsid w:val="00113AC3"/>
    <w:rsid w:val="00136E9D"/>
    <w:rsid w:val="001B2130"/>
    <w:rsid w:val="003542AF"/>
    <w:rsid w:val="003D26FD"/>
    <w:rsid w:val="0043354D"/>
    <w:rsid w:val="00461168"/>
    <w:rsid w:val="00486606"/>
    <w:rsid w:val="005308E2"/>
    <w:rsid w:val="005E231C"/>
    <w:rsid w:val="006E14C8"/>
    <w:rsid w:val="00703E3B"/>
    <w:rsid w:val="008930D5"/>
    <w:rsid w:val="00A12BF2"/>
    <w:rsid w:val="00A95AF8"/>
    <w:rsid w:val="00B46D9E"/>
    <w:rsid w:val="00C63827"/>
    <w:rsid w:val="00E21DC5"/>
    <w:rsid w:val="00ED5DB8"/>
    <w:rsid w:val="6ECE46BA"/>
  </w:rsids>
  <m:mathPr>
    <m:mathFont m:val="Cambria Math"/>
    <m:brkBin m:val="before"/>
    <m:brkBinSub m:val="--"/>
    <m:smallFrac m:val="1"/>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spacing w:beforeLines="50" w:after="160"/>
      <w:jc w:val="both"/>
    </w:pPr>
    <w:rPr>
      <w:rFonts w:ascii="Times New Roman" w:hAnsi="Times New Roman" w:eastAsia="宋体" w:cstheme="minorBidi"/>
      <w:kern w:val="2"/>
      <w:sz w:val="24"/>
      <w:szCs w:val="22"/>
      <w:lang w:val="en-US" w:eastAsia="zh-CN" w:bidi="ar-SA"/>
    </w:rPr>
  </w:style>
  <w:style w:type="paragraph" w:styleId="2">
    <w:name w:val="heading 1"/>
    <w:basedOn w:val="1"/>
    <w:next w:val="1"/>
    <w:link w:val="15"/>
    <w:qFormat/>
    <w:uiPriority w:val="9"/>
    <w:pPr>
      <w:keepNext/>
      <w:keepLines/>
      <w:widowControl/>
      <w:spacing w:before="240" w:after="120" w:line="360" w:lineRule="auto"/>
      <w:outlineLvl w:val="0"/>
    </w:pPr>
    <w:rPr>
      <w:rFonts w:cs="Times New Roman"/>
      <w:b/>
      <w:bCs/>
      <w:caps/>
      <w:szCs w:val="24"/>
    </w:rPr>
  </w:style>
  <w:style w:type="paragraph" w:styleId="3">
    <w:name w:val="heading 2"/>
    <w:basedOn w:val="1"/>
    <w:next w:val="1"/>
    <w:link w:val="16"/>
    <w:unhideWhenUsed/>
    <w:qFormat/>
    <w:uiPriority w:val="9"/>
    <w:pPr>
      <w:keepNext/>
      <w:keepLines/>
      <w:widowControl/>
      <w:spacing w:before="160" w:after="120" w:line="360" w:lineRule="auto"/>
      <w:outlineLvl w:val="1"/>
    </w:pPr>
    <w:rPr>
      <w:rFonts w:cs="Times New Roman"/>
      <w:b/>
      <w:bCs/>
      <w:szCs w:val="24"/>
    </w:rPr>
  </w:style>
  <w:style w:type="paragraph" w:styleId="4">
    <w:name w:val="heading 3"/>
    <w:basedOn w:val="1"/>
    <w:next w:val="1"/>
    <w:link w:val="18"/>
    <w:unhideWhenUsed/>
    <w:qFormat/>
    <w:uiPriority w:val="9"/>
    <w:pPr>
      <w:keepNext/>
      <w:keepLines/>
      <w:spacing w:after="0"/>
      <w:outlineLvl w:val="2"/>
    </w:pPr>
    <w:rPr>
      <w:b/>
      <w:bCs/>
      <w:i/>
      <w:szCs w:val="32"/>
    </w:rPr>
  </w:style>
  <w:style w:type="character" w:default="1" w:styleId="13">
    <w:name w:val="Default Paragraph Font"/>
    <w:semiHidden/>
    <w:unhideWhenUsed/>
    <w:qFormat/>
    <w:uiPriority w:val="1"/>
  </w:style>
  <w:style w:type="table" w:default="1" w:styleId="12">
    <w:name w:val="Normal Table"/>
    <w:semiHidden/>
    <w:unhideWhenUsed/>
    <w:qFormat/>
    <w:uiPriority w:val="99"/>
    <w:tblPr>
      <w:tblCellMar>
        <w:top w:w="0" w:type="dxa"/>
        <w:left w:w="108" w:type="dxa"/>
        <w:bottom w:w="0" w:type="dxa"/>
        <w:right w:w="108" w:type="dxa"/>
      </w:tblCellMar>
    </w:tblPr>
  </w:style>
  <w:style w:type="paragraph" w:styleId="5">
    <w:name w:val="toc 3"/>
    <w:basedOn w:val="1"/>
    <w:next w:val="1"/>
    <w:unhideWhenUsed/>
    <w:uiPriority w:val="39"/>
    <w:pPr>
      <w:ind w:left="840" w:leftChars="400"/>
    </w:pPr>
  </w:style>
  <w:style w:type="paragraph" w:styleId="6">
    <w:name w:val="Balloon Text"/>
    <w:basedOn w:val="1"/>
    <w:link w:val="22"/>
    <w:semiHidden/>
    <w:unhideWhenUsed/>
    <w:uiPriority w:val="99"/>
    <w:pPr>
      <w:spacing w:after="0"/>
    </w:pPr>
    <w:rPr>
      <w:sz w:val="18"/>
      <w:szCs w:val="18"/>
    </w:rPr>
  </w:style>
  <w:style w:type="paragraph" w:styleId="7">
    <w:name w:val="footer"/>
    <w:basedOn w:val="1"/>
    <w:link w:val="20"/>
    <w:unhideWhenUsed/>
    <w:qFormat/>
    <w:uiPriority w:val="99"/>
    <w:pPr>
      <w:tabs>
        <w:tab w:val="center" w:pos="4153"/>
        <w:tab w:val="right" w:pos="8306"/>
      </w:tabs>
      <w:snapToGrid w:val="0"/>
      <w:jc w:val="left"/>
    </w:pPr>
    <w:rPr>
      <w:sz w:val="18"/>
      <w:szCs w:val="18"/>
    </w:rPr>
  </w:style>
  <w:style w:type="paragraph" w:styleId="8">
    <w:name w:val="header"/>
    <w:basedOn w:val="1"/>
    <w:link w:val="19"/>
    <w:unhideWhenUsed/>
    <w:qFormat/>
    <w:uiPriority w:val="99"/>
    <w:pPr>
      <w:tabs>
        <w:tab w:val="center" w:pos="4153"/>
        <w:tab w:val="right" w:pos="8306"/>
      </w:tabs>
      <w:snapToGrid w:val="0"/>
      <w:jc w:val="center"/>
    </w:pPr>
    <w:rPr>
      <w:sz w:val="18"/>
      <w:szCs w:val="18"/>
    </w:rPr>
  </w:style>
  <w:style w:type="paragraph" w:styleId="9">
    <w:name w:val="toc 1"/>
    <w:basedOn w:val="1"/>
    <w:next w:val="1"/>
    <w:unhideWhenUsed/>
    <w:uiPriority w:val="39"/>
  </w:style>
  <w:style w:type="paragraph" w:styleId="10">
    <w:name w:val="toc 2"/>
    <w:basedOn w:val="1"/>
    <w:next w:val="1"/>
    <w:unhideWhenUsed/>
    <w:uiPriority w:val="39"/>
    <w:pPr>
      <w:ind w:left="420" w:leftChars="200"/>
    </w:pPr>
  </w:style>
  <w:style w:type="paragraph" w:styleId="11">
    <w:name w:val="Title"/>
    <w:basedOn w:val="1"/>
    <w:next w:val="1"/>
    <w:link w:val="17"/>
    <w:qFormat/>
    <w:uiPriority w:val="10"/>
    <w:pPr>
      <w:spacing w:after="0"/>
      <w:jc w:val="center"/>
      <w:outlineLvl w:val="0"/>
    </w:pPr>
    <w:rPr>
      <w:rFonts w:eastAsiaTheme="majorEastAsia" w:cstheme="majorBidi"/>
      <w:b/>
      <w:bCs/>
      <w:szCs w:val="32"/>
    </w:rPr>
  </w:style>
  <w:style w:type="character" w:styleId="14">
    <w:name w:val="Hyperlink"/>
    <w:basedOn w:val="13"/>
    <w:unhideWhenUsed/>
    <w:uiPriority w:val="99"/>
    <w:rPr>
      <w:color w:val="0563C1" w:themeColor="hyperlink"/>
      <w:u w:val="single"/>
    </w:rPr>
  </w:style>
  <w:style w:type="character" w:customStyle="1" w:styleId="15">
    <w:name w:val="标题 1 Char"/>
    <w:basedOn w:val="13"/>
    <w:link w:val="2"/>
    <w:uiPriority w:val="9"/>
    <w:rPr>
      <w:rFonts w:ascii="Times New Roman" w:hAnsi="Times New Roman" w:eastAsia="宋体" w:cs="Times New Roman"/>
      <w:b/>
      <w:bCs/>
      <w:caps/>
      <w:sz w:val="24"/>
      <w:szCs w:val="24"/>
    </w:rPr>
  </w:style>
  <w:style w:type="character" w:customStyle="1" w:styleId="16">
    <w:name w:val="标题 2 Char"/>
    <w:basedOn w:val="13"/>
    <w:link w:val="3"/>
    <w:uiPriority w:val="9"/>
    <w:rPr>
      <w:rFonts w:ascii="Times New Roman" w:hAnsi="Times New Roman" w:eastAsia="宋体" w:cs="Times New Roman"/>
      <w:b/>
      <w:bCs/>
      <w:sz w:val="24"/>
      <w:szCs w:val="24"/>
    </w:rPr>
  </w:style>
  <w:style w:type="character" w:customStyle="1" w:styleId="17">
    <w:name w:val="标题 Char"/>
    <w:basedOn w:val="13"/>
    <w:link w:val="11"/>
    <w:uiPriority w:val="10"/>
    <w:rPr>
      <w:rFonts w:ascii="Times New Roman" w:hAnsi="Times New Roman" w:eastAsiaTheme="majorEastAsia" w:cstheme="majorBidi"/>
      <w:b/>
      <w:bCs/>
      <w:sz w:val="24"/>
      <w:szCs w:val="32"/>
    </w:rPr>
  </w:style>
  <w:style w:type="character" w:customStyle="1" w:styleId="18">
    <w:name w:val="标题 3 Char"/>
    <w:basedOn w:val="13"/>
    <w:link w:val="4"/>
    <w:qFormat/>
    <w:uiPriority w:val="9"/>
    <w:rPr>
      <w:rFonts w:ascii="Times New Roman" w:hAnsi="Times New Roman" w:eastAsia="Times New Roman"/>
      <w:b/>
      <w:bCs/>
      <w:i/>
      <w:sz w:val="24"/>
      <w:szCs w:val="32"/>
    </w:rPr>
  </w:style>
  <w:style w:type="character" w:customStyle="1" w:styleId="19">
    <w:name w:val="页眉 Char"/>
    <w:basedOn w:val="13"/>
    <w:link w:val="8"/>
    <w:qFormat/>
    <w:uiPriority w:val="99"/>
    <w:rPr>
      <w:rFonts w:ascii="Times New Roman" w:hAnsi="Times New Roman" w:eastAsia="宋体"/>
      <w:sz w:val="18"/>
      <w:szCs w:val="18"/>
    </w:rPr>
  </w:style>
  <w:style w:type="character" w:customStyle="1" w:styleId="20">
    <w:name w:val="页脚 Char"/>
    <w:basedOn w:val="13"/>
    <w:link w:val="7"/>
    <w:qFormat/>
    <w:uiPriority w:val="99"/>
    <w:rPr>
      <w:rFonts w:ascii="Times New Roman" w:hAnsi="Times New Roman" w:eastAsia="宋体"/>
      <w:sz w:val="18"/>
      <w:szCs w:val="18"/>
    </w:rPr>
  </w:style>
  <w:style w:type="paragraph" w:customStyle="1" w:styleId="21">
    <w:name w:val="TOC Heading"/>
    <w:basedOn w:val="2"/>
    <w:next w:val="1"/>
    <w:unhideWhenUsed/>
    <w:qFormat/>
    <w:uiPriority w:val="39"/>
    <w:pPr>
      <w:spacing w:beforeLines="0" w:after="0" w:line="259" w:lineRule="auto"/>
      <w:jc w:val="left"/>
      <w:outlineLvl w:val="9"/>
    </w:pPr>
    <w:rPr>
      <w:rFonts w:asciiTheme="majorHAnsi" w:hAnsiTheme="majorHAnsi" w:eastAsiaTheme="majorEastAsia" w:cstheme="majorBidi"/>
      <w:b w:val="0"/>
      <w:bCs w:val="0"/>
      <w:caps w:val="0"/>
      <w:color w:val="2F5496" w:themeColor="accent1" w:themeShade="BF"/>
      <w:kern w:val="0"/>
      <w:sz w:val="32"/>
      <w:szCs w:val="32"/>
    </w:rPr>
  </w:style>
  <w:style w:type="character" w:customStyle="1" w:styleId="22">
    <w:name w:val="批注框文本 Char"/>
    <w:basedOn w:val="13"/>
    <w:link w:val="6"/>
    <w:semiHidden/>
    <w:uiPriority w:val="99"/>
    <w:rPr>
      <w:rFonts w:ascii="Times New Roman" w:hAnsi="Times New Roman" w:eastAsia="宋体"/>
      <w:sz w:val="18"/>
      <w:szCs w:val="18"/>
    </w:rPr>
  </w:style>
</w:styles>
</file>

<file path=word/_rels/document.xml.rels><?xml version="1.0" encoding="UTF-8" standalone="yes"?>
<Relationships xmlns="http://schemas.openxmlformats.org/package/2006/relationships"><Relationship Id="rId9" Type="http://schemas.openxmlformats.org/officeDocument/2006/relationships/footer" Target="footer3.xml"/><Relationship Id="rId8" Type="http://schemas.openxmlformats.org/officeDocument/2006/relationships/footer" Target="footer2.xml"/><Relationship Id="rId7" Type="http://schemas.openxmlformats.org/officeDocument/2006/relationships/footer" Target="footer1.xml"/><Relationship Id="rId6" Type="http://schemas.openxmlformats.org/officeDocument/2006/relationships/header" Target="header3.xml"/><Relationship Id="rId5" Type="http://schemas.openxmlformats.org/officeDocument/2006/relationships/header" Target="header2.xml"/><Relationship Id="rId4" Type="http://schemas.openxmlformats.org/officeDocument/2006/relationships/header" Target="header1.xml"/><Relationship Id="rId3" Type="http://schemas.openxmlformats.org/officeDocument/2006/relationships/footnotes" Target="footnotes.xml"/><Relationship Id="rId2" Type="http://schemas.openxmlformats.org/officeDocument/2006/relationships/settings" Target="settings.xml"/><Relationship Id="rId17" Type="http://schemas.openxmlformats.org/officeDocument/2006/relationships/fontTable" Target="fontTable.xml"/><Relationship Id="rId16" Type="http://schemas.openxmlformats.org/officeDocument/2006/relationships/image" Target="media/image6.png"/><Relationship Id="rId15" Type="http://schemas.openxmlformats.org/officeDocument/2006/relationships/image" Target="media/image5.png"/><Relationship Id="rId14" Type="http://schemas.openxmlformats.org/officeDocument/2006/relationships/image" Target="media/image4.png"/><Relationship Id="rId13" Type="http://schemas.openxmlformats.org/officeDocument/2006/relationships/image" Target="media/image3.png"/><Relationship Id="rId12" Type="http://schemas.openxmlformats.org/officeDocument/2006/relationships/image" Target="media/image2.png"/><Relationship Id="rId11" Type="http://schemas.openxmlformats.org/officeDocument/2006/relationships/image" Target="media/image1.png"/><Relationship Id="rId10" Type="http://schemas.openxmlformats.org/officeDocument/2006/relationships/theme" Target="theme/theme1.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Pages>29</Pages>
  <Words>4660</Words>
  <Characters>27530</Characters>
  <Lines>240</Lines>
  <Paragraphs>67</Paragraphs>
  <TotalTime>11</TotalTime>
  <ScaleCrop>false</ScaleCrop>
  <LinksUpToDate>false</LinksUpToDate>
  <CharactersWithSpaces>32105</CharactersWithSpaces>
  <Application>WPS Office_11.1.0.14309_F1E327BC-269C-435d-A152-05C5408002CA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2023-07-13T15:19:00Z</dcterms:created>
  <dc:creator>Serene</dc:creator>
  <cp:lastModifiedBy>HeisenbergS</cp:lastModifiedBy>
  <dcterms:modified xsi:type="dcterms:W3CDTF">2023-07-15T12:52:03Z</dcterms:modified>
  <cp:revision>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2052-11.1.0.14309</vt:lpwstr>
  </property>
  <property fmtid="{D5CDD505-2E9C-101B-9397-08002B2CF9AE}" pid="3" name="ICV">
    <vt:lpwstr>739FC460B3E04C39AD6BF1A94D2097BE_12</vt:lpwstr>
  </property>
</Properties>
</file>