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47C1FB75" w:rsidR="007D3AD0" w:rsidRDefault="32ADAAF6" w:rsidP="021F216E">
      <w:pPr>
        <w:jc w:val="center"/>
      </w:pPr>
      <w:r>
        <w:rPr>
          <w:noProof/>
          <w:lang w:eastAsia="en-GB"/>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783EA383" w14:textId="77777777" w:rsidR="00F33D91" w:rsidRPr="00AD62A1" w:rsidRDefault="00F33D91" w:rsidP="00F33D91">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Name:</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Alia Farooq</w:t>
      </w:r>
    </w:p>
    <w:p w14:paraId="1613DD37" w14:textId="77777777" w:rsidR="00F33D91" w:rsidRPr="00AD62A1" w:rsidRDefault="00F33D91" w:rsidP="00F33D91">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ID:</w:t>
      </w:r>
      <w:r w:rsidRPr="00AD62A1">
        <w:rPr>
          <w:rFonts w:ascii="Arial" w:eastAsia="Times New Roman" w:hAnsi="Arial" w:cs="Arial"/>
          <w:b/>
          <w:bCs/>
          <w:color w:val="404040"/>
          <w:kern w:val="36"/>
        </w:rPr>
        <w:tab/>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2322737</w:t>
      </w:r>
    </w:p>
    <w:p w14:paraId="131A4DF1" w14:textId="6B2D2AF4"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Module Name:</w:t>
      </w:r>
      <w:r w:rsidRPr="00AD62A1">
        <w:rPr>
          <w:rFonts w:ascii="Arial" w:eastAsia="Times New Roman" w:hAnsi="Arial" w:cs="Arial"/>
          <w:b/>
          <w:bCs/>
          <w:color w:val="404040"/>
          <w:kern w:val="36"/>
        </w:rPr>
        <w:tab/>
      </w:r>
      <w:r>
        <w:rPr>
          <w:rFonts w:ascii="Arial" w:eastAsia="Times New Roman" w:hAnsi="Arial" w:cs="Arial"/>
          <w:b/>
          <w:bCs/>
          <w:color w:val="404040"/>
          <w:kern w:val="36"/>
        </w:rPr>
        <w:t>Change makers Building Your Personal Brand for Sustainable Employment</w:t>
      </w:r>
    </w:p>
    <w:p w14:paraId="732CCA8C" w14:textId="11F3AA5A" w:rsidR="00F33D91" w:rsidRPr="00AD62A1" w:rsidRDefault="00F33D91" w:rsidP="00F33D91">
      <w:pPr>
        <w:spacing w:line="360" w:lineRule="auto"/>
        <w:ind w:left="3600" w:hanging="3600"/>
        <w:jc w:val="both"/>
        <w:rPr>
          <w:rFonts w:ascii="Arial" w:eastAsia="Times New Roman" w:hAnsi="Arial" w:cs="Arial"/>
          <w:b/>
          <w:bCs/>
          <w:color w:val="404040"/>
          <w:kern w:val="36"/>
        </w:rPr>
      </w:pPr>
      <w:r>
        <w:rPr>
          <w:rFonts w:ascii="Arial" w:eastAsia="Times New Roman" w:hAnsi="Arial" w:cs="Arial"/>
          <w:b/>
          <w:bCs/>
          <w:color w:val="404040"/>
          <w:kern w:val="36"/>
        </w:rPr>
        <w:t>Module Code:</w:t>
      </w:r>
      <w:r>
        <w:rPr>
          <w:rFonts w:ascii="Arial" w:eastAsia="Times New Roman" w:hAnsi="Arial" w:cs="Arial"/>
          <w:b/>
          <w:bCs/>
          <w:color w:val="404040"/>
          <w:kern w:val="36"/>
        </w:rPr>
        <w:tab/>
        <w:t>BMHP-5015</w:t>
      </w:r>
    </w:p>
    <w:p w14:paraId="18635F50" w14:textId="77777777"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Assignment:</w:t>
      </w:r>
      <w:r w:rsidRPr="00AD62A1">
        <w:rPr>
          <w:rFonts w:ascii="Arial" w:eastAsia="Times New Roman" w:hAnsi="Arial" w:cs="Arial"/>
          <w:b/>
          <w:bCs/>
          <w:color w:val="404040"/>
          <w:kern w:val="36"/>
        </w:rPr>
        <w:tab/>
        <w:t>Component 1</w:t>
      </w:r>
    </w:p>
    <w:p w14:paraId="374C3CAE" w14:textId="77777777" w:rsidR="00F33D91" w:rsidRPr="00AD62A1" w:rsidRDefault="00F33D91" w:rsidP="00F33D91">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Lecturer Name:</w:t>
      </w:r>
      <w:r w:rsidRPr="00AD62A1">
        <w:rPr>
          <w:rFonts w:ascii="Arial" w:eastAsia="Times New Roman" w:hAnsi="Arial" w:cs="Arial"/>
          <w:b/>
          <w:bCs/>
          <w:color w:val="404040"/>
          <w:kern w:val="36"/>
        </w:rPr>
        <w:tab/>
      </w:r>
      <w:r>
        <w:rPr>
          <w:rFonts w:ascii="Arial" w:eastAsia="Times New Roman" w:hAnsi="Arial" w:cs="Arial"/>
          <w:b/>
          <w:bCs/>
          <w:color w:val="404040"/>
          <w:kern w:val="36"/>
        </w:rPr>
        <w:t xml:space="preserve">Mr. </w:t>
      </w:r>
      <w:proofErr w:type="spellStart"/>
      <w:r>
        <w:rPr>
          <w:rFonts w:ascii="Arial" w:eastAsia="Times New Roman" w:hAnsi="Arial" w:cs="Arial"/>
          <w:b/>
          <w:bCs/>
          <w:color w:val="404040"/>
          <w:kern w:val="36"/>
        </w:rPr>
        <w:t>Rizwan</w:t>
      </w:r>
      <w:proofErr w:type="spellEnd"/>
      <w:r>
        <w:rPr>
          <w:rFonts w:ascii="Arial" w:eastAsia="Times New Roman" w:hAnsi="Arial" w:cs="Arial"/>
          <w:b/>
          <w:bCs/>
          <w:color w:val="404040"/>
          <w:kern w:val="36"/>
        </w:rPr>
        <w:t xml:space="preserve"> </w:t>
      </w:r>
      <w:proofErr w:type="spellStart"/>
      <w:r>
        <w:rPr>
          <w:rFonts w:ascii="Arial" w:eastAsia="Times New Roman" w:hAnsi="Arial" w:cs="Arial"/>
          <w:b/>
          <w:bCs/>
          <w:color w:val="404040"/>
          <w:kern w:val="36"/>
        </w:rPr>
        <w:t>Nadim</w:t>
      </w:r>
      <w:proofErr w:type="spellEnd"/>
    </w:p>
    <w:p w14:paraId="02C0B708" w14:textId="0B0BC1E8" w:rsidR="00F33D91" w:rsidRPr="00AD62A1" w:rsidRDefault="00F33D91" w:rsidP="00F33D91">
      <w:pPr>
        <w:spacing w:line="360" w:lineRule="auto"/>
        <w:jc w:val="both"/>
        <w:rPr>
          <w:rFonts w:ascii="Arial" w:eastAsia="Arial Nova" w:hAnsi="Arial" w:cs="Arial"/>
        </w:rPr>
      </w:pPr>
      <w:r w:rsidRPr="00AD62A1">
        <w:rPr>
          <w:rFonts w:ascii="Arial" w:eastAsia="Times New Roman" w:hAnsi="Arial" w:cs="Arial"/>
          <w:b/>
          <w:bCs/>
          <w:color w:val="404040"/>
          <w:kern w:val="36"/>
        </w:rPr>
        <w:t>Submitted On:</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t>1</w:t>
      </w:r>
      <w:r w:rsidR="00317D60">
        <w:rPr>
          <w:rFonts w:ascii="Arial" w:eastAsia="Times New Roman" w:hAnsi="Arial" w:cs="Arial"/>
          <w:b/>
          <w:bCs/>
          <w:color w:val="404040"/>
          <w:kern w:val="36"/>
        </w:rPr>
        <w:t>8</w:t>
      </w:r>
      <w:r w:rsidRPr="00AD62A1">
        <w:rPr>
          <w:rFonts w:ascii="Arial" w:eastAsia="Times New Roman" w:hAnsi="Arial" w:cs="Arial"/>
          <w:b/>
          <w:bCs/>
          <w:color w:val="404040"/>
          <w:kern w:val="36"/>
        </w:rPr>
        <w:t xml:space="preserve"> </w:t>
      </w:r>
      <w:r>
        <w:rPr>
          <w:rFonts w:ascii="Arial" w:eastAsia="Times New Roman" w:hAnsi="Arial" w:cs="Arial"/>
          <w:b/>
          <w:bCs/>
          <w:color w:val="404040"/>
          <w:kern w:val="36"/>
        </w:rPr>
        <w:t xml:space="preserve">November </w:t>
      </w:r>
      <w:r w:rsidRPr="00AD62A1">
        <w:rPr>
          <w:rFonts w:ascii="Arial" w:eastAsia="Times New Roman" w:hAnsi="Arial" w:cs="Arial"/>
          <w:b/>
          <w:bCs/>
          <w:color w:val="404040"/>
          <w:kern w:val="36"/>
        </w:rPr>
        <w:t>20</w:t>
      </w:r>
      <w:bookmarkStart w:id="0" w:name="_GoBack"/>
      <w:bookmarkEnd w:id="0"/>
      <w:r w:rsidRPr="00AD62A1">
        <w:rPr>
          <w:rFonts w:ascii="Arial" w:eastAsia="Times New Roman" w:hAnsi="Arial" w:cs="Arial"/>
          <w:b/>
          <w:bCs/>
          <w:color w:val="404040"/>
          <w:kern w:val="36"/>
        </w:rPr>
        <w:t>25</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298AF09E" w:rsidR="021F216E" w:rsidRDefault="021F216E" w:rsidP="021F216E">
      <w:pPr>
        <w:jc w:val="center"/>
        <w:rPr>
          <w:rFonts w:ascii="Arial Nova" w:eastAsia="Arial Nova" w:hAnsi="Arial Nova" w:cs="Arial Nova"/>
          <w:sz w:val="72"/>
          <w:szCs w:val="72"/>
        </w:rPr>
      </w:pPr>
    </w:p>
    <w:p w14:paraId="523DAC72" w14:textId="77777777" w:rsidR="00A309A9" w:rsidRDefault="00A309A9"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48CBA279"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783924C5" w14:textId="72BEDB2F" w:rsidR="021F216E" w:rsidRDefault="021F216E" w:rsidP="021F216E">
      <w:pPr>
        <w:rPr>
          <w:rFonts w:ascii="Arial Nova" w:eastAsia="Arial Nova" w:hAnsi="Arial Nova" w:cs="Arial Nova"/>
          <w:i/>
          <w:iCs/>
          <w:color w:val="000000" w:themeColor="text1"/>
        </w:rPr>
      </w:pPr>
    </w:p>
    <w:p w14:paraId="1A97ABF7" w14:textId="5EF36552" w:rsidR="00725931" w:rsidRPr="000F3E87" w:rsidRDefault="000F3E87" w:rsidP="00F33D91">
      <w:pPr>
        <w:spacing w:line="360" w:lineRule="auto"/>
        <w:jc w:val="both"/>
        <w:rPr>
          <w:rFonts w:ascii="Arial" w:eastAsia="Arial Nova" w:hAnsi="Arial" w:cs="Arial"/>
          <w:iCs/>
          <w:color w:val="000000" w:themeColor="text1"/>
          <w:sz w:val="22"/>
        </w:rPr>
      </w:pPr>
      <w:r w:rsidRPr="000F3E87">
        <w:rPr>
          <w:rFonts w:ascii="Arial" w:eastAsia="Arial Nova" w:hAnsi="Arial" w:cs="Arial"/>
          <w:iCs/>
          <w:color w:val="000000" w:themeColor="text1"/>
          <w:sz w:val="22"/>
        </w:rPr>
        <w:t xml:space="preserve">The three areas of my personal brand that I would like to emphasize are professionalism, moral </w:t>
      </w:r>
      <w:r w:rsidR="001944B0" w:rsidRPr="000F3E87">
        <w:rPr>
          <w:rFonts w:ascii="Arial" w:eastAsia="Arial Nova" w:hAnsi="Arial" w:cs="Arial"/>
          <w:iCs/>
          <w:color w:val="000000" w:themeColor="text1"/>
          <w:sz w:val="22"/>
        </w:rPr>
        <w:t>behaviour</w:t>
      </w:r>
      <w:r w:rsidRPr="000F3E87">
        <w:rPr>
          <w:rFonts w:ascii="Arial" w:eastAsia="Arial Nova" w:hAnsi="Arial" w:cs="Arial"/>
          <w:iCs/>
          <w:color w:val="000000" w:themeColor="text1"/>
          <w:sz w:val="22"/>
        </w:rPr>
        <w:t>, and leadership potential in the health and social care industry. I would like to brand myself as a skilled, reliable, and person-</w:t>
      </w:r>
      <w:r w:rsidR="001944B0">
        <w:rPr>
          <w:rFonts w:ascii="Arial" w:eastAsia="Arial Nova" w:hAnsi="Arial" w:cs="Arial"/>
          <w:iCs/>
          <w:color w:val="000000" w:themeColor="text1"/>
          <w:sz w:val="22"/>
        </w:rPr>
        <w:t>cent</w:t>
      </w:r>
      <w:r w:rsidR="001944B0" w:rsidRPr="000F3E87">
        <w:rPr>
          <w:rFonts w:ascii="Arial" w:eastAsia="Arial Nova" w:hAnsi="Arial" w:cs="Arial"/>
          <w:iCs/>
          <w:color w:val="000000" w:themeColor="text1"/>
          <w:sz w:val="22"/>
        </w:rPr>
        <w:t>red</w:t>
      </w:r>
      <w:r w:rsidRPr="000F3E87">
        <w:rPr>
          <w:rFonts w:ascii="Arial" w:eastAsia="Arial Nova" w:hAnsi="Arial" w:cs="Arial"/>
          <w:iCs/>
          <w:color w:val="000000" w:themeColor="text1"/>
          <w:sz w:val="22"/>
        </w:rPr>
        <w:t xml:space="preserve"> care manager. A strong personal brand is important to get a job because it communicates unique qualities to distinguish oneself from other candidates (Cottrell, 2019). To enhance my employability, I need to continue developing critical skills such as communication, time management, emotional intelligence, and decision-making skills, which are often considered essential in care leadership roles</w:t>
      </w:r>
      <w:r w:rsidR="00725931" w:rsidRPr="000F3E87">
        <w:rPr>
          <w:rFonts w:ascii="Arial" w:eastAsia="Arial Nova" w:hAnsi="Arial" w:cs="Arial"/>
          <w:iCs/>
          <w:color w:val="000000" w:themeColor="text1"/>
          <w:sz w:val="22"/>
        </w:rPr>
        <w:t>.</w:t>
      </w:r>
    </w:p>
    <w:p w14:paraId="4CA280ED" w14:textId="4141FCD8" w:rsidR="00725931" w:rsidRPr="000F3E87" w:rsidRDefault="00144F93" w:rsidP="00F33D91">
      <w:pPr>
        <w:spacing w:line="360" w:lineRule="auto"/>
        <w:jc w:val="both"/>
        <w:rPr>
          <w:rFonts w:ascii="Arial" w:eastAsia="Arial Nova" w:hAnsi="Arial" w:cs="Arial"/>
          <w:iCs/>
          <w:color w:val="000000" w:themeColor="text1"/>
          <w:sz w:val="22"/>
        </w:rPr>
      </w:pPr>
      <w:r w:rsidRPr="00144F93">
        <w:rPr>
          <w:rFonts w:ascii="Arial" w:eastAsia="Arial Nova" w:hAnsi="Arial" w:cs="Arial"/>
          <w:iCs/>
          <w:color w:val="000000" w:themeColor="text1"/>
          <w:sz w:val="22"/>
        </w:rPr>
        <w:t xml:space="preserve">According to </w:t>
      </w:r>
      <w:proofErr w:type="spellStart"/>
      <w:r w:rsidRPr="00144F93">
        <w:rPr>
          <w:rFonts w:ascii="Arial" w:eastAsia="Arial Nova" w:hAnsi="Arial" w:cs="Arial"/>
          <w:iCs/>
          <w:color w:val="000000" w:themeColor="text1"/>
          <w:sz w:val="22"/>
        </w:rPr>
        <w:t>Yorke</w:t>
      </w:r>
      <w:proofErr w:type="spellEnd"/>
      <w:r w:rsidRPr="00144F93">
        <w:rPr>
          <w:rFonts w:ascii="Arial" w:eastAsia="Arial Nova" w:hAnsi="Arial" w:cs="Arial"/>
          <w:iCs/>
          <w:color w:val="000000" w:themeColor="text1"/>
          <w:sz w:val="22"/>
        </w:rPr>
        <w:t xml:space="preserve"> (2006), employability is the culmination of knowledge, character traits, and the capacity to consider professional expectations.  Thus, the foundation of developing my brand is ongoing professional development.  I will be able to hone my leadership style and develop resilience—a crucial ability in care management roles—by attending sector training, participating in reflective practice, and getting supervision.  Additionally, increasing digital literacy is essential, especially as electronic health records and digital care planning become industry standards</w:t>
      </w:r>
      <w:r w:rsidR="00725931" w:rsidRPr="000F3E87">
        <w:rPr>
          <w:rFonts w:ascii="Arial" w:eastAsia="Arial Nova" w:hAnsi="Arial" w:cs="Arial"/>
          <w:iCs/>
          <w:color w:val="000000" w:themeColor="text1"/>
          <w:sz w:val="22"/>
        </w:rPr>
        <w:t>.</w:t>
      </w:r>
    </w:p>
    <w:p w14:paraId="1603AB69" w14:textId="4843B809" w:rsidR="021F216E" w:rsidRPr="000F3E87" w:rsidRDefault="00D62B67" w:rsidP="00F33D91">
      <w:pPr>
        <w:spacing w:line="360" w:lineRule="auto"/>
        <w:jc w:val="both"/>
        <w:rPr>
          <w:rFonts w:ascii="Arial" w:eastAsia="Arial Nova" w:hAnsi="Arial" w:cs="Arial"/>
          <w:iCs/>
          <w:color w:val="000000" w:themeColor="text1"/>
          <w:sz w:val="22"/>
        </w:rPr>
      </w:pPr>
      <w:r w:rsidRPr="00D62B67">
        <w:rPr>
          <w:rFonts w:ascii="Arial" w:eastAsia="Arial Nova" w:hAnsi="Arial" w:cs="Arial"/>
          <w:iCs/>
          <w:color w:val="000000" w:themeColor="text1"/>
          <w:sz w:val="22"/>
        </w:rPr>
        <w:t xml:space="preserve">Creating a professional persona that embodies accountability, justice, and high standards is my ultimate goal. In order to accomplish my long-term goal of becoming a successful care manager who improves </w:t>
      </w:r>
      <w:r w:rsidR="00AB7812">
        <w:rPr>
          <w:rFonts w:ascii="Arial" w:eastAsia="Arial Nova" w:hAnsi="Arial" w:cs="Arial"/>
          <w:iCs/>
          <w:color w:val="000000" w:themeColor="text1"/>
          <w:sz w:val="22"/>
        </w:rPr>
        <w:t>organisational</w:t>
      </w:r>
      <w:r w:rsidRPr="00D62B67">
        <w:rPr>
          <w:rFonts w:ascii="Arial" w:eastAsia="Arial Nova" w:hAnsi="Arial" w:cs="Arial"/>
          <w:iCs/>
          <w:color w:val="000000" w:themeColor="text1"/>
          <w:sz w:val="22"/>
        </w:rPr>
        <w:t xml:space="preserve"> culture and service quality by placing an emphasis on competence and continuous development, I</w:t>
      </w:r>
      <w:r>
        <w:rPr>
          <w:rFonts w:ascii="Arial" w:eastAsia="Arial Nova" w:hAnsi="Arial" w:cs="Arial"/>
          <w:iCs/>
          <w:color w:val="000000" w:themeColor="text1"/>
          <w:sz w:val="22"/>
        </w:rPr>
        <w:t xml:space="preserve"> want to build a personal brand</w:t>
      </w:r>
      <w:r w:rsidR="00725931" w:rsidRPr="000F3E87">
        <w:rPr>
          <w:rFonts w:ascii="Arial" w:eastAsia="Arial Nova" w:hAnsi="Arial" w:cs="Arial"/>
          <w:iCs/>
          <w:color w:val="000000" w:themeColor="text1"/>
          <w:sz w:val="22"/>
        </w:rPr>
        <w:t>.</w:t>
      </w:r>
    </w:p>
    <w:p w14:paraId="6CB48DB0" w14:textId="44BB6E91" w:rsidR="021F216E" w:rsidRPr="00F33D91" w:rsidRDefault="021F216E" w:rsidP="00F33D91">
      <w:pPr>
        <w:spacing w:line="360" w:lineRule="auto"/>
        <w:jc w:val="both"/>
        <w:rPr>
          <w:rFonts w:ascii="Arial" w:eastAsia="Arial Nova" w:hAnsi="Arial" w:cs="Arial"/>
          <w:i/>
          <w:iCs/>
          <w:color w:val="000000" w:themeColor="text1"/>
          <w:sz w:val="22"/>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4BE6410A" w:rsidR="021F216E" w:rsidRDefault="021F216E" w:rsidP="021F216E">
      <w:pPr>
        <w:rPr>
          <w:rFonts w:ascii="Arial Nova" w:eastAsia="Arial Nova" w:hAnsi="Arial Nova" w:cs="Arial Nova"/>
          <w:i/>
          <w:iCs/>
          <w:color w:val="000000" w:themeColor="text1"/>
        </w:rPr>
      </w:pPr>
    </w:p>
    <w:p w14:paraId="5B59F9D8" w14:textId="7DABFD84" w:rsidR="00D62B67" w:rsidRDefault="00D62B67" w:rsidP="021F216E">
      <w:pPr>
        <w:rPr>
          <w:rFonts w:ascii="Arial Nova" w:eastAsia="Arial Nova" w:hAnsi="Arial Nova" w:cs="Arial Nova"/>
          <w:i/>
          <w:iCs/>
          <w:color w:val="000000" w:themeColor="text1"/>
        </w:rPr>
      </w:pPr>
    </w:p>
    <w:p w14:paraId="4A299CA0" w14:textId="77777777" w:rsidR="00D62B67" w:rsidRDefault="00D62B67"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137B2F84" w:rsidR="021F216E" w:rsidRPr="006E6679" w:rsidRDefault="006E6679"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Create a map of your own network considering career, support, social and community dimensions. </w:t>
      </w:r>
      <w:proofErr w:type="gramStart"/>
      <w:r>
        <w:rPr>
          <w:rFonts w:ascii="Arial Nova" w:eastAsia="Arial Nova" w:hAnsi="Arial Nova" w:cs="Arial Nova"/>
          <w:i/>
          <w:iCs/>
          <w:color w:val="000000" w:themeColor="text1"/>
        </w:rPr>
        <w:t>Additionally</w:t>
      </w:r>
      <w:proofErr w:type="gramEnd"/>
      <w:r>
        <w:rPr>
          <w:rFonts w:ascii="Arial Nova" w:eastAsia="Arial Nova" w:hAnsi="Arial Nova" w:cs="Arial Nova"/>
          <w:i/>
          <w:iCs/>
          <w:color w:val="000000" w:themeColor="text1"/>
        </w:rPr>
        <w:t xml:space="preserve"> you should provide a supporting rationale explaining and critically assessing this (200 words- 2 referenced sources).</w:t>
      </w:r>
    </w:p>
    <w:p w14:paraId="0FE39BA5" w14:textId="590105E7" w:rsidR="021F216E" w:rsidRDefault="021F216E" w:rsidP="021F216E">
      <w:pPr>
        <w:rPr>
          <w:rFonts w:ascii="Arial Nova" w:eastAsia="Arial Nova" w:hAnsi="Arial Nova" w:cs="Arial Nova"/>
          <w:i/>
          <w:iCs/>
          <w:color w:val="000000" w:themeColor="text1"/>
        </w:rPr>
      </w:pPr>
    </w:p>
    <w:p w14:paraId="53BCAAED" w14:textId="4C9E3EED" w:rsidR="00725931" w:rsidRPr="004836FE" w:rsidRDefault="008E29F4" w:rsidP="00686305">
      <w:pPr>
        <w:spacing w:line="360" w:lineRule="auto"/>
        <w:jc w:val="both"/>
        <w:rPr>
          <w:rFonts w:ascii="Arial" w:eastAsia="Arial Nova" w:hAnsi="Arial" w:cs="Arial"/>
          <w:iCs/>
          <w:color w:val="000000" w:themeColor="text1"/>
          <w:sz w:val="22"/>
          <w:szCs w:val="22"/>
        </w:rPr>
      </w:pPr>
      <w:r w:rsidRPr="004836FE">
        <w:rPr>
          <w:rFonts w:ascii="Arial" w:eastAsia="Arial Nova" w:hAnsi="Arial" w:cs="Arial"/>
          <w:iCs/>
          <w:color w:val="000000" w:themeColor="text1"/>
          <w:sz w:val="22"/>
          <w:szCs w:val="22"/>
        </w:rPr>
        <w:t>My current network consists of bonding, bridging, and connecting social capital, which can be described as a hybrid network. Examples of bonding partnerships include colleagues and other students who offer support and common experiences; bridging relationships include people I have met through various professional contexts, such as guest speakers and health sector professionals; and linking social capital would include fewer ties to top professionals or organisational leaders, which limits my ability to connect social capital, an area for improvement</w:t>
      </w:r>
      <w:r w:rsidR="00725931" w:rsidRPr="004836FE">
        <w:rPr>
          <w:rFonts w:ascii="Arial" w:eastAsia="Arial Nova" w:hAnsi="Arial" w:cs="Arial"/>
          <w:iCs/>
          <w:color w:val="000000" w:themeColor="text1"/>
          <w:sz w:val="22"/>
          <w:szCs w:val="22"/>
        </w:rPr>
        <w:t>.</w:t>
      </w:r>
    </w:p>
    <w:p w14:paraId="07F63931" w14:textId="77777777" w:rsidR="00725931" w:rsidRPr="004836FE" w:rsidRDefault="00725931" w:rsidP="00725931">
      <w:pPr>
        <w:rPr>
          <w:rFonts w:ascii="Arial" w:eastAsia="Arial Nova" w:hAnsi="Arial" w:cs="Arial"/>
          <w:iCs/>
          <w:color w:val="000000" w:themeColor="text1"/>
          <w:sz w:val="22"/>
          <w:szCs w:val="22"/>
        </w:rPr>
      </w:pPr>
    </w:p>
    <w:p w14:paraId="0BFCC048" w14:textId="42232240" w:rsidR="00725931" w:rsidRPr="004836FE" w:rsidRDefault="00686305" w:rsidP="00686305">
      <w:pPr>
        <w:spacing w:line="360" w:lineRule="auto"/>
        <w:jc w:val="both"/>
        <w:rPr>
          <w:rFonts w:ascii="Arial" w:eastAsia="Arial Nova" w:hAnsi="Arial" w:cs="Arial"/>
          <w:iCs/>
          <w:color w:val="000000" w:themeColor="text1"/>
          <w:sz w:val="22"/>
          <w:szCs w:val="22"/>
        </w:rPr>
      </w:pPr>
      <w:r w:rsidRPr="004836FE">
        <w:rPr>
          <w:rFonts w:ascii="Arial" w:eastAsia="Arial Nova" w:hAnsi="Arial" w:cs="Arial"/>
          <w:iCs/>
          <w:color w:val="000000" w:themeColor="text1"/>
          <w:sz w:val="22"/>
          <w:szCs w:val="22"/>
        </w:rPr>
        <w:t xml:space="preserve">Putnam (2000) refers to social capital as networks that provide access to opportunities, resources, and support. While a hybrid network may grant access to multiple viewpoints and expertise, the lack of connecting capital can impede professional advancement. </w:t>
      </w:r>
      <w:r w:rsidR="0056196D" w:rsidRPr="004836FE">
        <w:rPr>
          <w:rFonts w:ascii="Arial" w:eastAsia="Arial Nova" w:hAnsi="Arial" w:cs="Arial"/>
          <w:iCs/>
          <w:color w:val="000000" w:themeColor="text1"/>
          <w:sz w:val="22"/>
          <w:szCs w:val="22"/>
        </w:rPr>
        <w:t>As</w:t>
      </w:r>
      <w:r w:rsidRPr="004836FE">
        <w:rPr>
          <w:rFonts w:ascii="Arial" w:eastAsia="Arial Nova" w:hAnsi="Arial" w:cs="Arial"/>
          <w:iCs/>
          <w:color w:val="000000" w:themeColor="text1"/>
          <w:sz w:val="22"/>
          <w:szCs w:val="22"/>
        </w:rPr>
        <w:t xml:space="preserve"> weak ties are those with people outside of our immediate social circle, </w:t>
      </w:r>
      <w:proofErr w:type="spellStart"/>
      <w:r w:rsidR="004A741C">
        <w:rPr>
          <w:rFonts w:ascii="Arial" w:hAnsi="Arial" w:cs="Arial"/>
          <w:color w:val="333333"/>
          <w:shd w:val="clear" w:color="auto" w:fill="FFFFFF"/>
        </w:rPr>
        <w:t>Krämer</w:t>
      </w:r>
      <w:proofErr w:type="spellEnd"/>
      <w:r w:rsidR="004A741C" w:rsidRPr="004836FE">
        <w:rPr>
          <w:rFonts w:ascii="Arial" w:eastAsia="Arial Nova" w:hAnsi="Arial" w:cs="Arial"/>
          <w:iCs/>
          <w:color w:val="000000" w:themeColor="text1"/>
          <w:sz w:val="22"/>
          <w:szCs w:val="22"/>
        </w:rPr>
        <w:t xml:space="preserve"> </w:t>
      </w:r>
      <w:r w:rsidR="004A741C">
        <w:rPr>
          <w:rFonts w:ascii="Arial" w:eastAsia="Arial Nova" w:hAnsi="Arial" w:cs="Arial"/>
          <w:iCs/>
          <w:color w:val="000000" w:themeColor="text1"/>
          <w:sz w:val="22"/>
          <w:szCs w:val="22"/>
        </w:rPr>
        <w:t xml:space="preserve">et al. </w:t>
      </w:r>
      <w:r w:rsidRPr="004836FE">
        <w:rPr>
          <w:rFonts w:ascii="Arial" w:eastAsia="Arial Nova" w:hAnsi="Arial" w:cs="Arial"/>
          <w:iCs/>
          <w:color w:val="000000" w:themeColor="text1"/>
          <w:sz w:val="22"/>
          <w:szCs w:val="22"/>
        </w:rPr>
        <w:t>(</w:t>
      </w:r>
      <w:r w:rsidR="004A741C">
        <w:rPr>
          <w:rFonts w:ascii="Arial" w:eastAsia="Arial Nova" w:hAnsi="Arial" w:cs="Arial"/>
          <w:iCs/>
          <w:color w:val="000000" w:themeColor="text1"/>
          <w:sz w:val="22"/>
          <w:szCs w:val="22"/>
        </w:rPr>
        <w:t>2021</w:t>
      </w:r>
      <w:r w:rsidRPr="004836FE">
        <w:rPr>
          <w:rFonts w:ascii="Arial" w:eastAsia="Arial Nova" w:hAnsi="Arial" w:cs="Arial"/>
          <w:iCs/>
          <w:color w:val="000000" w:themeColor="text1"/>
          <w:sz w:val="22"/>
          <w:szCs w:val="22"/>
        </w:rPr>
        <w:t xml:space="preserve">) </w:t>
      </w:r>
      <w:r w:rsidR="004A741C">
        <w:rPr>
          <w:rFonts w:ascii="Arial" w:eastAsia="Arial Nova" w:hAnsi="Arial" w:cs="Arial"/>
          <w:iCs/>
          <w:color w:val="000000" w:themeColor="text1"/>
          <w:sz w:val="22"/>
          <w:szCs w:val="22"/>
        </w:rPr>
        <w:t>emphasise</w:t>
      </w:r>
      <w:r w:rsidRPr="004836FE">
        <w:rPr>
          <w:rFonts w:ascii="Arial" w:eastAsia="Arial Nova" w:hAnsi="Arial" w:cs="Arial"/>
          <w:iCs/>
          <w:color w:val="000000" w:themeColor="text1"/>
          <w:sz w:val="22"/>
          <w:szCs w:val="22"/>
        </w:rPr>
        <w:t xml:space="preserve"> their value as doors to new information, apprenticeships, or job referrals.</w:t>
      </w:r>
    </w:p>
    <w:p w14:paraId="7A693576" w14:textId="77777777" w:rsidR="00725931" w:rsidRPr="004836FE" w:rsidRDefault="00725931" w:rsidP="00725931">
      <w:pPr>
        <w:rPr>
          <w:rFonts w:ascii="Arial" w:eastAsia="Arial Nova" w:hAnsi="Arial" w:cs="Arial"/>
          <w:iCs/>
          <w:color w:val="000000" w:themeColor="text1"/>
          <w:sz w:val="22"/>
          <w:szCs w:val="22"/>
        </w:rPr>
      </w:pPr>
    </w:p>
    <w:p w14:paraId="5DD5BF14" w14:textId="6D944015" w:rsidR="021F216E" w:rsidRPr="004836FE" w:rsidRDefault="004836FE" w:rsidP="004836FE">
      <w:pPr>
        <w:spacing w:line="360" w:lineRule="auto"/>
        <w:jc w:val="both"/>
        <w:rPr>
          <w:rFonts w:ascii="Arial" w:eastAsia="Arial Nova" w:hAnsi="Arial" w:cs="Arial"/>
          <w:iCs/>
          <w:color w:val="000000" w:themeColor="text1"/>
          <w:sz w:val="22"/>
          <w:szCs w:val="22"/>
        </w:rPr>
      </w:pPr>
      <w:r>
        <w:rPr>
          <w:rFonts w:ascii="Arial" w:eastAsia="Arial Nova" w:hAnsi="Arial" w:cs="Arial"/>
          <w:iCs/>
          <w:color w:val="000000" w:themeColor="text1"/>
          <w:sz w:val="22"/>
          <w:szCs w:val="22"/>
        </w:rPr>
        <w:t>T</w:t>
      </w:r>
      <w:r w:rsidRPr="004836FE">
        <w:rPr>
          <w:rFonts w:ascii="Arial" w:eastAsia="Arial Nova" w:hAnsi="Arial" w:cs="Arial"/>
          <w:iCs/>
          <w:color w:val="000000" w:themeColor="text1"/>
          <w:sz w:val="22"/>
          <w:szCs w:val="22"/>
        </w:rPr>
        <w:t>o enhance my social capital pertaining to professional connections, it is imperative that I attend industry conferences, engage in networking events, and participate in professional development courses, which will subsequently augment my employability. Establishing relationships with experts in digital care, leaders in safeguarding, and care management professionals would provide valuable insights and mentorship opportunities. My long-term aspiration of assuming the role of a care manager is contingent upon this advancement, as robust networks both within and beyond organizational frameworks are essential for effective professional leadership.</w:t>
      </w: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02BD408E" w:rsidR="021F216E" w:rsidRPr="003D2038" w:rsidRDefault="003D2038"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Write a blog exploring a current topic or issue of your choice within the health and social care sector in the UK. The purpose of this is to inform a specific target audience of your choosing (300 words)</w:t>
      </w:r>
    </w:p>
    <w:p w14:paraId="1422809C" w14:textId="03B10199" w:rsidR="021F216E" w:rsidRDefault="021F216E" w:rsidP="021F216E">
      <w:pPr>
        <w:rPr>
          <w:rFonts w:ascii="Arial Nova" w:eastAsia="Arial Nova" w:hAnsi="Arial Nova" w:cs="Arial Nova"/>
          <w:color w:val="000000" w:themeColor="text1"/>
        </w:rPr>
      </w:pPr>
    </w:p>
    <w:p w14:paraId="2CF7AA8D" w14:textId="599569FC" w:rsidR="00725931" w:rsidRPr="0056196D" w:rsidRDefault="00776991" w:rsidP="00725931">
      <w:pPr>
        <w:rPr>
          <w:rFonts w:ascii="Arial Nova" w:eastAsia="Arial Nova" w:hAnsi="Arial Nova" w:cs="Arial Nova"/>
          <w:b/>
          <w:color w:val="000000" w:themeColor="text1"/>
        </w:rPr>
      </w:pPr>
      <w:r w:rsidRPr="0056196D">
        <w:rPr>
          <w:rFonts w:ascii="Arial Nova" w:eastAsia="Arial Nova" w:hAnsi="Arial Nova" w:cs="Arial Nova"/>
          <w:b/>
          <w:color w:val="000000" w:themeColor="text1"/>
        </w:rPr>
        <w:t>The Significance of Digital Inclusion in Health and Social Care</w:t>
      </w:r>
    </w:p>
    <w:p w14:paraId="7BC5C154" w14:textId="2624FA37" w:rsidR="00725931" w:rsidRPr="00C33FAA" w:rsidRDefault="00C33FAA" w:rsidP="00C33FAA">
      <w:pPr>
        <w:spacing w:line="360" w:lineRule="auto"/>
        <w:jc w:val="both"/>
        <w:rPr>
          <w:rFonts w:ascii="Arial" w:eastAsia="Arial Nova" w:hAnsi="Arial" w:cs="Arial"/>
          <w:color w:val="000000" w:themeColor="text1"/>
        </w:rPr>
      </w:pPr>
      <w:r w:rsidRPr="00C33FAA">
        <w:rPr>
          <w:rFonts w:ascii="Arial" w:eastAsia="Arial Nova" w:hAnsi="Arial" w:cs="Arial"/>
          <w:color w:val="000000" w:themeColor="text1"/>
          <w:sz w:val="22"/>
        </w:rPr>
        <w:t>As health and social care services progressively transition towards digital-first paradigms, the significance of digital inclusion escalates correspondingly. Currently</w:t>
      </w:r>
      <w:r>
        <w:rPr>
          <w:rFonts w:ascii="Arial" w:eastAsia="Arial Nova" w:hAnsi="Arial" w:cs="Arial"/>
          <w:color w:val="000000" w:themeColor="text1"/>
          <w:sz w:val="22"/>
        </w:rPr>
        <w:t>, numerous caregivers are utilis</w:t>
      </w:r>
      <w:r w:rsidRPr="00C33FAA">
        <w:rPr>
          <w:rFonts w:ascii="Arial" w:eastAsia="Arial Nova" w:hAnsi="Arial" w:cs="Arial"/>
          <w:color w:val="000000" w:themeColor="text1"/>
          <w:sz w:val="22"/>
        </w:rPr>
        <w:t xml:space="preserve">ing digital mechanisms for appointment scheduling, online consultations, and electronic care planning. While these innovations enhance operational efficiency, they simultaneously disadvantage individuals lacking internet access or requisite digital competencies. According to </w:t>
      </w:r>
      <w:r w:rsidR="00C940DE" w:rsidRPr="007023F3">
        <w:rPr>
          <w:rFonts w:ascii="Arial" w:hAnsi="Arial" w:cs="Arial"/>
        </w:rPr>
        <w:t>Wilson-</w:t>
      </w:r>
      <w:proofErr w:type="spellStart"/>
      <w:r w:rsidR="00C940DE" w:rsidRPr="007023F3">
        <w:rPr>
          <w:rFonts w:ascii="Arial" w:hAnsi="Arial" w:cs="Arial"/>
        </w:rPr>
        <w:t>Menzfeld</w:t>
      </w:r>
      <w:proofErr w:type="spellEnd"/>
      <w:r w:rsidR="00C940DE" w:rsidRPr="00C33FAA">
        <w:rPr>
          <w:rFonts w:ascii="Arial" w:eastAsia="Arial Nova" w:hAnsi="Arial" w:cs="Arial"/>
          <w:color w:val="000000" w:themeColor="text1"/>
          <w:sz w:val="22"/>
        </w:rPr>
        <w:t xml:space="preserve"> </w:t>
      </w:r>
      <w:r w:rsidR="00C940DE">
        <w:rPr>
          <w:rFonts w:ascii="Arial" w:eastAsia="Arial Nova" w:hAnsi="Arial" w:cs="Arial"/>
          <w:color w:val="000000" w:themeColor="text1"/>
          <w:sz w:val="22"/>
        </w:rPr>
        <w:t>et al. (2024</w:t>
      </w:r>
      <w:r w:rsidRPr="00C33FAA">
        <w:rPr>
          <w:rFonts w:ascii="Arial" w:eastAsia="Arial Nova" w:hAnsi="Arial" w:cs="Arial"/>
          <w:color w:val="000000" w:themeColor="text1"/>
          <w:sz w:val="22"/>
        </w:rPr>
        <w:t>), digital exclusion is intricately linked to broader socioeconomic disparities, particularly affecting individuals with disabilities, economically disadvantaged households, and the elderly population</w:t>
      </w:r>
      <w:r w:rsidR="00725931" w:rsidRPr="00C33FAA">
        <w:rPr>
          <w:rFonts w:ascii="Arial" w:eastAsia="Arial Nova" w:hAnsi="Arial" w:cs="Arial"/>
          <w:color w:val="000000" w:themeColor="text1"/>
          <w:sz w:val="22"/>
        </w:rPr>
        <w:t>.</w:t>
      </w:r>
    </w:p>
    <w:p w14:paraId="6E0BD97B" w14:textId="1F946F89" w:rsidR="00725931" w:rsidRPr="003C7C38" w:rsidRDefault="003C7C38" w:rsidP="003C7C38">
      <w:pPr>
        <w:spacing w:line="360" w:lineRule="auto"/>
        <w:jc w:val="both"/>
        <w:rPr>
          <w:rFonts w:ascii="Arial" w:eastAsia="Arial Nova" w:hAnsi="Arial" w:cs="Arial"/>
          <w:color w:val="000000" w:themeColor="text1"/>
          <w:sz w:val="22"/>
          <w:szCs w:val="22"/>
        </w:rPr>
      </w:pPr>
      <w:r w:rsidRPr="003C7C38">
        <w:rPr>
          <w:rFonts w:ascii="Arial" w:eastAsia="Arial Nova" w:hAnsi="Arial" w:cs="Arial"/>
          <w:color w:val="000000" w:themeColor="text1"/>
          <w:sz w:val="22"/>
          <w:szCs w:val="22"/>
        </w:rPr>
        <w:t>Digital inclusion guarantees the acquisition of knowledge, confidence, and resources requisite for engaging with digital healthcare systems. In its absence, individuals may encounter significant challenges in managing their health information, accessing essential medical treatments, or effectively communicating with healthcare professionals. Research conduct</w:t>
      </w:r>
      <w:r w:rsidR="002E5B05">
        <w:rPr>
          <w:rFonts w:ascii="Arial" w:eastAsia="Arial Nova" w:hAnsi="Arial" w:cs="Arial"/>
          <w:color w:val="000000" w:themeColor="text1"/>
          <w:sz w:val="22"/>
          <w:szCs w:val="22"/>
        </w:rPr>
        <w:t xml:space="preserve">ed by </w:t>
      </w:r>
      <w:proofErr w:type="spellStart"/>
      <w:r w:rsidR="002E5B05">
        <w:rPr>
          <w:rFonts w:ascii="Arial" w:eastAsia="Arial Nova" w:hAnsi="Arial" w:cs="Arial"/>
          <w:color w:val="000000" w:themeColor="text1"/>
          <w:sz w:val="22"/>
          <w:szCs w:val="22"/>
        </w:rPr>
        <w:t>Helsper</w:t>
      </w:r>
      <w:proofErr w:type="spellEnd"/>
      <w:r w:rsidR="002E5B05">
        <w:rPr>
          <w:rFonts w:ascii="Arial" w:eastAsia="Arial Nova" w:hAnsi="Arial" w:cs="Arial"/>
          <w:color w:val="000000" w:themeColor="text1"/>
          <w:sz w:val="22"/>
          <w:szCs w:val="22"/>
        </w:rPr>
        <w:t xml:space="preserve"> and </w:t>
      </w:r>
      <w:proofErr w:type="spellStart"/>
      <w:r w:rsidR="002E5B05">
        <w:rPr>
          <w:rFonts w:ascii="Arial" w:eastAsia="Arial Nova" w:hAnsi="Arial" w:cs="Arial"/>
          <w:color w:val="000000" w:themeColor="text1"/>
          <w:sz w:val="22"/>
          <w:szCs w:val="22"/>
        </w:rPr>
        <w:t>Reisdorf</w:t>
      </w:r>
      <w:proofErr w:type="spellEnd"/>
      <w:r w:rsidR="002E5B05">
        <w:rPr>
          <w:rFonts w:ascii="Arial" w:eastAsia="Arial Nova" w:hAnsi="Arial" w:cs="Arial"/>
          <w:color w:val="000000" w:themeColor="text1"/>
          <w:sz w:val="22"/>
          <w:szCs w:val="22"/>
        </w:rPr>
        <w:t xml:space="preserve"> (2016</w:t>
      </w:r>
      <w:r w:rsidRPr="003C7C38">
        <w:rPr>
          <w:rFonts w:ascii="Arial" w:eastAsia="Arial Nova" w:hAnsi="Arial" w:cs="Arial"/>
          <w:color w:val="000000" w:themeColor="text1"/>
          <w:sz w:val="22"/>
          <w:szCs w:val="22"/>
        </w:rPr>
        <w:t>) indicates that socioeconomic inequalities manifest in digital disadvantage, suggesting that individuals already experiencing socio-economic deprivation are more predisposed to face additional barriers in their pursuit of digital health resources</w:t>
      </w:r>
      <w:r w:rsidR="00725931" w:rsidRPr="003C7C38">
        <w:rPr>
          <w:rFonts w:ascii="Arial" w:eastAsia="Arial Nova" w:hAnsi="Arial" w:cs="Arial"/>
          <w:color w:val="000000" w:themeColor="text1"/>
          <w:sz w:val="22"/>
          <w:szCs w:val="22"/>
        </w:rPr>
        <w:t>.</w:t>
      </w:r>
    </w:p>
    <w:p w14:paraId="5381D446" w14:textId="77777777" w:rsidR="00E90FA1" w:rsidRPr="00E90FA1" w:rsidRDefault="00E90FA1" w:rsidP="00E90FA1">
      <w:pPr>
        <w:spacing w:line="360" w:lineRule="auto"/>
        <w:jc w:val="both"/>
        <w:rPr>
          <w:rFonts w:ascii="Arial" w:eastAsia="Arial Nova" w:hAnsi="Arial" w:cs="Arial"/>
          <w:color w:val="000000" w:themeColor="text1"/>
          <w:sz w:val="22"/>
          <w:szCs w:val="22"/>
        </w:rPr>
      </w:pPr>
      <w:r w:rsidRPr="00E90FA1">
        <w:rPr>
          <w:rFonts w:ascii="Arial" w:eastAsia="Arial Nova" w:hAnsi="Arial" w:cs="Arial"/>
          <w:color w:val="000000" w:themeColor="text1"/>
          <w:sz w:val="22"/>
          <w:szCs w:val="22"/>
        </w:rPr>
        <w:t>Comprehending the concept of digital inclusion is imperative for individuals engaged in the health and social care domains, particularly for those aspiring to assume managerial roles in care. This notion has a direct influence on the accessibility, safety, and overall quality of care provided. Care services must ensure that individuals possessing limited digital literacy are not marginalized in their engagement with digital tools such as electronic care planning systems. The mitigation of inequality necessitates the development of accessible frameworks, the enhancement of digital competencies, and the provision of non-digital alternatives.</w:t>
      </w:r>
    </w:p>
    <w:p w14:paraId="6E711477" w14:textId="097EF346" w:rsidR="021F216E" w:rsidRPr="00E90FA1" w:rsidRDefault="00E90FA1" w:rsidP="00E90FA1">
      <w:pPr>
        <w:spacing w:line="360" w:lineRule="auto"/>
        <w:jc w:val="both"/>
        <w:rPr>
          <w:rFonts w:ascii="Arial" w:eastAsia="Arial Nova" w:hAnsi="Arial" w:cs="Arial"/>
          <w:color w:val="000000" w:themeColor="text1"/>
          <w:sz w:val="22"/>
          <w:szCs w:val="22"/>
        </w:rPr>
      </w:pPr>
      <w:r w:rsidRPr="00E90FA1">
        <w:rPr>
          <w:rFonts w:ascii="Arial" w:eastAsia="Arial Nova" w:hAnsi="Arial" w:cs="Arial"/>
          <w:color w:val="000000" w:themeColor="text1"/>
          <w:sz w:val="22"/>
          <w:szCs w:val="22"/>
        </w:rPr>
        <w:t>Digital inclusion embodies both an ethical and organizational responsibility, in addition to being a technological challenge. Facilitating equitable access to digital health resources fosters positive health outcomes and emphasizes the significance of person-centred care.</w:t>
      </w: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332C612F" w14:textId="77777777" w:rsidR="00725931" w:rsidRDefault="00725931" w:rsidP="0074551A">
      <w:pPr>
        <w:pStyle w:val="ListParagraph"/>
        <w:spacing w:before="100" w:beforeAutospacing="1" w:after="100" w:afterAutospacing="1" w:line="240" w:lineRule="auto"/>
        <w:rPr>
          <w:rFonts w:asciiTheme="minorBidi" w:eastAsia="Times New Roman" w:hAnsiTheme="minorBidi"/>
        </w:rPr>
      </w:pPr>
    </w:p>
    <w:p w14:paraId="09D502EC" w14:textId="1768DC95" w:rsidR="0074551A" w:rsidRDefault="00C1361D" w:rsidP="00C1361D">
      <w:pPr>
        <w:pStyle w:val="ListParagraph"/>
        <w:spacing w:before="100" w:beforeAutospacing="1" w:after="100" w:afterAutospacing="1" w:line="360" w:lineRule="auto"/>
        <w:jc w:val="both"/>
        <w:rPr>
          <w:rFonts w:asciiTheme="minorBidi" w:eastAsia="Times New Roman" w:hAnsiTheme="minorBidi"/>
        </w:rPr>
      </w:pPr>
      <w:r w:rsidRPr="00C1361D">
        <w:rPr>
          <w:rFonts w:asciiTheme="minorBidi" w:eastAsia="Times New Roman" w:hAnsiTheme="minorBidi"/>
        </w:rPr>
        <w:t>The main priority of the NHS EDI Improvement Plan is to create a fair, inclusive environment where all staff are treated and given equal opportunities.</w:t>
      </w:r>
    </w:p>
    <w:p w14:paraId="17762088" w14:textId="77777777" w:rsidR="0074551A" w:rsidRPr="007C3164" w:rsidRDefault="0074551A" w:rsidP="00C1361D">
      <w:pPr>
        <w:spacing w:before="100" w:beforeAutospacing="1" w:after="100" w:afterAutospacing="1" w:line="240" w:lineRule="auto"/>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50FDA3EB" w:rsidR="0074551A" w:rsidRPr="00186C85" w:rsidRDefault="00C1361D" w:rsidP="00C1361D">
      <w:pPr>
        <w:spacing w:before="100" w:beforeAutospacing="1" w:after="100" w:afterAutospacing="1" w:line="360" w:lineRule="auto"/>
        <w:ind w:left="720"/>
        <w:jc w:val="both"/>
        <w:rPr>
          <w:rFonts w:asciiTheme="minorBidi" w:eastAsia="Times New Roman" w:hAnsiTheme="minorBidi"/>
        </w:rPr>
      </w:pPr>
      <w:r w:rsidRPr="00C1361D">
        <w:rPr>
          <w:rFonts w:asciiTheme="minorBidi" w:eastAsia="Times New Roman" w:hAnsiTheme="minorBidi"/>
        </w:rPr>
        <w:t>The method enhances equal opportunities for promotion and transparency to reduce the gap in wages between women and men.</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D82C9F0" w14:textId="63DD7975" w:rsidR="0074551A" w:rsidRPr="00186C85" w:rsidRDefault="005167E3" w:rsidP="005167E3">
      <w:pPr>
        <w:spacing w:before="100" w:beforeAutospacing="1" w:after="100" w:afterAutospacing="1" w:line="360" w:lineRule="auto"/>
        <w:ind w:left="720"/>
        <w:jc w:val="both"/>
        <w:rPr>
          <w:rFonts w:asciiTheme="minorBidi" w:eastAsia="Times New Roman" w:hAnsiTheme="minorBidi"/>
        </w:rPr>
      </w:pPr>
      <w:r w:rsidRPr="005167E3">
        <w:rPr>
          <w:rFonts w:asciiTheme="minorBidi" w:eastAsia="Times New Roman" w:hAnsiTheme="minorBidi"/>
        </w:rPr>
        <w:t>The term "intersectionality" defines the way that overlapping identities produce unique experiences of</w:t>
      </w:r>
      <w:r>
        <w:rPr>
          <w:rFonts w:asciiTheme="minorBidi" w:eastAsia="Times New Roman" w:hAnsiTheme="minorBidi"/>
        </w:rPr>
        <w:t xml:space="preserve"> discrimination or disadvantage</w:t>
      </w:r>
      <w:r w:rsidR="00725931" w:rsidRPr="00725931">
        <w:rPr>
          <w:rFonts w:asciiTheme="minorBidi" w:eastAsia="Times New Roman" w:hAnsiTheme="minorBidi"/>
        </w:rPr>
        <w:t>.</w:t>
      </w: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6C1F7986"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0E85E7F1" w14:textId="16753591" w:rsidR="00725931" w:rsidRPr="007C3164" w:rsidRDefault="005167E3" w:rsidP="005167E3">
      <w:pPr>
        <w:pStyle w:val="ListParagraph"/>
        <w:spacing w:before="100" w:beforeAutospacing="1" w:after="100" w:afterAutospacing="1" w:line="360" w:lineRule="auto"/>
        <w:jc w:val="both"/>
        <w:rPr>
          <w:rFonts w:asciiTheme="minorBidi" w:eastAsia="Times New Roman" w:hAnsiTheme="minorBidi"/>
        </w:rPr>
      </w:pPr>
      <w:r w:rsidRPr="005167E3">
        <w:rPr>
          <w:rFonts w:ascii="Arial" w:eastAsia="Times New Roman" w:hAnsi="Arial" w:cs="Arial"/>
          <w:sz w:val="22"/>
          <w:szCs w:val="22"/>
        </w:rPr>
        <w:t xml:space="preserve">Psychological safety provides an avenue where employees can feel comfortable </w:t>
      </w:r>
      <w:r>
        <w:rPr>
          <w:rFonts w:ascii="Arial" w:eastAsia="Times New Roman" w:hAnsi="Arial" w:cs="Arial"/>
          <w:sz w:val="22"/>
          <w:szCs w:val="22"/>
        </w:rPr>
        <w:t>speaking</w:t>
      </w:r>
      <w:r w:rsidRPr="005167E3">
        <w:rPr>
          <w:rFonts w:ascii="Arial" w:eastAsia="Times New Roman" w:hAnsi="Arial" w:cs="Arial"/>
          <w:sz w:val="22"/>
          <w:szCs w:val="22"/>
        </w:rPr>
        <w:t xml:space="preserve"> out, </w:t>
      </w:r>
      <w:r>
        <w:rPr>
          <w:rFonts w:ascii="Arial" w:eastAsia="Times New Roman" w:hAnsi="Arial" w:cs="Arial"/>
          <w:sz w:val="22"/>
          <w:szCs w:val="22"/>
        </w:rPr>
        <w:t>voicing</w:t>
      </w:r>
      <w:r w:rsidRPr="005167E3">
        <w:rPr>
          <w:rFonts w:ascii="Arial" w:eastAsia="Times New Roman" w:hAnsi="Arial" w:cs="Arial"/>
          <w:sz w:val="22"/>
          <w:szCs w:val="22"/>
        </w:rPr>
        <w:t xml:space="preserve"> issues, and </w:t>
      </w:r>
      <w:r>
        <w:rPr>
          <w:rFonts w:ascii="Arial" w:eastAsia="Times New Roman" w:hAnsi="Arial" w:cs="Arial"/>
          <w:sz w:val="22"/>
          <w:szCs w:val="22"/>
        </w:rPr>
        <w:t>performing</w:t>
      </w:r>
      <w:r w:rsidRPr="005167E3">
        <w:rPr>
          <w:rFonts w:ascii="Arial" w:eastAsia="Times New Roman" w:hAnsi="Arial" w:cs="Arial"/>
          <w:sz w:val="22"/>
          <w:szCs w:val="22"/>
        </w:rPr>
        <w:t xml:space="preserve"> their duties with efficiency</w:t>
      </w:r>
      <w:r w:rsidRPr="005167E3">
        <w:rPr>
          <w:rFonts w:asciiTheme="minorBidi" w:eastAsia="Times New Roman" w:hAnsiTheme="minorBidi"/>
        </w:rPr>
        <w:t>.</w:t>
      </w: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18B42797" w:rsidR="0074551A" w:rsidRPr="00002D7E" w:rsidRDefault="00002D7E" w:rsidP="00002D7E">
      <w:pPr>
        <w:pStyle w:val="ListParagraph"/>
        <w:spacing w:before="100" w:beforeAutospacing="1" w:after="100" w:afterAutospacing="1" w:line="360" w:lineRule="auto"/>
        <w:jc w:val="both"/>
        <w:rPr>
          <w:rFonts w:ascii="Arial" w:eastAsia="Times New Roman" w:hAnsi="Arial" w:cs="Arial"/>
        </w:rPr>
      </w:pPr>
      <w:r w:rsidRPr="00002D7E">
        <w:rPr>
          <w:rFonts w:ascii="Arial" w:eastAsia="Times New Roman" w:hAnsi="Arial" w:cs="Arial"/>
        </w:rPr>
        <w:lastRenderedPageBreak/>
        <w:t>Various initiatives, such as fair treatment, better introduction, and assistance in cultural adjustment, provide support for employees hired from outside.</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19CB2D31" w:rsidR="0074551A" w:rsidRPr="00002D7E" w:rsidRDefault="00002D7E" w:rsidP="00002D7E">
      <w:pPr>
        <w:pStyle w:val="ListParagraph"/>
        <w:spacing w:before="100" w:beforeAutospacing="1" w:after="100" w:afterAutospacing="1" w:line="360" w:lineRule="auto"/>
        <w:jc w:val="both"/>
        <w:rPr>
          <w:rFonts w:ascii="Arial" w:eastAsia="Times New Roman" w:hAnsi="Arial" w:cs="Arial"/>
        </w:rPr>
      </w:pPr>
      <w:r w:rsidRPr="00002D7E">
        <w:rPr>
          <w:rFonts w:ascii="Arial" w:eastAsia="Times New Roman" w:hAnsi="Arial" w:cs="Arial"/>
        </w:rPr>
        <w:t>Leadership is needed to ensure accountability for EDI results and to model inclusive practices.</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6E2CDBD5" w:rsidR="0074551A" w:rsidRPr="00733709" w:rsidRDefault="00002D7E" w:rsidP="00002D7E">
      <w:pPr>
        <w:pStyle w:val="ListParagraph"/>
        <w:spacing w:before="100" w:beforeAutospacing="1" w:after="100" w:afterAutospacing="1" w:line="360" w:lineRule="auto"/>
        <w:jc w:val="both"/>
        <w:rPr>
          <w:rFonts w:ascii="Arial" w:eastAsia="Times New Roman" w:hAnsi="Arial" w:cs="Arial"/>
          <w:sz w:val="22"/>
          <w:szCs w:val="22"/>
        </w:rPr>
      </w:pPr>
      <w:r w:rsidRPr="00733709">
        <w:rPr>
          <w:rFonts w:ascii="Arial" w:eastAsia="Times New Roman" w:hAnsi="Arial" w:cs="Arial"/>
          <w:sz w:val="22"/>
          <w:szCs w:val="22"/>
        </w:rPr>
        <w:t>One possible strategy for reducing inequity involves addressing differences in staff experience across protected characteristics</w:t>
      </w:r>
      <w:r w:rsidR="00725931" w:rsidRPr="00733709">
        <w:rPr>
          <w:rFonts w:ascii="Arial" w:eastAsia="Times New Roman" w:hAnsi="Arial" w:cs="Arial"/>
          <w:sz w:val="22"/>
          <w:szCs w:val="22"/>
        </w:rPr>
        <w:t>.</w:t>
      </w:r>
    </w:p>
    <w:p w14:paraId="338C5ABA" w14:textId="77777777" w:rsidR="0074551A" w:rsidRPr="007C3164" w:rsidRDefault="0074551A" w:rsidP="00725931">
      <w:pPr>
        <w:spacing w:before="100" w:beforeAutospacing="1" w:after="100" w:afterAutospacing="1" w:line="240" w:lineRule="auto"/>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475F66D6" w:rsidR="0074551A" w:rsidRPr="00733709" w:rsidRDefault="00733709" w:rsidP="00733709">
      <w:pPr>
        <w:pStyle w:val="ListParagraph"/>
        <w:spacing w:before="100" w:beforeAutospacing="1" w:after="100" w:afterAutospacing="1" w:line="360" w:lineRule="auto"/>
        <w:jc w:val="both"/>
        <w:rPr>
          <w:rFonts w:ascii="Arial" w:eastAsia="Times New Roman" w:hAnsi="Arial" w:cs="Arial"/>
          <w:sz w:val="22"/>
          <w:szCs w:val="22"/>
        </w:rPr>
      </w:pPr>
      <w:r w:rsidRPr="00733709">
        <w:rPr>
          <w:rFonts w:ascii="Arial" w:eastAsia="Times New Roman" w:hAnsi="Arial" w:cs="Arial"/>
          <w:sz w:val="22"/>
          <w:szCs w:val="22"/>
        </w:rPr>
        <w:t>Information on protected characteristics can be collected in order to monitor inequity, identify trends, and inform specific action.</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3523F8D0"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67A005F" w14:textId="34192FA0" w:rsidR="0074551A" w:rsidRDefault="00912CBB" w:rsidP="00912CBB">
      <w:pPr>
        <w:pStyle w:val="ListParagraph"/>
        <w:spacing w:before="100" w:beforeAutospacing="1" w:after="100" w:afterAutospacing="1" w:line="360" w:lineRule="auto"/>
        <w:jc w:val="both"/>
        <w:rPr>
          <w:rFonts w:ascii="Arial" w:eastAsia="Times New Roman" w:hAnsi="Arial" w:cs="Arial"/>
          <w:sz w:val="22"/>
        </w:rPr>
      </w:pPr>
      <w:r w:rsidRPr="00912CBB">
        <w:rPr>
          <w:rFonts w:ascii="Arial" w:eastAsia="Times New Roman" w:hAnsi="Arial" w:cs="Arial"/>
          <w:sz w:val="22"/>
        </w:rPr>
        <w:t>Flexibility in the workplace fosters inclusivity by enabling workers with a variety of needs to participate fully</w:t>
      </w:r>
      <w:r w:rsidR="00725931" w:rsidRPr="00912CBB">
        <w:rPr>
          <w:rFonts w:ascii="Arial" w:eastAsia="Times New Roman" w:hAnsi="Arial" w:cs="Arial"/>
          <w:sz w:val="22"/>
        </w:rPr>
        <w:t>.</w:t>
      </w:r>
    </w:p>
    <w:p w14:paraId="4544D581" w14:textId="77777777" w:rsidR="00912CBB" w:rsidRPr="00912CBB" w:rsidRDefault="00912CBB" w:rsidP="00912CBB">
      <w:pPr>
        <w:pStyle w:val="ListParagraph"/>
        <w:spacing w:before="100" w:beforeAutospacing="1" w:after="100" w:afterAutospacing="1" w:line="360" w:lineRule="auto"/>
        <w:jc w:val="both"/>
        <w:rPr>
          <w:rFonts w:ascii="Arial" w:eastAsia="Times New Roman" w:hAnsi="Arial" w:cs="Arial"/>
          <w:sz w:val="22"/>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221B176A" w:rsidR="021F216E" w:rsidRDefault="00912CBB" w:rsidP="00725931">
      <w:pPr>
        <w:ind w:left="720"/>
        <w:rPr>
          <w:rFonts w:ascii="Arial" w:eastAsia="Arial Nova" w:hAnsi="Arial" w:cs="Arial"/>
          <w:color w:val="000000" w:themeColor="text1"/>
          <w:sz w:val="22"/>
          <w:szCs w:val="22"/>
        </w:rPr>
      </w:pPr>
      <w:r w:rsidRPr="00912CBB">
        <w:rPr>
          <w:rFonts w:ascii="Arial" w:eastAsia="Arial Nova" w:hAnsi="Arial" w:cs="Arial"/>
          <w:color w:val="000000" w:themeColor="text1"/>
          <w:sz w:val="22"/>
          <w:szCs w:val="22"/>
        </w:rPr>
        <w:t>Bullying may be reduced by strengthening reporting mechanisms and enforcing a zero-tolerance culture.</w:t>
      </w: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4D142AF5" w14:textId="1B650A9F" w:rsidR="00725931" w:rsidRPr="003415B2" w:rsidRDefault="00912CBB" w:rsidP="00725931">
      <w:pPr>
        <w:spacing w:after="0"/>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Respected Younger Self</w:t>
      </w:r>
      <w:r w:rsidR="00725931" w:rsidRPr="003415B2">
        <w:rPr>
          <w:rFonts w:ascii="Arial" w:eastAsia="Arial Nova" w:hAnsi="Arial" w:cs="Arial"/>
          <w:iCs/>
          <w:color w:val="000000" w:themeColor="text1"/>
          <w:sz w:val="22"/>
          <w:szCs w:val="22"/>
        </w:rPr>
        <w:t>,</w:t>
      </w:r>
    </w:p>
    <w:p w14:paraId="19C0DE89" w14:textId="77777777" w:rsidR="00725931" w:rsidRPr="003415B2" w:rsidRDefault="00725931" w:rsidP="00725931">
      <w:pPr>
        <w:spacing w:after="0"/>
        <w:rPr>
          <w:rFonts w:ascii="Arial" w:eastAsia="Arial Nova" w:hAnsi="Arial" w:cs="Arial"/>
          <w:i/>
          <w:iCs/>
          <w:color w:val="000000" w:themeColor="text1"/>
          <w:sz w:val="22"/>
          <w:szCs w:val="22"/>
        </w:rPr>
      </w:pPr>
    </w:p>
    <w:p w14:paraId="1725E5F8" w14:textId="6061563F" w:rsidR="00725931" w:rsidRPr="003415B2" w:rsidRDefault="00156A93" w:rsidP="00156A93">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Reflecting on the insights I have gained about resilience and emotional intelligence from this module, I would like to share some advice. Recognising these concepts sooner could have made a significant difference during challenging and uncertain periods. As Goleman (1995) points out, emotional intelligence encompasses the awareness of one’s emotions, the ability to manage them effectively, and an understanding of how they influence decision-making. By improving your self-awareness, you would have been more adept at pinpointing the sources of your stress. This, in turn, could have led to the development of healthier coping strategies and more positive responses to the challenges you faced.</w:t>
      </w:r>
    </w:p>
    <w:p w14:paraId="23F4176A" w14:textId="77777777" w:rsidR="00725931" w:rsidRPr="003415B2" w:rsidRDefault="00725931" w:rsidP="00725931">
      <w:pPr>
        <w:spacing w:after="0"/>
        <w:rPr>
          <w:rFonts w:ascii="Arial" w:eastAsia="Arial Nova" w:hAnsi="Arial" w:cs="Arial"/>
          <w:i/>
          <w:iCs/>
          <w:color w:val="000000" w:themeColor="text1"/>
          <w:sz w:val="22"/>
          <w:szCs w:val="22"/>
        </w:rPr>
      </w:pPr>
    </w:p>
    <w:p w14:paraId="6632F973" w14:textId="3A00F1AA" w:rsidR="00725931" w:rsidRPr="003415B2" w:rsidRDefault="00156A93" w:rsidP="00156A93">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Cooper et al. (2013) define resilience as the ability to recover from challenges, highlighting its importance for maintaining well-being in both personal and professional spheres. Cultivating resilience from an early stage can equip you with the confidence and adaptability needed to navigate difficulties more effectively. This skill set is especially vital in the health and social care fields, where practitioners often face stress, uncertainty, and emotional pressures</w:t>
      </w:r>
      <w:r w:rsidR="00725931" w:rsidRPr="003415B2">
        <w:rPr>
          <w:rFonts w:ascii="Arial" w:eastAsia="Arial Nova" w:hAnsi="Arial" w:cs="Arial"/>
          <w:iCs/>
          <w:color w:val="000000" w:themeColor="text1"/>
          <w:sz w:val="22"/>
          <w:szCs w:val="22"/>
        </w:rPr>
        <w:t>.</w:t>
      </w:r>
    </w:p>
    <w:p w14:paraId="4C98969B" w14:textId="77777777" w:rsidR="00725931" w:rsidRPr="003415B2" w:rsidRDefault="00725931" w:rsidP="00725931">
      <w:pPr>
        <w:spacing w:after="0"/>
        <w:rPr>
          <w:rFonts w:ascii="Arial" w:eastAsia="Arial Nova" w:hAnsi="Arial" w:cs="Arial"/>
          <w:i/>
          <w:iCs/>
          <w:color w:val="000000" w:themeColor="text1"/>
          <w:sz w:val="22"/>
          <w:szCs w:val="22"/>
        </w:rPr>
      </w:pPr>
    </w:p>
    <w:p w14:paraId="14D68C62" w14:textId="1AC6AFCC" w:rsidR="00725931" w:rsidRPr="003415B2" w:rsidRDefault="003415B2" w:rsidP="003415B2">
      <w:pPr>
        <w:spacing w:after="0" w:line="360" w:lineRule="auto"/>
        <w:jc w:val="both"/>
        <w:rPr>
          <w:rFonts w:ascii="Arial" w:eastAsia="Arial Nova" w:hAnsi="Arial" w:cs="Arial"/>
          <w:iCs/>
          <w:color w:val="000000" w:themeColor="text1"/>
          <w:sz w:val="22"/>
          <w:szCs w:val="22"/>
        </w:rPr>
      </w:pPr>
      <w:r w:rsidRPr="003415B2">
        <w:rPr>
          <w:rFonts w:ascii="Arial" w:eastAsia="Arial Nova" w:hAnsi="Arial" w:cs="Arial"/>
          <w:iCs/>
          <w:color w:val="000000" w:themeColor="text1"/>
          <w:sz w:val="22"/>
          <w:szCs w:val="22"/>
        </w:rPr>
        <w:t>It is important to recognise how vital these concepts are for your future role as a care manager by reflecting on them at this moment. Resilience will play a key role in maintaining stability and mental well-being during challenging times, while a robust emotional intelligence will enhance your abilities in leadership, communication, and resolving conflicts effectively.</w:t>
      </w:r>
    </w:p>
    <w:p w14:paraId="05D43770" w14:textId="77777777" w:rsidR="00725931" w:rsidRPr="00725931" w:rsidRDefault="00725931" w:rsidP="00725931">
      <w:pPr>
        <w:spacing w:after="0"/>
        <w:rPr>
          <w:rFonts w:ascii="Arial Nova" w:eastAsia="Arial Nova" w:hAnsi="Arial Nova" w:cs="Arial Nova"/>
          <w:i/>
          <w:iCs/>
          <w:color w:val="000000" w:themeColor="text1"/>
        </w:rPr>
      </w:pPr>
    </w:p>
    <w:p w14:paraId="395F8121" w14:textId="3B805678" w:rsidR="00725931" w:rsidRDefault="00725931" w:rsidP="00725931">
      <w:pPr>
        <w:spacing w:after="0"/>
        <w:rPr>
          <w:rFonts w:ascii="Arial Nova" w:eastAsia="Arial Nova" w:hAnsi="Arial Nova" w:cs="Arial Nova"/>
          <w:iCs/>
          <w:color w:val="000000" w:themeColor="text1"/>
        </w:rPr>
      </w:pPr>
      <w:r w:rsidRPr="003415B2">
        <w:rPr>
          <w:rFonts w:ascii="Arial Nova" w:eastAsia="Arial Nova" w:hAnsi="Arial Nova" w:cs="Arial Nova"/>
          <w:iCs/>
          <w:color w:val="000000" w:themeColor="text1"/>
        </w:rPr>
        <w:t>Yours sincerely,</w:t>
      </w:r>
    </w:p>
    <w:p w14:paraId="45820293" w14:textId="77777777" w:rsidR="003415B2" w:rsidRPr="003415B2" w:rsidRDefault="003415B2" w:rsidP="00725931">
      <w:pPr>
        <w:spacing w:after="0"/>
        <w:rPr>
          <w:rFonts w:ascii="Arial Nova" w:eastAsia="Arial Nova" w:hAnsi="Arial Nova" w:cs="Arial Nova"/>
          <w:iCs/>
          <w:color w:val="000000" w:themeColor="text1"/>
        </w:rPr>
      </w:pPr>
    </w:p>
    <w:p w14:paraId="197E20EE" w14:textId="52FFDF84" w:rsidR="0074551A" w:rsidRPr="003415B2" w:rsidRDefault="00725931" w:rsidP="00725931">
      <w:pPr>
        <w:spacing w:after="0"/>
        <w:rPr>
          <w:rFonts w:ascii="Arial Nova" w:eastAsia="Arial Nova" w:hAnsi="Arial Nova" w:cs="Arial Nova"/>
          <w:iCs/>
          <w:color w:val="000000" w:themeColor="text1"/>
        </w:rPr>
      </w:pPr>
      <w:r w:rsidRPr="003415B2">
        <w:rPr>
          <w:rFonts w:ascii="Arial Nova" w:eastAsia="Arial Nova" w:hAnsi="Arial Nova" w:cs="Arial Nova"/>
          <w:iCs/>
          <w:color w:val="000000" w:themeColor="text1"/>
        </w:rPr>
        <w:t>My Present Self</w:t>
      </w:r>
      <w:r w:rsidR="003415B2">
        <w:rPr>
          <w:rFonts w:ascii="Arial Nova" w:eastAsia="Arial Nova" w:hAnsi="Arial Nova" w:cs="Arial Nova"/>
          <w:iCs/>
          <w:color w:val="000000" w:themeColor="text1"/>
        </w:rPr>
        <w:t xml:space="preserve"> (Alia Farooq)</w:t>
      </w: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tbl>
      <w:tblPr>
        <w:tblW w:w="10477" w:type="dxa"/>
        <w:tblInd w:w="-5" w:type="dxa"/>
        <w:tblLook w:val="04A0" w:firstRow="1" w:lastRow="0" w:firstColumn="1" w:lastColumn="0" w:noHBand="0" w:noVBand="1"/>
      </w:tblPr>
      <w:tblGrid>
        <w:gridCol w:w="5560"/>
        <w:gridCol w:w="760"/>
        <w:gridCol w:w="740"/>
        <w:gridCol w:w="700"/>
        <w:gridCol w:w="740"/>
        <w:gridCol w:w="1237"/>
        <w:gridCol w:w="740"/>
      </w:tblGrid>
      <w:tr w:rsidR="00EF2C33" w:rsidRPr="0051313C" w14:paraId="62D25889" w14:textId="77777777" w:rsidTr="00EF2C33">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FDB92"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Task / Month</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14:paraId="45B73EF0"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Nov-25</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1F6614B"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Dec-25</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03FF4780"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Jan-26</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7366B763"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Feb-26</w:t>
            </w:r>
          </w:p>
        </w:tc>
        <w:tc>
          <w:tcPr>
            <w:tcW w:w="1237" w:type="dxa"/>
            <w:tcBorders>
              <w:top w:val="single" w:sz="4" w:space="0" w:color="auto"/>
              <w:left w:val="nil"/>
              <w:bottom w:val="single" w:sz="4" w:space="0" w:color="auto"/>
              <w:right w:val="single" w:sz="4" w:space="0" w:color="auto"/>
            </w:tcBorders>
            <w:shd w:val="clear" w:color="auto" w:fill="auto"/>
            <w:noWrap/>
            <w:vAlign w:val="bottom"/>
            <w:hideMark/>
          </w:tcPr>
          <w:p w14:paraId="46965284"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Mar-26</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FE86E0B" w14:textId="77777777" w:rsidR="00EF2C33" w:rsidRPr="0051313C" w:rsidRDefault="00EF2C33" w:rsidP="00877B52">
            <w:pPr>
              <w:spacing w:after="0" w:line="240" w:lineRule="auto"/>
              <w:jc w:val="right"/>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Apr-26</w:t>
            </w:r>
          </w:p>
        </w:tc>
      </w:tr>
      <w:tr w:rsidR="00EF2C33" w:rsidRPr="0051313C" w14:paraId="59F74C6D"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3A9B76F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1. Determine the urgency of the issue.</w:t>
            </w:r>
          </w:p>
        </w:tc>
        <w:tc>
          <w:tcPr>
            <w:tcW w:w="760" w:type="dxa"/>
            <w:tcBorders>
              <w:top w:val="nil"/>
              <w:left w:val="nil"/>
              <w:bottom w:val="single" w:sz="4" w:space="0" w:color="auto"/>
              <w:right w:val="single" w:sz="4" w:space="0" w:color="auto"/>
            </w:tcBorders>
            <w:shd w:val="clear" w:color="000000" w:fill="00B050"/>
            <w:noWrap/>
            <w:vAlign w:val="bottom"/>
            <w:hideMark/>
          </w:tcPr>
          <w:p w14:paraId="793054A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auto" w:fill="auto"/>
            <w:noWrap/>
            <w:vAlign w:val="bottom"/>
            <w:hideMark/>
          </w:tcPr>
          <w:p w14:paraId="4E2C397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auto" w:fill="auto"/>
            <w:noWrap/>
            <w:vAlign w:val="bottom"/>
            <w:hideMark/>
          </w:tcPr>
          <w:p w14:paraId="11A6AB3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4202E39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auto" w:fill="auto"/>
            <w:noWrap/>
            <w:vAlign w:val="bottom"/>
            <w:hideMark/>
          </w:tcPr>
          <w:p w14:paraId="03E157A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76EC153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23183B24"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7F3BE34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2. Create a leading coalition with digital advocates and leaders.</w:t>
            </w:r>
          </w:p>
        </w:tc>
        <w:tc>
          <w:tcPr>
            <w:tcW w:w="760" w:type="dxa"/>
            <w:tcBorders>
              <w:top w:val="nil"/>
              <w:left w:val="nil"/>
              <w:bottom w:val="single" w:sz="4" w:space="0" w:color="auto"/>
              <w:right w:val="single" w:sz="4" w:space="0" w:color="auto"/>
            </w:tcBorders>
            <w:shd w:val="clear" w:color="000000" w:fill="0070C0"/>
            <w:noWrap/>
            <w:vAlign w:val="bottom"/>
            <w:hideMark/>
          </w:tcPr>
          <w:p w14:paraId="378A703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0070C0"/>
            <w:noWrap/>
            <w:vAlign w:val="bottom"/>
            <w:hideMark/>
          </w:tcPr>
          <w:p w14:paraId="5500810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00" w:type="dxa"/>
            <w:tcBorders>
              <w:top w:val="nil"/>
              <w:left w:val="nil"/>
              <w:bottom w:val="single" w:sz="4" w:space="0" w:color="auto"/>
              <w:right w:val="single" w:sz="4" w:space="0" w:color="auto"/>
            </w:tcBorders>
            <w:shd w:val="clear" w:color="auto" w:fill="auto"/>
            <w:noWrap/>
            <w:vAlign w:val="bottom"/>
            <w:hideMark/>
          </w:tcPr>
          <w:p w14:paraId="0F63554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70CAFC7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auto" w:fill="auto"/>
            <w:noWrap/>
            <w:vAlign w:val="bottom"/>
            <w:hideMark/>
          </w:tcPr>
          <w:p w14:paraId="3644A7F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02EB974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341A7B78"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73A1A99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3. Create and share a vision for digital care planning.</w:t>
            </w:r>
          </w:p>
        </w:tc>
        <w:tc>
          <w:tcPr>
            <w:tcW w:w="760" w:type="dxa"/>
            <w:tcBorders>
              <w:top w:val="nil"/>
              <w:left w:val="nil"/>
              <w:bottom w:val="single" w:sz="4" w:space="0" w:color="auto"/>
              <w:right w:val="single" w:sz="4" w:space="0" w:color="auto"/>
            </w:tcBorders>
            <w:shd w:val="clear" w:color="auto" w:fill="auto"/>
            <w:noWrap/>
            <w:vAlign w:val="bottom"/>
            <w:hideMark/>
          </w:tcPr>
          <w:p w14:paraId="1BF3408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0070C0"/>
            <w:noWrap/>
            <w:vAlign w:val="bottom"/>
            <w:hideMark/>
          </w:tcPr>
          <w:p w14:paraId="5E00141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00" w:type="dxa"/>
            <w:tcBorders>
              <w:top w:val="nil"/>
              <w:left w:val="nil"/>
              <w:bottom w:val="single" w:sz="4" w:space="0" w:color="auto"/>
              <w:right w:val="single" w:sz="4" w:space="0" w:color="auto"/>
            </w:tcBorders>
            <w:shd w:val="clear" w:color="000000" w:fill="0070C0"/>
            <w:noWrap/>
            <w:vAlign w:val="bottom"/>
            <w:hideMark/>
          </w:tcPr>
          <w:p w14:paraId="440FE9B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auto" w:fill="auto"/>
            <w:noWrap/>
            <w:vAlign w:val="bottom"/>
            <w:hideMark/>
          </w:tcPr>
          <w:p w14:paraId="3186A54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auto" w:fill="auto"/>
            <w:noWrap/>
            <w:vAlign w:val="bottom"/>
            <w:hideMark/>
          </w:tcPr>
          <w:p w14:paraId="157FF97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69927EE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60C6B1A9"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76FF7C7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4. Sessions on digital skills and staff training</w:t>
            </w:r>
            <w:r>
              <w:rPr>
                <w:rFonts w:ascii="Calibri" w:eastAsia="Times New Roman" w:hAnsi="Calibri" w:cs="Calibri"/>
                <w:color w:val="000000"/>
                <w:lang w:eastAsia="en-GB"/>
              </w:rPr>
              <w:t>.</w:t>
            </w:r>
          </w:p>
        </w:tc>
        <w:tc>
          <w:tcPr>
            <w:tcW w:w="760" w:type="dxa"/>
            <w:tcBorders>
              <w:top w:val="nil"/>
              <w:left w:val="nil"/>
              <w:bottom w:val="single" w:sz="4" w:space="0" w:color="auto"/>
              <w:right w:val="single" w:sz="4" w:space="0" w:color="auto"/>
            </w:tcBorders>
            <w:shd w:val="clear" w:color="auto" w:fill="auto"/>
            <w:noWrap/>
            <w:vAlign w:val="bottom"/>
            <w:hideMark/>
          </w:tcPr>
          <w:p w14:paraId="4257B5B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39E2A29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000000" w:fill="0070C0"/>
            <w:noWrap/>
            <w:vAlign w:val="bottom"/>
            <w:hideMark/>
          </w:tcPr>
          <w:p w14:paraId="4685544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0070C0"/>
            <w:noWrap/>
            <w:vAlign w:val="bottom"/>
            <w:hideMark/>
          </w:tcPr>
          <w:p w14:paraId="03FEE93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1237" w:type="dxa"/>
            <w:tcBorders>
              <w:top w:val="nil"/>
              <w:left w:val="nil"/>
              <w:bottom w:val="single" w:sz="4" w:space="0" w:color="auto"/>
              <w:right w:val="single" w:sz="4" w:space="0" w:color="auto"/>
            </w:tcBorders>
            <w:shd w:val="clear" w:color="auto" w:fill="auto"/>
            <w:noWrap/>
            <w:vAlign w:val="bottom"/>
            <w:hideMark/>
          </w:tcPr>
          <w:p w14:paraId="65455FA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317496B7"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037088BF"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419A8FA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5. Pilot deployment (one-unit trial term)</w:t>
            </w:r>
          </w:p>
        </w:tc>
        <w:tc>
          <w:tcPr>
            <w:tcW w:w="760" w:type="dxa"/>
            <w:tcBorders>
              <w:top w:val="nil"/>
              <w:left w:val="nil"/>
              <w:bottom w:val="single" w:sz="4" w:space="0" w:color="auto"/>
              <w:right w:val="single" w:sz="4" w:space="0" w:color="auto"/>
            </w:tcBorders>
            <w:shd w:val="clear" w:color="auto" w:fill="auto"/>
            <w:noWrap/>
            <w:vAlign w:val="bottom"/>
            <w:hideMark/>
          </w:tcPr>
          <w:p w14:paraId="61863C7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75CB1EB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auto" w:fill="auto"/>
            <w:noWrap/>
            <w:vAlign w:val="bottom"/>
            <w:hideMark/>
          </w:tcPr>
          <w:p w14:paraId="0C6618C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FFFF00"/>
            <w:noWrap/>
            <w:vAlign w:val="bottom"/>
            <w:hideMark/>
          </w:tcPr>
          <w:p w14:paraId="43D0D95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1237" w:type="dxa"/>
            <w:tcBorders>
              <w:top w:val="nil"/>
              <w:left w:val="nil"/>
              <w:bottom w:val="single" w:sz="4" w:space="0" w:color="auto"/>
              <w:right w:val="single" w:sz="4" w:space="0" w:color="auto"/>
            </w:tcBorders>
            <w:shd w:val="clear" w:color="000000" w:fill="FFFF00"/>
            <w:noWrap/>
            <w:vAlign w:val="bottom"/>
            <w:hideMark/>
          </w:tcPr>
          <w:p w14:paraId="3E2FAD89"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auto" w:fill="auto"/>
            <w:noWrap/>
            <w:vAlign w:val="bottom"/>
            <w:hideMark/>
          </w:tcPr>
          <w:p w14:paraId="4621381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19AD2A6E"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0F3AAD1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6. Analyse pilot findings and modify the system</w:t>
            </w:r>
          </w:p>
        </w:tc>
        <w:tc>
          <w:tcPr>
            <w:tcW w:w="760" w:type="dxa"/>
            <w:tcBorders>
              <w:top w:val="nil"/>
              <w:left w:val="nil"/>
              <w:bottom w:val="single" w:sz="4" w:space="0" w:color="auto"/>
              <w:right w:val="single" w:sz="4" w:space="0" w:color="auto"/>
            </w:tcBorders>
            <w:shd w:val="clear" w:color="auto" w:fill="auto"/>
            <w:noWrap/>
            <w:vAlign w:val="bottom"/>
            <w:hideMark/>
          </w:tcPr>
          <w:p w14:paraId="590E99C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202D518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auto" w:fill="auto"/>
            <w:noWrap/>
            <w:vAlign w:val="bottom"/>
            <w:hideMark/>
          </w:tcPr>
          <w:p w14:paraId="059CE49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6EFAFC3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auto" w:fill="auto"/>
            <w:noWrap/>
            <w:vAlign w:val="bottom"/>
            <w:hideMark/>
          </w:tcPr>
          <w:p w14:paraId="2DAB28D2" w14:textId="77777777" w:rsidR="00EF2C33" w:rsidRPr="0051313C" w:rsidRDefault="00EF2C33" w:rsidP="00877B52">
            <w:pPr>
              <w:spacing w:after="0" w:line="240" w:lineRule="auto"/>
              <w:rPr>
                <w:rFonts w:ascii="Calibri" w:eastAsia="Times New Roman" w:hAnsi="Calibri" w:cs="Calibri"/>
                <w:color w:val="0070C0"/>
                <w:lang w:eastAsia="en-GB"/>
              </w:rPr>
            </w:pPr>
            <w:r w:rsidRPr="0051313C">
              <w:rPr>
                <w:rFonts w:ascii="Arial" w:eastAsia="Times New Roman" w:hAnsi="Arial" w:cs="Arial"/>
                <w:color w:val="0070C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1A49BB8F"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r>
      <w:tr w:rsidR="00EF2C33" w:rsidRPr="0051313C" w14:paraId="088E8CD3"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23416A6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7. Complete adoption throughout the care facility</w:t>
            </w:r>
          </w:p>
        </w:tc>
        <w:tc>
          <w:tcPr>
            <w:tcW w:w="760" w:type="dxa"/>
            <w:tcBorders>
              <w:top w:val="nil"/>
              <w:left w:val="nil"/>
              <w:bottom w:val="single" w:sz="4" w:space="0" w:color="auto"/>
              <w:right w:val="single" w:sz="4" w:space="0" w:color="auto"/>
            </w:tcBorders>
            <w:shd w:val="clear" w:color="auto" w:fill="auto"/>
            <w:noWrap/>
            <w:vAlign w:val="bottom"/>
            <w:hideMark/>
          </w:tcPr>
          <w:p w14:paraId="1F9B7385"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29AB6C17"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auto" w:fill="auto"/>
            <w:noWrap/>
            <w:vAlign w:val="bottom"/>
            <w:hideMark/>
          </w:tcPr>
          <w:p w14:paraId="305E7FBB"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3456E673"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000000" w:fill="FFFF00"/>
            <w:noWrap/>
            <w:vAlign w:val="bottom"/>
            <w:hideMark/>
          </w:tcPr>
          <w:p w14:paraId="04D3A87E"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40" w:type="dxa"/>
            <w:tcBorders>
              <w:top w:val="nil"/>
              <w:left w:val="nil"/>
              <w:bottom w:val="single" w:sz="4" w:space="0" w:color="auto"/>
              <w:right w:val="single" w:sz="4" w:space="0" w:color="auto"/>
            </w:tcBorders>
            <w:shd w:val="clear" w:color="000000" w:fill="FFFF00"/>
            <w:noWrap/>
            <w:vAlign w:val="bottom"/>
            <w:hideMark/>
          </w:tcPr>
          <w:p w14:paraId="46F38DA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r>
      <w:tr w:rsidR="00EF2C33" w:rsidRPr="0051313C" w14:paraId="5187219D"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5FBD3ADD"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8. Continuous auditing and monitoring of digital care plans</w:t>
            </w:r>
          </w:p>
        </w:tc>
        <w:tc>
          <w:tcPr>
            <w:tcW w:w="760" w:type="dxa"/>
            <w:tcBorders>
              <w:top w:val="nil"/>
              <w:left w:val="nil"/>
              <w:bottom w:val="single" w:sz="4" w:space="0" w:color="auto"/>
              <w:right w:val="single" w:sz="4" w:space="0" w:color="auto"/>
            </w:tcBorders>
            <w:shd w:val="clear" w:color="auto" w:fill="auto"/>
            <w:noWrap/>
            <w:vAlign w:val="bottom"/>
            <w:hideMark/>
          </w:tcPr>
          <w:p w14:paraId="798823AC"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76CD733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00" w:type="dxa"/>
            <w:tcBorders>
              <w:top w:val="nil"/>
              <w:left w:val="nil"/>
              <w:bottom w:val="single" w:sz="4" w:space="0" w:color="auto"/>
              <w:right w:val="single" w:sz="4" w:space="0" w:color="auto"/>
            </w:tcBorders>
            <w:shd w:val="clear" w:color="auto" w:fill="auto"/>
            <w:noWrap/>
            <w:vAlign w:val="bottom"/>
            <w:hideMark/>
          </w:tcPr>
          <w:p w14:paraId="42C92CC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auto" w:fill="auto"/>
            <w:noWrap/>
            <w:vAlign w:val="bottom"/>
            <w:hideMark/>
          </w:tcPr>
          <w:p w14:paraId="3AC82351"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1237" w:type="dxa"/>
            <w:tcBorders>
              <w:top w:val="nil"/>
              <w:left w:val="nil"/>
              <w:bottom w:val="single" w:sz="4" w:space="0" w:color="auto"/>
              <w:right w:val="single" w:sz="4" w:space="0" w:color="auto"/>
            </w:tcBorders>
            <w:shd w:val="clear" w:color="auto" w:fill="auto"/>
            <w:noWrap/>
            <w:vAlign w:val="bottom"/>
            <w:hideMark/>
          </w:tcPr>
          <w:p w14:paraId="2AFF9D6A"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w:t>
            </w:r>
          </w:p>
        </w:tc>
        <w:tc>
          <w:tcPr>
            <w:tcW w:w="740" w:type="dxa"/>
            <w:tcBorders>
              <w:top w:val="nil"/>
              <w:left w:val="nil"/>
              <w:bottom w:val="single" w:sz="4" w:space="0" w:color="auto"/>
              <w:right w:val="single" w:sz="4" w:space="0" w:color="auto"/>
            </w:tcBorders>
            <w:shd w:val="clear" w:color="000000" w:fill="0070C0"/>
            <w:noWrap/>
            <w:vAlign w:val="bottom"/>
            <w:hideMark/>
          </w:tcPr>
          <w:p w14:paraId="2B46ADD2"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r>
      <w:tr w:rsidR="00EF2C33" w:rsidRPr="0051313C" w14:paraId="27D3BBDB" w14:textId="77777777" w:rsidTr="00EF2C33">
        <w:trPr>
          <w:trHeight w:val="300"/>
        </w:trPr>
        <w:tc>
          <w:tcPr>
            <w:tcW w:w="5560" w:type="dxa"/>
            <w:tcBorders>
              <w:top w:val="nil"/>
              <w:left w:val="nil"/>
              <w:bottom w:val="nil"/>
              <w:right w:val="nil"/>
            </w:tcBorders>
            <w:shd w:val="clear" w:color="auto" w:fill="auto"/>
            <w:noWrap/>
            <w:vAlign w:val="bottom"/>
            <w:hideMark/>
          </w:tcPr>
          <w:p w14:paraId="48215316"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60" w:type="dxa"/>
            <w:tcBorders>
              <w:top w:val="nil"/>
              <w:left w:val="nil"/>
              <w:bottom w:val="nil"/>
              <w:right w:val="nil"/>
            </w:tcBorders>
            <w:shd w:val="clear" w:color="auto" w:fill="auto"/>
            <w:noWrap/>
            <w:vAlign w:val="bottom"/>
            <w:hideMark/>
          </w:tcPr>
          <w:p w14:paraId="417D3EA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7CDA117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54DDF3C7"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61DDED70"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19EABAD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5D0F1CE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3FB240D0" w14:textId="77777777" w:rsidTr="00EF2C33">
        <w:trPr>
          <w:trHeight w:val="300"/>
        </w:trPr>
        <w:tc>
          <w:tcPr>
            <w:tcW w:w="5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A8B6B"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Green = Completed</w:t>
            </w:r>
          </w:p>
        </w:tc>
        <w:tc>
          <w:tcPr>
            <w:tcW w:w="760" w:type="dxa"/>
            <w:tcBorders>
              <w:top w:val="nil"/>
              <w:left w:val="nil"/>
              <w:bottom w:val="nil"/>
              <w:right w:val="nil"/>
            </w:tcBorders>
            <w:shd w:val="clear" w:color="auto" w:fill="auto"/>
            <w:noWrap/>
            <w:vAlign w:val="bottom"/>
            <w:hideMark/>
          </w:tcPr>
          <w:p w14:paraId="5B232697"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shd w:val="clear" w:color="auto" w:fill="auto"/>
            <w:noWrap/>
            <w:vAlign w:val="bottom"/>
            <w:hideMark/>
          </w:tcPr>
          <w:p w14:paraId="6E8C5AD3"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1985528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2ABAF07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60A7B149"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1C49363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09A4DA5C"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346D3B10"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shd w:val="clear" w:color="auto" w:fill="auto"/>
            <w:noWrap/>
            <w:vAlign w:val="bottom"/>
            <w:hideMark/>
          </w:tcPr>
          <w:p w14:paraId="5D7FA3EF"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shd w:val="clear" w:color="auto" w:fill="auto"/>
            <w:noWrap/>
            <w:vAlign w:val="bottom"/>
            <w:hideMark/>
          </w:tcPr>
          <w:p w14:paraId="04C100D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7B49D2A0"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5A224FD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715EC858"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5C38C9D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6C20735B"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1459C24F"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Blue = In progress</w:t>
            </w:r>
          </w:p>
        </w:tc>
        <w:tc>
          <w:tcPr>
            <w:tcW w:w="760" w:type="dxa"/>
            <w:tcBorders>
              <w:top w:val="nil"/>
              <w:left w:val="nil"/>
              <w:bottom w:val="nil"/>
              <w:right w:val="nil"/>
            </w:tcBorders>
            <w:shd w:val="clear" w:color="auto" w:fill="auto"/>
            <w:noWrap/>
            <w:vAlign w:val="bottom"/>
            <w:hideMark/>
          </w:tcPr>
          <w:p w14:paraId="527FFDBB"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shd w:val="clear" w:color="auto" w:fill="auto"/>
            <w:noWrap/>
            <w:vAlign w:val="bottom"/>
            <w:hideMark/>
          </w:tcPr>
          <w:p w14:paraId="1335CF2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12587A9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6764870A"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169D78B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322C64B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7EB9BB6E"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33F650B6"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shd w:val="clear" w:color="auto" w:fill="auto"/>
            <w:noWrap/>
            <w:vAlign w:val="bottom"/>
            <w:hideMark/>
          </w:tcPr>
          <w:p w14:paraId="0B832A44"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shd w:val="clear" w:color="auto" w:fill="auto"/>
            <w:noWrap/>
            <w:vAlign w:val="bottom"/>
            <w:hideMark/>
          </w:tcPr>
          <w:p w14:paraId="41F9258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0E20A58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157BC3FA"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481A18A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2C3169EF"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0B7F1FAB"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36586159"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Yellow = Upcoming</w:t>
            </w:r>
          </w:p>
        </w:tc>
        <w:tc>
          <w:tcPr>
            <w:tcW w:w="760" w:type="dxa"/>
            <w:tcBorders>
              <w:top w:val="nil"/>
              <w:left w:val="nil"/>
              <w:bottom w:val="nil"/>
              <w:right w:val="nil"/>
            </w:tcBorders>
            <w:shd w:val="clear" w:color="auto" w:fill="auto"/>
            <w:noWrap/>
            <w:vAlign w:val="bottom"/>
            <w:hideMark/>
          </w:tcPr>
          <w:p w14:paraId="779B6CDE"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shd w:val="clear" w:color="auto" w:fill="auto"/>
            <w:noWrap/>
            <w:vAlign w:val="bottom"/>
            <w:hideMark/>
          </w:tcPr>
          <w:p w14:paraId="20AC832D"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15311903"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17993C65"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6CAE99EC"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0153EB8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4DCE9464"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26EE8824" w14:textId="77777777" w:rsidR="00EF2C33" w:rsidRPr="0051313C" w:rsidRDefault="00EF2C33" w:rsidP="00877B52">
            <w:pPr>
              <w:spacing w:after="0" w:line="240" w:lineRule="auto"/>
              <w:rPr>
                <w:rFonts w:ascii="Calibri" w:eastAsia="Times New Roman" w:hAnsi="Calibri" w:cs="Calibri"/>
                <w:color w:val="000000"/>
                <w:lang w:eastAsia="en-GB"/>
              </w:rPr>
            </w:pPr>
            <w:r w:rsidRPr="0051313C">
              <w:rPr>
                <w:rFonts w:ascii="Calibri" w:eastAsia="Times New Roman" w:hAnsi="Calibri" w:cs="Calibri"/>
                <w:color w:val="000000"/>
                <w:lang w:eastAsia="en-GB"/>
              </w:rPr>
              <w:t> </w:t>
            </w:r>
          </w:p>
        </w:tc>
        <w:tc>
          <w:tcPr>
            <w:tcW w:w="760" w:type="dxa"/>
            <w:tcBorders>
              <w:top w:val="nil"/>
              <w:left w:val="nil"/>
              <w:bottom w:val="nil"/>
              <w:right w:val="nil"/>
            </w:tcBorders>
            <w:shd w:val="clear" w:color="auto" w:fill="auto"/>
            <w:noWrap/>
            <w:vAlign w:val="bottom"/>
            <w:hideMark/>
          </w:tcPr>
          <w:p w14:paraId="27E981B8" w14:textId="77777777" w:rsidR="00EF2C33" w:rsidRPr="0051313C" w:rsidRDefault="00EF2C33" w:rsidP="00877B52">
            <w:pPr>
              <w:spacing w:after="0" w:line="240" w:lineRule="auto"/>
              <w:rPr>
                <w:rFonts w:ascii="Calibri" w:eastAsia="Times New Roman" w:hAnsi="Calibri" w:cs="Calibri"/>
                <w:color w:val="000000"/>
                <w:lang w:eastAsia="en-GB"/>
              </w:rPr>
            </w:pPr>
          </w:p>
        </w:tc>
        <w:tc>
          <w:tcPr>
            <w:tcW w:w="740" w:type="dxa"/>
            <w:tcBorders>
              <w:top w:val="nil"/>
              <w:left w:val="nil"/>
              <w:bottom w:val="nil"/>
              <w:right w:val="nil"/>
            </w:tcBorders>
            <w:shd w:val="clear" w:color="auto" w:fill="auto"/>
            <w:noWrap/>
            <w:vAlign w:val="bottom"/>
            <w:hideMark/>
          </w:tcPr>
          <w:p w14:paraId="4422274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6D48BBAB"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1A54898E"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382DDEEF"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52CE4234"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r w:rsidR="00EF2C33" w:rsidRPr="0051313C" w14:paraId="64DC5FCC" w14:textId="77777777" w:rsidTr="00EF2C33">
        <w:trPr>
          <w:trHeight w:val="300"/>
        </w:trPr>
        <w:tc>
          <w:tcPr>
            <w:tcW w:w="5560" w:type="dxa"/>
            <w:tcBorders>
              <w:top w:val="nil"/>
              <w:left w:val="single" w:sz="4" w:space="0" w:color="auto"/>
              <w:bottom w:val="single" w:sz="4" w:space="0" w:color="auto"/>
              <w:right w:val="single" w:sz="4" w:space="0" w:color="auto"/>
            </w:tcBorders>
            <w:shd w:val="clear" w:color="auto" w:fill="auto"/>
            <w:noWrap/>
            <w:vAlign w:val="bottom"/>
            <w:hideMark/>
          </w:tcPr>
          <w:p w14:paraId="091F8F75" w14:textId="77777777" w:rsidR="00EF2C33" w:rsidRPr="0051313C" w:rsidRDefault="00EF2C33" w:rsidP="00877B52">
            <w:pPr>
              <w:spacing w:after="0" w:line="240" w:lineRule="auto"/>
              <w:rPr>
                <w:rFonts w:ascii="Calibri" w:eastAsia="Times New Roman" w:hAnsi="Calibri" w:cs="Calibri"/>
                <w:b/>
                <w:bCs/>
                <w:color w:val="000000"/>
                <w:lang w:eastAsia="en-GB"/>
              </w:rPr>
            </w:pPr>
            <w:r w:rsidRPr="0051313C">
              <w:rPr>
                <w:rFonts w:ascii="Calibri" w:eastAsia="Times New Roman" w:hAnsi="Calibri" w:cs="Calibri"/>
                <w:b/>
                <w:bCs/>
                <w:color w:val="000000"/>
                <w:lang w:eastAsia="en-GB"/>
              </w:rPr>
              <w:t>Red = High priority (if needed)</w:t>
            </w:r>
          </w:p>
        </w:tc>
        <w:tc>
          <w:tcPr>
            <w:tcW w:w="760" w:type="dxa"/>
            <w:tcBorders>
              <w:top w:val="nil"/>
              <w:left w:val="nil"/>
              <w:bottom w:val="nil"/>
              <w:right w:val="nil"/>
            </w:tcBorders>
            <w:shd w:val="clear" w:color="auto" w:fill="auto"/>
            <w:noWrap/>
            <w:vAlign w:val="bottom"/>
            <w:hideMark/>
          </w:tcPr>
          <w:p w14:paraId="1ACF27CA" w14:textId="77777777" w:rsidR="00EF2C33" w:rsidRPr="0051313C" w:rsidRDefault="00EF2C33" w:rsidP="00877B52">
            <w:pPr>
              <w:spacing w:after="0" w:line="240" w:lineRule="auto"/>
              <w:rPr>
                <w:rFonts w:ascii="Calibri" w:eastAsia="Times New Roman" w:hAnsi="Calibri" w:cs="Calibri"/>
                <w:b/>
                <w:bCs/>
                <w:color w:val="000000"/>
                <w:lang w:eastAsia="en-GB"/>
              </w:rPr>
            </w:pPr>
          </w:p>
        </w:tc>
        <w:tc>
          <w:tcPr>
            <w:tcW w:w="740" w:type="dxa"/>
            <w:tcBorders>
              <w:top w:val="nil"/>
              <w:left w:val="nil"/>
              <w:bottom w:val="nil"/>
              <w:right w:val="nil"/>
            </w:tcBorders>
            <w:shd w:val="clear" w:color="auto" w:fill="auto"/>
            <w:noWrap/>
            <w:vAlign w:val="bottom"/>
            <w:hideMark/>
          </w:tcPr>
          <w:p w14:paraId="18363146"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00" w:type="dxa"/>
            <w:tcBorders>
              <w:top w:val="nil"/>
              <w:left w:val="nil"/>
              <w:bottom w:val="nil"/>
              <w:right w:val="nil"/>
            </w:tcBorders>
            <w:shd w:val="clear" w:color="auto" w:fill="auto"/>
            <w:noWrap/>
            <w:vAlign w:val="bottom"/>
            <w:hideMark/>
          </w:tcPr>
          <w:p w14:paraId="720D097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79302B09"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1237" w:type="dxa"/>
            <w:tcBorders>
              <w:top w:val="nil"/>
              <w:left w:val="nil"/>
              <w:bottom w:val="nil"/>
              <w:right w:val="nil"/>
            </w:tcBorders>
            <w:shd w:val="clear" w:color="auto" w:fill="auto"/>
            <w:noWrap/>
            <w:vAlign w:val="bottom"/>
            <w:hideMark/>
          </w:tcPr>
          <w:p w14:paraId="47EFE331"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c>
          <w:tcPr>
            <w:tcW w:w="740" w:type="dxa"/>
            <w:tcBorders>
              <w:top w:val="nil"/>
              <w:left w:val="nil"/>
              <w:bottom w:val="nil"/>
              <w:right w:val="nil"/>
            </w:tcBorders>
            <w:shd w:val="clear" w:color="auto" w:fill="auto"/>
            <w:noWrap/>
            <w:vAlign w:val="bottom"/>
            <w:hideMark/>
          </w:tcPr>
          <w:p w14:paraId="58EBB06E" w14:textId="77777777" w:rsidR="00EF2C33" w:rsidRPr="0051313C" w:rsidRDefault="00EF2C33" w:rsidP="00877B52">
            <w:pPr>
              <w:spacing w:after="0" w:line="240" w:lineRule="auto"/>
              <w:rPr>
                <w:rFonts w:ascii="Times New Roman" w:eastAsia="Times New Roman" w:hAnsi="Times New Roman" w:cs="Times New Roman"/>
                <w:sz w:val="20"/>
                <w:szCs w:val="20"/>
                <w:lang w:eastAsia="en-GB"/>
              </w:rPr>
            </w:pPr>
          </w:p>
        </w:tc>
      </w:tr>
    </w:tbl>
    <w:p w14:paraId="35494B44" w14:textId="77777777" w:rsidR="00165C4B" w:rsidRDefault="00165C4B" w:rsidP="005811D4">
      <w:pPr>
        <w:spacing w:line="360" w:lineRule="auto"/>
        <w:jc w:val="both"/>
        <w:rPr>
          <w:rFonts w:ascii="Arial" w:eastAsia="Times New Roman" w:hAnsi="Arial" w:cs="Arial"/>
          <w:sz w:val="22"/>
          <w:szCs w:val="22"/>
          <w:lang w:eastAsia="en-US"/>
        </w:rPr>
      </w:pPr>
    </w:p>
    <w:p w14:paraId="71456D62" w14:textId="77777777" w:rsidR="00165C4B" w:rsidRDefault="005811D4" w:rsidP="005811D4">
      <w:pPr>
        <w:spacing w:line="360" w:lineRule="auto"/>
        <w:jc w:val="both"/>
        <w:rPr>
          <w:rFonts w:ascii="Arial" w:eastAsia="Times New Roman" w:hAnsi="Arial" w:cs="Arial"/>
          <w:sz w:val="22"/>
          <w:szCs w:val="22"/>
          <w:lang w:eastAsia="en-US"/>
        </w:rPr>
      </w:pPr>
      <w:r w:rsidRPr="005811D4">
        <w:rPr>
          <w:rFonts w:ascii="Arial" w:eastAsia="Times New Roman" w:hAnsi="Arial" w:cs="Arial"/>
          <w:sz w:val="22"/>
          <w:szCs w:val="22"/>
          <w:lang w:eastAsia="en-US"/>
        </w:rPr>
        <w:t xml:space="preserve">The Gantt chart outlines the gradual implementation of the digital care-planning system, set to commence in November 2025. Key tasks highlighted include establishing a sense of urgency, forming a steering coalition, communicating the vision, providing training for staff, and integrating the necessary changes. By sequencing these tasks, the chart ensures a smooth progression and effective coordination, visually representing how activities intersect. </w:t>
      </w:r>
    </w:p>
    <w:p w14:paraId="156F27C2" w14:textId="21B9D5A2" w:rsidR="021F216E" w:rsidRPr="0074551A" w:rsidRDefault="005811D4" w:rsidP="005811D4">
      <w:pPr>
        <w:spacing w:line="360" w:lineRule="auto"/>
        <w:jc w:val="both"/>
        <w:rPr>
          <w:rFonts w:ascii="Arial Nova" w:eastAsia="Arial Nova" w:hAnsi="Arial Nova" w:cs="Arial Nova"/>
          <w:color w:val="000000" w:themeColor="text1"/>
          <w:sz w:val="44"/>
          <w:szCs w:val="44"/>
        </w:rPr>
      </w:pPr>
      <w:r w:rsidRPr="005811D4">
        <w:rPr>
          <w:rFonts w:ascii="Arial" w:eastAsia="Times New Roman" w:hAnsi="Arial" w:cs="Arial"/>
          <w:sz w:val="22"/>
          <w:szCs w:val="22"/>
          <w:lang w:eastAsia="en-US"/>
        </w:rPr>
        <w:t>Furthermore, the schedule marks important milestones, allowing management to monitor progress and adjust plans if any delays arise. The use of a Gantt chart enhances organised project management by promoting transparency, enabling efficient resource allocation, and encouraging collaboration. This visual planning approach aligns with best practices in change management within health and social care.</w:t>
      </w:r>
      <w:r>
        <w:rPr>
          <w:rFonts w:ascii="Arial Nova" w:eastAsia="Arial Nova" w:hAnsi="Arial Nova" w:cs="Arial Nova"/>
          <w:i/>
          <w:iCs/>
        </w:rPr>
        <w:br w:type="page"/>
      </w:r>
      <w:r w:rsidR="0074551A">
        <w:rPr>
          <w:rFonts w:ascii="Arial Nova" w:eastAsia="Arial Nova" w:hAnsi="Arial Nova" w:cs="Arial Nova"/>
          <w:color w:val="000000" w:themeColor="text1"/>
          <w:sz w:val="44"/>
          <w:szCs w:val="44"/>
        </w:rPr>
        <w:lastRenderedPageBreak/>
        <w:t>Task 7- Making Changes- Report</w:t>
      </w:r>
    </w:p>
    <w:p w14:paraId="06C8C088" w14:textId="5FBAAFDD"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39537A78" w14:textId="2DB92CCD" w:rsidR="00165C4B" w:rsidRPr="00165C4B" w:rsidRDefault="00165C4B" w:rsidP="00165C4B">
      <w:pPr>
        <w:pStyle w:val="NormalWeb"/>
        <w:spacing w:line="360" w:lineRule="auto"/>
        <w:jc w:val="both"/>
        <w:rPr>
          <w:rFonts w:ascii="Arial" w:hAnsi="Arial" w:cs="Arial"/>
          <w:sz w:val="22"/>
          <w:szCs w:val="22"/>
        </w:rPr>
      </w:pPr>
      <w:r w:rsidRPr="00165C4B">
        <w:rPr>
          <w:rFonts w:ascii="Arial" w:hAnsi="Arial" w:cs="Arial"/>
          <w:sz w:val="22"/>
          <w:szCs w:val="22"/>
        </w:rPr>
        <w:t>A proposed enhancement for managing a care home is to transition from traditional paper-based documentation to a digital care planning system. This change is essential to ensure that staff can communicate in real-time, enhance the accuracy of records, improve compliance with regulations, and reduce delays associated with paperwork. The implementation of this system will involve collaboration among caretakers, senior carers, nurses, administrators, and the digital transformation lead.</w:t>
      </w:r>
    </w:p>
    <w:p w14:paraId="528E1B72" w14:textId="22C956FE" w:rsidR="00165C4B" w:rsidRPr="00700678" w:rsidRDefault="00700678" w:rsidP="00700678">
      <w:pPr>
        <w:pStyle w:val="NormalWeb"/>
        <w:spacing w:line="360" w:lineRule="auto"/>
        <w:jc w:val="both"/>
        <w:rPr>
          <w:rFonts w:ascii="Arial" w:hAnsi="Arial" w:cs="Arial"/>
          <w:sz w:val="22"/>
          <w:szCs w:val="22"/>
        </w:rPr>
      </w:pPr>
      <w:r w:rsidRPr="00700678">
        <w:rPr>
          <w:rFonts w:ascii="Arial" w:hAnsi="Arial" w:cs="Arial"/>
          <w:sz w:val="22"/>
          <w:szCs w:val="22"/>
        </w:rPr>
        <w:t xml:space="preserve">Kotter's (1996) 8-Step Change Model provides a structured approach to implementing change. Initially, evidence of errors and inefficiencies in </w:t>
      </w:r>
      <w:r w:rsidR="00866495">
        <w:rPr>
          <w:rFonts w:ascii="Arial" w:hAnsi="Arial" w:cs="Arial"/>
          <w:sz w:val="22"/>
          <w:szCs w:val="22"/>
        </w:rPr>
        <w:t xml:space="preserve">the </w:t>
      </w:r>
      <w:r w:rsidRPr="00700678">
        <w:rPr>
          <w:rFonts w:ascii="Arial" w:hAnsi="Arial" w:cs="Arial"/>
          <w:sz w:val="22"/>
          <w:szCs w:val="22"/>
        </w:rPr>
        <w:t>current paper records will be presented to create a sense of urgency. A coalition of senior employees will be established to champion the reform. A clear vision—focused on enhancing safety, accuracy, and communication—will be communicated through staff meetings and written guidelines. Training workshops will be conducted to ensure digital proficiency, with the transition to digital processes being implemented gradually to minimise disruption. Emphasis will be placed on improvements in audit performance and reduced reporting times as early successes. Ongoing monitoring and refresher training will be essential to ensure the sustainability of these changes in the long term</w:t>
      </w:r>
      <w:r w:rsidR="00165C4B" w:rsidRPr="00700678">
        <w:rPr>
          <w:rFonts w:ascii="Arial" w:hAnsi="Arial" w:cs="Arial"/>
          <w:sz w:val="22"/>
          <w:szCs w:val="22"/>
        </w:rPr>
        <w:t>.</w:t>
      </w:r>
    </w:p>
    <w:p w14:paraId="61BC61FA" w14:textId="77777777" w:rsidR="00191153" w:rsidRPr="00191153" w:rsidRDefault="00191153" w:rsidP="00191153">
      <w:pPr>
        <w:pStyle w:val="NormalWeb"/>
        <w:spacing w:line="360" w:lineRule="auto"/>
        <w:jc w:val="both"/>
        <w:rPr>
          <w:rFonts w:ascii="Arial" w:hAnsi="Arial" w:cs="Arial"/>
          <w:sz w:val="22"/>
          <w:szCs w:val="22"/>
        </w:rPr>
      </w:pPr>
      <w:r w:rsidRPr="00191153">
        <w:rPr>
          <w:rFonts w:ascii="Arial" w:hAnsi="Arial" w:cs="Arial"/>
          <w:sz w:val="22"/>
          <w:szCs w:val="22"/>
        </w:rPr>
        <w:t>Effective communication is essential for clearly articulating the changes, while strong leadership is necessary to motivate employees. Additionally, digital literacy is important for demonstrating how to use new systems, and emotional intelligence is vital for supporting employees who may feel apprehensive about adopting new technology. Potential challenges include staff reluctance, fear of technology, lack of confidence, and insufficient training time. To address these issues, we will implement peer mentorship, allocate protected learning time, encourage co-production, and provide ongoing technical support.</w:t>
      </w:r>
    </w:p>
    <w:p w14:paraId="455D4785" w14:textId="60EFFB05" w:rsidR="00165C4B" w:rsidRPr="00191153" w:rsidRDefault="00191153" w:rsidP="00191153">
      <w:pPr>
        <w:pStyle w:val="NormalWeb"/>
        <w:spacing w:line="360" w:lineRule="auto"/>
        <w:jc w:val="both"/>
        <w:rPr>
          <w:rFonts w:ascii="Arial" w:hAnsi="Arial" w:cs="Arial"/>
          <w:sz w:val="22"/>
          <w:szCs w:val="22"/>
        </w:rPr>
      </w:pPr>
      <w:r w:rsidRPr="00191153">
        <w:rPr>
          <w:rFonts w:ascii="Arial" w:hAnsi="Arial" w:cs="Arial"/>
          <w:sz w:val="22"/>
          <w:szCs w:val="22"/>
        </w:rPr>
        <w:t>This transition aims to improve resident-centred care, enhance compliance with the Care Quality Commission (CQC), and modernise care practices</w:t>
      </w:r>
      <w:r w:rsidR="00165C4B" w:rsidRPr="00191153">
        <w:rPr>
          <w:rFonts w:ascii="Arial" w:hAnsi="Arial" w:cs="Arial"/>
          <w:sz w:val="22"/>
          <w:szCs w:val="22"/>
        </w:rPr>
        <w:t>.</w:t>
      </w: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8- </w:t>
      </w:r>
      <w:r w:rsidR="17E92B46" w:rsidRPr="021F216E">
        <w:rPr>
          <w:rFonts w:ascii="Arial Nova" w:eastAsia="Arial Nova" w:hAnsi="Arial Nova" w:cs="Arial Nova"/>
          <w:color w:val="000000" w:themeColor="text1"/>
          <w:sz w:val="44"/>
          <w:szCs w:val="44"/>
        </w:rPr>
        <w:t xml:space="preserve">Self-Reflection </w:t>
      </w:r>
    </w:p>
    <w:p w14:paraId="659BB497" w14:textId="78C62F70" w:rsidR="00632F8B" w:rsidRPr="00632F8B" w:rsidRDefault="00632F8B" w:rsidP="00632F8B">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w:t>
      </w:r>
      <w:proofErr w:type="gramStart"/>
      <w:r w:rsidR="00903517">
        <w:rPr>
          <w:rFonts w:ascii="Arial Nova" w:eastAsia="Arial Nova" w:hAnsi="Arial Nova" w:cs="Arial Nova"/>
          <w:i/>
          <w:iCs/>
          <w:color w:val="000000" w:themeColor="text1"/>
        </w:rPr>
        <w:t xml:space="preserve">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w:t>
      </w:r>
      <w:proofErr w:type="gramEnd"/>
      <w:r w:rsidR="00903517">
        <w:rPr>
          <w:rFonts w:ascii="Arial Nova" w:eastAsia="Arial Nova" w:hAnsi="Arial Nova" w:cs="Arial Nova"/>
          <w:i/>
          <w:iCs/>
          <w:color w:val="000000" w:themeColor="text1"/>
        </w:rPr>
        <w:t xml:space="preserve">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235CC3B5" w14:textId="62749F9A" w:rsidR="00E203CA" w:rsidRPr="00E203CA" w:rsidRDefault="00E203CA" w:rsidP="001944B0">
      <w:pPr>
        <w:spacing w:line="360" w:lineRule="auto"/>
        <w:jc w:val="both"/>
        <w:rPr>
          <w:rFonts w:ascii="Arial" w:eastAsia="Arial Nova" w:hAnsi="Arial" w:cs="Arial"/>
          <w:iCs/>
          <w:color w:val="000000" w:themeColor="text1"/>
          <w:sz w:val="22"/>
          <w:szCs w:val="22"/>
        </w:rPr>
      </w:pPr>
      <w:r w:rsidRPr="00E203CA">
        <w:rPr>
          <w:rFonts w:ascii="Arial" w:eastAsia="Arial Nova" w:hAnsi="Arial" w:cs="Arial"/>
          <w:iCs/>
          <w:color w:val="000000" w:themeColor="text1"/>
          <w:sz w:val="22"/>
          <w:szCs w:val="22"/>
        </w:rPr>
        <w:t xml:space="preserve">Reflecting on what I learned during this lesson, I utilised Gibbs' (1988) Reflective Cycle. Initially, I found it challenging to articulate my professional identity and strengths. However, as I progressed through the exercises, I gained a clearer understanding of my employability skills. The assessment stage highlighted that while I possess strong organisational and communication skills, there is room for improvement in my networking and leadership skills. </w:t>
      </w:r>
    </w:p>
    <w:p w14:paraId="74F66C57" w14:textId="57C8EDC8" w:rsidR="00725931" w:rsidRPr="00E203CA" w:rsidRDefault="00E203CA" w:rsidP="001944B0">
      <w:pPr>
        <w:spacing w:line="360" w:lineRule="auto"/>
        <w:jc w:val="both"/>
        <w:rPr>
          <w:rFonts w:ascii="Arial" w:eastAsia="Arial Nova" w:hAnsi="Arial" w:cs="Arial"/>
          <w:iCs/>
          <w:color w:val="000000" w:themeColor="text1"/>
          <w:sz w:val="22"/>
          <w:szCs w:val="22"/>
        </w:rPr>
      </w:pPr>
      <w:r w:rsidRPr="00E203CA">
        <w:rPr>
          <w:rFonts w:ascii="Arial" w:eastAsia="Arial Nova" w:hAnsi="Arial" w:cs="Arial"/>
          <w:iCs/>
          <w:color w:val="000000" w:themeColor="text1"/>
          <w:sz w:val="22"/>
          <w:szCs w:val="22"/>
        </w:rPr>
        <w:t>By focusing on these areas for development, I believe I can significantly enhance resident-centred care, improve compliance with the Care Quality Commission (CQC), and modernise care practices.</w:t>
      </w:r>
    </w:p>
    <w:p w14:paraId="73E5E505" w14:textId="166F0B72" w:rsidR="00704095" w:rsidRPr="00704095" w:rsidRDefault="00704095" w:rsidP="001944B0">
      <w:pPr>
        <w:spacing w:line="360" w:lineRule="auto"/>
        <w:jc w:val="both"/>
        <w:rPr>
          <w:rFonts w:ascii="Arial" w:eastAsia="Arial Nova" w:hAnsi="Arial" w:cs="Arial"/>
          <w:iCs/>
          <w:color w:val="000000" w:themeColor="text1"/>
          <w:sz w:val="22"/>
          <w:szCs w:val="22"/>
        </w:rPr>
      </w:pPr>
      <w:r w:rsidRPr="00704095">
        <w:rPr>
          <w:rFonts w:ascii="Arial" w:eastAsia="Arial Nova" w:hAnsi="Arial" w:cs="Arial"/>
          <w:iCs/>
          <w:color w:val="000000" w:themeColor="text1"/>
          <w:sz w:val="22"/>
          <w:szCs w:val="22"/>
        </w:rPr>
        <w:t>Research indicates that a professional identity is shaped through engagement with industry standards, receiving feedback, and engaging in reflective practice</w:t>
      </w:r>
      <w:r w:rsidR="001944B0">
        <w:rPr>
          <w:rFonts w:ascii="Arial" w:eastAsia="Arial Nova" w:hAnsi="Arial" w:cs="Arial"/>
          <w:iCs/>
          <w:color w:val="000000" w:themeColor="text1"/>
          <w:sz w:val="22"/>
          <w:szCs w:val="22"/>
        </w:rPr>
        <w:t xml:space="preserve"> (NHS Learning Hub, 2023)</w:t>
      </w:r>
      <w:r w:rsidRPr="00704095">
        <w:rPr>
          <w:rFonts w:ascii="Arial" w:eastAsia="Arial Nova" w:hAnsi="Arial" w:cs="Arial"/>
          <w:iCs/>
          <w:color w:val="000000" w:themeColor="text1"/>
          <w:sz w:val="22"/>
          <w:szCs w:val="22"/>
        </w:rPr>
        <w:t>. By grasping the importance of digital inclusion, the principles of equality, diversity, and inclusion (EDI), and effective change management, I have gained a clearer understanding of the skills essential for leadership in care. This knowledge has bolstered my confidence as I chart my career path.</w:t>
      </w:r>
    </w:p>
    <w:p w14:paraId="06F6AC41" w14:textId="4A80E802" w:rsidR="021F216E" w:rsidRPr="00704095" w:rsidRDefault="00704095" w:rsidP="00704095">
      <w:pPr>
        <w:spacing w:line="360" w:lineRule="auto"/>
        <w:rPr>
          <w:rFonts w:ascii="Arial" w:eastAsia="Arial Nova" w:hAnsi="Arial" w:cs="Arial"/>
          <w:iCs/>
          <w:color w:val="000000" w:themeColor="text1"/>
          <w:sz w:val="22"/>
          <w:szCs w:val="22"/>
        </w:rPr>
      </w:pPr>
      <w:r w:rsidRPr="00704095">
        <w:rPr>
          <w:rFonts w:ascii="Arial" w:eastAsia="Arial Nova" w:hAnsi="Arial" w:cs="Arial"/>
          <w:iCs/>
          <w:color w:val="000000" w:themeColor="text1"/>
          <w:sz w:val="22"/>
          <w:szCs w:val="22"/>
        </w:rPr>
        <w:t>Moreover, I have come to recognise the importance of strategic networking and continuous professional development. My action plan includes participating in leadership training, enhancing my digital literacy, and attending industry events. These steps will support my progression towards the role of care manager.</w:t>
      </w:r>
    </w:p>
    <w:p w14:paraId="632C106F" w14:textId="49338FCB" w:rsidR="021F216E" w:rsidRDefault="021F216E" w:rsidP="021F216E">
      <w:pPr>
        <w:rPr>
          <w:rFonts w:ascii="Arial Nova" w:eastAsia="Arial Nova" w:hAnsi="Arial Nova" w:cs="Arial Nova"/>
          <w:i/>
          <w:iCs/>
          <w:color w:val="000000" w:themeColor="text1"/>
        </w:rPr>
      </w:pPr>
    </w:p>
    <w:p w14:paraId="676F25E7" w14:textId="2EE7EBDC" w:rsidR="021F216E" w:rsidRDefault="021F216E" w:rsidP="021F216E">
      <w:pPr>
        <w:rPr>
          <w:rFonts w:ascii="Arial Nova" w:eastAsia="Arial Nova" w:hAnsi="Arial Nova" w:cs="Arial Nova"/>
          <w:i/>
          <w:iCs/>
          <w:color w:val="000000" w:themeColor="text1"/>
        </w:rPr>
      </w:pPr>
    </w:p>
    <w:p w14:paraId="125018DD" w14:textId="0A04E70D" w:rsidR="00725931" w:rsidRDefault="00725931" w:rsidP="021F216E">
      <w:pPr>
        <w:rPr>
          <w:rFonts w:ascii="Arial Nova" w:eastAsia="Arial Nova" w:hAnsi="Arial Nova" w:cs="Arial Nova"/>
          <w:i/>
          <w:iCs/>
          <w:color w:val="000000" w:themeColor="text1"/>
        </w:rPr>
      </w:pPr>
    </w:p>
    <w:p w14:paraId="79209F48" w14:textId="20E81B13" w:rsidR="00704095" w:rsidRDefault="00704095">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F328C8B" w14:textId="2B07DF1D" w:rsidR="00725931" w:rsidRPr="00627E11" w:rsidRDefault="00C8470E" w:rsidP="00F33D91">
      <w:pPr>
        <w:pStyle w:val="NormalWeb"/>
        <w:spacing w:line="360" w:lineRule="auto"/>
        <w:jc w:val="both"/>
        <w:rPr>
          <w:rFonts w:ascii="Arial" w:hAnsi="Arial" w:cs="Arial"/>
          <w:sz w:val="22"/>
          <w:szCs w:val="22"/>
        </w:rPr>
      </w:pPr>
      <w:r w:rsidRPr="00627E11">
        <w:rPr>
          <w:rFonts w:ascii="Arial" w:hAnsi="Arial" w:cs="Arial"/>
          <w:color w:val="3B383E"/>
          <w:sz w:val="22"/>
          <w:szCs w:val="22"/>
          <w:shd w:val="clear" w:color="auto" w:fill="FFFFFF"/>
        </w:rPr>
        <w:t xml:space="preserve">Cooper, C. L., Flint-Taylor, J., and </w:t>
      </w:r>
      <w:proofErr w:type="spellStart"/>
      <w:r w:rsidRPr="00627E11">
        <w:rPr>
          <w:rFonts w:ascii="Arial" w:hAnsi="Arial" w:cs="Arial"/>
          <w:color w:val="3B383E"/>
          <w:sz w:val="22"/>
          <w:szCs w:val="22"/>
          <w:shd w:val="clear" w:color="auto" w:fill="FFFFFF"/>
        </w:rPr>
        <w:t>Pearn</w:t>
      </w:r>
      <w:proofErr w:type="spellEnd"/>
      <w:r w:rsidRPr="00627E11">
        <w:rPr>
          <w:rFonts w:ascii="Arial" w:hAnsi="Arial" w:cs="Arial"/>
          <w:color w:val="3B383E"/>
          <w:sz w:val="22"/>
          <w:szCs w:val="22"/>
          <w:shd w:val="clear" w:color="auto" w:fill="FFFFFF"/>
        </w:rPr>
        <w:t>, M. (2013) </w:t>
      </w:r>
      <w:r w:rsidRPr="00627E11">
        <w:rPr>
          <w:rFonts w:ascii="Arial" w:hAnsi="Arial" w:cs="Arial"/>
          <w:i/>
          <w:iCs/>
          <w:color w:val="3B383E"/>
          <w:sz w:val="22"/>
          <w:szCs w:val="22"/>
          <w:shd w:val="clear" w:color="auto" w:fill="FFFFFF"/>
        </w:rPr>
        <w:t>Building Resilience for Success: A Resource for Managers and Organizations</w:t>
      </w:r>
      <w:r w:rsidRPr="00627E11">
        <w:rPr>
          <w:rFonts w:ascii="Arial" w:hAnsi="Arial" w:cs="Arial"/>
          <w:color w:val="3B383E"/>
          <w:sz w:val="22"/>
          <w:szCs w:val="22"/>
          <w:shd w:val="clear" w:color="auto" w:fill="FFFFFF"/>
        </w:rPr>
        <w:t> (1</w:t>
      </w:r>
      <w:r w:rsidRPr="00627E11">
        <w:rPr>
          <w:rFonts w:ascii="Arial" w:hAnsi="Arial" w:cs="Arial"/>
          <w:color w:val="3B383E"/>
          <w:sz w:val="22"/>
          <w:szCs w:val="22"/>
          <w:shd w:val="clear" w:color="auto" w:fill="FFFFFF"/>
          <w:vertAlign w:val="superscript"/>
        </w:rPr>
        <w:t>st</w:t>
      </w:r>
      <w:r w:rsidRPr="00627E11">
        <w:rPr>
          <w:rFonts w:ascii="Arial" w:hAnsi="Arial" w:cs="Arial"/>
          <w:color w:val="3B383E"/>
          <w:sz w:val="22"/>
          <w:szCs w:val="22"/>
          <w:shd w:val="clear" w:color="auto" w:fill="FFFFFF"/>
        </w:rPr>
        <w:t xml:space="preserve"> </w:t>
      </w:r>
      <w:proofErr w:type="spellStart"/>
      <w:r w:rsidRPr="00627E11">
        <w:rPr>
          <w:rFonts w:ascii="Arial" w:hAnsi="Arial" w:cs="Arial"/>
          <w:color w:val="3B383E"/>
          <w:sz w:val="22"/>
          <w:szCs w:val="22"/>
          <w:shd w:val="clear" w:color="auto" w:fill="FFFFFF"/>
        </w:rPr>
        <w:t>edn</w:t>
      </w:r>
      <w:proofErr w:type="spellEnd"/>
      <w:r w:rsidRPr="00627E11">
        <w:rPr>
          <w:rFonts w:ascii="Arial" w:hAnsi="Arial" w:cs="Arial"/>
          <w:color w:val="3B383E"/>
          <w:sz w:val="22"/>
          <w:szCs w:val="22"/>
          <w:shd w:val="clear" w:color="auto" w:fill="FFFFFF"/>
        </w:rPr>
        <w:t>). UK: Palgrave Macmillan.</w:t>
      </w:r>
    </w:p>
    <w:p w14:paraId="3C0E8148"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 xml:space="preserve">Cottrell, S. (2019) </w:t>
      </w:r>
      <w:r w:rsidRPr="00627E11">
        <w:rPr>
          <w:rStyle w:val="Emphasis"/>
          <w:rFonts w:ascii="Arial" w:eastAsiaTheme="majorEastAsia" w:hAnsi="Arial" w:cs="Arial"/>
          <w:sz w:val="22"/>
          <w:szCs w:val="22"/>
        </w:rPr>
        <w:t>The Study Skills Handbook</w:t>
      </w:r>
      <w:r w:rsidRPr="00627E11">
        <w:rPr>
          <w:rFonts w:ascii="Arial" w:hAnsi="Arial" w:cs="Arial"/>
          <w:sz w:val="22"/>
          <w:szCs w:val="22"/>
        </w:rPr>
        <w:t xml:space="preserve"> (5th </w:t>
      </w:r>
      <w:proofErr w:type="spellStart"/>
      <w:r w:rsidRPr="00627E11">
        <w:rPr>
          <w:rFonts w:ascii="Arial" w:hAnsi="Arial" w:cs="Arial"/>
          <w:sz w:val="22"/>
          <w:szCs w:val="22"/>
        </w:rPr>
        <w:t>edn</w:t>
      </w:r>
      <w:proofErr w:type="spellEnd"/>
      <w:r w:rsidRPr="00627E11">
        <w:rPr>
          <w:rFonts w:ascii="Arial" w:hAnsi="Arial" w:cs="Arial"/>
          <w:sz w:val="22"/>
          <w:szCs w:val="22"/>
        </w:rPr>
        <w:t>). London: Red Globe Press.</w:t>
      </w:r>
    </w:p>
    <w:p w14:paraId="1DB98E70" w14:textId="08C456B8" w:rsidR="00725931" w:rsidRPr="00627E11" w:rsidRDefault="008614AE" w:rsidP="00F33D91">
      <w:pPr>
        <w:pStyle w:val="NormalWeb"/>
        <w:spacing w:line="360" w:lineRule="auto"/>
        <w:jc w:val="both"/>
        <w:rPr>
          <w:rFonts w:ascii="Arial" w:hAnsi="Arial" w:cs="Arial"/>
          <w:sz w:val="22"/>
          <w:szCs w:val="22"/>
        </w:rPr>
      </w:pPr>
      <w:r w:rsidRPr="00627E11">
        <w:rPr>
          <w:rFonts w:ascii="Arial" w:hAnsi="Arial" w:cs="Arial"/>
          <w:sz w:val="22"/>
          <w:szCs w:val="22"/>
        </w:rPr>
        <w:t>Gibbs, G. (1988). Learning by Doing: A Guide to Teaching and Learning Methods. Oxford Polytechnic, Oxford: Further Education Unit.</w:t>
      </w:r>
    </w:p>
    <w:p w14:paraId="729A202C" w14:textId="2810B065" w:rsidR="00725931" w:rsidRPr="00627E11" w:rsidRDefault="004A741C" w:rsidP="004A741C">
      <w:pPr>
        <w:pStyle w:val="NormalWeb"/>
        <w:spacing w:line="360" w:lineRule="auto"/>
        <w:jc w:val="both"/>
        <w:rPr>
          <w:rFonts w:ascii="Arial" w:hAnsi="Arial" w:cs="Arial"/>
          <w:sz w:val="22"/>
          <w:szCs w:val="22"/>
        </w:rPr>
      </w:pPr>
      <w:r w:rsidRPr="00627E11">
        <w:rPr>
          <w:rFonts w:ascii="Arial" w:hAnsi="Arial" w:cs="Arial"/>
          <w:color w:val="232323"/>
          <w:sz w:val="22"/>
          <w:szCs w:val="22"/>
          <w:shd w:val="clear" w:color="auto" w:fill="FFFFFF"/>
        </w:rPr>
        <w:t xml:space="preserve">Goleman, D. P. (1995) </w:t>
      </w:r>
      <w:r w:rsidRPr="00627E11">
        <w:rPr>
          <w:rFonts w:ascii="Arial" w:hAnsi="Arial" w:cs="Arial"/>
          <w:i/>
          <w:color w:val="232323"/>
          <w:sz w:val="22"/>
          <w:szCs w:val="22"/>
          <w:shd w:val="clear" w:color="auto" w:fill="FFFFFF"/>
        </w:rPr>
        <w:t>Emotional intelligence: Why it can matter more than IQ for character, health and lifelong achievement.</w:t>
      </w:r>
      <w:r w:rsidRPr="00627E11">
        <w:rPr>
          <w:rFonts w:ascii="Arial" w:hAnsi="Arial" w:cs="Arial"/>
          <w:color w:val="232323"/>
          <w:sz w:val="22"/>
          <w:szCs w:val="22"/>
          <w:shd w:val="clear" w:color="auto" w:fill="FFFFFF"/>
        </w:rPr>
        <w:t xml:space="preserve"> New York: Bantam Books</w:t>
      </w:r>
      <w:r w:rsidR="00725931" w:rsidRPr="00627E11">
        <w:rPr>
          <w:rFonts w:ascii="Arial" w:hAnsi="Arial" w:cs="Arial"/>
          <w:sz w:val="22"/>
          <w:szCs w:val="22"/>
        </w:rPr>
        <w:t>.</w:t>
      </w:r>
    </w:p>
    <w:p w14:paraId="1DD12EC0" w14:textId="073EEDEF" w:rsidR="00725931" w:rsidRDefault="004A741C" w:rsidP="00F33D91">
      <w:pPr>
        <w:pStyle w:val="NormalWeb"/>
        <w:spacing w:line="360" w:lineRule="auto"/>
        <w:jc w:val="both"/>
        <w:rPr>
          <w:rFonts w:ascii="Arial" w:hAnsi="Arial" w:cs="Arial"/>
          <w:sz w:val="22"/>
          <w:szCs w:val="22"/>
        </w:rPr>
      </w:pPr>
      <w:proofErr w:type="spellStart"/>
      <w:r w:rsidRPr="00627E11">
        <w:rPr>
          <w:rFonts w:ascii="Arial" w:hAnsi="Arial" w:cs="Arial"/>
          <w:color w:val="333333"/>
          <w:sz w:val="22"/>
          <w:szCs w:val="22"/>
          <w:shd w:val="clear" w:color="auto" w:fill="FFFFFF"/>
        </w:rPr>
        <w:t>Krämer</w:t>
      </w:r>
      <w:proofErr w:type="spellEnd"/>
      <w:r w:rsidRPr="00627E11">
        <w:rPr>
          <w:rFonts w:ascii="Arial" w:hAnsi="Arial" w:cs="Arial"/>
          <w:color w:val="333333"/>
          <w:sz w:val="22"/>
          <w:szCs w:val="22"/>
          <w:shd w:val="clear" w:color="auto" w:fill="FFFFFF"/>
        </w:rPr>
        <w:t xml:space="preserve">, N. C., </w:t>
      </w:r>
      <w:r w:rsidR="002E5B05" w:rsidRPr="00627E11">
        <w:rPr>
          <w:rFonts w:ascii="Arial" w:hAnsi="Arial" w:cs="Arial"/>
          <w:color w:val="333333"/>
          <w:sz w:val="22"/>
          <w:szCs w:val="22"/>
          <w:shd w:val="clear" w:color="auto" w:fill="FFFFFF"/>
        </w:rPr>
        <w:t>Sauer, V., and Ellison, N. (2021)</w:t>
      </w:r>
      <w:r w:rsidRPr="00627E11">
        <w:rPr>
          <w:rFonts w:ascii="Arial" w:hAnsi="Arial" w:cs="Arial"/>
          <w:color w:val="333333"/>
          <w:sz w:val="22"/>
          <w:szCs w:val="22"/>
          <w:shd w:val="clear" w:color="auto" w:fill="FFFFFF"/>
        </w:rPr>
        <w:t xml:space="preserve"> </w:t>
      </w:r>
      <w:r w:rsidR="002E5B05" w:rsidRPr="00627E11">
        <w:rPr>
          <w:rFonts w:ascii="Arial" w:hAnsi="Arial" w:cs="Arial"/>
          <w:color w:val="333333"/>
          <w:sz w:val="22"/>
          <w:szCs w:val="22"/>
          <w:shd w:val="clear" w:color="auto" w:fill="FFFFFF"/>
        </w:rPr>
        <w:t>‘</w:t>
      </w:r>
      <w:r w:rsidRPr="00627E11">
        <w:rPr>
          <w:rFonts w:ascii="Arial" w:hAnsi="Arial" w:cs="Arial"/>
          <w:color w:val="333333"/>
          <w:sz w:val="22"/>
          <w:szCs w:val="22"/>
          <w:shd w:val="clear" w:color="auto" w:fill="FFFFFF"/>
        </w:rPr>
        <w:t>The Strength of Weak Ties Revisited: Further Evidence of the Role of Strong Ties in the Provision of Online Social Support</w:t>
      </w:r>
      <w:r w:rsidR="002E5B05" w:rsidRPr="00627E11">
        <w:rPr>
          <w:rFonts w:ascii="Arial" w:hAnsi="Arial" w:cs="Arial"/>
          <w:color w:val="333333"/>
          <w:sz w:val="22"/>
          <w:szCs w:val="22"/>
          <w:shd w:val="clear" w:color="auto" w:fill="FFFFFF"/>
        </w:rPr>
        <w:t>’,</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Social Media + Society</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7</w:t>
      </w:r>
      <w:r w:rsidRPr="00627E11">
        <w:rPr>
          <w:rFonts w:ascii="Arial" w:hAnsi="Arial" w:cs="Arial"/>
          <w:color w:val="333333"/>
          <w:sz w:val="22"/>
          <w:szCs w:val="22"/>
          <w:shd w:val="clear" w:color="auto" w:fill="FFFFFF"/>
        </w:rPr>
        <w:t>(2)</w:t>
      </w:r>
      <w:r w:rsidR="00725931" w:rsidRPr="00627E11">
        <w:rPr>
          <w:rFonts w:ascii="Arial" w:hAnsi="Arial" w:cs="Arial"/>
          <w:sz w:val="22"/>
          <w:szCs w:val="22"/>
        </w:rPr>
        <w:t>.</w:t>
      </w:r>
    </w:p>
    <w:p w14:paraId="7351C49F" w14:textId="77777777" w:rsidR="006F3A92" w:rsidRPr="00627E11" w:rsidRDefault="006F3A92" w:rsidP="006F3A92">
      <w:pPr>
        <w:pStyle w:val="NormalWeb"/>
        <w:spacing w:line="360" w:lineRule="auto"/>
        <w:jc w:val="both"/>
        <w:rPr>
          <w:rFonts w:ascii="Arial" w:hAnsi="Arial" w:cs="Arial"/>
          <w:sz w:val="22"/>
          <w:szCs w:val="22"/>
        </w:rPr>
      </w:pPr>
      <w:proofErr w:type="spellStart"/>
      <w:r w:rsidRPr="00627E11">
        <w:rPr>
          <w:rFonts w:ascii="Arial" w:hAnsi="Arial" w:cs="Arial"/>
          <w:color w:val="333333"/>
          <w:sz w:val="22"/>
          <w:szCs w:val="22"/>
          <w:shd w:val="clear" w:color="auto" w:fill="FFFFFF"/>
        </w:rPr>
        <w:t>Helsper</w:t>
      </w:r>
      <w:proofErr w:type="spellEnd"/>
      <w:r w:rsidRPr="00627E11">
        <w:rPr>
          <w:rFonts w:ascii="Arial" w:hAnsi="Arial" w:cs="Arial"/>
          <w:color w:val="333333"/>
          <w:sz w:val="22"/>
          <w:szCs w:val="22"/>
          <w:shd w:val="clear" w:color="auto" w:fill="FFFFFF"/>
        </w:rPr>
        <w:t xml:space="preserve">, E. J., and </w:t>
      </w:r>
      <w:proofErr w:type="spellStart"/>
      <w:r w:rsidRPr="00627E11">
        <w:rPr>
          <w:rFonts w:ascii="Arial" w:hAnsi="Arial" w:cs="Arial"/>
          <w:color w:val="333333"/>
          <w:sz w:val="22"/>
          <w:szCs w:val="22"/>
          <w:shd w:val="clear" w:color="auto" w:fill="FFFFFF"/>
        </w:rPr>
        <w:t>Reisdorf</w:t>
      </w:r>
      <w:proofErr w:type="spellEnd"/>
      <w:r w:rsidRPr="00627E11">
        <w:rPr>
          <w:rFonts w:ascii="Arial" w:hAnsi="Arial" w:cs="Arial"/>
          <w:color w:val="333333"/>
          <w:sz w:val="22"/>
          <w:szCs w:val="22"/>
          <w:shd w:val="clear" w:color="auto" w:fill="FFFFFF"/>
        </w:rPr>
        <w:t>, B. C. (2016) ‘The emergence of a “digital underclass” in Great Britain and Sweden: Changing reasons for digital exclusion’, </w:t>
      </w:r>
      <w:r w:rsidRPr="00627E11">
        <w:rPr>
          <w:rFonts w:ascii="Arial" w:hAnsi="Arial" w:cs="Arial"/>
          <w:i/>
          <w:iCs/>
          <w:color w:val="333333"/>
          <w:sz w:val="22"/>
          <w:szCs w:val="22"/>
          <w:shd w:val="clear" w:color="auto" w:fill="FFFFFF"/>
        </w:rPr>
        <w:t>New Media &amp; Society</w:t>
      </w:r>
      <w:r w:rsidRPr="00627E11">
        <w:rPr>
          <w:rFonts w:ascii="Arial" w:hAnsi="Arial" w:cs="Arial"/>
          <w:color w:val="333333"/>
          <w:sz w:val="22"/>
          <w:szCs w:val="22"/>
          <w:shd w:val="clear" w:color="auto" w:fill="FFFFFF"/>
        </w:rPr>
        <w:t>, </w:t>
      </w:r>
      <w:r w:rsidRPr="00627E11">
        <w:rPr>
          <w:rFonts w:ascii="Arial" w:hAnsi="Arial" w:cs="Arial"/>
          <w:i/>
          <w:iCs/>
          <w:color w:val="333333"/>
          <w:sz w:val="22"/>
          <w:szCs w:val="22"/>
          <w:shd w:val="clear" w:color="auto" w:fill="FFFFFF"/>
        </w:rPr>
        <w:t>19</w:t>
      </w:r>
      <w:r w:rsidRPr="00627E11">
        <w:rPr>
          <w:rFonts w:ascii="Arial" w:hAnsi="Arial" w:cs="Arial"/>
          <w:color w:val="333333"/>
          <w:sz w:val="22"/>
          <w:szCs w:val="22"/>
          <w:shd w:val="clear" w:color="auto" w:fill="FFFFFF"/>
        </w:rPr>
        <w:t>(8), 1253-1270.</w:t>
      </w:r>
    </w:p>
    <w:p w14:paraId="143A8D6B" w14:textId="5FF1DFCE" w:rsidR="00866495" w:rsidRPr="00627E11" w:rsidRDefault="00866495" w:rsidP="00F33D91">
      <w:pPr>
        <w:pStyle w:val="NormalWeb"/>
        <w:spacing w:line="360" w:lineRule="auto"/>
        <w:jc w:val="both"/>
        <w:rPr>
          <w:rFonts w:ascii="Arial" w:hAnsi="Arial" w:cs="Arial"/>
          <w:sz w:val="22"/>
          <w:szCs w:val="22"/>
        </w:rPr>
      </w:pPr>
      <w:proofErr w:type="spellStart"/>
      <w:r>
        <w:rPr>
          <w:rFonts w:ascii="Helvetica" w:hAnsi="Helvetica"/>
          <w:color w:val="222222"/>
          <w:shd w:val="clear" w:color="auto" w:fill="FFFFFF"/>
        </w:rPr>
        <w:t>Heuss</w:t>
      </w:r>
      <w:proofErr w:type="spellEnd"/>
      <w:r>
        <w:rPr>
          <w:rFonts w:ascii="Helvetica" w:hAnsi="Helvetica"/>
          <w:color w:val="222222"/>
          <w:shd w:val="clear" w:color="auto" w:fill="FFFFFF"/>
        </w:rPr>
        <w:t xml:space="preserve">, S.C., </w:t>
      </w:r>
      <w:r w:rsidR="006F3A92">
        <w:rPr>
          <w:rFonts w:ascii="Helvetica" w:hAnsi="Helvetica"/>
          <w:color w:val="222222"/>
          <w:shd w:val="clear" w:color="auto" w:fill="FFFFFF"/>
        </w:rPr>
        <w:t xml:space="preserve">and </w:t>
      </w:r>
      <w:proofErr w:type="spellStart"/>
      <w:r>
        <w:rPr>
          <w:rFonts w:ascii="Helvetica" w:hAnsi="Helvetica"/>
          <w:color w:val="222222"/>
          <w:shd w:val="clear" w:color="auto" w:fill="FFFFFF"/>
        </w:rPr>
        <w:t>Datta</w:t>
      </w:r>
      <w:proofErr w:type="spellEnd"/>
      <w:r>
        <w:rPr>
          <w:rFonts w:ascii="Helvetica" w:hAnsi="Helvetica"/>
          <w:color w:val="222222"/>
          <w:shd w:val="clear" w:color="auto" w:fill="FFFFFF"/>
        </w:rPr>
        <w:t xml:space="preserve">, S. </w:t>
      </w:r>
      <w:r w:rsidR="006F3A92">
        <w:rPr>
          <w:rFonts w:ascii="Helvetica" w:hAnsi="Helvetica"/>
          <w:color w:val="222222"/>
          <w:shd w:val="clear" w:color="auto" w:fill="FFFFFF"/>
        </w:rPr>
        <w:t>(2023) ‘</w:t>
      </w:r>
      <w:r>
        <w:rPr>
          <w:rFonts w:ascii="Helvetica" w:hAnsi="Helvetica"/>
          <w:color w:val="222222"/>
          <w:shd w:val="clear" w:color="auto" w:fill="FFFFFF"/>
        </w:rPr>
        <w:t>Impact of leadership communication on job satisfaction and well-being of physicians</w:t>
      </w:r>
      <w:r w:rsidR="006F3A92">
        <w:rPr>
          <w:rFonts w:ascii="Helvetica" w:hAnsi="Helvetica"/>
          <w:color w:val="222222"/>
          <w:shd w:val="clear" w:color="auto" w:fill="FFFFFF"/>
        </w:rPr>
        <w:t>’,</w:t>
      </w:r>
      <w:r>
        <w:rPr>
          <w:rFonts w:ascii="Helvetica" w:hAnsi="Helvetica"/>
          <w:color w:val="222222"/>
          <w:shd w:val="clear" w:color="auto" w:fill="FFFFFF"/>
        </w:rPr>
        <w:t> </w:t>
      </w:r>
      <w:proofErr w:type="spellStart"/>
      <w:r>
        <w:rPr>
          <w:rFonts w:ascii="Helvetica" w:hAnsi="Helvetica"/>
          <w:i/>
          <w:iCs/>
          <w:color w:val="222222"/>
          <w:shd w:val="clear" w:color="auto" w:fill="FFFFFF"/>
        </w:rPr>
        <w:t>Discov</w:t>
      </w:r>
      <w:proofErr w:type="spellEnd"/>
      <w:r>
        <w:rPr>
          <w:rFonts w:ascii="Helvetica" w:hAnsi="Helvetica"/>
          <w:i/>
          <w:iCs/>
          <w:color w:val="222222"/>
          <w:shd w:val="clear" w:color="auto" w:fill="FFFFFF"/>
        </w:rPr>
        <w:t xml:space="preserve"> glob </w:t>
      </w:r>
      <w:proofErr w:type="spellStart"/>
      <w:r>
        <w:rPr>
          <w:rFonts w:ascii="Helvetica" w:hAnsi="Helvetica"/>
          <w:i/>
          <w:iCs/>
          <w:color w:val="222222"/>
          <w:shd w:val="clear" w:color="auto" w:fill="FFFFFF"/>
        </w:rPr>
        <w:t>soc</w:t>
      </w:r>
      <w:proofErr w:type="spellEnd"/>
      <w:r>
        <w:rPr>
          <w:rFonts w:ascii="Helvetica" w:hAnsi="Helvetica"/>
          <w:color w:val="222222"/>
          <w:shd w:val="clear" w:color="auto" w:fill="FFFFFF"/>
        </w:rPr>
        <w:t> </w:t>
      </w:r>
      <w:r>
        <w:rPr>
          <w:rFonts w:ascii="Helvetica" w:hAnsi="Helvetica"/>
          <w:b/>
          <w:bCs/>
          <w:color w:val="222222"/>
          <w:shd w:val="clear" w:color="auto" w:fill="FFFFFF"/>
        </w:rPr>
        <w:t>1</w:t>
      </w:r>
      <w:r w:rsidR="006F3A92">
        <w:rPr>
          <w:rFonts w:ascii="Helvetica" w:hAnsi="Helvetica"/>
          <w:color w:val="222222"/>
          <w:shd w:val="clear" w:color="auto" w:fill="FFFFFF"/>
        </w:rPr>
        <w:t>, 11</w:t>
      </w:r>
      <w:r>
        <w:rPr>
          <w:rFonts w:ascii="Helvetica" w:hAnsi="Helvetica"/>
          <w:color w:val="222222"/>
          <w:shd w:val="clear" w:color="auto" w:fill="FFFFFF"/>
        </w:rPr>
        <w:t>. </w:t>
      </w:r>
    </w:p>
    <w:p w14:paraId="4ABFDC35" w14:textId="77777777" w:rsidR="00725931" w:rsidRPr="00627E11" w:rsidRDefault="00725931" w:rsidP="00F33D91">
      <w:pPr>
        <w:pStyle w:val="NormalWeb"/>
        <w:spacing w:line="360" w:lineRule="auto"/>
        <w:jc w:val="both"/>
        <w:rPr>
          <w:rFonts w:ascii="Arial" w:hAnsi="Arial" w:cs="Arial"/>
          <w:sz w:val="22"/>
          <w:szCs w:val="22"/>
        </w:rPr>
      </w:pPr>
      <w:r w:rsidRPr="00627E11">
        <w:rPr>
          <w:rFonts w:ascii="Arial" w:hAnsi="Arial" w:cs="Arial"/>
          <w:sz w:val="22"/>
          <w:szCs w:val="22"/>
        </w:rPr>
        <w:t xml:space="preserve">Kotter, J. (1996) </w:t>
      </w:r>
      <w:r w:rsidRPr="00627E11">
        <w:rPr>
          <w:rStyle w:val="Emphasis"/>
          <w:rFonts w:ascii="Arial" w:eastAsiaTheme="majorEastAsia" w:hAnsi="Arial" w:cs="Arial"/>
          <w:sz w:val="22"/>
          <w:szCs w:val="22"/>
        </w:rPr>
        <w:t>Leading Change</w:t>
      </w:r>
      <w:r w:rsidRPr="00627E11">
        <w:rPr>
          <w:rFonts w:ascii="Arial" w:hAnsi="Arial" w:cs="Arial"/>
          <w:sz w:val="22"/>
          <w:szCs w:val="22"/>
        </w:rPr>
        <w:t>. Boston: Harvard Business School Press.</w:t>
      </w:r>
    </w:p>
    <w:p w14:paraId="03E0CD99" w14:textId="1C089A0B" w:rsidR="00725931" w:rsidRPr="00627E11" w:rsidRDefault="00725931" w:rsidP="00F33D91">
      <w:pPr>
        <w:pStyle w:val="NormalWeb"/>
        <w:spacing w:line="360" w:lineRule="auto"/>
        <w:jc w:val="both"/>
        <w:rPr>
          <w:rFonts w:ascii="Arial" w:hAnsi="Arial" w:cs="Arial"/>
          <w:sz w:val="22"/>
          <w:szCs w:val="22"/>
        </w:rPr>
      </w:pPr>
      <w:r w:rsidRPr="00627E11">
        <w:rPr>
          <w:rFonts w:ascii="Arial" w:hAnsi="Arial" w:cs="Arial"/>
          <w:sz w:val="22"/>
          <w:szCs w:val="22"/>
        </w:rPr>
        <w:t xml:space="preserve">NHS </w:t>
      </w:r>
      <w:r w:rsidR="00627E11" w:rsidRPr="00627E11">
        <w:rPr>
          <w:rFonts w:ascii="Arial" w:hAnsi="Arial" w:cs="Arial"/>
          <w:sz w:val="22"/>
          <w:szCs w:val="22"/>
        </w:rPr>
        <w:t>Transformation Directorate (2021</w:t>
      </w:r>
      <w:r w:rsidRPr="00627E11">
        <w:rPr>
          <w:rFonts w:ascii="Arial" w:hAnsi="Arial" w:cs="Arial"/>
          <w:sz w:val="22"/>
          <w:szCs w:val="22"/>
        </w:rPr>
        <w:t xml:space="preserve">) </w:t>
      </w:r>
      <w:r w:rsidR="00627E11" w:rsidRPr="00627E11">
        <w:rPr>
          <w:rStyle w:val="Emphasis"/>
          <w:rFonts w:ascii="Arial" w:eastAsiaTheme="majorEastAsia" w:hAnsi="Arial" w:cs="Arial"/>
          <w:sz w:val="22"/>
          <w:szCs w:val="22"/>
        </w:rPr>
        <w:t>What Good Looks Like framework</w:t>
      </w:r>
      <w:r w:rsidRPr="00627E11">
        <w:rPr>
          <w:rFonts w:ascii="Arial" w:hAnsi="Arial" w:cs="Arial"/>
          <w:sz w:val="22"/>
          <w:szCs w:val="22"/>
        </w:rPr>
        <w:t xml:space="preserve">. Available at: </w:t>
      </w:r>
      <w:hyperlink r:id="rId8" w:history="1">
        <w:r w:rsidR="00627E11" w:rsidRPr="00627E11">
          <w:rPr>
            <w:rStyle w:val="Hyperlink"/>
            <w:rFonts w:ascii="Arial" w:hAnsi="Arial" w:cs="Arial"/>
            <w:sz w:val="22"/>
            <w:szCs w:val="22"/>
          </w:rPr>
          <w:t>https://transform.england.nhs.uk/digitise-connect-transform/what-good-looks-like/what-good-looks-like-publication/</w:t>
        </w:r>
      </w:hyperlink>
      <w:r w:rsidR="00627E11" w:rsidRPr="00627E11">
        <w:rPr>
          <w:rFonts w:ascii="Arial" w:hAnsi="Arial" w:cs="Arial"/>
          <w:sz w:val="22"/>
          <w:szCs w:val="22"/>
        </w:rPr>
        <w:t xml:space="preserve"> </w:t>
      </w:r>
      <w:r w:rsidRPr="00627E11">
        <w:rPr>
          <w:rFonts w:ascii="Arial" w:hAnsi="Arial" w:cs="Arial"/>
          <w:sz w:val="22"/>
          <w:szCs w:val="22"/>
        </w:rPr>
        <w:t>(Accessed: 14 Feb 2025).</w:t>
      </w:r>
    </w:p>
    <w:p w14:paraId="5B8F1D9D"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 xml:space="preserve">NHS Learning Hub (2023) </w:t>
      </w:r>
      <w:r w:rsidRPr="00627E11">
        <w:rPr>
          <w:rStyle w:val="Emphasis"/>
          <w:rFonts w:ascii="Arial" w:eastAsiaTheme="majorEastAsia" w:hAnsi="Arial" w:cs="Arial"/>
          <w:sz w:val="22"/>
          <w:szCs w:val="22"/>
        </w:rPr>
        <w:t>NHS Equality, Diversity and Inclusion Improvement Plan</w:t>
      </w:r>
      <w:r w:rsidRPr="00627E11">
        <w:rPr>
          <w:rFonts w:ascii="Arial" w:hAnsi="Arial" w:cs="Arial"/>
          <w:sz w:val="22"/>
          <w:szCs w:val="22"/>
        </w:rPr>
        <w:t xml:space="preserve">. Available at:  </w:t>
      </w:r>
      <w:hyperlink r:id="rId9" w:history="1">
        <w:r w:rsidRPr="00627E11">
          <w:rPr>
            <w:rStyle w:val="Hyperlink"/>
            <w:rFonts w:ascii="Arial" w:eastAsiaTheme="majorEastAsia" w:hAnsi="Arial" w:cs="Arial"/>
            <w:sz w:val="22"/>
            <w:szCs w:val="22"/>
          </w:rPr>
          <w:t>https://learninghub.nhs.uk/Resource/43786/Item</w:t>
        </w:r>
      </w:hyperlink>
      <w:r w:rsidRPr="00627E11">
        <w:rPr>
          <w:rFonts w:ascii="Arial" w:eastAsiaTheme="majorEastAsia" w:hAnsi="Arial" w:cs="Arial"/>
          <w:sz w:val="22"/>
          <w:szCs w:val="22"/>
        </w:rPr>
        <w:t xml:space="preserve"> </w:t>
      </w:r>
      <w:r w:rsidRPr="00627E11">
        <w:rPr>
          <w:rFonts w:ascii="Arial" w:hAnsi="Arial" w:cs="Arial"/>
          <w:sz w:val="22"/>
          <w:szCs w:val="22"/>
        </w:rPr>
        <w:t>(Accessed: 11 November 2025).</w:t>
      </w:r>
    </w:p>
    <w:p w14:paraId="623C2299" w14:textId="548FAB67" w:rsidR="00725931" w:rsidRPr="008E2F6F" w:rsidRDefault="008E2F6F" w:rsidP="00F33D91">
      <w:pPr>
        <w:pStyle w:val="NormalWeb"/>
        <w:spacing w:line="360" w:lineRule="auto"/>
        <w:jc w:val="both"/>
        <w:rPr>
          <w:rFonts w:ascii="Arial" w:hAnsi="Arial" w:cs="Arial"/>
          <w:sz w:val="22"/>
          <w:szCs w:val="22"/>
        </w:rPr>
      </w:pPr>
      <w:r w:rsidRPr="008E2F6F">
        <w:rPr>
          <w:rFonts w:ascii="Arial" w:hAnsi="Arial" w:cs="Arial"/>
          <w:color w:val="232323"/>
          <w:sz w:val="22"/>
          <w:szCs w:val="22"/>
          <w:shd w:val="clear" w:color="auto" w:fill="FFFFFF"/>
        </w:rPr>
        <w:t xml:space="preserve">PMI (2021) </w:t>
      </w:r>
      <w:r w:rsidRPr="008E2F6F">
        <w:rPr>
          <w:rFonts w:ascii="Arial" w:hAnsi="Arial" w:cs="Arial"/>
          <w:i/>
          <w:color w:val="232323"/>
          <w:sz w:val="22"/>
          <w:szCs w:val="22"/>
          <w:shd w:val="clear" w:color="auto" w:fill="FFFFFF"/>
        </w:rPr>
        <w:t>The Standard for Project Management and a Guide to the Project Management Body of Knowledge</w:t>
      </w:r>
      <w:r w:rsidRPr="008E2F6F">
        <w:rPr>
          <w:rFonts w:ascii="Arial" w:hAnsi="Arial" w:cs="Arial"/>
          <w:color w:val="232323"/>
          <w:sz w:val="22"/>
          <w:szCs w:val="22"/>
          <w:shd w:val="clear" w:color="auto" w:fill="FFFFFF"/>
        </w:rPr>
        <w:t xml:space="preserve"> (7</w:t>
      </w:r>
      <w:proofErr w:type="gramStart"/>
      <w:r w:rsidRPr="008E2F6F">
        <w:rPr>
          <w:rFonts w:ascii="Arial" w:hAnsi="Arial" w:cs="Arial"/>
          <w:color w:val="232323"/>
          <w:sz w:val="22"/>
          <w:szCs w:val="22"/>
          <w:shd w:val="clear" w:color="auto" w:fill="FFFFFF"/>
          <w:vertAlign w:val="superscript"/>
        </w:rPr>
        <w:t>th</w:t>
      </w:r>
      <w:r w:rsidRPr="008E2F6F">
        <w:rPr>
          <w:rFonts w:ascii="Arial" w:hAnsi="Arial" w:cs="Arial"/>
          <w:color w:val="232323"/>
          <w:sz w:val="22"/>
          <w:szCs w:val="22"/>
          <w:shd w:val="clear" w:color="auto" w:fill="FFFFFF"/>
        </w:rPr>
        <w:t xml:space="preserve">  </w:t>
      </w:r>
      <w:proofErr w:type="spellStart"/>
      <w:r w:rsidRPr="008E2F6F">
        <w:rPr>
          <w:rFonts w:ascii="Arial" w:hAnsi="Arial" w:cs="Arial"/>
          <w:color w:val="232323"/>
          <w:sz w:val="22"/>
          <w:szCs w:val="22"/>
          <w:shd w:val="clear" w:color="auto" w:fill="FFFFFF"/>
        </w:rPr>
        <w:t>edn</w:t>
      </w:r>
      <w:proofErr w:type="spellEnd"/>
      <w:proofErr w:type="gramEnd"/>
      <w:r w:rsidRPr="008E2F6F">
        <w:rPr>
          <w:rFonts w:ascii="Arial" w:hAnsi="Arial" w:cs="Arial"/>
          <w:color w:val="232323"/>
          <w:sz w:val="22"/>
          <w:szCs w:val="22"/>
          <w:shd w:val="clear" w:color="auto" w:fill="FFFFFF"/>
        </w:rPr>
        <w:t>). Pennsylvania, USA: PMBOK Guide, Project Management Institute (PMI).</w:t>
      </w:r>
    </w:p>
    <w:p w14:paraId="38083461" w14:textId="539FCB25" w:rsidR="00725931" w:rsidRDefault="00725931" w:rsidP="00F33D91">
      <w:pPr>
        <w:pStyle w:val="NormalWeb"/>
        <w:spacing w:line="360" w:lineRule="auto"/>
        <w:jc w:val="both"/>
        <w:rPr>
          <w:rFonts w:ascii="Arial" w:hAnsi="Arial" w:cs="Arial"/>
        </w:rPr>
      </w:pPr>
      <w:r w:rsidRPr="00F33D91">
        <w:rPr>
          <w:rFonts w:ascii="Arial" w:hAnsi="Arial" w:cs="Arial"/>
        </w:rPr>
        <w:lastRenderedPageBreak/>
        <w:t xml:space="preserve">Putnam, R. (2000) </w:t>
      </w:r>
      <w:r w:rsidRPr="00F33D91">
        <w:rPr>
          <w:rStyle w:val="Emphasis"/>
          <w:rFonts w:ascii="Arial" w:eastAsiaTheme="majorEastAsia" w:hAnsi="Arial" w:cs="Arial"/>
        </w:rPr>
        <w:t>Bowling Alone: The Collapse and Revival of American Community</w:t>
      </w:r>
      <w:r w:rsidRPr="00F33D91">
        <w:rPr>
          <w:rFonts w:ascii="Arial" w:hAnsi="Arial" w:cs="Arial"/>
        </w:rPr>
        <w:t>. New York: Simon &amp; Schuster.</w:t>
      </w:r>
    </w:p>
    <w:p w14:paraId="08294CC1" w14:textId="77777777" w:rsidR="006F3A92" w:rsidRPr="00627E11" w:rsidRDefault="006F3A92" w:rsidP="006F3A92">
      <w:pPr>
        <w:pStyle w:val="NormalWeb"/>
        <w:spacing w:line="360" w:lineRule="auto"/>
        <w:jc w:val="both"/>
        <w:rPr>
          <w:rFonts w:ascii="Arial" w:hAnsi="Arial" w:cs="Arial"/>
          <w:sz w:val="22"/>
          <w:szCs w:val="22"/>
        </w:rPr>
      </w:pPr>
      <w:r w:rsidRPr="00627E11">
        <w:rPr>
          <w:rFonts w:ascii="Arial" w:hAnsi="Arial" w:cs="Arial"/>
          <w:sz w:val="22"/>
          <w:szCs w:val="22"/>
        </w:rPr>
        <w:t>Wilson-</w:t>
      </w:r>
      <w:proofErr w:type="spellStart"/>
      <w:r w:rsidRPr="00627E11">
        <w:rPr>
          <w:rFonts w:ascii="Arial" w:hAnsi="Arial" w:cs="Arial"/>
          <w:sz w:val="22"/>
          <w:szCs w:val="22"/>
        </w:rPr>
        <w:t>Menzfeld</w:t>
      </w:r>
      <w:proofErr w:type="spellEnd"/>
      <w:r w:rsidRPr="00627E11">
        <w:rPr>
          <w:rFonts w:ascii="Arial" w:hAnsi="Arial" w:cs="Arial"/>
          <w:sz w:val="22"/>
          <w:szCs w:val="22"/>
        </w:rPr>
        <w:t xml:space="preserve">, G., </w:t>
      </w:r>
      <w:proofErr w:type="spellStart"/>
      <w:r w:rsidRPr="00627E11">
        <w:rPr>
          <w:rFonts w:ascii="Arial" w:hAnsi="Arial" w:cs="Arial"/>
          <w:sz w:val="22"/>
          <w:szCs w:val="22"/>
        </w:rPr>
        <w:t>Erfani</w:t>
      </w:r>
      <w:proofErr w:type="spellEnd"/>
      <w:r w:rsidRPr="00627E11">
        <w:rPr>
          <w:rFonts w:ascii="Arial" w:hAnsi="Arial" w:cs="Arial"/>
          <w:sz w:val="22"/>
          <w:szCs w:val="22"/>
        </w:rPr>
        <w:t xml:space="preserve">, G., Young-Murphy, L., Charlton, W., De Luca, H., </w:t>
      </w:r>
      <w:proofErr w:type="spellStart"/>
      <w:r w:rsidRPr="00627E11">
        <w:rPr>
          <w:rFonts w:ascii="Arial" w:hAnsi="Arial" w:cs="Arial"/>
          <w:sz w:val="22"/>
          <w:szCs w:val="22"/>
        </w:rPr>
        <w:t>Brittain</w:t>
      </w:r>
      <w:proofErr w:type="spellEnd"/>
      <w:r w:rsidRPr="00627E11">
        <w:rPr>
          <w:rFonts w:ascii="Arial" w:hAnsi="Arial" w:cs="Arial"/>
          <w:sz w:val="22"/>
          <w:szCs w:val="22"/>
        </w:rPr>
        <w:t xml:space="preserve">, K., and Steven, A. (2024) ‘Identifying and understanding digital exclusion: a mixed-methods study’, </w:t>
      </w:r>
      <w:r w:rsidRPr="00627E11">
        <w:rPr>
          <w:rFonts w:ascii="Arial" w:hAnsi="Arial" w:cs="Arial"/>
          <w:i/>
          <w:sz w:val="22"/>
          <w:szCs w:val="22"/>
        </w:rPr>
        <w:t>Behaviour &amp; Information Technology</w:t>
      </w:r>
      <w:r w:rsidRPr="00627E11">
        <w:rPr>
          <w:rFonts w:ascii="Arial" w:hAnsi="Arial" w:cs="Arial"/>
          <w:sz w:val="22"/>
          <w:szCs w:val="22"/>
        </w:rPr>
        <w:t>, 44(8), 1649–1666.</w:t>
      </w:r>
    </w:p>
    <w:p w14:paraId="45701BE0" w14:textId="7D4B00E2" w:rsidR="021F216E" w:rsidRPr="00F33D91" w:rsidRDefault="00F33D91" w:rsidP="00F33D91">
      <w:pPr>
        <w:spacing w:line="360" w:lineRule="auto"/>
        <w:jc w:val="both"/>
        <w:rPr>
          <w:rFonts w:ascii="Arial" w:eastAsia="Aptos" w:hAnsi="Arial" w:cs="Arial"/>
          <w:color w:val="000000" w:themeColor="text1"/>
          <w:sz w:val="44"/>
          <w:szCs w:val="44"/>
        </w:rPr>
      </w:pPr>
      <w:proofErr w:type="spellStart"/>
      <w:r w:rsidRPr="00F33D91">
        <w:rPr>
          <w:rFonts w:ascii="Arial" w:hAnsi="Arial" w:cs="Arial"/>
        </w:rPr>
        <w:t>Yorke</w:t>
      </w:r>
      <w:proofErr w:type="spellEnd"/>
      <w:r w:rsidRPr="00F33D91">
        <w:rPr>
          <w:rFonts w:ascii="Arial" w:hAnsi="Arial" w:cs="Arial"/>
        </w:rPr>
        <w:t xml:space="preserve">, M. (2006) </w:t>
      </w:r>
      <w:r w:rsidRPr="00F33D91">
        <w:rPr>
          <w:rStyle w:val="Emphasis"/>
          <w:rFonts w:ascii="Arial" w:hAnsi="Arial" w:cs="Arial"/>
        </w:rPr>
        <w:t>Employability in Higher Education: What It Is – What It Is Not</w:t>
      </w:r>
      <w:r w:rsidRPr="00F33D91">
        <w:rPr>
          <w:rFonts w:ascii="Arial" w:hAnsi="Arial" w:cs="Arial"/>
        </w:rPr>
        <w:t>. York: Higher Education Academy.</w:t>
      </w: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A4C73" w14:textId="77777777" w:rsidR="00344EF2" w:rsidRDefault="00344EF2">
      <w:pPr>
        <w:spacing w:after="0" w:line="240" w:lineRule="auto"/>
      </w:pPr>
    </w:p>
  </w:endnote>
  <w:endnote w:type="continuationSeparator" w:id="0">
    <w:p w14:paraId="34E7ED3C" w14:textId="77777777" w:rsidR="00344EF2" w:rsidRDefault="00344E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Nova">
    <w:altName w:val="Arial"/>
    <w:charset w:val="00"/>
    <w:family w:val="swiss"/>
    <w:pitch w:val="variable"/>
    <w:sig w:usb0="00000001"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873086"/>
      <w:docPartObj>
        <w:docPartGallery w:val="Page Numbers (Bottom of Page)"/>
        <w:docPartUnique/>
      </w:docPartObj>
    </w:sdtPr>
    <w:sdtEndPr>
      <w:rPr>
        <w:noProof/>
      </w:rPr>
    </w:sdtEndPr>
    <w:sdtContent>
      <w:p w14:paraId="257C81CA" w14:textId="78A19323" w:rsidR="00B7418E" w:rsidRDefault="00B7418E">
        <w:pPr>
          <w:pStyle w:val="Footer"/>
          <w:jc w:val="center"/>
        </w:pPr>
        <w:r>
          <w:fldChar w:fldCharType="begin"/>
        </w:r>
        <w:r>
          <w:instrText xml:space="preserve"> PAGE   \* MERGEFORMAT </w:instrText>
        </w:r>
        <w:r>
          <w:fldChar w:fldCharType="separate"/>
        </w:r>
        <w:r w:rsidR="00317D60">
          <w:rPr>
            <w:noProof/>
          </w:rPr>
          <w:t>12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E84B9" w14:textId="77777777" w:rsidR="00344EF2" w:rsidRDefault="00344EF2">
      <w:pPr>
        <w:spacing w:after="0" w:line="240" w:lineRule="auto"/>
      </w:pPr>
    </w:p>
  </w:footnote>
  <w:footnote w:type="continuationSeparator" w:id="0">
    <w:p w14:paraId="3357BDEA" w14:textId="77777777" w:rsidR="00344EF2" w:rsidRDefault="00344EF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D7E"/>
    <w:rsid w:val="00002F30"/>
    <w:rsid w:val="000910F8"/>
    <w:rsid w:val="000F3E87"/>
    <w:rsid w:val="00111DE7"/>
    <w:rsid w:val="00144F93"/>
    <w:rsid w:val="00156A93"/>
    <w:rsid w:val="00163200"/>
    <w:rsid w:val="00165C4B"/>
    <w:rsid w:val="00191153"/>
    <w:rsid w:val="001944B0"/>
    <w:rsid w:val="001E6F1E"/>
    <w:rsid w:val="00227276"/>
    <w:rsid w:val="002E5B05"/>
    <w:rsid w:val="002F595E"/>
    <w:rsid w:val="00317D60"/>
    <w:rsid w:val="003415B2"/>
    <w:rsid w:val="00344EF2"/>
    <w:rsid w:val="003C7C38"/>
    <w:rsid w:val="003D2038"/>
    <w:rsid w:val="004836FE"/>
    <w:rsid w:val="004A741C"/>
    <w:rsid w:val="005167E3"/>
    <w:rsid w:val="0056196D"/>
    <w:rsid w:val="00577423"/>
    <w:rsid w:val="005811D4"/>
    <w:rsid w:val="0060741F"/>
    <w:rsid w:val="00627E11"/>
    <w:rsid w:val="00627EDC"/>
    <w:rsid w:val="00632F8B"/>
    <w:rsid w:val="00661063"/>
    <w:rsid w:val="00686305"/>
    <w:rsid w:val="006E1FDD"/>
    <w:rsid w:val="006E6679"/>
    <w:rsid w:val="006F3A92"/>
    <w:rsid w:val="00700678"/>
    <w:rsid w:val="007023F3"/>
    <w:rsid w:val="00704095"/>
    <w:rsid w:val="00725931"/>
    <w:rsid w:val="00733709"/>
    <w:rsid w:val="0074551A"/>
    <w:rsid w:val="00776991"/>
    <w:rsid w:val="00784FC6"/>
    <w:rsid w:val="007D3AD0"/>
    <w:rsid w:val="008614AE"/>
    <w:rsid w:val="00866495"/>
    <w:rsid w:val="008E29F4"/>
    <w:rsid w:val="008E2F6F"/>
    <w:rsid w:val="00903517"/>
    <w:rsid w:val="00912CBB"/>
    <w:rsid w:val="00A211F8"/>
    <w:rsid w:val="00A309A9"/>
    <w:rsid w:val="00AB7812"/>
    <w:rsid w:val="00B7418E"/>
    <w:rsid w:val="00C1361D"/>
    <w:rsid w:val="00C33FAA"/>
    <w:rsid w:val="00C553C8"/>
    <w:rsid w:val="00C838DF"/>
    <w:rsid w:val="00C8470E"/>
    <w:rsid w:val="00C940DE"/>
    <w:rsid w:val="00D17D41"/>
    <w:rsid w:val="00D618AB"/>
    <w:rsid w:val="00D62B67"/>
    <w:rsid w:val="00E203CA"/>
    <w:rsid w:val="00E90FA1"/>
    <w:rsid w:val="00EF2C33"/>
    <w:rsid w:val="00F33D91"/>
    <w:rsid w:val="00FF7DF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725931"/>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725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809460">
      <w:bodyDiv w:val="1"/>
      <w:marLeft w:val="0"/>
      <w:marRight w:val="0"/>
      <w:marTop w:val="0"/>
      <w:marBottom w:val="0"/>
      <w:divBdr>
        <w:top w:val="none" w:sz="0" w:space="0" w:color="auto"/>
        <w:left w:val="none" w:sz="0" w:space="0" w:color="auto"/>
        <w:bottom w:val="none" w:sz="0" w:space="0" w:color="auto"/>
        <w:right w:val="none" w:sz="0" w:space="0" w:color="auto"/>
      </w:divBdr>
    </w:div>
    <w:div w:id="666245198">
      <w:bodyDiv w:val="1"/>
      <w:marLeft w:val="0"/>
      <w:marRight w:val="0"/>
      <w:marTop w:val="0"/>
      <w:marBottom w:val="0"/>
      <w:divBdr>
        <w:top w:val="none" w:sz="0" w:space="0" w:color="auto"/>
        <w:left w:val="none" w:sz="0" w:space="0" w:color="auto"/>
        <w:bottom w:val="none" w:sz="0" w:space="0" w:color="auto"/>
        <w:right w:val="none" w:sz="0" w:space="0" w:color="auto"/>
      </w:divBdr>
    </w:div>
    <w:div w:id="872230504">
      <w:bodyDiv w:val="1"/>
      <w:marLeft w:val="0"/>
      <w:marRight w:val="0"/>
      <w:marTop w:val="0"/>
      <w:marBottom w:val="0"/>
      <w:divBdr>
        <w:top w:val="none" w:sz="0" w:space="0" w:color="auto"/>
        <w:left w:val="none" w:sz="0" w:space="0" w:color="auto"/>
        <w:bottom w:val="none" w:sz="0" w:space="0" w:color="auto"/>
        <w:right w:val="none" w:sz="0" w:space="0" w:color="auto"/>
      </w:divBdr>
    </w:div>
    <w:div w:id="875238039">
      <w:bodyDiv w:val="1"/>
      <w:marLeft w:val="0"/>
      <w:marRight w:val="0"/>
      <w:marTop w:val="0"/>
      <w:marBottom w:val="0"/>
      <w:divBdr>
        <w:top w:val="none" w:sz="0" w:space="0" w:color="auto"/>
        <w:left w:val="none" w:sz="0" w:space="0" w:color="auto"/>
        <w:bottom w:val="none" w:sz="0" w:space="0" w:color="auto"/>
        <w:right w:val="none" w:sz="0" w:space="0" w:color="auto"/>
      </w:divBdr>
    </w:div>
    <w:div w:id="1117262734">
      <w:bodyDiv w:val="1"/>
      <w:marLeft w:val="0"/>
      <w:marRight w:val="0"/>
      <w:marTop w:val="0"/>
      <w:marBottom w:val="0"/>
      <w:divBdr>
        <w:top w:val="none" w:sz="0" w:space="0" w:color="auto"/>
        <w:left w:val="none" w:sz="0" w:space="0" w:color="auto"/>
        <w:bottom w:val="none" w:sz="0" w:space="0" w:color="auto"/>
        <w:right w:val="none" w:sz="0" w:space="0" w:color="auto"/>
      </w:divBdr>
    </w:div>
    <w:div w:id="1168902104">
      <w:bodyDiv w:val="1"/>
      <w:marLeft w:val="0"/>
      <w:marRight w:val="0"/>
      <w:marTop w:val="0"/>
      <w:marBottom w:val="0"/>
      <w:divBdr>
        <w:top w:val="none" w:sz="0" w:space="0" w:color="auto"/>
        <w:left w:val="none" w:sz="0" w:space="0" w:color="auto"/>
        <w:bottom w:val="none" w:sz="0" w:space="0" w:color="auto"/>
        <w:right w:val="none" w:sz="0" w:space="0" w:color="auto"/>
      </w:divBdr>
    </w:div>
    <w:div w:id="1169563405">
      <w:bodyDiv w:val="1"/>
      <w:marLeft w:val="0"/>
      <w:marRight w:val="0"/>
      <w:marTop w:val="0"/>
      <w:marBottom w:val="0"/>
      <w:divBdr>
        <w:top w:val="none" w:sz="0" w:space="0" w:color="auto"/>
        <w:left w:val="none" w:sz="0" w:space="0" w:color="auto"/>
        <w:bottom w:val="none" w:sz="0" w:space="0" w:color="auto"/>
        <w:right w:val="none" w:sz="0" w:space="0" w:color="auto"/>
      </w:divBdr>
    </w:div>
    <w:div w:id="1284269271">
      <w:bodyDiv w:val="1"/>
      <w:marLeft w:val="0"/>
      <w:marRight w:val="0"/>
      <w:marTop w:val="0"/>
      <w:marBottom w:val="0"/>
      <w:divBdr>
        <w:top w:val="none" w:sz="0" w:space="0" w:color="auto"/>
        <w:left w:val="none" w:sz="0" w:space="0" w:color="auto"/>
        <w:bottom w:val="none" w:sz="0" w:space="0" w:color="auto"/>
        <w:right w:val="none" w:sz="0" w:space="0" w:color="auto"/>
      </w:divBdr>
    </w:div>
    <w:div w:id="1438712792">
      <w:bodyDiv w:val="1"/>
      <w:marLeft w:val="0"/>
      <w:marRight w:val="0"/>
      <w:marTop w:val="0"/>
      <w:marBottom w:val="0"/>
      <w:divBdr>
        <w:top w:val="none" w:sz="0" w:space="0" w:color="auto"/>
        <w:left w:val="none" w:sz="0" w:space="0" w:color="auto"/>
        <w:bottom w:val="none" w:sz="0" w:space="0" w:color="auto"/>
        <w:right w:val="none" w:sz="0" w:space="0" w:color="auto"/>
      </w:divBdr>
    </w:div>
    <w:div w:id="1547067299">
      <w:bodyDiv w:val="1"/>
      <w:marLeft w:val="0"/>
      <w:marRight w:val="0"/>
      <w:marTop w:val="0"/>
      <w:marBottom w:val="0"/>
      <w:divBdr>
        <w:top w:val="none" w:sz="0" w:space="0" w:color="auto"/>
        <w:left w:val="none" w:sz="0" w:space="0" w:color="auto"/>
        <w:bottom w:val="none" w:sz="0" w:space="0" w:color="auto"/>
        <w:right w:val="none" w:sz="0" w:space="0" w:color="auto"/>
      </w:divBdr>
    </w:div>
    <w:div w:id="1694257657">
      <w:bodyDiv w:val="1"/>
      <w:marLeft w:val="0"/>
      <w:marRight w:val="0"/>
      <w:marTop w:val="0"/>
      <w:marBottom w:val="0"/>
      <w:divBdr>
        <w:top w:val="none" w:sz="0" w:space="0" w:color="auto"/>
        <w:left w:val="none" w:sz="0" w:space="0" w:color="auto"/>
        <w:bottom w:val="none" w:sz="0" w:space="0" w:color="auto"/>
        <w:right w:val="none" w:sz="0" w:space="0" w:color="auto"/>
      </w:divBdr>
    </w:div>
    <w:div w:id="1943801125">
      <w:bodyDiv w:val="1"/>
      <w:marLeft w:val="0"/>
      <w:marRight w:val="0"/>
      <w:marTop w:val="0"/>
      <w:marBottom w:val="0"/>
      <w:divBdr>
        <w:top w:val="none" w:sz="0" w:space="0" w:color="auto"/>
        <w:left w:val="none" w:sz="0" w:space="0" w:color="auto"/>
        <w:bottom w:val="none" w:sz="0" w:space="0" w:color="auto"/>
        <w:right w:val="none" w:sz="0" w:space="0" w:color="auto"/>
      </w:divBdr>
    </w:div>
    <w:div w:id="214611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form.england.nhs.uk/digitise-connect-transform/what-good-looks-like/what-good-looks-like-publ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inghub.nhs.uk/Resource/43786/I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TotalTime>
  <Pages>12</Pages>
  <Words>2796</Words>
  <Characters>16780</Characters>
  <Application>Microsoft Office Word</Application>
  <DocSecurity>0</DocSecurity>
  <Lines>466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Farooq</dc:creator>
  <cp:keywords/>
  <dc:description/>
  <cp:lastModifiedBy>hatif</cp:lastModifiedBy>
  <cp:revision>47</cp:revision>
  <dcterms:created xsi:type="dcterms:W3CDTF">2024-09-07T21:36:00Z</dcterms:created>
  <dcterms:modified xsi:type="dcterms:W3CDTF">2025-11-16T01:12:00Z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26e46b0b-12bd-42bf-8531-b40704f914a6</vt:lpwstr>
  </property>
</Properties>
</file>