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6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2763"/>
        <w:gridCol w:w="2317"/>
        <w:gridCol w:w="2034"/>
      </w:tblGrid>
      <w:tr w:rsidR="001C43F8" w:rsidRPr="00B079F6" w14:paraId="785D329C" w14:textId="77777777" w:rsidTr="001C43F8">
        <w:trPr>
          <w:trHeight w:val="502"/>
        </w:trPr>
        <w:tc>
          <w:tcPr>
            <w:tcW w:w="1055" w:type="pct"/>
          </w:tcPr>
          <w:p w14:paraId="72ABA10E"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Student name:</w:t>
            </w:r>
          </w:p>
        </w:tc>
        <w:tc>
          <w:tcPr>
            <w:tcW w:w="1532" w:type="pct"/>
          </w:tcPr>
          <w:p w14:paraId="3D4E77DE" w14:textId="14407300" w:rsidR="001C43F8" w:rsidRPr="00B079F6" w:rsidRDefault="001B67FD" w:rsidP="001C43F8">
            <w:pPr>
              <w:spacing w:before="120" w:after="120" w:line="240" w:lineRule="auto"/>
              <w:rPr>
                <w:rFonts w:ascii="Arial" w:hAnsi="Arial" w:cs="Arial"/>
                <w:b/>
                <w:sz w:val="22"/>
                <w:szCs w:val="22"/>
                <w:lang w:eastAsia="en-GB"/>
              </w:rPr>
            </w:pPr>
            <w:r>
              <w:rPr>
                <w:rFonts w:ascii="Arial" w:hAnsi="Arial" w:cs="Arial"/>
                <w:b/>
                <w:sz w:val="22"/>
                <w:szCs w:val="22"/>
                <w:lang w:eastAsia="en-GB"/>
              </w:rPr>
              <w:t>Shamira Begum Miah</w:t>
            </w:r>
          </w:p>
        </w:tc>
        <w:tc>
          <w:tcPr>
            <w:tcW w:w="1285" w:type="pct"/>
            <w:shd w:val="clear" w:color="auto" w:fill="D9D9D9"/>
          </w:tcPr>
          <w:p w14:paraId="06595B24"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Student ID number:</w:t>
            </w:r>
          </w:p>
        </w:tc>
        <w:tc>
          <w:tcPr>
            <w:tcW w:w="1128" w:type="pct"/>
          </w:tcPr>
          <w:p w14:paraId="2D0A1F3D" w14:textId="788FD784" w:rsidR="001C43F8" w:rsidRPr="00B079F6" w:rsidRDefault="001B67FD" w:rsidP="001C43F8">
            <w:pPr>
              <w:spacing w:before="120" w:after="120" w:line="240" w:lineRule="auto"/>
              <w:rPr>
                <w:rFonts w:ascii="Arial" w:hAnsi="Arial" w:cs="Arial"/>
                <w:b/>
                <w:sz w:val="22"/>
                <w:szCs w:val="22"/>
                <w:lang w:eastAsia="en-GB"/>
              </w:rPr>
            </w:pPr>
            <w:r>
              <w:rPr>
                <w:rFonts w:ascii="Arial" w:hAnsi="Arial" w:cs="Arial"/>
                <w:b/>
                <w:sz w:val="22"/>
                <w:szCs w:val="22"/>
                <w:lang w:eastAsia="en-GB"/>
              </w:rPr>
              <w:t>2526810</w:t>
            </w:r>
          </w:p>
        </w:tc>
      </w:tr>
      <w:tr w:rsidR="001C43F8" w:rsidRPr="00B079F6" w14:paraId="2491196A" w14:textId="77777777" w:rsidTr="001C43F8">
        <w:tc>
          <w:tcPr>
            <w:tcW w:w="1055" w:type="pct"/>
            <w:shd w:val="clear" w:color="auto" w:fill="D9D9D9"/>
          </w:tcPr>
          <w:p w14:paraId="2A6B8781"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Programme:</w:t>
            </w:r>
          </w:p>
        </w:tc>
        <w:tc>
          <w:tcPr>
            <w:tcW w:w="3945" w:type="pct"/>
            <w:gridSpan w:val="3"/>
          </w:tcPr>
          <w:p w14:paraId="7A3A2B03"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Certificate</w:t>
            </w:r>
            <w:r w:rsidRPr="00B079F6">
              <w:rPr>
                <w:rFonts w:ascii="Arial" w:hAnsi="Arial" w:cs="Arial"/>
                <w:b/>
                <w:bCs/>
                <w:spacing w:val="-5"/>
                <w:sz w:val="22"/>
                <w:szCs w:val="22"/>
                <w:lang w:eastAsia="en-GB"/>
              </w:rPr>
              <w:t xml:space="preserve"> </w:t>
            </w:r>
            <w:r w:rsidRPr="00B079F6">
              <w:rPr>
                <w:rFonts w:ascii="Arial" w:hAnsi="Arial" w:cs="Arial"/>
                <w:b/>
                <w:bCs/>
                <w:sz w:val="22"/>
                <w:szCs w:val="22"/>
                <w:lang w:eastAsia="en-GB"/>
              </w:rPr>
              <w:t>of</w:t>
            </w:r>
            <w:r w:rsidRPr="00B079F6">
              <w:rPr>
                <w:rFonts w:ascii="Arial" w:hAnsi="Arial" w:cs="Arial"/>
                <w:b/>
                <w:bCs/>
                <w:spacing w:val="-5"/>
                <w:sz w:val="22"/>
                <w:szCs w:val="22"/>
                <w:lang w:eastAsia="en-GB"/>
              </w:rPr>
              <w:t xml:space="preserve"> </w:t>
            </w:r>
            <w:r w:rsidRPr="00B079F6">
              <w:rPr>
                <w:rFonts w:ascii="Arial" w:hAnsi="Arial" w:cs="Arial"/>
                <w:b/>
                <w:bCs/>
                <w:sz w:val="22"/>
                <w:szCs w:val="22"/>
                <w:lang w:eastAsia="en-GB"/>
              </w:rPr>
              <w:t>Higher</w:t>
            </w:r>
            <w:r w:rsidRPr="00B079F6">
              <w:rPr>
                <w:rFonts w:ascii="Arial" w:hAnsi="Arial" w:cs="Arial"/>
                <w:b/>
                <w:bCs/>
                <w:spacing w:val="-4"/>
                <w:sz w:val="22"/>
                <w:szCs w:val="22"/>
                <w:lang w:eastAsia="en-GB"/>
              </w:rPr>
              <w:t xml:space="preserve"> </w:t>
            </w:r>
            <w:r w:rsidRPr="00B079F6">
              <w:rPr>
                <w:rFonts w:ascii="Arial" w:hAnsi="Arial" w:cs="Arial"/>
                <w:b/>
                <w:bCs/>
                <w:sz w:val="22"/>
                <w:szCs w:val="22"/>
                <w:lang w:eastAsia="en-GB"/>
              </w:rPr>
              <w:t>Education</w:t>
            </w:r>
            <w:r w:rsidRPr="00B079F6">
              <w:rPr>
                <w:rFonts w:ascii="Arial" w:hAnsi="Arial" w:cs="Arial"/>
                <w:b/>
                <w:bCs/>
                <w:spacing w:val="-3"/>
                <w:sz w:val="22"/>
                <w:szCs w:val="22"/>
                <w:lang w:eastAsia="en-GB"/>
              </w:rPr>
              <w:t xml:space="preserve"> </w:t>
            </w:r>
            <w:r w:rsidRPr="00B079F6">
              <w:rPr>
                <w:rFonts w:ascii="Arial" w:hAnsi="Arial" w:cs="Arial"/>
                <w:b/>
                <w:bCs/>
                <w:sz w:val="22"/>
                <w:szCs w:val="22"/>
                <w:lang w:eastAsia="en-GB"/>
              </w:rPr>
              <w:t>Skills</w:t>
            </w:r>
            <w:r w:rsidRPr="00B079F6">
              <w:rPr>
                <w:rFonts w:ascii="Arial" w:hAnsi="Arial" w:cs="Arial"/>
                <w:b/>
                <w:bCs/>
                <w:spacing w:val="-5"/>
                <w:sz w:val="22"/>
                <w:szCs w:val="22"/>
                <w:lang w:eastAsia="en-GB"/>
              </w:rPr>
              <w:t xml:space="preserve"> </w:t>
            </w:r>
            <w:r w:rsidRPr="00B079F6">
              <w:rPr>
                <w:rFonts w:ascii="Arial" w:hAnsi="Arial" w:cs="Arial"/>
                <w:b/>
                <w:bCs/>
                <w:sz w:val="22"/>
                <w:szCs w:val="22"/>
                <w:lang w:eastAsia="en-GB"/>
              </w:rPr>
              <w:t>for</w:t>
            </w:r>
            <w:r w:rsidRPr="00B079F6">
              <w:rPr>
                <w:rFonts w:ascii="Arial" w:hAnsi="Arial" w:cs="Arial"/>
                <w:b/>
                <w:bCs/>
                <w:spacing w:val="-4"/>
                <w:sz w:val="22"/>
                <w:szCs w:val="22"/>
                <w:lang w:eastAsia="en-GB"/>
              </w:rPr>
              <w:t xml:space="preserve"> </w:t>
            </w:r>
            <w:r w:rsidRPr="00B079F6">
              <w:rPr>
                <w:rFonts w:ascii="Arial" w:hAnsi="Arial" w:cs="Arial"/>
                <w:b/>
                <w:bCs/>
                <w:sz w:val="22"/>
                <w:szCs w:val="22"/>
                <w:lang w:eastAsia="en-GB"/>
              </w:rPr>
              <w:t>the</w:t>
            </w:r>
            <w:r w:rsidRPr="00B079F6">
              <w:rPr>
                <w:rFonts w:ascii="Arial" w:hAnsi="Arial" w:cs="Arial"/>
                <w:b/>
                <w:bCs/>
                <w:spacing w:val="-8"/>
                <w:sz w:val="22"/>
                <w:szCs w:val="22"/>
                <w:lang w:eastAsia="en-GB"/>
              </w:rPr>
              <w:t xml:space="preserve"> </w:t>
            </w:r>
            <w:r w:rsidRPr="00B079F6">
              <w:rPr>
                <w:rFonts w:ascii="Arial" w:hAnsi="Arial" w:cs="Arial"/>
                <w:b/>
                <w:bCs/>
                <w:spacing w:val="-2"/>
                <w:sz w:val="22"/>
                <w:szCs w:val="22"/>
                <w:lang w:eastAsia="en-GB"/>
              </w:rPr>
              <w:t>Workplace (Health &amp; Social Care)</w:t>
            </w:r>
          </w:p>
        </w:tc>
      </w:tr>
      <w:tr w:rsidR="001C43F8" w:rsidRPr="00B079F6" w14:paraId="10FCC643" w14:textId="77777777" w:rsidTr="001C43F8">
        <w:tc>
          <w:tcPr>
            <w:tcW w:w="1055" w:type="pct"/>
          </w:tcPr>
          <w:p w14:paraId="6D88ACC8"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Module:</w:t>
            </w:r>
          </w:p>
        </w:tc>
        <w:tc>
          <w:tcPr>
            <w:tcW w:w="3945" w:type="pct"/>
            <w:gridSpan w:val="3"/>
          </w:tcPr>
          <w:p w14:paraId="2F59541E"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Introduction to Health and Social Care</w:t>
            </w:r>
          </w:p>
        </w:tc>
      </w:tr>
      <w:tr w:rsidR="001C43F8" w:rsidRPr="00B079F6" w14:paraId="772ECB0C" w14:textId="77777777" w:rsidTr="001C43F8">
        <w:tc>
          <w:tcPr>
            <w:tcW w:w="1055" w:type="pct"/>
          </w:tcPr>
          <w:p w14:paraId="4C4EB721"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Module code:</w:t>
            </w:r>
          </w:p>
        </w:tc>
        <w:tc>
          <w:tcPr>
            <w:tcW w:w="1532" w:type="pct"/>
          </w:tcPr>
          <w:p w14:paraId="02D44F13"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LCHS4003</w:t>
            </w:r>
          </w:p>
        </w:tc>
        <w:tc>
          <w:tcPr>
            <w:tcW w:w="1285" w:type="pct"/>
            <w:shd w:val="clear" w:color="auto" w:fill="D9D9D9"/>
          </w:tcPr>
          <w:p w14:paraId="25EA3677" w14:textId="77777777" w:rsidR="001C43F8" w:rsidRPr="00B079F6" w:rsidRDefault="001C43F8" w:rsidP="001C43F8">
            <w:pPr>
              <w:rPr>
                <w:lang w:eastAsia="en-GB"/>
              </w:rPr>
            </w:pPr>
            <w:r w:rsidRPr="00672E56">
              <w:rPr>
                <w:rFonts w:ascii="Arial" w:hAnsi="Arial" w:cs="Arial"/>
                <w:b/>
                <w:sz w:val="22"/>
                <w:szCs w:val="22"/>
                <w:lang w:eastAsia="en-GB"/>
              </w:rPr>
              <w:t>Contribution to Overall Module Assessment (%):</w:t>
            </w:r>
          </w:p>
        </w:tc>
        <w:tc>
          <w:tcPr>
            <w:tcW w:w="1128" w:type="pct"/>
          </w:tcPr>
          <w:p w14:paraId="25382D4E"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50%</w:t>
            </w:r>
          </w:p>
        </w:tc>
      </w:tr>
      <w:tr w:rsidR="001C43F8" w:rsidRPr="00B079F6" w14:paraId="678F29DD" w14:textId="77777777" w:rsidTr="001C43F8">
        <w:tc>
          <w:tcPr>
            <w:tcW w:w="1055" w:type="pct"/>
          </w:tcPr>
          <w:p w14:paraId="593070A9"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Lecturers:</w:t>
            </w:r>
          </w:p>
        </w:tc>
        <w:tc>
          <w:tcPr>
            <w:tcW w:w="1532" w:type="pct"/>
          </w:tcPr>
          <w:p w14:paraId="325EF36A" w14:textId="16B5FCC2" w:rsidR="001C43F8" w:rsidRPr="00B079F6" w:rsidRDefault="001B67FD" w:rsidP="001C43F8">
            <w:pPr>
              <w:spacing w:before="120" w:after="120" w:line="240" w:lineRule="auto"/>
              <w:jc w:val="left"/>
              <w:rPr>
                <w:rFonts w:ascii="Arial" w:hAnsi="Arial" w:cs="Arial"/>
                <w:b/>
                <w:bCs/>
                <w:sz w:val="22"/>
                <w:szCs w:val="22"/>
                <w:lang w:eastAsia="en-GB"/>
              </w:rPr>
            </w:pPr>
            <w:r>
              <w:rPr>
                <w:rFonts w:ascii="Arial" w:hAnsi="Arial" w:cs="Arial"/>
                <w:b/>
                <w:bCs/>
                <w:sz w:val="22"/>
                <w:szCs w:val="22"/>
                <w:lang w:eastAsia="en-GB"/>
              </w:rPr>
              <w:t>Daniel Haruna</w:t>
            </w:r>
          </w:p>
        </w:tc>
        <w:tc>
          <w:tcPr>
            <w:tcW w:w="1285" w:type="pct"/>
            <w:shd w:val="clear" w:color="auto" w:fill="D9D9D9"/>
          </w:tcPr>
          <w:p w14:paraId="7FACF22F"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Internal Verifier:</w:t>
            </w:r>
          </w:p>
        </w:tc>
        <w:tc>
          <w:tcPr>
            <w:tcW w:w="1128" w:type="pct"/>
          </w:tcPr>
          <w:p w14:paraId="28D3FC9F" w14:textId="77777777" w:rsidR="001C43F8" w:rsidRPr="00B079F6" w:rsidRDefault="001C43F8" w:rsidP="001C43F8">
            <w:pPr>
              <w:spacing w:before="120" w:after="120" w:line="240" w:lineRule="auto"/>
              <w:jc w:val="left"/>
              <w:rPr>
                <w:rFonts w:ascii="Arial" w:hAnsi="Arial" w:cs="Arial"/>
                <w:b/>
                <w:bCs/>
                <w:sz w:val="22"/>
                <w:szCs w:val="22"/>
                <w:lang w:eastAsia="en-GB"/>
              </w:rPr>
            </w:pPr>
            <w:r w:rsidRPr="00B079F6">
              <w:rPr>
                <w:rFonts w:ascii="Arial" w:hAnsi="Arial" w:cs="Arial"/>
                <w:b/>
                <w:bCs/>
                <w:sz w:val="22"/>
                <w:szCs w:val="22"/>
                <w:lang w:eastAsia="en-GB"/>
              </w:rPr>
              <w:t>Dr Besty Jose</w:t>
            </w:r>
          </w:p>
        </w:tc>
      </w:tr>
      <w:tr w:rsidR="001C43F8" w:rsidRPr="00B079F6" w14:paraId="3650E81D" w14:textId="77777777" w:rsidTr="001C43F8">
        <w:tc>
          <w:tcPr>
            <w:tcW w:w="1055" w:type="pct"/>
          </w:tcPr>
          <w:p w14:paraId="7A45F5C6"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Assignment Title:</w:t>
            </w:r>
          </w:p>
        </w:tc>
        <w:tc>
          <w:tcPr>
            <w:tcW w:w="1532" w:type="pct"/>
          </w:tcPr>
          <w:p w14:paraId="68F29BBF" w14:textId="77777777" w:rsidR="001C43F8" w:rsidRPr="00B079F6" w:rsidRDefault="001C43F8" w:rsidP="001C43F8">
            <w:pPr>
              <w:spacing w:before="120" w:after="120" w:line="240" w:lineRule="auto"/>
              <w:rPr>
                <w:rFonts w:ascii="Arial" w:hAnsi="Arial" w:cs="Arial"/>
                <w:b/>
                <w:bCs/>
                <w:sz w:val="22"/>
                <w:szCs w:val="22"/>
                <w:lang w:eastAsia="en-GB"/>
              </w:rPr>
            </w:pPr>
            <w:r w:rsidRPr="00B079F6">
              <w:rPr>
                <w:rFonts w:ascii="Arial" w:hAnsi="Arial" w:cs="Arial"/>
                <w:b/>
                <w:bCs/>
                <w:sz w:val="22"/>
                <w:szCs w:val="22"/>
                <w:lang w:eastAsia="en-GB"/>
              </w:rPr>
              <w:t xml:space="preserve">Written Assignment </w:t>
            </w:r>
          </w:p>
        </w:tc>
        <w:tc>
          <w:tcPr>
            <w:tcW w:w="1285" w:type="pct"/>
          </w:tcPr>
          <w:p w14:paraId="3E4DE11A"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Word count (or equivalent):</w:t>
            </w:r>
          </w:p>
        </w:tc>
        <w:tc>
          <w:tcPr>
            <w:tcW w:w="1128" w:type="pct"/>
          </w:tcPr>
          <w:p w14:paraId="4CC17FCE" w14:textId="77777777" w:rsidR="001C43F8" w:rsidRPr="00B079F6" w:rsidRDefault="001C43F8" w:rsidP="001C43F8">
            <w:pPr>
              <w:spacing w:before="120" w:after="120" w:line="240" w:lineRule="auto"/>
              <w:jc w:val="left"/>
              <w:rPr>
                <w:rFonts w:ascii="Arial" w:hAnsi="Arial" w:cs="Arial"/>
                <w:b/>
                <w:bCs/>
                <w:sz w:val="22"/>
                <w:szCs w:val="22"/>
                <w:lang w:eastAsia="en-GB"/>
              </w:rPr>
            </w:pPr>
            <w:r w:rsidRPr="00B079F6">
              <w:rPr>
                <w:rFonts w:ascii="Arial" w:hAnsi="Arial" w:cs="Arial"/>
                <w:b/>
                <w:bCs/>
                <w:sz w:val="22"/>
                <w:szCs w:val="22"/>
                <w:lang w:eastAsia="en-GB"/>
              </w:rPr>
              <w:t xml:space="preserve">1,500 words </w:t>
            </w:r>
          </w:p>
        </w:tc>
      </w:tr>
      <w:tr w:rsidR="001C43F8" w:rsidRPr="00B079F6" w14:paraId="009F573E" w14:textId="77777777" w:rsidTr="001C43F8">
        <w:tc>
          <w:tcPr>
            <w:tcW w:w="1055" w:type="pct"/>
          </w:tcPr>
          <w:p w14:paraId="58E5780D"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Submission deadline:</w:t>
            </w:r>
          </w:p>
        </w:tc>
        <w:tc>
          <w:tcPr>
            <w:tcW w:w="1532" w:type="pct"/>
          </w:tcPr>
          <w:p w14:paraId="763B6A8E" w14:textId="77777777" w:rsidR="001C43F8" w:rsidRPr="00B079F6" w:rsidRDefault="001C43F8" w:rsidP="001C43F8">
            <w:pPr>
              <w:spacing w:before="120" w:after="120" w:line="240" w:lineRule="auto"/>
              <w:jc w:val="left"/>
              <w:rPr>
                <w:rFonts w:ascii="Arial" w:hAnsi="Arial" w:cs="Arial"/>
                <w:b/>
                <w:bCs/>
                <w:color w:val="FF0000"/>
                <w:sz w:val="22"/>
                <w:szCs w:val="22"/>
                <w:lang w:eastAsia="en-GB"/>
              </w:rPr>
            </w:pPr>
          </w:p>
        </w:tc>
        <w:tc>
          <w:tcPr>
            <w:tcW w:w="1285" w:type="pct"/>
          </w:tcPr>
          <w:p w14:paraId="6073AFA3" w14:textId="77777777" w:rsidR="001C43F8" w:rsidRPr="00B079F6" w:rsidRDefault="001C43F8" w:rsidP="001C43F8">
            <w:pPr>
              <w:spacing w:before="120" w:after="120" w:line="240" w:lineRule="auto"/>
              <w:rPr>
                <w:rFonts w:ascii="Arial" w:hAnsi="Arial" w:cs="Arial"/>
                <w:b/>
                <w:sz w:val="22"/>
                <w:szCs w:val="22"/>
                <w:lang w:eastAsia="en-GB"/>
              </w:rPr>
            </w:pPr>
            <w:r w:rsidRPr="00B079F6">
              <w:rPr>
                <w:rFonts w:ascii="Arial" w:hAnsi="Arial" w:cs="Arial"/>
                <w:b/>
                <w:sz w:val="22"/>
                <w:szCs w:val="22"/>
                <w:lang w:eastAsia="en-GB"/>
              </w:rPr>
              <w:t>Return date of provisional marks &amp; written feedback:</w:t>
            </w:r>
          </w:p>
        </w:tc>
        <w:tc>
          <w:tcPr>
            <w:tcW w:w="1128" w:type="pct"/>
          </w:tcPr>
          <w:p w14:paraId="5125E957" w14:textId="77777777" w:rsidR="001C43F8" w:rsidRPr="00B079F6" w:rsidRDefault="001C43F8" w:rsidP="001C43F8">
            <w:pPr>
              <w:spacing w:before="0" w:after="0" w:line="240" w:lineRule="auto"/>
              <w:rPr>
                <w:rFonts w:ascii="Aptos Narrow" w:hAnsi="Aptos Narrow"/>
                <w:b/>
                <w:bCs/>
                <w:color w:val="000000"/>
                <w:sz w:val="22"/>
                <w:szCs w:val="22"/>
                <w:lang w:eastAsia="en-GB"/>
              </w:rPr>
            </w:pPr>
          </w:p>
          <w:p w14:paraId="36758260" w14:textId="77777777" w:rsidR="001C43F8" w:rsidRPr="00B079F6" w:rsidRDefault="001C43F8" w:rsidP="001C43F8">
            <w:pPr>
              <w:spacing w:before="0" w:after="0" w:line="240" w:lineRule="auto"/>
              <w:rPr>
                <w:rFonts w:ascii="Aptos Narrow" w:hAnsi="Aptos Narrow"/>
                <w:b/>
                <w:bCs/>
                <w:color w:val="000000"/>
                <w:sz w:val="22"/>
                <w:szCs w:val="22"/>
                <w:lang w:eastAsia="zh-CN"/>
              </w:rPr>
            </w:pPr>
            <w:r w:rsidRPr="00B079F6">
              <w:rPr>
                <w:rFonts w:ascii="Aptos Narrow" w:hAnsi="Aptos Narrow"/>
                <w:b/>
                <w:bCs/>
                <w:color w:val="000000"/>
                <w:sz w:val="22"/>
                <w:szCs w:val="22"/>
                <w:lang w:eastAsia="en-GB"/>
              </w:rPr>
              <w:t>28th August 2026</w:t>
            </w:r>
          </w:p>
          <w:p w14:paraId="5517798F" w14:textId="77777777" w:rsidR="001C43F8" w:rsidRPr="00B079F6" w:rsidRDefault="001C43F8" w:rsidP="001C43F8">
            <w:pPr>
              <w:spacing w:before="120" w:after="120" w:line="240" w:lineRule="auto"/>
              <w:rPr>
                <w:rFonts w:ascii="Arial" w:hAnsi="Arial" w:cs="Arial"/>
                <w:b/>
                <w:sz w:val="22"/>
                <w:szCs w:val="22"/>
                <w:lang w:eastAsia="en-GB"/>
              </w:rPr>
            </w:pPr>
          </w:p>
        </w:tc>
      </w:tr>
    </w:tbl>
    <w:p w14:paraId="7BE29566" w14:textId="77777777" w:rsidR="00E21A6D" w:rsidRDefault="00E21A6D">
      <w:pPr>
        <w:spacing w:before="0" w:after="160"/>
        <w:rPr>
          <w:b/>
          <w:bCs/>
        </w:rPr>
      </w:pPr>
      <w:r>
        <w:rPr>
          <w:b/>
          <w:bCs/>
        </w:rPr>
        <w:br w:type="page"/>
      </w:r>
    </w:p>
    <w:sdt>
      <w:sdtPr>
        <w:rPr>
          <w:rFonts w:ascii="Times New Roman" w:eastAsia="Times New Roman" w:hAnsi="Times New Roman" w:cs="Times New Roman"/>
          <w:color w:val="auto"/>
          <w:sz w:val="24"/>
          <w:szCs w:val="20"/>
          <w:lang w:val="en-GB"/>
        </w:rPr>
        <w:id w:val="2116788100"/>
        <w:docPartObj>
          <w:docPartGallery w:val="Table of Contents"/>
          <w:docPartUnique/>
        </w:docPartObj>
      </w:sdtPr>
      <w:sdtEndPr>
        <w:rPr>
          <w:b/>
          <w:bCs/>
          <w:noProof/>
        </w:rPr>
      </w:sdtEndPr>
      <w:sdtContent>
        <w:p w14:paraId="3E8A6CE2" w14:textId="07567505" w:rsidR="001B67FD" w:rsidRDefault="001B67FD" w:rsidP="001B67FD">
          <w:pPr>
            <w:pStyle w:val="TOCHeading"/>
          </w:pPr>
        </w:p>
        <w:p w14:paraId="32B57EEB" w14:textId="545C0D4D" w:rsidR="00672E56" w:rsidRDefault="00000000"/>
      </w:sdtContent>
    </w:sdt>
    <w:p w14:paraId="77D2B916" w14:textId="77777777" w:rsidR="00E21A6D" w:rsidRDefault="00E21A6D">
      <w:pPr>
        <w:spacing w:before="0" w:after="160"/>
        <w:rPr>
          <w:b/>
          <w:bCs/>
        </w:rPr>
      </w:pPr>
      <w:r>
        <w:rPr>
          <w:b/>
          <w:bCs/>
        </w:rPr>
        <w:br w:type="page"/>
      </w:r>
    </w:p>
    <w:p w14:paraId="6A137847" w14:textId="77777777" w:rsidR="001003BA" w:rsidRPr="001003BA" w:rsidRDefault="001003BA" w:rsidP="004162A9">
      <w:pPr>
        <w:pStyle w:val="Heading1"/>
      </w:pPr>
      <w:bookmarkStart w:id="0" w:name="_Toc235743974"/>
      <w:r w:rsidRPr="001003BA">
        <w:lastRenderedPageBreak/>
        <w:t>Introduction</w:t>
      </w:r>
      <w:bookmarkEnd w:id="0"/>
      <w:r w:rsidRPr="001003BA">
        <w:t xml:space="preserve"> </w:t>
      </w:r>
    </w:p>
    <w:p w14:paraId="07FA1C3B" w14:textId="77777777" w:rsidR="00904D8A" w:rsidRPr="00904D8A" w:rsidRDefault="006E39B1" w:rsidP="00904D8A">
      <w:r w:rsidRPr="006E39B1">
        <w:t>Mrs Thompson is an 84-year-old woman who lives alone in sheltered housing and receives domiciliary care twice daily following her discharge from hospital after treatment for pneumonia. She suffers from mild dementia, which has impacted her memory and caused her to forget to take her medications, and there has been a heightened level of confusion. She was also discovered outside without proper clothing during cold weather, which clearly was a worry regarding her safety and resulted in a review being carried out by the local council. The incidents illustrate a need for co-ordinated support for Mrs Thompson to ensure she can continue living independently and to minimise the likelihood of further injury. Good health and social care in this context requires good communication, exemplary documentation and effective collaboration. For this reason, this report examines the significance of effective communication, administrative skills and working collaboratively in Mrs Thompson's care continuum.</w:t>
      </w:r>
    </w:p>
    <w:p w14:paraId="2119AE25" w14:textId="77777777" w:rsidR="00904D8A" w:rsidRPr="00904D8A" w:rsidRDefault="00904D8A" w:rsidP="001C43F8">
      <w:pPr>
        <w:pStyle w:val="Heading1"/>
      </w:pPr>
      <w:bookmarkStart w:id="1" w:name="_Toc235743975"/>
      <w:r w:rsidRPr="00904D8A">
        <w:t>1. Effective Communication</w:t>
      </w:r>
      <w:bookmarkEnd w:id="1"/>
      <w:r w:rsidRPr="00904D8A">
        <w:t xml:space="preserve"> </w:t>
      </w:r>
    </w:p>
    <w:p w14:paraId="713A8972" w14:textId="77777777" w:rsidR="006E39B1" w:rsidRDefault="006E39B1" w:rsidP="006E39B1">
      <w:r>
        <w:t>The understanding of the users need, preferences and concerns relies on Communication, which is the basis of person centred care, as this is key to understanding and meeting them. Mild dementia can make it difficult for Mrs Thompson to remember things and communicate effectively and clearly, so communication is a key concern. Effective communication helps form trust and helps Mrs Thompson share in decisions relating to her care and recognises early signs of changes in her physical or mental health. The use of clear language, speaking at an appropriate pace and feeding into her understanding will enhance the likelihood of her participating in care interactions without confusion and with more confidence (Arnold and Boggs, 2020). These strategies also aid in ensuring safe handling of medicines, ensuring swift action is taken when concerns are raised, which all help to improve the quality of care and wellbeing of the individual.</w:t>
      </w:r>
    </w:p>
    <w:p w14:paraId="6DB7C99B" w14:textId="77777777" w:rsidR="006E39B1" w:rsidRDefault="006E39B1" w:rsidP="006E39B1">
      <w:r>
        <w:t>Communication strategies need to be adjusted and tailored to the needs of each service user. Health and social care workers need to anticipate language barriers when they arise, although Mrs Thompson did not report any language issues. If a service user is not able to communicate effectively in English, a qualified interpreter must be used to provide accurate communication and confidence (</w:t>
      </w:r>
      <w:proofErr w:type="spellStart"/>
      <w:r>
        <w:t>Vaismoradi</w:t>
      </w:r>
      <w:proofErr w:type="spellEnd"/>
      <w:r>
        <w:t xml:space="preserve"> et al., 2021). The family member is not usually a suitable person to be an interpreter since important information may be missed or misinterpreted. They should also be culturally sensitive, taking the time to acknowledge the beliefs, values and ways of </w:t>
      </w:r>
      <w:r>
        <w:lastRenderedPageBreak/>
        <w:t>communicating of others and avoiding making assumptions. Visual cues like reminder notes and labelled medicine containers, medication schedules, and picture cues can also aid verbal instructions and help those who have memory lapses. These reasonable adjustments enable people to comprehend information better and to be involved with their own care. This is in line with the Equality Act 2010 which not only mandates that provision is made for those with a protected characteristic but that steps are taken to promote equality.</w:t>
      </w:r>
    </w:p>
    <w:p w14:paraId="3EBE2E6D" w14:textId="77777777" w:rsidR="00904D8A" w:rsidRPr="00904D8A" w:rsidRDefault="006E39B1" w:rsidP="006E39B1">
      <w:r>
        <w:t>The SOLER Model was developed as a useful communication model for effectively applying to Mrs Thompson's care. During conversations, the model promotes sitting up straight, open position, slight forward lean, eye level and relaxed posture (Bramhall, 2014). The impact of their behaviours is to make Mrs Thompson feel respected and supported in a welcoming environment. This model also emphasises the use of non-verbal communication, an important skill to use when communicating with older adults who might lack memory or be anxious. Using SOLER in addition to and with repeated feedback and reassurance helps professionals recognise miscommunications early and quickly adjust communication. This will therefore improve Mrs Thompson's ability to grasp important information, actively participate in her care and develop trusting relationship with the professionals who support her thus improving her safety and health and social care provision.</w:t>
      </w:r>
    </w:p>
    <w:p w14:paraId="2107F3D3" w14:textId="77777777" w:rsidR="00904D8A" w:rsidRPr="00904D8A" w:rsidRDefault="00904D8A" w:rsidP="001C43F8">
      <w:pPr>
        <w:pStyle w:val="Heading1"/>
      </w:pPr>
      <w:bookmarkStart w:id="2" w:name="_Toc235743976"/>
      <w:r w:rsidRPr="00904D8A">
        <w:t>2. Administra</w:t>
      </w:r>
      <w:r>
        <w:t>tive Skills and Record Keeping</w:t>
      </w:r>
      <w:bookmarkEnd w:id="2"/>
      <w:r>
        <w:t xml:space="preserve"> </w:t>
      </w:r>
    </w:p>
    <w:p w14:paraId="4921B287" w14:textId="77777777" w:rsidR="006E39B1" w:rsidRDefault="006E39B1" w:rsidP="006E39B1">
      <w:r>
        <w:t>Health and social care rely on accurate documentation to have an accurate record of what a service user is like, the care and support they receive and how they have changed over time. It helps health professionals make decisions, track changes in health and helps to provide continuity of services. For Mrs Thompson, all information should be documented appropriately and expeditiously: missed medication, raised confusion, safeguarding issues, and medication review. These records enable professionals to gain insight into her current needs, assess risk and plan for appropriate interventions. It is also important for accountability, better communication among the professionals and evidence of proper and safe care (</w:t>
      </w:r>
      <w:proofErr w:type="spellStart"/>
      <w:r>
        <w:t>Vaismoradi</w:t>
      </w:r>
      <w:proofErr w:type="spellEnd"/>
      <w:r>
        <w:t xml:space="preserve"> et al., 2021). Having well maintained records consequently will help assist them in making better clinical decisions and of the overall quality of the care being provided to Mrs Thompson.</w:t>
      </w:r>
    </w:p>
    <w:p w14:paraId="2CCACCD2" w14:textId="77777777" w:rsidR="006E39B1" w:rsidRDefault="006E39B1" w:rsidP="006E39B1">
      <w:r>
        <w:t xml:space="preserve">Not adequately maintaining records can have severe consequences on service users as it can cause the medication to be incorrect, treatment should be delayed or it can mean that the care is ineffective with regards to care planning. Information regarding vital changes in patients' behaviour and medication use that are not reported or documented may lead professionals to miss signs of worsening clinical status or unnecessary interventions in patients. To minimise </w:t>
      </w:r>
      <w:r>
        <w:lastRenderedPageBreak/>
        <w:t>these risks, how health organisations manage personal information must meet the principles of the Data Protection Act 2018, which covers who can access it, how it is collected, stored and shared and for what purpose. Information sharing should also be undertaken in accordance with Caldicott Principles which promote the need to maintain confidentiality on one hand and to ensure that the sharing of information is disclosed when this is essential for safe and effective care to be provided (Health and Care Professions Council, 2024). Implements these legal and ethical needs in a way that protects Mrs Thompson's personal information and enables authorised practitioners to access information utilised to provide effective care provision.</w:t>
      </w:r>
    </w:p>
    <w:p w14:paraId="7B205DB7" w14:textId="77777777" w:rsidR="00904D8A" w:rsidRPr="00904D8A" w:rsidRDefault="006E39B1" w:rsidP="006E39B1">
      <w:r>
        <w:t>Higher standards and regulation have an added dimension of emphasis on good quality records. The Health and Care Professions Council (HCPC) Standards of Conduct, Performance and Ethics encourage healthcare professionals to maintain accurate, clear and up to date records to facilitate safe and effective practice. Similarly, the Care Quality Commission (CQC) require health and social care providers to have good governance structures with accurate documentation, good information management and care records being checked on a regular basis (Care Quality Commission, 2024). Mrs Thompson keeps records of medication reviews, safeguarding visits, family communication and her care plan information, which allows all professionals involved to have access to consistent and reliable information. This minimises the risk of errors, facilitates collaborative care and professional responsibility (Manias, 2018). By following legal requirements and professional guidance, health and social care organisations can improve patient safety, protect confidentiality and provide high quality person centred care</w:t>
      </w:r>
      <w:r w:rsidR="00904D8A" w:rsidRPr="00904D8A">
        <w:t>.</w:t>
      </w:r>
    </w:p>
    <w:p w14:paraId="23B835FC" w14:textId="77777777" w:rsidR="00904D8A" w:rsidRPr="00904D8A" w:rsidRDefault="00904D8A" w:rsidP="001C43F8">
      <w:pPr>
        <w:pStyle w:val="Heading1"/>
      </w:pPr>
      <w:bookmarkStart w:id="3" w:name="_Toc235743977"/>
      <w:r w:rsidRPr="00904D8A">
        <w:t>3. Collaborative Working</w:t>
      </w:r>
      <w:bookmarkEnd w:id="3"/>
      <w:r w:rsidRPr="00904D8A">
        <w:t xml:space="preserve"> </w:t>
      </w:r>
    </w:p>
    <w:p w14:paraId="6CFBCBCD" w14:textId="77777777" w:rsidR="001C43F8" w:rsidRDefault="001C43F8" w:rsidP="001C43F8">
      <w:r>
        <w:t>Collaborative working is where health and social care professionals work together to take care of an individual's multiple needs. Mrs Thompson needs support from a number of professionals such as her GP, community nurse, domiciliary care workers, pharmacist and local authority as a result of her dementia, medication concerns and safeguarding issues. There are a wide range of knowledge and skills each professional brings in which allows for the more holistic evaluation of her needs. Good team working will also enhance decision making, avoid duplication of services and enable person centred working because people all share the same overall objectives (Reeves et al., 2017). Therefore, collaborative practice can help to maintain Mrs Thompson's health, safety and independence and enhance the overall quality of care she receives.</w:t>
      </w:r>
    </w:p>
    <w:p w14:paraId="12C66DB6" w14:textId="77777777" w:rsidR="001C43F8" w:rsidRDefault="001C43F8" w:rsidP="001C43F8">
      <w:r>
        <w:lastRenderedPageBreak/>
        <w:t>Effective multi agency working requires co-ordinated and frequent communication between professionals. Through shared care plans, all health and social care staff have easy access to the same up to date information regarding Mrs Thompson's medicine, health and identified risk and agreed interventions. Allowing frequent multidisciplinary team meetings and rapid access to information helps professionals to track her progress and act quickly if she needs extra support (Department of Health and Social Care, 2021). Involving Mrs Thompson and her family in planning her care also encourages sharing of decision making and also services to cater for her care need and preference(s). These approaches promote integrated care and improve continuity across different health and social care services.</w:t>
      </w:r>
    </w:p>
    <w:p w14:paraId="616BAADE" w14:textId="77777777" w:rsidR="00904D8A" w:rsidRPr="00904D8A" w:rsidRDefault="001C43F8" w:rsidP="001C43F8">
      <w:r>
        <w:t>The benefits of collaborative working, however, can be undermined by a lack of communication, unclear professional roles and the failure to share information between organisations in a timely manner. These struggles can have a negative impact on quality of care and can put people at risk, like Mrs Thompson. These can be mitigated with the implementation of clear roles, regular communication, adoption of secure information sharing processes, and the agreement of care pathways. Cooperation between organisations to improve outcomes for adults with care and support needs is also a main aim of the Care Act 2014 (Care Act 2014). The effectiveness of collaborative care is enhanced by improving the partnership working and mutual respect between professionals, which results in safer services and improved health for Mrs Thompson.</w:t>
      </w:r>
    </w:p>
    <w:p w14:paraId="7A86F8FC" w14:textId="77777777" w:rsidR="00904D8A" w:rsidRDefault="00904D8A" w:rsidP="001C43F8">
      <w:pPr>
        <w:pStyle w:val="Heading1"/>
      </w:pPr>
      <w:bookmarkStart w:id="4" w:name="_Toc235743978"/>
      <w:r w:rsidRPr="00904D8A">
        <w:t>Conclusion</w:t>
      </w:r>
      <w:bookmarkEnd w:id="4"/>
      <w:r w:rsidRPr="00904D8A">
        <w:t xml:space="preserve"> </w:t>
      </w:r>
    </w:p>
    <w:p w14:paraId="270AE2CB" w14:textId="77777777" w:rsidR="00904D8A" w:rsidRPr="00904D8A" w:rsidRDefault="001C43F8" w:rsidP="00904D8A">
      <w:r w:rsidRPr="001C43F8">
        <w:t>Effective communication, accurate record keeping and collaborative working all take a key role when providing person centred and effective health and social care, as demonstrated in Mrs Thompson's case. Effective communication can help the professional understand her needs, involve her in decision making and minimise the risks of dementia and taking medication. Accurate records facilitate continuity of care, promote accountability and ensure important information is made available to all authorised personnel. Health, social care and the local authority work together to coordinate and be responsive to changes in her condition. In general, the legal guidelines are adhered to, and the professional standards and working together to ensure of Mrs Thompson's well-being, independence and quality and consistency of Care.</w:t>
      </w:r>
    </w:p>
    <w:p w14:paraId="67AB5A57" w14:textId="77777777" w:rsidR="001003BA" w:rsidRPr="001003BA" w:rsidRDefault="001003BA" w:rsidP="001003BA"/>
    <w:p w14:paraId="33B59838" w14:textId="77777777" w:rsidR="00E21A6D" w:rsidRDefault="00E21A6D">
      <w:pPr>
        <w:spacing w:before="0" w:after="160"/>
      </w:pPr>
      <w:r>
        <w:br w:type="page"/>
      </w:r>
    </w:p>
    <w:p w14:paraId="589D634D" w14:textId="77777777" w:rsidR="00E21A6D" w:rsidRPr="00E21A6D" w:rsidRDefault="00E21A6D" w:rsidP="002E5AEA">
      <w:pPr>
        <w:pStyle w:val="Heading1"/>
      </w:pPr>
      <w:bookmarkStart w:id="5" w:name="_Toc235743979"/>
      <w:r w:rsidRPr="00E21A6D">
        <w:lastRenderedPageBreak/>
        <w:t>Reference List</w:t>
      </w:r>
      <w:bookmarkEnd w:id="5"/>
    </w:p>
    <w:p w14:paraId="28F75B57" w14:textId="77777777" w:rsidR="00904D8A" w:rsidRPr="00904D8A" w:rsidRDefault="00904D8A" w:rsidP="00904D8A">
      <w:r w:rsidRPr="00904D8A">
        <w:t xml:space="preserve">Arnold, E.C. and Boggs, K.U. (2020) </w:t>
      </w:r>
      <w:r w:rsidRPr="00904D8A">
        <w:rPr>
          <w:i/>
          <w:iCs/>
        </w:rPr>
        <w:t>Interpersonal Relationships: Professional Communication Skills for Nurses</w:t>
      </w:r>
      <w:r w:rsidRPr="00904D8A">
        <w:t xml:space="preserve">. 8th </w:t>
      </w:r>
      <w:proofErr w:type="spellStart"/>
      <w:r w:rsidRPr="00904D8A">
        <w:t>edn</w:t>
      </w:r>
      <w:proofErr w:type="spellEnd"/>
      <w:r w:rsidRPr="00904D8A">
        <w:t>. St. Louis, MO: Elsevier.</w:t>
      </w:r>
    </w:p>
    <w:p w14:paraId="3477CE55" w14:textId="77777777" w:rsidR="00904D8A" w:rsidRPr="00904D8A" w:rsidRDefault="00904D8A" w:rsidP="00904D8A">
      <w:r w:rsidRPr="00904D8A">
        <w:t xml:space="preserve">Bramhall, E. (2014) ‘Effective communication skills in nursing practice’, </w:t>
      </w:r>
      <w:r w:rsidRPr="00904D8A">
        <w:rPr>
          <w:i/>
          <w:iCs/>
        </w:rPr>
        <w:t>Nursing Standard</w:t>
      </w:r>
      <w:r w:rsidRPr="00904D8A">
        <w:t>, 29(14), pp. 53–59.</w:t>
      </w:r>
    </w:p>
    <w:p w14:paraId="73334F6B" w14:textId="77777777" w:rsidR="00904D8A" w:rsidRPr="00904D8A" w:rsidRDefault="00904D8A" w:rsidP="00904D8A">
      <w:r w:rsidRPr="00904D8A">
        <w:t xml:space="preserve">Care Act 2014 (c. 23). London: The Stationery Office. Available at: </w:t>
      </w:r>
      <w:hyperlink r:id="rId7" w:tgtFrame="_new" w:history="1">
        <w:r w:rsidRPr="00904D8A">
          <w:rPr>
            <w:rStyle w:val="Hyperlink"/>
          </w:rPr>
          <w:t>https://www.legislation.gov.uk/ukpga/2014/23/contents</w:t>
        </w:r>
      </w:hyperlink>
      <w:r w:rsidRPr="00904D8A">
        <w:t xml:space="preserve"> (Accessed: 23 July 2026).</w:t>
      </w:r>
    </w:p>
    <w:p w14:paraId="127AB316" w14:textId="77777777" w:rsidR="00904D8A" w:rsidRPr="00904D8A" w:rsidRDefault="00904D8A" w:rsidP="00904D8A">
      <w:r w:rsidRPr="00904D8A">
        <w:t xml:space="preserve">Care Quality Commission (2024) </w:t>
      </w:r>
      <w:r w:rsidRPr="00904D8A">
        <w:rPr>
          <w:i/>
          <w:iCs/>
        </w:rPr>
        <w:t>Single Assessment Framework</w:t>
      </w:r>
      <w:r w:rsidRPr="00904D8A">
        <w:t xml:space="preserve">. Available at: </w:t>
      </w:r>
      <w:hyperlink r:id="rId8" w:tgtFrame="_new" w:history="1">
        <w:r w:rsidRPr="00904D8A">
          <w:rPr>
            <w:rStyle w:val="Hyperlink"/>
          </w:rPr>
          <w:t>https://www.cqc.org.uk/guidance-regulation/providers/assessment/single-assessment-framework</w:t>
        </w:r>
      </w:hyperlink>
      <w:r w:rsidRPr="00904D8A">
        <w:t xml:space="preserve"> (Accessed: 23 July 2026).</w:t>
      </w:r>
    </w:p>
    <w:p w14:paraId="0835062C" w14:textId="77777777" w:rsidR="00904D8A" w:rsidRPr="00904D8A" w:rsidRDefault="00904D8A" w:rsidP="00904D8A">
      <w:r w:rsidRPr="00904D8A">
        <w:t xml:space="preserve">Data Protection Act 2018 (c. 12). London: The Stationery Office. Available at: </w:t>
      </w:r>
      <w:hyperlink r:id="rId9" w:tgtFrame="_new" w:history="1">
        <w:r w:rsidRPr="00904D8A">
          <w:rPr>
            <w:rStyle w:val="Hyperlink"/>
          </w:rPr>
          <w:t>https://www.legislation.gov.uk/ukpga/2018/12/contents</w:t>
        </w:r>
      </w:hyperlink>
      <w:r w:rsidRPr="00904D8A">
        <w:t xml:space="preserve"> (Accessed: 23 July 2026).</w:t>
      </w:r>
    </w:p>
    <w:p w14:paraId="753A7BC8" w14:textId="77777777" w:rsidR="00904D8A" w:rsidRPr="00904D8A" w:rsidRDefault="00904D8A" w:rsidP="00904D8A">
      <w:r w:rsidRPr="00904D8A">
        <w:t xml:space="preserve">Department of Health and Social Care (2021) </w:t>
      </w:r>
      <w:r w:rsidRPr="00904D8A">
        <w:rPr>
          <w:i/>
          <w:iCs/>
        </w:rPr>
        <w:t>Health and Social Care Integration: Joining Up Care for People, Places and Populations</w:t>
      </w:r>
      <w:r w:rsidRPr="00904D8A">
        <w:t xml:space="preserve">. London: Department of Health and Social Care. Available at: </w:t>
      </w:r>
      <w:hyperlink r:id="rId10" w:tgtFrame="_new" w:history="1">
        <w:r w:rsidRPr="00904D8A">
          <w:rPr>
            <w:rStyle w:val="Hyperlink"/>
          </w:rPr>
          <w:t>https://www.gov.uk/government/publications/health-and-social-care-integration-joining-up-care-for-people-places-and-populations</w:t>
        </w:r>
      </w:hyperlink>
      <w:r w:rsidRPr="00904D8A">
        <w:t xml:space="preserve"> (Accessed: 23 July 2026).</w:t>
      </w:r>
    </w:p>
    <w:p w14:paraId="5FAB9187" w14:textId="77777777" w:rsidR="00904D8A" w:rsidRPr="00904D8A" w:rsidRDefault="00904D8A" w:rsidP="00904D8A">
      <w:r w:rsidRPr="00904D8A">
        <w:t xml:space="preserve">Equality Act 2010 (c. 15). London: The Stationery Office. Available at: </w:t>
      </w:r>
      <w:hyperlink r:id="rId11" w:tgtFrame="_new" w:history="1">
        <w:r w:rsidRPr="00904D8A">
          <w:rPr>
            <w:rStyle w:val="Hyperlink"/>
          </w:rPr>
          <w:t>https://www.legislation.gov.uk/ukpga/2010/15/contents</w:t>
        </w:r>
      </w:hyperlink>
      <w:r w:rsidRPr="00904D8A">
        <w:t xml:space="preserve"> (Accessed: 23 July 2026).</w:t>
      </w:r>
    </w:p>
    <w:p w14:paraId="53FADB35" w14:textId="77777777" w:rsidR="00904D8A" w:rsidRPr="00904D8A" w:rsidRDefault="00904D8A" w:rsidP="00904D8A">
      <w:r w:rsidRPr="00904D8A">
        <w:t xml:space="preserve">Health and Care Professions Council (2024) </w:t>
      </w:r>
      <w:r w:rsidRPr="00904D8A">
        <w:rPr>
          <w:i/>
          <w:iCs/>
        </w:rPr>
        <w:t>Standards of Conduct, Performance and Ethics</w:t>
      </w:r>
      <w:r w:rsidRPr="00904D8A">
        <w:t xml:space="preserve">. London: HCPC. Available at: </w:t>
      </w:r>
      <w:hyperlink r:id="rId12" w:tgtFrame="_new" w:history="1">
        <w:r w:rsidRPr="00904D8A">
          <w:rPr>
            <w:rStyle w:val="Hyperlink"/>
          </w:rPr>
          <w:t>https://www.hcpc-uk.org/standards/standards-of-conduct-performance-and-ethics/</w:t>
        </w:r>
      </w:hyperlink>
      <w:r w:rsidRPr="00904D8A">
        <w:t xml:space="preserve"> (Accessed: 23 July 2026).</w:t>
      </w:r>
    </w:p>
    <w:p w14:paraId="59B8610F" w14:textId="77777777" w:rsidR="00904D8A" w:rsidRPr="00904D8A" w:rsidRDefault="00904D8A" w:rsidP="00904D8A">
      <w:r w:rsidRPr="00904D8A">
        <w:t xml:space="preserve">National Data Guardian (2020) </w:t>
      </w:r>
      <w:r w:rsidRPr="00904D8A">
        <w:rPr>
          <w:i/>
          <w:iCs/>
        </w:rPr>
        <w:t>The Caldicott Principles</w:t>
      </w:r>
      <w:r w:rsidRPr="00904D8A">
        <w:t xml:space="preserve">. Available at: </w:t>
      </w:r>
      <w:hyperlink r:id="rId13" w:tgtFrame="_new" w:history="1">
        <w:r w:rsidRPr="00904D8A">
          <w:rPr>
            <w:rStyle w:val="Hyperlink"/>
          </w:rPr>
          <w:t>https://www.gov.uk/government/publications/the-caldicott-principles</w:t>
        </w:r>
      </w:hyperlink>
      <w:r w:rsidRPr="00904D8A">
        <w:t xml:space="preserve"> (Accessed: 23 July 2026).</w:t>
      </w:r>
    </w:p>
    <w:p w14:paraId="1170705E" w14:textId="77777777" w:rsidR="00904D8A" w:rsidRPr="00904D8A" w:rsidRDefault="00904D8A" w:rsidP="00904D8A">
      <w:r w:rsidRPr="00904D8A">
        <w:t xml:space="preserve">Reeves, S., </w:t>
      </w:r>
      <w:proofErr w:type="spellStart"/>
      <w:r w:rsidRPr="00904D8A">
        <w:t>Pelone</w:t>
      </w:r>
      <w:proofErr w:type="spellEnd"/>
      <w:r w:rsidRPr="00904D8A">
        <w:t xml:space="preserve">, F., Harrison, R., Goldman, J. and </w:t>
      </w:r>
      <w:proofErr w:type="spellStart"/>
      <w:r w:rsidRPr="00904D8A">
        <w:t>Zwarenstein</w:t>
      </w:r>
      <w:proofErr w:type="spellEnd"/>
      <w:r w:rsidRPr="00904D8A">
        <w:t xml:space="preserve">, M. (2017) ‘Interprofessional collaboration to improve professional practice and healthcare outcomes’, </w:t>
      </w:r>
      <w:r w:rsidRPr="00904D8A">
        <w:rPr>
          <w:i/>
          <w:iCs/>
        </w:rPr>
        <w:t>Cochrane Database of Systematic Reviews</w:t>
      </w:r>
      <w:r w:rsidRPr="00904D8A">
        <w:t>, (6), CD000072.</w:t>
      </w:r>
    </w:p>
    <w:p w14:paraId="2193798D" w14:textId="77777777" w:rsidR="00904D8A" w:rsidRPr="00904D8A" w:rsidRDefault="00904D8A" w:rsidP="00904D8A">
      <w:proofErr w:type="spellStart"/>
      <w:r w:rsidRPr="00904D8A">
        <w:t>Vaismoradi</w:t>
      </w:r>
      <w:proofErr w:type="spellEnd"/>
      <w:r w:rsidRPr="00904D8A">
        <w:t xml:space="preserve">, M., Jordan, S., Turunen, H. and </w:t>
      </w:r>
      <w:proofErr w:type="spellStart"/>
      <w:r w:rsidRPr="00904D8A">
        <w:t>Bondas</w:t>
      </w:r>
      <w:proofErr w:type="spellEnd"/>
      <w:r w:rsidRPr="00904D8A">
        <w:t xml:space="preserve">, T. (2021) ‘Nurses’ documentation in patient records: An integrative review’, </w:t>
      </w:r>
      <w:r w:rsidRPr="00904D8A">
        <w:rPr>
          <w:i/>
          <w:iCs/>
        </w:rPr>
        <w:t>Journal of Clinical Nursing</w:t>
      </w:r>
      <w:r w:rsidRPr="00904D8A">
        <w:t>, 30(11–12), pp. 1421–1435.</w:t>
      </w:r>
    </w:p>
    <w:p w14:paraId="31AAE0ED" w14:textId="77777777" w:rsidR="00802E4F" w:rsidRDefault="00802E4F"/>
    <w:sectPr w:rsidR="00802E4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10323" w14:textId="77777777" w:rsidR="00305467" w:rsidRDefault="00305467" w:rsidP="00672E56">
      <w:pPr>
        <w:spacing w:before="0" w:after="0" w:line="240" w:lineRule="auto"/>
      </w:pPr>
      <w:r>
        <w:separator/>
      </w:r>
    </w:p>
  </w:endnote>
  <w:endnote w:type="continuationSeparator" w:id="0">
    <w:p w14:paraId="3FDBCDE2" w14:textId="77777777" w:rsidR="00305467" w:rsidRDefault="00305467" w:rsidP="00672E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556733"/>
      <w:docPartObj>
        <w:docPartGallery w:val="Page Numbers (Bottom of Page)"/>
        <w:docPartUnique/>
      </w:docPartObj>
    </w:sdtPr>
    <w:sdtEndPr>
      <w:rPr>
        <w:color w:val="7F7F7F" w:themeColor="background1" w:themeShade="7F"/>
        <w:spacing w:val="60"/>
      </w:rPr>
    </w:sdtEndPr>
    <w:sdtContent>
      <w:p w14:paraId="021086AD" w14:textId="77777777" w:rsidR="000719DD" w:rsidRDefault="000719D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4F0B3CCA" w14:textId="77777777" w:rsidR="00672E56" w:rsidRDefault="00672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DCD0A" w14:textId="77777777" w:rsidR="00305467" w:rsidRDefault="00305467" w:rsidP="00672E56">
      <w:pPr>
        <w:spacing w:before="0" w:after="0" w:line="240" w:lineRule="auto"/>
      </w:pPr>
      <w:r>
        <w:separator/>
      </w:r>
    </w:p>
  </w:footnote>
  <w:footnote w:type="continuationSeparator" w:id="0">
    <w:p w14:paraId="74F525C6" w14:textId="77777777" w:rsidR="00305467" w:rsidRDefault="00305467" w:rsidP="00672E5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3BA"/>
    <w:rsid w:val="00005525"/>
    <w:rsid w:val="00043502"/>
    <w:rsid w:val="000719DD"/>
    <w:rsid w:val="001003BA"/>
    <w:rsid w:val="00101473"/>
    <w:rsid w:val="00137DE9"/>
    <w:rsid w:val="001421D2"/>
    <w:rsid w:val="001B67FD"/>
    <w:rsid w:val="001C43F8"/>
    <w:rsid w:val="001E2CCF"/>
    <w:rsid w:val="00296D23"/>
    <w:rsid w:val="002E5AEA"/>
    <w:rsid w:val="00305467"/>
    <w:rsid w:val="00326A12"/>
    <w:rsid w:val="00345C22"/>
    <w:rsid w:val="00403386"/>
    <w:rsid w:val="00406960"/>
    <w:rsid w:val="004162A9"/>
    <w:rsid w:val="005807FD"/>
    <w:rsid w:val="005866A7"/>
    <w:rsid w:val="00626197"/>
    <w:rsid w:val="00664A25"/>
    <w:rsid w:val="00672E56"/>
    <w:rsid w:val="006C5EE0"/>
    <w:rsid w:val="006E39B1"/>
    <w:rsid w:val="00802E4F"/>
    <w:rsid w:val="008121A2"/>
    <w:rsid w:val="008F79AD"/>
    <w:rsid w:val="00904D8A"/>
    <w:rsid w:val="00916739"/>
    <w:rsid w:val="009B1208"/>
    <w:rsid w:val="00A3785A"/>
    <w:rsid w:val="00B079F6"/>
    <w:rsid w:val="00BE6E4A"/>
    <w:rsid w:val="00C661A9"/>
    <w:rsid w:val="00D07ED7"/>
    <w:rsid w:val="00DB23DD"/>
    <w:rsid w:val="00E21A6D"/>
    <w:rsid w:val="00E40CAF"/>
    <w:rsid w:val="00F218D3"/>
    <w:rsid w:val="00F51380"/>
    <w:rsid w:val="00F54024"/>
    <w:rsid w:val="00F7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485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DE9"/>
    <w:pPr>
      <w:spacing w:before="60" w:after="60"/>
    </w:pPr>
    <w:rPr>
      <w:rFonts w:ascii="Times New Roman" w:hAnsi="Times New Roman" w:cs="Times New Roman"/>
      <w:sz w:val="24"/>
      <w:szCs w:val="20"/>
    </w:rPr>
  </w:style>
  <w:style w:type="paragraph" w:styleId="Heading1">
    <w:name w:val="heading 1"/>
    <w:basedOn w:val="Normal"/>
    <w:next w:val="Normal"/>
    <w:link w:val="Heading1Char"/>
    <w:autoRedefine/>
    <w:uiPriority w:val="9"/>
    <w:qFormat/>
    <w:rsid w:val="001C43F8"/>
    <w:pPr>
      <w:keepNext/>
      <w:keepLines/>
      <w:spacing w:before="12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D07ED7"/>
    <w:pPr>
      <w:keepNext/>
      <w:keepLines/>
      <w:spacing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D07ED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3F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D07ED7"/>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D07ED7"/>
    <w:rPr>
      <w:rFonts w:ascii="Times New Roman" w:eastAsiaTheme="majorEastAsia" w:hAnsi="Times New Roman" w:cstheme="majorBidi"/>
      <w:b/>
      <w:color w:val="1F4D78" w:themeColor="accent1" w:themeShade="7F"/>
      <w:sz w:val="24"/>
      <w:szCs w:val="24"/>
    </w:rPr>
  </w:style>
  <w:style w:type="character" w:styleId="Hyperlink">
    <w:name w:val="Hyperlink"/>
    <w:basedOn w:val="DefaultParagraphFont"/>
    <w:uiPriority w:val="99"/>
    <w:unhideWhenUsed/>
    <w:rsid w:val="00E21A6D"/>
    <w:rPr>
      <w:color w:val="0563C1" w:themeColor="hyperlink"/>
      <w:u w:val="single"/>
    </w:rPr>
  </w:style>
  <w:style w:type="paragraph" w:styleId="Header">
    <w:name w:val="header"/>
    <w:basedOn w:val="Normal"/>
    <w:link w:val="HeaderChar"/>
    <w:uiPriority w:val="99"/>
    <w:unhideWhenUsed/>
    <w:rsid w:val="00672E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2E56"/>
    <w:rPr>
      <w:rFonts w:ascii="Times New Roman" w:hAnsi="Times New Roman" w:cs="Times New Roman"/>
      <w:sz w:val="24"/>
      <w:szCs w:val="20"/>
    </w:rPr>
  </w:style>
  <w:style w:type="paragraph" w:styleId="Footer">
    <w:name w:val="footer"/>
    <w:basedOn w:val="Normal"/>
    <w:link w:val="FooterChar"/>
    <w:uiPriority w:val="99"/>
    <w:unhideWhenUsed/>
    <w:rsid w:val="00672E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2E56"/>
    <w:rPr>
      <w:rFonts w:ascii="Times New Roman" w:hAnsi="Times New Roman" w:cs="Times New Roman"/>
      <w:sz w:val="24"/>
      <w:szCs w:val="20"/>
    </w:rPr>
  </w:style>
  <w:style w:type="paragraph" w:styleId="TOCHeading">
    <w:name w:val="TOC Heading"/>
    <w:basedOn w:val="Heading1"/>
    <w:next w:val="Normal"/>
    <w:uiPriority w:val="39"/>
    <w:unhideWhenUsed/>
    <w:qFormat/>
    <w:rsid w:val="00672E56"/>
    <w:pPr>
      <w:spacing w:before="240" w:line="259" w:lineRule="auto"/>
      <w:jc w:val="left"/>
      <w:outlineLvl w:val="9"/>
    </w:pPr>
    <w:rPr>
      <w:rFonts w:asciiTheme="majorHAnsi" w:hAnsiTheme="majorHAnsi"/>
      <w:b w:val="0"/>
      <w:sz w:val="32"/>
      <w:lang w:val="en-US"/>
    </w:rPr>
  </w:style>
  <w:style w:type="paragraph" w:styleId="TOC2">
    <w:name w:val="toc 2"/>
    <w:basedOn w:val="Normal"/>
    <w:next w:val="Normal"/>
    <w:autoRedefine/>
    <w:uiPriority w:val="39"/>
    <w:unhideWhenUsed/>
    <w:rsid w:val="00672E56"/>
    <w:pPr>
      <w:spacing w:after="100"/>
      <w:ind w:left="240"/>
    </w:pPr>
  </w:style>
  <w:style w:type="paragraph" w:styleId="TOC1">
    <w:name w:val="toc 1"/>
    <w:basedOn w:val="Normal"/>
    <w:next w:val="Normal"/>
    <w:autoRedefine/>
    <w:uiPriority w:val="39"/>
    <w:unhideWhenUsed/>
    <w:rsid w:val="00672E5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49143">
      <w:bodyDiv w:val="1"/>
      <w:marLeft w:val="0"/>
      <w:marRight w:val="0"/>
      <w:marTop w:val="0"/>
      <w:marBottom w:val="0"/>
      <w:divBdr>
        <w:top w:val="none" w:sz="0" w:space="0" w:color="auto"/>
        <w:left w:val="none" w:sz="0" w:space="0" w:color="auto"/>
        <w:bottom w:val="none" w:sz="0" w:space="0" w:color="auto"/>
        <w:right w:val="none" w:sz="0" w:space="0" w:color="auto"/>
      </w:divBdr>
      <w:divsChild>
        <w:div w:id="1344549121">
          <w:marLeft w:val="0"/>
          <w:marRight w:val="0"/>
          <w:marTop w:val="0"/>
          <w:marBottom w:val="0"/>
          <w:divBdr>
            <w:top w:val="none" w:sz="0" w:space="0" w:color="auto"/>
            <w:left w:val="none" w:sz="0" w:space="0" w:color="auto"/>
            <w:bottom w:val="none" w:sz="0" w:space="0" w:color="auto"/>
            <w:right w:val="none" w:sz="0" w:space="0" w:color="auto"/>
          </w:divBdr>
          <w:divsChild>
            <w:div w:id="1405175925">
              <w:marLeft w:val="0"/>
              <w:marRight w:val="0"/>
              <w:marTop w:val="0"/>
              <w:marBottom w:val="0"/>
              <w:divBdr>
                <w:top w:val="none" w:sz="0" w:space="0" w:color="auto"/>
                <w:left w:val="none" w:sz="0" w:space="0" w:color="auto"/>
                <w:bottom w:val="none" w:sz="0" w:space="0" w:color="auto"/>
                <w:right w:val="none" w:sz="0" w:space="0" w:color="auto"/>
              </w:divBdr>
              <w:divsChild>
                <w:div w:id="967050105">
                  <w:marLeft w:val="0"/>
                  <w:marRight w:val="0"/>
                  <w:marTop w:val="0"/>
                  <w:marBottom w:val="0"/>
                  <w:divBdr>
                    <w:top w:val="none" w:sz="0" w:space="0" w:color="auto"/>
                    <w:left w:val="none" w:sz="0" w:space="0" w:color="auto"/>
                    <w:bottom w:val="none" w:sz="0" w:space="0" w:color="auto"/>
                    <w:right w:val="none" w:sz="0" w:space="0" w:color="auto"/>
                  </w:divBdr>
                  <w:divsChild>
                    <w:div w:id="1229413784">
                      <w:marLeft w:val="0"/>
                      <w:marRight w:val="0"/>
                      <w:marTop w:val="0"/>
                      <w:marBottom w:val="0"/>
                      <w:divBdr>
                        <w:top w:val="none" w:sz="0" w:space="0" w:color="auto"/>
                        <w:left w:val="none" w:sz="0" w:space="0" w:color="auto"/>
                        <w:bottom w:val="none" w:sz="0" w:space="0" w:color="auto"/>
                        <w:right w:val="none" w:sz="0" w:space="0" w:color="auto"/>
                      </w:divBdr>
                      <w:divsChild>
                        <w:div w:id="1478766634">
                          <w:marLeft w:val="0"/>
                          <w:marRight w:val="0"/>
                          <w:marTop w:val="0"/>
                          <w:marBottom w:val="0"/>
                          <w:divBdr>
                            <w:top w:val="none" w:sz="0" w:space="0" w:color="auto"/>
                            <w:left w:val="none" w:sz="0" w:space="0" w:color="auto"/>
                            <w:bottom w:val="none" w:sz="0" w:space="0" w:color="auto"/>
                            <w:right w:val="none" w:sz="0" w:space="0" w:color="auto"/>
                          </w:divBdr>
                          <w:divsChild>
                            <w:div w:id="97440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596298">
      <w:bodyDiv w:val="1"/>
      <w:marLeft w:val="0"/>
      <w:marRight w:val="0"/>
      <w:marTop w:val="0"/>
      <w:marBottom w:val="0"/>
      <w:divBdr>
        <w:top w:val="none" w:sz="0" w:space="0" w:color="auto"/>
        <w:left w:val="none" w:sz="0" w:space="0" w:color="auto"/>
        <w:bottom w:val="none" w:sz="0" w:space="0" w:color="auto"/>
        <w:right w:val="none" w:sz="0" w:space="0" w:color="auto"/>
      </w:divBdr>
    </w:div>
    <w:div w:id="582685640">
      <w:bodyDiv w:val="1"/>
      <w:marLeft w:val="0"/>
      <w:marRight w:val="0"/>
      <w:marTop w:val="0"/>
      <w:marBottom w:val="0"/>
      <w:divBdr>
        <w:top w:val="none" w:sz="0" w:space="0" w:color="auto"/>
        <w:left w:val="none" w:sz="0" w:space="0" w:color="auto"/>
        <w:bottom w:val="none" w:sz="0" w:space="0" w:color="auto"/>
        <w:right w:val="none" w:sz="0" w:space="0" w:color="auto"/>
      </w:divBdr>
    </w:div>
    <w:div w:id="865604417">
      <w:bodyDiv w:val="1"/>
      <w:marLeft w:val="0"/>
      <w:marRight w:val="0"/>
      <w:marTop w:val="0"/>
      <w:marBottom w:val="0"/>
      <w:divBdr>
        <w:top w:val="none" w:sz="0" w:space="0" w:color="auto"/>
        <w:left w:val="none" w:sz="0" w:space="0" w:color="auto"/>
        <w:bottom w:val="none" w:sz="0" w:space="0" w:color="auto"/>
        <w:right w:val="none" w:sz="0" w:space="0" w:color="auto"/>
      </w:divBdr>
    </w:div>
    <w:div w:id="866868132">
      <w:bodyDiv w:val="1"/>
      <w:marLeft w:val="0"/>
      <w:marRight w:val="0"/>
      <w:marTop w:val="0"/>
      <w:marBottom w:val="0"/>
      <w:divBdr>
        <w:top w:val="none" w:sz="0" w:space="0" w:color="auto"/>
        <w:left w:val="none" w:sz="0" w:space="0" w:color="auto"/>
        <w:bottom w:val="none" w:sz="0" w:space="0" w:color="auto"/>
        <w:right w:val="none" w:sz="0" w:space="0" w:color="auto"/>
      </w:divBdr>
    </w:div>
    <w:div w:id="890655094">
      <w:bodyDiv w:val="1"/>
      <w:marLeft w:val="0"/>
      <w:marRight w:val="0"/>
      <w:marTop w:val="0"/>
      <w:marBottom w:val="0"/>
      <w:divBdr>
        <w:top w:val="none" w:sz="0" w:space="0" w:color="auto"/>
        <w:left w:val="none" w:sz="0" w:space="0" w:color="auto"/>
        <w:bottom w:val="none" w:sz="0" w:space="0" w:color="auto"/>
        <w:right w:val="none" w:sz="0" w:space="0" w:color="auto"/>
      </w:divBdr>
      <w:divsChild>
        <w:div w:id="1835224294">
          <w:marLeft w:val="0"/>
          <w:marRight w:val="0"/>
          <w:marTop w:val="0"/>
          <w:marBottom w:val="0"/>
          <w:divBdr>
            <w:top w:val="none" w:sz="0" w:space="0" w:color="auto"/>
            <w:left w:val="none" w:sz="0" w:space="0" w:color="auto"/>
            <w:bottom w:val="none" w:sz="0" w:space="0" w:color="auto"/>
            <w:right w:val="none" w:sz="0" w:space="0" w:color="auto"/>
          </w:divBdr>
          <w:divsChild>
            <w:div w:id="287661549">
              <w:marLeft w:val="0"/>
              <w:marRight w:val="0"/>
              <w:marTop w:val="0"/>
              <w:marBottom w:val="0"/>
              <w:divBdr>
                <w:top w:val="none" w:sz="0" w:space="0" w:color="auto"/>
                <w:left w:val="none" w:sz="0" w:space="0" w:color="auto"/>
                <w:bottom w:val="none" w:sz="0" w:space="0" w:color="auto"/>
                <w:right w:val="none" w:sz="0" w:space="0" w:color="auto"/>
              </w:divBdr>
              <w:divsChild>
                <w:div w:id="490485144">
                  <w:marLeft w:val="0"/>
                  <w:marRight w:val="0"/>
                  <w:marTop w:val="0"/>
                  <w:marBottom w:val="0"/>
                  <w:divBdr>
                    <w:top w:val="none" w:sz="0" w:space="0" w:color="auto"/>
                    <w:left w:val="none" w:sz="0" w:space="0" w:color="auto"/>
                    <w:bottom w:val="none" w:sz="0" w:space="0" w:color="auto"/>
                    <w:right w:val="none" w:sz="0" w:space="0" w:color="auto"/>
                  </w:divBdr>
                  <w:divsChild>
                    <w:div w:id="1208252859">
                      <w:marLeft w:val="0"/>
                      <w:marRight w:val="0"/>
                      <w:marTop w:val="0"/>
                      <w:marBottom w:val="0"/>
                      <w:divBdr>
                        <w:top w:val="none" w:sz="0" w:space="0" w:color="auto"/>
                        <w:left w:val="none" w:sz="0" w:space="0" w:color="auto"/>
                        <w:bottom w:val="none" w:sz="0" w:space="0" w:color="auto"/>
                        <w:right w:val="none" w:sz="0" w:space="0" w:color="auto"/>
                      </w:divBdr>
                      <w:divsChild>
                        <w:div w:id="1988780568">
                          <w:marLeft w:val="0"/>
                          <w:marRight w:val="0"/>
                          <w:marTop w:val="0"/>
                          <w:marBottom w:val="0"/>
                          <w:divBdr>
                            <w:top w:val="none" w:sz="0" w:space="0" w:color="auto"/>
                            <w:left w:val="none" w:sz="0" w:space="0" w:color="auto"/>
                            <w:bottom w:val="none" w:sz="0" w:space="0" w:color="auto"/>
                            <w:right w:val="none" w:sz="0" w:space="0" w:color="auto"/>
                          </w:divBdr>
                          <w:divsChild>
                            <w:div w:id="57220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43575">
      <w:bodyDiv w:val="1"/>
      <w:marLeft w:val="0"/>
      <w:marRight w:val="0"/>
      <w:marTop w:val="0"/>
      <w:marBottom w:val="0"/>
      <w:divBdr>
        <w:top w:val="none" w:sz="0" w:space="0" w:color="auto"/>
        <w:left w:val="none" w:sz="0" w:space="0" w:color="auto"/>
        <w:bottom w:val="none" w:sz="0" w:space="0" w:color="auto"/>
        <w:right w:val="none" w:sz="0" w:space="0" w:color="auto"/>
      </w:divBdr>
    </w:div>
    <w:div w:id="1737436351">
      <w:bodyDiv w:val="1"/>
      <w:marLeft w:val="0"/>
      <w:marRight w:val="0"/>
      <w:marTop w:val="0"/>
      <w:marBottom w:val="0"/>
      <w:divBdr>
        <w:top w:val="none" w:sz="0" w:space="0" w:color="auto"/>
        <w:left w:val="none" w:sz="0" w:space="0" w:color="auto"/>
        <w:bottom w:val="none" w:sz="0" w:space="0" w:color="auto"/>
        <w:right w:val="none" w:sz="0" w:space="0" w:color="auto"/>
      </w:divBdr>
      <w:divsChild>
        <w:div w:id="1081757571">
          <w:marLeft w:val="0"/>
          <w:marRight w:val="0"/>
          <w:marTop w:val="0"/>
          <w:marBottom w:val="0"/>
          <w:divBdr>
            <w:top w:val="none" w:sz="0" w:space="0" w:color="auto"/>
            <w:left w:val="none" w:sz="0" w:space="0" w:color="auto"/>
            <w:bottom w:val="none" w:sz="0" w:space="0" w:color="auto"/>
            <w:right w:val="none" w:sz="0" w:space="0" w:color="auto"/>
          </w:divBdr>
          <w:divsChild>
            <w:div w:id="783572453">
              <w:marLeft w:val="0"/>
              <w:marRight w:val="0"/>
              <w:marTop w:val="0"/>
              <w:marBottom w:val="0"/>
              <w:divBdr>
                <w:top w:val="none" w:sz="0" w:space="0" w:color="auto"/>
                <w:left w:val="none" w:sz="0" w:space="0" w:color="auto"/>
                <w:bottom w:val="none" w:sz="0" w:space="0" w:color="auto"/>
                <w:right w:val="none" w:sz="0" w:space="0" w:color="auto"/>
              </w:divBdr>
              <w:divsChild>
                <w:div w:id="315260598">
                  <w:marLeft w:val="0"/>
                  <w:marRight w:val="0"/>
                  <w:marTop w:val="0"/>
                  <w:marBottom w:val="0"/>
                  <w:divBdr>
                    <w:top w:val="none" w:sz="0" w:space="0" w:color="auto"/>
                    <w:left w:val="none" w:sz="0" w:space="0" w:color="auto"/>
                    <w:bottom w:val="none" w:sz="0" w:space="0" w:color="auto"/>
                    <w:right w:val="none" w:sz="0" w:space="0" w:color="auto"/>
                  </w:divBdr>
                  <w:divsChild>
                    <w:div w:id="1826776392">
                      <w:marLeft w:val="0"/>
                      <w:marRight w:val="0"/>
                      <w:marTop w:val="0"/>
                      <w:marBottom w:val="0"/>
                      <w:divBdr>
                        <w:top w:val="none" w:sz="0" w:space="0" w:color="auto"/>
                        <w:left w:val="none" w:sz="0" w:space="0" w:color="auto"/>
                        <w:bottom w:val="none" w:sz="0" w:space="0" w:color="auto"/>
                        <w:right w:val="none" w:sz="0" w:space="0" w:color="auto"/>
                      </w:divBdr>
                      <w:divsChild>
                        <w:div w:id="1223642807">
                          <w:marLeft w:val="0"/>
                          <w:marRight w:val="0"/>
                          <w:marTop w:val="0"/>
                          <w:marBottom w:val="0"/>
                          <w:divBdr>
                            <w:top w:val="none" w:sz="0" w:space="0" w:color="auto"/>
                            <w:left w:val="none" w:sz="0" w:space="0" w:color="auto"/>
                            <w:bottom w:val="none" w:sz="0" w:space="0" w:color="auto"/>
                            <w:right w:val="none" w:sz="0" w:space="0" w:color="auto"/>
                          </w:divBdr>
                          <w:divsChild>
                            <w:div w:id="14658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assessment/single-assessment-framework" TargetMode="External"/><Relationship Id="rId13" Type="http://schemas.openxmlformats.org/officeDocument/2006/relationships/hyperlink" Target="https://www.gov.uk/government/publications/the-caldicott-principles?utm_source=chatgpt.com"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hcpc-uk.org/standards/standards-of-conduct-performance-and-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health-and-social-care-integration-joining-up-care-for-people-places-and-populations" TargetMode="External"/><Relationship Id="rId4" Type="http://schemas.openxmlformats.org/officeDocument/2006/relationships/webSettings" Target="webSettings.xml"/><Relationship Id="rId9" Type="http://schemas.openxmlformats.org/officeDocument/2006/relationships/hyperlink" Target="https://www.legislation.gov.uk/ukpga/2018/12/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903789-C340-4BDF-891D-1470CE784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2026-07-31T08:08:00Z</dcterms:created>
  <dcterms:modified xsi:type="dcterms:W3CDTF">2026-07-31T08:08:00Z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23e4636f-1beb-48f6-92c1-a2400d493ec5</vt:lpwstr>
  </property>
</Properties>
</file>