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22D82" w14:textId="7BA1D741" w:rsidR="00395EFC" w:rsidRDefault="00837FB6" w:rsidP="00837FB6">
      <w:pPr>
        <w:pStyle w:val="Title"/>
        <w:jc w:val="center"/>
        <w:rPr>
          <w:sz w:val="48"/>
          <w:szCs w:val="48"/>
        </w:rPr>
      </w:pPr>
      <w:r w:rsidRPr="00837FB6">
        <w:rPr>
          <w:sz w:val="48"/>
          <w:szCs w:val="48"/>
        </w:rPr>
        <w:t>Chapter 2 – Literature Review</w:t>
      </w:r>
    </w:p>
    <w:p w14:paraId="0307C292" w14:textId="77777777" w:rsidR="00837FB6" w:rsidRDefault="00837FB6" w:rsidP="00837FB6"/>
    <w:p w14:paraId="701C8518" w14:textId="36D70D2E" w:rsidR="00837FB6" w:rsidRDefault="00837FB6" w:rsidP="00837FB6">
      <w:r>
        <w:t>2.1 Introduction</w:t>
      </w:r>
    </w:p>
    <w:p w14:paraId="33071AD1" w14:textId="12AC67E5" w:rsidR="00837FB6" w:rsidRPr="00837FB6" w:rsidRDefault="00837FB6" w:rsidP="00837FB6">
      <w:pPr>
        <w:spacing w:line="360" w:lineRule="auto"/>
        <w:jc w:val="both"/>
        <w:rPr>
          <w:rFonts w:ascii="-webkit-standard" w:hAnsi="-webkit-standard"/>
          <w:color w:val="000000"/>
        </w:rPr>
      </w:pPr>
      <w:r w:rsidRPr="00837FB6">
        <w:rPr>
          <w:rFonts w:ascii="-webkit-standard" w:hAnsi="-webkit-standard"/>
          <w:color w:val="000000"/>
        </w:rPr>
        <w:t>This chapter provides a thorough examination of the existing literature concerning child abuse, emotional neglect, and the involvement of police intervention in the protection of children. This analysis explores academic studies, policy frameworks, and empirical evidence concerning physical and emotional abuse, their effects on child development, and the efficacy of police responses in child protection. This literature review aims to assess current knowledge, pinpoint theoretical and practical deficiencies, and lay the groundwork for the current research, which investigates public perceptions of police involvement in abuse cases in South Wales.</w:t>
      </w:r>
    </w:p>
    <w:p w14:paraId="658F926B" w14:textId="77777777" w:rsidR="00837FB6" w:rsidRDefault="00837FB6" w:rsidP="00837FB6">
      <w:pPr>
        <w:rPr>
          <w:rFonts w:ascii="-webkit-standard" w:hAnsi="-webkit-standard"/>
          <w:color w:val="000000"/>
          <w:sz w:val="27"/>
          <w:szCs w:val="27"/>
        </w:rPr>
      </w:pPr>
    </w:p>
    <w:p w14:paraId="6D05A220" w14:textId="254E2829" w:rsidR="00837FB6" w:rsidRDefault="00837FB6" w:rsidP="00837FB6">
      <w:pPr>
        <w:rPr>
          <w:rFonts w:ascii="-webkit-standard" w:hAnsi="-webkit-standard"/>
          <w:color w:val="000000"/>
          <w:sz w:val="27"/>
          <w:szCs w:val="27"/>
        </w:rPr>
      </w:pPr>
      <w:r>
        <w:rPr>
          <w:rFonts w:ascii="-webkit-standard" w:hAnsi="-webkit-standard"/>
          <w:color w:val="000000"/>
          <w:sz w:val="27"/>
          <w:szCs w:val="27"/>
        </w:rPr>
        <w:t>2.2 Conceptualising Child Abuse</w:t>
      </w:r>
    </w:p>
    <w:p w14:paraId="154A52C5" w14:textId="77777777" w:rsidR="00837FB6" w:rsidRDefault="00837FB6" w:rsidP="00837FB6">
      <w:pPr>
        <w:rPr>
          <w:rFonts w:ascii="-webkit-standard" w:hAnsi="-webkit-standard"/>
          <w:color w:val="000000"/>
          <w:sz w:val="27"/>
          <w:szCs w:val="27"/>
        </w:rPr>
      </w:pPr>
    </w:p>
    <w:p w14:paraId="02FBC072" w14:textId="290354B7" w:rsidR="00837FB6" w:rsidRDefault="00837FB6" w:rsidP="00837FB6">
      <w:pPr>
        <w:spacing w:line="360" w:lineRule="auto"/>
        <w:jc w:val="both"/>
      </w:pPr>
      <w:r>
        <w:t>Child abuse is recognised as a multifaceted problem encompassing physical, sexual, emotional harm, and neglect (NSPCC, 2023).</w:t>
      </w:r>
      <w:r>
        <w:t xml:space="preserve"> </w:t>
      </w:r>
      <w:r>
        <w:t>HM Government (2023) defines abuse as any act or omission that causes actual or potential harm to a child's health, development, or dignity. Physical abuse involves the deliberate causing of bodily harm, whereas emotional abuse consists of persistent actions that erode a child's self-esteem, emotional well-being, or mental health.   Emotional injury and neglect are interconnected since neglect involves this failing.</w:t>
      </w:r>
      <w:r>
        <w:t xml:space="preserve"> </w:t>
      </w:r>
      <w:r>
        <w:t xml:space="preserve">According to researchers (Ibrahim et al., 2018), emotional abuse is common yet often overlooked. Physical abuse presents clear indicators, such as bruises or injuries; conversely, emotional abuse is frequently obscured within familial interactions, complicating detection by professionals and law enforcement.     Radford et al. (2017) found that emotional abuse is reported less frequently than other forms of maltreatment, yet it has substantial adverse effects on child well-being. Additionally, child maltreatment is influenced by broader socioeconomic circumstances. Research indicates that deprivation, parental mental health challenges, domestic violence, and substance abuse markedly elevate the risk of abuse (Public Health Wales, 2022).  Structural inequalities are particularly relevant in </w:t>
      </w:r>
      <w:r>
        <w:lastRenderedPageBreak/>
        <w:t>certain areas of South Wales, where elevated levels of deprivation are associated with heightened safeguarding concerns (Welsh Government, 2023).  Consequently, any analysis of police intervention should be contextualised within the broader societal framework.</w:t>
      </w:r>
    </w:p>
    <w:p w14:paraId="2D5AEC29" w14:textId="77777777" w:rsidR="00837FB6" w:rsidRDefault="00837FB6" w:rsidP="00837FB6"/>
    <w:p w14:paraId="3521DD9D" w14:textId="77777777" w:rsidR="00837FB6" w:rsidRPr="00837FB6" w:rsidRDefault="00837FB6" w:rsidP="00837FB6">
      <w:pPr>
        <w:spacing w:before="100" w:beforeAutospacing="1" w:after="100" w:afterAutospacing="1" w:line="240" w:lineRule="auto"/>
        <w:jc w:val="both"/>
        <w:outlineLvl w:val="1"/>
        <w:rPr>
          <w:rFonts w:ascii="Times New Roman" w:eastAsia="Times New Roman" w:hAnsi="Times New Roman" w:cs="Times New Roman"/>
          <w:color w:val="000000"/>
          <w:kern w:val="0"/>
          <w:sz w:val="36"/>
          <w:szCs w:val="36"/>
          <w:lang w:eastAsia="en-GB"/>
          <w14:ligatures w14:val="none"/>
        </w:rPr>
      </w:pPr>
      <w:r w:rsidRPr="00837FB6">
        <w:rPr>
          <w:rFonts w:ascii="Times New Roman" w:eastAsia="Times New Roman" w:hAnsi="Times New Roman" w:cs="Times New Roman"/>
          <w:color w:val="000000"/>
          <w:kern w:val="0"/>
          <w:sz w:val="36"/>
          <w:szCs w:val="36"/>
          <w:lang w:eastAsia="en-GB"/>
          <w14:ligatures w14:val="none"/>
        </w:rPr>
        <w:t>2.3 Emotional Abuse and Neglect: Hidden Harm</w:t>
      </w:r>
    </w:p>
    <w:p w14:paraId="0E71C8E0" w14:textId="4E3C0A1A" w:rsidR="00837FB6" w:rsidRDefault="00837FB6" w:rsidP="00837FB6">
      <w:pPr>
        <w:rPr>
          <w:rFonts w:ascii="-webkit-standard" w:hAnsi="-webkit-standard"/>
          <w:color w:val="000000"/>
          <w:sz w:val="27"/>
          <w:szCs w:val="27"/>
        </w:rPr>
      </w:pPr>
      <w:r>
        <w:rPr>
          <w:rFonts w:ascii="-webkit-standard" w:hAnsi="-webkit-standard"/>
          <w:color w:val="000000"/>
          <w:sz w:val="27"/>
          <w:szCs w:val="27"/>
        </w:rPr>
        <w:t>2.3.1 Challenges in identification</w:t>
      </w:r>
    </w:p>
    <w:p w14:paraId="21639DCC" w14:textId="2EE25F38" w:rsidR="00837FB6" w:rsidRDefault="00837FB6" w:rsidP="00837FB6">
      <w:pPr>
        <w:spacing w:line="360" w:lineRule="auto"/>
        <w:jc w:val="both"/>
      </w:pPr>
      <w:r>
        <w:t>Emotional abuse is recognised as one of the most difficult forms of harm to identify and substantiate (Bryant &amp; Bryant, 2021).</w:t>
      </w:r>
      <w:r>
        <w:t xml:space="preserve"> </w:t>
      </w:r>
      <w:r>
        <w:t>Mental pain is inherently subjective, and the invisibility of injuries complicates both reporting and investigation processes.     Adults, including teachers, neighbours, and extended family members, may struggle to identify the indicators of emotional abuse in children (UNICEF, 2021).</w:t>
      </w:r>
      <w:r>
        <w:t xml:space="preserve"> </w:t>
      </w:r>
      <w:r>
        <w:t xml:space="preserve">Police training typically focusses on managing visible criminal activities and physical threats, while there is an opportunity to enhance understanding of the subtler behavioural patterns that may lead to emotional trauma (Home Office, 2022).   This factor presents unique challenges for law enforcement officers, but it also </w:t>
      </w:r>
      <w:r>
        <w:t>opens</w:t>
      </w:r>
      <w:r>
        <w:t xml:space="preserve"> opportunities for growth and improvement.</w:t>
      </w:r>
      <w:r>
        <w:t xml:space="preserve"> </w:t>
      </w:r>
      <w:r>
        <w:t>Building evidence thresholds isn't always easy, but it gets people talking about emotional abuse and how important it is to identify serious injury, which can lead to better intervention criteria in the future.</w:t>
      </w:r>
    </w:p>
    <w:p w14:paraId="3AC0BA94" w14:textId="77777777" w:rsidR="00837FB6" w:rsidRDefault="00837FB6" w:rsidP="00837FB6"/>
    <w:p w14:paraId="58C85549" w14:textId="0B0781EC" w:rsidR="00837FB6" w:rsidRDefault="00837FB6" w:rsidP="00837FB6">
      <w:pPr>
        <w:rPr>
          <w:rFonts w:ascii="-webkit-standard" w:hAnsi="-webkit-standard"/>
          <w:color w:val="000000"/>
          <w:sz w:val="27"/>
          <w:szCs w:val="27"/>
        </w:rPr>
      </w:pPr>
      <w:r>
        <w:rPr>
          <w:rFonts w:ascii="-webkit-standard" w:hAnsi="-webkit-standard"/>
          <w:color w:val="000000"/>
          <w:sz w:val="27"/>
          <w:szCs w:val="27"/>
        </w:rPr>
        <w:t>2.3.2 Long-term developmental consequences</w:t>
      </w:r>
    </w:p>
    <w:p w14:paraId="0EED8DE8" w14:textId="2428207D" w:rsidR="00837FB6" w:rsidRDefault="00837FB6" w:rsidP="00837FB6">
      <w:pPr>
        <w:spacing w:line="360" w:lineRule="auto"/>
        <w:jc w:val="both"/>
      </w:pPr>
      <w:r>
        <w:t>There is a lot of research that shows how terrible emotional abuse and neglect are for a child's mental, emotional, and social growth.  Ibrahim et al. (2018) say that emotional abuse makes it more likely that a person will have an anxiety condition, depression, problems with attachment, or trouble with their executive functioning.   Neurodevelopmental studies have also shown that emotional pain and long-term stress change parts of the brain that are important for making memories and controlling emotions.</w:t>
      </w:r>
      <w:r>
        <w:t xml:space="preserve"> </w:t>
      </w:r>
      <w:r>
        <w:t>Also, the long-term benefits are felt even by mature people.   G</w:t>
      </w:r>
      <w:r>
        <w:t>ilbert</w:t>
      </w:r>
      <w:r>
        <w:t xml:space="preserve"> et al. (2009) discovered that people who had been emotionally abused as kids were more likely </w:t>
      </w:r>
      <w:r>
        <w:lastRenderedPageBreak/>
        <w:t>to have mental health problems, use drugs, and be socially unstable.   These results show how important law enforcement and safety officials are for stopping damage from getting worse. They also show how important it is to move and diagnose problems quickly.</w:t>
      </w:r>
    </w:p>
    <w:p w14:paraId="129C1EF1" w14:textId="00AADADE" w:rsidR="00837FB6" w:rsidRDefault="00837FB6" w:rsidP="00837FB6">
      <w:pPr>
        <w:rPr>
          <w:rFonts w:ascii="-webkit-standard" w:hAnsi="-webkit-standard"/>
          <w:color w:val="000000"/>
          <w:sz w:val="27"/>
          <w:szCs w:val="27"/>
        </w:rPr>
      </w:pPr>
      <w:r>
        <w:rPr>
          <w:rFonts w:ascii="-webkit-standard" w:hAnsi="-webkit-standard"/>
          <w:color w:val="000000"/>
          <w:sz w:val="27"/>
          <w:szCs w:val="27"/>
        </w:rPr>
        <w:t>2.4 Legislative and Safeguarding Frameworks in Wales</w:t>
      </w:r>
    </w:p>
    <w:p w14:paraId="42AC690A" w14:textId="3334010D" w:rsidR="00837FB6" w:rsidRDefault="00837FB6" w:rsidP="00837FB6">
      <w:pPr>
        <w:spacing w:line="360" w:lineRule="auto"/>
        <w:jc w:val="both"/>
      </w:pPr>
      <w:r w:rsidRPr="00837FB6">
        <w:t>Wales possesses unique safeguarding legislation and policies that influence police engagement in child protection.  The Well-being of Future Generations (Wales) Act 2015 mandates that public services, including law enforcement, make decisions that enhance long-term wellbeing.  In this context, the protection of children is regarded as both a legal obligation and a means of fostering healthier, more integrated communities (Welsh Government, 2015).</w:t>
      </w:r>
    </w:p>
    <w:p w14:paraId="78C111F7" w14:textId="2223ED7E" w:rsidR="00837FB6" w:rsidRDefault="00837FB6" w:rsidP="00837FB6">
      <w:pPr>
        <w:rPr>
          <w:rFonts w:ascii="-webkit-standard" w:hAnsi="-webkit-standard"/>
          <w:color w:val="000000"/>
          <w:sz w:val="27"/>
          <w:szCs w:val="27"/>
        </w:rPr>
      </w:pPr>
      <w:r>
        <w:rPr>
          <w:rFonts w:ascii="-webkit-standard" w:hAnsi="-webkit-standard"/>
          <w:color w:val="000000"/>
          <w:sz w:val="27"/>
          <w:szCs w:val="27"/>
        </w:rPr>
        <w:t>2.4.1 All-Wales Safeguarding Procedures</w:t>
      </w:r>
    </w:p>
    <w:p w14:paraId="37AEDD3F" w14:textId="51C8C295" w:rsidR="00837FB6" w:rsidRDefault="00837FB6" w:rsidP="00837FB6">
      <w:pPr>
        <w:spacing w:line="360" w:lineRule="auto"/>
        <w:jc w:val="both"/>
      </w:pPr>
      <w:r w:rsidRPr="00837FB6">
        <w:t>An approach that is standardised for recognising, reporting, and responding to concerns about child abuse is provided by the All-Wales Safeguarding Procedures (2019).  The methods in question include an emphasis on early intervention, shared responsibility, and collaboration amongst multiple agencies.  When it comes to ensuring that concerns are evaluated in a holistic manner, it is needed that law enforcement officials work along with social service providers, health professionals, and education providers.</w:t>
      </w:r>
    </w:p>
    <w:p w14:paraId="5F27DCBC" w14:textId="175263B1" w:rsidR="00837FB6" w:rsidRDefault="00837FB6" w:rsidP="00837FB6">
      <w:pPr>
        <w:rPr>
          <w:rFonts w:ascii="-webkit-standard" w:hAnsi="-webkit-standard"/>
          <w:color w:val="000000"/>
          <w:sz w:val="27"/>
          <w:szCs w:val="27"/>
        </w:rPr>
      </w:pPr>
      <w:r>
        <w:rPr>
          <w:rFonts w:ascii="-webkit-standard" w:hAnsi="-webkit-standard"/>
          <w:color w:val="000000"/>
          <w:sz w:val="27"/>
          <w:szCs w:val="27"/>
        </w:rPr>
        <w:t>2.4.2 Children (Abolition of Defence of Reasonable Punishment) (Wales) Act 2020</w:t>
      </w:r>
    </w:p>
    <w:p w14:paraId="4A6D968D" w14:textId="19DB071C" w:rsidR="00837FB6" w:rsidRDefault="00837FB6" w:rsidP="00837FB6">
      <w:pPr>
        <w:spacing w:line="360" w:lineRule="auto"/>
        <w:jc w:val="both"/>
      </w:pPr>
      <w:r w:rsidRPr="00837FB6">
        <w:t>Getting rid of the "reasonable punishment" defence made the law stronger against physical harm.  This change in policy shows that Wales cares about children's rights and shows how important it is for the police to uphold these rights.  The Act is mostly about physical punishment, but it also supports the broader goal of keeping children safe by urging parents to look at bad parenting methods sooner.</w:t>
      </w:r>
    </w:p>
    <w:p w14:paraId="2D9B1445" w14:textId="77777777" w:rsidR="00837FB6" w:rsidRDefault="00837FB6" w:rsidP="00837FB6"/>
    <w:p w14:paraId="19F86B57" w14:textId="6FEA4AF7" w:rsidR="00837FB6" w:rsidRDefault="00837FB6" w:rsidP="00837FB6">
      <w:pPr>
        <w:rPr>
          <w:rFonts w:ascii="-webkit-standard" w:hAnsi="-webkit-standard"/>
          <w:color w:val="000000"/>
          <w:sz w:val="27"/>
          <w:szCs w:val="27"/>
        </w:rPr>
      </w:pPr>
      <w:r>
        <w:rPr>
          <w:rFonts w:ascii="-webkit-standard" w:hAnsi="-webkit-standard"/>
          <w:color w:val="000000"/>
          <w:sz w:val="27"/>
          <w:szCs w:val="27"/>
        </w:rPr>
        <w:t>2.4.3 Safeguarding Boards and Multi-Agency Partnerships</w:t>
      </w:r>
    </w:p>
    <w:p w14:paraId="7C19E42E" w14:textId="77777777" w:rsidR="00837FB6" w:rsidRDefault="00837FB6" w:rsidP="00837FB6">
      <w:pPr>
        <w:spacing w:line="360" w:lineRule="auto"/>
        <w:jc w:val="both"/>
      </w:pPr>
      <w:r>
        <w:t>Organising police work requires regional safeguarding bodies like the South Wales Safeguarding Partnership (2024).</w:t>
      </w:r>
    </w:p>
    <w:p w14:paraId="0853A164" w14:textId="77777777" w:rsidR="00837FB6" w:rsidRDefault="00837FB6" w:rsidP="00837FB6">
      <w:pPr>
        <w:spacing w:line="360" w:lineRule="auto"/>
        <w:jc w:val="both"/>
      </w:pPr>
      <w:r>
        <w:lastRenderedPageBreak/>
        <w:t xml:space="preserve">   These forums foster coordinated child protection responses, open communication, and information exchange.</w:t>
      </w:r>
    </w:p>
    <w:p w14:paraId="65F9376F" w14:textId="0B63235E" w:rsidR="00837FB6" w:rsidRDefault="00837FB6" w:rsidP="00837FB6">
      <w:pPr>
        <w:spacing w:line="360" w:lineRule="auto"/>
        <w:jc w:val="both"/>
      </w:pPr>
      <w:r>
        <w:t xml:space="preserve"> Notwithstanding these frameworks, enduring deficiencies persist in information dissemination and inter-agency collaboration concerns consistently emphasised in national assessments (Home Office, 2022).</w:t>
      </w:r>
    </w:p>
    <w:p w14:paraId="60EBA441" w14:textId="399444FC" w:rsidR="00837FB6" w:rsidRDefault="00837FB6" w:rsidP="00837FB6">
      <w:pPr>
        <w:rPr>
          <w:rFonts w:ascii="-webkit-standard" w:hAnsi="-webkit-standard"/>
          <w:color w:val="000000"/>
          <w:sz w:val="27"/>
          <w:szCs w:val="27"/>
        </w:rPr>
      </w:pPr>
      <w:r>
        <w:rPr>
          <w:rFonts w:ascii="-webkit-standard" w:hAnsi="-webkit-standard"/>
          <w:color w:val="000000"/>
          <w:sz w:val="27"/>
          <w:szCs w:val="27"/>
        </w:rPr>
        <w:t>2.5 The Role of Police in Child Protection</w:t>
      </w:r>
    </w:p>
    <w:p w14:paraId="6505DBA5" w14:textId="66D11BF6" w:rsidR="00837FB6" w:rsidRDefault="00837FB6" w:rsidP="00837FB6">
      <w:pPr>
        <w:spacing w:line="360" w:lineRule="auto"/>
        <w:jc w:val="both"/>
      </w:pPr>
      <w:r w:rsidRPr="00837FB6">
        <w:t>There is much more to police engagement in child safety than just reacting to an emergency.  According to Bryant and Bryant (2021), the police are essential partners in long-term protection procedures as well as first responders.</w:t>
      </w:r>
    </w:p>
    <w:p w14:paraId="731386B2" w14:textId="0FE5128F" w:rsidR="00837FB6" w:rsidRDefault="00837FB6" w:rsidP="00837FB6">
      <w:pPr>
        <w:rPr>
          <w:rFonts w:ascii="-webkit-standard" w:hAnsi="-webkit-standard"/>
          <w:color w:val="000000"/>
          <w:sz w:val="27"/>
          <w:szCs w:val="27"/>
        </w:rPr>
      </w:pPr>
      <w:r>
        <w:rPr>
          <w:rFonts w:ascii="-webkit-standard" w:hAnsi="-webkit-standard"/>
          <w:color w:val="000000"/>
          <w:sz w:val="27"/>
          <w:szCs w:val="27"/>
        </w:rPr>
        <w:t>2.5.1 First response responsibilities</w:t>
      </w:r>
    </w:p>
    <w:p w14:paraId="531778AC" w14:textId="6D2209FF" w:rsidR="00837FB6" w:rsidRDefault="00837FB6" w:rsidP="00837FB6">
      <w:pPr>
        <w:spacing w:line="360" w:lineRule="auto"/>
        <w:jc w:val="both"/>
      </w:pPr>
      <w:r w:rsidRPr="00837FB6">
        <w:t>Risk assessment, evidence collection, first interviews, and safety are required by police while investigating abuse.</w:t>
      </w:r>
      <w:r>
        <w:t xml:space="preserve"> </w:t>
      </w:r>
      <w:r w:rsidRPr="00837FB6">
        <w:t>These responsibilities are difficult in emotional abuse instances when harm may not be obvious.  Officers use behavioural indications, contextual observations, and professional opinion, making evaluations subjective.</w:t>
      </w:r>
    </w:p>
    <w:p w14:paraId="4FEEC777" w14:textId="76E65AB8" w:rsidR="00837FB6" w:rsidRDefault="00837FB6" w:rsidP="00837FB6">
      <w:pPr>
        <w:rPr>
          <w:rFonts w:ascii="-webkit-standard" w:hAnsi="-webkit-standard"/>
          <w:color w:val="000000"/>
          <w:sz w:val="27"/>
          <w:szCs w:val="27"/>
        </w:rPr>
      </w:pPr>
      <w:r>
        <w:rPr>
          <w:rFonts w:ascii="-webkit-standard" w:hAnsi="-webkit-standard"/>
          <w:color w:val="000000"/>
          <w:sz w:val="27"/>
          <w:szCs w:val="27"/>
        </w:rPr>
        <w:t>2.5.2 Evidence collection and decision-making</w:t>
      </w:r>
    </w:p>
    <w:p w14:paraId="32C556D1" w14:textId="5B05C03C" w:rsidR="00837FB6" w:rsidRDefault="00837FB6" w:rsidP="00837FB6">
      <w:pPr>
        <w:spacing w:line="360" w:lineRule="auto"/>
        <w:jc w:val="both"/>
      </w:pPr>
      <w:r w:rsidRPr="00837FB6">
        <w:t>The police face major difficulties in gathering evidence when dealing with cases of emotional abuse.  On the other hand, mental harm, in contrast to physical abuse, rarely results in visible evidence.  There is a possibility that statements may not be consistent, that children will be afraid to reveal information, and that experts would perceive behaviours in a different way (</w:t>
      </w:r>
      <w:r w:rsidRPr="00837FB6">
        <w:t>Hurworth</w:t>
      </w:r>
      <w:r w:rsidRPr="00837FB6">
        <w:t xml:space="preserve">, 2013).  The result of this is that cases may be dismissed early or demoted, </w:t>
      </w:r>
      <w:r w:rsidRPr="00837FB6">
        <w:t>even though</w:t>
      </w:r>
      <w:r w:rsidRPr="00837FB6">
        <w:t xml:space="preserve"> the harm has persisted.</w:t>
      </w:r>
    </w:p>
    <w:p w14:paraId="1C44A6A9" w14:textId="77777777" w:rsidR="00837FB6" w:rsidRDefault="00837FB6" w:rsidP="00837FB6">
      <w:pPr>
        <w:rPr>
          <w:rFonts w:ascii="-webkit-standard" w:hAnsi="-webkit-standard"/>
          <w:color w:val="000000"/>
          <w:sz w:val="27"/>
          <w:szCs w:val="27"/>
        </w:rPr>
      </w:pPr>
    </w:p>
    <w:p w14:paraId="4707F80E" w14:textId="4DE66F32" w:rsidR="00837FB6" w:rsidRDefault="00837FB6" w:rsidP="00837FB6">
      <w:pPr>
        <w:rPr>
          <w:rFonts w:ascii="-webkit-standard" w:hAnsi="-webkit-standard"/>
          <w:color w:val="000000"/>
          <w:sz w:val="27"/>
          <w:szCs w:val="27"/>
        </w:rPr>
      </w:pPr>
      <w:r>
        <w:rPr>
          <w:rFonts w:ascii="-webkit-standard" w:hAnsi="-webkit-standard"/>
          <w:color w:val="000000"/>
          <w:sz w:val="27"/>
          <w:szCs w:val="27"/>
        </w:rPr>
        <w:t xml:space="preserve">2.6 </w:t>
      </w:r>
      <w:r>
        <w:rPr>
          <w:rFonts w:ascii="-webkit-standard" w:hAnsi="-webkit-standard"/>
          <w:color w:val="000000"/>
          <w:sz w:val="27"/>
          <w:szCs w:val="27"/>
        </w:rPr>
        <w:t>Public Perceptions of Police Intervention</w:t>
      </w:r>
    </w:p>
    <w:p w14:paraId="381800AA" w14:textId="1FA172F9" w:rsidR="00837FB6" w:rsidRPr="00837FB6" w:rsidRDefault="00837FB6" w:rsidP="00837FB6">
      <w:pPr>
        <w:spacing w:line="360" w:lineRule="auto"/>
        <w:jc w:val="both"/>
        <w:rPr>
          <w:rFonts w:ascii="-webkit-standard" w:hAnsi="-webkit-standard"/>
          <w:color w:val="000000"/>
        </w:rPr>
      </w:pPr>
      <w:r w:rsidRPr="00837FB6">
        <w:rPr>
          <w:rFonts w:ascii="-webkit-standard" w:hAnsi="-webkit-standard"/>
          <w:color w:val="000000"/>
        </w:rPr>
        <w:t xml:space="preserve">The likelihood of reporting concerns related to child maltreatment is significantly influenced by societal perceptions of police engagement.    Some individuals may refrain from contacting law enforcement during difficult times, as they typically perceive them as professionals responsible for managing emergencies and criminal activities (Radford et al., 2017). Individuals often perceive emotional abuse as a safety concern requiring governmental intervention; however, tangible physical evidence is not always present </w:t>
      </w:r>
      <w:r w:rsidRPr="00837FB6">
        <w:rPr>
          <w:rFonts w:ascii="-webkit-standard" w:hAnsi="-webkit-standard"/>
          <w:color w:val="000000"/>
        </w:rPr>
        <w:lastRenderedPageBreak/>
        <w:t>(UNICEF, 2021).</w:t>
      </w:r>
      <w:r>
        <w:rPr>
          <w:rFonts w:ascii="-webkit-standard" w:hAnsi="-webkit-standard"/>
          <w:color w:val="000000"/>
        </w:rPr>
        <w:t xml:space="preserve">  </w:t>
      </w:r>
      <w:r w:rsidRPr="00837FB6">
        <w:rPr>
          <w:rFonts w:ascii="-webkit-standard" w:hAnsi="-webkit-standard"/>
          <w:color w:val="000000"/>
        </w:rPr>
        <w:t xml:space="preserve">The level of confidence individuals </w:t>
      </w:r>
      <w:r w:rsidRPr="00837FB6">
        <w:rPr>
          <w:rFonts w:ascii="-webkit-standard" w:hAnsi="-webkit-standard"/>
          <w:color w:val="000000"/>
        </w:rPr>
        <w:t>has</w:t>
      </w:r>
      <w:r w:rsidRPr="00837FB6">
        <w:rPr>
          <w:rFonts w:ascii="-webkit-standard" w:hAnsi="-webkit-standard"/>
          <w:color w:val="000000"/>
        </w:rPr>
        <w:t xml:space="preserve"> in one another influences the act of disclosure.</w:t>
      </w:r>
      <w:r>
        <w:rPr>
          <w:rFonts w:ascii="-webkit-standard" w:hAnsi="-webkit-standard"/>
          <w:color w:val="000000"/>
        </w:rPr>
        <w:t xml:space="preserve"> </w:t>
      </w:r>
      <w:r w:rsidRPr="00837FB6">
        <w:rPr>
          <w:rFonts w:ascii="-webkit-standard" w:hAnsi="-webkit-standard"/>
          <w:color w:val="000000"/>
        </w:rPr>
        <w:t>The Welsh Government (2023) states that residents of regions experiencing persistent destitution, such as certain areas of South Wales, may exhibit diminished confidence in government institutions, thereby reducing their likelihood of reporting issues.</w:t>
      </w:r>
    </w:p>
    <w:p w14:paraId="19C73029" w14:textId="0E408D58" w:rsidR="00837FB6" w:rsidRPr="00837FB6" w:rsidRDefault="00837FB6" w:rsidP="00837FB6">
      <w:pPr>
        <w:spacing w:line="360" w:lineRule="auto"/>
        <w:jc w:val="both"/>
        <w:rPr>
          <w:rFonts w:ascii="-webkit-standard" w:hAnsi="-webkit-standard"/>
          <w:color w:val="000000"/>
        </w:rPr>
      </w:pPr>
      <w:r w:rsidRPr="00837FB6">
        <w:rPr>
          <w:rFonts w:ascii="-webkit-standard" w:hAnsi="-webkit-standard"/>
          <w:color w:val="000000"/>
        </w:rPr>
        <w:t xml:space="preserve">  Moreover, there is a lack of understanding regarding the role of the police in providing protection.   There are differing opinions on the appropriate response to emotional abuse; some advocate for intervention solely by social services, whereas others call for immediate action. </w:t>
      </w:r>
      <w:r w:rsidRPr="00837FB6">
        <w:rPr>
          <w:rFonts w:ascii="-webkit-standard" w:hAnsi="-webkit-standard"/>
          <w:color w:val="000000"/>
        </w:rPr>
        <w:t>ice’s</w:t>
      </w:r>
      <w:r w:rsidRPr="00837FB6">
        <w:rPr>
          <w:rFonts w:ascii="-webkit-standard" w:hAnsi="-webkit-standard"/>
          <w:color w:val="000000"/>
        </w:rPr>
        <w:t xml:space="preserve"> lack of clarity regarding police duties, it's clear that public opinion is divided.  Examining public opinions in South Wales is crucial for enhancing safeguarding responses, as this ambiguity leads to under-reporting.</w:t>
      </w:r>
    </w:p>
    <w:p w14:paraId="7F55AF12" w14:textId="77777777" w:rsidR="00837FB6" w:rsidRDefault="00837FB6" w:rsidP="00837FB6">
      <w:pPr>
        <w:rPr>
          <w:rFonts w:ascii="-webkit-standard" w:hAnsi="-webkit-standard"/>
          <w:color w:val="000000"/>
          <w:sz w:val="27"/>
          <w:szCs w:val="27"/>
        </w:rPr>
      </w:pPr>
    </w:p>
    <w:p w14:paraId="6D27A56B" w14:textId="0A97DF14" w:rsidR="00837FB6" w:rsidRDefault="00837FB6" w:rsidP="00837FB6">
      <w:pPr>
        <w:rPr>
          <w:rFonts w:ascii="-webkit-standard" w:hAnsi="-webkit-standard"/>
          <w:color w:val="000000"/>
          <w:sz w:val="27"/>
          <w:szCs w:val="27"/>
        </w:rPr>
      </w:pPr>
      <w:r>
        <w:rPr>
          <w:rFonts w:ascii="-webkit-standard" w:hAnsi="-webkit-standard"/>
          <w:color w:val="000000"/>
          <w:sz w:val="27"/>
          <w:szCs w:val="27"/>
        </w:rPr>
        <w:t>2.</w:t>
      </w:r>
      <w:r>
        <w:rPr>
          <w:rFonts w:ascii="-webkit-standard" w:hAnsi="-webkit-standard"/>
          <w:color w:val="000000"/>
          <w:sz w:val="27"/>
          <w:szCs w:val="27"/>
        </w:rPr>
        <w:t>7</w:t>
      </w:r>
      <w:r>
        <w:rPr>
          <w:rFonts w:ascii="-webkit-standard" w:hAnsi="-webkit-standard"/>
          <w:color w:val="000000"/>
          <w:sz w:val="27"/>
          <w:szCs w:val="27"/>
        </w:rPr>
        <w:t xml:space="preserve"> Gaps in the Existing Literature</w:t>
      </w:r>
    </w:p>
    <w:p w14:paraId="310FDD93" w14:textId="77777777" w:rsidR="00837FB6" w:rsidRDefault="00837FB6" w:rsidP="00837FB6">
      <w:pPr>
        <w:spacing w:line="360" w:lineRule="auto"/>
        <w:jc w:val="both"/>
      </w:pPr>
      <w:r>
        <w:t>The literature identifies multiple deficiencies that warrant the current study:</w:t>
      </w:r>
    </w:p>
    <w:p w14:paraId="48B40DB2" w14:textId="77777777" w:rsidR="00837FB6" w:rsidRDefault="00837FB6" w:rsidP="00837FB6">
      <w:pPr>
        <w:spacing w:line="360" w:lineRule="auto"/>
        <w:jc w:val="both"/>
      </w:pPr>
      <w:r>
        <w:t xml:space="preserve"> There isn't much study that is specific to Wales.</w:t>
      </w:r>
    </w:p>
    <w:p w14:paraId="3E7E2F78" w14:textId="4EFC316C" w:rsidR="00837FB6" w:rsidRDefault="00837FB6" w:rsidP="00837FB6">
      <w:pPr>
        <w:spacing w:line="360" w:lineRule="auto"/>
        <w:jc w:val="both"/>
      </w:pPr>
      <w:r>
        <w:t xml:space="preserve"> Most studies concentrate on England or the </w:t>
      </w:r>
      <w:r>
        <w:t>UK, neglecting</w:t>
      </w:r>
      <w:r>
        <w:t xml:space="preserve"> Wales's distinct legislative frameworks.</w:t>
      </w:r>
    </w:p>
    <w:p w14:paraId="09EFE537" w14:textId="77777777" w:rsidR="00837FB6" w:rsidRDefault="00837FB6" w:rsidP="00837FB6">
      <w:pPr>
        <w:spacing w:line="360" w:lineRule="auto"/>
        <w:jc w:val="both"/>
      </w:pPr>
      <w:r>
        <w:t xml:space="preserve"> Lack of studies on reporting emotional abuse.</w:t>
      </w:r>
    </w:p>
    <w:p w14:paraId="5339218E" w14:textId="77777777" w:rsidR="00837FB6" w:rsidRDefault="00837FB6" w:rsidP="00837FB6">
      <w:pPr>
        <w:spacing w:line="360" w:lineRule="auto"/>
        <w:jc w:val="both"/>
      </w:pPr>
      <w:r>
        <w:t xml:space="preserve"> There is a lot of research on physical abuse, but emotional harm, which is more common, is still not well studied.</w:t>
      </w:r>
    </w:p>
    <w:p w14:paraId="51C935BA" w14:textId="77777777" w:rsidR="00837FB6" w:rsidRDefault="00837FB6" w:rsidP="00837FB6">
      <w:pPr>
        <w:spacing w:line="360" w:lineRule="auto"/>
        <w:jc w:val="both"/>
      </w:pPr>
      <w:r>
        <w:t xml:space="preserve"> Not much is known about how the public sees things.</w:t>
      </w:r>
    </w:p>
    <w:p w14:paraId="2F1F050D" w14:textId="08213D11" w:rsidR="00837FB6" w:rsidRDefault="00837FB6" w:rsidP="00837FB6">
      <w:pPr>
        <w:spacing w:line="360" w:lineRule="auto"/>
        <w:jc w:val="both"/>
      </w:pPr>
      <w:r>
        <w:t xml:space="preserve"> Most of the research that are already out there look at professionals, not the </w:t>
      </w:r>
      <w:r>
        <w:t>public</w:t>
      </w:r>
      <w:r>
        <w:t>, whose opinions affect how people report things.</w:t>
      </w:r>
    </w:p>
    <w:p w14:paraId="54118D74" w14:textId="77777777" w:rsidR="00837FB6" w:rsidRDefault="00837FB6" w:rsidP="00837FB6">
      <w:pPr>
        <w:spacing w:line="360" w:lineRule="auto"/>
        <w:jc w:val="both"/>
      </w:pPr>
      <w:r>
        <w:t xml:space="preserve"> There is not enough proof that the police are effective in cases of emotional abuse.</w:t>
      </w:r>
    </w:p>
    <w:p w14:paraId="406C6ACA" w14:textId="3582C42C" w:rsidR="00837FB6" w:rsidRDefault="00837FB6" w:rsidP="00837FB6">
      <w:pPr>
        <w:spacing w:line="360" w:lineRule="auto"/>
        <w:jc w:val="both"/>
      </w:pPr>
      <w:r>
        <w:t xml:space="preserve"> There are policing tactics, but not </w:t>
      </w:r>
      <w:r>
        <w:t>much</w:t>
      </w:r>
      <w:r>
        <w:t xml:space="preserve"> research </w:t>
      </w:r>
      <w:r>
        <w:t>looks</w:t>
      </w:r>
      <w:r>
        <w:t xml:space="preserve"> at how they affect children's health in the actual world.</w:t>
      </w:r>
    </w:p>
    <w:p w14:paraId="1A49A472" w14:textId="77777777" w:rsidR="00837FB6" w:rsidRDefault="00837FB6" w:rsidP="00837FB6">
      <w:pPr>
        <w:spacing w:line="360" w:lineRule="auto"/>
        <w:jc w:val="both"/>
      </w:pPr>
      <w:r>
        <w:t xml:space="preserve"> Insufficient studies linking police to developmental outcomes.</w:t>
      </w:r>
    </w:p>
    <w:p w14:paraId="163673D2" w14:textId="77777777" w:rsidR="00837FB6" w:rsidRDefault="00837FB6" w:rsidP="00837FB6">
      <w:pPr>
        <w:spacing w:line="360" w:lineRule="auto"/>
        <w:jc w:val="both"/>
      </w:pPr>
      <w:r>
        <w:lastRenderedPageBreak/>
        <w:t xml:space="preserve"> Most studies on child safety look at law enforcement and child psychology separately. This dissertation puts these two areas together.</w:t>
      </w:r>
    </w:p>
    <w:p w14:paraId="5FDF5452" w14:textId="420600ED" w:rsidR="00837FB6" w:rsidRDefault="00837FB6" w:rsidP="00837FB6">
      <w:pPr>
        <w:spacing w:line="360" w:lineRule="auto"/>
        <w:jc w:val="both"/>
      </w:pPr>
      <w:r>
        <w:t xml:space="preserve"> By filling in these gaps, this research helps us better understand how the police help keep children safe in Wales.</w:t>
      </w:r>
    </w:p>
    <w:p w14:paraId="06D23B24" w14:textId="77777777" w:rsidR="00837FB6" w:rsidRDefault="00837FB6" w:rsidP="00837FB6">
      <w:pPr>
        <w:rPr>
          <w:rFonts w:ascii="-webkit-standard" w:hAnsi="-webkit-standard"/>
          <w:color w:val="000000"/>
          <w:sz w:val="27"/>
          <w:szCs w:val="27"/>
        </w:rPr>
      </w:pPr>
    </w:p>
    <w:p w14:paraId="6EF30A19" w14:textId="54EF9920" w:rsidR="00837FB6" w:rsidRDefault="00837FB6" w:rsidP="00837FB6">
      <w:r>
        <w:rPr>
          <w:rFonts w:ascii="-webkit-standard" w:hAnsi="-webkit-standard"/>
          <w:color w:val="000000"/>
          <w:sz w:val="27"/>
          <w:szCs w:val="27"/>
        </w:rPr>
        <w:t>2.8 Summary</w:t>
      </w:r>
    </w:p>
    <w:p w14:paraId="29357E82" w14:textId="77777777" w:rsidR="00837FB6" w:rsidRDefault="00837FB6" w:rsidP="00837FB6">
      <w:pPr>
        <w:spacing w:line="360" w:lineRule="auto"/>
        <w:jc w:val="both"/>
      </w:pPr>
      <w:r>
        <w:t xml:space="preserve">The objective of this chapter was to investigate the ways in which various lines of inquiry are connected to our comprehension of child abuse and the role that law enforcement agencies play in safeguarding children.  Rather than addressing emotional and physical abuse as two distinct problems, the research showed that they frequently overlap and impact one another. This is especially true in households where there is a high level of stress, poverty, or unstable relationships.  Early detection is significantly more difficult than it might appear to be since studies regularly point out that children who live in such situations may have long-lasting mental harm even when there are no physical indicators of impairment. </w:t>
      </w:r>
    </w:p>
    <w:p w14:paraId="04431693" w14:textId="2231AD46" w:rsidR="00837FB6" w:rsidRDefault="00837FB6" w:rsidP="00837FB6">
      <w:pPr>
        <w:spacing w:line="360" w:lineRule="auto"/>
        <w:jc w:val="both"/>
      </w:pPr>
      <w:r>
        <w:t xml:space="preserve"> The special environment that Wales has in place for the protection of its citizens is yet another significant subject that emerged.  A wider national commitment to enhancing long-term wellbeing is reflected in the policy framework that is being implemented here, which places a significant amount of importance on preventative and collaborative efforts.  </w:t>
      </w:r>
      <w:r>
        <w:t>Even though</w:t>
      </w:r>
      <w:r>
        <w:t xml:space="preserve"> these rules make it very apparent what is expected of them, the actual process of putting them into effect is not as straightforward.  Different organisations, including the police, frequently have different ways of interpreting risk, which can result in delays or inconsistencies in the way that concerns are addressed.  In cases involving emotional abuse, when there is a lack of physical evidence, these challenges become more pronounced. In these circumstances, professional judgement plays a significant role because of the lack of physical evidence.</w:t>
      </w:r>
    </w:p>
    <w:p w14:paraId="1CC5B49C" w14:textId="77777777" w:rsidR="00837FB6" w:rsidRDefault="00837FB6" w:rsidP="00837FB6">
      <w:pPr>
        <w:spacing w:line="360" w:lineRule="auto"/>
        <w:jc w:val="both"/>
      </w:pPr>
      <w:r>
        <w:t xml:space="preserve"> In addition, the review shed light on the ways in which public views influence the process of safeguarding.  Sometimes families are reluctant to involve the police, either because they are afraid of the consequences or because they do not perceive emotional abuse as a safeguarding concern. </w:t>
      </w:r>
    </w:p>
    <w:p w14:paraId="6B1B5D87" w14:textId="7E1BF718" w:rsidR="00837FB6" w:rsidRDefault="00837FB6" w:rsidP="00837FB6">
      <w:pPr>
        <w:spacing w:line="360" w:lineRule="auto"/>
        <w:jc w:val="both"/>
      </w:pPr>
      <w:r>
        <w:lastRenderedPageBreak/>
        <w:t xml:space="preserve"> Taking everything into consideration, the body of research indicates that there are </w:t>
      </w:r>
      <w:r>
        <w:t>several</w:t>
      </w:r>
      <w:r>
        <w:t xml:space="preserve"> problems that remain unresolved. These include how communities perceive the actions of the police in the protection of children, how successfully officers diagnose emotional injury, and how well existing safeguarding systems work in practice.  These gaps serve as the foundation for the current study, which demonstrates why additional research is required to comprehend the realities of police involvement in situations involving both mental and physical abuse.</w:t>
      </w:r>
    </w:p>
    <w:p w14:paraId="7EAF1D90" w14:textId="77777777" w:rsidR="00837FB6" w:rsidRDefault="00837FB6" w:rsidP="00837FB6">
      <w:pPr>
        <w:rPr>
          <w:rFonts w:ascii="-webkit-standard" w:hAnsi="-webkit-standard"/>
          <w:color w:val="000000"/>
          <w:sz w:val="27"/>
          <w:szCs w:val="27"/>
        </w:rPr>
      </w:pPr>
    </w:p>
    <w:p w14:paraId="36B57D8D" w14:textId="6D8ABE30" w:rsidR="00837FB6" w:rsidRDefault="00837FB6" w:rsidP="00837FB6">
      <w:pPr>
        <w:rPr>
          <w:rFonts w:ascii="-webkit-standard" w:hAnsi="-webkit-standard"/>
          <w:color w:val="000000"/>
          <w:sz w:val="27"/>
          <w:szCs w:val="27"/>
        </w:rPr>
      </w:pPr>
      <w:r>
        <w:rPr>
          <w:rFonts w:ascii="-webkit-standard" w:hAnsi="-webkit-standard"/>
          <w:color w:val="000000"/>
          <w:sz w:val="27"/>
          <w:szCs w:val="27"/>
        </w:rPr>
        <w:t xml:space="preserve">References </w:t>
      </w:r>
    </w:p>
    <w:p w14:paraId="4A8A82A8" w14:textId="77777777" w:rsidR="00837FB6" w:rsidRDefault="00837FB6" w:rsidP="00837FB6">
      <w:pPr>
        <w:pStyle w:val="NormalWeb"/>
        <w:spacing w:line="360" w:lineRule="auto"/>
        <w:jc w:val="both"/>
        <w:rPr>
          <w:color w:val="000000"/>
        </w:rPr>
      </w:pPr>
      <w:r>
        <w:rPr>
          <w:color w:val="000000"/>
        </w:rPr>
        <w:t>Bryant, B. and Bryant, R. (2021)</w:t>
      </w:r>
      <w:r>
        <w:rPr>
          <w:rStyle w:val="apple-converted-space"/>
          <w:rFonts w:eastAsiaTheme="majorEastAsia"/>
          <w:color w:val="000000"/>
        </w:rPr>
        <w:t> </w:t>
      </w:r>
      <w:r>
        <w:rPr>
          <w:rStyle w:val="Emphasis"/>
          <w:rFonts w:eastAsiaTheme="majorEastAsia"/>
          <w:color w:val="000000"/>
        </w:rPr>
        <w:t>Policing Child Protection.</w:t>
      </w:r>
      <w:r>
        <w:rPr>
          <w:rStyle w:val="apple-converted-space"/>
          <w:rFonts w:eastAsiaTheme="majorEastAsia"/>
          <w:color w:val="000000"/>
        </w:rPr>
        <w:t> </w:t>
      </w:r>
      <w:r>
        <w:rPr>
          <w:color w:val="000000"/>
        </w:rPr>
        <w:t>London: Routledge.</w:t>
      </w:r>
    </w:p>
    <w:p w14:paraId="3EC34691" w14:textId="77777777" w:rsidR="00837FB6" w:rsidRDefault="00837FB6" w:rsidP="00837FB6">
      <w:pPr>
        <w:pStyle w:val="NormalWeb"/>
        <w:spacing w:line="360" w:lineRule="auto"/>
        <w:jc w:val="both"/>
        <w:rPr>
          <w:color w:val="000000"/>
        </w:rPr>
      </w:pPr>
      <w:r>
        <w:rPr>
          <w:color w:val="000000"/>
        </w:rPr>
        <w:t>Gilbert, R. et al. (2009) ‘Burden and consequences of child maltreatment in high-income countries’,</w:t>
      </w:r>
      <w:r>
        <w:rPr>
          <w:rStyle w:val="apple-converted-space"/>
          <w:rFonts w:eastAsiaTheme="majorEastAsia"/>
          <w:color w:val="000000"/>
        </w:rPr>
        <w:t> </w:t>
      </w:r>
      <w:r>
        <w:rPr>
          <w:rStyle w:val="Emphasis"/>
          <w:rFonts w:eastAsiaTheme="majorEastAsia"/>
          <w:color w:val="000000"/>
        </w:rPr>
        <w:t>The Lancet</w:t>
      </w:r>
      <w:r>
        <w:rPr>
          <w:color w:val="000000"/>
        </w:rPr>
        <w:t>, 373(9657), pp. 68–81.</w:t>
      </w:r>
    </w:p>
    <w:p w14:paraId="6476F2DA" w14:textId="77777777" w:rsidR="00837FB6" w:rsidRDefault="00837FB6" w:rsidP="00837FB6">
      <w:pPr>
        <w:pStyle w:val="NormalWeb"/>
        <w:spacing w:line="360" w:lineRule="auto"/>
        <w:jc w:val="both"/>
        <w:rPr>
          <w:color w:val="000000"/>
        </w:rPr>
      </w:pPr>
      <w:r>
        <w:rPr>
          <w:color w:val="000000"/>
        </w:rPr>
        <w:t>HM Government (2023)</w:t>
      </w:r>
      <w:r>
        <w:rPr>
          <w:rStyle w:val="apple-converted-space"/>
          <w:rFonts w:eastAsiaTheme="majorEastAsia"/>
          <w:color w:val="000000"/>
        </w:rPr>
        <w:t> </w:t>
      </w:r>
      <w:r>
        <w:rPr>
          <w:rStyle w:val="Emphasis"/>
          <w:rFonts w:eastAsiaTheme="majorEastAsia"/>
          <w:color w:val="000000"/>
        </w:rPr>
        <w:t>Working Together to Safeguard Children.</w:t>
      </w:r>
      <w:r>
        <w:rPr>
          <w:rStyle w:val="apple-converted-space"/>
          <w:rFonts w:eastAsiaTheme="majorEastAsia"/>
          <w:color w:val="000000"/>
        </w:rPr>
        <w:t> </w:t>
      </w:r>
      <w:r>
        <w:rPr>
          <w:color w:val="000000"/>
        </w:rPr>
        <w:t>London: Department for Education.</w:t>
      </w:r>
    </w:p>
    <w:p w14:paraId="424F8EA7" w14:textId="77777777" w:rsidR="00837FB6" w:rsidRDefault="00837FB6" w:rsidP="00837FB6">
      <w:pPr>
        <w:pStyle w:val="NormalWeb"/>
        <w:spacing w:line="360" w:lineRule="auto"/>
        <w:jc w:val="both"/>
        <w:rPr>
          <w:color w:val="000000"/>
        </w:rPr>
      </w:pPr>
      <w:r>
        <w:rPr>
          <w:color w:val="000000"/>
        </w:rPr>
        <w:t>Home Office (2022)</w:t>
      </w:r>
      <w:r>
        <w:rPr>
          <w:rStyle w:val="apple-converted-space"/>
          <w:rFonts w:eastAsiaTheme="majorEastAsia"/>
          <w:color w:val="000000"/>
        </w:rPr>
        <w:t> </w:t>
      </w:r>
      <w:r>
        <w:rPr>
          <w:rStyle w:val="Emphasis"/>
          <w:rFonts w:eastAsiaTheme="majorEastAsia"/>
          <w:color w:val="000000"/>
        </w:rPr>
        <w:t>Child Safeguarding Practice Review Panel: Annual Report 2022.</w:t>
      </w:r>
      <w:r>
        <w:rPr>
          <w:rStyle w:val="apple-converted-space"/>
          <w:rFonts w:eastAsiaTheme="majorEastAsia"/>
          <w:color w:val="000000"/>
        </w:rPr>
        <w:t> </w:t>
      </w:r>
      <w:r>
        <w:rPr>
          <w:color w:val="000000"/>
        </w:rPr>
        <w:t>London: Home Office.</w:t>
      </w:r>
    </w:p>
    <w:p w14:paraId="0120875F" w14:textId="77777777" w:rsidR="00837FB6" w:rsidRDefault="00837FB6" w:rsidP="00837FB6">
      <w:pPr>
        <w:pStyle w:val="NormalWeb"/>
        <w:spacing w:line="360" w:lineRule="auto"/>
        <w:jc w:val="both"/>
        <w:rPr>
          <w:color w:val="000000"/>
        </w:rPr>
      </w:pPr>
      <w:r>
        <w:rPr>
          <w:color w:val="000000"/>
        </w:rPr>
        <w:t>Horwath, J. (2013)</w:t>
      </w:r>
      <w:r>
        <w:rPr>
          <w:rStyle w:val="apple-converted-space"/>
          <w:rFonts w:eastAsiaTheme="majorEastAsia"/>
          <w:color w:val="000000"/>
        </w:rPr>
        <w:t> </w:t>
      </w:r>
      <w:r>
        <w:rPr>
          <w:rStyle w:val="Emphasis"/>
          <w:rFonts w:eastAsiaTheme="majorEastAsia"/>
          <w:color w:val="000000"/>
        </w:rPr>
        <w:t>Child Neglect: Identification and Assessment.</w:t>
      </w:r>
      <w:r>
        <w:rPr>
          <w:rStyle w:val="apple-converted-space"/>
          <w:rFonts w:eastAsiaTheme="majorEastAsia"/>
          <w:color w:val="000000"/>
        </w:rPr>
        <w:t> </w:t>
      </w:r>
      <w:r>
        <w:rPr>
          <w:color w:val="000000"/>
        </w:rPr>
        <w:t>London: Palgrave Macmillan.</w:t>
      </w:r>
    </w:p>
    <w:p w14:paraId="57F5EDCD" w14:textId="77777777" w:rsidR="00837FB6" w:rsidRDefault="00837FB6" w:rsidP="00837FB6">
      <w:pPr>
        <w:pStyle w:val="NormalWeb"/>
        <w:spacing w:line="360" w:lineRule="auto"/>
        <w:jc w:val="both"/>
        <w:rPr>
          <w:color w:val="000000"/>
        </w:rPr>
      </w:pPr>
      <w:r>
        <w:rPr>
          <w:color w:val="000000"/>
        </w:rPr>
        <w:t>Ibrahim, F. et al. (2018) ‘The psychological impact of childhood emotional maltreatment: A review’,</w:t>
      </w:r>
      <w:r>
        <w:rPr>
          <w:rStyle w:val="apple-converted-space"/>
          <w:rFonts w:eastAsiaTheme="majorEastAsia"/>
          <w:color w:val="000000"/>
        </w:rPr>
        <w:t> </w:t>
      </w:r>
      <w:r>
        <w:rPr>
          <w:rStyle w:val="Emphasis"/>
          <w:rFonts w:eastAsiaTheme="majorEastAsia"/>
          <w:color w:val="000000"/>
        </w:rPr>
        <w:t>Child and Adolescent Psychiatry and Mental Health</w:t>
      </w:r>
      <w:r>
        <w:rPr>
          <w:color w:val="000000"/>
        </w:rPr>
        <w:t>, 12(1), pp. 1–9.</w:t>
      </w:r>
    </w:p>
    <w:p w14:paraId="10B0A459" w14:textId="77777777" w:rsidR="00837FB6" w:rsidRDefault="00837FB6" w:rsidP="00837FB6">
      <w:pPr>
        <w:pStyle w:val="NormalWeb"/>
        <w:spacing w:line="360" w:lineRule="auto"/>
        <w:jc w:val="both"/>
        <w:rPr>
          <w:color w:val="000000"/>
        </w:rPr>
      </w:pPr>
      <w:r>
        <w:rPr>
          <w:color w:val="000000"/>
        </w:rPr>
        <w:t>NSPCC (2023)</w:t>
      </w:r>
      <w:r>
        <w:rPr>
          <w:rStyle w:val="apple-converted-space"/>
          <w:rFonts w:eastAsiaTheme="majorEastAsia"/>
          <w:color w:val="000000"/>
        </w:rPr>
        <w:t> </w:t>
      </w:r>
      <w:r>
        <w:rPr>
          <w:rStyle w:val="Emphasis"/>
          <w:rFonts w:eastAsiaTheme="majorEastAsia"/>
          <w:color w:val="000000"/>
        </w:rPr>
        <w:t>Types of Abuse.</w:t>
      </w:r>
      <w:r>
        <w:rPr>
          <w:rStyle w:val="apple-converted-space"/>
          <w:rFonts w:eastAsiaTheme="majorEastAsia"/>
          <w:color w:val="000000"/>
        </w:rPr>
        <w:t> </w:t>
      </w:r>
      <w:r>
        <w:rPr>
          <w:color w:val="000000"/>
        </w:rPr>
        <w:t>Available at:</w:t>
      </w:r>
      <w:r>
        <w:rPr>
          <w:rStyle w:val="apple-converted-space"/>
          <w:rFonts w:eastAsiaTheme="majorEastAsia"/>
          <w:color w:val="000000"/>
        </w:rPr>
        <w:t> </w:t>
      </w:r>
      <w:hyperlink r:id="rId4" w:tgtFrame="_new" w:history="1">
        <w:r>
          <w:rPr>
            <w:rStyle w:val="Hyperlink"/>
            <w:rFonts w:eastAsiaTheme="majorEastAsia"/>
          </w:rPr>
          <w:t>https://www.nspcc.org.uk</w:t>
        </w:r>
      </w:hyperlink>
      <w:r>
        <w:rPr>
          <w:rStyle w:val="apple-converted-space"/>
          <w:rFonts w:eastAsiaTheme="majorEastAsia"/>
          <w:color w:val="000000"/>
        </w:rPr>
        <w:t> </w:t>
      </w:r>
      <w:r>
        <w:rPr>
          <w:color w:val="000000"/>
        </w:rPr>
        <w:t>(Accessed: 25 October 2025).</w:t>
      </w:r>
    </w:p>
    <w:p w14:paraId="639DA539" w14:textId="77777777" w:rsidR="00837FB6" w:rsidRDefault="00837FB6" w:rsidP="00837FB6">
      <w:pPr>
        <w:pStyle w:val="NormalWeb"/>
        <w:spacing w:line="360" w:lineRule="auto"/>
        <w:jc w:val="both"/>
        <w:rPr>
          <w:color w:val="000000"/>
        </w:rPr>
      </w:pPr>
      <w:r>
        <w:rPr>
          <w:color w:val="000000"/>
        </w:rPr>
        <w:t>Public Health Wales (2022)</w:t>
      </w:r>
      <w:r>
        <w:rPr>
          <w:rStyle w:val="apple-converted-space"/>
          <w:rFonts w:eastAsiaTheme="majorEastAsia"/>
          <w:color w:val="000000"/>
        </w:rPr>
        <w:t> </w:t>
      </w:r>
      <w:r>
        <w:rPr>
          <w:rStyle w:val="Emphasis"/>
          <w:rFonts w:eastAsiaTheme="majorEastAsia"/>
          <w:color w:val="000000"/>
        </w:rPr>
        <w:t>Adverse Childhood Experiences and Resilience in Wales.</w:t>
      </w:r>
      <w:r>
        <w:rPr>
          <w:rStyle w:val="apple-converted-space"/>
          <w:rFonts w:eastAsiaTheme="majorEastAsia"/>
          <w:color w:val="000000"/>
        </w:rPr>
        <w:t> </w:t>
      </w:r>
      <w:r>
        <w:rPr>
          <w:color w:val="000000"/>
        </w:rPr>
        <w:t>Cardiff: Public Health Wales NHS Trust.</w:t>
      </w:r>
    </w:p>
    <w:p w14:paraId="31D87312" w14:textId="77777777" w:rsidR="00837FB6" w:rsidRDefault="00837FB6" w:rsidP="00837FB6">
      <w:pPr>
        <w:pStyle w:val="NormalWeb"/>
        <w:spacing w:line="360" w:lineRule="auto"/>
        <w:jc w:val="both"/>
        <w:rPr>
          <w:color w:val="000000"/>
        </w:rPr>
      </w:pPr>
      <w:r>
        <w:rPr>
          <w:color w:val="000000"/>
        </w:rPr>
        <w:t>Radford, L. et al. (2017)</w:t>
      </w:r>
      <w:r>
        <w:rPr>
          <w:rStyle w:val="apple-converted-space"/>
          <w:rFonts w:eastAsiaTheme="majorEastAsia"/>
          <w:color w:val="000000"/>
        </w:rPr>
        <w:t> </w:t>
      </w:r>
      <w:r>
        <w:rPr>
          <w:rStyle w:val="Emphasis"/>
          <w:rFonts w:eastAsiaTheme="majorEastAsia"/>
          <w:color w:val="000000"/>
        </w:rPr>
        <w:t>Child Abuse and Neglect in the UK Today.</w:t>
      </w:r>
      <w:r>
        <w:rPr>
          <w:rStyle w:val="apple-converted-space"/>
          <w:rFonts w:eastAsiaTheme="majorEastAsia"/>
          <w:color w:val="000000"/>
        </w:rPr>
        <w:t> </w:t>
      </w:r>
      <w:r>
        <w:rPr>
          <w:color w:val="000000"/>
        </w:rPr>
        <w:t>London: NSPCC.</w:t>
      </w:r>
    </w:p>
    <w:p w14:paraId="57C33A93" w14:textId="77777777" w:rsidR="00837FB6" w:rsidRDefault="00837FB6" w:rsidP="00837FB6">
      <w:pPr>
        <w:pStyle w:val="NormalWeb"/>
        <w:spacing w:line="360" w:lineRule="auto"/>
        <w:jc w:val="both"/>
        <w:rPr>
          <w:color w:val="000000"/>
        </w:rPr>
      </w:pPr>
      <w:r>
        <w:rPr>
          <w:color w:val="000000"/>
        </w:rPr>
        <w:t>South Wales Safeguarding Partnership (2024)</w:t>
      </w:r>
      <w:r>
        <w:rPr>
          <w:rStyle w:val="apple-converted-space"/>
          <w:rFonts w:eastAsiaTheme="majorEastAsia"/>
          <w:color w:val="000000"/>
        </w:rPr>
        <w:t> </w:t>
      </w:r>
      <w:r>
        <w:rPr>
          <w:rStyle w:val="Emphasis"/>
          <w:rFonts w:eastAsiaTheme="majorEastAsia"/>
          <w:color w:val="000000"/>
        </w:rPr>
        <w:t>Annual Review Report 2024.</w:t>
      </w:r>
      <w:r>
        <w:rPr>
          <w:rStyle w:val="apple-converted-space"/>
          <w:rFonts w:eastAsiaTheme="majorEastAsia"/>
          <w:color w:val="000000"/>
        </w:rPr>
        <w:t> </w:t>
      </w:r>
      <w:r>
        <w:rPr>
          <w:color w:val="000000"/>
        </w:rPr>
        <w:t>Cardiff: SWSP.</w:t>
      </w:r>
    </w:p>
    <w:p w14:paraId="77AB0CB7" w14:textId="77777777" w:rsidR="00837FB6" w:rsidRDefault="00837FB6" w:rsidP="00837FB6">
      <w:pPr>
        <w:pStyle w:val="NormalWeb"/>
        <w:spacing w:line="360" w:lineRule="auto"/>
        <w:jc w:val="both"/>
        <w:rPr>
          <w:color w:val="000000"/>
        </w:rPr>
      </w:pPr>
      <w:r>
        <w:rPr>
          <w:color w:val="000000"/>
        </w:rPr>
        <w:lastRenderedPageBreak/>
        <w:t>UNICEF (2021)</w:t>
      </w:r>
      <w:r>
        <w:rPr>
          <w:rStyle w:val="apple-converted-space"/>
          <w:rFonts w:eastAsiaTheme="majorEastAsia"/>
          <w:color w:val="000000"/>
        </w:rPr>
        <w:t> </w:t>
      </w:r>
      <w:r>
        <w:rPr>
          <w:rStyle w:val="Emphasis"/>
          <w:rFonts w:eastAsiaTheme="majorEastAsia"/>
          <w:color w:val="000000"/>
        </w:rPr>
        <w:t>Ending Violence Against Children: Six Strategies for Action.</w:t>
      </w:r>
      <w:r>
        <w:rPr>
          <w:rStyle w:val="apple-converted-space"/>
          <w:rFonts w:eastAsiaTheme="majorEastAsia"/>
          <w:color w:val="000000"/>
        </w:rPr>
        <w:t> </w:t>
      </w:r>
      <w:r>
        <w:rPr>
          <w:color w:val="000000"/>
        </w:rPr>
        <w:t>New York: UNICEF.</w:t>
      </w:r>
    </w:p>
    <w:p w14:paraId="7813B739" w14:textId="77777777" w:rsidR="00837FB6" w:rsidRDefault="00837FB6" w:rsidP="00837FB6">
      <w:pPr>
        <w:pStyle w:val="NormalWeb"/>
        <w:spacing w:line="360" w:lineRule="auto"/>
        <w:jc w:val="both"/>
        <w:rPr>
          <w:color w:val="000000"/>
        </w:rPr>
      </w:pPr>
      <w:r>
        <w:rPr>
          <w:color w:val="000000"/>
        </w:rPr>
        <w:t>Welsh Government (2015)</w:t>
      </w:r>
      <w:r>
        <w:rPr>
          <w:rStyle w:val="apple-converted-space"/>
          <w:rFonts w:eastAsiaTheme="majorEastAsia"/>
          <w:color w:val="000000"/>
        </w:rPr>
        <w:t> </w:t>
      </w:r>
      <w:r>
        <w:rPr>
          <w:rStyle w:val="Emphasis"/>
          <w:rFonts w:eastAsiaTheme="majorEastAsia"/>
          <w:color w:val="000000"/>
        </w:rPr>
        <w:t>Well-being of Future Generations (Wales) Act 2015.</w:t>
      </w:r>
      <w:r>
        <w:rPr>
          <w:rStyle w:val="apple-converted-space"/>
          <w:rFonts w:eastAsiaTheme="majorEastAsia"/>
          <w:color w:val="000000"/>
        </w:rPr>
        <w:t> </w:t>
      </w:r>
      <w:r>
        <w:rPr>
          <w:color w:val="000000"/>
        </w:rPr>
        <w:t>Cardiff: Welsh Government.</w:t>
      </w:r>
    </w:p>
    <w:p w14:paraId="2768F161" w14:textId="77777777" w:rsidR="00837FB6" w:rsidRDefault="00837FB6" w:rsidP="00837FB6">
      <w:pPr>
        <w:pStyle w:val="NormalWeb"/>
        <w:spacing w:line="360" w:lineRule="auto"/>
        <w:jc w:val="both"/>
        <w:rPr>
          <w:color w:val="000000"/>
        </w:rPr>
      </w:pPr>
      <w:r>
        <w:rPr>
          <w:color w:val="000000"/>
        </w:rPr>
        <w:t>Welsh Government (2023)</w:t>
      </w:r>
      <w:r>
        <w:rPr>
          <w:rStyle w:val="apple-converted-space"/>
          <w:rFonts w:eastAsiaTheme="majorEastAsia"/>
          <w:color w:val="000000"/>
        </w:rPr>
        <w:t> </w:t>
      </w:r>
      <w:r>
        <w:rPr>
          <w:rStyle w:val="Emphasis"/>
          <w:rFonts w:eastAsiaTheme="majorEastAsia"/>
          <w:color w:val="000000"/>
        </w:rPr>
        <w:t>Child Protection and Safeguarding Policy Framework in Wales.</w:t>
      </w:r>
      <w:r>
        <w:rPr>
          <w:rStyle w:val="apple-converted-space"/>
          <w:rFonts w:eastAsiaTheme="majorEastAsia"/>
          <w:color w:val="000000"/>
        </w:rPr>
        <w:t> </w:t>
      </w:r>
      <w:r>
        <w:rPr>
          <w:color w:val="000000"/>
        </w:rPr>
        <w:t>Cardiff: Welsh Government.</w:t>
      </w:r>
    </w:p>
    <w:p w14:paraId="0000F0D5" w14:textId="77777777" w:rsidR="00837FB6" w:rsidRDefault="00837FB6" w:rsidP="00837FB6">
      <w:pPr>
        <w:pStyle w:val="NormalWeb"/>
        <w:spacing w:line="360" w:lineRule="auto"/>
        <w:jc w:val="both"/>
        <w:rPr>
          <w:color w:val="000000"/>
        </w:rPr>
      </w:pPr>
      <w:r>
        <w:rPr>
          <w:color w:val="000000"/>
        </w:rPr>
        <w:t>All Wales Child Protection Procedures Review Group (2019)</w:t>
      </w:r>
      <w:r>
        <w:rPr>
          <w:rStyle w:val="apple-converted-space"/>
          <w:rFonts w:eastAsiaTheme="majorEastAsia"/>
          <w:color w:val="000000"/>
        </w:rPr>
        <w:t> </w:t>
      </w:r>
      <w:r>
        <w:rPr>
          <w:rStyle w:val="Emphasis"/>
          <w:rFonts w:eastAsiaTheme="majorEastAsia"/>
          <w:color w:val="000000"/>
        </w:rPr>
        <w:t>All Wales Safeguarding Procedures.</w:t>
      </w:r>
      <w:r>
        <w:rPr>
          <w:rStyle w:val="apple-converted-space"/>
          <w:rFonts w:eastAsiaTheme="majorEastAsia"/>
          <w:color w:val="000000"/>
        </w:rPr>
        <w:t> </w:t>
      </w:r>
      <w:r>
        <w:rPr>
          <w:color w:val="000000"/>
        </w:rPr>
        <w:t>Cardiff: AWCPPRG.</w:t>
      </w:r>
    </w:p>
    <w:p w14:paraId="6FBAA089" w14:textId="46A27EF0" w:rsidR="00837FB6" w:rsidRPr="00837FB6" w:rsidRDefault="00837FB6" w:rsidP="00837FB6">
      <w:pPr>
        <w:spacing w:line="360" w:lineRule="auto"/>
        <w:jc w:val="both"/>
      </w:pPr>
    </w:p>
    <w:sectPr w:rsidR="00837FB6" w:rsidRPr="00837F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FB6"/>
    <w:rsid w:val="00395EFC"/>
    <w:rsid w:val="004B3597"/>
    <w:rsid w:val="00837FB6"/>
    <w:rsid w:val="00AF7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112E65"/>
  <w15:chartTrackingRefBased/>
  <w15:docId w15:val="{75945154-3F70-F34E-9ECC-306319616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7F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37F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7F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7F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7F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7F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7F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7F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7F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7F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37F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7F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7F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7F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7F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7F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7F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7FB6"/>
    <w:rPr>
      <w:rFonts w:eastAsiaTheme="majorEastAsia" w:cstheme="majorBidi"/>
      <w:color w:val="272727" w:themeColor="text1" w:themeTint="D8"/>
    </w:rPr>
  </w:style>
  <w:style w:type="paragraph" w:styleId="Title">
    <w:name w:val="Title"/>
    <w:basedOn w:val="Normal"/>
    <w:next w:val="Normal"/>
    <w:link w:val="TitleChar"/>
    <w:uiPriority w:val="10"/>
    <w:qFormat/>
    <w:rsid w:val="00837F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7F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7F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7F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7FB6"/>
    <w:pPr>
      <w:spacing w:before="160"/>
      <w:jc w:val="center"/>
    </w:pPr>
    <w:rPr>
      <w:i/>
      <w:iCs/>
      <w:color w:val="404040" w:themeColor="text1" w:themeTint="BF"/>
    </w:rPr>
  </w:style>
  <w:style w:type="character" w:customStyle="1" w:styleId="QuoteChar">
    <w:name w:val="Quote Char"/>
    <w:basedOn w:val="DefaultParagraphFont"/>
    <w:link w:val="Quote"/>
    <w:uiPriority w:val="29"/>
    <w:rsid w:val="00837FB6"/>
    <w:rPr>
      <w:i/>
      <w:iCs/>
      <w:color w:val="404040" w:themeColor="text1" w:themeTint="BF"/>
    </w:rPr>
  </w:style>
  <w:style w:type="paragraph" w:styleId="ListParagraph">
    <w:name w:val="List Paragraph"/>
    <w:basedOn w:val="Normal"/>
    <w:uiPriority w:val="34"/>
    <w:qFormat/>
    <w:rsid w:val="00837FB6"/>
    <w:pPr>
      <w:ind w:left="720"/>
      <w:contextualSpacing/>
    </w:pPr>
  </w:style>
  <w:style w:type="character" w:styleId="IntenseEmphasis">
    <w:name w:val="Intense Emphasis"/>
    <w:basedOn w:val="DefaultParagraphFont"/>
    <w:uiPriority w:val="21"/>
    <w:qFormat/>
    <w:rsid w:val="00837FB6"/>
    <w:rPr>
      <w:i/>
      <w:iCs/>
      <w:color w:val="0F4761" w:themeColor="accent1" w:themeShade="BF"/>
    </w:rPr>
  </w:style>
  <w:style w:type="paragraph" w:styleId="IntenseQuote">
    <w:name w:val="Intense Quote"/>
    <w:basedOn w:val="Normal"/>
    <w:next w:val="Normal"/>
    <w:link w:val="IntenseQuoteChar"/>
    <w:uiPriority w:val="30"/>
    <w:qFormat/>
    <w:rsid w:val="00837F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7FB6"/>
    <w:rPr>
      <w:i/>
      <w:iCs/>
      <w:color w:val="0F4761" w:themeColor="accent1" w:themeShade="BF"/>
    </w:rPr>
  </w:style>
  <w:style w:type="character" w:styleId="IntenseReference">
    <w:name w:val="Intense Reference"/>
    <w:basedOn w:val="DefaultParagraphFont"/>
    <w:uiPriority w:val="32"/>
    <w:qFormat/>
    <w:rsid w:val="00837FB6"/>
    <w:rPr>
      <w:b/>
      <w:bCs/>
      <w:smallCaps/>
      <w:color w:val="0F4761" w:themeColor="accent1" w:themeShade="BF"/>
      <w:spacing w:val="5"/>
    </w:rPr>
  </w:style>
  <w:style w:type="character" w:styleId="Strong">
    <w:name w:val="Strong"/>
    <w:basedOn w:val="DefaultParagraphFont"/>
    <w:uiPriority w:val="22"/>
    <w:qFormat/>
    <w:rsid w:val="00837FB6"/>
    <w:rPr>
      <w:b/>
      <w:bCs/>
    </w:rPr>
  </w:style>
  <w:style w:type="paragraph" w:styleId="NormalWeb">
    <w:name w:val="Normal (Web)"/>
    <w:basedOn w:val="Normal"/>
    <w:uiPriority w:val="99"/>
    <w:semiHidden/>
    <w:unhideWhenUsed/>
    <w:rsid w:val="00837F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37FB6"/>
  </w:style>
  <w:style w:type="character" w:styleId="Emphasis">
    <w:name w:val="Emphasis"/>
    <w:basedOn w:val="DefaultParagraphFont"/>
    <w:uiPriority w:val="20"/>
    <w:qFormat/>
    <w:rsid w:val="00837FB6"/>
    <w:rPr>
      <w:i/>
      <w:iCs/>
    </w:rPr>
  </w:style>
  <w:style w:type="character" w:styleId="Hyperlink">
    <w:name w:val="Hyperlink"/>
    <w:basedOn w:val="DefaultParagraphFont"/>
    <w:uiPriority w:val="99"/>
    <w:semiHidden/>
    <w:unhideWhenUsed/>
    <w:rsid w:val="00837F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1732059">
      <w:bodyDiv w:val="1"/>
      <w:marLeft w:val="0"/>
      <w:marRight w:val="0"/>
      <w:marTop w:val="0"/>
      <w:marBottom w:val="0"/>
      <w:divBdr>
        <w:top w:val="none" w:sz="0" w:space="0" w:color="auto"/>
        <w:left w:val="none" w:sz="0" w:space="0" w:color="auto"/>
        <w:bottom w:val="none" w:sz="0" w:space="0" w:color="auto"/>
        <w:right w:val="none" w:sz="0" w:space="0" w:color="auto"/>
      </w:divBdr>
    </w:div>
    <w:div w:id="2061318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nspcc.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8</Pages>
  <Words>2125</Words>
  <Characters>12116</Characters>
  <Application>Microsoft Office Word</Application>
  <DocSecurity>0</DocSecurity>
  <Lines>100</Lines>
  <Paragraphs>28</Paragraphs>
  <ScaleCrop>false</ScaleCrop>
  <Company/>
  <LinksUpToDate>false</LinksUpToDate>
  <CharactersWithSpaces>14213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Moldoveanu</dc:creator>
  <cp:keywords/>
  <dc:description/>
  <cp:lastModifiedBy>Bianca Moldoveanu</cp:lastModifiedBy>
  <cp:revision>1</cp:revision>
  <dcterms:created xsi:type="dcterms:W3CDTF">2025-12-04T20:08:00Z</dcterms:created>
  <dcterms:modified xsi:type="dcterms:W3CDTF">2025-12-04T23:38:00Z</dcterms:modified>
</cp:coreProperties>
</file>