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17A9D6" w14:textId="77777777" w:rsidR="0043287D" w:rsidRDefault="0043287D" w:rsidP="0043287D">
      <w:pPr>
        <w:rPr>
          <w:u w:val="single"/>
        </w:rPr>
      </w:pPr>
      <w:r>
        <w:rPr>
          <w:u w:val="single"/>
        </w:rPr>
        <w:t xml:space="preserve">Bibliography: Poetry: Interpreting Texts (Adam Johnson) </w:t>
      </w:r>
    </w:p>
    <w:p w14:paraId="78DB6808" w14:textId="77777777" w:rsidR="0043287D" w:rsidRPr="00752EC1" w:rsidRDefault="0043287D" w:rsidP="0043287D">
      <w:pPr>
        <w:rPr>
          <w:b/>
        </w:rPr>
      </w:pPr>
      <w:r w:rsidRPr="00752EC1">
        <w:rPr>
          <w:b/>
        </w:rPr>
        <w:t>Question for essay: Using examples, discuss and examine the Victorian poet’s exploration of psychology</w:t>
      </w:r>
    </w:p>
    <w:p w14:paraId="1432ED53" w14:textId="77777777" w:rsidR="0043287D" w:rsidRPr="003D7C00" w:rsidRDefault="0043287D" w:rsidP="0043287D">
      <w:pPr>
        <w:spacing w:after="180" w:line="240" w:lineRule="auto"/>
        <w:ind w:left="450" w:hanging="450"/>
        <w:rPr>
          <w:rFonts w:ascii="Times New Roman" w:eastAsia="Times New Roman" w:hAnsi="Times New Roman" w:cs="Times New Roman"/>
          <w:color w:val="000000"/>
          <w:u w:val="single"/>
          <w:lang w:eastAsia="en-GB"/>
        </w:rPr>
      </w:pPr>
      <w:r w:rsidRPr="00870C68">
        <w:rPr>
          <w:rFonts w:ascii="Times New Roman" w:eastAsia="Times New Roman" w:hAnsi="Times New Roman" w:cs="Times New Roman"/>
          <w:color w:val="000000"/>
          <w:u w:val="single"/>
          <w:lang w:eastAsia="en-GB"/>
        </w:rPr>
        <w:t>Faas, Ekbert. 1988. </w:t>
      </w:r>
      <w:r w:rsidRPr="00870C68">
        <w:rPr>
          <w:rFonts w:ascii="Times New Roman" w:eastAsia="Times New Roman" w:hAnsi="Times New Roman" w:cs="Times New Roman"/>
          <w:i/>
          <w:iCs/>
          <w:color w:val="000000"/>
          <w:u w:val="single"/>
          <w:lang w:eastAsia="en-GB"/>
        </w:rPr>
        <w:t xml:space="preserve">Retreat </w:t>
      </w:r>
      <w:proofErr w:type="gramStart"/>
      <w:r w:rsidRPr="00870C68">
        <w:rPr>
          <w:rFonts w:ascii="Times New Roman" w:eastAsia="Times New Roman" w:hAnsi="Times New Roman" w:cs="Times New Roman"/>
          <w:i/>
          <w:iCs/>
          <w:color w:val="000000"/>
          <w:u w:val="single"/>
          <w:lang w:eastAsia="en-GB"/>
        </w:rPr>
        <w:t>Into</w:t>
      </w:r>
      <w:proofErr w:type="gramEnd"/>
      <w:r w:rsidRPr="00870C68">
        <w:rPr>
          <w:rFonts w:ascii="Times New Roman" w:eastAsia="Times New Roman" w:hAnsi="Times New Roman" w:cs="Times New Roman"/>
          <w:i/>
          <w:iCs/>
          <w:color w:val="000000"/>
          <w:u w:val="single"/>
          <w:lang w:eastAsia="en-GB"/>
        </w:rPr>
        <w:t xml:space="preserve"> the Mind: Victorian Poetry and the Rise of Psychiatry</w:t>
      </w:r>
      <w:r w:rsidRPr="00870C68">
        <w:rPr>
          <w:rFonts w:ascii="Times New Roman" w:eastAsia="Times New Roman" w:hAnsi="Times New Roman" w:cs="Times New Roman"/>
          <w:color w:val="000000"/>
          <w:u w:val="single"/>
          <w:lang w:eastAsia="en-GB"/>
        </w:rPr>
        <w:t> (Princeton</w:t>
      </w:r>
    </w:p>
    <w:p w14:paraId="00C74AB8" w14:textId="77777777" w:rsidR="0043287D" w:rsidRDefault="0043287D" w:rsidP="0043287D">
      <w:pPr>
        <w:spacing w:after="180" w:line="240" w:lineRule="auto"/>
        <w:ind w:left="450" w:hanging="450"/>
        <w:rPr>
          <w:rFonts w:ascii="Times New Roman" w:eastAsia="Times New Roman" w:hAnsi="Times New Roman" w:cs="Times New Roman"/>
          <w:color w:val="000000"/>
          <w:lang w:eastAsia="en-GB"/>
        </w:rPr>
      </w:pPr>
      <w:r w:rsidRPr="00870C68">
        <w:rPr>
          <w:rFonts w:ascii="Times New Roman" w:eastAsia="Times New Roman" w:hAnsi="Times New Roman" w:cs="Times New Roman"/>
          <w:color w:val="000000"/>
          <w:u w:val="single"/>
          <w:lang w:eastAsia="en-GB"/>
        </w:rPr>
        <w:t>University Press)</w:t>
      </w:r>
      <w:r>
        <w:rPr>
          <w:rFonts w:ascii="Times New Roman" w:eastAsia="Times New Roman" w:hAnsi="Times New Roman" w:cs="Times New Roman"/>
          <w:color w:val="000000"/>
          <w:lang w:eastAsia="en-GB"/>
        </w:rPr>
        <w:t xml:space="preserve"> </w:t>
      </w:r>
    </w:p>
    <w:p w14:paraId="788A25D8" w14:textId="77777777" w:rsidR="0043287D" w:rsidRDefault="0043287D" w:rsidP="0043287D">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for use: this book is obviously of incredible importance to the question that I have selected to answer, it will be useful not just for quotations to help bolster my argument, but for a </w:t>
      </w:r>
      <w:proofErr w:type="gramStart"/>
      <w:r>
        <w:rPr>
          <w:rFonts w:ascii="Times New Roman" w:eastAsia="Times New Roman" w:hAnsi="Times New Roman" w:cs="Times New Roman"/>
          <w:color w:val="000000"/>
          <w:lang w:eastAsia="en-GB"/>
        </w:rPr>
        <w:t>more broad</w:t>
      </w:r>
      <w:proofErr w:type="gramEnd"/>
      <w:r>
        <w:rPr>
          <w:rFonts w:ascii="Times New Roman" w:eastAsia="Times New Roman" w:hAnsi="Times New Roman" w:cs="Times New Roman"/>
          <w:color w:val="000000"/>
          <w:lang w:eastAsia="en-GB"/>
        </w:rPr>
        <w:t xml:space="preserve"> overview of the Victorian view on psychology during the times and how that is reflected within Victorian poetry </w:t>
      </w:r>
    </w:p>
    <w:p w14:paraId="66DAC7BA" w14:textId="77777777" w:rsidR="0043287D" w:rsidRPr="003D7C00" w:rsidRDefault="0043287D" w:rsidP="0043287D">
      <w:pPr>
        <w:spacing w:after="180" w:line="240" w:lineRule="auto"/>
        <w:ind w:left="450" w:hanging="450"/>
        <w:rPr>
          <w:rFonts w:ascii="Times New Roman" w:eastAsia="Times New Roman" w:hAnsi="Times New Roman" w:cs="Times New Roman"/>
          <w:color w:val="000000"/>
          <w:u w:val="single"/>
          <w:lang w:eastAsia="en-GB"/>
        </w:rPr>
      </w:pPr>
      <w:r w:rsidRPr="003D7C00">
        <w:rPr>
          <w:rFonts w:ascii="Times New Roman" w:eastAsia="Times New Roman" w:hAnsi="Times New Roman" w:cs="Times New Roman"/>
          <w:color w:val="000000"/>
          <w:u w:val="single"/>
          <w:lang w:eastAsia="en-GB"/>
        </w:rPr>
        <w:t>Armstrong, Isobel. </w:t>
      </w:r>
      <w:r w:rsidRPr="003D7C00">
        <w:rPr>
          <w:rFonts w:ascii="Times New Roman" w:eastAsia="Times New Roman" w:hAnsi="Times New Roman" w:cs="Times New Roman"/>
          <w:i/>
          <w:iCs/>
          <w:color w:val="000000"/>
          <w:u w:val="single"/>
          <w:lang w:eastAsia="en-GB"/>
        </w:rPr>
        <w:t>Victorian poetry: poetry, poetics and politics</w:t>
      </w:r>
      <w:r w:rsidRPr="003D7C00">
        <w:rPr>
          <w:rFonts w:ascii="Times New Roman" w:eastAsia="Times New Roman" w:hAnsi="Times New Roman" w:cs="Times New Roman"/>
          <w:color w:val="000000"/>
          <w:u w:val="single"/>
          <w:lang w:eastAsia="en-GB"/>
        </w:rPr>
        <w:t xml:space="preserve">. Routledge, 1996. </w:t>
      </w:r>
    </w:p>
    <w:p w14:paraId="722D247A" w14:textId="77777777" w:rsidR="0043287D" w:rsidRDefault="0043287D" w:rsidP="0043287D">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for use: useful for an overview and some analytical theory on “To </w:t>
      </w:r>
      <w:proofErr w:type="gramStart"/>
      <w:r>
        <w:rPr>
          <w:rFonts w:ascii="Times New Roman" w:eastAsia="Times New Roman" w:hAnsi="Times New Roman" w:cs="Times New Roman"/>
          <w:color w:val="000000"/>
          <w:lang w:eastAsia="en-GB"/>
        </w:rPr>
        <w:t>The</w:t>
      </w:r>
      <w:proofErr w:type="gramEnd"/>
      <w:r>
        <w:rPr>
          <w:rFonts w:ascii="Times New Roman" w:eastAsia="Times New Roman" w:hAnsi="Times New Roman" w:cs="Times New Roman"/>
          <w:color w:val="000000"/>
          <w:lang w:eastAsia="en-GB"/>
        </w:rPr>
        <w:t xml:space="preserve"> Dark Tower Came”, which is a poem I selected for analysis, gives more of an overview on gender, discourse, politics and how they each relate to the poem   </w:t>
      </w:r>
    </w:p>
    <w:p w14:paraId="48DD4A77" w14:textId="77777777" w:rsidR="0043287D" w:rsidRPr="003D7C00" w:rsidRDefault="0043287D" w:rsidP="0043287D">
      <w:pPr>
        <w:spacing w:after="180" w:line="240" w:lineRule="auto"/>
        <w:ind w:left="450" w:hanging="450"/>
        <w:rPr>
          <w:rFonts w:ascii="Times New Roman" w:eastAsia="Times New Roman" w:hAnsi="Times New Roman" w:cs="Times New Roman"/>
          <w:color w:val="000000"/>
          <w:u w:val="single"/>
          <w:lang w:eastAsia="en-GB"/>
        </w:rPr>
      </w:pPr>
      <w:r w:rsidRPr="003D7C00">
        <w:rPr>
          <w:rFonts w:ascii="Times New Roman" w:eastAsia="Times New Roman" w:hAnsi="Times New Roman" w:cs="Times New Roman"/>
          <w:color w:val="000000"/>
          <w:u w:val="single"/>
          <w:lang w:eastAsia="en-GB"/>
        </w:rPr>
        <w:t>Barry, Peter. </w:t>
      </w:r>
      <w:r w:rsidRPr="003D7C00">
        <w:rPr>
          <w:rFonts w:ascii="Times New Roman" w:eastAsia="Times New Roman" w:hAnsi="Times New Roman" w:cs="Times New Roman"/>
          <w:i/>
          <w:iCs/>
          <w:color w:val="000000"/>
          <w:u w:val="single"/>
          <w:lang w:eastAsia="en-GB"/>
        </w:rPr>
        <w:t>Beginning theory: an introduction to literary and cultural theory</w:t>
      </w:r>
      <w:r w:rsidRPr="003D7C00">
        <w:rPr>
          <w:rFonts w:ascii="Times New Roman" w:eastAsia="Times New Roman" w:hAnsi="Times New Roman" w:cs="Times New Roman"/>
          <w:color w:val="000000"/>
          <w:u w:val="single"/>
          <w:lang w:eastAsia="en-GB"/>
        </w:rPr>
        <w:t xml:space="preserve">. Manchester University Press, 2002 </w:t>
      </w:r>
    </w:p>
    <w:p w14:paraId="6C7E91AB" w14:textId="77777777" w:rsidR="0043287D" w:rsidRDefault="0043287D" w:rsidP="0043287D">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Reasons for use: contains important theory for analysing Victorian poetry, read the introduction to psychoanalysis, which has provided me with information useful for taking a closer look at the selected poetry, it mentions how the aim was to get a patient to talk, which, in Elizabeth and Tennyson’s poems can actually help the insane break out of their mental inhibition, Freuds theory in fact aligns with how Alienists attempted to assess and help people, it also reflects the issue that many an insane person had, especially if we consider certain parts of poems/monologues are thought to be said in the mind of the character, the repression driving them further into insanity</w:t>
      </w:r>
    </w:p>
    <w:p w14:paraId="4EA7302D" w14:textId="77777777" w:rsidR="0043287D" w:rsidRDefault="0043287D" w:rsidP="0043287D">
      <w:pPr>
        <w:spacing w:after="180" w:line="240" w:lineRule="auto"/>
        <w:ind w:left="450" w:hanging="450"/>
        <w:rPr>
          <w:rFonts w:ascii="Garamond" w:eastAsia="Times New Roman" w:hAnsi="Garamond" w:cs="Times New Roman"/>
          <w:sz w:val="24"/>
          <w:szCs w:val="24"/>
          <w:u w:val="single"/>
          <w:lang w:eastAsia="en-GB"/>
        </w:rPr>
      </w:pPr>
      <w:r w:rsidRPr="00746846">
        <w:rPr>
          <w:rFonts w:ascii="Garamond" w:eastAsia="Times New Roman" w:hAnsi="Garamond" w:cs="Times New Roman"/>
          <w:sz w:val="24"/>
          <w:szCs w:val="24"/>
          <w:u w:val="single"/>
          <w:lang w:eastAsia="en-GB"/>
        </w:rPr>
        <w:t xml:space="preserve">Baldick, C. </w:t>
      </w:r>
      <w:r w:rsidRPr="00746846">
        <w:rPr>
          <w:rFonts w:ascii="Garamond" w:eastAsia="Times New Roman" w:hAnsi="Garamond" w:cs="Times New Roman"/>
          <w:i/>
          <w:sz w:val="24"/>
          <w:szCs w:val="24"/>
          <w:u w:val="single"/>
          <w:lang w:eastAsia="en-GB"/>
        </w:rPr>
        <w:t xml:space="preserve">The Concise Oxford Dictionary of Literary Terms. </w:t>
      </w:r>
      <w:r w:rsidRPr="00746846">
        <w:rPr>
          <w:rFonts w:ascii="Garamond" w:eastAsia="Times New Roman" w:hAnsi="Garamond" w:cs="Times New Roman"/>
          <w:sz w:val="24"/>
          <w:szCs w:val="24"/>
          <w:u w:val="single"/>
          <w:lang w:eastAsia="en-GB"/>
        </w:rPr>
        <w:t xml:space="preserve">Oxford; New York: Oxford University Press, </w:t>
      </w:r>
      <w:commentRangeStart w:id="0"/>
      <w:commentRangeStart w:id="1"/>
      <w:r w:rsidRPr="00746846">
        <w:rPr>
          <w:rFonts w:ascii="Garamond" w:eastAsia="Times New Roman" w:hAnsi="Garamond" w:cs="Times New Roman"/>
          <w:sz w:val="24"/>
          <w:szCs w:val="24"/>
          <w:u w:val="single"/>
          <w:lang w:eastAsia="en-GB"/>
        </w:rPr>
        <w:t>1991</w:t>
      </w:r>
      <w:commentRangeEnd w:id="0"/>
      <w:r w:rsidRPr="00746846">
        <w:rPr>
          <w:rStyle w:val="CommentReference"/>
          <w:u w:val="single"/>
        </w:rPr>
        <w:commentReference w:id="0"/>
      </w:r>
      <w:commentRangeEnd w:id="1"/>
    </w:p>
    <w:p w14:paraId="7EF00D47" w14:textId="77777777" w:rsidR="0043287D" w:rsidRPr="00746846" w:rsidRDefault="0043287D" w:rsidP="0043287D">
      <w:pPr>
        <w:spacing w:after="180" w:line="240" w:lineRule="auto"/>
        <w:ind w:left="450" w:hanging="450"/>
        <w:rPr>
          <w:rFonts w:ascii="Garamond" w:eastAsia="Times New Roman" w:hAnsi="Garamond" w:cs="Times New Roman"/>
          <w:sz w:val="24"/>
          <w:szCs w:val="20"/>
          <w:u w:val="single"/>
          <w:lang w:eastAsia="en-GB"/>
        </w:rPr>
      </w:pPr>
      <w:r>
        <w:rPr>
          <w:rFonts w:ascii="Garamond" w:eastAsia="Times New Roman" w:hAnsi="Garamond" w:cs="Times New Roman"/>
          <w:sz w:val="24"/>
          <w:szCs w:val="20"/>
          <w:lang w:eastAsia="en-GB"/>
        </w:rPr>
        <w:t>Reasons for use: easy to get terminology, will help with defining and checking certain definitions</w:t>
      </w:r>
      <w:r w:rsidRPr="00746846">
        <w:rPr>
          <w:rStyle w:val="CommentReference"/>
          <w:u w:val="single"/>
        </w:rPr>
        <w:commentReference w:id="1"/>
      </w:r>
    </w:p>
    <w:p w14:paraId="5A3A6250" w14:textId="77777777" w:rsidR="0043287D" w:rsidRDefault="0043287D" w:rsidP="0043287D">
      <w:pPr>
        <w:spacing w:after="180" w:line="240" w:lineRule="auto"/>
        <w:ind w:left="450" w:hanging="450"/>
        <w:rPr>
          <w:rFonts w:ascii="Garamond" w:eastAsia="Times New Roman" w:hAnsi="Garamond" w:cs="Times New Roman"/>
          <w:sz w:val="24"/>
          <w:szCs w:val="20"/>
          <w:u w:val="single"/>
          <w:lang w:eastAsia="en-GB"/>
        </w:rPr>
      </w:pPr>
      <w:r w:rsidRPr="003C2A06">
        <w:rPr>
          <w:rFonts w:ascii="Garamond" w:eastAsia="Times New Roman" w:hAnsi="Garamond" w:cs="Times New Roman"/>
          <w:sz w:val="24"/>
          <w:szCs w:val="20"/>
          <w:u w:val="single"/>
          <w:lang w:eastAsia="en-GB"/>
        </w:rPr>
        <w:t>Harrison, Antony H; Taylor, Beverly, Ge</w:t>
      </w:r>
      <w:r w:rsidRPr="003C2A06">
        <w:rPr>
          <w:rFonts w:ascii="Garamond" w:eastAsia="Times New Roman" w:hAnsi="Garamond" w:cs="Times New Roman"/>
          <w:i/>
          <w:sz w:val="24"/>
          <w:szCs w:val="20"/>
          <w:u w:val="single"/>
          <w:lang w:eastAsia="en-GB"/>
        </w:rPr>
        <w:t>nder and discourse in Victorian literature and art</w:t>
      </w:r>
      <w:r w:rsidRPr="003C2A06">
        <w:rPr>
          <w:rFonts w:ascii="Garamond" w:eastAsia="Times New Roman" w:hAnsi="Garamond" w:cs="Times New Roman"/>
          <w:sz w:val="24"/>
          <w:szCs w:val="20"/>
          <w:u w:val="single"/>
          <w:lang w:eastAsia="en-GB"/>
        </w:rPr>
        <w:t xml:space="preserve">, </w:t>
      </w:r>
      <w:proofErr w:type="gramStart"/>
      <w:r w:rsidRPr="003C2A06">
        <w:rPr>
          <w:rFonts w:ascii="Garamond" w:eastAsia="Times New Roman" w:hAnsi="Garamond" w:cs="Times New Roman"/>
          <w:sz w:val="24"/>
          <w:szCs w:val="20"/>
          <w:u w:val="single"/>
          <w:lang w:eastAsia="en-GB"/>
        </w:rPr>
        <w:t>DeKalb :</w:t>
      </w:r>
      <w:proofErr w:type="gramEnd"/>
      <w:r w:rsidRPr="003C2A06">
        <w:rPr>
          <w:rFonts w:ascii="Garamond" w:eastAsia="Times New Roman" w:hAnsi="Garamond" w:cs="Times New Roman"/>
          <w:sz w:val="24"/>
          <w:szCs w:val="20"/>
          <w:u w:val="single"/>
          <w:lang w:eastAsia="en-GB"/>
        </w:rPr>
        <w:t xml:space="preserve"> Northern Illinois University Press, 1992</w:t>
      </w:r>
    </w:p>
    <w:p w14:paraId="0CDA8B48" w14:textId="77777777" w:rsidR="0043287D" w:rsidRDefault="0043287D" w:rsidP="0043287D">
      <w:pPr>
        <w:spacing w:after="180" w:line="240" w:lineRule="auto"/>
        <w:ind w:left="450" w:hanging="450"/>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Reasons </w:t>
      </w:r>
      <w:proofErr w:type="gramStart"/>
      <w:r>
        <w:rPr>
          <w:rFonts w:ascii="Times New Roman" w:eastAsia="Times New Roman" w:hAnsi="Times New Roman" w:cs="Times New Roman"/>
          <w:color w:val="000000"/>
          <w:lang w:eastAsia="en-GB"/>
        </w:rPr>
        <w:t>For</w:t>
      </w:r>
      <w:proofErr w:type="gramEnd"/>
      <w:r>
        <w:rPr>
          <w:rFonts w:ascii="Times New Roman" w:eastAsia="Times New Roman" w:hAnsi="Times New Roman" w:cs="Times New Roman"/>
          <w:color w:val="000000"/>
          <w:lang w:eastAsia="en-GB"/>
        </w:rPr>
        <w:t xml:space="preserve"> Use: it’s important as it gives me essential insight into Elizabeth Barrett Browning as well as Tennyson, both in the way in which they wrote women at how that reflected the mindset/psychology of patriarchy toward women during that time and how the patriarchal society effects the way a male will portray and/or see women in Victorian society (basically, how and why males portray women the way they do and how they use their portrayals to show certain facets of psychology)  </w:t>
      </w:r>
    </w:p>
    <w:p w14:paraId="371DF211" w14:textId="77777777" w:rsidR="0043287D" w:rsidRDefault="0043287D" w:rsidP="0043287D">
      <w:pPr>
        <w:rPr>
          <w:rFonts w:ascii="Garamond" w:eastAsia="Times New Roman" w:hAnsi="Garamond" w:cs="Times New Roman"/>
          <w:sz w:val="24"/>
          <w:szCs w:val="20"/>
          <w:u w:val="single"/>
          <w:lang w:eastAsia="en-GB"/>
        </w:rPr>
      </w:pPr>
      <w:r w:rsidRPr="002B484A">
        <w:rPr>
          <w:rFonts w:ascii="Garamond" w:eastAsia="Times New Roman" w:hAnsi="Garamond" w:cs="Times New Roman"/>
          <w:sz w:val="24"/>
          <w:szCs w:val="20"/>
          <w:u w:val="single"/>
          <w:lang w:eastAsia="en-GB"/>
        </w:rPr>
        <w:t xml:space="preserve">Buckler, William </w:t>
      </w:r>
      <w:proofErr w:type="gramStart"/>
      <w:r w:rsidRPr="002B484A">
        <w:rPr>
          <w:rFonts w:ascii="Garamond" w:eastAsia="Times New Roman" w:hAnsi="Garamond" w:cs="Times New Roman"/>
          <w:sz w:val="24"/>
          <w:szCs w:val="20"/>
          <w:u w:val="single"/>
          <w:lang w:eastAsia="en-GB"/>
        </w:rPr>
        <w:t>Earl ,</w:t>
      </w:r>
      <w:r w:rsidRPr="002B484A">
        <w:rPr>
          <w:rFonts w:ascii="Garamond" w:eastAsia="Times New Roman" w:hAnsi="Garamond" w:cs="Times New Roman"/>
          <w:i/>
          <w:sz w:val="24"/>
          <w:szCs w:val="20"/>
          <w:u w:val="single"/>
          <w:lang w:eastAsia="en-GB"/>
        </w:rPr>
        <w:t>The</w:t>
      </w:r>
      <w:proofErr w:type="gramEnd"/>
      <w:r w:rsidRPr="002B484A">
        <w:rPr>
          <w:rFonts w:ascii="Garamond" w:eastAsia="Times New Roman" w:hAnsi="Garamond" w:cs="Times New Roman"/>
          <w:i/>
          <w:sz w:val="24"/>
          <w:szCs w:val="20"/>
          <w:u w:val="single"/>
          <w:lang w:eastAsia="en-GB"/>
        </w:rPr>
        <w:t xml:space="preserve"> Victorian imagination: essays in aesthetic exploration</w:t>
      </w:r>
      <w:r w:rsidRPr="002B484A">
        <w:rPr>
          <w:rFonts w:ascii="Garamond" w:eastAsia="Times New Roman" w:hAnsi="Garamond" w:cs="Times New Roman"/>
          <w:sz w:val="24"/>
          <w:szCs w:val="20"/>
          <w:u w:val="single"/>
          <w:lang w:eastAsia="en-GB"/>
        </w:rPr>
        <w:t>, New York : New York University Press, 1980.</w:t>
      </w:r>
    </w:p>
    <w:p w14:paraId="12DC56C3" w14:textId="77777777" w:rsidR="003B29D1" w:rsidRDefault="0043287D" w:rsidP="0043287D">
      <w:r>
        <w:t xml:space="preserve">Reasons for use: useful as during the Victorian era imagination was considered widely as a sign of insanity, discusses the fascination of Tennyson with strange states of being, or to be more precise of mind, it also explains tennosonian madness, which allows me to look inward and see how Tennyson used introspection </w:t>
      </w:r>
      <w:proofErr w:type="gramStart"/>
      <w:r>
        <w:t>in order to</w:t>
      </w:r>
      <w:proofErr w:type="gramEnd"/>
      <w:r>
        <w:t xml:space="preserve"> help present psychology</w:t>
      </w:r>
    </w:p>
    <w:p w14:paraId="29F92F7D" w14:textId="77777777" w:rsidR="0043287D" w:rsidRDefault="0043287D" w:rsidP="0043287D"/>
    <w:p w14:paraId="579F8E2C" w14:textId="77777777" w:rsidR="0043287D" w:rsidRDefault="0043287D" w:rsidP="0043287D"/>
    <w:p w14:paraId="1F1E1DEE" w14:textId="77777777" w:rsidR="0043287D" w:rsidRDefault="0043287D" w:rsidP="0043287D">
      <w:pPr>
        <w:jc w:val="center"/>
        <w:rPr>
          <w:u w:val="single"/>
        </w:rPr>
      </w:pPr>
      <w:r>
        <w:rPr>
          <w:u w:val="single"/>
        </w:rPr>
        <w:lastRenderedPageBreak/>
        <w:t>Montaigne Portfolio Task- Response/Analysis of Montaigne’s essay on conscience (Adam Johnson)</w:t>
      </w:r>
    </w:p>
    <w:p w14:paraId="616EF52C" w14:textId="77777777" w:rsidR="0043287D" w:rsidRPr="008B13FE" w:rsidRDefault="0043287D" w:rsidP="0043287D">
      <w:pPr>
        <w:pStyle w:val="ListParagraph"/>
        <w:spacing w:after="0" w:line="240" w:lineRule="auto"/>
        <w:ind w:left="0"/>
        <w:rPr>
          <w:rFonts w:ascii="Garamond" w:eastAsia="Times New Roman" w:hAnsi="Garamond" w:cs="Times New Roman"/>
          <w:color w:val="000000"/>
          <w:szCs w:val="24"/>
          <w:u w:val="single"/>
          <w:lang w:eastAsia="en-GB"/>
        </w:rPr>
      </w:pPr>
      <w:r>
        <w:rPr>
          <w:rFonts w:ascii="Garamond" w:eastAsia="Times New Roman" w:hAnsi="Garamond" w:cs="Times New Roman"/>
          <w:color w:val="000000"/>
          <w:szCs w:val="24"/>
          <w:lang w:eastAsia="en-GB"/>
        </w:rPr>
        <w:t xml:space="preserve">       </w:t>
      </w:r>
      <w:r w:rsidRPr="00487518">
        <w:rPr>
          <w:rFonts w:ascii="Garamond" w:eastAsia="Times New Roman" w:hAnsi="Garamond" w:cs="Times New Roman"/>
          <w:color w:val="000000"/>
          <w:szCs w:val="24"/>
          <w:u w:val="single"/>
          <w:lang w:eastAsia="en-GB"/>
        </w:rPr>
        <w:t xml:space="preserve">GENERAL </w:t>
      </w:r>
    </w:p>
    <w:p w14:paraId="78C07E49" w14:textId="77777777" w:rsidR="0043287D" w:rsidRPr="00EE0122" w:rsidRDefault="0043287D" w:rsidP="0043287D">
      <w:pPr>
        <w:spacing w:after="120" w:line="240" w:lineRule="auto"/>
        <w:rPr>
          <w:rFonts w:ascii="Garamond" w:eastAsia="Times New Roman" w:hAnsi="Garamond" w:cs="Times New Roman"/>
          <w:color w:val="000000"/>
          <w:sz w:val="24"/>
          <w:szCs w:val="24"/>
          <w:lang w:eastAsia="en-GB"/>
        </w:rPr>
      </w:pPr>
    </w:p>
    <w:p w14:paraId="0BB9A68A" w14:textId="77777777" w:rsidR="0043287D" w:rsidRPr="00487518" w:rsidRDefault="0043287D" w:rsidP="0043287D">
      <w:pPr>
        <w:pStyle w:val="ListParagraph"/>
        <w:spacing w:after="120" w:line="240" w:lineRule="auto"/>
        <w:ind w:left="142"/>
        <w:rPr>
          <w:rFonts w:ascii="Garamond" w:eastAsia="Times New Roman" w:hAnsi="Garamond" w:cs="Times New Roman"/>
          <w:color w:val="000000"/>
          <w:sz w:val="16"/>
          <w:szCs w:val="24"/>
          <w:lang w:eastAsia="en-GB"/>
        </w:rPr>
      </w:pPr>
    </w:p>
    <w:p w14:paraId="6C36C4E3" w14:textId="77777777" w:rsidR="0043287D" w:rsidRPr="005700C7" w:rsidRDefault="0043287D" w:rsidP="0043287D">
      <w:pPr>
        <w:pStyle w:val="ListParagraph"/>
        <w:numPr>
          <w:ilvl w:val="1"/>
          <w:numId w:val="1"/>
        </w:numPr>
        <w:spacing w:after="120" w:line="240" w:lineRule="auto"/>
        <w:ind w:left="1134"/>
        <w:rPr>
          <w:rFonts w:ascii="Garamond" w:hAnsi="Garamond"/>
          <w:sz w:val="24"/>
          <w:szCs w:val="24"/>
        </w:rPr>
      </w:pPr>
      <w:r w:rsidRPr="00487518">
        <w:rPr>
          <w:rFonts w:ascii="Garamond" w:eastAsia="Times New Roman" w:hAnsi="Garamond" w:cs="Times New Roman"/>
          <w:color w:val="000000"/>
          <w:sz w:val="24"/>
          <w:szCs w:val="24"/>
          <w:lang w:eastAsia="en-GB"/>
        </w:rPr>
        <w:t>Consider the discussion of torture: what does Montaigne think about the practice?</w:t>
      </w:r>
    </w:p>
    <w:p w14:paraId="0C2C209E" w14:textId="77777777" w:rsidR="0043287D" w:rsidRDefault="0043287D" w:rsidP="0043287D">
      <w:pPr>
        <w:pStyle w:val="ListParagraph"/>
        <w:spacing w:after="120" w:line="240" w:lineRule="auto"/>
        <w:ind w:left="1134"/>
        <w:rPr>
          <w:rFonts w:ascii="Garamond" w:hAnsi="Garamond"/>
          <w:sz w:val="24"/>
          <w:szCs w:val="24"/>
        </w:rPr>
      </w:pPr>
    </w:p>
    <w:p w14:paraId="13EC1376" w14:textId="77777777" w:rsidR="0043287D" w:rsidRDefault="0043287D" w:rsidP="0043287D">
      <w:pPr>
        <w:pStyle w:val="ListParagraph"/>
        <w:spacing w:after="120" w:line="240" w:lineRule="auto"/>
        <w:ind w:left="1134"/>
        <w:rPr>
          <w:rFonts w:ascii="Garamond" w:hAnsi="Garamond"/>
          <w:sz w:val="24"/>
          <w:szCs w:val="24"/>
        </w:rPr>
      </w:pPr>
    </w:p>
    <w:p w14:paraId="62B342F9" w14:textId="77777777" w:rsidR="0043287D" w:rsidRPr="005700C7" w:rsidRDefault="0043287D" w:rsidP="0043287D">
      <w:pPr>
        <w:pStyle w:val="ListParagraph"/>
        <w:spacing w:after="120" w:line="240" w:lineRule="auto"/>
        <w:ind w:left="1134"/>
        <w:rPr>
          <w:rFonts w:ascii="Garamond" w:hAnsi="Garamond"/>
          <w:sz w:val="24"/>
          <w:szCs w:val="24"/>
        </w:rPr>
      </w:pPr>
    </w:p>
    <w:p w14:paraId="121D31A3" w14:textId="77777777" w:rsidR="0043287D" w:rsidRPr="00A108CC" w:rsidRDefault="0043287D" w:rsidP="0043287D">
      <w:pPr>
        <w:pStyle w:val="ListParagraph"/>
        <w:numPr>
          <w:ilvl w:val="0"/>
          <w:numId w:val="2"/>
        </w:numPr>
        <w:spacing w:after="120" w:line="240" w:lineRule="auto"/>
        <w:rPr>
          <w:rFonts w:ascii="Garamond" w:hAnsi="Garamond"/>
          <w:sz w:val="24"/>
          <w:szCs w:val="24"/>
        </w:rPr>
      </w:pPr>
      <w:r>
        <w:rPr>
          <w:rFonts w:ascii="Garamond" w:hAnsi="Garamond"/>
          <w:sz w:val="24"/>
          <w:szCs w:val="24"/>
        </w:rPr>
        <w:t xml:space="preserve">(i) </w:t>
      </w:r>
      <w:r w:rsidRPr="00A108CC">
        <w:rPr>
          <w:rFonts w:ascii="Garamond" w:hAnsi="Garamond"/>
          <w:sz w:val="24"/>
          <w:szCs w:val="24"/>
          <w:u w:val="single"/>
        </w:rPr>
        <w:t>What is the thesis of main argument of the essay?</w:t>
      </w:r>
    </w:p>
    <w:p w14:paraId="0505F244" w14:textId="77777777" w:rsidR="0043287D" w:rsidRDefault="0043287D" w:rsidP="0043287D">
      <w:pPr>
        <w:spacing w:after="120" w:line="240" w:lineRule="auto"/>
        <w:ind w:left="360"/>
        <w:rPr>
          <w:rFonts w:ascii="Garamond" w:hAnsi="Garamond"/>
          <w:sz w:val="24"/>
          <w:szCs w:val="24"/>
        </w:rPr>
      </w:pPr>
      <w:r>
        <w:rPr>
          <w:rFonts w:ascii="Garamond" w:hAnsi="Garamond"/>
          <w:sz w:val="24"/>
          <w:szCs w:val="24"/>
        </w:rPr>
        <w:t>The core thesis/argument of the essay is based around Conscience (as the title of the essay suggests). In the essay, Montaigne argues that conscience is an internal construct within all people which controls our actions, it is something, which will reveal the true nature of a human being, and something which will give us away at the most inopportune moment were we to do something wrong. This is because conscience is, according to this essay, a person’s moral compass, it helps a man determine between what is right and, of course, what is wrong, the Montaigne goes on later to explain that our conscience is so powerful, that, in the event of a man or woman committing wrong doing, their conscience will give them away as in the story of Besse the Paeonian whom pulled a nest of birds down and killed them as he claimed they had “accused him of killing his father”. Of course, the birds had not been accusing him of such and this was a reflection on the mans’ conscience, which made him paranoid and drove him to commit strange and incriminating actions thus revealing himself to the wider public. Contrasting with this is the tale of Scipio, where the man is accused of horrible deeds, however, he does not submit to guilt or shame, for his conscience is clean, his actions show the spirit of an innocent man</w:t>
      </w:r>
    </w:p>
    <w:p w14:paraId="502BC915" w14:textId="77777777" w:rsidR="0043287D" w:rsidRDefault="0043287D" w:rsidP="0043287D">
      <w:pPr>
        <w:spacing w:after="120" w:line="240" w:lineRule="auto"/>
        <w:ind w:left="360"/>
        <w:rPr>
          <w:rFonts w:ascii="Garamond" w:hAnsi="Garamond"/>
          <w:sz w:val="24"/>
          <w:szCs w:val="24"/>
        </w:rPr>
      </w:pPr>
    </w:p>
    <w:p w14:paraId="3ACE152D" w14:textId="77777777" w:rsidR="0043287D" w:rsidRDefault="0043287D" w:rsidP="0043287D">
      <w:pPr>
        <w:spacing w:after="120" w:line="240" w:lineRule="auto"/>
        <w:ind w:left="360"/>
        <w:rPr>
          <w:rFonts w:ascii="Garamond" w:hAnsi="Garamond"/>
          <w:sz w:val="24"/>
          <w:szCs w:val="24"/>
        </w:rPr>
      </w:pPr>
      <w:r>
        <w:rPr>
          <w:rFonts w:ascii="Garamond" w:hAnsi="Garamond"/>
          <w:sz w:val="24"/>
          <w:szCs w:val="24"/>
        </w:rPr>
        <w:t xml:space="preserve">The essay also talks of ways in which the conscience can be twisted and corrupted, one of the examples Montaigne gives is civil war, where neighbour fights neighbour, where there are no demarcations to easily set friend from enemy and everyone is suspicious of eachother, and that it can lead to people of clear conscious carrying out suspicious acts. Another way in which corrupting and twisting conscience is through torture, here, it becomes apparent that a large part of the thesis is based on arguing against torture, as it </w:t>
      </w:r>
      <w:proofErr w:type="gramStart"/>
      <w:r>
        <w:rPr>
          <w:rFonts w:ascii="Garamond" w:hAnsi="Garamond"/>
          <w:sz w:val="24"/>
          <w:szCs w:val="24"/>
        </w:rPr>
        <w:t>lead</w:t>
      </w:r>
      <w:proofErr w:type="gramEnd"/>
      <w:r>
        <w:rPr>
          <w:rFonts w:ascii="Garamond" w:hAnsi="Garamond"/>
          <w:sz w:val="24"/>
          <w:szCs w:val="24"/>
        </w:rPr>
        <w:t xml:space="preserve">(s) to either the death of innocent and great men, or false confessions extracted not due to conscience, but to avoid the continued turmoil of torture. </w:t>
      </w:r>
    </w:p>
    <w:p w14:paraId="0F0F446E" w14:textId="77777777" w:rsidR="0043287D" w:rsidRDefault="0043287D" w:rsidP="0043287D">
      <w:pPr>
        <w:spacing w:after="120" w:line="240" w:lineRule="auto"/>
        <w:ind w:left="360"/>
        <w:rPr>
          <w:rFonts w:ascii="Garamond" w:hAnsi="Garamond"/>
          <w:sz w:val="24"/>
          <w:szCs w:val="24"/>
        </w:rPr>
      </w:pPr>
    </w:p>
    <w:p w14:paraId="57C0E4B6" w14:textId="77777777" w:rsidR="0043287D" w:rsidRDefault="0043287D" w:rsidP="0043287D">
      <w:pPr>
        <w:spacing w:after="120" w:line="240" w:lineRule="auto"/>
        <w:ind w:left="360"/>
        <w:rPr>
          <w:rFonts w:ascii="Garamond" w:hAnsi="Garamond"/>
          <w:sz w:val="24"/>
          <w:szCs w:val="24"/>
        </w:rPr>
      </w:pPr>
      <w:r>
        <w:rPr>
          <w:rFonts w:ascii="Garamond" w:hAnsi="Garamond"/>
          <w:sz w:val="24"/>
          <w:szCs w:val="24"/>
        </w:rPr>
        <w:t xml:space="preserve">It is clear in this that the major thesis is the importance of conscience in deciding someone’s innocence or guilt and that only it alone, in the absence of torture or war can be used to truly garner a sense of the person and their culpability. </w:t>
      </w:r>
    </w:p>
    <w:p w14:paraId="1E12EF2A" w14:textId="77777777" w:rsidR="0043287D" w:rsidRPr="005C603F" w:rsidRDefault="0043287D" w:rsidP="0043287D">
      <w:pPr>
        <w:spacing w:after="120" w:line="240" w:lineRule="auto"/>
        <w:rPr>
          <w:rFonts w:ascii="Garamond" w:eastAsia="Times New Roman" w:hAnsi="Garamond" w:cs="Times New Roman"/>
          <w:color w:val="000000"/>
          <w:sz w:val="24"/>
          <w:szCs w:val="24"/>
          <w:lang w:eastAsia="en-GB"/>
        </w:rPr>
      </w:pPr>
      <w:r w:rsidRPr="005C603F">
        <w:rPr>
          <w:rFonts w:ascii="Garamond" w:hAnsi="Garamond"/>
          <w:sz w:val="24"/>
          <w:szCs w:val="24"/>
        </w:rPr>
        <w:t xml:space="preserve">(ii) </w:t>
      </w:r>
      <w:r w:rsidRPr="005C603F">
        <w:rPr>
          <w:rFonts w:ascii="Garamond" w:eastAsia="Times New Roman" w:hAnsi="Garamond" w:cs="Times New Roman"/>
          <w:color w:val="000000"/>
          <w:sz w:val="24"/>
          <w:szCs w:val="24"/>
          <w:u w:val="single"/>
          <w:lang w:eastAsia="en-GB"/>
        </w:rPr>
        <w:t>What kind(s) of evidence is used to support the claim?</w:t>
      </w:r>
    </w:p>
    <w:p w14:paraId="576DD7F4" w14:textId="77777777" w:rsidR="0043287D" w:rsidRDefault="0043287D" w:rsidP="0043287D">
      <w:pPr>
        <w:spacing w:after="120" w:line="240" w:lineRule="auto"/>
        <w:rPr>
          <w:rFonts w:ascii="Garamond" w:hAnsi="Garamond"/>
          <w:sz w:val="24"/>
          <w:szCs w:val="24"/>
        </w:rPr>
      </w:pPr>
    </w:p>
    <w:p w14:paraId="2C02803C" w14:textId="77777777" w:rsidR="0043287D" w:rsidRDefault="0043287D" w:rsidP="0043287D">
      <w:pPr>
        <w:spacing w:after="120" w:line="240" w:lineRule="auto"/>
        <w:rPr>
          <w:rFonts w:ascii="Garamond" w:hAnsi="Garamond"/>
          <w:sz w:val="24"/>
          <w:szCs w:val="24"/>
        </w:rPr>
      </w:pPr>
      <w:r w:rsidRPr="00606D0D">
        <w:rPr>
          <w:rFonts w:ascii="Garamond" w:hAnsi="Garamond"/>
          <w:sz w:val="24"/>
          <w:szCs w:val="24"/>
        </w:rPr>
        <w:t>What kind(s) of evidence is used to support the claim? He uses quotations from well-known philosophers, poets, playwrights, etc predating his writing of the essay, such as Virgil, Juvenal, Syrus, Ovid etc, these names lend credibility to his analysis as they show a more thorough thought process going on underneath the surface, they also give more consistency and focus to the overall thesis that the essay is trying to present</w:t>
      </w:r>
    </w:p>
    <w:p w14:paraId="76FE5A68" w14:textId="77777777" w:rsidR="0043287D" w:rsidRDefault="0043287D" w:rsidP="0043287D">
      <w:pPr>
        <w:spacing w:after="120" w:line="240" w:lineRule="auto"/>
        <w:rPr>
          <w:rFonts w:ascii="Garamond" w:hAnsi="Garamond"/>
          <w:sz w:val="24"/>
          <w:szCs w:val="24"/>
          <w:u w:val="single"/>
        </w:rPr>
      </w:pPr>
      <w:r>
        <w:rPr>
          <w:rFonts w:ascii="Garamond" w:hAnsi="Garamond"/>
          <w:sz w:val="24"/>
          <w:szCs w:val="24"/>
        </w:rPr>
        <w:t>(</w:t>
      </w:r>
      <w:r w:rsidRPr="00372F35">
        <w:rPr>
          <w:rFonts w:ascii="Garamond" w:hAnsi="Garamond"/>
          <w:sz w:val="24"/>
          <w:szCs w:val="24"/>
        </w:rPr>
        <w:t>i</w:t>
      </w:r>
      <w:r>
        <w:rPr>
          <w:rFonts w:ascii="Garamond" w:hAnsi="Garamond"/>
          <w:sz w:val="24"/>
          <w:szCs w:val="24"/>
        </w:rPr>
        <w:t xml:space="preserve">ii) </w:t>
      </w:r>
      <w:r w:rsidRPr="007D748D">
        <w:rPr>
          <w:rFonts w:ascii="Garamond" w:hAnsi="Garamond"/>
          <w:sz w:val="24"/>
          <w:szCs w:val="24"/>
          <w:u w:val="single"/>
        </w:rPr>
        <w:t>What impact does each of the chosen quotations have? Where are the quotations from? (Look up names you don’t know)</w:t>
      </w:r>
      <w:r>
        <w:rPr>
          <w:rFonts w:ascii="Garamond" w:hAnsi="Garamond"/>
          <w:sz w:val="24"/>
          <w:szCs w:val="24"/>
          <w:u w:val="single"/>
        </w:rPr>
        <w:t xml:space="preserve"> </w:t>
      </w:r>
    </w:p>
    <w:p w14:paraId="16DF351B" w14:textId="77777777" w:rsidR="0043287D" w:rsidRPr="004A1982" w:rsidRDefault="0043287D" w:rsidP="0043287D">
      <w:pPr>
        <w:spacing w:after="120" w:line="240" w:lineRule="auto"/>
        <w:rPr>
          <w:rFonts w:ascii="Garamond" w:hAnsi="Garamond"/>
          <w:i/>
          <w:sz w:val="24"/>
          <w:szCs w:val="24"/>
        </w:rPr>
      </w:pPr>
      <w:r w:rsidRPr="00C05932">
        <w:rPr>
          <w:rFonts w:ascii="Garamond" w:hAnsi="Garamond"/>
          <w:b/>
          <w:sz w:val="24"/>
          <w:szCs w:val="24"/>
        </w:rPr>
        <w:lastRenderedPageBreak/>
        <w:t>Quote 1:</w:t>
      </w:r>
      <w:r>
        <w:rPr>
          <w:rFonts w:ascii="Garamond" w:hAnsi="Garamond"/>
          <w:sz w:val="24"/>
          <w:szCs w:val="24"/>
        </w:rPr>
        <w:t xml:space="preserve"> </w:t>
      </w:r>
      <w:r w:rsidRPr="004A1982">
        <w:rPr>
          <w:rFonts w:ascii="Garamond" w:hAnsi="Garamond"/>
          <w:i/>
          <w:sz w:val="24"/>
          <w:szCs w:val="24"/>
        </w:rPr>
        <w:t>“Occultum quatiens animo tortore flagellum.”</w:t>
      </w:r>
    </w:p>
    <w:p w14:paraId="0C0500E3" w14:textId="77777777" w:rsidR="0043287D" w:rsidRPr="004A1982" w:rsidRDefault="0043287D" w:rsidP="0043287D">
      <w:pPr>
        <w:spacing w:after="120" w:line="240" w:lineRule="auto"/>
        <w:rPr>
          <w:rFonts w:ascii="Garamond" w:hAnsi="Garamond"/>
          <w:i/>
          <w:sz w:val="24"/>
          <w:szCs w:val="24"/>
        </w:rPr>
      </w:pPr>
      <w:r w:rsidRPr="004A1982">
        <w:rPr>
          <w:rFonts w:ascii="Garamond" w:hAnsi="Garamond"/>
          <w:i/>
          <w:sz w:val="24"/>
          <w:szCs w:val="24"/>
        </w:rPr>
        <w:t xml:space="preserve"> [“The torturer of the soul brandishing a sharp scourge within.”</w:t>
      </w:r>
    </w:p>
    <w:p w14:paraId="36FFC128" w14:textId="77777777" w:rsidR="0043287D" w:rsidRDefault="0043287D" w:rsidP="0043287D">
      <w:pPr>
        <w:spacing w:after="120" w:line="240" w:lineRule="auto"/>
        <w:rPr>
          <w:rFonts w:ascii="Garamond" w:hAnsi="Garamond"/>
          <w:i/>
          <w:sz w:val="24"/>
          <w:szCs w:val="24"/>
        </w:rPr>
      </w:pPr>
      <w:r w:rsidRPr="004A1982">
        <w:rPr>
          <w:rFonts w:ascii="Garamond" w:hAnsi="Garamond"/>
          <w:i/>
          <w:sz w:val="24"/>
          <w:szCs w:val="24"/>
        </w:rPr>
        <w:t xml:space="preserve">      —Juvenal, iii. 195.]</w:t>
      </w:r>
      <w:r>
        <w:rPr>
          <w:rFonts w:ascii="Garamond" w:hAnsi="Garamond"/>
          <w:i/>
          <w:sz w:val="24"/>
          <w:szCs w:val="24"/>
        </w:rPr>
        <w:t xml:space="preserve"> </w:t>
      </w:r>
    </w:p>
    <w:p w14:paraId="0CA1FA52" w14:textId="77777777" w:rsidR="0043287D" w:rsidRDefault="0043287D" w:rsidP="0043287D">
      <w:pPr>
        <w:spacing w:after="120" w:line="240" w:lineRule="auto"/>
        <w:rPr>
          <w:rFonts w:ascii="Garamond" w:hAnsi="Garamond"/>
          <w:sz w:val="24"/>
          <w:szCs w:val="24"/>
        </w:rPr>
      </w:pPr>
    </w:p>
    <w:p w14:paraId="3D0CC6A6"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The quote comes from a series of satirical poems written by Juvenal, these poems were about a man leaving Rome and about all the ways in which Rome has became and unbearable place to live. The quotation itself refers to the idea of the man who killed the birds, that conscience is an internal working of the mind/soul which will drive a person to reveal themselves through strange conduct if they happen to commit any wrongdoing. The argument works against torture, suggesting that if one is guilty of committing a terrible crime, then their conscience will torture their soul until they confess their sins, this not only applies to torture, but it also applied to Scipio and his refusal to confess to the crimes he is accused of. </w:t>
      </w:r>
    </w:p>
    <w:p w14:paraId="2E2DA440" w14:textId="77777777" w:rsidR="0043287D" w:rsidRDefault="0043287D" w:rsidP="0043287D">
      <w:pPr>
        <w:spacing w:after="120" w:line="240" w:lineRule="auto"/>
        <w:rPr>
          <w:rFonts w:ascii="Garamond" w:hAnsi="Garamond"/>
          <w:b/>
          <w:sz w:val="24"/>
          <w:szCs w:val="24"/>
        </w:rPr>
      </w:pPr>
    </w:p>
    <w:p w14:paraId="2802EBD7" w14:textId="77777777" w:rsidR="0043287D" w:rsidRPr="00993C6A" w:rsidRDefault="0043287D" w:rsidP="0043287D">
      <w:pPr>
        <w:spacing w:after="120" w:line="240" w:lineRule="auto"/>
        <w:rPr>
          <w:rFonts w:ascii="Garamond" w:hAnsi="Garamond"/>
          <w:sz w:val="24"/>
          <w:szCs w:val="24"/>
        </w:rPr>
      </w:pPr>
      <w:r>
        <w:rPr>
          <w:rFonts w:ascii="Garamond" w:hAnsi="Garamond"/>
          <w:b/>
          <w:sz w:val="24"/>
          <w:szCs w:val="24"/>
        </w:rPr>
        <w:t xml:space="preserve">Quote 2: </w:t>
      </w:r>
      <w:r w:rsidRPr="00993C6A">
        <w:rPr>
          <w:rFonts w:ascii="Garamond" w:hAnsi="Garamond"/>
          <w:sz w:val="24"/>
          <w:szCs w:val="24"/>
        </w:rPr>
        <w:t>“Malum consilium consultori pessimum.”</w:t>
      </w:r>
    </w:p>
    <w:p w14:paraId="131E609D" w14:textId="77777777" w:rsidR="0043287D" w:rsidRPr="00993C6A" w:rsidRDefault="0043287D" w:rsidP="0043287D">
      <w:pPr>
        <w:spacing w:after="120" w:line="240" w:lineRule="auto"/>
        <w:rPr>
          <w:rFonts w:ascii="Garamond" w:hAnsi="Garamond"/>
          <w:sz w:val="24"/>
          <w:szCs w:val="24"/>
        </w:rPr>
      </w:pPr>
      <w:r w:rsidRPr="00993C6A">
        <w:rPr>
          <w:rFonts w:ascii="Garamond" w:hAnsi="Garamond"/>
          <w:sz w:val="24"/>
          <w:szCs w:val="24"/>
        </w:rPr>
        <w:t xml:space="preserve"> [“Ill designs are worst to the contriver.”</w:t>
      </w:r>
    </w:p>
    <w:p w14:paraId="0F6D21C8" w14:textId="77777777" w:rsidR="0043287D" w:rsidRDefault="0043287D" w:rsidP="0043287D">
      <w:pPr>
        <w:spacing w:after="120" w:line="240" w:lineRule="auto"/>
        <w:rPr>
          <w:rFonts w:ascii="Garamond" w:hAnsi="Garamond"/>
          <w:sz w:val="24"/>
          <w:szCs w:val="24"/>
        </w:rPr>
      </w:pPr>
      <w:r w:rsidRPr="00993C6A">
        <w:rPr>
          <w:rFonts w:ascii="Garamond" w:hAnsi="Garamond"/>
          <w:sz w:val="24"/>
          <w:szCs w:val="24"/>
        </w:rPr>
        <w:t xml:space="preserve">                —Apud Aul. Gellium, iv. 5.]</w:t>
      </w:r>
    </w:p>
    <w:p w14:paraId="68B5B8B7"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This quotation is from the Attic Nights, written be Aulus Gellius who lived and grew up in Rome. The quotation carries with it the suggestion that a falsity, an immoral act or something of the sort is detrimental to the person whom carries it out, much like in the case of Besse, where the boys guilt creates an ill design for the mind and leads to him revealing what he did when he “kills the birds whom are accusing him of killing his father,” his conscience leads to guilt and this guilt leads to him revealing the lies he has interwoven </w:t>
      </w:r>
    </w:p>
    <w:p w14:paraId="1E7C3420" w14:textId="77777777" w:rsidR="0043287D" w:rsidRDefault="0043287D" w:rsidP="0043287D">
      <w:pPr>
        <w:spacing w:after="120" w:line="240" w:lineRule="auto"/>
        <w:rPr>
          <w:rFonts w:ascii="Garamond" w:hAnsi="Garamond"/>
          <w:sz w:val="24"/>
          <w:szCs w:val="24"/>
        </w:rPr>
      </w:pPr>
    </w:p>
    <w:p w14:paraId="1DE87BD4" w14:textId="77777777" w:rsidR="0043287D" w:rsidRDefault="0043287D" w:rsidP="0043287D">
      <w:pPr>
        <w:spacing w:after="120" w:line="240" w:lineRule="auto"/>
        <w:rPr>
          <w:rFonts w:ascii="Garamond" w:hAnsi="Garamond"/>
          <w:sz w:val="24"/>
          <w:szCs w:val="24"/>
        </w:rPr>
      </w:pPr>
      <w:r>
        <w:rPr>
          <w:rFonts w:ascii="Garamond" w:hAnsi="Garamond"/>
          <w:b/>
          <w:sz w:val="24"/>
          <w:szCs w:val="24"/>
        </w:rPr>
        <w:t xml:space="preserve">Quote 3: </w:t>
      </w:r>
      <w:r w:rsidRPr="00A41116">
        <w:rPr>
          <w:rFonts w:ascii="Garamond" w:hAnsi="Garamond"/>
          <w:sz w:val="24"/>
          <w:szCs w:val="24"/>
        </w:rPr>
        <w:t>Vitasque in vulnere ponunt.”</w:t>
      </w:r>
    </w:p>
    <w:p w14:paraId="7AE34370" w14:textId="77777777" w:rsidR="0043287D" w:rsidRPr="00A41116" w:rsidRDefault="0043287D" w:rsidP="0043287D">
      <w:pPr>
        <w:spacing w:after="120" w:line="240" w:lineRule="auto"/>
        <w:rPr>
          <w:rFonts w:ascii="Garamond" w:hAnsi="Garamond"/>
          <w:sz w:val="24"/>
          <w:szCs w:val="24"/>
        </w:rPr>
      </w:pPr>
      <w:r w:rsidRPr="00A41116">
        <w:rPr>
          <w:rFonts w:ascii="Garamond" w:hAnsi="Garamond"/>
          <w:sz w:val="24"/>
          <w:szCs w:val="24"/>
        </w:rPr>
        <w:t xml:space="preserve"> [“And leave their own lives in the wound.”</w:t>
      </w:r>
    </w:p>
    <w:p w14:paraId="7B9F0E34" w14:textId="77777777" w:rsidR="0043287D" w:rsidRDefault="0043287D" w:rsidP="0043287D">
      <w:pPr>
        <w:spacing w:after="120" w:line="240" w:lineRule="auto"/>
        <w:rPr>
          <w:rFonts w:ascii="Garamond" w:hAnsi="Garamond"/>
          <w:sz w:val="24"/>
          <w:szCs w:val="24"/>
        </w:rPr>
      </w:pPr>
      <w:r w:rsidRPr="00A41116">
        <w:rPr>
          <w:rFonts w:ascii="Garamond" w:hAnsi="Garamond"/>
          <w:sz w:val="24"/>
          <w:szCs w:val="24"/>
        </w:rPr>
        <w:t xml:space="preserve">                —Virgil, Geo., iv. 238.]</w:t>
      </w:r>
    </w:p>
    <w:p w14:paraId="1FF0DE19"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This is a quote from Virgil’s roman epic The Aeneid, the quotation itself, it suggests that if a man or woman is to commit a horrific act, then it makes them vulnerable, much like the sting of a wasp, once it has stung, it cannot sting again, this thus leaves the wasp vulnerable to attack, which in the same way, when a human being commits a heinous act, they to become vulnerable due to the conscience that they carry with them, it acts in many ways that a literal wound would, much like when someone receives a literal wound, they begin to act differently, in the way they move, their body betrays them, in this way Montaigne argues that the mind/conscience betrays the self </w:t>
      </w:r>
    </w:p>
    <w:p w14:paraId="76852CA3" w14:textId="77777777" w:rsidR="0043287D" w:rsidRDefault="0043287D" w:rsidP="0043287D">
      <w:pPr>
        <w:spacing w:after="120" w:line="240" w:lineRule="auto"/>
        <w:rPr>
          <w:rFonts w:ascii="Garamond" w:hAnsi="Garamond"/>
          <w:sz w:val="24"/>
          <w:szCs w:val="24"/>
        </w:rPr>
      </w:pPr>
    </w:p>
    <w:p w14:paraId="6E0E54F6" w14:textId="77777777" w:rsidR="0043287D" w:rsidRPr="00C06FE0" w:rsidRDefault="0043287D" w:rsidP="0043287D">
      <w:pPr>
        <w:spacing w:after="120" w:line="240" w:lineRule="auto"/>
        <w:rPr>
          <w:rFonts w:ascii="Garamond" w:hAnsi="Garamond"/>
          <w:sz w:val="24"/>
          <w:szCs w:val="24"/>
        </w:rPr>
      </w:pPr>
      <w:r>
        <w:rPr>
          <w:rFonts w:ascii="Garamond" w:hAnsi="Garamond"/>
          <w:b/>
          <w:sz w:val="24"/>
          <w:szCs w:val="24"/>
        </w:rPr>
        <w:t>Quote 4</w:t>
      </w:r>
      <w:proofErr w:type="gramStart"/>
      <w:r>
        <w:rPr>
          <w:rFonts w:ascii="Garamond" w:hAnsi="Garamond"/>
          <w:b/>
          <w:sz w:val="24"/>
          <w:szCs w:val="24"/>
        </w:rPr>
        <w:t xml:space="preserve">: </w:t>
      </w:r>
      <w:r w:rsidRPr="00C06FE0">
        <w:rPr>
          <w:rFonts w:ascii="Garamond" w:hAnsi="Garamond"/>
          <w:b/>
          <w:sz w:val="24"/>
          <w:szCs w:val="24"/>
        </w:rPr>
        <w:t xml:space="preserve"> </w:t>
      </w:r>
      <w:r w:rsidRPr="00C06FE0">
        <w:rPr>
          <w:rFonts w:ascii="Garamond" w:hAnsi="Garamond"/>
          <w:sz w:val="24"/>
          <w:szCs w:val="24"/>
        </w:rPr>
        <w:t>“</w:t>
      </w:r>
      <w:proofErr w:type="gramEnd"/>
      <w:r w:rsidRPr="00C06FE0">
        <w:rPr>
          <w:rFonts w:ascii="Garamond" w:hAnsi="Garamond"/>
          <w:sz w:val="24"/>
          <w:szCs w:val="24"/>
        </w:rPr>
        <w:t>Conscia mens ut cuique sua est, ita concipit intra</w:t>
      </w:r>
    </w:p>
    <w:p w14:paraId="36DE4300" w14:textId="77777777" w:rsidR="0043287D" w:rsidRDefault="0043287D" w:rsidP="0043287D">
      <w:pPr>
        <w:spacing w:after="120" w:line="240" w:lineRule="auto"/>
        <w:rPr>
          <w:rFonts w:ascii="Garamond" w:hAnsi="Garamond"/>
          <w:sz w:val="24"/>
          <w:szCs w:val="24"/>
        </w:rPr>
      </w:pPr>
      <w:r w:rsidRPr="00C06FE0">
        <w:rPr>
          <w:rFonts w:ascii="Garamond" w:hAnsi="Garamond"/>
          <w:sz w:val="24"/>
          <w:szCs w:val="24"/>
        </w:rPr>
        <w:t xml:space="preserve">          Pectora pro facto spemque metumque suo.</w:t>
      </w:r>
    </w:p>
    <w:p w14:paraId="07BD248E" w14:textId="77777777" w:rsidR="0043287D" w:rsidRPr="00C06FE0" w:rsidRDefault="0043287D" w:rsidP="0043287D">
      <w:pPr>
        <w:spacing w:after="120" w:line="240" w:lineRule="auto"/>
        <w:rPr>
          <w:rFonts w:ascii="Garamond" w:hAnsi="Garamond"/>
          <w:sz w:val="24"/>
          <w:szCs w:val="24"/>
        </w:rPr>
      </w:pPr>
      <w:r w:rsidRPr="00C06FE0">
        <w:rPr>
          <w:rFonts w:ascii="Garamond" w:hAnsi="Garamond"/>
          <w:sz w:val="24"/>
          <w:szCs w:val="24"/>
        </w:rPr>
        <w:t xml:space="preserve">  [“As a man’s conscience is, so within hope or fear prevails, suiting</w:t>
      </w:r>
    </w:p>
    <w:p w14:paraId="7E300EFC" w14:textId="77777777" w:rsidR="0043287D" w:rsidRDefault="0043287D" w:rsidP="0043287D">
      <w:pPr>
        <w:spacing w:after="120" w:line="240" w:lineRule="auto"/>
        <w:rPr>
          <w:rFonts w:ascii="Garamond" w:hAnsi="Garamond"/>
          <w:sz w:val="24"/>
          <w:szCs w:val="24"/>
        </w:rPr>
      </w:pPr>
      <w:r w:rsidRPr="00C06FE0">
        <w:rPr>
          <w:rFonts w:ascii="Garamond" w:hAnsi="Garamond"/>
          <w:sz w:val="24"/>
          <w:szCs w:val="24"/>
        </w:rPr>
        <w:t xml:space="preserve">     to his design.”—Ovid, Fast., i. 485.]</w:t>
      </w:r>
    </w:p>
    <w:p w14:paraId="14BBCA9E"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This quote comes from yet another satiric poem from the “fast” and was written by Ovid who lived in Rome during the reign of emperor Augustus. The point of the quote is something which has been mentioned prior, the fact that if a man commits an atrocity, then their conscience shall </w:t>
      </w:r>
      <w:r>
        <w:rPr>
          <w:rFonts w:ascii="Garamond" w:hAnsi="Garamond"/>
          <w:sz w:val="24"/>
          <w:szCs w:val="24"/>
        </w:rPr>
        <w:lastRenderedPageBreak/>
        <w:t xml:space="preserve">guilt them into confession, this is further elaborated on with the example of Scipio and his refusal to confess or prove himself innocent due to him being innocent and having naught weigh on his conscience </w:t>
      </w:r>
    </w:p>
    <w:p w14:paraId="0358C6A0" w14:textId="77777777" w:rsidR="0043287D" w:rsidRPr="00AE07A2" w:rsidRDefault="0043287D" w:rsidP="0043287D">
      <w:pPr>
        <w:spacing w:after="120" w:line="240" w:lineRule="auto"/>
        <w:rPr>
          <w:rFonts w:ascii="Garamond" w:hAnsi="Garamond"/>
          <w:sz w:val="24"/>
          <w:szCs w:val="24"/>
        </w:rPr>
      </w:pPr>
      <w:r>
        <w:rPr>
          <w:rFonts w:ascii="Garamond" w:hAnsi="Garamond"/>
          <w:b/>
          <w:sz w:val="24"/>
          <w:szCs w:val="24"/>
        </w:rPr>
        <w:t xml:space="preserve">Quote 5: </w:t>
      </w:r>
      <w:r w:rsidRPr="00AE07A2">
        <w:rPr>
          <w:rFonts w:ascii="Garamond" w:hAnsi="Garamond"/>
          <w:sz w:val="24"/>
          <w:szCs w:val="24"/>
        </w:rPr>
        <w:t>“Etiam innocentes cogit mentiri dolor.”</w:t>
      </w:r>
    </w:p>
    <w:p w14:paraId="7FC89694" w14:textId="77777777" w:rsidR="0043287D" w:rsidRDefault="0043287D" w:rsidP="0043287D">
      <w:pPr>
        <w:spacing w:after="120" w:line="240" w:lineRule="auto"/>
        <w:rPr>
          <w:rFonts w:ascii="Garamond" w:hAnsi="Garamond"/>
          <w:sz w:val="24"/>
          <w:szCs w:val="24"/>
        </w:rPr>
      </w:pPr>
      <w:r w:rsidRPr="00AE07A2">
        <w:rPr>
          <w:rFonts w:ascii="Garamond" w:hAnsi="Garamond"/>
          <w:sz w:val="24"/>
          <w:szCs w:val="24"/>
        </w:rPr>
        <w:t>[“Pain will make even the innocent lie.”—Publius Syrus, De Dolore.]</w:t>
      </w:r>
    </w:p>
    <w:p w14:paraId="4D459D48"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The quote here is majorly an argument against torture and the methods used to extract “confessions” from people, it is saying that people will say anything to escape pain and it is elaborated on further when Montaigne points out that, if a man is strong enough to resist a false confession, that they are killed, it also points out that the only way to get a true confession is to allow the person to succumb to their own conscience </w:t>
      </w:r>
    </w:p>
    <w:p w14:paraId="02AFB431" w14:textId="77777777" w:rsidR="0043287D" w:rsidRDefault="0043287D" w:rsidP="0043287D">
      <w:pPr>
        <w:spacing w:after="120" w:line="240" w:lineRule="auto"/>
        <w:rPr>
          <w:rFonts w:ascii="Garamond" w:hAnsi="Garamond"/>
          <w:sz w:val="24"/>
          <w:szCs w:val="24"/>
          <w:u w:val="single"/>
        </w:rPr>
      </w:pPr>
      <w:r>
        <w:rPr>
          <w:rFonts w:ascii="Garamond" w:hAnsi="Garamond"/>
          <w:sz w:val="24"/>
          <w:szCs w:val="24"/>
        </w:rPr>
        <w:t xml:space="preserve">(iv) </w:t>
      </w:r>
      <w:r w:rsidRPr="0068463F">
        <w:rPr>
          <w:rFonts w:ascii="Garamond" w:hAnsi="Garamond"/>
          <w:sz w:val="24"/>
          <w:szCs w:val="24"/>
        </w:rPr>
        <w:tab/>
      </w:r>
      <w:r w:rsidRPr="0068463F">
        <w:rPr>
          <w:rFonts w:ascii="Garamond" w:hAnsi="Garamond"/>
          <w:sz w:val="24"/>
          <w:szCs w:val="24"/>
          <w:u w:val="single"/>
        </w:rPr>
        <w:t>What is general tone, style, rhythm of piece? Select and focus on a short passage to explore these factors in detail.</w:t>
      </w:r>
      <w:r>
        <w:rPr>
          <w:rFonts w:ascii="Garamond" w:hAnsi="Garamond"/>
          <w:sz w:val="24"/>
          <w:szCs w:val="24"/>
          <w:u w:val="single"/>
        </w:rPr>
        <w:t xml:space="preserve"> </w:t>
      </w:r>
    </w:p>
    <w:p w14:paraId="29A077E5"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The tone taken by Montaigne seems to be a sombre and reflective one, of course both elements are intertwined by the civil war as he reflects upon it and the effects of which it has on conscience, this is reflected in the following passage: </w:t>
      </w:r>
    </w:p>
    <w:p w14:paraId="0C245999" w14:textId="77777777" w:rsidR="0043287D" w:rsidRPr="00152283" w:rsidRDefault="0043287D" w:rsidP="0043287D">
      <w:pPr>
        <w:spacing w:after="120" w:line="240" w:lineRule="auto"/>
        <w:rPr>
          <w:rFonts w:ascii="Garamond" w:hAnsi="Garamond"/>
          <w:sz w:val="24"/>
          <w:szCs w:val="24"/>
        </w:rPr>
      </w:pPr>
      <w:r>
        <w:rPr>
          <w:rFonts w:ascii="Garamond" w:hAnsi="Garamond"/>
          <w:sz w:val="24"/>
          <w:szCs w:val="24"/>
        </w:rPr>
        <w:t>“</w:t>
      </w:r>
      <w:r w:rsidRPr="00152283">
        <w:rPr>
          <w:rFonts w:ascii="Garamond" w:hAnsi="Garamond"/>
          <w:sz w:val="24"/>
          <w:szCs w:val="24"/>
        </w:rPr>
        <w:t xml:space="preserve">The Sieur de la Brousse, my brother, and I, travelling one day together during the time of our civil wars [=Wars of Religion - Catholic v Protestant], met a gentleman of good sort. He was of the contrary party, though I did not know so much, for he pretended otherwise: and the mischief on’t is, that in this sort of war the cards are so shuffled, your enemy not being distinguished from yourself by any apparent mark either of language or habit, and being nourished under the same law, air, and manners, it is very hard to avoid disorder and confusion. This made me afraid myself of meeting any of our troops in a place where I was not known, that I might not be in fear to tell my name, and peradventure of something worse; as it had befallen me before, where, by such a mistake, I lost both men and horses, and amongst others an Italian gentleman my page, whom I bred with the greatest care and affection, was miserably slain, in whom a youth of great promise and expectation was extinguished. But the gentleman my brother and I met had so desperate, half-dead a fear upon him at meeting with any horse, or passing by any of the towns that held for the King, that I at last discovered it to be alarms of conscience. It seemed to the poor man as if through his visor and the crosses upon his cassock, one would have </w:t>
      </w:r>
      <w:proofErr w:type="gramStart"/>
      <w:r w:rsidRPr="00152283">
        <w:rPr>
          <w:rFonts w:ascii="Garamond" w:hAnsi="Garamond"/>
          <w:sz w:val="24"/>
          <w:szCs w:val="24"/>
        </w:rPr>
        <w:t>penetrated into</w:t>
      </w:r>
      <w:proofErr w:type="gramEnd"/>
      <w:r w:rsidRPr="00152283">
        <w:rPr>
          <w:rFonts w:ascii="Garamond" w:hAnsi="Garamond"/>
          <w:sz w:val="24"/>
          <w:szCs w:val="24"/>
        </w:rPr>
        <w:t xml:space="preserve"> his bosom and read the most secret intentions of his heart; so wonderful is the power of conscience. It makes us betray, accuse, and fight against ourselves, and for want of other witnesses, to give evidence against ourselves:</w:t>
      </w:r>
    </w:p>
    <w:p w14:paraId="698DFF0C" w14:textId="77777777" w:rsidR="0043287D" w:rsidRDefault="0043287D" w:rsidP="0043287D">
      <w:pPr>
        <w:spacing w:after="120" w:line="240" w:lineRule="auto"/>
        <w:rPr>
          <w:rFonts w:ascii="Garamond" w:hAnsi="Garamond"/>
          <w:sz w:val="24"/>
          <w:szCs w:val="24"/>
        </w:rPr>
      </w:pPr>
      <w:r w:rsidRPr="00152283">
        <w:rPr>
          <w:rFonts w:ascii="Garamond" w:hAnsi="Garamond"/>
          <w:sz w:val="24"/>
          <w:szCs w:val="24"/>
        </w:rPr>
        <w:t xml:space="preserve">  “Occultum quatiens animo tortore flagellum.”</w:t>
      </w:r>
    </w:p>
    <w:p w14:paraId="077E5F9B" w14:textId="77777777" w:rsidR="0043287D" w:rsidRDefault="0043287D" w:rsidP="0043287D">
      <w:pPr>
        <w:spacing w:after="120" w:line="240" w:lineRule="auto"/>
        <w:rPr>
          <w:rFonts w:ascii="Garamond" w:hAnsi="Garamond"/>
          <w:sz w:val="24"/>
          <w:szCs w:val="24"/>
        </w:rPr>
      </w:pPr>
      <w:r w:rsidRPr="00152283">
        <w:rPr>
          <w:rFonts w:ascii="Garamond" w:hAnsi="Garamond"/>
          <w:sz w:val="24"/>
          <w:szCs w:val="24"/>
        </w:rPr>
        <w:t xml:space="preserve"> [“The torturer of the soul brandishing a sharp scourge within.”</w:t>
      </w:r>
    </w:p>
    <w:p w14:paraId="16267489" w14:textId="77777777" w:rsidR="0043287D" w:rsidRPr="00A41116" w:rsidRDefault="0043287D" w:rsidP="0043287D">
      <w:pPr>
        <w:spacing w:after="120" w:line="240" w:lineRule="auto"/>
        <w:rPr>
          <w:rFonts w:ascii="Garamond" w:hAnsi="Garamond"/>
          <w:sz w:val="24"/>
          <w:szCs w:val="24"/>
        </w:rPr>
      </w:pPr>
      <w:r w:rsidRPr="00152283">
        <w:rPr>
          <w:rFonts w:ascii="Garamond" w:hAnsi="Garamond"/>
          <w:sz w:val="24"/>
          <w:szCs w:val="24"/>
        </w:rPr>
        <w:t>—Juvenal, iii. 195.]</w:t>
      </w:r>
    </w:p>
    <w:p w14:paraId="5C515A39"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This exemplifies the focus on conscience, war and the ramifications of civil war, the fact that brother cannot trust one another, the confusion between friend and enemy is also highlighted here, as Montaigne talks of him getting his men killed as they were confused to be the enemy. The self-reflection comes in for the civil war, as Montaigne seems to look inward at the mistakes and the truth of the civil war which created confusion within conscience, and this self-reflection helps him come to grim realisations, such as the fact that people acting in certain manors or hiding their conscience is not always a sign of ill spirit, but of fear and a lack of trust between the people thanks to the civil war, which is where the grim and sombre tone pours out, with stories of a shattered homeland. </w:t>
      </w:r>
    </w:p>
    <w:p w14:paraId="37FF2E39"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2. </w:t>
      </w:r>
    </w:p>
    <w:p w14:paraId="539D21AA" w14:textId="77777777" w:rsidR="0043287D" w:rsidRPr="001B4B6C" w:rsidRDefault="0043287D" w:rsidP="0043287D">
      <w:pPr>
        <w:spacing w:after="120" w:line="240" w:lineRule="auto"/>
        <w:rPr>
          <w:rFonts w:ascii="Garamond" w:hAnsi="Garamond"/>
          <w:sz w:val="24"/>
          <w:szCs w:val="24"/>
          <w:u w:val="single"/>
        </w:rPr>
      </w:pPr>
      <w:r w:rsidRPr="00986010">
        <w:rPr>
          <w:rFonts w:ascii="Garamond" w:hAnsi="Garamond"/>
          <w:sz w:val="24"/>
          <w:szCs w:val="24"/>
        </w:rPr>
        <w:t>(i)</w:t>
      </w:r>
      <w:r>
        <w:rPr>
          <w:rFonts w:ascii="Garamond" w:hAnsi="Garamond"/>
          <w:sz w:val="24"/>
          <w:szCs w:val="24"/>
        </w:rPr>
        <w:t xml:space="preserve"> </w:t>
      </w:r>
      <w:r>
        <w:rPr>
          <w:rFonts w:ascii="Garamond" w:hAnsi="Garamond"/>
          <w:sz w:val="24"/>
          <w:szCs w:val="24"/>
          <w:u w:val="single"/>
        </w:rPr>
        <w:t>What are the characteristics of this kind of writing?</w:t>
      </w:r>
    </w:p>
    <w:p w14:paraId="4E21523F" w14:textId="77777777" w:rsidR="0043287D" w:rsidRDefault="0043287D" w:rsidP="0043287D">
      <w:pPr>
        <w:spacing w:after="120" w:line="240" w:lineRule="auto"/>
        <w:rPr>
          <w:rFonts w:ascii="Garamond" w:hAnsi="Garamond"/>
          <w:sz w:val="24"/>
          <w:szCs w:val="24"/>
        </w:rPr>
      </w:pPr>
      <w:r w:rsidRPr="00986010">
        <w:rPr>
          <w:rFonts w:ascii="Garamond" w:hAnsi="Garamond"/>
          <w:sz w:val="24"/>
          <w:szCs w:val="24"/>
        </w:rPr>
        <w:lastRenderedPageBreak/>
        <w:t xml:space="preserve"> Each point made is split into a separate</w:t>
      </w:r>
      <w:r>
        <w:rPr>
          <w:rFonts w:ascii="Garamond" w:hAnsi="Garamond"/>
          <w:sz w:val="24"/>
          <w:szCs w:val="24"/>
        </w:rPr>
        <w:t xml:space="preserve"> paragraph, making the argument flow easier, it helps to break the argument that is being developed into small pieces. The writing is clear, concise and uses relevant predecessors to back up points and draw contrasts to the times, the wording is clear, it is not overly complicated in attempts to come off as more analytical or intellectual than it is</w:t>
      </w:r>
    </w:p>
    <w:p w14:paraId="6F5D0C68" w14:textId="77777777" w:rsidR="0043287D" w:rsidRPr="00986010" w:rsidRDefault="0043287D" w:rsidP="0043287D">
      <w:pPr>
        <w:spacing w:after="120" w:line="240" w:lineRule="auto"/>
        <w:rPr>
          <w:rFonts w:ascii="Garamond" w:hAnsi="Garamond"/>
          <w:sz w:val="24"/>
          <w:szCs w:val="24"/>
        </w:rPr>
      </w:pPr>
      <w:r>
        <w:rPr>
          <w:rFonts w:ascii="Garamond" w:hAnsi="Garamond"/>
          <w:sz w:val="24"/>
          <w:szCs w:val="24"/>
        </w:rPr>
        <w:t xml:space="preserve">(ii) </w:t>
      </w:r>
      <w:r w:rsidRPr="008B13FE">
        <w:rPr>
          <w:rFonts w:ascii="Garamond" w:hAnsi="Garamond"/>
          <w:sz w:val="24"/>
          <w:szCs w:val="24"/>
          <w:u w:val="single"/>
        </w:rPr>
        <w:t>Why do you think it is written in this way?</w:t>
      </w:r>
    </w:p>
    <w:p w14:paraId="5FB1E399"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  It was written this way to make sure that the argument is easy to understand, if the language used is too complex, or the argument is not set out correctly, then there is too much room for mis-interpretations, something which would obviously not be wanted when trying to make a logical, tight, and concise argument </w:t>
      </w:r>
    </w:p>
    <w:p w14:paraId="46753B20" w14:textId="77777777" w:rsidR="0043287D" w:rsidRDefault="0043287D" w:rsidP="0043287D">
      <w:pPr>
        <w:spacing w:after="120" w:line="240" w:lineRule="auto"/>
        <w:rPr>
          <w:rFonts w:ascii="Garamond" w:hAnsi="Garamond"/>
          <w:sz w:val="24"/>
          <w:szCs w:val="24"/>
          <w:u w:val="single"/>
        </w:rPr>
      </w:pPr>
      <w:r>
        <w:rPr>
          <w:rFonts w:ascii="Garamond" w:hAnsi="Garamond"/>
          <w:sz w:val="24"/>
          <w:szCs w:val="24"/>
        </w:rPr>
        <w:t xml:space="preserve">(iii) </w:t>
      </w:r>
      <w:r>
        <w:rPr>
          <w:rFonts w:ascii="Garamond" w:hAnsi="Garamond"/>
          <w:sz w:val="24"/>
          <w:szCs w:val="24"/>
          <w:u w:val="single"/>
        </w:rPr>
        <w:t xml:space="preserve">Who is it written for? </w:t>
      </w:r>
    </w:p>
    <w:p w14:paraId="1A6A0C99"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Seems like it would have been written for the educated, as at that point in time most of the general population were not entitled to an education, despite the discernible language, many people would not have had the education to understand this, so it would likely have been used in schools for those who could afford to go during the times </w:t>
      </w:r>
    </w:p>
    <w:p w14:paraId="7172187B"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3 </w:t>
      </w:r>
    </w:p>
    <w:p w14:paraId="41220ACA" w14:textId="77777777" w:rsidR="0043287D" w:rsidRDefault="0043287D" w:rsidP="0043287D">
      <w:pPr>
        <w:spacing w:after="120" w:line="240" w:lineRule="auto"/>
        <w:rPr>
          <w:rFonts w:ascii="Garamond" w:hAnsi="Garamond"/>
          <w:sz w:val="24"/>
          <w:szCs w:val="24"/>
        </w:rPr>
      </w:pPr>
      <w:r>
        <w:rPr>
          <w:rFonts w:ascii="Garamond" w:hAnsi="Garamond"/>
          <w:sz w:val="24"/>
          <w:szCs w:val="24"/>
        </w:rPr>
        <w:t xml:space="preserve">© </w:t>
      </w:r>
      <w:r w:rsidRPr="00FE0F80">
        <w:rPr>
          <w:rFonts w:ascii="Garamond" w:hAnsi="Garamond"/>
          <w:sz w:val="24"/>
          <w:szCs w:val="24"/>
          <w:u w:val="single"/>
        </w:rPr>
        <w:t>Consider the discussion of torture: what does Montaigne think about the practice?</w:t>
      </w:r>
    </w:p>
    <w:p w14:paraId="5204B4A2" w14:textId="77777777" w:rsidR="0043287D" w:rsidRPr="00EE0122" w:rsidRDefault="0043287D" w:rsidP="0043287D">
      <w:pPr>
        <w:spacing w:after="120" w:line="240" w:lineRule="auto"/>
        <w:rPr>
          <w:rFonts w:ascii="Garamond" w:hAnsi="Garamond"/>
          <w:sz w:val="24"/>
          <w:szCs w:val="24"/>
        </w:rPr>
      </w:pPr>
      <w:r>
        <w:rPr>
          <w:rFonts w:ascii="Garamond" w:hAnsi="Garamond"/>
          <w:sz w:val="24"/>
          <w:szCs w:val="24"/>
        </w:rPr>
        <w:t>It is presented clearly within the text that Montaigne believes the practice to be barbaric, he seems to believe that it undermines the idea of conscience, it, he claims, makes innocents lay claim to crimes that they have not committed, it also, he argues, leads to the death of innocents if they do not confess. He claims that anyone whom is tortured will usually confess regardless of guilt just so that they can escape the pain of torture, he also contrasts this with Scipio, whom was, in his eyes, clearly innocent as he did not give into conscience as he had nothing to feel guilty about. Montaigne also argues that the idea of putting someone to the rack is dangerous as it is more of a test of endurance as opposed to truth, and one which often (as mentioned previously) leads to the death of the innocent party</w:t>
      </w:r>
    </w:p>
    <w:p w14:paraId="50DDE184" w14:textId="77777777" w:rsidR="00F30225" w:rsidRPr="00F30225" w:rsidRDefault="00F30225" w:rsidP="00F30225">
      <w:pPr>
        <w:spacing w:after="0" w:line="240" w:lineRule="auto"/>
        <w:jc w:val="center"/>
        <w:rPr>
          <w:rFonts w:ascii="Garamond" w:eastAsia="Times New Roman" w:hAnsi="Garamond" w:cs="Times New Roman"/>
          <w:sz w:val="20"/>
          <w:szCs w:val="20"/>
          <w:u w:val="single"/>
          <w:lang w:eastAsia="en-GB"/>
        </w:rPr>
      </w:pPr>
      <w:r w:rsidRPr="00F30225">
        <w:rPr>
          <w:rFonts w:ascii="Garamond" w:eastAsia="Times New Roman" w:hAnsi="Garamond" w:cs="Times New Roman"/>
          <w:u w:val="single"/>
          <w:lang w:eastAsia="en-GB"/>
        </w:rPr>
        <w:t xml:space="preserve">Note Taking: The Female Poet </w:t>
      </w:r>
      <w:proofErr w:type="gramStart"/>
      <w:r w:rsidRPr="00F30225">
        <w:rPr>
          <w:rFonts w:ascii="Garamond" w:eastAsia="Times New Roman" w:hAnsi="Garamond" w:cs="Times New Roman"/>
          <w:u w:val="single"/>
          <w:lang w:eastAsia="en-GB"/>
        </w:rPr>
        <w:t>And</w:t>
      </w:r>
      <w:proofErr w:type="gramEnd"/>
      <w:r w:rsidRPr="00F30225">
        <w:rPr>
          <w:rFonts w:ascii="Garamond" w:eastAsia="Times New Roman" w:hAnsi="Garamond" w:cs="Times New Roman"/>
          <w:u w:val="single"/>
          <w:lang w:eastAsia="en-GB"/>
        </w:rPr>
        <w:t xml:space="preserve"> Poetess (Adam Johnson) </w:t>
      </w:r>
    </w:p>
    <w:p w14:paraId="6B2164B6" w14:textId="77777777" w:rsidR="00F30225" w:rsidRPr="00F30225" w:rsidRDefault="00F30225" w:rsidP="00F30225">
      <w:pPr>
        <w:spacing w:after="0" w:line="240" w:lineRule="auto"/>
        <w:rPr>
          <w:rFonts w:ascii="Garamond" w:eastAsia="Times New Roman" w:hAnsi="Garamond" w:cs="Times New Roman"/>
          <w:sz w:val="20"/>
          <w:szCs w:val="20"/>
          <w:lang w:eastAsia="en-GB"/>
        </w:rPr>
      </w:pPr>
    </w:p>
    <w:p w14:paraId="7B217933" w14:textId="77777777" w:rsidR="00F30225" w:rsidRPr="00F30225" w:rsidRDefault="00F30225" w:rsidP="00F30225">
      <w:pPr>
        <w:spacing w:after="0" w:line="240" w:lineRule="auto"/>
        <w:rPr>
          <w:rFonts w:ascii="Garamond" w:eastAsia="Times New Roman" w:hAnsi="Garamond" w:cs="Times New Roman"/>
          <w:sz w:val="18"/>
          <w:szCs w:val="18"/>
          <w:lang w:eastAsia="en-GB"/>
        </w:rPr>
      </w:pPr>
    </w:p>
    <w:tbl>
      <w:tblPr>
        <w:tblW w:w="89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75"/>
        <w:gridCol w:w="7872"/>
      </w:tblGrid>
      <w:tr w:rsidR="00F30225" w:rsidRPr="00F30225" w14:paraId="514B1042" w14:textId="77777777" w:rsidTr="00E9220B">
        <w:tc>
          <w:tcPr>
            <w:tcW w:w="0" w:type="auto"/>
          </w:tcPr>
          <w:p w14:paraId="4E3386B3" w14:textId="77777777" w:rsidR="00F30225" w:rsidRPr="00F30225" w:rsidRDefault="00F30225" w:rsidP="00F30225">
            <w:pPr>
              <w:spacing w:after="0" w:line="240" w:lineRule="auto"/>
              <w:rPr>
                <w:rFonts w:ascii="Garamond" w:eastAsia="Times New Roman" w:hAnsi="Garamond" w:cs="Times New Roman"/>
                <w:b/>
                <w:sz w:val="18"/>
                <w:szCs w:val="18"/>
                <w:lang w:eastAsia="en-GB"/>
              </w:rPr>
            </w:pPr>
            <w:r w:rsidRPr="00F30225">
              <w:rPr>
                <w:rFonts w:ascii="Garamond" w:eastAsia="Times New Roman" w:hAnsi="Garamond" w:cs="Times New Roman"/>
                <w:b/>
                <w:sz w:val="18"/>
                <w:szCs w:val="18"/>
                <w:lang w:eastAsia="en-GB"/>
              </w:rPr>
              <w:t>Essay/ article in</w:t>
            </w:r>
          </w:p>
          <w:p w14:paraId="29C34D88" w14:textId="77777777" w:rsidR="00F30225" w:rsidRPr="00F30225" w:rsidRDefault="00F30225" w:rsidP="00F30225">
            <w:pPr>
              <w:spacing w:after="0" w:line="240" w:lineRule="auto"/>
              <w:rPr>
                <w:rFonts w:ascii="Garamond" w:eastAsia="Times New Roman" w:hAnsi="Garamond" w:cs="Times New Roman"/>
                <w:b/>
                <w:sz w:val="18"/>
                <w:szCs w:val="18"/>
                <w:lang w:eastAsia="en-GB"/>
              </w:rPr>
            </w:pPr>
            <w:r w:rsidRPr="00F30225">
              <w:rPr>
                <w:rFonts w:ascii="Garamond" w:eastAsia="Times New Roman" w:hAnsi="Garamond" w:cs="Times New Roman"/>
                <w:b/>
                <w:sz w:val="18"/>
                <w:szCs w:val="18"/>
                <w:lang w:eastAsia="en-GB"/>
              </w:rPr>
              <w:t>journal</w:t>
            </w:r>
          </w:p>
          <w:p w14:paraId="44821F57" w14:textId="77777777" w:rsidR="00F30225" w:rsidRPr="00F30225" w:rsidRDefault="00F30225" w:rsidP="00F30225">
            <w:pPr>
              <w:spacing w:after="0" w:line="240" w:lineRule="auto"/>
              <w:rPr>
                <w:rFonts w:ascii="Garamond" w:eastAsia="Times New Roman" w:hAnsi="Garamond" w:cs="Times New Roman"/>
                <w:sz w:val="18"/>
                <w:szCs w:val="18"/>
                <w:lang w:eastAsia="en-GB"/>
              </w:rPr>
            </w:pPr>
          </w:p>
        </w:tc>
        <w:tc>
          <w:tcPr>
            <w:tcW w:w="0" w:type="auto"/>
          </w:tcPr>
          <w:p w14:paraId="4EF92AA4" w14:textId="77777777" w:rsidR="00F30225" w:rsidRPr="00F30225" w:rsidRDefault="00F30225" w:rsidP="00F30225">
            <w:pPr>
              <w:jc w:val="center"/>
              <w:rPr>
                <w:rFonts w:ascii="Garamond" w:eastAsia="Times New Roman" w:hAnsi="Garamond" w:cs="Times New Roman"/>
                <w:sz w:val="24"/>
                <w:szCs w:val="20"/>
                <w:lang w:eastAsia="en-GB"/>
              </w:rPr>
            </w:pPr>
            <w:r w:rsidRPr="00F30225">
              <w:rPr>
                <w:rFonts w:ascii="Garamond" w:eastAsia="Times New Roman" w:hAnsi="Garamond" w:cs="Times New Roman"/>
                <w:sz w:val="24"/>
                <w:szCs w:val="20"/>
                <w:lang w:eastAsia="en-GB"/>
              </w:rPr>
              <w:t xml:space="preserve">Mellor. Anne K., ‘The Female Poet and the Poetess: Two Traditions of British Women's Poetry, 1780-1830’, </w:t>
            </w:r>
            <w:r w:rsidRPr="00F30225">
              <w:rPr>
                <w:rFonts w:ascii="Garamond" w:eastAsia="Times New Roman" w:hAnsi="Garamond" w:cs="Times New Roman"/>
                <w:i/>
                <w:sz w:val="24"/>
                <w:szCs w:val="20"/>
                <w:lang w:eastAsia="en-GB"/>
              </w:rPr>
              <w:t>Studies in Romanticism</w:t>
            </w:r>
            <w:r w:rsidRPr="00F30225">
              <w:rPr>
                <w:rFonts w:ascii="Garamond" w:eastAsia="Times New Roman" w:hAnsi="Garamond" w:cs="Times New Roman"/>
                <w:sz w:val="24"/>
                <w:szCs w:val="20"/>
                <w:lang w:eastAsia="en-GB"/>
              </w:rPr>
              <w:t xml:space="preserve"> Vol. 36, No. 2 (Summer, 1997), pp. 261-276</w:t>
            </w:r>
          </w:p>
          <w:p w14:paraId="47E5ADD8" w14:textId="77777777" w:rsidR="00F30225" w:rsidRPr="00F30225" w:rsidRDefault="00F30225" w:rsidP="00F30225">
            <w:pPr>
              <w:spacing w:after="0" w:line="240" w:lineRule="auto"/>
              <w:rPr>
                <w:rFonts w:ascii="Garamond" w:eastAsia="Times New Roman" w:hAnsi="Garamond" w:cs="Times New Roman"/>
                <w:sz w:val="18"/>
                <w:szCs w:val="18"/>
                <w:lang w:eastAsia="en-GB"/>
              </w:rPr>
            </w:pPr>
          </w:p>
        </w:tc>
      </w:tr>
    </w:tbl>
    <w:p w14:paraId="47BB972E" w14:textId="77777777" w:rsidR="00F30225" w:rsidRPr="00F30225" w:rsidRDefault="00F30225" w:rsidP="00F30225">
      <w:pPr>
        <w:spacing w:after="0" w:line="240" w:lineRule="auto"/>
        <w:rPr>
          <w:rFonts w:ascii="Garamond" w:eastAsia="Times New Roman" w:hAnsi="Garamond" w:cs="Times New Roman"/>
          <w:sz w:val="20"/>
          <w:szCs w:val="20"/>
          <w:lang w:eastAsia="en-GB"/>
        </w:rPr>
      </w:pPr>
    </w:p>
    <w:p w14:paraId="02A3AC70" w14:textId="77777777" w:rsidR="00F30225" w:rsidRPr="00F30225" w:rsidRDefault="00F30225" w:rsidP="00F30225">
      <w:pPr>
        <w:spacing w:after="0" w:line="240" w:lineRule="auto"/>
        <w:rPr>
          <w:rFonts w:ascii="Garamond" w:eastAsia="Times New Roman" w:hAnsi="Garamond" w:cs="Times New Roman"/>
          <w:sz w:val="20"/>
          <w:szCs w:val="20"/>
          <w:lang w:eastAsia="en-GB"/>
        </w:rPr>
      </w:pPr>
    </w:p>
    <w:p w14:paraId="5C1AE74E" w14:textId="77777777" w:rsidR="00F30225" w:rsidRPr="00F30225" w:rsidRDefault="00F30225" w:rsidP="00F30225">
      <w:pPr>
        <w:autoSpaceDE w:val="0"/>
        <w:autoSpaceDN w:val="0"/>
        <w:adjustRightInd w:val="0"/>
        <w:spacing w:after="0" w:line="240" w:lineRule="auto"/>
        <w:rPr>
          <w:rFonts w:ascii="Code" w:eastAsia="Times New Roman" w:hAnsi="Code" w:cs="Code"/>
          <w:color w:val="000000"/>
          <w:sz w:val="24"/>
          <w:szCs w:val="24"/>
          <w:lang w:eastAsia="en-GB"/>
        </w:rPr>
      </w:pPr>
    </w:p>
    <w:p w14:paraId="0F287209" w14:textId="77777777" w:rsidR="00F30225" w:rsidRPr="00F30225" w:rsidRDefault="00F30225" w:rsidP="00F30225">
      <w:pPr>
        <w:spacing w:after="0" w:line="240" w:lineRule="auto"/>
        <w:rPr>
          <w:rFonts w:ascii="Garamond" w:eastAsia="Times New Roman" w:hAnsi="Garamond" w:cs="Times New Roman"/>
          <w:i/>
          <w:sz w:val="24"/>
          <w:szCs w:val="24"/>
          <w:lang w:eastAsia="en-GB"/>
        </w:rPr>
      </w:pPr>
      <w:r w:rsidRPr="00F30225">
        <w:rPr>
          <w:rFonts w:ascii="Garamond" w:eastAsia="Times New Roman" w:hAnsi="Garamond" w:cs="Times New Roman"/>
          <w:sz w:val="24"/>
          <w:szCs w:val="24"/>
          <w:lang w:eastAsia="en-GB"/>
        </w:rPr>
        <w:t xml:space="preserve">NOTES </w:t>
      </w:r>
    </w:p>
    <w:p w14:paraId="1DAB6D75" w14:textId="77777777" w:rsidR="00F30225" w:rsidRPr="00F30225" w:rsidRDefault="00F30225" w:rsidP="00F30225">
      <w:pPr>
        <w:spacing w:after="0" w:line="240" w:lineRule="auto"/>
        <w:rPr>
          <w:rFonts w:ascii="Garamond" w:eastAsia="Times New Roman" w:hAnsi="Garamond" w:cs="Times New Roman"/>
          <w:sz w:val="24"/>
          <w:szCs w:val="24"/>
          <w:lang w:eastAsia="en-GB"/>
        </w:rPr>
      </w:pPr>
    </w:p>
    <w:tbl>
      <w:tblPr>
        <w:tblW w:w="89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8"/>
        <w:gridCol w:w="2991"/>
        <w:gridCol w:w="2308"/>
        <w:gridCol w:w="3187"/>
      </w:tblGrid>
      <w:tr w:rsidR="00F30225" w:rsidRPr="00F30225" w14:paraId="6396BF6E" w14:textId="77777777" w:rsidTr="00E9220B">
        <w:tc>
          <w:tcPr>
            <w:tcW w:w="354" w:type="dxa"/>
          </w:tcPr>
          <w:p w14:paraId="5492DF18" w14:textId="77777777" w:rsidR="00F30225" w:rsidRPr="00F30225" w:rsidRDefault="00F30225" w:rsidP="00F30225">
            <w:pPr>
              <w:spacing w:after="0" w:line="240" w:lineRule="auto"/>
              <w:rPr>
                <w:rFonts w:ascii="Garamond" w:eastAsia="Times New Roman" w:hAnsi="Garamond" w:cs="Times New Roman"/>
                <w:i/>
                <w:lang w:eastAsia="en-GB"/>
              </w:rPr>
            </w:pPr>
            <w:r w:rsidRPr="00F30225">
              <w:rPr>
                <w:rFonts w:ascii="Garamond" w:eastAsia="Times New Roman" w:hAnsi="Garamond" w:cs="Times New Roman"/>
                <w:i/>
                <w:lang w:eastAsia="en-GB"/>
              </w:rPr>
              <w:t xml:space="preserve">p. </w:t>
            </w:r>
          </w:p>
        </w:tc>
        <w:tc>
          <w:tcPr>
            <w:tcW w:w="3050" w:type="dxa"/>
          </w:tcPr>
          <w:p w14:paraId="21858166" w14:textId="77777777" w:rsidR="00F30225" w:rsidRPr="00F30225" w:rsidRDefault="00F30225" w:rsidP="00F30225">
            <w:pPr>
              <w:spacing w:after="0" w:line="240" w:lineRule="auto"/>
              <w:rPr>
                <w:rFonts w:ascii="Garamond" w:eastAsia="Times New Roman" w:hAnsi="Garamond" w:cs="Times New Roman"/>
                <w:i/>
                <w:lang w:eastAsia="en-GB"/>
              </w:rPr>
            </w:pPr>
            <w:r w:rsidRPr="00F30225">
              <w:rPr>
                <w:rFonts w:ascii="Garamond" w:eastAsia="Times New Roman" w:hAnsi="Garamond" w:cs="Times New Roman"/>
                <w:i/>
                <w:lang w:eastAsia="en-GB"/>
              </w:rPr>
              <w:t>Key passages</w:t>
            </w:r>
          </w:p>
        </w:tc>
        <w:tc>
          <w:tcPr>
            <w:tcW w:w="2340" w:type="dxa"/>
          </w:tcPr>
          <w:p w14:paraId="19C1EC31" w14:textId="77777777" w:rsidR="00F30225" w:rsidRPr="00F30225" w:rsidRDefault="00F30225" w:rsidP="00F30225">
            <w:pPr>
              <w:spacing w:after="0" w:line="240" w:lineRule="auto"/>
              <w:jc w:val="center"/>
              <w:rPr>
                <w:rFonts w:ascii="Garamond" w:eastAsia="Times New Roman" w:hAnsi="Garamond" w:cs="Times New Roman"/>
                <w:i/>
                <w:lang w:eastAsia="en-GB"/>
              </w:rPr>
            </w:pPr>
            <w:r w:rsidRPr="00F30225">
              <w:rPr>
                <w:rFonts w:ascii="Garamond" w:eastAsia="Times New Roman" w:hAnsi="Garamond" w:cs="Times New Roman"/>
                <w:i/>
                <w:lang w:eastAsia="en-GB"/>
              </w:rPr>
              <w:t>Key quotations (</w:t>
            </w:r>
            <w:r w:rsidRPr="00F30225">
              <w:rPr>
                <w:rFonts w:ascii="Garamond" w:eastAsia="Times New Roman" w:hAnsi="Garamond" w:cs="Times New Roman"/>
                <w:b/>
                <w:i/>
                <w:lang w:eastAsia="en-GB"/>
              </w:rPr>
              <w:t>Rhetoric</w:t>
            </w:r>
            <w:r w:rsidRPr="00F30225">
              <w:rPr>
                <w:rFonts w:ascii="Garamond" w:eastAsia="Times New Roman" w:hAnsi="Garamond" w:cs="Times New Roman"/>
                <w:i/>
                <w:lang w:eastAsia="en-GB"/>
              </w:rPr>
              <w:t>)</w:t>
            </w:r>
          </w:p>
        </w:tc>
        <w:tc>
          <w:tcPr>
            <w:tcW w:w="3240" w:type="dxa"/>
          </w:tcPr>
          <w:p w14:paraId="3F8EC7E0" w14:textId="77777777" w:rsidR="00F30225" w:rsidRPr="00F30225" w:rsidRDefault="00F30225" w:rsidP="00F30225">
            <w:pPr>
              <w:spacing w:after="0" w:line="240" w:lineRule="auto"/>
              <w:jc w:val="center"/>
              <w:rPr>
                <w:rFonts w:ascii="Garamond" w:eastAsia="Times New Roman" w:hAnsi="Garamond" w:cs="Times New Roman"/>
                <w:i/>
                <w:lang w:eastAsia="en-GB"/>
              </w:rPr>
            </w:pPr>
            <w:r w:rsidRPr="00F30225">
              <w:rPr>
                <w:rFonts w:ascii="Garamond" w:eastAsia="Times New Roman" w:hAnsi="Garamond" w:cs="Times New Roman"/>
                <w:i/>
                <w:lang w:eastAsia="en-GB"/>
              </w:rPr>
              <w:t xml:space="preserve">RELEVANCE TO QUESTION </w:t>
            </w:r>
          </w:p>
        </w:tc>
      </w:tr>
      <w:tr w:rsidR="00F30225" w:rsidRPr="00F30225" w14:paraId="422113E1" w14:textId="77777777" w:rsidTr="00E9220B">
        <w:tc>
          <w:tcPr>
            <w:tcW w:w="354" w:type="dxa"/>
          </w:tcPr>
          <w:p w14:paraId="293ABDBF" w14:textId="77777777" w:rsidR="00F30225" w:rsidRPr="00F30225" w:rsidRDefault="00F30225" w:rsidP="00F30225">
            <w:pPr>
              <w:spacing w:after="0" w:line="240" w:lineRule="auto"/>
              <w:rPr>
                <w:rFonts w:ascii="Garamond" w:eastAsia="Times New Roman" w:hAnsi="Garamond" w:cs="Times New Roman"/>
                <w:sz w:val="20"/>
                <w:szCs w:val="20"/>
                <w:lang w:eastAsia="en-GB"/>
              </w:rPr>
            </w:pPr>
            <w:r w:rsidRPr="00F30225">
              <w:rPr>
                <w:rFonts w:ascii="Garamond" w:eastAsia="Times New Roman" w:hAnsi="Garamond" w:cs="Times New Roman"/>
                <w:sz w:val="20"/>
                <w:szCs w:val="20"/>
                <w:lang w:eastAsia="en-GB"/>
              </w:rPr>
              <w:t>265</w:t>
            </w:r>
          </w:p>
        </w:tc>
        <w:tc>
          <w:tcPr>
            <w:tcW w:w="3050" w:type="dxa"/>
          </w:tcPr>
          <w:p w14:paraId="4D8E199C" w14:textId="77777777" w:rsidR="00F30225" w:rsidRPr="00F30225" w:rsidRDefault="00F30225" w:rsidP="00F30225">
            <w:pPr>
              <w:spacing w:after="0" w:line="240" w:lineRule="auto"/>
              <w:rPr>
                <w:rFonts w:ascii="Garamond" w:eastAsia="Times New Roman" w:hAnsi="Garamond" w:cs="Times New Roman"/>
                <w:sz w:val="20"/>
                <w:szCs w:val="20"/>
                <w:lang w:val="en-US" w:eastAsia="en-GB"/>
              </w:rPr>
            </w:pPr>
            <w:r w:rsidRPr="00F30225">
              <w:rPr>
                <w:rFonts w:ascii="Garamond" w:eastAsia="Times New Roman" w:hAnsi="Garamond" w:cs="Times New Roman"/>
                <w:sz w:val="20"/>
                <w:szCs w:val="20"/>
                <w:lang w:val="en-US" w:eastAsia="en-GB"/>
              </w:rPr>
              <w:t xml:space="preserve">By equating virtue with moral rectitude, a refusal to compromise, the willingness to suffer for one’s beliefs, personal self-sacrifice and compassion for others, above all spiritual liberty and peaceful co-existence, the female poet aligned herself with Christ and his martyrs, with those who had an obligation to speak out for the greater good, </w:t>
            </w:r>
            <w:r w:rsidRPr="00F30225">
              <w:rPr>
                <w:rFonts w:ascii="Garamond" w:eastAsia="Times New Roman" w:hAnsi="Garamond" w:cs="Times New Roman"/>
                <w:sz w:val="20"/>
                <w:szCs w:val="20"/>
                <w:lang w:val="en-US" w:eastAsia="en-GB"/>
              </w:rPr>
              <w:lastRenderedPageBreak/>
              <w:t>even the salvation, of the nation […]</w:t>
            </w:r>
          </w:p>
          <w:p w14:paraId="5F794B9D" w14:textId="77777777" w:rsidR="00F30225" w:rsidRPr="00F30225" w:rsidRDefault="00F30225" w:rsidP="00F30225">
            <w:pPr>
              <w:spacing w:after="0" w:line="240" w:lineRule="auto"/>
              <w:rPr>
                <w:rFonts w:ascii="Garamond" w:eastAsia="Times New Roman" w:hAnsi="Garamond" w:cs="Times New Roman"/>
                <w:sz w:val="20"/>
                <w:szCs w:val="20"/>
                <w:lang w:val="en-US" w:eastAsia="en-GB"/>
              </w:rPr>
            </w:pPr>
          </w:p>
          <w:p w14:paraId="4B56ACFC" w14:textId="77777777" w:rsidR="00F30225" w:rsidRPr="00F30225" w:rsidRDefault="00F30225" w:rsidP="00F30225">
            <w:pPr>
              <w:spacing w:after="0" w:line="240" w:lineRule="auto"/>
              <w:rPr>
                <w:rFonts w:ascii="Garamond" w:eastAsia="Times New Roman" w:hAnsi="Garamond" w:cs="Times New Roman"/>
                <w:sz w:val="20"/>
                <w:szCs w:val="20"/>
                <w:lang w:val="en-US" w:eastAsia="en-GB"/>
              </w:rPr>
            </w:pPr>
            <w:r w:rsidRPr="00F30225">
              <w:rPr>
                <w:rFonts w:ascii="Garamond" w:eastAsia="Times New Roman" w:hAnsi="Garamond" w:cs="Times New Roman"/>
                <w:sz w:val="20"/>
                <w:szCs w:val="20"/>
                <w:lang w:val="en-US" w:eastAsia="en-GB"/>
              </w:rPr>
              <w:t>The female poet writes a poetry that is both political and didactic. Broadly speaking, her poetry either 1) Responds to specific political events; or 2) argues more broadly for wide-ranging social and political reform; or 3) attempts to initiate a social resolution […]</w:t>
            </w:r>
          </w:p>
          <w:p w14:paraId="57372F6A" w14:textId="77777777" w:rsidR="00F30225" w:rsidRPr="00F30225" w:rsidRDefault="00F30225" w:rsidP="00F30225">
            <w:pPr>
              <w:spacing w:after="0" w:line="240" w:lineRule="auto"/>
              <w:rPr>
                <w:rFonts w:ascii="Garamond" w:eastAsia="Times New Roman" w:hAnsi="Garamond" w:cs="Times New Roman"/>
                <w:sz w:val="20"/>
                <w:szCs w:val="20"/>
                <w:lang w:val="en-US" w:eastAsia="en-GB"/>
              </w:rPr>
            </w:pPr>
          </w:p>
          <w:p w14:paraId="7B22D69D" w14:textId="77777777" w:rsidR="00F30225" w:rsidRPr="00F30225" w:rsidRDefault="00F30225" w:rsidP="00F30225">
            <w:pPr>
              <w:spacing w:after="0" w:line="240" w:lineRule="auto"/>
              <w:rPr>
                <w:rFonts w:ascii="Garamond" w:eastAsia="Times New Roman" w:hAnsi="Garamond" w:cs="Times New Roman"/>
                <w:sz w:val="20"/>
                <w:szCs w:val="20"/>
                <w:lang w:val="en-US" w:eastAsia="en-GB"/>
              </w:rPr>
            </w:pPr>
            <w:r w:rsidRPr="00F30225">
              <w:rPr>
                <w:rFonts w:ascii="Garamond" w:eastAsia="Times New Roman" w:hAnsi="Garamond" w:cs="Times New Roman"/>
                <w:sz w:val="20"/>
                <w:szCs w:val="20"/>
                <w:lang w:val="en-US" w:eastAsia="en-GB"/>
              </w:rPr>
              <w:t>In all these cases, the female poet grounds her social analysis on a specific political or religious ideology, one which entitles her to take up the stance of moral judge of the events transpiring around her.</w:t>
            </w:r>
          </w:p>
        </w:tc>
        <w:tc>
          <w:tcPr>
            <w:tcW w:w="2340" w:type="dxa"/>
          </w:tcPr>
          <w:p w14:paraId="02902E77" w14:textId="77777777" w:rsidR="00F30225" w:rsidRPr="00F30225" w:rsidRDefault="00F30225" w:rsidP="00F30225">
            <w:pPr>
              <w:spacing w:after="0" w:line="240" w:lineRule="auto"/>
              <w:rPr>
                <w:rFonts w:ascii="Garamond" w:eastAsia="Times New Roman" w:hAnsi="Garamond" w:cs="Times New Roman"/>
                <w:sz w:val="20"/>
                <w:szCs w:val="20"/>
                <w:lang w:eastAsia="en-GB"/>
              </w:rPr>
            </w:pPr>
            <w:r w:rsidRPr="00F30225">
              <w:rPr>
                <w:rFonts w:ascii="Garamond" w:eastAsia="Times New Roman" w:hAnsi="Garamond" w:cs="Times New Roman"/>
                <w:sz w:val="20"/>
                <w:szCs w:val="20"/>
                <w:lang w:eastAsia="en-GB"/>
              </w:rPr>
              <w:lastRenderedPageBreak/>
              <w:t xml:space="preserve">Nontheless, the female poet could and did claim a moral and literary authority equal to… Male poets who worked within a neoclassical literary tradition… </w:t>
            </w:r>
            <w:r w:rsidRPr="00F30225">
              <w:rPr>
                <w:rFonts w:ascii="Garamond" w:eastAsia="Times New Roman" w:hAnsi="Garamond" w:cs="Times New Roman"/>
                <w:b/>
                <w:sz w:val="20"/>
                <w:szCs w:val="20"/>
                <w:lang w:eastAsia="en-GB"/>
              </w:rPr>
              <w:t>That produced an ideology that was inherently competitive and self-aggrandizing</w:t>
            </w:r>
            <w:r w:rsidRPr="00F30225">
              <w:rPr>
                <w:rFonts w:ascii="Garamond" w:eastAsia="Times New Roman" w:hAnsi="Garamond" w:cs="Times New Roman"/>
                <w:sz w:val="20"/>
                <w:szCs w:val="20"/>
                <w:lang w:eastAsia="en-GB"/>
              </w:rPr>
              <w:t xml:space="preserve"> (Uses </w:t>
            </w:r>
            <w:r w:rsidRPr="00F30225">
              <w:rPr>
                <w:rFonts w:ascii="Garamond" w:eastAsia="Times New Roman" w:hAnsi="Garamond" w:cs="Times New Roman"/>
                <w:sz w:val="20"/>
                <w:szCs w:val="20"/>
                <w:lang w:eastAsia="en-GB"/>
              </w:rPr>
              <w:lastRenderedPageBreak/>
              <w:t>powerful words such as such as “self-aggrandizing” “inherently”, seems to be less about making a point than it does trying to make the audience think about the point)</w:t>
            </w:r>
          </w:p>
        </w:tc>
        <w:tc>
          <w:tcPr>
            <w:tcW w:w="3240" w:type="dxa"/>
          </w:tcPr>
          <w:p w14:paraId="70532E38" w14:textId="77777777" w:rsidR="00F30225" w:rsidRPr="00F30225" w:rsidRDefault="00F30225" w:rsidP="00F30225">
            <w:pPr>
              <w:spacing w:after="0" w:line="240" w:lineRule="auto"/>
              <w:rPr>
                <w:rFonts w:ascii="Garamond" w:eastAsia="Times New Roman" w:hAnsi="Garamond" w:cs="Times New Roman"/>
                <w:sz w:val="20"/>
                <w:szCs w:val="20"/>
                <w:lang w:eastAsia="en-GB"/>
              </w:rPr>
            </w:pPr>
            <w:r w:rsidRPr="00F30225">
              <w:rPr>
                <w:rFonts w:ascii="Garamond" w:eastAsia="Times New Roman" w:hAnsi="Garamond" w:cs="Times New Roman"/>
                <w:sz w:val="20"/>
                <w:szCs w:val="20"/>
                <w:lang w:eastAsia="en-GB"/>
              </w:rPr>
              <w:lastRenderedPageBreak/>
              <w:t xml:space="preserve">The passages refer to ideas of religious ideology and how female poets used religion for them to be able to speak on social, political and economic issues. The idea that female poets aligned themselves with god could add to the discussion of religious insanity, while the Victorian world was a swiftly changing one, it was still a misogynistic culture, therefore it could be conceived that </w:t>
            </w:r>
            <w:r w:rsidRPr="00F30225">
              <w:rPr>
                <w:rFonts w:ascii="Garamond" w:eastAsia="Times New Roman" w:hAnsi="Garamond" w:cs="Times New Roman"/>
                <w:sz w:val="20"/>
                <w:szCs w:val="20"/>
                <w:lang w:eastAsia="en-GB"/>
              </w:rPr>
              <w:lastRenderedPageBreak/>
              <w:t xml:space="preserve">religious insanity (particularly from males) was depicted to delegitimise female poets/poetesses. It would also be interesting for showing how the Victorian poet portrays the psychology of patriarchy, considering the fact, for many women to speak on social, political, economic etc issues, they had to exploit religious beliefs   </w:t>
            </w:r>
          </w:p>
        </w:tc>
      </w:tr>
      <w:tr w:rsidR="00F30225" w:rsidRPr="00F30225" w14:paraId="08E97418" w14:textId="77777777" w:rsidTr="00E9220B">
        <w:tc>
          <w:tcPr>
            <w:tcW w:w="354" w:type="dxa"/>
          </w:tcPr>
          <w:p w14:paraId="0A04811F" w14:textId="77777777" w:rsidR="00F30225" w:rsidRPr="00F30225" w:rsidRDefault="00F30225" w:rsidP="00F30225">
            <w:pPr>
              <w:spacing w:after="0" w:line="240" w:lineRule="auto"/>
              <w:rPr>
                <w:rFonts w:ascii="Garamond" w:eastAsia="Times New Roman" w:hAnsi="Garamond" w:cs="Times New Roman"/>
                <w:sz w:val="18"/>
                <w:szCs w:val="18"/>
                <w:lang w:eastAsia="en-GB"/>
              </w:rPr>
            </w:pPr>
            <w:r w:rsidRPr="00F30225">
              <w:rPr>
                <w:rFonts w:ascii="Garamond" w:eastAsia="Times New Roman" w:hAnsi="Garamond" w:cs="Times New Roman"/>
                <w:sz w:val="18"/>
                <w:szCs w:val="18"/>
                <w:lang w:eastAsia="en-GB"/>
              </w:rPr>
              <w:lastRenderedPageBreak/>
              <w:t>266</w:t>
            </w:r>
          </w:p>
        </w:tc>
        <w:tc>
          <w:tcPr>
            <w:tcW w:w="3050" w:type="dxa"/>
          </w:tcPr>
          <w:p w14:paraId="69DA48B1" w14:textId="77777777" w:rsidR="00F30225" w:rsidRPr="00F30225" w:rsidRDefault="00F30225" w:rsidP="00F30225">
            <w:pPr>
              <w:widowControl w:val="0"/>
              <w:autoSpaceDE w:val="0"/>
              <w:autoSpaceDN w:val="0"/>
              <w:adjustRightInd w:val="0"/>
              <w:spacing w:after="0" w:line="240" w:lineRule="auto"/>
              <w:rPr>
                <w:rFonts w:ascii="Garamond" w:eastAsia="Times New Roman" w:hAnsi="Garamond" w:cs="Times New Roman"/>
                <w:sz w:val="20"/>
                <w:szCs w:val="20"/>
                <w:lang w:val="en-US" w:eastAsia="en-GB"/>
              </w:rPr>
            </w:pPr>
            <w:r w:rsidRPr="00F30225">
              <w:rPr>
                <w:rFonts w:ascii="Garamond" w:eastAsia="Times New Roman" w:hAnsi="Garamond" w:cs="Times New Roman"/>
                <w:sz w:val="20"/>
                <w:szCs w:val="20"/>
                <w:lang w:val="en-US" w:eastAsia="en-GB"/>
              </w:rPr>
              <w:t>In her introductory dedication to William Cowper, she argues that true “liberality” is the “annihilation of prejudices” (page133); she therefore, urges her countrymen and women to extend their sympathy even to those French Catholic priests who do not share their religious views […]</w:t>
            </w:r>
          </w:p>
          <w:p w14:paraId="7623A49C" w14:textId="77777777" w:rsidR="00F30225" w:rsidRPr="00F30225" w:rsidRDefault="00F30225" w:rsidP="00F30225">
            <w:pPr>
              <w:widowControl w:val="0"/>
              <w:autoSpaceDE w:val="0"/>
              <w:autoSpaceDN w:val="0"/>
              <w:adjustRightInd w:val="0"/>
              <w:spacing w:after="0" w:line="240" w:lineRule="auto"/>
              <w:rPr>
                <w:rFonts w:ascii="Garamond" w:eastAsia="Times New Roman" w:hAnsi="Garamond" w:cs="Times New Roman"/>
                <w:sz w:val="20"/>
                <w:szCs w:val="20"/>
                <w:lang w:val="en-US" w:eastAsia="en-GB"/>
              </w:rPr>
            </w:pPr>
          </w:p>
          <w:p w14:paraId="506EED9B" w14:textId="77777777" w:rsidR="00F30225" w:rsidRPr="00F30225" w:rsidRDefault="00F30225" w:rsidP="00F30225">
            <w:pPr>
              <w:widowControl w:val="0"/>
              <w:autoSpaceDE w:val="0"/>
              <w:autoSpaceDN w:val="0"/>
              <w:adjustRightInd w:val="0"/>
              <w:spacing w:after="0" w:line="240" w:lineRule="auto"/>
              <w:rPr>
                <w:rFonts w:ascii="Garamond" w:eastAsia="Times New Roman" w:hAnsi="Garamond" w:cs="Times New Roman"/>
                <w:sz w:val="20"/>
                <w:szCs w:val="20"/>
                <w:lang w:val="en-US" w:eastAsia="en-GB"/>
              </w:rPr>
            </w:pPr>
            <w:r w:rsidRPr="00F30225">
              <w:rPr>
                <w:rFonts w:ascii="Garamond" w:eastAsia="Times New Roman" w:hAnsi="Garamond" w:cs="Times New Roman"/>
                <w:sz w:val="20"/>
                <w:szCs w:val="20"/>
                <w:lang w:val="en-US" w:eastAsia="en-GB"/>
              </w:rPr>
              <w:t xml:space="preserve">But where Wordsworth and Coleridge found consolation in nature for the ravages of the French Terror, Charlotte Smith finds no “Content” in “rural life” (2: 178-85). When she </w:t>
            </w:r>
            <w:proofErr w:type="gramStart"/>
            <w:r w:rsidRPr="00F30225">
              <w:rPr>
                <w:rFonts w:ascii="Garamond" w:eastAsia="Times New Roman" w:hAnsi="Garamond" w:cs="Times New Roman"/>
                <w:sz w:val="20"/>
                <w:szCs w:val="20"/>
                <w:lang w:val="en-US" w:eastAsia="en-GB"/>
              </w:rPr>
              <w:t>looks into</w:t>
            </w:r>
            <w:proofErr w:type="gramEnd"/>
            <w:r w:rsidRPr="00F30225">
              <w:rPr>
                <w:rFonts w:ascii="Garamond" w:eastAsia="Times New Roman" w:hAnsi="Garamond" w:cs="Times New Roman"/>
                <w:sz w:val="20"/>
                <w:szCs w:val="20"/>
                <w:lang w:val="en-US" w:eastAsia="en-GB"/>
              </w:rPr>
              <w:t xml:space="preserve"> the cottages of the local shepherds and agrarian workers, she sees only “poverty,” “Disease” and a myriad of insults and oppressions wrought upon the “poor but peaceful hind” by this tyrannical rich master </w:t>
            </w:r>
          </w:p>
        </w:tc>
        <w:tc>
          <w:tcPr>
            <w:tcW w:w="2340" w:type="dxa"/>
          </w:tcPr>
          <w:p w14:paraId="4A9E33BE" w14:textId="77777777" w:rsidR="00F30225" w:rsidRPr="00F30225" w:rsidRDefault="00F30225" w:rsidP="00F30225">
            <w:pPr>
              <w:spacing w:after="0" w:line="240" w:lineRule="auto"/>
              <w:rPr>
                <w:rFonts w:ascii="Garamond" w:eastAsia="Times New Roman" w:hAnsi="Garamond" w:cs="Times New Roman"/>
                <w:sz w:val="18"/>
                <w:szCs w:val="18"/>
                <w:lang w:val="en-US" w:eastAsia="en-GB"/>
              </w:rPr>
            </w:pPr>
            <w:r w:rsidRPr="00F30225">
              <w:rPr>
                <w:rFonts w:ascii="Garamond" w:eastAsia="Times New Roman" w:hAnsi="Garamond" w:cs="Times New Roman"/>
                <w:sz w:val="20"/>
                <w:szCs w:val="20"/>
                <w:lang w:val="en-US" w:eastAsia="en-GB"/>
              </w:rPr>
              <w:t xml:space="preserve">When she </w:t>
            </w:r>
            <w:proofErr w:type="gramStart"/>
            <w:r w:rsidRPr="00F30225">
              <w:rPr>
                <w:rFonts w:ascii="Garamond" w:eastAsia="Times New Roman" w:hAnsi="Garamond" w:cs="Times New Roman"/>
                <w:sz w:val="20"/>
                <w:szCs w:val="20"/>
                <w:lang w:val="en-US" w:eastAsia="en-GB"/>
              </w:rPr>
              <w:t>looks into</w:t>
            </w:r>
            <w:proofErr w:type="gramEnd"/>
            <w:r w:rsidRPr="00F30225">
              <w:rPr>
                <w:rFonts w:ascii="Garamond" w:eastAsia="Times New Roman" w:hAnsi="Garamond" w:cs="Times New Roman"/>
                <w:sz w:val="20"/>
                <w:szCs w:val="20"/>
                <w:lang w:val="en-US" w:eastAsia="en-GB"/>
              </w:rPr>
              <w:t xml:space="preserve"> the cottages of the local shepherds and agrarian workers, she sees only “poverty,” “Disease” and a </w:t>
            </w:r>
            <w:r w:rsidRPr="00F30225">
              <w:rPr>
                <w:rFonts w:ascii="Garamond" w:eastAsia="Times New Roman" w:hAnsi="Garamond" w:cs="Times New Roman"/>
                <w:b/>
                <w:sz w:val="20"/>
                <w:szCs w:val="20"/>
                <w:lang w:val="en-US" w:eastAsia="en-GB"/>
              </w:rPr>
              <w:t xml:space="preserve">myriad of insults and oppressions wrought upon the “poor but peaceful hind” by this tyrannical rich master </w:t>
            </w:r>
          </w:p>
        </w:tc>
        <w:tc>
          <w:tcPr>
            <w:tcW w:w="3240" w:type="dxa"/>
          </w:tcPr>
          <w:p w14:paraId="3233D119" w14:textId="77777777" w:rsidR="00F30225" w:rsidRPr="00F30225" w:rsidRDefault="00F30225" w:rsidP="00F30225">
            <w:pPr>
              <w:spacing w:after="0" w:line="240" w:lineRule="auto"/>
              <w:rPr>
                <w:rFonts w:ascii="Garamond" w:eastAsia="Times New Roman" w:hAnsi="Garamond" w:cs="Times New Roman"/>
                <w:sz w:val="18"/>
                <w:szCs w:val="18"/>
                <w:lang w:eastAsia="en-GB"/>
              </w:rPr>
            </w:pPr>
            <w:r w:rsidRPr="00F30225">
              <w:rPr>
                <w:rFonts w:ascii="Garamond" w:eastAsia="Times New Roman" w:hAnsi="Garamond" w:cs="Times New Roman"/>
                <w:sz w:val="18"/>
                <w:szCs w:val="18"/>
                <w:lang w:eastAsia="en-GB"/>
              </w:rPr>
              <w:t xml:space="preserve">Both the passages tell us that, even prior to the Victorian era, women were pushing for equal rights, it could be used in multiple ways towards my question, for example it could be used to explain emergence of feminism and how it had an effect of female psychology and the game poet. The passages from the article, particularly on the poor could be contrasted with mechanisation. It can also be said that the article proves women to be more compassionate therefore adding another facet for psychological analysis by the slightly later Victorian poet  </w:t>
            </w:r>
          </w:p>
        </w:tc>
      </w:tr>
    </w:tbl>
    <w:p w14:paraId="19928F1C" w14:textId="7CCA361E" w:rsidR="0043287D" w:rsidRDefault="0043287D" w:rsidP="0043287D"/>
    <w:p w14:paraId="2AF20F9E" w14:textId="77777777" w:rsidR="0072633E" w:rsidRDefault="0072633E" w:rsidP="0072633E">
      <w:pPr>
        <w:jc w:val="center"/>
        <w:rPr>
          <w:u w:val="single"/>
        </w:rPr>
      </w:pPr>
      <w:r>
        <w:rPr>
          <w:u w:val="single"/>
        </w:rPr>
        <w:t xml:space="preserve">The Changeling Plot Prediction (Adam Johnson) </w:t>
      </w:r>
    </w:p>
    <w:p w14:paraId="234DE09D" w14:textId="77777777" w:rsidR="0072633E" w:rsidRDefault="0072633E" w:rsidP="0072633E">
      <w:r>
        <w:t xml:space="preserve">The opening scene seems to suggest a great amount of possibilities for the way in which the play may progress, for example, the themes of sex and lust are strongly portrayed in this first passage, particularly when it comes to the servant Deflores whom clearly lusts for Beatrice. This is hinted at when he first appears, as he is stalking Beatrice, he appears just before her father does to inform her that her father is coming, telling us that he is in fact not there to impart important information, but he is there to stalk Beatrice. Deflores’ lust is only highlighted further when he says, “I know she had rather wear my pelt tann’d in a pair of dancing pumps than I should thrust my fingers into her sockets,” while the previous sentiment may have made one sceptical, this cements out suspicions that Deflores is in fact lusting for and stalking Beatrice. </w:t>
      </w:r>
      <w:proofErr w:type="gramStart"/>
      <w:r>
        <w:t>With this in mind, I</w:t>
      </w:r>
      <w:proofErr w:type="gramEnd"/>
      <w:r>
        <w:t xml:space="preserve"> find it likely that Deflores will cave into his lust for Beatrice, forcing himself upon her prior to her wedding night, this is heavily foreshadowed by not only the themes of sexual nature but the idea of Beatrices unwanted marriage. Beatrice is a character whom is being forced to do a lot of things, she’s being forced to refuse the advances of the person she believes she truly loves and she’s being forced to marry a man she has </w:t>
      </w:r>
      <w:r>
        <w:lastRenderedPageBreak/>
        <w:t xml:space="preserve">no feelings for, so thematically it would make sense as it would add to the idea of women living in a patriarchal society and lacking control within that society in a very frightening way. This idea is also backed up by Deflores saying, “I’ll have my will,” when concerning his “love” for Beatrice, suggesting that in the past he has contained his sexual desires but he shall do so no longer. </w:t>
      </w:r>
    </w:p>
    <w:p w14:paraId="7DAEB40F" w14:textId="77777777" w:rsidR="0072633E" w:rsidRDefault="0072633E" w:rsidP="0072633E"/>
    <w:p w14:paraId="323E992A" w14:textId="77777777" w:rsidR="0072633E" w:rsidRDefault="0072633E" w:rsidP="0072633E">
      <w:proofErr w:type="gramStart"/>
      <w:r>
        <w:t>As a result of</w:t>
      </w:r>
      <w:proofErr w:type="gramEnd"/>
      <w:r>
        <w:t xml:space="preserve"> this hideous rape, I believe that Beatrice shall kill herself, but not before writing a note or some kind of evidence to condemn Deflores, some of the hints of this happening link in with the previous plot prediction, of course, but another comes from the similarities in the first passage to Romeo and Juliet. In the scene it is elaborated upon that both Beatrice and Alsemero have only known each other for one single day, much in the same way that both Romeo and Juliet fell instantly in love, so do these to, this in turn foreshadows great tragedy for both Beatrice and Alsemero, as of course, the fate which Romeo and Juliet suffer is of a great tragic nature, thus, I believe that the rape and subsequent suicide of Beatrice shall occur when Alsemero is within the walls of Beatrices castle. In turn, when Alsemero finally awakens and finds out the horrific news, I believe that he will find and read the letter which Beatrice has wrote condemning Deflores, he’d remember the way Deflores had stalked her, the way he hung around and poisoned her mind and made her feel so unsettled as in the first passage, he’d remember how Beatrice describes the man as a poison and will conclude that this poison finally overwhelmed her. At this stage, I believe that he will bring the letter to the attention of Beatrices father, and, in a dark twist of irony, her father shall decide to ignore the letter, in one part due to Deflores’ good standing/respect with Vermandero which is stated in the first passage to be so by Beatrice herself and is said to be the reason she tolerate him in any sense of the word, and in another part, it shall be due to Vermandero’s (Beatrices father) lack of caring for his daughter, the dark irony coming in that even from the grave, even when his daughter is dead he still fails to listen to her, as in passage one where her father ignores her plea to not be so hasty in marrying her off. </w:t>
      </w:r>
    </w:p>
    <w:p w14:paraId="2686A186" w14:textId="77777777" w:rsidR="0072633E" w:rsidRDefault="0072633E" w:rsidP="0072633E"/>
    <w:p w14:paraId="748B1E12" w14:textId="15EF4D2D" w:rsidR="0072633E" w:rsidRDefault="0072633E" w:rsidP="0072633E">
      <w:r>
        <w:t>Following this sequence of events, I believe that Deflores will accuse Alsemero of forging the letter and committing the hideous act, at which point Vermandero will begin an investigation into the rape and murder of his daughter, he is torn between Deflores, Deflores due to the afermentioned good will that he holds the servant in, and Alsemero since he knew his father and fought with him in great battles and due to a possible feeling of guilt that he was not in fact there to help Alsemero’s father in the battle that he died in. During the investigation, it is likely that this would be where the sexual promiscuity of Jasperino and Diaphanta will come into play, despite it mainly being used for comic relief in the first act, I believe that in the later play, both Jasperino and Diaphanta shall sleep with one another and that this shall then be used by Deflores and framed as rape. In doing this, Deflores shall argue that servants are in fact a reflection of their masters, that if a servant could commit rape then it reflects their master, as was the case for the times, a man’s servant(s) could heavily represent what kind of person he is. Now of course this flies in the face of the letter, but as was previously established we’ve seen that Beatrices father cares not for her words, with this in mind, I believe that at Beatrices father would believe that Alsemero did in fact forge the letter and rape his daughter, at which point Alsemero would flee to Beatrices room and hang himself next to her body, once again, paralleling Romeo And Juliet with their love at first site and them dying close to eachother (although in this case they do not die at the exact same time). At this point I believe that Vermandero will break into the room, Deflores will try whispering into his ear and he shall realise the truth of the matter, he shall realise that not only was he responsible for his daughter death, but his friends’ sons death as well, he shall then cut Deflores down where he stands and the story shall end.</w:t>
      </w:r>
      <w:bookmarkStart w:id="2" w:name="_GoBack"/>
      <w:bookmarkEnd w:id="2"/>
    </w:p>
    <w:sectPr w:rsidR="0072633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dministrator" w:date="2017-11-29T23:04:00Z" w:initials="A">
    <w:p w14:paraId="2F21A559" w14:textId="77777777" w:rsidR="0043287D" w:rsidRDefault="0043287D" w:rsidP="0043287D">
      <w:pPr>
        <w:pStyle w:val="CommentText"/>
      </w:pPr>
      <w:r>
        <w:rPr>
          <w:rStyle w:val="CommentReference"/>
        </w:rPr>
        <w:annotationRef/>
      </w:r>
      <w:r>
        <w:t xml:space="preserve">Layout </w:t>
      </w:r>
      <w:proofErr w:type="gramStart"/>
      <w:r>
        <w:t>Ok  not</w:t>
      </w:r>
      <w:proofErr w:type="gramEnd"/>
      <w:r>
        <w:t xml:space="preserve"> sure of relevance of </w:t>
      </w:r>
      <w:r w:rsidRPr="007761FC">
        <w:rPr>
          <w:i/>
        </w:rPr>
        <w:t>Ways of Seeing</w:t>
      </w:r>
      <w:r>
        <w:t xml:space="preserve"> but will find out. NO BOOKS on Victorian poetry and psychology? Eg </w:t>
      </w:r>
      <w:r w:rsidRPr="00311BB0">
        <w:rPr>
          <w:i/>
        </w:rPr>
        <w:t>Escape in the Mind</w:t>
      </w:r>
    </w:p>
  </w:comment>
  <w:comment w:id="1" w:author="Adam Johnson" w:date="2017-11-30T01:34:00Z" w:initials="AJ">
    <w:p w14:paraId="38D1029A" w14:textId="77777777" w:rsidR="0043287D" w:rsidRPr="004B274F" w:rsidRDefault="0043287D" w:rsidP="0043287D">
      <w:pPr>
        <w:pStyle w:val="CommentText"/>
      </w:pPr>
      <w:r>
        <w:rPr>
          <w:rStyle w:val="CommentReference"/>
        </w:rPr>
        <w:annotationRef/>
      </w:r>
      <w:r>
        <w:t xml:space="preserve">Do you mean </w:t>
      </w:r>
      <w:r>
        <w:rPr>
          <w:i/>
        </w:rPr>
        <w:t xml:space="preserve">Retreat into the mind? </w:t>
      </w:r>
      <w:r>
        <w:t xml:space="preserve">Because That’s an essential text that I was planning to use no matter the circumstances, the idea behind this was to pin down useful secondary/recommended texts to help with the question, I will be using all the essential texts to the best relevance of the question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F21A559" w15:done="0"/>
  <w15:commentEx w15:paraId="38D1029A" w15:paraIdParent="2F21A5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F21A559" w16cid:durableId="1DC9D209"/>
  <w16cid:commentId w16cid:paraId="38D1029A" w16cid:durableId="1DC9DE9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Code">
    <w:altName w:val="Arial"/>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F44438"/>
    <w:multiLevelType w:val="hybridMultilevel"/>
    <w:tmpl w:val="BF862BE8"/>
    <w:lvl w:ilvl="0" w:tplc="0809000F">
      <w:start w:val="1"/>
      <w:numFmt w:val="decimal"/>
      <w:lvlText w:val="%1."/>
      <w:lvlJc w:val="left"/>
      <w:pPr>
        <w:ind w:left="720" w:hanging="360"/>
      </w:pPr>
      <w:rPr>
        <w:rFonts w:hint="default"/>
      </w:rPr>
    </w:lvl>
    <w:lvl w:ilvl="1" w:tplc="08090019">
      <w:start w:val="1"/>
      <w:numFmt w:val="lowerLetter"/>
      <w:lvlText w:val="%2."/>
      <w:lvlJc w:val="left"/>
      <w:pPr>
        <w:ind w:left="7589" w:hanging="360"/>
      </w:pPr>
    </w:lvl>
    <w:lvl w:ilvl="2" w:tplc="9CC47CAC">
      <w:start w:val="1"/>
      <w:numFmt w:val="lowerRoman"/>
      <w:lvlText w:val="(%3)"/>
      <w:lvlJc w:val="left"/>
      <w:pPr>
        <w:ind w:left="2700" w:hanging="720"/>
      </w:pPr>
      <w:rPr>
        <w:rFonts w:hint="default"/>
      </w:rPr>
    </w:lvl>
    <w:lvl w:ilvl="3" w:tplc="C0109750">
      <w:start w:val="2"/>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77B9F"/>
    <w:multiLevelType w:val="hybridMultilevel"/>
    <w:tmpl w:val="991402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dam Johnson">
    <w15:presenceInfo w15:providerId="Windows Live" w15:userId="1df8a8234446793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87D"/>
    <w:rsid w:val="003B29D1"/>
    <w:rsid w:val="0043287D"/>
    <w:rsid w:val="0072633E"/>
    <w:rsid w:val="00F30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01C2C"/>
  <w15:chartTrackingRefBased/>
  <w15:docId w15:val="{09A842EC-2E2E-4D1A-B456-32070C0F6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28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3287D"/>
    <w:rPr>
      <w:sz w:val="16"/>
      <w:szCs w:val="16"/>
    </w:rPr>
  </w:style>
  <w:style w:type="paragraph" w:styleId="CommentText">
    <w:name w:val="annotation text"/>
    <w:basedOn w:val="Normal"/>
    <w:link w:val="CommentTextChar"/>
    <w:uiPriority w:val="99"/>
    <w:semiHidden/>
    <w:unhideWhenUsed/>
    <w:rsid w:val="0043287D"/>
    <w:pPr>
      <w:spacing w:line="240" w:lineRule="auto"/>
    </w:pPr>
    <w:rPr>
      <w:sz w:val="20"/>
      <w:szCs w:val="20"/>
    </w:rPr>
  </w:style>
  <w:style w:type="character" w:customStyle="1" w:styleId="CommentTextChar">
    <w:name w:val="Comment Text Char"/>
    <w:basedOn w:val="DefaultParagraphFont"/>
    <w:link w:val="CommentText"/>
    <w:uiPriority w:val="99"/>
    <w:semiHidden/>
    <w:rsid w:val="0043287D"/>
    <w:rPr>
      <w:sz w:val="20"/>
      <w:szCs w:val="20"/>
    </w:rPr>
  </w:style>
  <w:style w:type="paragraph" w:styleId="BalloonText">
    <w:name w:val="Balloon Text"/>
    <w:basedOn w:val="Normal"/>
    <w:link w:val="BalloonTextChar"/>
    <w:uiPriority w:val="99"/>
    <w:semiHidden/>
    <w:unhideWhenUsed/>
    <w:rsid w:val="004328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287D"/>
    <w:rPr>
      <w:rFonts w:ascii="Segoe UI" w:hAnsi="Segoe UI" w:cs="Segoe UI"/>
      <w:sz w:val="18"/>
      <w:szCs w:val="18"/>
    </w:rPr>
  </w:style>
  <w:style w:type="paragraph" w:styleId="ListParagraph">
    <w:name w:val="List Paragraph"/>
    <w:basedOn w:val="Normal"/>
    <w:uiPriority w:val="34"/>
    <w:qFormat/>
    <w:rsid w:val="0043287D"/>
    <w:pPr>
      <w:spacing w:after="200" w:line="27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3618</Words>
  <Characters>20627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Johnson (1701983)</dc:creator>
  <cp:keywords/>
  <dc:description/>
  <cp:lastModifiedBy>Adam Johnson (1701983)</cp:lastModifiedBy>
  <cp:revision>5</cp:revision>
  <dcterms:created xsi:type="dcterms:W3CDTF">2018-01-20T17:25:00Z</dcterms:created>
  <dcterms:modified xsi:type="dcterms:W3CDTF">2018-01-20T17:48:00Z</dcterms:modified>
</cp:coreProperties>
</file>