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002F" w14:textId="59EE91EB" w:rsidR="00403714" w:rsidRPr="00D71C2B" w:rsidRDefault="000E2E7E">
      <w:r w:rsidRPr="00D71C2B">
        <w:t xml:space="preserve">                                     </w:t>
      </w:r>
      <w:r w:rsidRPr="00D71C2B">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Pr="00D71C2B" w:rsidRDefault="000E2E7E"/>
    <w:p w14:paraId="73022E7D" w14:textId="77777777" w:rsidR="000E2E7E" w:rsidRPr="00D71C2B" w:rsidRDefault="000E2E7E">
      <w:pPr>
        <w:rPr>
          <w:sz w:val="52"/>
          <w:szCs w:val="52"/>
        </w:rPr>
      </w:pPr>
    </w:p>
    <w:p w14:paraId="0C87A799" w14:textId="04244988" w:rsidR="000E2E7E" w:rsidRPr="00D71C2B" w:rsidRDefault="000D38CE">
      <w:pPr>
        <w:rPr>
          <w:b/>
          <w:bCs/>
          <w:sz w:val="52"/>
          <w:szCs w:val="52"/>
        </w:rPr>
      </w:pPr>
      <w:r w:rsidRPr="00D71C2B">
        <w:rPr>
          <w:b/>
          <w:bCs/>
          <w:sz w:val="52"/>
          <w:szCs w:val="52"/>
        </w:rPr>
        <w:t>Cod y Modiwl</w:t>
      </w:r>
      <w:r w:rsidR="000E2E7E" w:rsidRPr="00D71C2B">
        <w:rPr>
          <w:b/>
          <w:bCs/>
          <w:sz w:val="52"/>
          <w:szCs w:val="52"/>
        </w:rPr>
        <w:t xml:space="preserve">:  </w:t>
      </w:r>
      <w:r w:rsidR="000E2E7E" w:rsidRPr="00D71C2B">
        <w:rPr>
          <w:b/>
          <w:bCs/>
          <w:sz w:val="48"/>
          <w:szCs w:val="48"/>
        </w:rPr>
        <w:t>ECAD</w:t>
      </w:r>
      <w:r w:rsidR="00CA4514" w:rsidRPr="00D71C2B">
        <w:rPr>
          <w:b/>
          <w:bCs/>
          <w:sz w:val="48"/>
          <w:szCs w:val="48"/>
        </w:rPr>
        <w:t>5014</w:t>
      </w:r>
      <w:r w:rsidRPr="00D71C2B">
        <w:rPr>
          <w:b/>
          <w:bCs/>
          <w:sz w:val="48"/>
          <w:szCs w:val="48"/>
        </w:rPr>
        <w:t>C</w:t>
      </w:r>
    </w:p>
    <w:p w14:paraId="10FFAE95" w14:textId="77777777" w:rsidR="000E2E7E" w:rsidRPr="00D71C2B" w:rsidRDefault="000E2E7E">
      <w:pPr>
        <w:rPr>
          <w:b/>
          <w:bCs/>
          <w:sz w:val="52"/>
          <w:szCs w:val="52"/>
        </w:rPr>
      </w:pPr>
    </w:p>
    <w:p w14:paraId="12C585B1" w14:textId="7E81923A" w:rsidR="000E2E7E" w:rsidRPr="00D71C2B" w:rsidRDefault="00430597">
      <w:pPr>
        <w:rPr>
          <w:b/>
          <w:bCs/>
          <w:sz w:val="52"/>
          <w:szCs w:val="52"/>
        </w:rPr>
      </w:pPr>
      <w:r w:rsidRPr="00D71C2B">
        <w:rPr>
          <w:b/>
          <w:bCs/>
          <w:sz w:val="52"/>
          <w:szCs w:val="52"/>
        </w:rPr>
        <w:t>Teitl yr Aseiniad</w:t>
      </w:r>
      <w:r w:rsidR="000E2E7E" w:rsidRPr="00D71C2B">
        <w:rPr>
          <w:b/>
          <w:bCs/>
          <w:sz w:val="52"/>
          <w:szCs w:val="52"/>
        </w:rPr>
        <w:t xml:space="preserve">: </w:t>
      </w:r>
    </w:p>
    <w:p w14:paraId="1648AA10" w14:textId="5FBFB50B" w:rsidR="000E2E7E" w:rsidRPr="00D71C2B" w:rsidRDefault="00CA4514">
      <w:pPr>
        <w:rPr>
          <w:b/>
          <w:bCs/>
          <w:sz w:val="52"/>
          <w:szCs w:val="52"/>
        </w:rPr>
      </w:pPr>
      <w:r w:rsidRPr="00D71C2B">
        <w:rPr>
          <w:b/>
          <w:bCs/>
          <w:sz w:val="44"/>
          <w:szCs w:val="44"/>
        </w:rPr>
        <w:t>Dylunio a chynnal astudiaeth ymchwil ar raddfa fach, a gwerthuso’n feirniadol yr offer a ddewiswyd, ac effaith eich canfyddiadau ar eich arfer proffesiynol.</w:t>
      </w:r>
    </w:p>
    <w:p w14:paraId="78DCE9B9" w14:textId="77777777" w:rsidR="000E2E7E" w:rsidRPr="00D71C2B" w:rsidRDefault="000E2E7E">
      <w:pPr>
        <w:rPr>
          <w:b/>
          <w:bCs/>
          <w:sz w:val="52"/>
          <w:szCs w:val="52"/>
        </w:rPr>
      </w:pPr>
    </w:p>
    <w:p w14:paraId="04EF4583" w14:textId="795E7B93" w:rsidR="00CA4514" w:rsidRPr="00D71C2B" w:rsidRDefault="00430597">
      <w:pPr>
        <w:rPr>
          <w:b/>
          <w:bCs/>
          <w:sz w:val="52"/>
          <w:szCs w:val="52"/>
        </w:rPr>
      </w:pPr>
      <w:r w:rsidRPr="00D71C2B">
        <w:rPr>
          <w:b/>
          <w:bCs/>
          <w:sz w:val="52"/>
          <w:szCs w:val="52"/>
        </w:rPr>
        <w:t>Enw myfyriwr</w:t>
      </w:r>
      <w:r w:rsidR="000E2E7E" w:rsidRPr="00D71C2B">
        <w:rPr>
          <w:b/>
          <w:bCs/>
          <w:sz w:val="52"/>
          <w:szCs w:val="52"/>
        </w:rPr>
        <w:t>:</w:t>
      </w:r>
      <w:r w:rsidR="00CE0FF1" w:rsidRPr="00D71C2B">
        <w:rPr>
          <w:b/>
          <w:bCs/>
          <w:sz w:val="52"/>
          <w:szCs w:val="52"/>
        </w:rPr>
        <w:t xml:space="preserve"> Tejay Hampton</w:t>
      </w:r>
    </w:p>
    <w:p w14:paraId="1025240F" w14:textId="3642EDA2" w:rsidR="000E2E7E" w:rsidRPr="00D71C2B" w:rsidRDefault="00430597">
      <w:pPr>
        <w:rPr>
          <w:b/>
          <w:bCs/>
          <w:sz w:val="52"/>
          <w:szCs w:val="52"/>
        </w:rPr>
      </w:pPr>
      <w:r w:rsidRPr="00D71C2B">
        <w:rPr>
          <w:b/>
          <w:bCs/>
          <w:sz w:val="52"/>
          <w:szCs w:val="52"/>
        </w:rPr>
        <w:t xml:space="preserve">Rhif myfyriwr: </w:t>
      </w:r>
      <w:r w:rsidR="00CE0FF1" w:rsidRPr="00D71C2B">
        <w:rPr>
          <w:b/>
          <w:bCs/>
          <w:sz w:val="52"/>
          <w:szCs w:val="52"/>
        </w:rPr>
        <w:t>2305227</w:t>
      </w:r>
    </w:p>
    <w:p w14:paraId="33CB9AEB" w14:textId="77777777" w:rsidR="000E2E7E" w:rsidRPr="00D71C2B" w:rsidRDefault="000E2E7E">
      <w:pPr>
        <w:rPr>
          <w:b/>
          <w:bCs/>
          <w:sz w:val="52"/>
          <w:szCs w:val="52"/>
        </w:rPr>
      </w:pPr>
    </w:p>
    <w:p w14:paraId="097A6454" w14:textId="433A6BD9" w:rsidR="000E2E7E" w:rsidRPr="00D71C2B" w:rsidRDefault="000E2E7E">
      <w:pPr>
        <w:rPr>
          <w:b/>
          <w:bCs/>
          <w:sz w:val="52"/>
          <w:szCs w:val="52"/>
        </w:rPr>
      </w:pPr>
      <w:r w:rsidRPr="00D71C2B">
        <w:rPr>
          <w:b/>
          <w:bCs/>
          <w:sz w:val="52"/>
          <w:szCs w:val="52"/>
        </w:rPr>
        <w:t xml:space="preserve">BA </w:t>
      </w:r>
      <w:r w:rsidR="00430597" w:rsidRPr="00D71C2B">
        <w:rPr>
          <w:b/>
          <w:bCs/>
          <w:sz w:val="52"/>
          <w:szCs w:val="52"/>
        </w:rPr>
        <w:t>Addysg Gynradd</w:t>
      </w:r>
      <w:r w:rsidRPr="00D71C2B">
        <w:rPr>
          <w:b/>
          <w:bCs/>
          <w:sz w:val="52"/>
          <w:szCs w:val="52"/>
        </w:rPr>
        <w:t xml:space="preserve"> (</w:t>
      </w:r>
      <w:r w:rsidR="00430597" w:rsidRPr="00D71C2B">
        <w:rPr>
          <w:b/>
          <w:bCs/>
          <w:sz w:val="52"/>
          <w:szCs w:val="52"/>
        </w:rPr>
        <w:t>SAC</w:t>
      </w:r>
      <w:r w:rsidRPr="00D71C2B">
        <w:rPr>
          <w:b/>
          <w:bCs/>
          <w:sz w:val="52"/>
          <w:szCs w:val="52"/>
        </w:rPr>
        <w:t>)</w:t>
      </w:r>
    </w:p>
    <w:p w14:paraId="541E41DC" w14:textId="592E9A59" w:rsidR="00430597" w:rsidRPr="00D71C2B" w:rsidRDefault="00430597" w:rsidP="000E2E7E">
      <w:pPr>
        <w:rPr>
          <w:b/>
          <w:bCs/>
          <w:sz w:val="32"/>
          <w:szCs w:val="32"/>
          <w:u w:val="single"/>
        </w:rPr>
      </w:pPr>
      <w:r w:rsidRPr="00D71C2B">
        <w:rPr>
          <w:b/>
          <w:bCs/>
          <w:sz w:val="32"/>
          <w:szCs w:val="32"/>
          <w:u w:val="single"/>
        </w:rPr>
        <w:lastRenderedPageBreak/>
        <w:t>Cydnabyddiaeth AI (Deallusrwydd Artiffisial)</w:t>
      </w:r>
    </w:p>
    <w:p w14:paraId="311990D1" w14:textId="77777777" w:rsidR="000E2E7E" w:rsidRPr="00D71C2B" w:rsidRDefault="000E2E7E" w:rsidP="000E2E7E"/>
    <w:p w14:paraId="44C27DC4" w14:textId="77777777" w:rsidR="00430597" w:rsidRPr="00D71C2B" w:rsidRDefault="00430597" w:rsidP="000E2E7E">
      <w:r w:rsidRPr="00D71C2B">
        <w:t>Rwy’n cadarnhau nad wyf wedi defnyddio unrhyw offer AI wrth ymchwilio a chreu’r aseiniad hwn.</w:t>
      </w:r>
    </w:p>
    <w:p w14:paraId="268F553D" w14:textId="77777777" w:rsidR="00430597" w:rsidRPr="00D71C2B" w:rsidRDefault="00430597" w:rsidP="000E2E7E">
      <w:r w:rsidRPr="00D71C2B">
        <w:t>Rwy’n cadarnhau nad wyf wedi cyflwyno unrhyw ddefnyddiau a gynhyrchwyd gan AI fel fy ngwaith fy hun.</w:t>
      </w:r>
    </w:p>
    <w:p w14:paraId="48D0814A" w14:textId="6C961AB3" w:rsidR="00430597" w:rsidRPr="00D71C2B" w:rsidRDefault="00430597" w:rsidP="000E2E7E">
      <w:r w:rsidRPr="00D71C2B">
        <w:t>Rwy’n cadarnhau bod gennyf gop</w:t>
      </w:r>
      <w:r w:rsidR="00966E3B" w:rsidRPr="00D71C2B">
        <w:rPr>
          <w:rFonts w:ascii="Calibri" w:hAnsi="Calibri" w:cs="Calibri"/>
        </w:rPr>
        <w:t>ï</w:t>
      </w:r>
      <w:r w:rsidRPr="00D71C2B">
        <w:t>au o’m drafftiau, fy nodiadau, ac ad</w:t>
      </w:r>
      <w:r w:rsidR="00966E3B" w:rsidRPr="00D71C2B">
        <w:t>n</w:t>
      </w:r>
      <w:r w:rsidRPr="00D71C2B">
        <w:t xml:space="preserve">oddau eraill a ddefnyddiais, y gellir gofyn </w:t>
      </w:r>
      <w:r w:rsidR="00966E3B" w:rsidRPr="00D71C2B">
        <w:t>i</w:t>
      </w:r>
      <w:r w:rsidRPr="00D71C2B">
        <w:t xml:space="preserve"> mi eu darparu fel tystiolaeth.</w:t>
      </w:r>
    </w:p>
    <w:p w14:paraId="607D962A" w14:textId="77777777" w:rsidR="000E2E7E" w:rsidRPr="00D71C2B" w:rsidRDefault="000E2E7E" w:rsidP="000E2E7E">
      <w:pPr>
        <w:rPr>
          <w:sz w:val="16"/>
          <w:szCs w:val="16"/>
        </w:rPr>
      </w:pPr>
    </w:p>
    <w:p w14:paraId="7DAD7D77" w14:textId="77777777" w:rsidR="000E2E7E" w:rsidRPr="00D71C2B" w:rsidRDefault="000E2E7E" w:rsidP="000E2E7E">
      <w:pPr>
        <w:rPr>
          <w:sz w:val="16"/>
          <w:szCs w:val="16"/>
        </w:rPr>
      </w:pPr>
    </w:p>
    <w:p w14:paraId="0C3B936C" w14:textId="77777777" w:rsidR="000E2E7E" w:rsidRPr="00D71C2B" w:rsidRDefault="000E2E7E" w:rsidP="000E2E7E">
      <w:pPr>
        <w:rPr>
          <w:sz w:val="16"/>
          <w:szCs w:val="16"/>
        </w:rPr>
      </w:pPr>
    </w:p>
    <w:p w14:paraId="02CA2DEC" w14:textId="77777777" w:rsidR="000E2E7E" w:rsidRPr="00D71C2B" w:rsidRDefault="000E2E7E" w:rsidP="000E2E7E">
      <w:pPr>
        <w:rPr>
          <w:sz w:val="16"/>
          <w:szCs w:val="16"/>
        </w:rPr>
      </w:pPr>
    </w:p>
    <w:p w14:paraId="22EDE37A" w14:textId="77777777" w:rsidR="000E2E7E" w:rsidRPr="00D71C2B" w:rsidRDefault="000E2E7E" w:rsidP="000E2E7E">
      <w:pPr>
        <w:rPr>
          <w:sz w:val="16"/>
          <w:szCs w:val="16"/>
        </w:rPr>
      </w:pPr>
    </w:p>
    <w:p w14:paraId="7CEF6108" w14:textId="77777777" w:rsidR="000E2E7E" w:rsidRPr="00D71C2B" w:rsidRDefault="000E2E7E" w:rsidP="000E2E7E">
      <w:pPr>
        <w:rPr>
          <w:sz w:val="16"/>
          <w:szCs w:val="16"/>
        </w:rPr>
      </w:pPr>
    </w:p>
    <w:p w14:paraId="3B533FD1" w14:textId="77777777" w:rsidR="000E2E7E" w:rsidRPr="00D71C2B" w:rsidRDefault="000E2E7E" w:rsidP="000E2E7E">
      <w:pPr>
        <w:rPr>
          <w:sz w:val="16"/>
          <w:szCs w:val="16"/>
        </w:rPr>
      </w:pPr>
    </w:p>
    <w:p w14:paraId="6CDE5B9A" w14:textId="77777777" w:rsidR="000E2E7E" w:rsidRPr="00D71C2B" w:rsidRDefault="000E2E7E" w:rsidP="000E2E7E">
      <w:pPr>
        <w:rPr>
          <w:sz w:val="16"/>
          <w:szCs w:val="16"/>
        </w:rPr>
      </w:pPr>
    </w:p>
    <w:p w14:paraId="576F22A4" w14:textId="77777777" w:rsidR="000E2E7E" w:rsidRPr="00D71C2B" w:rsidRDefault="000E2E7E" w:rsidP="000E2E7E">
      <w:pPr>
        <w:rPr>
          <w:sz w:val="16"/>
          <w:szCs w:val="16"/>
        </w:rPr>
      </w:pPr>
    </w:p>
    <w:tbl>
      <w:tblPr>
        <w:tblStyle w:val="GridTabl"/>
        <w:tblW w:w="11606" w:type="dxa"/>
        <w:tblInd w:w="-1292" w:type="dxa"/>
        <w:tblLook w:val="04A0" w:firstRow="1" w:lastRow="0" w:firstColumn="1" w:lastColumn="0" w:noHBand="0" w:noVBand="1"/>
      </w:tblPr>
      <w:tblGrid>
        <w:gridCol w:w="4815"/>
        <w:gridCol w:w="2835"/>
        <w:gridCol w:w="3956"/>
      </w:tblGrid>
      <w:tr w:rsidR="000E2E7E" w:rsidRPr="00D71C2B" w14:paraId="0ADB3F25" w14:textId="77777777" w:rsidTr="00834F6B">
        <w:trPr>
          <w:trHeight w:val="360"/>
        </w:trPr>
        <w:tc>
          <w:tcPr>
            <w:tcW w:w="4815" w:type="dxa"/>
          </w:tcPr>
          <w:p w14:paraId="2110C93E" w14:textId="0F3A0BAE" w:rsidR="000E2E7E" w:rsidRPr="00D71C2B" w:rsidRDefault="000E2E7E" w:rsidP="00AE36BB">
            <w:pPr>
              <w:rPr>
                <w:color w:val="FFFFFF"/>
                <w:sz w:val="28"/>
                <w:szCs w:val="28"/>
              </w:rPr>
            </w:pPr>
            <w:r w:rsidRPr="00D71C2B">
              <w:rPr>
                <w:sz w:val="28"/>
                <w:szCs w:val="28"/>
              </w:rPr>
              <w:t>Targe</w:t>
            </w:r>
            <w:r w:rsidR="00364CA1" w:rsidRPr="00D71C2B">
              <w:rPr>
                <w:sz w:val="28"/>
                <w:szCs w:val="28"/>
              </w:rPr>
              <w:t>dau o’r adborth modwl diwethaf</w:t>
            </w:r>
          </w:p>
        </w:tc>
        <w:tc>
          <w:tcPr>
            <w:tcW w:w="2835" w:type="dxa"/>
          </w:tcPr>
          <w:p w14:paraId="1C0504E0" w14:textId="2B7BF6A0" w:rsidR="000E2E7E" w:rsidRPr="00D71C2B" w:rsidRDefault="00364CA1" w:rsidP="00AE36BB">
            <w:pPr>
              <w:rPr>
                <w:color w:val="FFFFFF"/>
                <w:sz w:val="28"/>
                <w:szCs w:val="28"/>
              </w:rPr>
            </w:pPr>
            <w:r w:rsidRPr="00D71C2B">
              <w:rPr>
                <w:sz w:val="28"/>
                <w:szCs w:val="28"/>
              </w:rPr>
              <w:t>Sut ydych wedi gweithio ar hwn?</w:t>
            </w:r>
          </w:p>
        </w:tc>
        <w:tc>
          <w:tcPr>
            <w:tcW w:w="3956" w:type="dxa"/>
          </w:tcPr>
          <w:p w14:paraId="0ED8A1ED" w14:textId="1E3E0352" w:rsidR="000E2E7E" w:rsidRPr="00D71C2B" w:rsidRDefault="00364CA1" w:rsidP="00AE36BB">
            <w:pPr>
              <w:rPr>
                <w:rFonts w:cs="Calibri"/>
                <w:sz w:val="28"/>
                <w:szCs w:val="28"/>
              </w:rPr>
            </w:pPr>
            <w:r w:rsidRPr="00D71C2B">
              <w:rPr>
                <w:rFonts w:cs="Calibri"/>
                <w:sz w:val="28"/>
                <w:szCs w:val="28"/>
              </w:rPr>
              <w:t>Mae enghraifft ar gael yn...</w:t>
            </w:r>
          </w:p>
          <w:p w14:paraId="0798C571" w14:textId="146BBBF0" w:rsidR="000E2E7E" w:rsidRPr="00D71C2B" w:rsidRDefault="000E2E7E" w:rsidP="00AE36BB">
            <w:pPr>
              <w:rPr>
                <w:color w:val="FFFFFF"/>
                <w:sz w:val="28"/>
                <w:szCs w:val="28"/>
              </w:rPr>
            </w:pPr>
          </w:p>
        </w:tc>
      </w:tr>
      <w:tr w:rsidR="00834F6B" w:rsidRPr="00D71C2B" w14:paraId="0EC7171C" w14:textId="77777777" w:rsidTr="00834F6B">
        <w:trPr>
          <w:trHeight w:val="338"/>
        </w:trPr>
        <w:tc>
          <w:tcPr>
            <w:tcW w:w="4815" w:type="dxa"/>
          </w:tcPr>
          <w:p w14:paraId="326821D1" w14:textId="77777777" w:rsidR="00834F6B" w:rsidRPr="00D71C2B" w:rsidRDefault="00834F6B" w:rsidP="00834F6B">
            <w:pPr>
              <w:rPr>
                <w:sz w:val="16"/>
                <w:szCs w:val="16"/>
              </w:rPr>
            </w:pPr>
            <w:r w:rsidRPr="00834F6B">
              <w:rPr>
                <w:sz w:val="16"/>
                <w:szCs w:val="16"/>
              </w:rPr>
              <w:t xml:space="preserve">Angen adolygu mân wallau cyfeirnodi e.e. </w:t>
            </w:r>
          </w:p>
          <w:p w14:paraId="50C2939B" w14:textId="77777777" w:rsidR="00834F6B" w:rsidRPr="00D71C2B" w:rsidRDefault="00834F6B" w:rsidP="00834F6B">
            <w:pPr>
              <w:rPr>
                <w:sz w:val="16"/>
                <w:szCs w:val="16"/>
              </w:rPr>
            </w:pPr>
            <w:r w:rsidRPr="00834F6B">
              <w:rPr>
                <w:sz w:val="16"/>
                <w:szCs w:val="16"/>
              </w:rPr>
              <w:t>cynnwys man cyhoeddi a chyhoeddwyr</w:t>
            </w:r>
          </w:p>
          <w:p w14:paraId="4A8C946F" w14:textId="7F4A8C52" w:rsidR="00834F6B" w:rsidRPr="00D71C2B" w:rsidRDefault="00834F6B" w:rsidP="00834F6B">
            <w:pPr>
              <w:rPr>
                <w:sz w:val="16"/>
                <w:szCs w:val="16"/>
              </w:rPr>
            </w:pPr>
            <w:r w:rsidRPr="00834F6B">
              <w:rPr>
                <w:sz w:val="16"/>
                <w:szCs w:val="16"/>
              </w:rPr>
              <w:t xml:space="preserve">llyfrau yn y </w:t>
            </w:r>
            <w:r w:rsidR="00CE0FF1" w:rsidRPr="00D71C2B">
              <w:rPr>
                <w:sz w:val="16"/>
                <w:szCs w:val="16"/>
              </w:rPr>
              <w:t>rhestr gyfeirnodi</w:t>
            </w:r>
            <w:r w:rsidRPr="00834F6B">
              <w:rPr>
                <w:sz w:val="16"/>
                <w:szCs w:val="16"/>
              </w:rPr>
              <w:t>.</w:t>
            </w:r>
          </w:p>
          <w:p w14:paraId="2949CADE" w14:textId="77777777" w:rsidR="00834F6B" w:rsidRPr="00D71C2B" w:rsidRDefault="00834F6B" w:rsidP="00834F6B">
            <w:pPr>
              <w:rPr>
                <w:sz w:val="16"/>
                <w:szCs w:val="16"/>
              </w:rPr>
            </w:pPr>
            <w:r w:rsidRPr="00834F6B">
              <w:rPr>
                <w:sz w:val="16"/>
                <w:szCs w:val="16"/>
              </w:rPr>
              <w:t>Defnyddier:</w:t>
            </w:r>
          </w:p>
          <w:p w14:paraId="6CDCD88A" w14:textId="6FE28199" w:rsidR="00834F6B" w:rsidRPr="00D71C2B" w:rsidRDefault="00834F6B" w:rsidP="00834F6B">
            <w:pPr>
              <w:rPr>
                <w:sz w:val="16"/>
                <w:szCs w:val="16"/>
              </w:rPr>
            </w:pPr>
            <w:hyperlink r:id="rId6" w:history="1">
              <w:r w:rsidRPr="00834F6B">
                <w:rPr>
                  <w:rStyle w:val="Hyperddolen"/>
                  <w:sz w:val="16"/>
                  <w:szCs w:val="16"/>
                </w:rPr>
                <w:t>https://intranet.uwtsd.ac.uk/cy/media/279/download?attachment</w:t>
              </w:r>
            </w:hyperlink>
          </w:p>
          <w:p w14:paraId="299D71CC" w14:textId="6F6C28CE" w:rsidR="00834F6B" w:rsidRPr="00834F6B" w:rsidRDefault="00834F6B" w:rsidP="00834F6B">
            <w:pPr>
              <w:rPr>
                <w:sz w:val="16"/>
                <w:szCs w:val="16"/>
              </w:rPr>
            </w:pPr>
            <w:r w:rsidRPr="00834F6B">
              <w:rPr>
                <w:sz w:val="16"/>
                <w:szCs w:val="16"/>
              </w:rPr>
              <w:t>er mwyn gwella hyn. </w:t>
            </w:r>
          </w:p>
          <w:p w14:paraId="4DC5C8A2" w14:textId="77777777" w:rsidR="000E2E7E" w:rsidRPr="00D71C2B" w:rsidRDefault="000E2E7E" w:rsidP="00AE36BB">
            <w:pPr>
              <w:rPr>
                <w:sz w:val="18"/>
                <w:szCs w:val="18"/>
              </w:rPr>
            </w:pPr>
          </w:p>
          <w:p w14:paraId="18121FAC" w14:textId="77777777" w:rsidR="000E2E7E" w:rsidRPr="00D71C2B" w:rsidRDefault="000E2E7E" w:rsidP="00AE36BB">
            <w:pPr>
              <w:rPr>
                <w:sz w:val="18"/>
                <w:szCs w:val="18"/>
              </w:rPr>
            </w:pPr>
          </w:p>
        </w:tc>
        <w:tc>
          <w:tcPr>
            <w:tcW w:w="2835" w:type="dxa"/>
          </w:tcPr>
          <w:p w14:paraId="0A55C9ED" w14:textId="55975802" w:rsidR="000E2E7E" w:rsidRPr="00D71C2B" w:rsidRDefault="00834F6B" w:rsidP="00AE36BB">
            <w:r w:rsidRPr="00D71C2B">
              <w:t>Gwirio pob cyfeirnodi mewn yr aseiniad a hefyd ar y rhestr cyfeirnodi a cymharu i’r linc rhoddwyd can yr marcwyr</w:t>
            </w:r>
            <w:r w:rsidR="00CE0FF1" w:rsidRPr="00D71C2B">
              <w:t xml:space="preserve">. Hefyd defnyddiais i llawer o cyfeirnodi or restr darllen </w:t>
            </w:r>
          </w:p>
        </w:tc>
        <w:tc>
          <w:tcPr>
            <w:tcW w:w="3956" w:type="dxa"/>
          </w:tcPr>
          <w:p w14:paraId="183044AB" w14:textId="77777777" w:rsidR="000E2E7E" w:rsidRPr="00D71C2B" w:rsidRDefault="000E2E7E" w:rsidP="00AE36BB"/>
        </w:tc>
      </w:tr>
      <w:tr w:rsidR="000E2E7E" w:rsidRPr="00D71C2B" w14:paraId="388E36FE" w14:textId="77777777" w:rsidTr="00834F6B">
        <w:trPr>
          <w:trHeight w:val="338"/>
        </w:trPr>
        <w:tc>
          <w:tcPr>
            <w:tcW w:w="4815" w:type="dxa"/>
          </w:tcPr>
          <w:p w14:paraId="1F9DFD7B" w14:textId="77777777" w:rsidR="00834F6B" w:rsidRPr="00D71C2B" w:rsidRDefault="00834F6B" w:rsidP="00AE36BB">
            <w:pPr>
              <w:rPr>
                <w:sz w:val="16"/>
                <w:szCs w:val="16"/>
              </w:rPr>
            </w:pPr>
            <w:r w:rsidRPr="00D71C2B">
              <w:rPr>
                <w:sz w:val="16"/>
                <w:szCs w:val="16"/>
              </w:rPr>
              <w:t xml:space="preserve">Adolygu’r hyn ddywed dogfennaeth </w:t>
            </w:r>
          </w:p>
          <w:p w14:paraId="2740262D" w14:textId="18FF9258" w:rsidR="000E2E7E" w:rsidRPr="00D71C2B" w:rsidRDefault="00834F6B" w:rsidP="00AE36BB">
            <w:pPr>
              <w:rPr>
                <w:sz w:val="16"/>
                <w:szCs w:val="16"/>
              </w:rPr>
            </w:pPr>
            <w:r w:rsidRPr="00D71C2B">
              <w:rPr>
                <w:sz w:val="16"/>
                <w:szCs w:val="16"/>
              </w:rPr>
              <w:t>Cwricwlwm i Gymru am asesu crynodol.  </w:t>
            </w:r>
          </w:p>
          <w:p w14:paraId="06CE4F7D" w14:textId="77777777" w:rsidR="000E2E7E" w:rsidRPr="00D71C2B" w:rsidRDefault="000E2E7E" w:rsidP="00AE36BB"/>
        </w:tc>
        <w:tc>
          <w:tcPr>
            <w:tcW w:w="2835" w:type="dxa"/>
          </w:tcPr>
          <w:p w14:paraId="33CC185F" w14:textId="4CEE2B1C" w:rsidR="000E2E7E" w:rsidRPr="00D71C2B" w:rsidRDefault="00834F6B" w:rsidP="00AE36BB">
            <w:r w:rsidRPr="00D71C2B">
              <w:t>Siarad am yn cywir mewn cyd-testun hunanasesu</w:t>
            </w:r>
          </w:p>
        </w:tc>
        <w:tc>
          <w:tcPr>
            <w:tcW w:w="3956" w:type="dxa"/>
          </w:tcPr>
          <w:p w14:paraId="37CFC390" w14:textId="77777777" w:rsidR="000E2E7E" w:rsidRPr="00D71C2B" w:rsidRDefault="000E2E7E" w:rsidP="00AE36BB"/>
        </w:tc>
      </w:tr>
      <w:tr w:rsidR="000E2E7E" w:rsidRPr="00D71C2B" w14:paraId="05EE73CD" w14:textId="77777777" w:rsidTr="00834F6B">
        <w:trPr>
          <w:trHeight w:val="338"/>
        </w:trPr>
        <w:tc>
          <w:tcPr>
            <w:tcW w:w="4815" w:type="dxa"/>
          </w:tcPr>
          <w:p w14:paraId="3FF410FF" w14:textId="77777777" w:rsidR="00834F6B" w:rsidRPr="00D71C2B" w:rsidRDefault="00834F6B" w:rsidP="00AE36BB">
            <w:pPr>
              <w:rPr>
                <w:sz w:val="16"/>
                <w:szCs w:val="16"/>
              </w:rPr>
            </w:pPr>
            <w:r w:rsidRPr="00D71C2B">
              <w:rPr>
                <w:sz w:val="16"/>
                <w:szCs w:val="16"/>
              </w:rPr>
              <w:t xml:space="preserve">Gwirio’r sillafu yn drwyadl ar ambell sleid – </w:t>
            </w:r>
          </w:p>
          <w:p w14:paraId="520BA9FC" w14:textId="77777777" w:rsidR="00834F6B" w:rsidRPr="00D71C2B" w:rsidRDefault="00834F6B" w:rsidP="00AE36BB">
            <w:pPr>
              <w:rPr>
                <w:sz w:val="16"/>
                <w:szCs w:val="16"/>
              </w:rPr>
            </w:pPr>
            <w:r w:rsidRPr="00D71C2B">
              <w:rPr>
                <w:sz w:val="16"/>
                <w:szCs w:val="16"/>
              </w:rPr>
              <w:t>defnyddier yr adnodd ‘Golygydd’</w:t>
            </w:r>
          </w:p>
          <w:p w14:paraId="5C658833" w14:textId="2484FA39" w:rsidR="000E2E7E" w:rsidRPr="00D71C2B" w:rsidRDefault="00834F6B" w:rsidP="00AE36BB">
            <w:pPr>
              <w:rPr>
                <w:sz w:val="16"/>
                <w:szCs w:val="16"/>
              </w:rPr>
            </w:pPr>
            <w:r w:rsidRPr="00D71C2B">
              <w:rPr>
                <w:sz w:val="16"/>
                <w:szCs w:val="16"/>
              </w:rPr>
              <w:t>sydd ar gael yn Word fel man cychwyn.  </w:t>
            </w:r>
          </w:p>
          <w:p w14:paraId="42E07348" w14:textId="77777777" w:rsidR="000E2E7E" w:rsidRPr="00D71C2B" w:rsidRDefault="000E2E7E" w:rsidP="00AE36BB"/>
        </w:tc>
        <w:tc>
          <w:tcPr>
            <w:tcW w:w="2835" w:type="dxa"/>
          </w:tcPr>
          <w:p w14:paraId="37B37629" w14:textId="533E4644" w:rsidR="000E2E7E" w:rsidRPr="00D71C2B" w:rsidRDefault="00834F6B" w:rsidP="00AE36BB">
            <w:r w:rsidRPr="00D71C2B">
              <w:t>Wedi gwirio sillafu gyda Cysill a ail-edrych a draftio yr asseiniad</w:t>
            </w:r>
          </w:p>
        </w:tc>
        <w:tc>
          <w:tcPr>
            <w:tcW w:w="3956" w:type="dxa"/>
          </w:tcPr>
          <w:p w14:paraId="7AC8D709" w14:textId="77777777" w:rsidR="000E2E7E" w:rsidRPr="00D71C2B" w:rsidRDefault="000E2E7E" w:rsidP="00AE36BB"/>
        </w:tc>
      </w:tr>
    </w:tbl>
    <w:p w14:paraId="44B6B5EF" w14:textId="77777777" w:rsidR="000E2E7E" w:rsidRPr="00D71C2B" w:rsidRDefault="000E2E7E" w:rsidP="000E2E7E">
      <w:pPr>
        <w:rPr>
          <w:sz w:val="16"/>
          <w:szCs w:val="16"/>
        </w:rPr>
      </w:pPr>
    </w:p>
    <w:p w14:paraId="4CF6C14B" w14:textId="77777777" w:rsidR="000E2E7E" w:rsidRPr="00D71C2B" w:rsidRDefault="000E2E7E" w:rsidP="000E2E7E">
      <w:pPr>
        <w:rPr>
          <w:sz w:val="16"/>
          <w:szCs w:val="16"/>
        </w:rPr>
      </w:pPr>
    </w:p>
    <w:p w14:paraId="316233A3" w14:textId="77777777" w:rsidR="000E2E7E" w:rsidRPr="00D71C2B" w:rsidRDefault="000E2E7E" w:rsidP="000E2E7E">
      <w:pPr>
        <w:rPr>
          <w:sz w:val="16"/>
          <w:szCs w:val="16"/>
        </w:rPr>
      </w:pPr>
    </w:p>
    <w:p w14:paraId="4A079569" w14:textId="77777777" w:rsidR="00CE0FF1" w:rsidRPr="00D71C2B" w:rsidRDefault="00CE0FF1" w:rsidP="000E2E7E">
      <w:pPr>
        <w:rPr>
          <w:sz w:val="36"/>
          <w:szCs w:val="36"/>
        </w:rPr>
      </w:pPr>
    </w:p>
    <w:p w14:paraId="1770EA2B" w14:textId="77777777" w:rsidR="00CE0FF1" w:rsidRPr="00D71C2B" w:rsidRDefault="00CE0FF1" w:rsidP="000E2E7E">
      <w:pPr>
        <w:rPr>
          <w:sz w:val="36"/>
          <w:szCs w:val="36"/>
        </w:rPr>
      </w:pPr>
    </w:p>
    <w:p w14:paraId="08E911B3" w14:textId="77777777" w:rsidR="00CE0FF1" w:rsidRPr="00D71C2B" w:rsidRDefault="002E1274" w:rsidP="000E2E7E">
      <w:pPr>
        <w:rPr>
          <w:sz w:val="36"/>
          <w:szCs w:val="36"/>
        </w:rPr>
      </w:pPr>
      <w:r w:rsidRPr="00D71C2B">
        <w:rPr>
          <w:sz w:val="36"/>
          <w:szCs w:val="36"/>
        </w:rPr>
        <w:lastRenderedPageBreak/>
        <w:t>Cwestiwn Ymchwil</w:t>
      </w:r>
      <w:r w:rsidR="00CE0FF1" w:rsidRPr="00D71C2B">
        <w:rPr>
          <w:sz w:val="36"/>
          <w:szCs w:val="36"/>
        </w:rPr>
        <w:t xml:space="preserve"> </w:t>
      </w:r>
    </w:p>
    <w:p w14:paraId="66CC6D9E" w14:textId="66FC0AB6" w:rsidR="000E2E7E" w:rsidRPr="00D71C2B" w:rsidRDefault="00CE0FF1" w:rsidP="000E2E7E">
      <w:pPr>
        <w:rPr>
          <w:sz w:val="36"/>
          <w:szCs w:val="36"/>
          <w:u w:val="single"/>
        </w:rPr>
      </w:pPr>
      <w:r w:rsidRPr="00D71C2B">
        <w:rPr>
          <w:sz w:val="36"/>
          <w:szCs w:val="36"/>
          <w:u w:val="single"/>
        </w:rPr>
        <w:t>Sut mae hunan-asesu yn dylanwadu ar berfformiad academaidd a chymhelliant dysgwyr Blwyddyn 3 a 4?</w:t>
      </w:r>
    </w:p>
    <w:p w14:paraId="5EEB95F2" w14:textId="2A5B5442" w:rsidR="000E2E7E" w:rsidRPr="00D71C2B" w:rsidRDefault="002E1274" w:rsidP="000E2E7E">
      <w:pPr>
        <w:rPr>
          <w:sz w:val="28"/>
          <w:szCs w:val="28"/>
        </w:rPr>
      </w:pPr>
      <w:r w:rsidRPr="00D71C2B">
        <w:rPr>
          <w:sz w:val="28"/>
          <w:szCs w:val="28"/>
        </w:rPr>
        <w:t>Cyflwyniad</w:t>
      </w:r>
    </w:p>
    <w:p w14:paraId="10236FDF" w14:textId="3994FE05" w:rsidR="00CE0FF1" w:rsidRPr="00D71C2B" w:rsidRDefault="00CE0FF1" w:rsidP="000E2E7E">
      <w:pPr>
        <w:rPr>
          <w:sz w:val="28"/>
          <w:szCs w:val="28"/>
        </w:rPr>
      </w:pPr>
      <w:r w:rsidRPr="00D71C2B">
        <w:rPr>
          <w:sz w:val="28"/>
          <w:szCs w:val="28"/>
        </w:rPr>
        <w:t>Drwy gydol yr aseiniad hwn byddaf yn cynnal astudiaeth ymchwil ar sut mae myfyrwyr ac athrawon yn canfod effeithiolrwydd strategaeth Asesu ar gyfer Dysgu (AagD) a ddewiswyd. Ar ben hynny byddaf wedyn yn dadansoddi’r data ac yn ei gysylltu’n ôl ag ymchwil a llenyddiaeth berthnasol, byddaf hefyd yn gwerthuso’n feirniadol y fethodoleg a ddefnyddiwyd i gynnal yr astudiaeth ymchwil gan gynnwys y negyddol a’r manteision a ddaw o’r astudiaeth ac a ellir adolygu’r data a gasglwyd fel rhai cywir ai peidio. Cyfeiria Estyn (2022, tud. 2), y corff sy’n arolygu ysgolion yng Nghymru, at bwysigrwydd AagD gan ddatgan "Mae asesiadau sy'n ffafriol i ddysgu yn galluogi addysgwyr i nodi hyfedredd a chyfyngiadau myfyrwyr, a thrwy hynny hwyluso dyluniad strategol profiadau addysgol dilynol.” Mae AagD hefyd yn un o’r deuddeg egwyddor addysgeg o fewn fframwaith Cwricwlwm i Gymru (Llywodraeth Cymru, 2022). Mae canllawiau pedagogaidd Llywodraeth Cymru (2018) hefyd yn tanlinellu arwyddocâd gwerthuso strategaethau AagD i sicrhau eu bod yn gynhwysol ac yn cyfrannu at welliant parhaus addysgu a dysgu. Mae'n helpu addysgwyr i benderfynu pa ddulliau sydd fwyaf buddiol ar gyfer dysgu a datblygiad myfyrwyr. Penderfynwyd canolbwyntio ar y strategaeth hunan-asesu ar gyfer yr astudiaeth ymchwil er mwyn datblygu fy ngwybodaeth a’m dealltwriaeth a gwella fy arfer proffesiynol yn y dosbarth. Pwrpas yr ymchwil oedd archwilio sut mae hunan-asesu yn dylanwadu ar berfformiad academaidd a chymhelliant dysgwyr. Mi wnes i gynnal yr ymchwil gyda staff a dysgwyr blwyddyn 3 a 4 mewn ysgol gynradd cyfrwng Cymraeg. Gan dynnu ar ganllawiau Cymdeithas Ymchwil Addysgol Prydain (BERA, 2024), roeddwn yn blaenoriaethu cyfrinachedd cyfranogwyr, caniatâd gwybodus, a lleihau niwed.</w:t>
      </w:r>
    </w:p>
    <w:p w14:paraId="57EBFC4E" w14:textId="77777777" w:rsidR="000E2E7E" w:rsidRPr="00D71C2B" w:rsidRDefault="000E2E7E" w:rsidP="000E2E7E">
      <w:pPr>
        <w:rPr>
          <w:sz w:val="28"/>
          <w:szCs w:val="28"/>
        </w:rPr>
      </w:pPr>
    </w:p>
    <w:p w14:paraId="4831B7B5" w14:textId="77777777" w:rsidR="000E2E7E" w:rsidRPr="00D71C2B" w:rsidRDefault="000E2E7E" w:rsidP="000E2E7E">
      <w:pPr>
        <w:rPr>
          <w:sz w:val="28"/>
          <w:szCs w:val="28"/>
        </w:rPr>
      </w:pPr>
    </w:p>
    <w:p w14:paraId="74F4E629" w14:textId="40AC3492" w:rsidR="000E2E7E" w:rsidRPr="00D71C2B" w:rsidRDefault="002E1274" w:rsidP="000E2E7E">
      <w:pPr>
        <w:rPr>
          <w:sz w:val="28"/>
          <w:szCs w:val="28"/>
        </w:rPr>
      </w:pPr>
      <w:r w:rsidRPr="00D71C2B">
        <w:rPr>
          <w:sz w:val="28"/>
          <w:szCs w:val="28"/>
        </w:rPr>
        <w:lastRenderedPageBreak/>
        <w:t>Adolygiad Llenyddiaeth</w:t>
      </w:r>
    </w:p>
    <w:p w14:paraId="4700A16A" w14:textId="77777777" w:rsidR="00CE0FF1" w:rsidRPr="00CE0FF1" w:rsidRDefault="00CE0FF1" w:rsidP="00CE0FF1">
      <w:pPr>
        <w:rPr>
          <w:sz w:val="28"/>
          <w:szCs w:val="28"/>
        </w:rPr>
      </w:pPr>
      <w:r w:rsidRPr="00CE0FF1">
        <w:rPr>
          <w:sz w:val="28"/>
          <w:szCs w:val="28"/>
        </w:rPr>
        <w:t>Bwriadaf drafod y llenyddiaeth sydd wedi cael ei ysgrifennu ar y dechneg hunan-asesu a’i fanteision o fewn amgylchedd y dosbarth. Cyfeiria Hattie (2009) yn wreiddiol at y cydsyniad o hunan-asesu ac mae ei ddamcaniaeth yn pwysleisio pwysigrwydd dealltwriaeth myfyrwyr</w:t>
      </w:r>
    </w:p>
    <w:p w14:paraId="7E3D27E3" w14:textId="77777777" w:rsidR="00CE0FF1" w:rsidRPr="00CE0FF1" w:rsidRDefault="00CE0FF1" w:rsidP="00CE0FF1">
      <w:pPr>
        <w:rPr>
          <w:sz w:val="28"/>
          <w:szCs w:val="28"/>
        </w:rPr>
      </w:pPr>
      <w:r w:rsidRPr="00CE0FF1">
        <w:rPr>
          <w:sz w:val="28"/>
          <w:szCs w:val="28"/>
        </w:rPr>
        <w:t>o'u cynnydd dysgu eu hunain a rôl adborth wrth gyflawni lefelau uchel o ddeilliannau addysgol. Mae'n honni bod hunan-asesu ar ei fwyaf effeithiol pan fydd yn rhan o ddolen adborth ehangach sy'n cynnwys gwerthusiadau athrawon ac asesu cymheiriaid. Mae gwaith Hattie (2009) ar hunan-asesu yn ategu damcaniaethau Black a Wiliam (1998) ar AagD trwy ddarparu tystiolaeth empirig i gefnogi'r syniad bod hunan-asesu yn elfen hanfodol o asesu ffurfiannol. Mae'r ddau fframwaith yn eiriol dros gyfranogiad gweithredol myfyrwyr yn eu proses ddysgu eu hunain a phwysigrwydd adborth. Mae ymchwil Black a Wiliam (1998) yn pwysleisio y gall hunan-asesu, os yw’n cael eu integreiddio’n effeithiol, arwain at welliannau sylweddol ym mherfformiad a dealltwriaeth myfyrwyr. Mae meta-ddadansoddiad Hattie (2009) yn rhoi dimensiwn meintiol i’r canfyddiadau hyn, gan atgyfnerthu’r syniad nad strategaeth fuddiol yn unig yw hunan-asesu, ond un sy’n cael effaith sylweddol pan gaiff ei gweithredu’n briodol.</w:t>
      </w:r>
    </w:p>
    <w:p w14:paraId="0B301B24" w14:textId="77777777" w:rsidR="00CE0FF1" w:rsidRPr="00CE0FF1" w:rsidRDefault="00CE0FF1" w:rsidP="00CE0FF1">
      <w:pPr>
        <w:rPr>
          <w:sz w:val="28"/>
          <w:szCs w:val="28"/>
        </w:rPr>
      </w:pPr>
      <w:r w:rsidRPr="00CE0FF1">
        <w:rPr>
          <w:sz w:val="28"/>
          <w:szCs w:val="28"/>
        </w:rPr>
        <w:t xml:space="preserve">Mae hunan-asesu yn strategaeth AagD ffurfiannol allweddol sy'n cynnwys myfyrwyr wrth werthuso eu gwaith eu hunain yn erbyn meini prawf a safonau clir, yn aml gyda'r nod o wella eu canlyniadau dysgu. Mae wedi’i wreiddio’n ddwfn yn honiad Dylan Wiliam (2011) bod gwerthuso ffurfiannol, sydd fel hwb ysgafn sy'n helpu myfyrwyr i ddeall eu twf eu hunain, yn gysylltiedig â gwneud iddynt deimlo'n well amdanynt eu hunain ac yn fwy awyddus i ddysgu. Mae fel rhoi ychydig o hwb i blanhigyn i'w helpu i dyfu'n gyflymach ac yn gryfach. Mae'n bwysig oherwydd ei fod yn cynnwys pob myfyriwr, nid dim ond y rhai sydd eisoes yn blodeuo. Trwy gymryd rhan mewn hunan-asesu, mae myfyrwyr yn datblygu sgiliau meta-wybyddol, megis meddwl beirniadol a myfyrio, sy'n hanfodol ar gyfer dysgu effeithiol. Mae gwaith Wiliam (2011) yn pwysleisio bod yn rhaid i fyfyrwyr ddeall y meini prawf ar gyfer llwyddiant i gymryd rhan ystyrlon mewn hunan-asesu, sy'n cyd-fynd â'r syniad y dylai arferion asesu ffurfiannol fod yn dryloyw ac yn canolbwyntio ar y broses ddysgu yn hytrach na'r cynnyrch yn unig. Mae'r </w:t>
      </w:r>
      <w:r w:rsidRPr="00CE0FF1">
        <w:rPr>
          <w:sz w:val="28"/>
          <w:szCs w:val="28"/>
        </w:rPr>
        <w:lastRenderedPageBreak/>
        <w:t>dull hwn, fel yr argymhellwyd gan Denzin a Lincoln (2018) yn caniatáu ar gyfer archwiliad cyfoethog o brofiadau a safbwyntiau personol yr athro. Trwy integreiddio’r mewnwelediadau o weithiau arloesol fel “Asesiad yn yr Ystafell Ddosbarth ar gyfer Dysgu Myfyrwyr” gan Stiggins (2008), sy’n tanlinellu rôl ganolog hunan-asesu mewn gwerthuso</w:t>
      </w:r>
    </w:p>
    <w:p w14:paraId="5213904A" w14:textId="041273B3" w:rsidR="000E2E7E" w:rsidRPr="00D71C2B" w:rsidRDefault="00CE0FF1" w:rsidP="000E2E7E">
      <w:pPr>
        <w:rPr>
          <w:sz w:val="28"/>
          <w:szCs w:val="28"/>
        </w:rPr>
      </w:pPr>
      <w:r w:rsidRPr="00CE0FF1">
        <w:rPr>
          <w:sz w:val="28"/>
          <w:szCs w:val="28"/>
        </w:rPr>
        <w:t>ffurfiannol, a “Dysgu Hunan Reoledig a Chyflawniad Academaidd” gan Zimmerman a Schunk (2011), bydd y dadansoddiad yn seiliedig ar fframwaith damcaniaethol cadarn.</w:t>
      </w:r>
    </w:p>
    <w:p w14:paraId="30925BBA" w14:textId="69CA7FA7" w:rsidR="000E2E7E" w:rsidRPr="00D71C2B" w:rsidRDefault="00CA4514" w:rsidP="000E2E7E">
      <w:pPr>
        <w:rPr>
          <w:sz w:val="28"/>
          <w:szCs w:val="28"/>
        </w:rPr>
      </w:pPr>
      <w:r w:rsidRPr="00D71C2B">
        <w:rPr>
          <w:sz w:val="28"/>
          <w:szCs w:val="28"/>
        </w:rPr>
        <w:t>Methodoleg</w:t>
      </w:r>
    </w:p>
    <w:p w14:paraId="2685A889" w14:textId="77777777" w:rsidR="00CE0FF1" w:rsidRPr="00CE0FF1" w:rsidRDefault="00CE0FF1" w:rsidP="00CE0FF1">
      <w:pPr>
        <w:rPr>
          <w:sz w:val="28"/>
          <w:szCs w:val="28"/>
        </w:rPr>
      </w:pPr>
      <w:r w:rsidRPr="00CE0FF1">
        <w:rPr>
          <w:sz w:val="28"/>
          <w:szCs w:val="28"/>
        </w:rPr>
        <w:t>Wrth ddewis methodoleg ar gyfer astudiaeth ymchwil addysgol, mae ymchwilwyr yn ystyried ffactorau amrywiol megis y cwestiwn ymchwil, math o ddata, cyd-destun, safiad athronyddol, a chyfyngiadau ymarferol fel amser ac adnoddau. Mae Creswell (2014, tt.33-38) yn pwysleisio aliniad cynllun ymchwil â chwestiynau ymchwil ac effaith credoau epistemoleg ac ontolegol. Mae Glesne (2011, tt.17-49) yn tanlinellu ymhellach bwysigrwydd cyd-destun a’r cydadwaith rhwng ffactorau mewnol ac allanol wrth benderfynu ar y dull ymchwil addas yn ogystal mae'n bwysig ystyried ymarferoldeb yr astudiaeth ymchwil, a ellir ei hailadrodd ac a yw'n ymarferol ac yn berthnasol i gyd-destun y byd go iawn (pa mor uchel yw ei ddilysrwydd), a yw'r canlyniadau'n ddibynadwy (Patton, 2015). Mae lle i ddefnyddio data meintiol mewn ymchwil, ond efallai na fydd yn dal ffenomenau cymhleth fel AagD yn llawn mewn ystafelloedd dosbarth. Gan ddyfynnu Van Manen (1990), mae dulliau ansoddol megis arsylwadau a grwpiau ffocws yn rhoi mewnwelediad dyfnach i ryngweithiadau cymhleth athro-myfyriwr. Mae hyn yn cyferbynnu â dulliau meintiol a allai gorsymleiddio natur gynnil dysgu AagD. Ychwanega Vygotsky (1978) y gall dulliau ansoddol ddatgelu sut mae AagD yn cael ei chanfod a’i chymhwyso’n fwy effeithiol na data rhifiadol, gan gynnig dealltwriaeth gyfoethocach o’r broses ddysgu. Mewn cyd-destun o'r fath, gall data ansoddol ddatgelu'r profiadau byw sy'n dylanwadu ar effeithiolrwydd AagD, gan ddarparu persbectif dyfnach a mwy cyfannol ar y pwnc.</w:t>
      </w:r>
    </w:p>
    <w:p w14:paraId="709F468A" w14:textId="77777777" w:rsidR="00CE0FF1" w:rsidRPr="00CE0FF1" w:rsidRDefault="00CE0FF1" w:rsidP="00CE0FF1">
      <w:pPr>
        <w:rPr>
          <w:sz w:val="28"/>
          <w:szCs w:val="28"/>
        </w:rPr>
      </w:pPr>
      <w:r w:rsidRPr="00CE0FF1">
        <w:rPr>
          <w:sz w:val="28"/>
          <w:szCs w:val="28"/>
        </w:rPr>
        <w:t xml:space="preserve">Felly, er mwyn sicrhau dealltwriaeth gynhwysfawr o ddylanwad hunan-asesu ar berfformiad academaidd a chymhelliant myfyrwyr ysgol gynradd, </w:t>
      </w:r>
      <w:r w:rsidRPr="00CE0FF1">
        <w:rPr>
          <w:sz w:val="28"/>
          <w:szCs w:val="28"/>
        </w:rPr>
        <w:lastRenderedPageBreak/>
        <w:t>mae'r fethodoleg a ddewiswyd ar gyfer yr astudiaeth hon yn cwmpasu deuawd o dechnegau ymchwil ansoddol sef holiaduron a chyfweliadau. Penderfynwyd dosbarthu holiaduron i’r athrawon. Mae defnyddio holiaduron, fel amlyga Fraenkel a Wallen (2018) yn cynnig dull strwythuredig o gasglu sbectrwm eang o ddata yn effeithlon. Mae'r dull hwn yn arbennig o fanteisiol o ran cyrraedd nifer fawr o gyfranogwyr a chasglu safbwyntiau amrywiol, gan ddarparu set ddata cyfoethog y gellir ei dadansoddi'n thematig (Denscombe, 2014). Mae holiaduron mewn ymchwil yn cynnig nifer</w:t>
      </w:r>
    </w:p>
    <w:p w14:paraId="296213DF" w14:textId="77777777" w:rsidR="00CE0FF1" w:rsidRPr="00CE0FF1" w:rsidRDefault="00CE0FF1" w:rsidP="00CE0FF1">
      <w:pPr>
        <w:rPr>
          <w:sz w:val="28"/>
          <w:szCs w:val="28"/>
        </w:rPr>
      </w:pPr>
      <w:r w:rsidRPr="00CE0FF1">
        <w:rPr>
          <w:sz w:val="28"/>
          <w:szCs w:val="28"/>
        </w:rPr>
        <w:t>o fanteision. Mae Creswell (2014) yn nodi bod eu safoni yn sicrhau diogelwch data a chymaroldeb, sy'n cyd-fynd â safonau casglu data uchel CGA (2022). Mae Denscombe (2017) yn awgrymu bod anhysbysrwydd arolygon yn annog ymatebion gonest, yn enwedig gan rieni. Mae data meintiol yn hwyluso dadansoddi ystadegol a chyffredinoli, gan wella proffesiynoldeb yn y gweithle sy'n dilyn dymuniadau egwyddorion PCYDDS (2022). Gwelir enghraifft o fy holiaduron i athrawon yn Atodiad B.</w:t>
      </w:r>
    </w:p>
    <w:p w14:paraId="32A10FAE" w14:textId="77777777" w:rsidR="00CE0FF1" w:rsidRPr="00CE0FF1" w:rsidRDefault="00CE0FF1" w:rsidP="00CE0FF1">
      <w:pPr>
        <w:rPr>
          <w:sz w:val="28"/>
          <w:szCs w:val="28"/>
        </w:rPr>
      </w:pPr>
      <w:r w:rsidRPr="00CE0FF1">
        <w:rPr>
          <w:sz w:val="28"/>
          <w:szCs w:val="28"/>
        </w:rPr>
        <w:t xml:space="preserve">Penderfynwyd cynnal cyfweliad lled-strwythuredig gyda disgyblion, Gweler enghraifft o’r cwestiynau cyfweliad yn Atodiad Ac. Mae cyfweliadau yn arf ymchwil pwerus, sy'n cynnig mewnwelediad unigryw i brofiadau a safbwyntiau personol. Maent yn darparu fformat hyblyg sy'n caniatáu ar gyfer archwiliad manwl o bynciau ac adeiladu perthnasoedd cryf rhwng ymchwilwyr a chyfranogwyr (Alderson &amp; Morrow, 2011). Mae'r buddion yn cynnwys y data cyfoethog, ansoddol y maent yn ei gynhyrchu a'r gallu i addasu'r llif sgwrs yn seiliedig ar ymatebion cyfranogwyr. Fodd bynnag, cyfyd heriau o ran cynnal gwrthrychedd a chysondeb ar draws cyfweliadau i sicrhau dilysrwydd data (Austin, 2016). Yn ogystal, rhaid rheoli pryderon moesegol megis dyletswydd gofal a chaniatâd gwybodus yn ofalus er mwyn amddiffyn cyfranogwyr sy'n agored i niwed, yn enwedig wrth ymdrin â phynciau sensitif. Mae natur ansoddol cyfweliadau hefyd yn codi cwestiynau ynghylch pa mor ddibynadwy ydynt, oherwydd gall safbwynt yr ymchwilydd ddylanwadu ar ddehongliad yr ymatebion (Baxter &amp; Jack, 2008). Mae defnyddio cyfweliadau lled-strwythuredig gyda myfyrwyr i gasglu data ansoddol ar arferion hunanasesu yn ddull dilys mewn ymchwil addysgol, gan ei fod yn caniatáu ar gyfer dealltwriaeth gynnil o'u profiadau </w:t>
      </w:r>
      <w:r w:rsidRPr="00CE0FF1">
        <w:rPr>
          <w:sz w:val="28"/>
          <w:szCs w:val="28"/>
        </w:rPr>
        <w:lastRenderedPageBreak/>
        <w:t>a'u canfyddiadau. Mae'r dull hwn yn arbennig o berthnasol yng nghyd-destun AagD, gan ei fod yn blaenoriaethu cyfranogiad gweithredol myfyrwyr yn y broses werthuso.</w:t>
      </w:r>
    </w:p>
    <w:p w14:paraId="67E34C7E" w14:textId="77777777" w:rsidR="00CE0FF1" w:rsidRPr="00CE0FF1" w:rsidRDefault="00CE0FF1" w:rsidP="00CE0FF1">
      <w:pPr>
        <w:rPr>
          <w:sz w:val="28"/>
          <w:szCs w:val="28"/>
        </w:rPr>
      </w:pPr>
      <w:r w:rsidRPr="00CE0FF1">
        <w:rPr>
          <w:sz w:val="28"/>
          <w:szCs w:val="28"/>
        </w:rPr>
        <w:t>Wrth gynnal yr ymchwil roedd yn bwysig rhoi ystyriaeth i faterion moesegol. Mae’n hanfodol, fodd bynnag, cadw at ystyriaethau moesegol megis caniatâd gwybodus, cyfrinachedd, a’r ddyletswydd gofal i sicrhau eu lles emosiynol a seicolegol yn ystod y broses ymchwil (Alderson &amp; Morrow, 2011). Felly cyn cynnal yr ymchwil roedd angen cwblhau ffurflen foeseg (gweler enghraifft o’r ffurflen foeseg yn Atodiad C). Ar ôl i’r ffurflen gael ei chymeradwyo gan y brifysgol roeddwn yn gallu cynnal yr ymchwil. Gan fod y dysgwyr o dan ddeunaw oed,</w:t>
      </w:r>
    </w:p>
    <w:p w14:paraId="774FA22D" w14:textId="05FD6AAA" w:rsidR="00CE0FF1" w:rsidRPr="00D71C2B" w:rsidRDefault="00CE0FF1" w:rsidP="000E2E7E">
      <w:pPr>
        <w:rPr>
          <w:sz w:val="28"/>
          <w:szCs w:val="28"/>
        </w:rPr>
      </w:pPr>
      <w:r w:rsidRPr="00CE0FF1">
        <w:rPr>
          <w:sz w:val="28"/>
          <w:szCs w:val="28"/>
        </w:rPr>
        <w:t>doedden nhw ddim yn gallu rhoi eu caniatâd gwirfoddol gwybodus i gymryd rhan yn yr ymchwil ac felly roedd rhaid gofyn i’r pennaeth i wneud hyn ar eu rhan (gweler copi o’r llythyr gwybodaeth a ffurflen caniatâd yn Atodiad Ch). Ond, roedd y dysgwyr yn gallu rhoi eu cydsyniad felly cyn cynnal cyfweliadau gyda’r dysgwyr roedd rhaid i mi egluro beth oedd pwrpas y cyfweliad a gofyn am eu cydsyniad. Mae dulliau cyfweld a holiadur yn cynnal yr egwyddor o gydsyniad gwybodus, sy'n cynnwys yr hawl i gyfranogwyr dynnu'n ôl ar unrhyw gam o'r ymchwil</w:t>
      </w:r>
      <w:r w:rsidR="00B60F9D">
        <w:rPr>
          <w:sz w:val="28"/>
          <w:szCs w:val="28"/>
        </w:rPr>
        <w:t xml:space="preserve">, </w:t>
      </w:r>
      <w:r w:rsidR="00B60F9D" w:rsidRPr="00B60F9D">
        <w:rPr>
          <w:sz w:val="28"/>
          <w:szCs w:val="28"/>
        </w:rPr>
        <w:t>Gall y ddau fath o ddata, o'u casglu a'u dadansoddi'n gywir, gael eu delweddu mewn gwahanol ffurfiau o graffiau. Gellir cyflwyno data cyfweliadau ar ffurf cymylau geiriau i amlygu themâu cyffredin neu fel naratif mewn siart llif i arddangos dilyniant meddyliau. Ar y llaw arall, mae data holiadur yn addas iawn ar gyfer siartiau bar, siartiau cylch, a graffiau llinell i ddangos tueddiadau a pherthnasoedd rhwng newidynnau gwahanol, gan gynnig persbectif mwy strwythuredig a meintiol o'r wybodaeth a gasglwyd</w:t>
      </w:r>
      <w:r w:rsidRPr="00CE0FF1">
        <w:rPr>
          <w:sz w:val="28"/>
          <w:szCs w:val="28"/>
        </w:rPr>
        <w:t xml:space="preserve">. Yn ôl BERA (2024), mae hyn yn hollbwysig er mwyn cynnal ymreolaeth y cyfranogwyr a pharchu eu penderfyniadau. Mewn amgylchedd ysgol, lle mae perthnasoedd rhwng myfyrwyr, athrawon, ac ymchwilwyr yn sensitif, mae'r opsiwn i dynnu'n ôl yn sicrhau bod athrawon yn teimlo'n gyfforddus yn rhannu eu harferion a'u safbwyntiau heb ofni ôl-effeithiau. Mae hyn yn hanfodol ar gyfer cywirdeb y data ymchwil a lles pawb sy'n gysylltiedig. Mae canllawiau moesegol BERA (2024) yn tanlinellu pwysigrwydd tryloywder a chyfranogiad gwirfoddol mewn ymchwil addysgol, sy'n cefnogi'r defnydd o'r </w:t>
      </w:r>
      <w:r w:rsidRPr="00CE0FF1">
        <w:rPr>
          <w:sz w:val="28"/>
          <w:szCs w:val="28"/>
        </w:rPr>
        <w:lastRenderedPageBreak/>
        <w:t>ddau ddull mewn ffordd sy'n grymuso athrawon ac yn amddiffyn eu henw da proffesiynol. Ar ben hynny, mae'n bwysig peidio ag anwybyddu goblygiadau moesegol pob astudiaeth ymchwil, gallwn wneud hyn drwy gysylltu'n ôl â chanllawiau ymchwilio sefydliadau (PCYDDS, 2022) a chodau ymddygiad (CGA, 2022).</w:t>
      </w:r>
    </w:p>
    <w:p w14:paraId="0BBA536A" w14:textId="77777777" w:rsidR="000E2E7E" w:rsidRPr="00D71C2B" w:rsidRDefault="000E2E7E" w:rsidP="000E2E7E">
      <w:pPr>
        <w:rPr>
          <w:sz w:val="28"/>
          <w:szCs w:val="28"/>
        </w:rPr>
      </w:pPr>
    </w:p>
    <w:p w14:paraId="4AE61B82" w14:textId="6D1927E4" w:rsidR="000E2E7E" w:rsidRPr="00D71C2B" w:rsidRDefault="002E1274" w:rsidP="000E2E7E">
      <w:pPr>
        <w:rPr>
          <w:sz w:val="28"/>
          <w:szCs w:val="28"/>
        </w:rPr>
      </w:pPr>
      <w:r w:rsidRPr="00D71C2B">
        <w:rPr>
          <w:sz w:val="28"/>
          <w:szCs w:val="28"/>
        </w:rPr>
        <w:t xml:space="preserve">Canlyniadau a thrafodaeth </w:t>
      </w:r>
    </w:p>
    <w:p w14:paraId="7087E5FF" w14:textId="77777777" w:rsidR="00CE0FF1" w:rsidRPr="00CE0FF1" w:rsidRDefault="00CE0FF1" w:rsidP="00CE0FF1">
      <w:pPr>
        <w:rPr>
          <w:sz w:val="28"/>
          <w:szCs w:val="28"/>
        </w:rPr>
      </w:pPr>
      <w:r w:rsidRPr="00CE0FF1">
        <w:rPr>
          <w:sz w:val="28"/>
          <w:szCs w:val="28"/>
        </w:rPr>
        <w:t>Cyflwynwyd y data meintiol ar ffurf graffiau a tablau (gweler Atodiad B) a dadansoddwyd y data wrth edrych ar patrymau yn y data. Cyflwynwyd y data ansoddol drwy greu trawsgrifiadau o’r cyfweliadau a chodio er mwyn adnabod themâu yn y data. Bwriedir trafod data’r holiadur yn gyntaf. Yn y cwestiwn olaf, gofynnwyd i'r athro raddio strategaethau AagD cyffredin yn y dosbarth, yr unig strategaeth a osodwyd uwchben hunan-asesiad oedd marcio byw. Yn ôl William (2011), mae marcio byw, yn strategaeth effeithiol sy'n ymgorffori natur ryngweithiol asesu ffurfiannol. Mae Black a Wiliam (1998) yn dadlau bod yr adborth uniongyrchol hwn yn gwella dysgu trwy gynnig eglurhad, nodi camsyniadau, ac arwain myfyrwyr tuag at eu nodau dysgu. Mae'n broses ddeinamig sy'n cynnwys yr athro a'r myfyriwr yn mynd ati i ymgysylltu â'r deunydd, sy'n cyd-fynd â'u heiriolaeth ar gyfer strategaethau asesu ar gyfer dysgu. Wrth ddadansoddi'r data, y gymhariaeth ddiddorol gyntaf i’w gwneud</w:t>
      </w:r>
    </w:p>
    <w:p w14:paraId="288F60CC" w14:textId="5A71BB33" w:rsidR="00CE0FF1" w:rsidRPr="00CE0FF1" w:rsidRDefault="00CE0FF1" w:rsidP="00CE0FF1">
      <w:pPr>
        <w:rPr>
          <w:sz w:val="28"/>
          <w:szCs w:val="28"/>
        </w:rPr>
      </w:pPr>
      <w:r w:rsidRPr="00CE0FF1">
        <w:rPr>
          <w:sz w:val="28"/>
          <w:szCs w:val="28"/>
        </w:rPr>
        <w:t>rhwng staff a myfyrwyr yw un, ydy’r athro. Mae hunan-farcio yn cael effaith sylweddol ar ddealltwriaeth myfyrwyr o’u cryfderau a’u gwendidau, gan gymharu hyn â gofyn i’r myfyrwyr enwi’r amserau y gwnaethant hunan-farcio a sut yr oeddent yn teimlo i’w haddysg. Cytunodd y dysgwyr fod defnyddio amrywiaeth o strategaethau megis ticio atebion cywir a gadael rhai anghywir yn wag</w:t>
      </w:r>
      <w:r w:rsidR="00B60F9D">
        <w:rPr>
          <w:sz w:val="28"/>
          <w:szCs w:val="28"/>
        </w:rPr>
        <w:t xml:space="preserve"> </w:t>
      </w:r>
      <w:r w:rsidR="00B60F9D" w:rsidRPr="00B60F9D">
        <w:rPr>
          <w:sz w:val="28"/>
          <w:szCs w:val="28"/>
        </w:rPr>
        <w:t>“Mae’n gwneud i ni deimlo’n hapus ein bod ni’n gallu cyfathrebu â’n hathro ynglŷn â sut rydyn ni’n teimlo am y gwaith ac os ydyn ni’n ei chael hi’n anodd, fel arfer dydyn ni ddim yn cael y cyfle i siarad un ar un gyda’r athro felly mae cael dyfais i rannu’r adborth hwnnw yn ddefnyddiol iawn”</w:t>
      </w:r>
      <w:r w:rsidR="00B60F9D">
        <w:rPr>
          <w:sz w:val="28"/>
          <w:szCs w:val="28"/>
        </w:rPr>
        <w:t xml:space="preserve"> (</w:t>
      </w:r>
      <w:r w:rsidR="00B60F9D" w:rsidRPr="00B60F9D">
        <w:rPr>
          <w:sz w:val="28"/>
          <w:szCs w:val="28"/>
        </w:rPr>
        <w:t xml:space="preserve">atebodd y plant yn </w:t>
      </w:r>
      <w:r w:rsidR="00B60F9D">
        <w:rPr>
          <w:sz w:val="28"/>
          <w:szCs w:val="28"/>
        </w:rPr>
        <w:t>S</w:t>
      </w:r>
      <w:r w:rsidR="00B60F9D" w:rsidRPr="00B60F9D">
        <w:rPr>
          <w:sz w:val="28"/>
          <w:szCs w:val="28"/>
        </w:rPr>
        <w:t xml:space="preserve">aesneg gan ei fod yn haws iddyn nhw, dwi wedi cyfieithu i </w:t>
      </w:r>
      <w:r w:rsidR="00B60F9D">
        <w:rPr>
          <w:sz w:val="28"/>
          <w:szCs w:val="28"/>
        </w:rPr>
        <w:t>C</w:t>
      </w:r>
      <w:r w:rsidR="00B60F9D" w:rsidRPr="00B60F9D">
        <w:rPr>
          <w:sz w:val="28"/>
          <w:szCs w:val="28"/>
        </w:rPr>
        <w:t>ymraeg</w:t>
      </w:r>
      <w:r w:rsidR="00B60F9D">
        <w:rPr>
          <w:sz w:val="28"/>
          <w:szCs w:val="28"/>
        </w:rPr>
        <w:t>).</w:t>
      </w:r>
      <w:r w:rsidRPr="00CE0FF1">
        <w:rPr>
          <w:sz w:val="28"/>
          <w:szCs w:val="28"/>
        </w:rPr>
        <w:t xml:space="preserve"> </w:t>
      </w:r>
      <w:r w:rsidR="00B60F9D">
        <w:rPr>
          <w:sz w:val="28"/>
          <w:szCs w:val="28"/>
        </w:rPr>
        <w:t>T</w:t>
      </w:r>
      <w:r w:rsidRPr="00CE0FF1">
        <w:rPr>
          <w:sz w:val="28"/>
          <w:szCs w:val="28"/>
        </w:rPr>
        <w:t xml:space="preserve">icio blychau o feini prawf llwyddiant yr oeddent yn credu eu bod wedi’u cwblhau ac ysgrifennu brawddegau am yr </w:t>
      </w:r>
      <w:r w:rsidRPr="00CE0FF1">
        <w:rPr>
          <w:sz w:val="28"/>
          <w:szCs w:val="28"/>
        </w:rPr>
        <w:lastRenderedPageBreak/>
        <w:t>hyn y gwnaethant ei fwynhau a’r hyn y maent am ei wneud nesaf yn weithgaredd hwyliog, cyffro</w:t>
      </w:r>
      <w:r w:rsidR="00BE07D2">
        <w:rPr>
          <w:sz w:val="28"/>
          <w:szCs w:val="28"/>
        </w:rPr>
        <w:t>e</w:t>
      </w:r>
      <w:r w:rsidRPr="00CE0FF1">
        <w:rPr>
          <w:color w:val="000000" w:themeColor="text1"/>
          <w:sz w:val="28"/>
          <w:szCs w:val="28"/>
        </w:rPr>
        <w:t>s</w:t>
      </w:r>
      <w:r w:rsidR="00B60F9D">
        <w:rPr>
          <w:color w:val="000000" w:themeColor="text1"/>
          <w:sz w:val="28"/>
          <w:szCs w:val="28"/>
        </w:rPr>
        <w:t xml:space="preserve">, gall weld y teimladau’r plant o’r nodiadau cymerais i ar atodiad D. </w:t>
      </w:r>
      <w:r w:rsidRPr="00CE0FF1">
        <w:rPr>
          <w:sz w:val="28"/>
          <w:szCs w:val="28"/>
        </w:rPr>
        <w:t>Yn yr un modd, roedd hefyd yn eu gwneud yn hapus eu bod yn gallu gweld yn weledol beth oedd eu cryfderau ac ymgymryd â'r dysgu ar gyfer themâu eu hunain. Mae'r datganiad hwn yn adlewyrchu pwyslais Cwricwlwm i Gymru (2015) ar bersonoli ac asiantaeth dysgwyr. Trwy gymryd rhan mewn hunan-asesu, caiff myfyrwyr eu grymuso i ddeall eu cynnydd dysgu eu hunain, sy'n cyd-fynd ag egwyddor y cwricwlwm, lle mae asesu yn hysbysu myfyrwyr am yr hyn y maent yn ei wybod a'r hyn y mae angen iddynt ei wybod nesaf. Mae’r dull hwn yn cefnogi datblygiad dysgwyr hunan-reoledig sy’n cymryd perchnogaeth o’u haddysg, un o nodau allweddol fframwaith Cwricwlwm i Cymru. Mae ymateb yr athro yn awgrymu bod y strategaeth AagD yn cael ei gweld yn fuddiol o ran meithrin ymdeimlad o gyfrifoldeb ymhlith myfyrwyr a darparu adborth ar unwaith ar eu perfformiad</w:t>
      </w:r>
      <w:r w:rsidR="006A4E61">
        <w:rPr>
          <w:sz w:val="28"/>
          <w:szCs w:val="28"/>
        </w:rPr>
        <w:t xml:space="preserve"> “</w:t>
      </w:r>
      <w:r w:rsidR="006A4E61" w:rsidRPr="006A4E61">
        <w:rPr>
          <w:sz w:val="28"/>
          <w:szCs w:val="28"/>
        </w:rPr>
        <w:t>Mae e'n helpu'r dysgwr i fod yn fwy cyfrifol am ei dysgu ac i wybod yn syth beth yw ei gwendidau a chryfderau a beth yw'r camau nesaf yn ei dysgu.</w:t>
      </w:r>
      <w:r w:rsidR="00B60F9D">
        <w:rPr>
          <w:sz w:val="28"/>
          <w:szCs w:val="28"/>
        </w:rPr>
        <w:t xml:space="preserve"> </w:t>
      </w:r>
      <w:r w:rsidR="006A4E61" w:rsidRPr="006A4E61">
        <w:rPr>
          <w:sz w:val="28"/>
          <w:szCs w:val="28"/>
        </w:rPr>
        <w:t>Rwy'n trafod gyda'r disgyblion mor aml a phosib er mwyn cynyddu ei hyder ac i weld y broses fel un positif</w:t>
      </w:r>
      <w:r w:rsidR="006A4E61">
        <w:rPr>
          <w:sz w:val="28"/>
          <w:szCs w:val="28"/>
        </w:rPr>
        <w:t>”</w:t>
      </w:r>
      <w:r w:rsidR="00BE07D2">
        <w:rPr>
          <w:sz w:val="28"/>
          <w:szCs w:val="28"/>
        </w:rPr>
        <w:t xml:space="preserve"> fel welwyd mewn Atodiad Dd</w:t>
      </w:r>
      <w:r w:rsidR="006A4E61">
        <w:rPr>
          <w:sz w:val="28"/>
          <w:szCs w:val="28"/>
        </w:rPr>
        <w:t xml:space="preserve">. </w:t>
      </w:r>
      <w:r w:rsidRPr="00CE0FF1">
        <w:rPr>
          <w:sz w:val="28"/>
          <w:szCs w:val="28"/>
        </w:rPr>
        <w:t>Mae hyn yn cyd-fynd â'r llenyddiaeth sy'n eiriol dros asesu ffurfiannol fel modd o wella canlyniadau dysgu ac ymgysylltiad myfyrwyr. Mae astudiaethau nodedig fel Black a Wiliam (1998, tud.74) yn pwysleisio pwysigrwydd adborth rheolaidd a chynnwys myfyrwyr yn y broses asesu. Mae sôn yr athro am drafod cynnydd gyda disgyblion yn aml yn cyd-fynd â’r syniad o greu amgylchedd dysgu cadarnhaol trwy ddeialog adeiladol, fel yr amlygwyd yng ngwaith Hattie a Timperley (2007). Mae eu hymchwil yn tanlinellu arwyddocâd athrawon yn defnyddio adborth i arwain myfyrwyr tuag at ddeall eu cryfderau a'u gwendidau, a thrwy hynny lywio'r camau nesaf ar eu taith ddysgu. At hynny, mae ffocws yr athro ar fagu hyder yn gyson â chanfyddiadau Dweck (2007), sy'n trafod effaith meddylfryd twf ar gyflawniad academaidd. Mae hyn yn awgrymu bod y dull AagD yn cael ei roi ar waith yn effeithiol i annog myfyrwyr i ystyried heriau fel cyfleoedd ar gyfer twf. Mae’n ail-gadarnhau hyn yn ddiweddarach yng nghwestiwn 5 lle</w:t>
      </w:r>
    </w:p>
    <w:p w14:paraId="5DCA345F" w14:textId="3148110E" w:rsidR="00CE0FF1" w:rsidRPr="00D71C2B" w:rsidRDefault="00CE0FF1" w:rsidP="000E2E7E">
      <w:pPr>
        <w:rPr>
          <w:sz w:val="28"/>
          <w:szCs w:val="28"/>
        </w:rPr>
      </w:pPr>
      <w:r w:rsidRPr="00CE0FF1">
        <w:rPr>
          <w:sz w:val="28"/>
          <w:szCs w:val="28"/>
        </w:rPr>
        <w:t xml:space="preserve">mae’n ymhelaethu bod hunan-asesiad yn cynyddu ac yn cyd-fynd â syniadau Dweck (2007) am dyfu’r meddylfryd twf hwnnw, gan gyffwrdd â’r </w:t>
      </w:r>
      <w:r w:rsidRPr="00CE0FF1">
        <w:rPr>
          <w:sz w:val="28"/>
          <w:szCs w:val="28"/>
        </w:rPr>
        <w:lastRenderedPageBreak/>
        <w:t>cyfrifoldeb a’r hunanhyder y bydd yn tyfu ar eu cyfer yn fuan. Mae eiriolaeth yr athro ar gyfer AagD yn atseinio gyda llais y myfyrwyr, a gafodd ei ddal yn y cyfweliadau lle mynegwyd awydd am brofiadau dysgu mwy personol. Mae'r cysyniad o gynnig dewisiadau mewn dysgu yn cyd-fynd â damcaniaeth hunan benderfyniad Deci a Ryan (2000), sy'n haeru bod ymreolaeth, cymhwysedd a pherthnasedd yn hanfodol ar gyfer cymhelliant cynhenid.</w:t>
      </w:r>
    </w:p>
    <w:p w14:paraId="697C4F6E" w14:textId="0096C611" w:rsidR="000E2E7E" w:rsidRPr="00D71C2B" w:rsidRDefault="000E2E7E" w:rsidP="000E2E7E">
      <w:pPr>
        <w:rPr>
          <w:sz w:val="28"/>
          <w:szCs w:val="28"/>
        </w:rPr>
      </w:pPr>
      <w:r w:rsidRPr="00D71C2B">
        <w:rPr>
          <w:sz w:val="28"/>
          <w:szCs w:val="28"/>
        </w:rPr>
        <w:t>C</w:t>
      </w:r>
      <w:r w:rsidR="002E1274" w:rsidRPr="00D71C2B">
        <w:rPr>
          <w:sz w:val="28"/>
          <w:szCs w:val="28"/>
        </w:rPr>
        <w:t>asgliadau</w:t>
      </w:r>
    </w:p>
    <w:p w14:paraId="0E158700" w14:textId="62703945" w:rsidR="000E2E7E" w:rsidRPr="00D71C2B" w:rsidRDefault="00CE0FF1" w:rsidP="000E2E7E">
      <w:pPr>
        <w:rPr>
          <w:sz w:val="28"/>
          <w:szCs w:val="28"/>
        </w:rPr>
      </w:pPr>
      <w:r w:rsidRPr="00D71C2B">
        <w:rPr>
          <w:sz w:val="28"/>
          <w:szCs w:val="28"/>
        </w:rPr>
        <w:t>Wrth lunio casgliadau am yr ymchwil gellir casglu bod cymeradwyaeth yr athro i AagD, yn enwedig hunan-asesu, yn cyd-fynd â dymuniad myfyrwyr am ddysgu personol. Mae llenyddiaeth gan Black a Wiliam (1998) a Hattie a Timperley (2007) yn amlygu pwysigrwydd adborth a deialog wrth wella ymgysylltiad a chanlyniadau myfyrwyr. Mae ymchwil Dweck (2007) ar feddylfryd twf yn atgyfnerthu ffocws yr athro ar feithrin hyder myfyrwyr trwy strategaethau AagD. Mae'r fethodoleg a ddewiswyd o holiaduron a chyfweliadau yn cadw at safonau moesegol, gan ddarparu dealltwriaeth gynnil o'r profiad ystafell ddosbarth ac effeithiolrwydd hunan-asesu mewn lleoliad. Mae’r dull hwn yn cyd-fynd ag egwyddorion y Cwricwlwm i Gymru (2015) ac yn pwysleisio’r angen i bersonoli addysg i ddarparu ar gyfer arddulliau a dewisiadau dysgu unigol. Gan mai mewn un ysgol yn unig mae’r ymchwil wedi ei wneud nid yw’n bosib cyffredinoli’r casgliadau ond drwy ddefnyddio’r offer yn gywir a chofnodi yn onest ymdrechwyd i gynhyrchu data dilys a dibynadwy. Wedi gwneud yr ymchwil rwyf wedi gwella fy ngwybodaeth a’m dealltwriaeth o asesu ar gyfer dysgu, yn arbennig hunan-asesu, ac felly byddaf yn gallu defnyddio hyn i wella fy arfer proffesiynol yn yr ystafell ddosbarth ar PAP3</w:t>
      </w:r>
    </w:p>
    <w:p w14:paraId="771B4000" w14:textId="214B1D9A" w:rsidR="000E2E7E" w:rsidRPr="00D71C2B" w:rsidRDefault="002E1274" w:rsidP="000E2E7E">
      <w:pPr>
        <w:rPr>
          <w:sz w:val="28"/>
          <w:szCs w:val="28"/>
        </w:rPr>
      </w:pPr>
      <w:r w:rsidRPr="00D71C2B">
        <w:rPr>
          <w:sz w:val="28"/>
          <w:szCs w:val="28"/>
        </w:rPr>
        <w:t>Rhestr Gyfeirio</w:t>
      </w:r>
    </w:p>
    <w:p w14:paraId="237BC75D" w14:textId="34513169" w:rsidR="007C4196" w:rsidRPr="007C4196" w:rsidRDefault="007C4196" w:rsidP="007C4196">
      <w:pPr>
        <w:rPr>
          <w:sz w:val="28"/>
          <w:szCs w:val="28"/>
        </w:rPr>
      </w:pPr>
      <w:r w:rsidRPr="007C4196">
        <w:rPr>
          <w:sz w:val="28"/>
          <w:szCs w:val="28"/>
        </w:rPr>
        <w:t xml:space="preserve">Austin, R. (2016) </w:t>
      </w:r>
      <w:r w:rsidRPr="00D71C2B">
        <w:rPr>
          <w:sz w:val="28"/>
          <w:szCs w:val="28"/>
        </w:rPr>
        <w:t>“</w:t>
      </w:r>
      <w:r w:rsidRPr="007C4196">
        <w:rPr>
          <w:i/>
          <w:iCs/>
          <w:sz w:val="28"/>
          <w:szCs w:val="28"/>
        </w:rPr>
        <w:t>Researching Primary Education</w:t>
      </w:r>
      <w:r w:rsidRPr="007C4196">
        <w:rPr>
          <w:sz w:val="28"/>
          <w:szCs w:val="28"/>
        </w:rPr>
        <w:t>.</w:t>
      </w:r>
      <w:r w:rsidRPr="00D71C2B">
        <w:rPr>
          <w:sz w:val="28"/>
          <w:szCs w:val="28"/>
        </w:rPr>
        <w:t>”</w:t>
      </w:r>
      <w:r w:rsidRPr="007C4196">
        <w:rPr>
          <w:sz w:val="28"/>
          <w:szCs w:val="28"/>
        </w:rPr>
        <w:t xml:space="preserve"> London: Sage publications Ltd.</w:t>
      </w:r>
    </w:p>
    <w:p w14:paraId="0A968E50" w14:textId="783A2591" w:rsidR="007C4196" w:rsidRPr="00D71C2B" w:rsidRDefault="007C4196" w:rsidP="007C4196">
      <w:pPr>
        <w:rPr>
          <w:sz w:val="28"/>
          <w:szCs w:val="28"/>
        </w:rPr>
      </w:pPr>
      <w:r w:rsidRPr="007C4196">
        <w:rPr>
          <w:sz w:val="28"/>
          <w:szCs w:val="28"/>
        </w:rPr>
        <w:t xml:space="preserve">Alderson, P. &amp; Morrow, V. (2011) </w:t>
      </w:r>
      <w:r w:rsidRPr="00D71C2B">
        <w:rPr>
          <w:sz w:val="28"/>
          <w:szCs w:val="28"/>
        </w:rPr>
        <w:t>“</w:t>
      </w:r>
      <w:r w:rsidRPr="007C4196">
        <w:rPr>
          <w:i/>
          <w:iCs/>
          <w:sz w:val="28"/>
          <w:szCs w:val="28"/>
        </w:rPr>
        <w:t>The Ethics of Research with Young Children and Young People: A Practical Handbook.</w:t>
      </w:r>
      <w:r w:rsidRPr="00D71C2B">
        <w:rPr>
          <w:i/>
          <w:iCs/>
          <w:sz w:val="28"/>
          <w:szCs w:val="28"/>
        </w:rPr>
        <w:t>”</w:t>
      </w:r>
      <w:r w:rsidRPr="007C4196">
        <w:rPr>
          <w:sz w:val="28"/>
          <w:szCs w:val="28"/>
        </w:rPr>
        <w:t xml:space="preserve"> London: Sage Publications Ltd.</w:t>
      </w:r>
    </w:p>
    <w:p w14:paraId="5E9C0530" w14:textId="4CDE58D2" w:rsidR="007C4196" w:rsidRPr="007C4196" w:rsidRDefault="007C4196" w:rsidP="007C4196">
      <w:pPr>
        <w:rPr>
          <w:sz w:val="28"/>
          <w:szCs w:val="28"/>
        </w:rPr>
      </w:pPr>
      <w:r w:rsidRPr="00D71C2B">
        <w:rPr>
          <w:sz w:val="28"/>
          <w:szCs w:val="28"/>
        </w:rPr>
        <w:lastRenderedPageBreak/>
        <w:t xml:space="preserve"> </w:t>
      </w:r>
      <w:r w:rsidRPr="007C4196">
        <w:rPr>
          <w:sz w:val="28"/>
          <w:szCs w:val="28"/>
        </w:rPr>
        <w:t>BERA. (2024</w:t>
      </w:r>
      <w:r w:rsidRPr="007C4196">
        <w:rPr>
          <w:i/>
          <w:iCs/>
          <w:sz w:val="28"/>
          <w:szCs w:val="28"/>
        </w:rPr>
        <w:t xml:space="preserve">). “Ethical Guidelines for Educational Research” </w:t>
      </w:r>
      <w:r w:rsidRPr="007C4196">
        <w:rPr>
          <w:sz w:val="28"/>
          <w:szCs w:val="28"/>
        </w:rPr>
        <w:t>[5] Available at: https://www.bera.ac.uk/publication/ethical-guidelines-for-educational-research-fifth-edition-2024-online (Accessed on 15th March 2025).</w:t>
      </w:r>
    </w:p>
    <w:p w14:paraId="227FEA71" w14:textId="2BB69C20" w:rsidR="007C4196" w:rsidRPr="007C4196" w:rsidRDefault="007C4196" w:rsidP="007C4196">
      <w:pPr>
        <w:rPr>
          <w:sz w:val="28"/>
          <w:szCs w:val="28"/>
        </w:rPr>
      </w:pPr>
      <w:r w:rsidRPr="007C4196">
        <w:rPr>
          <w:sz w:val="28"/>
          <w:szCs w:val="28"/>
        </w:rPr>
        <w:t xml:space="preserve">Baxter, P., and Jack, S. (2008) </w:t>
      </w:r>
      <w:r w:rsidRPr="00D71C2B">
        <w:rPr>
          <w:sz w:val="28"/>
          <w:szCs w:val="28"/>
        </w:rPr>
        <w:t>“</w:t>
      </w:r>
      <w:r w:rsidRPr="007C4196">
        <w:rPr>
          <w:i/>
          <w:iCs/>
          <w:sz w:val="28"/>
          <w:szCs w:val="28"/>
        </w:rPr>
        <w:t>‘Qualitative case study methodology: Study design and implementation for novice researchers’,</w:t>
      </w:r>
      <w:r w:rsidRPr="00D71C2B">
        <w:rPr>
          <w:i/>
          <w:iCs/>
          <w:sz w:val="28"/>
          <w:szCs w:val="28"/>
        </w:rPr>
        <w:t>”</w:t>
      </w:r>
      <w:r w:rsidRPr="007C4196">
        <w:rPr>
          <w:sz w:val="28"/>
          <w:szCs w:val="28"/>
        </w:rPr>
        <w:t xml:space="preserve"> The qualitative report, 13(4), pp. 544-559.</w:t>
      </w:r>
    </w:p>
    <w:p w14:paraId="77CE18F4" w14:textId="77BAA19A" w:rsidR="007C4196" w:rsidRPr="007C4196" w:rsidRDefault="007C4196" w:rsidP="007C4196">
      <w:pPr>
        <w:rPr>
          <w:sz w:val="28"/>
          <w:szCs w:val="28"/>
        </w:rPr>
      </w:pPr>
      <w:r w:rsidRPr="007C4196">
        <w:rPr>
          <w:sz w:val="28"/>
          <w:szCs w:val="28"/>
        </w:rPr>
        <w:t xml:space="preserve">Black, P., &amp; Wiliam, D. (1998). </w:t>
      </w:r>
      <w:r w:rsidRPr="00D71C2B">
        <w:rPr>
          <w:i/>
          <w:iCs/>
          <w:sz w:val="28"/>
          <w:szCs w:val="28"/>
        </w:rPr>
        <w:t>“</w:t>
      </w:r>
      <w:r w:rsidRPr="007C4196">
        <w:rPr>
          <w:i/>
          <w:iCs/>
          <w:sz w:val="28"/>
          <w:szCs w:val="28"/>
        </w:rPr>
        <w:t>Inside the black box: Raising standards through classroom assessment.</w:t>
      </w:r>
      <w:r w:rsidRPr="00D71C2B">
        <w:rPr>
          <w:i/>
          <w:iCs/>
          <w:sz w:val="28"/>
          <w:szCs w:val="28"/>
        </w:rPr>
        <w:t>”</w:t>
      </w:r>
      <w:r w:rsidRPr="007C4196">
        <w:rPr>
          <w:sz w:val="28"/>
          <w:szCs w:val="28"/>
        </w:rPr>
        <w:t xml:space="preserve"> Phi Delta Kappan.</w:t>
      </w:r>
    </w:p>
    <w:p w14:paraId="38A0374F" w14:textId="77777777" w:rsidR="007C4196" w:rsidRPr="007C4196" w:rsidRDefault="007C4196" w:rsidP="007C4196">
      <w:pPr>
        <w:rPr>
          <w:sz w:val="28"/>
          <w:szCs w:val="28"/>
        </w:rPr>
      </w:pPr>
      <w:r w:rsidRPr="007C4196">
        <w:rPr>
          <w:sz w:val="28"/>
          <w:szCs w:val="28"/>
        </w:rPr>
        <w:t>Black, P., &amp; Wiliam, D. (1998</w:t>
      </w:r>
      <w:r w:rsidRPr="007C4196">
        <w:rPr>
          <w:i/>
          <w:iCs/>
          <w:sz w:val="28"/>
          <w:szCs w:val="28"/>
        </w:rPr>
        <w:t>). “Assessment and classroom learning: Research and practice. Assessment in Education: Principles, Policy &amp; Practice”,</w:t>
      </w:r>
      <w:r w:rsidRPr="007C4196">
        <w:rPr>
          <w:sz w:val="28"/>
          <w:szCs w:val="28"/>
        </w:rPr>
        <w:t xml:space="preserve"> 5(1), tu 7-74.</w:t>
      </w:r>
    </w:p>
    <w:p w14:paraId="7576B67A" w14:textId="68D2A9B7" w:rsidR="007C4196" w:rsidRPr="007C4196" w:rsidRDefault="007C4196" w:rsidP="007C4196">
      <w:pPr>
        <w:rPr>
          <w:sz w:val="28"/>
          <w:szCs w:val="28"/>
        </w:rPr>
      </w:pPr>
      <w:r w:rsidRPr="007C4196">
        <w:rPr>
          <w:sz w:val="28"/>
          <w:szCs w:val="28"/>
        </w:rPr>
        <w:t xml:space="preserve">Cresswell, J. W., &amp; Creswell, J. D. (2018). </w:t>
      </w:r>
      <w:r w:rsidRPr="00D71C2B">
        <w:rPr>
          <w:sz w:val="28"/>
          <w:szCs w:val="28"/>
        </w:rPr>
        <w:t>“</w:t>
      </w:r>
      <w:r w:rsidRPr="007C4196">
        <w:rPr>
          <w:i/>
          <w:iCs/>
          <w:sz w:val="28"/>
          <w:szCs w:val="28"/>
        </w:rPr>
        <w:t>Research Design: Qualitative, Quantitative, and Mixed Methods Approaches.</w:t>
      </w:r>
      <w:r w:rsidRPr="00D71C2B">
        <w:rPr>
          <w:i/>
          <w:iCs/>
          <w:sz w:val="28"/>
          <w:szCs w:val="28"/>
        </w:rPr>
        <w:t>”</w:t>
      </w:r>
      <w:r w:rsidRPr="007C4196">
        <w:rPr>
          <w:sz w:val="28"/>
          <w:szCs w:val="28"/>
        </w:rPr>
        <w:t xml:space="preserve"> London: Sage.</w:t>
      </w:r>
    </w:p>
    <w:p w14:paraId="66434BEC" w14:textId="4FA76817" w:rsidR="007C4196" w:rsidRPr="007C4196" w:rsidRDefault="007C4196" w:rsidP="007C4196">
      <w:pPr>
        <w:rPr>
          <w:sz w:val="28"/>
          <w:szCs w:val="28"/>
        </w:rPr>
      </w:pPr>
      <w:r w:rsidRPr="007C4196">
        <w:rPr>
          <w:sz w:val="28"/>
          <w:szCs w:val="28"/>
        </w:rPr>
        <w:t xml:space="preserve">Creswell, J. W. (2014). </w:t>
      </w:r>
      <w:r w:rsidRPr="00D71C2B">
        <w:rPr>
          <w:i/>
          <w:iCs/>
          <w:sz w:val="28"/>
          <w:szCs w:val="28"/>
        </w:rPr>
        <w:t>“</w:t>
      </w:r>
      <w:r w:rsidRPr="007C4196">
        <w:rPr>
          <w:i/>
          <w:iCs/>
          <w:sz w:val="28"/>
          <w:szCs w:val="28"/>
        </w:rPr>
        <w:t>Research design: Qualitative, quantitative, and mixed methods approach</w:t>
      </w:r>
      <w:r w:rsidRPr="00D71C2B">
        <w:rPr>
          <w:i/>
          <w:iCs/>
          <w:sz w:val="28"/>
          <w:szCs w:val="28"/>
        </w:rPr>
        <w:t>”</w:t>
      </w:r>
      <w:r w:rsidRPr="007C4196">
        <w:rPr>
          <w:sz w:val="28"/>
          <w:szCs w:val="28"/>
        </w:rPr>
        <w:t xml:space="preserve"> (4th ed., pp. 33-88). Sage publications.</w:t>
      </w:r>
    </w:p>
    <w:p w14:paraId="3EC48243" w14:textId="2FF41913" w:rsidR="007C4196" w:rsidRPr="007C4196" w:rsidRDefault="007C4196" w:rsidP="007C4196">
      <w:pPr>
        <w:rPr>
          <w:sz w:val="28"/>
          <w:szCs w:val="28"/>
        </w:rPr>
      </w:pPr>
      <w:r w:rsidRPr="007C4196">
        <w:rPr>
          <w:sz w:val="28"/>
          <w:szCs w:val="28"/>
        </w:rPr>
        <w:t xml:space="preserve">Cresswell, J. W., &amp; Plano Clark, V. L. (2011) </w:t>
      </w:r>
      <w:r w:rsidRPr="00D71C2B">
        <w:rPr>
          <w:i/>
          <w:iCs/>
          <w:sz w:val="28"/>
          <w:szCs w:val="28"/>
        </w:rPr>
        <w:t>“</w:t>
      </w:r>
      <w:r w:rsidRPr="007C4196">
        <w:rPr>
          <w:i/>
          <w:iCs/>
          <w:sz w:val="28"/>
          <w:szCs w:val="28"/>
        </w:rPr>
        <w:t>Designing and conducting mixed methods research.</w:t>
      </w:r>
      <w:r w:rsidRPr="00D71C2B">
        <w:rPr>
          <w:i/>
          <w:iCs/>
          <w:sz w:val="28"/>
          <w:szCs w:val="28"/>
        </w:rPr>
        <w:t>”</w:t>
      </w:r>
      <w:r w:rsidRPr="007C4196">
        <w:rPr>
          <w:i/>
          <w:iCs/>
          <w:sz w:val="28"/>
          <w:szCs w:val="28"/>
        </w:rPr>
        <w:t xml:space="preserve"> </w:t>
      </w:r>
      <w:r w:rsidRPr="007C4196">
        <w:rPr>
          <w:sz w:val="28"/>
          <w:szCs w:val="28"/>
        </w:rPr>
        <w:t>London: Sage publications.</w:t>
      </w:r>
    </w:p>
    <w:p w14:paraId="13C622E7" w14:textId="0CC75C8C" w:rsidR="007C4196" w:rsidRPr="007C4196" w:rsidRDefault="007C4196" w:rsidP="007C4196">
      <w:pPr>
        <w:rPr>
          <w:sz w:val="28"/>
          <w:szCs w:val="28"/>
        </w:rPr>
      </w:pPr>
      <w:r w:rsidRPr="007C4196">
        <w:rPr>
          <w:sz w:val="28"/>
          <w:szCs w:val="28"/>
        </w:rPr>
        <w:t xml:space="preserve">Denzin, N. K., &amp; Lincoln, Y. S. (Eds.). (2018). </w:t>
      </w:r>
      <w:r w:rsidRPr="00D71C2B">
        <w:rPr>
          <w:i/>
          <w:iCs/>
          <w:sz w:val="28"/>
          <w:szCs w:val="28"/>
        </w:rPr>
        <w:t>“</w:t>
      </w:r>
      <w:r w:rsidRPr="007C4196">
        <w:rPr>
          <w:i/>
          <w:iCs/>
          <w:sz w:val="28"/>
          <w:szCs w:val="28"/>
        </w:rPr>
        <w:t>The SAGE Handbook of Qualitative Research</w:t>
      </w:r>
      <w:r w:rsidRPr="00D71C2B">
        <w:rPr>
          <w:i/>
          <w:iCs/>
          <w:sz w:val="28"/>
          <w:szCs w:val="28"/>
        </w:rPr>
        <w:t>”</w:t>
      </w:r>
      <w:r w:rsidRPr="007C4196">
        <w:rPr>
          <w:sz w:val="28"/>
          <w:szCs w:val="28"/>
        </w:rPr>
        <w:t xml:space="preserve"> (5th ed.). Sage.</w:t>
      </w:r>
    </w:p>
    <w:p w14:paraId="3335B43D" w14:textId="77777777" w:rsidR="007C4196" w:rsidRPr="007C4196" w:rsidRDefault="007C4196" w:rsidP="007C4196">
      <w:pPr>
        <w:rPr>
          <w:sz w:val="28"/>
          <w:szCs w:val="28"/>
        </w:rPr>
      </w:pPr>
      <w:r w:rsidRPr="007C4196">
        <w:rPr>
          <w:sz w:val="28"/>
          <w:szCs w:val="28"/>
        </w:rPr>
        <w:t>Denscombe, M. (2017</w:t>
      </w:r>
      <w:r w:rsidRPr="007C4196">
        <w:rPr>
          <w:i/>
          <w:iCs/>
          <w:sz w:val="28"/>
          <w:szCs w:val="28"/>
        </w:rPr>
        <w:t>). “The good research guide: For small-scale social research projects.”</w:t>
      </w:r>
      <w:r w:rsidRPr="007C4196">
        <w:rPr>
          <w:sz w:val="28"/>
          <w:szCs w:val="28"/>
        </w:rPr>
        <w:t xml:space="preserve"> McGraw-Hill Education.</w:t>
      </w:r>
    </w:p>
    <w:p w14:paraId="2E50441B" w14:textId="77777777" w:rsidR="007C4196" w:rsidRPr="007C4196" w:rsidRDefault="007C4196" w:rsidP="007C4196">
      <w:pPr>
        <w:rPr>
          <w:sz w:val="28"/>
          <w:szCs w:val="28"/>
        </w:rPr>
      </w:pPr>
      <w:r w:rsidRPr="007C4196">
        <w:rPr>
          <w:sz w:val="28"/>
          <w:szCs w:val="28"/>
        </w:rPr>
        <w:t>Dweck, C. S. (2007</w:t>
      </w:r>
      <w:r w:rsidRPr="007C4196">
        <w:rPr>
          <w:i/>
          <w:iCs/>
          <w:sz w:val="28"/>
          <w:szCs w:val="28"/>
        </w:rPr>
        <w:t>). “Mindset: The new psychology of success.”</w:t>
      </w:r>
      <w:r w:rsidRPr="007C4196">
        <w:rPr>
          <w:sz w:val="28"/>
          <w:szCs w:val="28"/>
        </w:rPr>
        <w:t xml:space="preserve"> Random House.</w:t>
      </w:r>
    </w:p>
    <w:p w14:paraId="18554D96" w14:textId="0D581109" w:rsidR="007C4196" w:rsidRPr="00D71C2B" w:rsidRDefault="007C4196" w:rsidP="007C4196">
      <w:pPr>
        <w:rPr>
          <w:sz w:val="28"/>
          <w:szCs w:val="28"/>
        </w:rPr>
      </w:pPr>
      <w:r w:rsidRPr="00D71C2B">
        <w:rPr>
          <w:sz w:val="28"/>
          <w:szCs w:val="28"/>
        </w:rPr>
        <w:t>Deci, E. L. and Ryan, R. M. (2000) ‘The “What” and “Why” of Goal Pursuits: Human Needs and the Self-Determination of Behavior’, </w:t>
      </w:r>
      <w:r w:rsidRPr="00D71C2B">
        <w:rPr>
          <w:i/>
          <w:iCs/>
          <w:sz w:val="28"/>
          <w:szCs w:val="28"/>
        </w:rPr>
        <w:t>Psychological Inquiry</w:t>
      </w:r>
      <w:r w:rsidRPr="00D71C2B">
        <w:rPr>
          <w:sz w:val="28"/>
          <w:szCs w:val="28"/>
        </w:rPr>
        <w:t xml:space="preserve">, 11(4), pp. 227–268. </w:t>
      </w:r>
    </w:p>
    <w:p w14:paraId="498C7480" w14:textId="608CE5B5" w:rsidR="007C4196" w:rsidRPr="007C4196" w:rsidRDefault="007C4196" w:rsidP="007C4196">
      <w:pPr>
        <w:rPr>
          <w:sz w:val="28"/>
          <w:szCs w:val="28"/>
        </w:rPr>
      </w:pPr>
      <w:r w:rsidRPr="007C4196">
        <w:rPr>
          <w:sz w:val="28"/>
          <w:szCs w:val="28"/>
        </w:rPr>
        <w:t>Estyn (2022). “</w:t>
      </w:r>
      <w:r w:rsidRPr="007C4196">
        <w:rPr>
          <w:i/>
          <w:iCs/>
          <w:sz w:val="28"/>
          <w:szCs w:val="28"/>
        </w:rPr>
        <w:t>Effective approaches to assessment that improve teaching and learning</w:t>
      </w:r>
      <w:r w:rsidRPr="007C4196">
        <w:rPr>
          <w:sz w:val="28"/>
          <w:szCs w:val="28"/>
        </w:rPr>
        <w:t>” Tu 2, https://www.estyn.gov.wales/system/files/2022-10/Effective%20approaches%20to%20assessment%20that%20improve%20teaching%20and%20learning.pdf (Accessed: 11th of March 2025).</w:t>
      </w:r>
    </w:p>
    <w:p w14:paraId="2C5E24B3" w14:textId="77777777" w:rsidR="007C4196" w:rsidRPr="007C4196" w:rsidRDefault="007C4196" w:rsidP="007C4196">
      <w:pPr>
        <w:rPr>
          <w:sz w:val="28"/>
          <w:szCs w:val="28"/>
        </w:rPr>
      </w:pPr>
      <w:r w:rsidRPr="007C4196">
        <w:rPr>
          <w:sz w:val="28"/>
          <w:szCs w:val="28"/>
        </w:rPr>
        <w:lastRenderedPageBreak/>
        <w:t xml:space="preserve">EWC (2022). </w:t>
      </w:r>
      <w:r w:rsidRPr="007C4196">
        <w:rPr>
          <w:i/>
          <w:iCs/>
          <w:sz w:val="28"/>
          <w:szCs w:val="28"/>
        </w:rPr>
        <w:t>“Code of Professional Conduct and Practice</w:t>
      </w:r>
      <w:r w:rsidRPr="007C4196">
        <w:rPr>
          <w:sz w:val="28"/>
          <w:szCs w:val="28"/>
        </w:rPr>
        <w:t>” Available at: https://www.ewc.wales/site/index.php/en/fitness-to-practise/code-ofprofessional-conduct-and-practice (Accessed on 16th March 2025).</w:t>
      </w:r>
    </w:p>
    <w:p w14:paraId="32B2A478" w14:textId="1929DA7D" w:rsidR="007C4196" w:rsidRPr="007C4196" w:rsidRDefault="007C4196" w:rsidP="007C4196">
      <w:pPr>
        <w:rPr>
          <w:sz w:val="28"/>
          <w:szCs w:val="28"/>
        </w:rPr>
      </w:pPr>
      <w:r w:rsidRPr="007C4196">
        <w:rPr>
          <w:sz w:val="28"/>
          <w:szCs w:val="28"/>
        </w:rPr>
        <w:t xml:space="preserve">Flick, U. (2018). </w:t>
      </w:r>
      <w:r w:rsidRPr="00D71C2B">
        <w:rPr>
          <w:sz w:val="28"/>
          <w:szCs w:val="28"/>
        </w:rPr>
        <w:t>“</w:t>
      </w:r>
      <w:r w:rsidRPr="007C4196">
        <w:rPr>
          <w:i/>
          <w:iCs/>
          <w:sz w:val="28"/>
          <w:szCs w:val="28"/>
        </w:rPr>
        <w:t>An introduction to qualitative research.</w:t>
      </w:r>
      <w:r w:rsidRPr="00D71C2B">
        <w:rPr>
          <w:i/>
          <w:iCs/>
          <w:sz w:val="28"/>
          <w:szCs w:val="28"/>
        </w:rPr>
        <w:t>”</w:t>
      </w:r>
      <w:r w:rsidRPr="007C4196">
        <w:rPr>
          <w:sz w:val="28"/>
          <w:szCs w:val="28"/>
        </w:rPr>
        <w:t xml:space="preserve"> Sage.</w:t>
      </w:r>
    </w:p>
    <w:p w14:paraId="0A5C6757" w14:textId="77777777" w:rsidR="007C4196" w:rsidRPr="007C4196" w:rsidRDefault="007C4196" w:rsidP="007C4196">
      <w:pPr>
        <w:rPr>
          <w:sz w:val="28"/>
          <w:szCs w:val="28"/>
        </w:rPr>
      </w:pPr>
      <w:r w:rsidRPr="007C4196">
        <w:rPr>
          <w:sz w:val="28"/>
          <w:szCs w:val="28"/>
        </w:rPr>
        <w:t>Fraenkel, J. R., &amp; Wallen, N. E. Helen H. Hyun (2017). “</w:t>
      </w:r>
      <w:r w:rsidRPr="007C4196">
        <w:rPr>
          <w:i/>
          <w:iCs/>
          <w:sz w:val="28"/>
          <w:szCs w:val="28"/>
        </w:rPr>
        <w:t>How to Design and Evaluate Research in Education</w:t>
      </w:r>
      <w:r w:rsidRPr="007C4196">
        <w:rPr>
          <w:sz w:val="28"/>
          <w:szCs w:val="28"/>
        </w:rPr>
        <w:t>” (8th ed.). McGraw-hill.</w:t>
      </w:r>
    </w:p>
    <w:p w14:paraId="15F51C9F" w14:textId="09B721F9" w:rsidR="007C4196" w:rsidRPr="007C4196" w:rsidRDefault="007C4196" w:rsidP="007C4196">
      <w:pPr>
        <w:rPr>
          <w:sz w:val="28"/>
          <w:szCs w:val="28"/>
        </w:rPr>
      </w:pPr>
      <w:r w:rsidRPr="007C4196">
        <w:rPr>
          <w:sz w:val="28"/>
          <w:szCs w:val="28"/>
        </w:rPr>
        <w:t xml:space="preserve">Glesne, C. (2011). </w:t>
      </w:r>
      <w:r w:rsidRPr="007C4196">
        <w:rPr>
          <w:i/>
          <w:iCs/>
          <w:sz w:val="28"/>
          <w:szCs w:val="28"/>
        </w:rPr>
        <w:t>“Becoming qualitative researchers: An introduction</w:t>
      </w:r>
      <w:r w:rsidRPr="007C4196">
        <w:rPr>
          <w:sz w:val="28"/>
          <w:szCs w:val="28"/>
        </w:rPr>
        <w:t>” (</w:t>
      </w:r>
      <w:r w:rsidRPr="00D71C2B">
        <w:rPr>
          <w:sz w:val="28"/>
          <w:szCs w:val="28"/>
        </w:rPr>
        <w:t>Tud</w:t>
      </w:r>
      <w:r w:rsidRPr="007C4196">
        <w:rPr>
          <w:sz w:val="28"/>
          <w:szCs w:val="28"/>
        </w:rPr>
        <w:t>. 17-49). Sage</w:t>
      </w:r>
    </w:p>
    <w:p w14:paraId="7757B316" w14:textId="77777777" w:rsidR="007C4196" w:rsidRPr="007C4196" w:rsidRDefault="007C4196" w:rsidP="007C4196">
      <w:pPr>
        <w:rPr>
          <w:sz w:val="28"/>
          <w:szCs w:val="28"/>
        </w:rPr>
      </w:pPr>
      <w:r w:rsidRPr="007C4196">
        <w:rPr>
          <w:sz w:val="28"/>
          <w:szCs w:val="28"/>
        </w:rPr>
        <w:t xml:space="preserve">Hattie, J. (2009). </w:t>
      </w:r>
      <w:r w:rsidRPr="007C4196">
        <w:rPr>
          <w:i/>
          <w:iCs/>
          <w:sz w:val="28"/>
          <w:szCs w:val="28"/>
        </w:rPr>
        <w:t>“Visible Learning: A Synthesis of Over 800 Meta-Analyses Relating to Achievement.”</w:t>
      </w:r>
      <w:r w:rsidRPr="007C4196">
        <w:rPr>
          <w:sz w:val="28"/>
          <w:szCs w:val="28"/>
        </w:rPr>
        <w:t xml:space="preserve"> Routledge.</w:t>
      </w:r>
    </w:p>
    <w:p w14:paraId="7A7E3D16" w14:textId="77777777" w:rsidR="007C4196" w:rsidRPr="007C4196" w:rsidRDefault="007C4196" w:rsidP="007C4196">
      <w:pPr>
        <w:rPr>
          <w:sz w:val="28"/>
          <w:szCs w:val="28"/>
        </w:rPr>
      </w:pPr>
      <w:r w:rsidRPr="007C4196">
        <w:rPr>
          <w:sz w:val="28"/>
          <w:szCs w:val="28"/>
        </w:rPr>
        <w:t>Hattie, J., &amp; Timperley, H. (2007). “</w:t>
      </w:r>
      <w:r w:rsidRPr="007C4196">
        <w:rPr>
          <w:i/>
          <w:iCs/>
          <w:sz w:val="28"/>
          <w:szCs w:val="28"/>
        </w:rPr>
        <w:t>The power of feedback. Review of Educational Research,</w:t>
      </w:r>
      <w:r w:rsidRPr="007C4196">
        <w:rPr>
          <w:sz w:val="28"/>
          <w:szCs w:val="28"/>
        </w:rPr>
        <w:t>” 77(1), 81-112.</w:t>
      </w:r>
    </w:p>
    <w:p w14:paraId="57FA7CFC" w14:textId="77777777" w:rsidR="007C4196" w:rsidRPr="007C4196" w:rsidRDefault="007C4196" w:rsidP="007C4196">
      <w:pPr>
        <w:rPr>
          <w:sz w:val="28"/>
          <w:szCs w:val="28"/>
        </w:rPr>
      </w:pPr>
      <w:r w:rsidRPr="007C4196">
        <w:rPr>
          <w:sz w:val="28"/>
          <w:szCs w:val="28"/>
        </w:rPr>
        <w:t>Leedy, P. D., &amp; Ormrod, J. E. (2013). “</w:t>
      </w:r>
      <w:r w:rsidRPr="007C4196">
        <w:rPr>
          <w:i/>
          <w:iCs/>
          <w:sz w:val="28"/>
          <w:szCs w:val="28"/>
        </w:rPr>
        <w:t>Practical research: Planning and design.</w:t>
      </w:r>
      <w:r w:rsidRPr="007C4196">
        <w:rPr>
          <w:sz w:val="28"/>
          <w:szCs w:val="28"/>
        </w:rPr>
        <w:t>” Pearson.</w:t>
      </w:r>
    </w:p>
    <w:p w14:paraId="3F99C376" w14:textId="1A6DEA53" w:rsidR="007C4196" w:rsidRPr="007C4196" w:rsidRDefault="007C4196" w:rsidP="007C4196">
      <w:pPr>
        <w:rPr>
          <w:sz w:val="28"/>
          <w:szCs w:val="28"/>
        </w:rPr>
      </w:pPr>
      <w:r w:rsidRPr="007C4196">
        <w:rPr>
          <w:sz w:val="28"/>
          <w:szCs w:val="28"/>
        </w:rPr>
        <w:t xml:space="preserve">Mertler, C. A. (2018). </w:t>
      </w:r>
      <w:r w:rsidRPr="00D71C2B">
        <w:rPr>
          <w:i/>
          <w:iCs/>
          <w:sz w:val="28"/>
          <w:szCs w:val="28"/>
        </w:rPr>
        <w:t>“</w:t>
      </w:r>
      <w:r w:rsidRPr="007C4196">
        <w:rPr>
          <w:i/>
          <w:iCs/>
          <w:sz w:val="28"/>
          <w:szCs w:val="28"/>
        </w:rPr>
        <w:t>Interpreting the Results of Classroom Assessments: A Practical Guide for Teachers.</w:t>
      </w:r>
      <w:r w:rsidRPr="00D71C2B">
        <w:rPr>
          <w:i/>
          <w:iCs/>
          <w:sz w:val="28"/>
          <w:szCs w:val="28"/>
        </w:rPr>
        <w:t>”</w:t>
      </w:r>
      <w:r w:rsidRPr="007C4196">
        <w:rPr>
          <w:sz w:val="28"/>
          <w:szCs w:val="28"/>
        </w:rPr>
        <w:t xml:space="preserve"> Sage.</w:t>
      </w:r>
    </w:p>
    <w:p w14:paraId="08EC5FA3" w14:textId="77777777" w:rsidR="007C4196" w:rsidRPr="007C4196" w:rsidRDefault="007C4196" w:rsidP="007C4196">
      <w:pPr>
        <w:rPr>
          <w:sz w:val="28"/>
          <w:szCs w:val="28"/>
        </w:rPr>
      </w:pPr>
      <w:r w:rsidRPr="007C4196">
        <w:rPr>
          <w:sz w:val="28"/>
          <w:szCs w:val="28"/>
        </w:rPr>
        <w:t xml:space="preserve">Neuman W. L., (2013). </w:t>
      </w:r>
      <w:r w:rsidRPr="007C4196">
        <w:rPr>
          <w:i/>
          <w:iCs/>
          <w:sz w:val="28"/>
          <w:szCs w:val="28"/>
        </w:rPr>
        <w:t>“Social Research methods: Qualitive and Quantitive Approach</w:t>
      </w:r>
      <w:r w:rsidRPr="007C4196">
        <w:rPr>
          <w:sz w:val="28"/>
          <w:szCs w:val="28"/>
        </w:rPr>
        <w:t>” (7) pp480 Available at: https://letrunghieutvu.yolasite.com/resources/w-lawrence-neuman-social-research-methods_-qualitative-and-quantitative-approaches-pearson-education-limited-2013.pdf (Accessed on 14th March 2025)</w:t>
      </w:r>
    </w:p>
    <w:p w14:paraId="6F1D948D" w14:textId="77777777" w:rsidR="007C4196" w:rsidRPr="007C4196" w:rsidRDefault="007C4196" w:rsidP="007C4196">
      <w:pPr>
        <w:rPr>
          <w:sz w:val="28"/>
          <w:szCs w:val="28"/>
        </w:rPr>
      </w:pPr>
      <w:r w:rsidRPr="007C4196">
        <w:rPr>
          <w:sz w:val="28"/>
          <w:szCs w:val="28"/>
        </w:rPr>
        <w:t>PCYDDS. (2022). “</w:t>
      </w:r>
      <w:r w:rsidRPr="007C4196">
        <w:rPr>
          <w:i/>
          <w:iCs/>
          <w:sz w:val="28"/>
          <w:szCs w:val="28"/>
        </w:rPr>
        <w:t>Research Ethics &amp; Integrity Code of Practice.”</w:t>
      </w:r>
      <w:r w:rsidRPr="007C4196">
        <w:rPr>
          <w:sz w:val="28"/>
          <w:szCs w:val="28"/>
        </w:rPr>
        <w:t xml:space="preserve"> Available at: https://www.uwtsd.ac.uk/research/research-integrityand-ethics (Accessed on 16th March 2025).</w:t>
      </w:r>
    </w:p>
    <w:p w14:paraId="5CD8E918" w14:textId="77777777" w:rsidR="007C4196" w:rsidRPr="007C4196" w:rsidRDefault="007C4196" w:rsidP="007C4196">
      <w:pPr>
        <w:rPr>
          <w:sz w:val="28"/>
          <w:szCs w:val="28"/>
        </w:rPr>
      </w:pPr>
      <w:r w:rsidRPr="007C4196">
        <w:rPr>
          <w:sz w:val="28"/>
          <w:szCs w:val="28"/>
        </w:rPr>
        <w:t>Patton, M. Q. (2015). “</w:t>
      </w:r>
      <w:r w:rsidRPr="007C4196">
        <w:rPr>
          <w:i/>
          <w:iCs/>
          <w:sz w:val="28"/>
          <w:szCs w:val="28"/>
        </w:rPr>
        <w:t>Qualitative research &amp; evaluation methods: Integrating theory and practice.</w:t>
      </w:r>
      <w:r w:rsidRPr="007C4196">
        <w:rPr>
          <w:sz w:val="28"/>
          <w:szCs w:val="28"/>
        </w:rPr>
        <w:t>” Sage publications.</w:t>
      </w:r>
    </w:p>
    <w:p w14:paraId="087331F0" w14:textId="79EA2D03" w:rsidR="007C4196" w:rsidRPr="007C4196" w:rsidRDefault="007C4196" w:rsidP="007C4196">
      <w:pPr>
        <w:rPr>
          <w:sz w:val="28"/>
          <w:szCs w:val="28"/>
        </w:rPr>
      </w:pPr>
      <w:r w:rsidRPr="007C4196">
        <w:rPr>
          <w:sz w:val="28"/>
          <w:szCs w:val="28"/>
        </w:rPr>
        <w:t xml:space="preserve">Piaget, J. (1952). </w:t>
      </w:r>
      <w:r w:rsidRPr="00D71C2B">
        <w:rPr>
          <w:sz w:val="28"/>
          <w:szCs w:val="28"/>
        </w:rPr>
        <w:t>“</w:t>
      </w:r>
      <w:r w:rsidRPr="007C4196">
        <w:rPr>
          <w:i/>
          <w:iCs/>
          <w:sz w:val="28"/>
          <w:szCs w:val="28"/>
        </w:rPr>
        <w:t>The origins of intelligence in children</w:t>
      </w:r>
      <w:r w:rsidRPr="007C4196">
        <w:rPr>
          <w:sz w:val="28"/>
          <w:szCs w:val="28"/>
        </w:rPr>
        <w:t>.</w:t>
      </w:r>
      <w:r w:rsidRPr="00D71C2B">
        <w:rPr>
          <w:sz w:val="28"/>
          <w:szCs w:val="28"/>
        </w:rPr>
        <w:t>”</w:t>
      </w:r>
      <w:r w:rsidRPr="007C4196">
        <w:rPr>
          <w:sz w:val="28"/>
          <w:szCs w:val="28"/>
        </w:rPr>
        <w:t xml:space="preserve"> New York: International Universities Press.</w:t>
      </w:r>
    </w:p>
    <w:p w14:paraId="464F6D19" w14:textId="7DD81D1B" w:rsidR="007C4196" w:rsidRPr="007C4196" w:rsidRDefault="007C4196" w:rsidP="007C4196">
      <w:pPr>
        <w:rPr>
          <w:sz w:val="28"/>
          <w:szCs w:val="28"/>
        </w:rPr>
      </w:pPr>
      <w:r w:rsidRPr="007C4196">
        <w:rPr>
          <w:sz w:val="28"/>
          <w:szCs w:val="28"/>
        </w:rPr>
        <w:lastRenderedPageBreak/>
        <w:t xml:space="preserve">St Pierre, E. A. (2000). </w:t>
      </w:r>
      <w:r w:rsidRPr="00D71C2B">
        <w:rPr>
          <w:sz w:val="28"/>
          <w:szCs w:val="28"/>
        </w:rPr>
        <w:t>“</w:t>
      </w:r>
      <w:r w:rsidRPr="007C4196">
        <w:rPr>
          <w:i/>
          <w:iCs/>
          <w:sz w:val="28"/>
          <w:szCs w:val="28"/>
        </w:rPr>
        <w:t>The Call for Intelligibility in Postmodern Educational Research. Educational Researcher</w:t>
      </w:r>
      <w:r w:rsidRPr="00D71C2B">
        <w:rPr>
          <w:i/>
          <w:iCs/>
          <w:sz w:val="28"/>
          <w:szCs w:val="28"/>
        </w:rPr>
        <w:t xml:space="preserve">.” </w:t>
      </w:r>
      <w:r w:rsidRPr="007C4196">
        <w:rPr>
          <w:sz w:val="28"/>
          <w:szCs w:val="28"/>
        </w:rPr>
        <w:t>American Educational Research Association., 29(5), 25–28. https://doi.org/10.3102/0013189X029005025</w:t>
      </w:r>
    </w:p>
    <w:p w14:paraId="701938A9" w14:textId="5EE6D0E2" w:rsidR="007C4196" w:rsidRPr="007C4196" w:rsidRDefault="007C4196" w:rsidP="007C4196">
      <w:pPr>
        <w:rPr>
          <w:sz w:val="28"/>
          <w:szCs w:val="28"/>
        </w:rPr>
      </w:pPr>
      <w:r w:rsidRPr="007C4196">
        <w:rPr>
          <w:sz w:val="28"/>
          <w:szCs w:val="28"/>
        </w:rPr>
        <w:t xml:space="preserve">Stiggins, R. J. (2008). </w:t>
      </w:r>
      <w:r w:rsidRPr="00D71C2B">
        <w:rPr>
          <w:i/>
          <w:iCs/>
          <w:sz w:val="28"/>
          <w:szCs w:val="28"/>
        </w:rPr>
        <w:t>“</w:t>
      </w:r>
      <w:r w:rsidRPr="007C4196">
        <w:rPr>
          <w:i/>
          <w:iCs/>
          <w:sz w:val="28"/>
          <w:szCs w:val="28"/>
        </w:rPr>
        <w:t>Classroom assessment for student learning: Doing it right—Using it well</w:t>
      </w:r>
      <w:r w:rsidRPr="00D71C2B">
        <w:rPr>
          <w:i/>
          <w:iCs/>
          <w:sz w:val="28"/>
          <w:szCs w:val="28"/>
        </w:rPr>
        <w:t>”</w:t>
      </w:r>
      <w:r w:rsidRPr="007C4196">
        <w:rPr>
          <w:sz w:val="28"/>
          <w:szCs w:val="28"/>
        </w:rPr>
        <w:t xml:space="preserve"> (2nd ed.). Pearson.</w:t>
      </w:r>
    </w:p>
    <w:p w14:paraId="129FB0C5" w14:textId="77777777" w:rsidR="007C4196" w:rsidRPr="007C4196" w:rsidRDefault="007C4196" w:rsidP="007C4196">
      <w:pPr>
        <w:rPr>
          <w:sz w:val="28"/>
          <w:szCs w:val="28"/>
        </w:rPr>
      </w:pPr>
      <w:r w:rsidRPr="007C4196">
        <w:rPr>
          <w:sz w:val="28"/>
          <w:szCs w:val="28"/>
        </w:rPr>
        <w:t>Van Manen, M. (1990). “</w:t>
      </w:r>
      <w:r w:rsidRPr="007C4196">
        <w:rPr>
          <w:i/>
          <w:iCs/>
          <w:sz w:val="28"/>
          <w:szCs w:val="28"/>
        </w:rPr>
        <w:t>Researching lived experience: Human science for an action sensitive pedagogy”.</w:t>
      </w:r>
      <w:r w:rsidRPr="007C4196">
        <w:rPr>
          <w:sz w:val="28"/>
          <w:szCs w:val="28"/>
        </w:rPr>
        <w:t xml:space="preserve"> State University of New York Press.</w:t>
      </w:r>
    </w:p>
    <w:p w14:paraId="134D3555" w14:textId="09A212DA" w:rsidR="007C4196" w:rsidRPr="007C4196" w:rsidRDefault="007C4196" w:rsidP="007C4196">
      <w:pPr>
        <w:rPr>
          <w:sz w:val="28"/>
          <w:szCs w:val="28"/>
        </w:rPr>
      </w:pPr>
      <w:r w:rsidRPr="007C4196">
        <w:rPr>
          <w:sz w:val="28"/>
          <w:szCs w:val="28"/>
        </w:rPr>
        <w:t xml:space="preserve">Vygotsky, L. S. (1978). </w:t>
      </w:r>
      <w:r w:rsidRPr="00D71C2B">
        <w:rPr>
          <w:i/>
          <w:iCs/>
          <w:sz w:val="28"/>
          <w:szCs w:val="28"/>
        </w:rPr>
        <w:t>“</w:t>
      </w:r>
      <w:r w:rsidRPr="007C4196">
        <w:rPr>
          <w:i/>
          <w:iCs/>
          <w:sz w:val="28"/>
          <w:szCs w:val="28"/>
        </w:rPr>
        <w:t>Mind in society: The development of higher psychological processes</w:t>
      </w:r>
      <w:r w:rsidRPr="007C4196">
        <w:rPr>
          <w:sz w:val="28"/>
          <w:szCs w:val="28"/>
        </w:rPr>
        <w:t>.</w:t>
      </w:r>
      <w:r w:rsidRPr="00D71C2B">
        <w:rPr>
          <w:sz w:val="28"/>
          <w:szCs w:val="28"/>
        </w:rPr>
        <w:t>”</w:t>
      </w:r>
      <w:r w:rsidRPr="007C4196">
        <w:rPr>
          <w:sz w:val="28"/>
          <w:szCs w:val="28"/>
        </w:rPr>
        <w:t xml:space="preserve"> Harvard University Press.</w:t>
      </w:r>
    </w:p>
    <w:p w14:paraId="7007BB94" w14:textId="59C71B2F" w:rsidR="007C4196" w:rsidRPr="007C4196" w:rsidRDefault="007C4196" w:rsidP="007C4196">
      <w:pPr>
        <w:rPr>
          <w:sz w:val="28"/>
          <w:szCs w:val="28"/>
        </w:rPr>
      </w:pPr>
      <w:r w:rsidRPr="007C4196">
        <w:rPr>
          <w:sz w:val="28"/>
          <w:szCs w:val="28"/>
        </w:rPr>
        <w:t>Welsh Government (2015). “</w:t>
      </w:r>
      <w:r w:rsidRPr="007C4196">
        <w:rPr>
          <w:i/>
          <w:iCs/>
          <w:sz w:val="28"/>
          <w:szCs w:val="28"/>
        </w:rPr>
        <w:t>Successful Futures: Independent Review of Curriculum and Assessment Arrangements in Wales.”</w:t>
      </w:r>
      <w:r w:rsidRPr="007C4196">
        <w:rPr>
          <w:sz w:val="28"/>
          <w:szCs w:val="28"/>
        </w:rPr>
        <w:t xml:space="preserve"> Available at:</w:t>
      </w:r>
      <w:r w:rsidRPr="00D71C2B">
        <w:rPr>
          <w:sz w:val="28"/>
          <w:szCs w:val="28"/>
        </w:rPr>
        <w:t xml:space="preserve"> </w:t>
      </w:r>
      <w:r w:rsidRPr="007C4196">
        <w:rPr>
          <w:sz w:val="28"/>
          <w:szCs w:val="28"/>
        </w:rPr>
        <w:t>https://www.gov.wales/sites/default/files/publications/2018-03/successful-futures.pdf (Accessed: 11th of March 2025).</w:t>
      </w:r>
    </w:p>
    <w:p w14:paraId="73B40211" w14:textId="466AC4C6" w:rsidR="007C4196" w:rsidRPr="007C4196" w:rsidRDefault="007C4196" w:rsidP="007C4196">
      <w:pPr>
        <w:rPr>
          <w:sz w:val="28"/>
          <w:szCs w:val="28"/>
        </w:rPr>
      </w:pPr>
      <w:r w:rsidRPr="007C4196">
        <w:rPr>
          <w:sz w:val="28"/>
          <w:szCs w:val="28"/>
        </w:rPr>
        <w:t>Wiliam, D. (2011).</w:t>
      </w:r>
      <w:r w:rsidRPr="00D71C2B">
        <w:rPr>
          <w:sz w:val="28"/>
          <w:szCs w:val="28"/>
        </w:rPr>
        <w:t xml:space="preserve"> </w:t>
      </w:r>
      <w:r w:rsidRPr="007C4196">
        <w:rPr>
          <w:i/>
          <w:iCs/>
          <w:sz w:val="28"/>
          <w:szCs w:val="28"/>
        </w:rPr>
        <w:t>” Embedded Formative Assessment.”</w:t>
      </w:r>
      <w:r w:rsidRPr="007C4196">
        <w:rPr>
          <w:sz w:val="28"/>
          <w:szCs w:val="28"/>
        </w:rPr>
        <w:t xml:space="preserve"> Solution Tree Press.</w:t>
      </w:r>
    </w:p>
    <w:p w14:paraId="5BC03631" w14:textId="5C3B9CD9" w:rsidR="007C4196" w:rsidRPr="007C4196" w:rsidRDefault="007C4196" w:rsidP="007C4196">
      <w:pPr>
        <w:rPr>
          <w:sz w:val="28"/>
          <w:szCs w:val="28"/>
        </w:rPr>
      </w:pPr>
      <w:r w:rsidRPr="007C4196">
        <w:rPr>
          <w:sz w:val="28"/>
          <w:szCs w:val="28"/>
        </w:rPr>
        <w:t xml:space="preserve">Zimmerman, B. J., &amp; Schunk, D. H. (2011). </w:t>
      </w:r>
      <w:r w:rsidRPr="00D71C2B">
        <w:rPr>
          <w:i/>
          <w:iCs/>
          <w:sz w:val="28"/>
          <w:szCs w:val="28"/>
        </w:rPr>
        <w:t>“</w:t>
      </w:r>
      <w:r w:rsidRPr="007C4196">
        <w:rPr>
          <w:i/>
          <w:iCs/>
          <w:sz w:val="28"/>
          <w:szCs w:val="28"/>
        </w:rPr>
        <w:t>Handbook of Self-Regulation of Learning and Performance.</w:t>
      </w:r>
      <w:r w:rsidRPr="00D71C2B">
        <w:rPr>
          <w:sz w:val="28"/>
          <w:szCs w:val="28"/>
        </w:rPr>
        <w:t>”</w:t>
      </w:r>
      <w:r w:rsidRPr="007C4196">
        <w:rPr>
          <w:sz w:val="28"/>
          <w:szCs w:val="28"/>
        </w:rPr>
        <w:t xml:space="preserve"> Routledg</w:t>
      </w:r>
    </w:p>
    <w:p w14:paraId="2D2A7E36" w14:textId="77777777" w:rsidR="000E2E7E" w:rsidRPr="00D71C2B" w:rsidRDefault="000E2E7E" w:rsidP="000E2E7E">
      <w:pPr>
        <w:rPr>
          <w:sz w:val="28"/>
          <w:szCs w:val="28"/>
        </w:rPr>
      </w:pPr>
    </w:p>
    <w:p w14:paraId="6413DE7C" w14:textId="77777777" w:rsidR="000E2E7E" w:rsidRPr="00D71C2B" w:rsidRDefault="000E2E7E" w:rsidP="000E2E7E">
      <w:pPr>
        <w:rPr>
          <w:sz w:val="28"/>
          <w:szCs w:val="28"/>
        </w:rPr>
      </w:pPr>
    </w:p>
    <w:p w14:paraId="512734CD" w14:textId="77777777" w:rsidR="000E2E7E" w:rsidRPr="00D71C2B" w:rsidRDefault="000E2E7E" w:rsidP="000E2E7E">
      <w:pPr>
        <w:rPr>
          <w:sz w:val="16"/>
          <w:szCs w:val="16"/>
        </w:rPr>
      </w:pPr>
    </w:p>
    <w:p w14:paraId="1CD1FA79" w14:textId="1E826845" w:rsidR="000E2E7E" w:rsidRPr="000E2E7E" w:rsidRDefault="000E2E7E">
      <w:pPr>
        <w:rPr>
          <w:sz w:val="52"/>
          <w:szCs w:val="52"/>
        </w:rPr>
      </w:pPr>
    </w:p>
    <w:sectPr w:rsidR="000E2E7E" w:rsidRPr="000E2E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5151A"/>
    <w:multiLevelType w:val="hybridMultilevel"/>
    <w:tmpl w:val="3A949A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7722DC"/>
    <w:multiLevelType w:val="hybridMultilevel"/>
    <w:tmpl w:val="0A76A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E012FD"/>
    <w:multiLevelType w:val="hybridMultilevel"/>
    <w:tmpl w:val="E52423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5225758">
    <w:abstractNumId w:val="2"/>
  </w:num>
  <w:num w:numId="2" w16cid:durableId="294216540">
    <w:abstractNumId w:val="0"/>
  </w:num>
  <w:num w:numId="3" w16cid:durableId="8160714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D38CE"/>
    <w:rsid w:val="000E2E7E"/>
    <w:rsid w:val="00121BB2"/>
    <w:rsid w:val="001675AC"/>
    <w:rsid w:val="00191CFB"/>
    <w:rsid w:val="001E698E"/>
    <w:rsid w:val="002E1274"/>
    <w:rsid w:val="00364CA1"/>
    <w:rsid w:val="00372668"/>
    <w:rsid w:val="003919F2"/>
    <w:rsid w:val="003A7750"/>
    <w:rsid w:val="00403714"/>
    <w:rsid w:val="00430597"/>
    <w:rsid w:val="00504994"/>
    <w:rsid w:val="00604703"/>
    <w:rsid w:val="006A4E61"/>
    <w:rsid w:val="007C4196"/>
    <w:rsid w:val="00834F6B"/>
    <w:rsid w:val="008F0B48"/>
    <w:rsid w:val="00965B69"/>
    <w:rsid w:val="00966E3B"/>
    <w:rsid w:val="009D31A8"/>
    <w:rsid w:val="00AB5565"/>
    <w:rsid w:val="00AC7D7E"/>
    <w:rsid w:val="00B60F9D"/>
    <w:rsid w:val="00BE07D2"/>
    <w:rsid w:val="00C0493E"/>
    <w:rsid w:val="00CA4514"/>
    <w:rsid w:val="00CE0FF1"/>
    <w:rsid w:val="00D473A9"/>
    <w:rsid w:val="00D71C2B"/>
    <w:rsid w:val="00DF09B3"/>
    <w:rsid w:val="00E5184C"/>
    <w:rsid w:val="00F664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Pennawd1">
    <w:name w:val="heading 1"/>
    <w:basedOn w:val="Normal"/>
    <w:next w:val="Normal"/>
    <w:link w:val="Pennawd1Nod"/>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Pennawd2">
    <w:name w:val="heading 2"/>
    <w:basedOn w:val="Normal"/>
    <w:next w:val="Normal"/>
    <w:link w:val="Pennawd2Nod"/>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Pennawd3">
    <w:name w:val="heading 3"/>
    <w:basedOn w:val="Normal"/>
    <w:next w:val="Normal"/>
    <w:link w:val="Pennawd3Nod"/>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Pennawd4">
    <w:name w:val="heading 4"/>
    <w:basedOn w:val="Normal"/>
    <w:next w:val="Normal"/>
    <w:link w:val="Pennawd4Nod"/>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Pennawd5">
    <w:name w:val="heading 5"/>
    <w:basedOn w:val="Normal"/>
    <w:next w:val="Normal"/>
    <w:link w:val="Pennawd5Nod"/>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Pennawd6">
    <w:name w:val="heading 6"/>
    <w:basedOn w:val="Normal"/>
    <w:next w:val="Normal"/>
    <w:link w:val="Pennawd6Nod"/>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Pennawd7">
    <w:name w:val="heading 7"/>
    <w:basedOn w:val="Normal"/>
    <w:next w:val="Normal"/>
    <w:link w:val="Pennawd7Nod"/>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Pennawd8">
    <w:name w:val="heading 8"/>
    <w:basedOn w:val="Normal"/>
    <w:next w:val="Normal"/>
    <w:link w:val="Pennawd8Nod"/>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Pennawd9">
    <w:name w:val="heading 9"/>
    <w:basedOn w:val="Normal"/>
    <w:next w:val="Normal"/>
    <w:link w:val="Pennawd9Nod"/>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FfontParagraffDdiofyn">
    <w:name w:val="Default Paragraph Font"/>
    <w:uiPriority w:val="1"/>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uiPriority w:val="9"/>
    <w:rsid w:val="000E2E7E"/>
    <w:rPr>
      <w:rFonts w:asciiTheme="majorHAnsi" w:eastAsiaTheme="majorEastAsia" w:hAnsiTheme="majorHAnsi" w:cstheme="majorBidi"/>
      <w:color w:val="0F4761" w:themeColor="accent1" w:themeShade="BF"/>
      <w:sz w:val="40"/>
      <w:szCs w:val="40"/>
    </w:rPr>
  </w:style>
  <w:style w:type="character" w:customStyle="1" w:styleId="Pennawd2Nod">
    <w:name w:val="Pennawd 2 Nod"/>
    <w:basedOn w:val="FfontParagraffDdiofyn"/>
    <w:link w:val="Pennawd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Pennawd3Nod">
    <w:name w:val="Pennawd 3 Nod"/>
    <w:basedOn w:val="FfontParagraffDdiofyn"/>
    <w:link w:val="Pennawd3"/>
    <w:uiPriority w:val="9"/>
    <w:semiHidden/>
    <w:rsid w:val="000E2E7E"/>
    <w:rPr>
      <w:rFonts w:eastAsiaTheme="majorEastAsia" w:cstheme="majorBidi"/>
      <w:color w:val="0F4761" w:themeColor="accent1" w:themeShade="BF"/>
      <w:sz w:val="28"/>
      <w:szCs w:val="28"/>
    </w:rPr>
  </w:style>
  <w:style w:type="character" w:customStyle="1" w:styleId="Pennawd4Nod">
    <w:name w:val="Pennawd 4 Nod"/>
    <w:basedOn w:val="FfontParagraffDdiofyn"/>
    <w:link w:val="Pennawd4"/>
    <w:uiPriority w:val="9"/>
    <w:semiHidden/>
    <w:rsid w:val="000E2E7E"/>
    <w:rPr>
      <w:rFonts w:eastAsiaTheme="majorEastAsia" w:cstheme="majorBidi"/>
      <w:i/>
      <w:iCs/>
      <w:color w:val="0F4761" w:themeColor="accent1" w:themeShade="BF"/>
    </w:rPr>
  </w:style>
  <w:style w:type="character" w:customStyle="1" w:styleId="Pennawd5Nod">
    <w:name w:val="Pennawd 5 Nod"/>
    <w:basedOn w:val="FfontParagraffDdiofyn"/>
    <w:link w:val="Pennawd5"/>
    <w:uiPriority w:val="9"/>
    <w:semiHidden/>
    <w:rsid w:val="000E2E7E"/>
    <w:rPr>
      <w:rFonts w:eastAsiaTheme="majorEastAsia" w:cstheme="majorBidi"/>
      <w:color w:val="0F4761" w:themeColor="accent1" w:themeShade="BF"/>
    </w:rPr>
  </w:style>
  <w:style w:type="character" w:customStyle="1" w:styleId="Pennawd6Nod">
    <w:name w:val="Pennawd 6 Nod"/>
    <w:basedOn w:val="FfontParagraffDdiofyn"/>
    <w:link w:val="Pennawd6"/>
    <w:uiPriority w:val="9"/>
    <w:semiHidden/>
    <w:rsid w:val="000E2E7E"/>
    <w:rPr>
      <w:rFonts w:eastAsiaTheme="majorEastAsia" w:cstheme="majorBidi"/>
      <w:i/>
      <w:iCs/>
      <w:color w:val="595959" w:themeColor="text1" w:themeTint="A6"/>
    </w:rPr>
  </w:style>
  <w:style w:type="character" w:customStyle="1" w:styleId="Pennawd7Nod">
    <w:name w:val="Pennawd 7 Nod"/>
    <w:basedOn w:val="FfontParagraffDdiofyn"/>
    <w:link w:val="Pennawd7"/>
    <w:uiPriority w:val="9"/>
    <w:semiHidden/>
    <w:rsid w:val="000E2E7E"/>
    <w:rPr>
      <w:rFonts w:eastAsiaTheme="majorEastAsia" w:cstheme="majorBidi"/>
      <w:color w:val="595959" w:themeColor="text1" w:themeTint="A6"/>
    </w:rPr>
  </w:style>
  <w:style w:type="character" w:customStyle="1" w:styleId="Pennawd8Nod">
    <w:name w:val="Pennawd 8 Nod"/>
    <w:basedOn w:val="FfontParagraffDdiofyn"/>
    <w:link w:val="Pennawd8"/>
    <w:uiPriority w:val="9"/>
    <w:semiHidden/>
    <w:rsid w:val="000E2E7E"/>
    <w:rPr>
      <w:rFonts w:eastAsiaTheme="majorEastAsia" w:cstheme="majorBidi"/>
      <w:i/>
      <w:iCs/>
      <w:color w:val="272727" w:themeColor="text1" w:themeTint="D8"/>
    </w:rPr>
  </w:style>
  <w:style w:type="character" w:customStyle="1" w:styleId="Pennawd9Nod">
    <w:name w:val="Pennawd 9 Nod"/>
    <w:basedOn w:val="FfontParagraffDdiofyn"/>
    <w:link w:val="Pennawd9"/>
    <w:uiPriority w:val="9"/>
    <w:semiHidden/>
    <w:rsid w:val="000E2E7E"/>
    <w:rPr>
      <w:rFonts w:eastAsiaTheme="majorEastAsia" w:cstheme="majorBidi"/>
      <w:color w:val="272727" w:themeColor="text1" w:themeTint="D8"/>
    </w:rPr>
  </w:style>
  <w:style w:type="paragraph" w:styleId="Teitl">
    <w:name w:val="Title"/>
    <w:basedOn w:val="Normal"/>
    <w:next w:val="Normal"/>
    <w:link w:val="TeitlNod"/>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eitlNod">
    <w:name w:val="Teitl Nod"/>
    <w:basedOn w:val="FfontParagraffDdiofyn"/>
    <w:link w:val="Teitl"/>
    <w:uiPriority w:val="10"/>
    <w:rsid w:val="000E2E7E"/>
    <w:rPr>
      <w:rFonts w:asciiTheme="majorHAnsi" w:eastAsiaTheme="majorEastAsia" w:hAnsiTheme="majorHAnsi" w:cstheme="majorBidi"/>
      <w:spacing w:val="-10"/>
      <w:kern w:val="28"/>
      <w:sz w:val="56"/>
      <w:szCs w:val="56"/>
    </w:rPr>
  </w:style>
  <w:style w:type="paragraph" w:styleId="Isdeitl">
    <w:name w:val="Subtitle"/>
    <w:basedOn w:val="Normal"/>
    <w:next w:val="Normal"/>
    <w:link w:val="IsdeitlNod"/>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IsdeitlNod">
    <w:name w:val="Isdeitl Nod"/>
    <w:basedOn w:val="FfontParagraffDdiofyn"/>
    <w:link w:val="Isdeitl"/>
    <w:uiPriority w:val="11"/>
    <w:rsid w:val="000E2E7E"/>
    <w:rPr>
      <w:rFonts w:eastAsiaTheme="majorEastAsia" w:cstheme="majorBidi"/>
      <w:color w:val="595959" w:themeColor="text1" w:themeTint="A6"/>
      <w:spacing w:val="15"/>
      <w:sz w:val="28"/>
      <w:szCs w:val="28"/>
    </w:rPr>
  </w:style>
  <w:style w:type="paragraph" w:styleId="Dyfyniad">
    <w:name w:val="Quote"/>
    <w:basedOn w:val="Normal"/>
    <w:next w:val="Normal"/>
    <w:link w:val="DyfyniadNod"/>
    <w:uiPriority w:val="29"/>
    <w:qFormat/>
    <w:rsid w:val="000E2E7E"/>
    <w:pPr>
      <w:spacing w:before="160"/>
      <w:jc w:val="center"/>
    </w:pPr>
    <w:rPr>
      <w:i/>
      <w:iCs/>
      <w:color w:val="404040" w:themeColor="text1" w:themeTint="BF"/>
    </w:rPr>
  </w:style>
  <w:style w:type="character" w:customStyle="1" w:styleId="DyfyniadNod">
    <w:name w:val="Dyfyniad Nod"/>
    <w:basedOn w:val="FfontParagraffDdiofyn"/>
    <w:link w:val="Dyfyniad"/>
    <w:uiPriority w:val="29"/>
    <w:rsid w:val="000E2E7E"/>
    <w:rPr>
      <w:i/>
      <w:iCs/>
      <w:color w:val="404040" w:themeColor="text1" w:themeTint="BF"/>
    </w:rPr>
  </w:style>
  <w:style w:type="paragraph" w:styleId="ParagraffRhestr">
    <w:name w:val="List Paragraph"/>
    <w:basedOn w:val="Normal"/>
    <w:uiPriority w:val="34"/>
    <w:qFormat/>
    <w:rsid w:val="000E2E7E"/>
    <w:pPr>
      <w:ind w:left="720"/>
      <w:contextualSpacing/>
    </w:pPr>
  </w:style>
  <w:style w:type="character" w:styleId="PwyslaisDdwys">
    <w:name w:val="Intense Emphasis"/>
    <w:basedOn w:val="FfontParagraffDdiofyn"/>
    <w:uiPriority w:val="21"/>
    <w:qFormat/>
    <w:rsid w:val="000E2E7E"/>
    <w:rPr>
      <w:i/>
      <w:iCs/>
      <w:color w:val="0F4761" w:themeColor="accent1" w:themeShade="BF"/>
    </w:rPr>
  </w:style>
  <w:style w:type="paragraph" w:styleId="DyfyniadDwys">
    <w:name w:val="Intense Quote"/>
    <w:basedOn w:val="Normal"/>
    <w:next w:val="Normal"/>
    <w:link w:val="DyfyniadDwysNod"/>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yfyniadDwysNod">
    <w:name w:val="Dyfyniad Dwys Nod"/>
    <w:basedOn w:val="FfontParagraffDdiofyn"/>
    <w:link w:val="DyfyniadDwys"/>
    <w:uiPriority w:val="30"/>
    <w:rsid w:val="000E2E7E"/>
    <w:rPr>
      <w:i/>
      <w:iCs/>
      <w:color w:val="0F4761" w:themeColor="accent1" w:themeShade="BF"/>
    </w:rPr>
  </w:style>
  <w:style w:type="character" w:styleId="CyfeirnodDwys">
    <w:name w:val="Intense Reference"/>
    <w:basedOn w:val="FfontParagraffDdiofyn"/>
    <w:uiPriority w:val="32"/>
    <w:qFormat/>
    <w:rsid w:val="000E2E7E"/>
    <w:rPr>
      <w:b/>
      <w:bCs/>
      <w:smallCaps/>
      <w:color w:val="0F4761" w:themeColor="accent1" w:themeShade="BF"/>
      <w:spacing w:val="5"/>
    </w:rPr>
  </w:style>
  <w:style w:type="table" w:styleId="GridTabl">
    <w:name w:val="Table Grid"/>
    <w:basedOn w:val="Tabl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stunDalfan">
    <w:name w:val="Placeholder Text"/>
    <w:basedOn w:val="FfontParagraffDdiofyn"/>
    <w:uiPriority w:val="99"/>
    <w:semiHidden/>
    <w:rsid w:val="00966E3B"/>
    <w:rPr>
      <w:color w:val="666666"/>
    </w:rPr>
  </w:style>
  <w:style w:type="character" w:styleId="Hyperddolen">
    <w:name w:val="Hyperlink"/>
    <w:basedOn w:val="FfontParagraffDdiofyn"/>
    <w:uiPriority w:val="99"/>
    <w:unhideWhenUsed/>
    <w:rsid w:val="00834F6B"/>
    <w:rPr>
      <w:color w:val="467886" w:themeColor="hyperlink"/>
      <w:u w:val="single"/>
    </w:rPr>
  </w:style>
  <w:style w:type="character" w:styleId="SnhebeiDdatrys">
    <w:name w:val="Unresolved Mention"/>
    <w:basedOn w:val="FfontParagraffDdiofyn"/>
    <w:uiPriority w:val="99"/>
    <w:semiHidden/>
    <w:unhideWhenUsed/>
    <w:rsid w:val="00834F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77339">
      <w:bodyDiv w:val="1"/>
      <w:marLeft w:val="0"/>
      <w:marRight w:val="0"/>
      <w:marTop w:val="0"/>
      <w:marBottom w:val="0"/>
      <w:divBdr>
        <w:top w:val="none" w:sz="0" w:space="0" w:color="auto"/>
        <w:left w:val="none" w:sz="0" w:space="0" w:color="auto"/>
        <w:bottom w:val="none" w:sz="0" w:space="0" w:color="auto"/>
        <w:right w:val="none" w:sz="0" w:space="0" w:color="auto"/>
      </w:divBdr>
      <w:divsChild>
        <w:div w:id="1856113669">
          <w:marLeft w:val="0"/>
          <w:marRight w:val="0"/>
          <w:marTop w:val="0"/>
          <w:marBottom w:val="0"/>
          <w:divBdr>
            <w:top w:val="none" w:sz="0" w:space="0" w:color="auto"/>
            <w:left w:val="none" w:sz="0" w:space="0" w:color="auto"/>
            <w:bottom w:val="none" w:sz="0" w:space="0" w:color="auto"/>
            <w:right w:val="none" w:sz="0" w:space="0" w:color="auto"/>
          </w:divBdr>
        </w:div>
      </w:divsChild>
    </w:div>
    <w:div w:id="209151717">
      <w:bodyDiv w:val="1"/>
      <w:marLeft w:val="0"/>
      <w:marRight w:val="0"/>
      <w:marTop w:val="0"/>
      <w:marBottom w:val="0"/>
      <w:divBdr>
        <w:top w:val="none" w:sz="0" w:space="0" w:color="auto"/>
        <w:left w:val="none" w:sz="0" w:space="0" w:color="auto"/>
        <w:bottom w:val="none" w:sz="0" w:space="0" w:color="auto"/>
        <w:right w:val="none" w:sz="0" w:space="0" w:color="auto"/>
      </w:divBdr>
    </w:div>
    <w:div w:id="661158255">
      <w:bodyDiv w:val="1"/>
      <w:marLeft w:val="0"/>
      <w:marRight w:val="0"/>
      <w:marTop w:val="0"/>
      <w:marBottom w:val="0"/>
      <w:divBdr>
        <w:top w:val="none" w:sz="0" w:space="0" w:color="auto"/>
        <w:left w:val="none" w:sz="0" w:space="0" w:color="auto"/>
        <w:bottom w:val="none" w:sz="0" w:space="0" w:color="auto"/>
        <w:right w:val="none" w:sz="0" w:space="0" w:color="auto"/>
      </w:divBdr>
    </w:div>
    <w:div w:id="801730958">
      <w:bodyDiv w:val="1"/>
      <w:marLeft w:val="0"/>
      <w:marRight w:val="0"/>
      <w:marTop w:val="0"/>
      <w:marBottom w:val="0"/>
      <w:divBdr>
        <w:top w:val="none" w:sz="0" w:space="0" w:color="auto"/>
        <w:left w:val="none" w:sz="0" w:space="0" w:color="auto"/>
        <w:bottom w:val="none" w:sz="0" w:space="0" w:color="auto"/>
        <w:right w:val="none" w:sz="0" w:space="0" w:color="auto"/>
      </w:divBdr>
    </w:div>
    <w:div w:id="922296540">
      <w:bodyDiv w:val="1"/>
      <w:marLeft w:val="0"/>
      <w:marRight w:val="0"/>
      <w:marTop w:val="0"/>
      <w:marBottom w:val="0"/>
      <w:divBdr>
        <w:top w:val="none" w:sz="0" w:space="0" w:color="auto"/>
        <w:left w:val="none" w:sz="0" w:space="0" w:color="auto"/>
        <w:bottom w:val="none" w:sz="0" w:space="0" w:color="auto"/>
        <w:right w:val="none" w:sz="0" w:space="0" w:color="auto"/>
      </w:divBdr>
    </w:div>
    <w:div w:id="931006803">
      <w:bodyDiv w:val="1"/>
      <w:marLeft w:val="0"/>
      <w:marRight w:val="0"/>
      <w:marTop w:val="0"/>
      <w:marBottom w:val="0"/>
      <w:divBdr>
        <w:top w:val="none" w:sz="0" w:space="0" w:color="auto"/>
        <w:left w:val="none" w:sz="0" w:space="0" w:color="auto"/>
        <w:bottom w:val="none" w:sz="0" w:space="0" w:color="auto"/>
        <w:right w:val="none" w:sz="0" w:space="0" w:color="auto"/>
      </w:divBdr>
    </w:div>
    <w:div w:id="973170450">
      <w:bodyDiv w:val="1"/>
      <w:marLeft w:val="0"/>
      <w:marRight w:val="0"/>
      <w:marTop w:val="0"/>
      <w:marBottom w:val="0"/>
      <w:divBdr>
        <w:top w:val="none" w:sz="0" w:space="0" w:color="auto"/>
        <w:left w:val="none" w:sz="0" w:space="0" w:color="auto"/>
        <w:bottom w:val="none" w:sz="0" w:space="0" w:color="auto"/>
        <w:right w:val="none" w:sz="0" w:space="0" w:color="auto"/>
      </w:divBdr>
      <w:divsChild>
        <w:div w:id="881210557">
          <w:marLeft w:val="0"/>
          <w:marRight w:val="0"/>
          <w:marTop w:val="0"/>
          <w:marBottom w:val="0"/>
          <w:divBdr>
            <w:top w:val="none" w:sz="0" w:space="0" w:color="auto"/>
            <w:left w:val="none" w:sz="0" w:space="0" w:color="auto"/>
            <w:bottom w:val="none" w:sz="0" w:space="0" w:color="auto"/>
            <w:right w:val="none" w:sz="0" w:space="0" w:color="auto"/>
          </w:divBdr>
        </w:div>
      </w:divsChild>
    </w:div>
    <w:div w:id="1207529493">
      <w:bodyDiv w:val="1"/>
      <w:marLeft w:val="0"/>
      <w:marRight w:val="0"/>
      <w:marTop w:val="0"/>
      <w:marBottom w:val="0"/>
      <w:divBdr>
        <w:top w:val="none" w:sz="0" w:space="0" w:color="auto"/>
        <w:left w:val="none" w:sz="0" w:space="0" w:color="auto"/>
        <w:bottom w:val="none" w:sz="0" w:space="0" w:color="auto"/>
        <w:right w:val="none" w:sz="0" w:space="0" w:color="auto"/>
      </w:divBdr>
    </w:div>
    <w:div w:id="1398628936">
      <w:bodyDiv w:val="1"/>
      <w:marLeft w:val="0"/>
      <w:marRight w:val="0"/>
      <w:marTop w:val="0"/>
      <w:marBottom w:val="0"/>
      <w:divBdr>
        <w:top w:val="none" w:sz="0" w:space="0" w:color="auto"/>
        <w:left w:val="none" w:sz="0" w:space="0" w:color="auto"/>
        <w:bottom w:val="none" w:sz="0" w:space="0" w:color="auto"/>
        <w:right w:val="none" w:sz="0" w:space="0" w:color="auto"/>
      </w:divBdr>
    </w:div>
    <w:div w:id="1953053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ranet.uwtsd.ac.uk/cy/media/279/download?attachment"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13</Pages>
  <Words>3518</Words>
  <Characters>20058</Characters>
  <Application>Microsoft Office Word</Application>
  <DocSecurity>0</DocSecurity>
  <Lines>167</Lines>
  <Paragraphs>47</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tejay hampton</cp:lastModifiedBy>
  <cp:revision>3</cp:revision>
  <dcterms:created xsi:type="dcterms:W3CDTF">2025-03-24T15:17:00Z</dcterms:created>
  <dcterms:modified xsi:type="dcterms:W3CDTF">2025-03-24T15:43:00Z</dcterms:modified>
</cp:coreProperties>
</file>