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9D0B4C" w14:textId="1D06067B" w:rsidR="00994405" w:rsidRPr="00DD25E7" w:rsidRDefault="00DD25E7" w:rsidP="00936C83">
      <w:pPr>
        <w:pStyle w:val="ListParagraph"/>
        <w:numPr>
          <w:ilvl w:val="0"/>
          <w:numId w:val="2"/>
        </w:numPr>
        <w:rPr>
          <w:rFonts w:ascii="Arial" w:hAnsi="Arial" w:cs="Arial"/>
          <w:sz w:val="24"/>
          <w:szCs w:val="24"/>
        </w:rPr>
      </w:pPr>
      <w:r>
        <w:rPr>
          <w:rFonts w:ascii="Arial" w:hAnsi="Arial" w:cs="Arial"/>
          <w:sz w:val="24"/>
          <w:szCs w:val="24"/>
        </w:rPr>
        <w:t xml:space="preserve"> </w:t>
      </w:r>
      <w:r w:rsidR="003739D5" w:rsidRPr="00DD25E7">
        <w:rPr>
          <w:rFonts w:ascii="Arial" w:hAnsi="Arial" w:cs="Arial"/>
          <w:sz w:val="24"/>
          <w:szCs w:val="24"/>
        </w:rPr>
        <w:t>What is the rule of privity of contract?</w:t>
      </w:r>
    </w:p>
    <w:p w14:paraId="2A71E4A0" w14:textId="6F8E2F79" w:rsidR="00DD25E7" w:rsidRDefault="003739D5" w:rsidP="00936C83">
      <w:r w:rsidRPr="003739D5">
        <w:t>According to the common law idea of privity, a contract cannot bestow rights or impose liabilities on anyone other than the parties to it. That is why it must be established who the parties are and if the claimant received consideration for the promise he is attempting to enforce.</w:t>
      </w:r>
      <w:r>
        <w:t xml:space="preserve"> </w:t>
      </w:r>
      <w:r w:rsidRPr="003739D5">
        <w:t xml:space="preserve">(Peel and </w:t>
      </w:r>
      <w:proofErr w:type="spellStart"/>
      <w:r w:rsidRPr="003739D5">
        <w:t>Treitel</w:t>
      </w:r>
      <w:proofErr w:type="spellEnd"/>
      <w:r w:rsidRPr="003739D5">
        <w:t>, 2010)</w:t>
      </w:r>
      <w:r>
        <w:t xml:space="preserve"> </w:t>
      </w:r>
      <w:r w:rsidR="00CE78B1" w:rsidRPr="00CE78B1">
        <w:t>It might be difficult to identify the parties to a contract at times, but often, the parties are the individuals that communicated with one another and resulted in the agreement.</w:t>
      </w:r>
      <w:r w:rsidR="00CE78B1">
        <w:t xml:space="preserve"> </w:t>
      </w:r>
      <w:r w:rsidR="00CE78B1" w:rsidRPr="003739D5">
        <w:t xml:space="preserve">(Peel and </w:t>
      </w:r>
      <w:proofErr w:type="spellStart"/>
      <w:r w:rsidR="00CE78B1" w:rsidRPr="003739D5">
        <w:t>Treitel</w:t>
      </w:r>
      <w:proofErr w:type="spellEnd"/>
      <w:r w:rsidR="00CE78B1" w:rsidRPr="003739D5">
        <w:t>, 2010)</w:t>
      </w:r>
      <w:r w:rsidR="00CE78B1">
        <w:t xml:space="preserve"> </w:t>
      </w:r>
      <w:r w:rsidR="003272FA" w:rsidRPr="003272FA">
        <w:t>Tweddle v Atkinson [1861] is unquestionably the key case establishing the doctrine of privity. William Guy had committed to pay £200 to William Tweddle in Tweddle v Atkinson [1861]. Regrettably, William Guy died without fulfilling his end of the bargain, and his executor Atkinson refused to pay. The court dismissed the case on the grounds that "consideration must be transferred from the party entitled to sue on contract". William Tweddle was likewise not a party to the transaction because he supplied no consideration.</w:t>
      </w:r>
      <w:r w:rsidR="003272FA">
        <w:t xml:space="preserve"> </w:t>
      </w:r>
      <w:r w:rsidR="003272FA" w:rsidRPr="003272FA">
        <w:t>(www.bailii.org, 1861</w:t>
      </w:r>
      <w:proofErr w:type="gramStart"/>
      <w:r w:rsidR="003272FA" w:rsidRPr="003272FA">
        <w:t>)</w:t>
      </w:r>
      <w:r w:rsidR="003272FA">
        <w:t xml:space="preserve"> ,</w:t>
      </w:r>
      <w:proofErr w:type="gramEnd"/>
      <w:r w:rsidR="003272FA">
        <w:t xml:space="preserve"> </w:t>
      </w:r>
      <w:r w:rsidR="003272FA" w:rsidRPr="003272FA">
        <w:t>(Taylor and Taylor, 2019)</w:t>
      </w:r>
      <w:r w:rsidR="003272FA">
        <w:t xml:space="preserve"> . </w:t>
      </w:r>
      <w:r w:rsidR="00A6327F" w:rsidRPr="00A6327F">
        <w:t>Dunlop v Selfridge [1915] (www.bailii.org, 1915)</w:t>
      </w:r>
      <w:r w:rsidR="00A6327F">
        <w:t xml:space="preserve"> </w:t>
      </w:r>
      <w:r w:rsidR="00A6327F" w:rsidRPr="00A6327F">
        <w:t>is another case to consider. The distinction between Tweddle v Atkinson and Dunlop v Selfridge is that the House of Lords emphasised the reality of non-participation in the contract, rather than a failure to provide consideration.</w:t>
      </w:r>
      <w:r w:rsidR="00A6327F">
        <w:t xml:space="preserve"> </w:t>
      </w:r>
      <w:r w:rsidR="00A6327F" w:rsidRPr="00A6327F">
        <w:t>(Taylor and Taylor, 2019)</w:t>
      </w:r>
    </w:p>
    <w:p w14:paraId="5968B940" w14:textId="77777777" w:rsidR="00DD25E7" w:rsidRDefault="00DD25E7" w:rsidP="00936C83">
      <w:pPr>
        <w:pStyle w:val="ListParagraph"/>
        <w:numPr>
          <w:ilvl w:val="0"/>
          <w:numId w:val="2"/>
        </w:numPr>
        <w:spacing w:after="0" w:line="240" w:lineRule="auto"/>
        <w:rPr>
          <w:rFonts w:ascii="Arial" w:hAnsi="Arial" w:cs="Arial"/>
          <w:sz w:val="24"/>
          <w:szCs w:val="24"/>
        </w:rPr>
      </w:pPr>
      <w:r>
        <w:rPr>
          <w:rFonts w:ascii="Arial" w:hAnsi="Arial" w:cs="Arial"/>
          <w:sz w:val="24"/>
          <w:szCs w:val="24"/>
        </w:rPr>
        <w:t xml:space="preserve">Explain whether past consideration amounts to good consideration   </w:t>
      </w:r>
    </w:p>
    <w:p w14:paraId="3CC038C2" w14:textId="6CAD807E" w:rsidR="00DD25E7" w:rsidRDefault="00100F38" w:rsidP="00936C83">
      <w:pPr>
        <w:pStyle w:val="ListParagraph"/>
      </w:pPr>
      <w:r w:rsidRPr="00100F38">
        <w:t>One of the guiding principles of consideration is that it cannot be retroactive. To determine whether there is a consideration of the past, the court may use a strictly chronological test.</w:t>
      </w:r>
      <w:r>
        <w:t xml:space="preserve"> </w:t>
      </w:r>
      <w:r w:rsidRPr="00100F38">
        <w:t xml:space="preserve">(Peel and </w:t>
      </w:r>
      <w:proofErr w:type="spellStart"/>
      <w:r w:rsidRPr="00100F38">
        <w:t>Treitel</w:t>
      </w:r>
      <w:proofErr w:type="spellEnd"/>
      <w:r w:rsidRPr="00100F38">
        <w:t>, 2010)</w:t>
      </w:r>
      <w:r w:rsidR="009B00BB">
        <w:t xml:space="preserve"> </w:t>
      </w:r>
      <w:r w:rsidR="009B00BB" w:rsidRPr="009B00BB">
        <w:t>Usually, consideration of the past is not a positive thing, as the instance of Re McArdle [1951] demonstrates. In Re McArdle [1951]</w:t>
      </w:r>
      <w:r w:rsidR="008C34D0">
        <w:t xml:space="preserve"> </w:t>
      </w:r>
      <w:r w:rsidR="008C34D0" w:rsidRPr="008C34D0">
        <w:t>(www.lawteacher.net, 2019)</w:t>
      </w:r>
      <w:r w:rsidR="009B00BB" w:rsidRPr="009B00BB">
        <w:t>, the claimant made voluntary improvements prior to the defendant making any compensation. Thus, prior consideration is invalid, as the promise was made after one of the parties had already fulfilled their obligation.</w:t>
      </w:r>
      <w:r w:rsidR="008C34D0" w:rsidRPr="008C34D0">
        <w:t xml:space="preserve"> </w:t>
      </w:r>
      <w:r w:rsidR="008C34D0" w:rsidRPr="00A6327F">
        <w:t>(Taylor and Taylor, 2019)</w:t>
      </w:r>
      <w:r w:rsidR="008C34D0">
        <w:t xml:space="preserve"> </w:t>
      </w:r>
      <w:r w:rsidR="00FA6379" w:rsidRPr="00FA6379">
        <w:t>Although it is widely accepted that previous considerations are unwise, there is a significant exception to this rule</w:t>
      </w:r>
      <w:r w:rsidR="00003734">
        <w:t xml:space="preserve"> which originated in</w:t>
      </w:r>
      <w:r w:rsidR="00003734" w:rsidRPr="00003734">
        <w:t xml:space="preserve"> </w:t>
      </w:r>
      <w:proofErr w:type="spellStart"/>
      <w:r w:rsidR="00003734">
        <w:t>L</w:t>
      </w:r>
      <w:r w:rsidR="00003734" w:rsidRPr="00003734">
        <w:t>ampleigh</w:t>
      </w:r>
      <w:proofErr w:type="spellEnd"/>
      <w:r w:rsidR="00003734" w:rsidRPr="00003734">
        <w:t xml:space="preserve"> v </w:t>
      </w:r>
      <w:proofErr w:type="spellStart"/>
      <w:r w:rsidR="00003734">
        <w:t>B</w:t>
      </w:r>
      <w:r w:rsidR="00003734" w:rsidRPr="00003734">
        <w:t>raithwait</w:t>
      </w:r>
      <w:proofErr w:type="spellEnd"/>
      <w:r w:rsidR="00003734" w:rsidRPr="00003734">
        <w:t xml:space="preserve"> </w:t>
      </w:r>
      <w:r w:rsidR="00003734">
        <w:t>[</w:t>
      </w:r>
      <w:r w:rsidR="00003734" w:rsidRPr="00003734">
        <w:t>1615</w:t>
      </w:r>
      <w:r w:rsidR="00003734">
        <w:t xml:space="preserve">] </w:t>
      </w:r>
      <w:r w:rsidR="00003734" w:rsidRPr="00003734">
        <w:t>(www.bailii.org, 1615)</w:t>
      </w:r>
      <w:r w:rsidR="00FA6379" w:rsidRPr="00FA6379">
        <w:t>. A prior consideration may be considered a promise if three conditions are met: the act was requested by the promisor, there is an agreement on future payment to the other party in exchange, and the consideration must be legally recoverable. Thus, the previous consideration is valid</w:t>
      </w:r>
      <w:r w:rsidR="00FA6379">
        <w:t xml:space="preserve"> </w:t>
      </w:r>
      <w:r w:rsidR="00FA6379" w:rsidRPr="00FA6379">
        <w:t xml:space="preserve">when it is </w:t>
      </w:r>
      <w:r w:rsidR="00043861" w:rsidRPr="00FA6379">
        <w:t>executed</w:t>
      </w:r>
      <w:r w:rsidR="00043861">
        <w:t>.</w:t>
      </w:r>
      <w:r w:rsidR="00FA6379">
        <w:t xml:space="preserve"> </w:t>
      </w:r>
      <w:r w:rsidR="00043861" w:rsidRPr="00043861">
        <w:t xml:space="preserve">(Peel and </w:t>
      </w:r>
      <w:proofErr w:type="spellStart"/>
      <w:r w:rsidR="00043861" w:rsidRPr="00043861">
        <w:t>Treitel</w:t>
      </w:r>
      <w:proofErr w:type="spellEnd"/>
      <w:r w:rsidR="00043861" w:rsidRPr="00043861">
        <w:t>, 2010)</w:t>
      </w:r>
      <w:r w:rsidR="00043861">
        <w:t xml:space="preserve"> </w:t>
      </w:r>
      <w:r w:rsidR="00373B8F" w:rsidRPr="00373B8F">
        <w:t xml:space="preserve">The exception concept was reaffirmed in Pao On v Lau </w:t>
      </w:r>
      <w:proofErr w:type="spellStart"/>
      <w:r w:rsidR="00373B8F" w:rsidRPr="00373B8F">
        <w:t>Yiu</w:t>
      </w:r>
      <w:proofErr w:type="spellEnd"/>
      <w:r w:rsidR="00373B8F" w:rsidRPr="00373B8F">
        <w:t xml:space="preserve"> [1980], where it was recognised that prior consideration would be an acceptable consideration for a contract. This remark was made </w:t>
      </w:r>
      <w:proofErr w:type="gramStart"/>
      <w:r w:rsidR="00373B8F" w:rsidRPr="00373B8F">
        <w:t>in light of the fact that</w:t>
      </w:r>
      <w:proofErr w:type="gramEnd"/>
      <w:r w:rsidR="00373B8F" w:rsidRPr="00373B8F">
        <w:t>, at the time of the earlier request, there existed an implied commitment to pay for the requested act, and so the consideration was not past in respect to this implied promise. (Taylor and Taylor, 2019)</w:t>
      </w:r>
      <w:r w:rsidR="00373B8F">
        <w:t xml:space="preserve"> </w:t>
      </w:r>
    </w:p>
    <w:p w14:paraId="1099CF3D" w14:textId="582DF037" w:rsidR="00CC16DD" w:rsidRDefault="00CC16DD" w:rsidP="00936C83">
      <w:pPr>
        <w:spacing w:after="0" w:line="240" w:lineRule="auto"/>
        <w:ind w:left="720"/>
        <w:rPr>
          <w:rFonts w:ascii="Arial" w:hAnsi="Arial" w:cs="Arial"/>
          <w:i/>
          <w:iCs/>
          <w:sz w:val="24"/>
          <w:szCs w:val="24"/>
        </w:rPr>
      </w:pPr>
      <w:proofErr w:type="gramStart"/>
      <w:r>
        <w:rPr>
          <w:rFonts w:ascii="Arial" w:hAnsi="Arial" w:cs="Arial"/>
          <w:sz w:val="24"/>
          <w:szCs w:val="24"/>
        </w:rPr>
        <w:t>b)</w:t>
      </w:r>
      <w:r w:rsidRPr="00CC16DD">
        <w:rPr>
          <w:rFonts w:ascii="Arial" w:hAnsi="Arial" w:cs="Arial"/>
          <w:sz w:val="24"/>
          <w:szCs w:val="24"/>
        </w:rPr>
        <w:t>Identify</w:t>
      </w:r>
      <w:proofErr w:type="gramEnd"/>
      <w:r w:rsidRPr="00CC16DD">
        <w:rPr>
          <w:rFonts w:ascii="Arial" w:hAnsi="Arial" w:cs="Arial"/>
          <w:sz w:val="24"/>
          <w:szCs w:val="24"/>
        </w:rPr>
        <w:t xml:space="preserve"> three of the exceptions to the entire performance rule from </w:t>
      </w:r>
      <w:r w:rsidRPr="00CC16DD">
        <w:rPr>
          <w:rFonts w:ascii="Arial" w:hAnsi="Arial" w:cs="Arial"/>
          <w:i/>
          <w:iCs/>
          <w:sz w:val="24"/>
          <w:szCs w:val="24"/>
        </w:rPr>
        <w:t>Cutter v Powell (1795).</w:t>
      </w:r>
    </w:p>
    <w:p w14:paraId="059FA6E9" w14:textId="2C57CE5A" w:rsidR="00B972D1" w:rsidRDefault="003A28EB" w:rsidP="00936C83">
      <w:pPr>
        <w:spacing w:after="0" w:line="240" w:lineRule="auto"/>
        <w:ind w:left="720"/>
        <w:rPr>
          <w:rFonts w:ascii="Arial" w:hAnsi="Arial" w:cs="Arial"/>
          <w:sz w:val="24"/>
          <w:szCs w:val="24"/>
        </w:rPr>
      </w:pPr>
      <w:r w:rsidRPr="003A28EB">
        <w:rPr>
          <w:rFonts w:ascii="Arial" w:hAnsi="Arial" w:cs="Arial"/>
          <w:sz w:val="24"/>
          <w:szCs w:val="24"/>
        </w:rPr>
        <w:t>The entire performance rule, established in Cutter v Powell, states that "A contractual duty is said to be "entire" when it requires one party to perform it totally (as a condition precedent) before the other party pays or performs their side of the bargain."</w:t>
      </w:r>
      <w:r>
        <w:rPr>
          <w:rFonts w:ascii="Arial" w:hAnsi="Arial" w:cs="Arial"/>
          <w:sz w:val="24"/>
          <w:szCs w:val="24"/>
        </w:rPr>
        <w:t xml:space="preserve"> </w:t>
      </w:r>
      <w:r w:rsidRPr="003A28EB">
        <w:rPr>
          <w:rFonts w:ascii="Arial" w:hAnsi="Arial" w:cs="Arial"/>
          <w:sz w:val="24"/>
          <w:szCs w:val="24"/>
        </w:rPr>
        <w:t xml:space="preserve">(Peel and </w:t>
      </w:r>
      <w:proofErr w:type="spellStart"/>
      <w:r w:rsidRPr="003A28EB">
        <w:rPr>
          <w:rFonts w:ascii="Arial" w:hAnsi="Arial" w:cs="Arial"/>
          <w:sz w:val="24"/>
          <w:szCs w:val="24"/>
        </w:rPr>
        <w:t>Treitel</w:t>
      </w:r>
      <w:proofErr w:type="spellEnd"/>
      <w:r w:rsidRPr="003A28EB">
        <w:rPr>
          <w:rFonts w:ascii="Arial" w:hAnsi="Arial" w:cs="Arial"/>
          <w:sz w:val="24"/>
          <w:szCs w:val="24"/>
        </w:rPr>
        <w:t>, 2010)</w:t>
      </w:r>
      <w:r>
        <w:rPr>
          <w:rFonts w:ascii="Arial" w:hAnsi="Arial" w:cs="Arial"/>
          <w:sz w:val="24"/>
          <w:szCs w:val="24"/>
        </w:rPr>
        <w:t xml:space="preserve">. </w:t>
      </w:r>
      <w:r w:rsidRPr="003A28EB">
        <w:rPr>
          <w:rFonts w:ascii="Arial" w:hAnsi="Arial" w:cs="Arial"/>
          <w:sz w:val="24"/>
          <w:szCs w:val="24"/>
        </w:rPr>
        <w:t>The unjust decision of Cutter v Powell</w:t>
      </w:r>
      <w:r>
        <w:rPr>
          <w:rFonts w:ascii="Arial" w:hAnsi="Arial" w:cs="Arial"/>
          <w:sz w:val="24"/>
          <w:szCs w:val="24"/>
        </w:rPr>
        <w:t xml:space="preserve"> [1795] </w:t>
      </w:r>
      <w:r w:rsidRPr="003A28EB">
        <w:rPr>
          <w:rFonts w:ascii="Arial" w:hAnsi="Arial" w:cs="Arial"/>
          <w:sz w:val="24"/>
          <w:szCs w:val="24"/>
        </w:rPr>
        <w:t>(www.bailii.org, 1795), along with the fact that the widow was denied quantum merit</w:t>
      </w:r>
      <w:r w:rsidR="00F825A9">
        <w:rPr>
          <w:rFonts w:ascii="Arial" w:hAnsi="Arial" w:cs="Arial"/>
          <w:sz w:val="24"/>
          <w:szCs w:val="24"/>
        </w:rPr>
        <w:t xml:space="preserve"> after </w:t>
      </w:r>
      <w:r w:rsidR="00B972D1">
        <w:rPr>
          <w:rFonts w:ascii="Arial" w:hAnsi="Arial" w:cs="Arial"/>
          <w:sz w:val="24"/>
          <w:szCs w:val="24"/>
        </w:rPr>
        <w:t xml:space="preserve">Cutter’s </w:t>
      </w:r>
      <w:r w:rsidR="00F825A9">
        <w:rPr>
          <w:rFonts w:ascii="Arial" w:hAnsi="Arial" w:cs="Arial"/>
          <w:sz w:val="24"/>
          <w:szCs w:val="24"/>
        </w:rPr>
        <w:t>death</w:t>
      </w:r>
      <w:r w:rsidR="00B972D1">
        <w:rPr>
          <w:rFonts w:ascii="Arial" w:hAnsi="Arial" w:cs="Arial"/>
          <w:sz w:val="24"/>
          <w:szCs w:val="24"/>
        </w:rPr>
        <w:t xml:space="preserve"> due to the reason that the entire contract was based on express terms and implied terms could not be applied. </w:t>
      </w:r>
      <w:r w:rsidR="00B972D1" w:rsidRPr="00B972D1">
        <w:rPr>
          <w:rFonts w:ascii="Arial" w:hAnsi="Arial" w:cs="Arial"/>
          <w:sz w:val="24"/>
          <w:szCs w:val="24"/>
        </w:rPr>
        <w:t>Later, as a result of the harsh concept established in Cutter v Powell, judges devolved some exceptions to the entire performance rule, including substantial performance, partial performance, and severable obligations.</w:t>
      </w:r>
      <w:r w:rsidR="00B972D1">
        <w:rPr>
          <w:rFonts w:ascii="Arial" w:hAnsi="Arial" w:cs="Arial"/>
          <w:sz w:val="24"/>
          <w:szCs w:val="24"/>
        </w:rPr>
        <w:t xml:space="preserve"> </w:t>
      </w:r>
      <w:r w:rsidR="00B972D1" w:rsidRPr="00B972D1">
        <w:rPr>
          <w:rFonts w:ascii="Arial" w:hAnsi="Arial" w:cs="Arial"/>
          <w:sz w:val="24"/>
          <w:szCs w:val="24"/>
        </w:rPr>
        <w:t>(Taylor and Taylor, 2019)</w:t>
      </w:r>
    </w:p>
    <w:p w14:paraId="3F942365" w14:textId="73710155" w:rsidR="00B972D1" w:rsidRDefault="00692B30" w:rsidP="00936C83">
      <w:pPr>
        <w:spacing w:after="0" w:line="240" w:lineRule="auto"/>
        <w:ind w:left="720"/>
        <w:rPr>
          <w:rFonts w:ascii="Arial" w:hAnsi="Arial" w:cs="Arial"/>
          <w:sz w:val="24"/>
          <w:szCs w:val="24"/>
        </w:rPr>
      </w:pPr>
      <w:r w:rsidRPr="00692B30">
        <w:rPr>
          <w:rFonts w:ascii="Arial" w:hAnsi="Arial" w:cs="Arial"/>
          <w:sz w:val="24"/>
          <w:szCs w:val="24"/>
        </w:rPr>
        <w:lastRenderedPageBreak/>
        <w:t>The notion of substantial performance has a range of interpretations that vary according to the nature of the encounter and the surrounding circumstances. For example, in Hoeing v Isaac</w:t>
      </w:r>
      <w:r>
        <w:rPr>
          <w:rFonts w:ascii="Arial" w:hAnsi="Arial" w:cs="Arial"/>
          <w:sz w:val="24"/>
          <w:szCs w:val="24"/>
        </w:rPr>
        <w:t xml:space="preserve"> </w:t>
      </w:r>
      <w:r w:rsidRPr="00692B30">
        <w:rPr>
          <w:rFonts w:ascii="Arial" w:hAnsi="Arial" w:cs="Arial"/>
          <w:sz w:val="24"/>
          <w:szCs w:val="24"/>
        </w:rPr>
        <w:t>(www.bailii.org, 1952), the obligation was complete but the obligation to perform the work in a workmanlike manner was not, and hence flaws in his work did not prohibit a claim under entire contact. On the other hand, it must be admitted that some authority supports the reality of considerable performance under full contracts. The subcontractor is entitled to recover the price, subject to a suit for damages.</w:t>
      </w:r>
      <w:r>
        <w:rPr>
          <w:rFonts w:ascii="Arial" w:hAnsi="Arial" w:cs="Arial"/>
          <w:sz w:val="24"/>
          <w:szCs w:val="24"/>
        </w:rPr>
        <w:t xml:space="preserve"> </w:t>
      </w:r>
      <w:r w:rsidRPr="00692B30">
        <w:rPr>
          <w:rFonts w:ascii="Arial" w:hAnsi="Arial" w:cs="Arial"/>
          <w:sz w:val="24"/>
          <w:szCs w:val="24"/>
        </w:rPr>
        <w:t>(Chitty, Beale and Al, 2008)</w:t>
      </w:r>
    </w:p>
    <w:p w14:paraId="23FD65C9" w14:textId="115E6E60" w:rsidR="00FC5670" w:rsidRDefault="00E0597E" w:rsidP="00936C83">
      <w:pPr>
        <w:spacing w:after="0" w:line="240" w:lineRule="auto"/>
        <w:ind w:left="720"/>
        <w:rPr>
          <w:rFonts w:ascii="Arial" w:hAnsi="Arial" w:cs="Arial"/>
          <w:sz w:val="24"/>
          <w:szCs w:val="24"/>
        </w:rPr>
      </w:pPr>
      <w:r w:rsidRPr="00E0597E">
        <w:rPr>
          <w:rFonts w:ascii="Arial" w:hAnsi="Arial" w:cs="Arial"/>
          <w:sz w:val="24"/>
          <w:szCs w:val="24"/>
        </w:rPr>
        <w:t xml:space="preserve">Partial performance is the second approach to evade the complete obligation requirement. </w:t>
      </w:r>
      <w:r w:rsidRPr="00FC5670">
        <w:rPr>
          <w:rFonts w:ascii="Arial" w:hAnsi="Arial" w:cs="Arial"/>
          <w:sz w:val="24"/>
          <w:szCs w:val="24"/>
        </w:rPr>
        <w:t xml:space="preserve">Generally, when a party fulfils only a portion of an obligation, they cannot recoup anything. </w:t>
      </w:r>
      <w:r w:rsidRPr="00E0597E">
        <w:rPr>
          <w:rFonts w:ascii="Arial" w:hAnsi="Arial" w:cs="Arial"/>
          <w:sz w:val="24"/>
          <w:szCs w:val="24"/>
        </w:rPr>
        <w:t xml:space="preserve"> </w:t>
      </w:r>
      <w:proofErr w:type="spellStart"/>
      <w:r w:rsidRPr="00E0597E">
        <w:rPr>
          <w:rFonts w:ascii="Arial" w:hAnsi="Arial" w:cs="Arial"/>
          <w:sz w:val="24"/>
          <w:szCs w:val="24"/>
        </w:rPr>
        <w:t>Underpartial</w:t>
      </w:r>
      <w:proofErr w:type="spellEnd"/>
      <w:r w:rsidRPr="00E0597E">
        <w:rPr>
          <w:rFonts w:ascii="Arial" w:hAnsi="Arial" w:cs="Arial"/>
          <w:sz w:val="24"/>
          <w:szCs w:val="24"/>
        </w:rPr>
        <w:t xml:space="preserve"> performance may be recoverable on a quantum meruit basis if the injured party was given the option of accepting or rejecting the partial performance and chose to accept </w:t>
      </w:r>
      <w:proofErr w:type="spellStart"/>
      <w:proofErr w:type="gramStart"/>
      <w:r w:rsidRPr="00E0597E">
        <w:rPr>
          <w:rFonts w:ascii="Arial" w:hAnsi="Arial" w:cs="Arial"/>
          <w:sz w:val="24"/>
          <w:szCs w:val="24"/>
        </w:rPr>
        <w:t>it.</w:t>
      </w:r>
      <w:r w:rsidR="00FC5670" w:rsidRPr="00FC5670">
        <w:rPr>
          <w:rFonts w:ascii="Arial" w:hAnsi="Arial" w:cs="Arial"/>
          <w:sz w:val="24"/>
          <w:szCs w:val="24"/>
        </w:rPr>
        <w:t>While</w:t>
      </w:r>
      <w:proofErr w:type="spellEnd"/>
      <w:proofErr w:type="gramEnd"/>
      <w:r w:rsidR="00FC5670" w:rsidRPr="00FC5670">
        <w:rPr>
          <w:rFonts w:ascii="Arial" w:hAnsi="Arial" w:cs="Arial"/>
          <w:sz w:val="24"/>
          <w:szCs w:val="24"/>
        </w:rPr>
        <w:t xml:space="preserve"> Cutter v Powell involved non-feasance, in the event of misfeasance, an employee may recover his earnings, subject to deduction for the substandard job. </w:t>
      </w:r>
      <w:r w:rsidR="00FC5670" w:rsidRPr="00692B30">
        <w:rPr>
          <w:rFonts w:ascii="Arial" w:hAnsi="Arial" w:cs="Arial"/>
          <w:sz w:val="24"/>
          <w:szCs w:val="24"/>
        </w:rPr>
        <w:t>(Chitty, Beale and Al, 2008)</w:t>
      </w:r>
      <w:r w:rsidR="00FA253C">
        <w:rPr>
          <w:rFonts w:ascii="Arial" w:hAnsi="Arial" w:cs="Arial"/>
          <w:sz w:val="24"/>
          <w:szCs w:val="24"/>
        </w:rPr>
        <w:t xml:space="preserve"> Example case is Sumpter v </w:t>
      </w:r>
      <w:proofErr w:type="gramStart"/>
      <w:r w:rsidR="00FA253C">
        <w:rPr>
          <w:rFonts w:ascii="Arial" w:hAnsi="Arial" w:cs="Arial"/>
          <w:sz w:val="24"/>
          <w:szCs w:val="24"/>
        </w:rPr>
        <w:t>Hedges</w:t>
      </w:r>
      <w:r w:rsidR="00FA253C" w:rsidRPr="00FA253C">
        <w:rPr>
          <w:rFonts w:ascii="Arial" w:hAnsi="Arial" w:cs="Arial"/>
          <w:sz w:val="24"/>
          <w:szCs w:val="24"/>
        </w:rPr>
        <w:t>(</w:t>
      </w:r>
      <w:proofErr w:type="gramEnd"/>
      <w:r w:rsidR="00FA253C" w:rsidRPr="00FA253C">
        <w:rPr>
          <w:rFonts w:ascii="Arial" w:hAnsi="Arial" w:cs="Arial"/>
          <w:sz w:val="24"/>
          <w:szCs w:val="24"/>
        </w:rPr>
        <w:t>www.iclr.co.uk, 1898)</w:t>
      </w:r>
    </w:p>
    <w:p w14:paraId="0F95078A" w14:textId="1F0CC067" w:rsidR="00FC5670" w:rsidRDefault="00E0597E" w:rsidP="00936C83">
      <w:pPr>
        <w:spacing w:after="0" w:line="240" w:lineRule="auto"/>
        <w:ind w:left="720"/>
        <w:rPr>
          <w:rFonts w:ascii="Arial" w:hAnsi="Arial" w:cs="Arial"/>
          <w:sz w:val="24"/>
          <w:szCs w:val="24"/>
        </w:rPr>
      </w:pPr>
      <w:r w:rsidRPr="00E0597E">
        <w:rPr>
          <w:rFonts w:ascii="Arial" w:hAnsi="Arial" w:cs="Arial"/>
          <w:sz w:val="24"/>
          <w:szCs w:val="24"/>
        </w:rPr>
        <w:t>Severable obligations can be separated from the contract's primary duties (if the parties made numerous tiny promises). Each mini-obligation can result in an obligation to pay based on the other party's performance of the work expected under the mini-obligations.</w:t>
      </w:r>
      <w:r w:rsidRPr="00E0597E">
        <w:t xml:space="preserve"> </w:t>
      </w:r>
      <w:r w:rsidRPr="00E0597E">
        <w:rPr>
          <w:rFonts w:ascii="Arial" w:hAnsi="Arial" w:cs="Arial"/>
          <w:sz w:val="24"/>
          <w:szCs w:val="24"/>
        </w:rPr>
        <w:t>(Taylor and Taylor, 2019)</w:t>
      </w:r>
    </w:p>
    <w:p w14:paraId="473E0270" w14:textId="77777777" w:rsidR="005641A9" w:rsidRDefault="005641A9" w:rsidP="00936C83">
      <w:pPr>
        <w:spacing w:after="0" w:line="240" w:lineRule="auto"/>
        <w:ind w:left="720"/>
        <w:rPr>
          <w:rFonts w:ascii="Arial" w:hAnsi="Arial" w:cs="Arial"/>
          <w:sz w:val="24"/>
          <w:szCs w:val="24"/>
        </w:rPr>
      </w:pPr>
    </w:p>
    <w:p w14:paraId="20CA9755" w14:textId="534F54F7" w:rsidR="005641A9" w:rsidRDefault="005641A9" w:rsidP="00936C83">
      <w:pPr>
        <w:pStyle w:val="NormalWeb"/>
        <w:ind w:left="360" w:firstLine="720"/>
        <w:rPr>
          <w:rFonts w:ascii="Arial" w:hAnsi="Arial" w:cs="Arial"/>
          <w:color w:val="000000"/>
          <w:szCs w:val="24"/>
        </w:rPr>
      </w:pPr>
      <w:r>
        <w:rPr>
          <w:rFonts w:ascii="Arial" w:hAnsi="Arial" w:cs="Arial"/>
          <w:szCs w:val="24"/>
        </w:rPr>
        <w:t xml:space="preserve">d) </w:t>
      </w:r>
      <w:r w:rsidRPr="005641A9">
        <w:rPr>
          <w:rFonts w:ascii="Arial" w:hAnsi="Arial" w:cs="Arial"/>
          <w:color w:val="000000"/>
          <w:szCs w:val="24"/>
        </w:rPr>
        <w:t>Advise Arthur whether any valid contracts exist for the sale of the watch.</w:t>
      </w:r>
    </w:p>
    <w:p w14:paraId="0B6A8779" w14:textId="79E3CBFF" w:rsidR="00FB40CA" w:rsidRPr="00FB40CA" w:rsidRDefault="00FB40CA" w:rsidP="00936C83">
      <w:pPr>
        <w:pStyle w:val="NormalWeb"/>
        <w:ind w:left="360" w:firstLine="720"/>
        <w:rPr>
          <w:rFonts w:ascii="Arial" w:hAnsi="Arial" w:cs="Arial"/>
          <w:color w:val="000000"/>
          <w:szCs w:val="24"/>
        </w:rPr>
      </w:pPr>
      <w:proofErr w:type="gramStart"/>
      <w:r w:rsidRPr="00FB40CA">
        <w:rPr>
          <w:rFonts w:ascii="Arial" w:hAnsi="Arial" w:cs="Arial"/>
          <w:color w:val="000000"/>
          <w:szCs w:val="24"/>
        </w:rPr>
        <w:t>Dear  Mr</w:t>
      </w:r>
      <w:proofErr w:type="gramEnd"/>
      <w:r w:rsidRPr="00FB40CA">
        <w:rPr>
          <w:rFonts w:ascii="Arial" w:hAnsi="Arial" w:cs="Arial"/>
          <w:color w:val="000000"/>
          <w:szCs w:val="24"/>
        </w:rPr>
        <w:t xml:space="preserve"> Arthur</w:t>
      </w:r>
    </w:p>
    <w:p w14:paraId="1D3D526A" w14:textId="0CD78322" w:rsidR="00FB40CA" w:rsidRDefault="00FB40CA" w:rsidP="00936C83">
      <w:pPr>
        <w:pStyle w:val="NormalWeb"/>
        <w:ind w:left="360" w:firstLine="720"/>
        <w:rPr>
          <w:rFonts w:ascii="Arial" w:hAnsi="Arial" w:cs="Arial"/>
          <w:color w:val="000000"/>
          <w:szCs w:val="24"/>
        </w:rPr>
      </w:pPr>
      <w:r w:rsidRPr="00FB40CA">
        <w:rPr>
          <w:rFonts w:ascii="Arial" w:hAnsi="Arial" w:cs="Arial"/>
          <w:color w:val="000000"/>
          <w:szCs w:val="24"/>
        </w:rPr>
        <w:t>I am prepared to work on your request and advise you more on your problem after carefully reviewing the material you submit. As far as I can tell from the material discussed, your situation appears to be rather complacent.</w:t>
      </w:r>
      <w:r w:rsidRPr="00FB40CA">
        <w:t xml:space="preserve"> </w:t>
      </w:r>
      <w:r w:rsidRPr="00FB40CA">
        <w:rPr>
          <w:rFonts w:ascii="Arial" w:hAnsi="Arial" w:cs="Arial"/>
          <w:color w:val="000000"/>
          <w:szCs w:val="24"/>
        </w:rPr>
        <w:t xml:space="preserve">According to your explanation, you placed an advertisement in the 'Antique-tickers' magazine on May 1st, stating: 'Antique Rolex Watch </w:t>
      </w:r>
      <w:proofErr w:type="gramStart"/>
      <w:r w:rsidRPr="00FB40CA">
        <w:rPr>
          <w:rFonts w:ascii="Arial" w:hAnsi="Arial" w:cs="Arial"/>
          <w:color w:val="000000"/>
          <w:szCs w:val="24"/>
        </w:rPr>
        <w:t>For</w:t>
      </w:r>
      <w:proofErr w:type="gramEnd"/>
      <w:r w:rsidRPr="00FB40CA">
        <w:rPr>
          <w:rFonts w:ascii="Arial" w:hAnsi="Arial" w:cs="Arial"/>
          <w:color w:val="000000"/>
          <w:szCs w:val="24"/>
        </w:rPr>
        <w:t xml:space="preserve"> Sale, open to serious offers. £15,000' is the price. </w:t>
      </w:r>
      <w:r>
        <w:rPr>
          <w:rFonts w:ascii="Arial" w:hAnsi="Arial" w:cs="Arial"/>
          <w:color w:val="000000"/>
          <w:szCs w:val="24"/>
        </w:rPr>
        <w:t>You also</w:t>
      </w:r>
      <w:r w:rsidRPr="00FB40CA">
        <w:rPr>
          <w:rFonts w:ascii="Arial" w:hAnsi="Arial" w:cs="Arial"/>
          <w:color w:val="000000"/>
          <w:szCs w:val="24"/>
        </w:rPr>
        <w:t xml:space="preserve"> put </w:t>
      </w:r>
      <w:r>
        <w:rPr>
          <w:rFonts w:ascii="Arial" w:hAnsi="Arial" w:cs="Arial"/>
          <w:color w:val="000000"/>
          <w:szCs w:val="24"/>
        </w:rPr>
        <w:t>your</w:t>
      </w:r>
      <w:r w:rsidRPr="00FB40CA">
        <w:rPr>
          <w:rFonts w:ascii="Arial" w:hAnsi="Arial" w:cs="Arial"/>
          <w:color w:val="000000"/>
          <w:szCs w:val="24"/>
        </w:rPr>
        <w:t xml:space="preserve"> contact information, including a postal and email address, in the advertisement</w:t>
      </w:r>
      <w:r>
        <w:rPr>
          <w:rFonts w:ascii="Arial" w:hAnsi="Arial" w:cs="Arial"/>
          <w:color w:val="000000"/>
          <w:szCs w:val="24"/>
        </w:rPr>
        <w:t>.</w:t>
      </w:r>
    </w:p>
    <w:p w14:paraId="4C1FE092" w14:textId="77777777" w:rsidR="00154469" w:rsidRDefault="00FB40CA" w:rsidP="00936C83">
      <w:pPr>
        <w:pStyle w:val="NormalWeb"/>
        <w:ind w:left="360" w:firstLine="720"/>
        <w:rPr>
          <w:rFonts w:ascii="Arial" w:hAnsi="Arial" w:cs="Arial"/>
          <w:color w:val="000000"/>
          <w:szCs w:val="24"/>
        </w:rPr>
      </w:pPr>
      <w:r w:rsidRPr="00FB40CA">
        <w:rPr>
          <w:rFonts w:ascii="Arial" w:hAnsi="Arial" w:cs="Arial"/>
          <w:color w:val="000000"/>
          <w:szCs w:val="24"/>
        </w:rPr>
        <w:t>To assist you in determining whether there is a contract in place with the buyers, you must first grasp the procedure.</w:t>
      </w:r>
      <w:r w:rsidR="00AD43AF" w:rsidRPr="00AD43AF">
        <w:t xml:space="preserve"> </w:t>
      </w:r>
      <w:r w:rsidR="00AD43AF" w:rsidRPr="00AD43AF">
        <w:rPr>
          <w:rFonts w:ascii="Arial" w:hAnsi="Arial" w:cs="Arial"/>
          <w:color w:val="000000"/>
          <w:szCs w:val="24"/>
        </w:rPr>
        <w:t>It can be quite challenging to ascertain whether there is a "meeting of minds". To begin, the court will apply the objective test to determine whether there are any legitimate contracts or obligations in a place. The objective test will emphasise exterior appearances rather than what was intended subjectively or emotionally. In many situations, the parties will be subjectively in agreement with one another, and that agreement will have outward, objective indications.</w:t>
      </w:r>
      <w:r w:rsidR="00AD43AF" w:rsidRPr="00AD43AF">
        <w:t xml:space="preserve"> </w:t>
      </w:r>
      <w:r w:rsidR="00AD43AF" w:rsidRPr="00AD43AF">
        <w:rPr>
          <w:rFonts w:ascii="Arial" w:hAnsi="Arial" w:cs="Arial"/>
          <w:color w:val="000000"/>
          <w:szCs w:val="24"/>
        </w:rPr>
        <w:t>(Taylor and Taylor, 2019)</w:t>
      </w:r>
      <w:r w:rsidR="00AD43AF">
        <w:rPr>
          <w:rFonts w:ascii="Arial" w:hAnsi="Arial" w:cs="Arial"/>
          <w:color w:val="000000"/>
          <w:szCs w:val="24"/>
        </w:rPr>
        <w:t xml:space="preserve"> </w:t>
      </w:r>
      <w:r w:rsidR="00CB0668" w:rsidRPr="00CB0668">
        <w:rPr>
          <w:rFonts w:ascii="Arial" w:hAnsi="Arial" w:cs="Arial"/>
          <w:color w:val="000000"/>
          <w:szCs w:val="24"/>
        </w:rPr>
        <w:t xml:space="preserve">Subjective perspective delves into the thinking of a party. Its objective is to ascertain the party's true intent and understanding. The objective perspective considers external elements and reflects how a reasonable person would interpret what was said and done. There are two distinct forms of objective viewpoints. The reasonable man either stands in the shoes of the </w:t>
      </w:r>
      <w:proofErr w:type="spellStart"/>
      <w:r w:rsidR="00CB0668" w:rsidRPr="00CB0668">
        <w:rPr>
          <w:rFonts w:ascii="Arial" w:hAnsi="Arial" w:cs="Arial"/>
          <w:color w:val="000000"/>
          <w:szCs w:val="24"/>
        </w:rPr>
        <w:t>promisee</w:t>
      </w:r>
      <w:proofErr w:type="spellEnd"/>
      <w:r w:rsidR="00CB0668" w:rsidRPr="00CB0668">
        <w:rPr>
          <w:rFonts w:ascii="Arial" w:hAnsi="Arial" w:cs="Arial"/>
          <w:color w:val="000000"/>
          <w:szCs w:val="24"/>
        </w:rPr>
        <w:t xml:space="preserve"> or the promisor and observes events from that perspective, or he stands in no one's shoes and observes events.</w:t>
      </w:r>
      <w:r w:rsidR="00CB0668" w:rsidRPr="00CB0668">
        <w:t xml:space="preserve"> </w:t>
      </w:r>
      <w:r w:rsidR="00CB0668" w:rsidRPr="00E0597E">
        <w:rPr>
          <w:rFonts w:ascii="Arial" w:hAnsi="Arial" w:cs="Arial"/>
          <w:szCs w:val="24"/>
        </w:rPr>
        <w:t>(Taylor and Taylor, 2019)</w:t>
      </w:r>
      <w:r w:rsidR="00CB0668">
        <w:rPr>
          <w:rFonts w:ascii="Arial" w:hAnsi="Arial" w:cs="Arial"/>
          <w:szCs w:val="24"/>
        </w:rPr>
        <w:t xml:space="preserve"> </w:t>
      </w:r>
      <w:r w:rsidR="00CB0668" w:rsidRPr="00CB0668">
        <w:rPr>
          <w:rFonts w:ascii="Arial" w:hAnsi="Arial" w:cs="Arial"/>
          <w:color w:val="000000"/>
          <w:szCs w:val="24"/>
        </w:rPr>
        <w:t xml:space="preserve">A problem may occur if the reasonable man views the world through the eyes of the </w:t>
      </w:r>
      <w:proofErr w:type="spellStart"/>
      <w:r w:rsidR="00CB0668" w:rsidRPr="00CB0668">
        <w:rPr>
          <w:rFonts w:ascii="Arial" w:hAnsi="Arial" w:cs="Arial"/>
          <w:color w:val="000000"/>
          <w:szCs w:val="24"/>
        </w:rPr>
        <w:t>promisee</w:t>
      </w:r>
      <w:proofErr w:type="spellEnd"/>
      <w:r w:rsidR="00CB0668" w:rsidRPr="00CB0668">
        <w:rPr>
          <w:rFonts w:ascii="Arial" w:hAnsi="Arial" w:cs="Arial"/>
          <w:color w:val="000000"/>
          <w:szCs w:val="24"/>
        </w:rPr>
        <w:t xml:space="preserve"> or promisor, as it is unknown how many of their characteristics the reasonable man will adopt. </w:t>
      </w:r>
      <w:r w:rsidR="00CB0668" w:rsidRPr="00CB0668">
        <w:rPr>
          <w:rFonts w:ascii="Arial" w:hAnsi="Arial" w:cs="Arial"/>
          <w:color w:val="000000"/>
          <w:szCs w:val="24"/>
        </w:rPr>
        <w:lastRenderedPageBreak/>
        <w:t>If the reasonable man adopts none of these qualities, his perspective can become one of a fly-on-the-wall. If he adopts too many of the party's qualities, the opinion loses its objectivity and becomes subjective. There is a danger that the reasonable man will morph into the true party.</w:t>
      </w:r>
      <w:r w:rsidR="00CB0668" w:rsidRPr="00CB0668">
        <w:rPr>
          <w:rFonts w:ascii="Arial" w:hAnsi="Arial" w:cs="Arial"/>
          <w:szCs w:val="24"/>
        </w:rPr>
        <w:t xml:space="preserve"> </w:t>
      </w:r>
      <w:r w:rsidR="00CB0668" w:rsidRPr="00E0597E">
        <w:rPr>
          <w:rFonts w:ascii="Arial" w:hAnsi="Arial" w:cs="Arial"/>
          <w:szCs w:val="24"/>
        </w:rPr>
        <w:t>(Taylor and Taylor, 2019</w:t>
      </w:r>
      <w:proofErr w:type="gramStart"/>
      <w:r w:rsidR="00CB0668" w:rsidRPr="00E0597E">
        <w:rPr>
          <w:rFonts w:ascii="Arial" w:hAnsi="Arial" w:cs="Arial"/>
          <w:szCs w:val="24"/>
        </w:rPr>
        <w:t>)</w:t>
      </w:r>
      <w:r w:rsidR="00F321E2">
        <w:rPr>
          <w:rFonts w:ascii="Arial" w:hAnsi="Arial" w:cs="Arial"/>
          <w:szCs w:val="24"/>
        </w:rPr>
        <w:t xml:space="preserve"> .</w:t>
      </w:r>
      <w:r w:rsidR="00F321E2" w:rsidRPr="00F321E2">
        <w:rPr>
          <w:rFonts w:ascii="Arial" w:hAnsi="Arial" w:cs="Arial"/>
          <w:szCs w:val="24"/>
        </w:rPr>
        <w:t>Gibson</w:t>
      </w:r>
      <w:proofErr w:type="gramEnd"/>
      <w:r w:rsidR="00F321E2" w:rsidRPr="00F321E2">
        <w:rPr>
          <w:rFonts w:ascii="Arial" w:hAnsi="Arial" w:cs="Arial"/>
          <w:szCs w:val="24"/>
        </w:rPr>
        <w:t xml:space="preserve"> vs. Manchester city council (www.bailii.org, 1979a)</w:t>
      </w:r>
      <w:r w:rsidR="00F321E2">
        <w:rPr>
          <w:rFonts w:ascii="Arial" w:hAnsi="Arial" w:cs="Arial"/>
          <w:szCs w:val="24"/>
        </w:rPr>
        <w:t xml:space="preserve"> </w:t>
      </w:r>
      <w:r w:rsidR="00F321E2" w:rsidRPr="00F321E2">
        <w:rPr>
          <w:rFonts w:ascii="Arial" w:hAnsi="Arial" w:cs="Arial"/>
          <w:szCs w:val="24"/>
        </w:rPr>
        <w:t>is a case in point in this regard. Even though Gibson believed the council was making an offer to sell him a house, the House of Lords determined that the words ‘may be prepared to sell' did not constitute an offer from an objective standpoint. The conclusion favoured the defenders, as they never made an offer and th</w:t>
      </w:r>
      <w:r w:rsidR="00F321E2">
        <w:rPr>
          <w:rFonts w:ascii="Arial" w:hAnsi="Arial" w:cs="Arial"/>
          <w:szCs w:val="24"/>
        </w:rPr>
        <w:t>at</w:t>
      </w:r>
      <w:r w:rsidR="00F321E2" w:rsidRPr="00F321E2">
        <w:rPr>
          <w:rFonts w:ascii="Arial" w:hAnsi="Arial" w:cs="Arial"/>
          <w:szCs w:val="24"/>
        </w:rPr>
        <w:t xml:space="preserve"> was an intention to treat instead. </w:t>
      </w:r>
      <w:r w:rsidR="003703A6" w:rsidRPr="003703A6">
        <w:rPr>
          <w:rFonts w:ascii="Arial" w:hAnsi="Arial" w:cs="Arial"/>
          <w:color w:val="000000"/>
          <w:szCs w:val="24"/>
        </w:rPr>
        <w:t>That is why it is critical to determine whether there is an offer or an invitation to treat.</w:t>
      </w:r>
    </w:p>
    <w:p w14:paraId="7BFAE831" w14:textId="03660F8D" w:rsidR="00FB40CA" w:rsidRDefault="00154469" w:rsidP="00936C83">
      <w:pPr>
        <w:pStyle w:val="NormalWeb"/>
        <w:ind w:left="360" w:firstLine="720"/>
        <w:rPr>
          <w:rFonts w:ascii="Arial" w:hAnsi="Arial" w:cs="Arial"/>
          <w:szCs w:val="24"/>
        </w:rPr>
      </w:pPr>
      <w:r w:rsidRPr="00154469">
        <w:t xml:space="preserve"> </w:t>
      </w:r>
      <w:r w:rsidRPr="00154469">
        <w:rPr>
          <w:rFonts w:ascii="Arial" w:hAnsi="Arial" w:cs="Arial"/>
          <w:color w:val="000000"/>
          <w:szCs w:val="24"/>
        </w:rPr>
        <w:t xml:space="preserve">Additionally, an intention test will be introduced. When parties negotiate with the intent of establishing contact, numerous preliminary messages may occur between them before a formal offer is made. The question of whether a statement is an offer or an invitation to treat is </w:t>
      </w:r>
      <w:proofErr w:type="gramStart"/>
      <w:r w:rsidRPr="00154469">
        <w:rPr>
          <w:rFonts w:ascii="Arial" w:hAnsi="Arial" w:cs="Arial"/>
          <w:color w:val="000000"/>
          <w:szCs w:val="24"/>
        </w:rPr>
        <w:t>intent-dependent</w:t>
      </w:r>
      <w:proofErr w:type="gramEnd"/>
      <w:r w:rsidRPr="00154469">
        <w:rPr>
          <w:rFonts w:ascii="Arial" w:hAnsi="Arial" w:cs="Arial"/>
          <w:color w:val="000000"/>
          <w:szCs w:val="24"/>
        </w:rPr>
        <w:t>. Although the term "offer" appears in the phrase, it may be an invitation to treat.</w:t>
      </w:r>
      <w:r w:rsidRPr="00154469">
        <w:t xml:space="preserve"> </w:t>
      </w:r>
      <w:r w:rsidRPr="00154469">
        <w:rPr>
          <w:rFonts w:ascii="Arial" w:hAnsi="Arial" w:cs="Arial"/>
          <w:color w:val="000000"/>
          <w:szCs w:val="24"/>
        </w:rPr>
        <w:t xml:space="preserve">(Peel and </w:t>
      </w:r>
      <w:proofErr w:type="spellStart"/>
      <w:r w:rsidRPr="00154469">
        <w:rPr>
          <w:rFonts w:ascii="Arial" w:hAnsi="Arial" w:cs="Arial"/>
          <w:color w:val="000000"/>
          <w:szCs w:val="24"/>
        </w:rPr>
        <w:t>Treitel</w:t>
      </w:r>
      <w:proofErr w:type="spellEnd"/>
      <w:r w:rsidRPr="00154469">
        <w:rPr>
          <w:rFonts w:ascii="Arial" w:hAnsi="Arial" w:cs="Arial"/>
          <w:color w:val="000000"/>
          <w:szCs w:val="24"/>
        </w:rPr>
        <w:t>, 2010)</w:t>
      </w:r>
      <w:r w:rsidR="00D57C0E" w:rsidRPr="00D57C0E">
        <w:t xml:space="preserve"> </w:t>
      </w:r>
      <w:r w:rsidR="00D57C0E" w:rsidRPr="00D57C0E">
        <w:rPr>
          <w:rFonts w:ascii="Arial" w:hAnsi="Arial" w:cs="Arial"/>
          <w:color w:val="000000"/>
          <w:szCs w:val="24"/>
        </w:rPr>
        <w:t xml:space="preserve">To make an offer that is acceptable to another party, one side must plan to make an offer using the objective approach. It's sometimes difficult to discern whether the seller is making an offer or inviting the purchaser to make an offer. In the event of an invitation to treat, the seller will have the last decision on whether there is agreement. </w:t>
      </w:r>
      <w:r w:rsidR="00D57C0E" w:rsidRPr="00E0597E">
        <w:rPr>
          <w:rFonts w:ascii="Arial" w:hAnsi="Arial" w:cs="Arial"/>
          <w:szCs w:val="24"/>
        </w:rPr>
        <w:t>(Taylor and Taylor, 2019)</w:t>
      </w:r>
      <w:r w:rsidR="00D57C0E">
        <w:rPr>
          <w:rFonts w:ascii="Arial" w:hAnsi="Arial" w:cs="Arial"/>
          <w:szCs w:val="24"/>
        </w:rPr>
        <w:t xml:space="preserve"> </w:t>
      </w:r>
      <w:r w:rsidR="00DF5615" w:rsidRPr="00DF5615">
        <w:rPr>
          <w:rFonts w:ascii="Arial" w:hAnsi="Arial" w:cs="Arial"/>
          <w:szCs w:val="24"/>
        </w:rPr>
        <w:t xml:space="preserve">Occasionally, it is important to analyse the status of statements in order to ascertain </w:t>
      </w:r>
      <w:proofErr w:type="gramStart"/>
      <w:r w:rsidR="00DF5615" w:rsidRPr="00DF5615">
        <w:rPr>
          <w:rFonts w:ascii="Arial" w:hAnsi="Arial" w:cs="Arial"/>
          <w:szCs w:val="24"/>
        </w:rPr>
        <w:t>whether or not</w:t>
      </w:r>
      <w:proofErr w:type="gramEnd"/>
      <w:r w:rsidR="00DF5615" w:rsidRPr="00DF5615">
        <w:rPr>
          <w:rFonts w:ascii="Arial" w:hAnsi="Arial" w:cs="Arial"/>
          <w:szCs w:val="24"/>
        </w:rPr>
        <w:t xml:space="preserve"> an offer has been made. The courts will carefully examine any pre-existing standard trade practise in the field, as well as the broader circumstances, in order to ascertain the parties' intents.</w:t>
      </w:r>
    </w:p>
    <w:p w14:paraId="6EEBCC06" w14:textId="19281669" w:rsidR="005D48B4" w:rsidRDefault="00DF5615" w:rsidP="00936C83">
      <w:pPr>
        <w:pStyle w:val="NormalWeb"/>
        <w:ind w:left="360" w:firstLine="720"/>
        <w:rPr>
          <w:rFonts w:ascii="Arial" w:hAnsi="Arial" w:cs="Arial"/>
          <w:szCs w:val="24"/>
        </w:rPr>
      </w:pPr>
      <w:r w:rsidRPr="00DF5615">
        <w:rPr>
          <w:rFonts w:ascii="Arial" w:hAnsi="Arial" w:cs="Arial"/>
          <w:szCs w:val="24"/>
        </w:rPr>
        <w:t xml:space="preserve">In your case, Mr Artur, I would argue that an invitation to treat exists rather than an offer. To begin, this is because you stated in your advertisement: "Antique Rolex Watch </w:t>
      </w:r>
      <w:proofErr w:type="gramStart"/>
      <w:r w:rsidRPr="00DF5615">
        <w:rPr>
          <w:rFonts w:ascii="Arial" w:hAnsi="Arial" w:cs="Arial"/>
          <w:szCs w:val="24"/>
        </w:rPr>
        <w:t>For</w:t>
      </w:r>
      <w:proofErr w:type="gramEnd"/>
      <w:r w:rsidRPr="00DF5615">
        <w:rPr>
          <w:rFonts w:ascii="Arial" w:hAnsi="Arial" w:cs="Arial"/>
          <w:szCs w:val="24"/>
        </w:rPr>
        <w:t xml:space="preserve"> Sale, open to serious offers. £15,000"' The phrase "open to serious offers" indicates that you are amenable to negotiating, rather than making an offer.</w:t>
      </w:r>
      <w:r w:rsidR="000B2C8B" w:rsidRPr="000B2C8B">
        <w:t xml:space="preserve"> </w:t>
      </w:r>
      <w:r w:rsidR="000B2C8B" w:rsidRPr="000B2C8B">
        <w:rPr>
          <w:rFonts w:ascii="Arial" w:hAnsi="Arial" w:cs="Arial"/>
          <w:szCs w:val="24"/>
        </w:rPr>
        <w:t xml:space="preserve">Second, the general rule said that advertising </w:t>
      </w:r>
      <w:proofErr w:type="gramStart"/>
      <w:r w:rsidR="000B2C8B" w:rsidRPr="000B2C8B">
        <w:rPr>
          <w:rFonts w:ascii="Arial" w:hAnsi="Arial" w:cs="Arial"/>
          <w:szCs w:val="24"/>
        </w:rPr>
        <w:t>are</w:t>
      </w:r>
      <w:proofErr w:type="gramEnd"/>
      <w:r w:rsidR="000B2C8B" w:rsidRPr="000B2C8B">
        <w:rPr>
          <w:rFonts w:ascii="Arial" w:hAnsi="Arial" w:cs="Arial"/>
          <w:szCs w:val="24"/>
        </w:rPr>
        <w:t xml:space="preserve"> frequently an invitation to treat, with the customer making a purchase offer. Additionally, the general rule states that advertisements for unilateral contracts constitute an offer because they typically involve a one-way exchange and a condition (if you do something, you will receive something else)</w:t>
      </w:r>
      <w:r w:rsidR="005332AD">
        <w:rPr>
          <w:rFonts w:ascii="Arial" w:hAnsi="Arial" w:cs="Arial"/>
          <w:szCs w:val="24"/>
        </w:rPr>
        <w:t xml:space="preserve"> a case example </w:t>
      </w:r>
      <w:r w:rsidR="005332AD" w:rsidRPr="005332AD">
        <w:rPr>
          <w:rFonts w:ascii="Arial" w:hAnsi="Arial" w:cs="Arial"/>
          <w:szCs w:val="24"/>
        </w:rPr>
        <w:t>Carlill v Carbolic Smoke Ball Co [1893] (www.bailii.org, 1893)</w:t>
      </w:r>
      <w:r w:rsidR="000B2C8B" w:rsidRPr="000B2C8B">
        <w:rPr>
          <w:rFonts w:ascii="Arial" w:hAnsi="Arial" w:cs="Arial"/>
          <w:szCs w:val="24"/>
        </w:rPr>
        <w:t>, whereas advertisements for bilateral contracts constitute an invitation to treat because both parties have obligations and benefits under the contract.</w:t>
      </w:r>
      <w:r w:rsidR="005D48B4" w:rsidRPr="005D48B4">
        <w:t xml:space="preserve"> </w:t>
      </w:r>
      <w:r w:rsidR="005D48B4" w:rsidRPr="005D48B4">
        <w:rPr>
          <w:rFonts w:ascii="Arial" w:hAnsi="Arial" w:cs="Arial"/>
          <w:szCs w:val="24"/>
        </w:rPr>
        <w:t xml:space="preserve">Mr Arthur's condition appears to be a bilateral agreement. Advertisements for bilateral contracts are rarely considered offers because they frequently result in further negotiating and because the advertiser may legitimately seek, prior to becoming bound, to ascertain if the other party </w:t>
      </w:r>
      <w:proofErr w:type="gramStart"/>
      <w:r w:rsidR="005D48B4" w:rsidRPr="005D48B4">
        <w:rPr>
          <w:rFonts w:ascii="Arial" w:hAnsi="Arial" w:cs="Arial"/>
          <w:szCs w:val="24"/>
        </w:rPr>
        <w:t>is capable of performing</w:t>
      </w:r>
      <w:proofErr w:type="gramEnd"/>
      <w:r w:rsidR="005D48B4" w:rsidRPr="005D48B4">
        <w:rPr>
          <w:rFonts w:ascii="Arial" w:hAnsi="Arial" w:cs="Arial"/>
          <w:szCs w:val="24"/>
        </w:rPr>
        <w:t xml:space="preserve"> his portion of any resulting contract.</w:t>
      </w:r>
      <w:r w:rsidR="005D48B4">
        <w:t xml:space="preserve"> </w:t>
      </w:r>
      <w:r w:rsidR="005D48B4" w:rsidRPr="00154469">
        <w:rPr>
          <w:rFonts w:ascii="Arial" w:hAnsi="Arial" w:cs="Arial"/>
          <w:color w:val="000000"/>
          <w:szCs w:val="24"/>
        </w:rPr>
        <w:t xml:space="preserve">(Peel and </w:t>
      </w:r>
      <w:proofErr w:type="spellStart"/>
      <w:r w:rsidR="005D48B4" w:rsidRPr="00154469">
        <w:rPr>
          <w:rFonts w:ascii="Arial" w:hAnsi="Arial" w:cs="Arial"/>
          <w:color w:val="000000"/>
          <w:szCs w:val="24"/>
        </w:rPr>
        <w:t>Treitel</w:t>
      </w:r>
      <w:proofErr w:type="spellEnd"/>
      <w:r w:rsidR="005D48B4" w:rsidRPr="00154469">
        <w:rPr>
          <w:rFonts w:ascii="Arial" w:hAnsi="Arial" w:cs="Arial"/>
          <w:color w:val="000000"/>
          <w:szCs w:val="24"/>
        </w:rPr>
        <w:t>, 2010)</w:t>
      </w:r>
      <w:r w:rsidR="005332AD">
        <w:rPr>
          <w:rFonts w:ascii="Arial" w:hAnsi="Arial" w:cs="Arial"/>
          <w:color w:val="000000"/>
          <w:szCs w:val="24"/>
        </w:rPr>
        <w:t xml:space="preserve"> </w:t>
      </w:r>
      <w:proofErr w:type="spellStart"/>
      <w:r w:rsidR="005332AD" w:rsidRPr="005332AD">
        <w:rPr>
          <w:rFonts w:ascii="Arial" w:hAnsi="Arial" w:cs="Arial"/>
          <w:color w:val="000000"/>
          <w:szCs w:val="24"/>
        </w:rPr>
        <w:t>Partidge</w:t>
      </w:r>
      <w:proofErr w:type="spellEnd"/>
      <w:r w:rsidR="005332AD" w:rsidRPr="005332AD">
        <w:rPr>
          <w:rFonts w:ascii="Arial" w:hAnsi="Arial" w:cs="Arial"/>
          <w:color w:val="000000"/>
          <w:szCs w:val="24"/>
        </w:rPr>
        <w:t xml:space="preserve"> v Crittenden</w:t>
      </w:r>
      <w:r w:rsidR="005332AD">
        <w:rPr>
          <w:rFonts w:ascii="Arial" w:hAnsi="Arial" w:cs="Arial"/>
          <w:color w:val="000000"/>
          <w:szCs w:val="24"/>
        </w:rPr>
        <w:t xml:space="preserve"> </w:t>
      </w:r>
      <w:r w:rsidR="005332AD" w:rsidRPr="005332AD">
        <w:rPr>
          <w:rFonts w:ascii="Arial" w:hAnsi="Arial" w:cs="Arial"/>
          <w:color w:val="000000"/>
          <w:szCs w:val="24"/>
        </w:rPr>
        <w:t>(www.iclr.co.uk, 1968) is a seminal case in this regard. The case began with a finding by the Magistrates court that the advertisement was an advertisement for the sale of a wild bird. Later, on appeal to the Supreme Court, the advertisement was determined to be an invitation to treat, not an offer. The critical point to note from this case is that the court carefully considered the words spoken and the circumstances surrounding them and may have reached a different judgement had they been different.</w:t>
      </w:r>
      <w:r w:rsidR="000E31E3">
        <w:rPr>
          <w:rFonts w:ascii="Arial" w:hAnsi="Arial" w:cs="Arial"/>
          <w:color w:val="000000"/>
          <w:szCs w:val="24"/>
        </w:rPr>
        <w:t xml:space="preserve"> </w:t>
      </w:r>
      <w:r w:rsidR="000E31E3" w:rsidRPr="000E31E3">
        <w:rPr>
          <w:rFonts w:ascii="Arial" w:hAnsi="Arial" w:cs="Arial"/>
          <w:color w:val="000000"/>
          <w:szCs w:val="24"/>
        </w:rPr>
        <w:t xml:space="preserve">As a result, many advertisements, like the one in Partridge v Crittenden, will be only </w:t>
      </w:r>
      <w:r w:rsidR="000E31E3" w:rsidRPr="000E31E3">
        <w:rPr>
          <w:rFonts w:ascii="Arial" w:hAnsi="Arial" w:cs="Arial"/>
          <w:color w:val="000000"/>
          <w:szCs w:val="24"/>
        </w:rPr>
        <w:lastRenderedPageBreak/>
        <w:t>invitations to treat. However, if the advertiser makes it obvious that he intends to make an offer, or if the advertisement contains qualities that rebut the presumption in favour of an invitation to treat, the advertisement will be considered an offer.</w:t>
      </w:r>
      <w:r w:rsidR="000E31E3">
        <w:rPr>
          <w:rFonts w:ascii="Arial" w:hAnsi="Arial" w:cs="Arial"/>
          <w:color w:val="000000"/>
          <w:szCs w:val="24"/>
        </w:rPr>
        <w:t xml:space="preserve"> </w:t>
      </w:r>
      <w:r w:rsidR="000E31E3" w:rsidRPr="00E0597E">
        <w:rPr>
          <w:rFonts w:ascii="Arial" w:hAnsi="Arial" w:cs="Arial"/>
          <w:szCs w:val="24"/>
        </w:rPr>
        <w:t>(Taylor and Taylor, 2019)</w:t>
      </w:r>
      <w:r w:rsidR="000E31E3">
        <w:rPr>
          <w:rFonts w:ascii="Arial" w:hAnsi="Arial" w:cs="Arial"/>
          <w:szCs w:val="24"/>
        </w:rPr>
        <w:t xml:space="preserve"> </w:t>
      </w:r>
      <w:r w:rsidR="005C3E61" w:rsidRPr="005C3E61">
        <w:rPr>
          <w:rFonts w:ascii="Arial" w:hAnsi="Arial" w:cs="Arial"/>
          <w:szCs w:val="24"/>
        </w:rPr>
        <w:t>If the court determines that the advertisement was an invitation to a treat, Mr Arthur will have no legitimate contracts in existence because he has not agreed to any of Ben's, Christine's, or Dennis's offers.</w:t>
      </w:r>
    </w:p>
    <w:p w14:paraId="5EF9E4ED" w14:textId="58ECC9C2" w:rsidR="00AB0D06" w:rsidRDefault="00807B47" w:rsidP="00936C83">
      <w:pPr>
        <w:pStyle w:val="NormalWeb"/>
        <w:ind w:left="360" w:firstLine="720"/>
        <w:rPr>
          <w:rFonts w:ascii="Arial" w:hAnsi="Arial" w:cs="Arial"/>
          <w:szCs w:val="24"/>
        </w:rPr>
      </w:pPr>
      <w:r w:rsidRPr="00807B47">
        <w:rPr>
          <w:rFonts w:ascii="Arial" w:hAnsi="Arial" w:cs="Arial"/>
          <w:szCs w:val="24"/>
        </w:rPr>
        <w:t>If the court determines that the advertisement represents an offer, the outcome will be much different. To begin, let us examine the facts chronologically in the order in which they occurred. Due to Ben's lack of experience with electronic tools, he sent a letter to Mr Arthur on May 4th agreeing to purchase the watch for £15000. Christine then expressed interest in the watch on May 5th and negotiated with Arthur to drop the price to £11000. Arthur has rejected the offer and has countered with a new offer of £13000. Christine returned to Arthur, indicating that she currently has £11,000 and will be able to pay the remaining £2000 at the end of the month. Then, on May 6th at 11 a.m., Dennis emailed Arthur to express his interest in the watch. Arthur responded to Dennis's request for £13000. Christine emailed Arthur the same day to inform him that she has raised the funds and is able to pay the full sum. Later that day, Dennis accepted the £13000 sought for the watch. Ben's letter arrived on May 7th. According to the facts in the statement of events, Christine was the only one who was truly negotiating the price of the watch and made a new offer (</w:t>
      </w:r>
      <w:proofErr w:type="gramStart"/>
      <w:r w:rsidRPr="00807B47">
        <w:rPr>
          <w:rFonts w:ascii="Arial" w:hAnsi="Arial" w:cs="Arial"/>
          <w:szCs w:val="24"/>
        </w:rPr>
        <w:t>counter-offer</w:t>
      </w:r>
      <w:proofErr w:type="gramEnd"/>
      <w:r w:rsidRPr="00807B47">
        <w:rPr>
          <w:rFonts w:ascii="Arial" w:hAnsi="Arial" w:cs="Arial"/>
          <w:szCs w:val="24"/>
        </w:rPr>
        <w:t>). Dennis agreed to pay £13000, but I feel that Ben should be the one who has a contract in the location owing to the postal regulation.</w:t>
      </w:r>
    </w:p>
    <w:p w14:paraId="0152E1FA" w14:textId="77777777" w:rsidR="00E62F08" w:rsidRPr="00E62F08" w:rsidRDefault="00AB0D06" w:rsidP="00936C83">
      <w:pPr>
        <w:pStyle w:val="NormalWeb"/>
        <w:ind w:left="360" w:firstLine="720"/>
        <w:rPr>
          <w:rFonts w:ascii="Arial" w:hAnsi="Arial" w:cs="Arial"/>
          <w:szCs w:val="24"/>
        </w:rPr>
      </w:pPr>
      <w:r w:rsidRPr="00AB0D06">
        <w:rPr>
          <w:rFonts w:ascii="Arial" w:hAnsi="Arial" w:cs="Arial"/>
          <w:szCs w:val="24"/>
        </w:rPr>
        <w:t>Acceptance of an offer is generally communicated. This general rule is not applicable to the postal regulation. The postal rule provides that an acceptance posted without communication to the offeror is binding from the time of posting. The primary issue is that when messages are delivered at a distance and there is a delay between dispatch and receipt, both parties are unable to determine if they have entered a contract. The postal rule has been applied in a limited number of instances and is susceptible to opposing purpose. The rule is not applicable if it would result in manifest inconvenient or nonsensical behaviour. The postal rule does not apply to offers that are rescinded. If the postal rule applies, it must be properly stamped and sent to the correct address, as well as being reasonable to use the mail service. In your case, Mr Arthur, I feel that the postal rule will apply to Ben's acceptance because you have received his letter and he has a legitimate motive for using the post because he lacks the knowledge necessary to contact with you in any other way</w:t>
      </w:r>
      <w:proofErr w:type="gramStart"/>
      <w:r w:rsidRPr="00AB0D06">
        <w:rPr>
          <w:rFonts w:ascii="Arial" w:hAnsi="Arial" w:cs="Arial"/>
          <w:szCs w:val="24"/>
        </w:rPr>
        <w:t>.</w:t>
      </w:r>
      <w:r>
        <w:rPr>
          <w:rFonts w:ascii="Arial" w:hAnsi="Arial" w:cs="Arial"/>
          <w:szCs w:val="24"/>
        </w:rPr>
        <w:t xml:space="preserve"> </w:t>
      </w:r>
      <w:r w:rsidRPr="000E31E3">
        <w:rPr>
          <w:rFonts w:ascii="Arial" w:hAnsi="Arial" w:cs="Arial"/>
          <w:color w:val="000000"/>
          <w:szCs w:val="24"/>
        </w:rPr>
        <w:t>.</w:t>
      </w:r>
      <w:proofErr w:type="gramEnd"/>
      <w:r>
        <w:rPr>
          <w:rFonts w:ascii="Arial" w:hAnsi="Arial" w:cs="Arial"/>
          <w:color w:val="000000"/>
          <w:szCs w:val="24"/>
        </w:rPr>
        <w:t xml:space="preserve"> </w:t>
      </w:r>
      <w:r w:rsidRPr="00E0597E">
        <w:rPr>
          <w:rFonts w:ascii="Arial" w:hAnsi="Arial" w:cs="Arial"/>
          <w:szCs w:val="24"/>
        </w:rPr>
        <w:t>(Taylor and Taylor, 2019)</w:t>
      </w:r>
      <w:r>
        <w:rPr>
          <w:rFonts w:ascii="Arial" w:hAnsi="Arial" w:cs="Arial"/>
          <w:szCs w:val="24"/>
        </w:rPr>
        <w:t xml:space="preserve"> </w:t>
      </w:r>
      <w:r w:rsidRPr="00AB0D06">
        <w:rPr>
          <w:rFonts w:ascii="Arial" w:hAnsi="Arial" w:cs="Arial"/>
          <w:szCs w:val="24"/>
        </w:rPr>
        <w:t>Adams v Lindsell [1818] (www.bailii.org, 1818)</w:t>
      </w:r>
      <w:r>
        <w:rPr>
          <w:rFonts w:ascii="Arial" w:hAnsi="Arial" w:cs="Arial"/>
          <w:szCs w:val="24"/>
        </w:rPr>
        <w:t xml:space="preserve"> </w:t>
      </w:r>
      <w:r w:rsidRPr="00AB0D06">
        <w:rPr>
          <w:rFonts w:ascii="Arial" w:hAnsi="Arial" w:cs="Arial"/>
          <w:szCs w:val="24"/>
        </w:rPr>
        <w:t>established the postal rule.</w:t>
      </w:r>
      <w:r>
        <w:rPr>
          <w:rFonts w:ascii="Arial" w:hAnsi="Arial" w:cs="Arial"/>
          <w:szCs w:val="24"/>
        </w:rPr>
        <w:t xml:space="preserve"> </w:t>
      </w:r>
      <w:r w:rsidR="00E62F08" w:rsidRPr="00E62F08">
        <w:rPr>
          <w:rFonts w:ascii="Arial" w:hAnsi="Arial" w:cs="Arial"/>
          <w:szCs w:val="24"/>
        </w:rPr>
        <w:t>Therefore, if the advertisement for the watch is seen to be an offer rather than an invitation to treat, Mr Arthur's only valid contract will be with Ben.</w:t>
      </w:r>
    </w:p>
    <w:p w14:paraId="6FBF9E22" w14:textId="77777777" w:rsidR="00E62F08" w:rsidRDefault="00E62F08" w:rsidP="00936C83">
      <w:pPr>
        <w:pStyle w:val="NormalWeb"/>
        <w:ind w:left="360" w:firstLine="720"/>
        <w:rPr>
          <w:rFonts w:ascii="Arial" w:hAnsi="Arial" w:cs="Arial"/>
          <w:szCs w:val="24"/>
        </w:rPr>
      </w:pPr>
      <w:r w:rsidRPr="00E62F08">
        <w:rPr>
          <w:rFonts w:ascii="Arial" w:hAnsi="Arial" w:cs="Arial"/>
          <w:szCs w:val="24"/>
        </w:rPr>
        <w:t>I hope the information I provided Mr Arthur was beneficial; of course, if you have any more questions, please do not hesitate to contact me.</w:t>
      </w:r>
    </w:p>
    <w:p w14:paraId="0F04FF08" w14:textId="235A769C" w:rsidR="00AB0D06" w:rsidRDefault="00E62F08" w:rsidP="00936C83">
      <w:pPr>
        <w:pStyle w:val="NormalWeb"/>
        <w:ind w:left="360" w:firstLine="720"/>
        <w:rPr>
          <w:rFonts w:ascii="Arial" w:hAnsi="Arial" w:cs="Arial"/>
          <w:szCs w:val="24"/>
        </w:rPr>
      </w:pPr>
      <w:r w:rsidRPr="00E62F08">
        <w:rPr>
          <w:rFonts w:ascii="Arial" w:hAnsi="Arial" w:cs="Arial"/>
          <w:szCs w:val="24"/>
        </w:rPr>
        <w:t xml:space="preserve"> </w:t>
      </w:r>
      <w:r>
        <w:rPr>
          <w:rFonts w:ascii="Arial" w:hAnsi="Arial" w:cs="Arial"/>
          <w:szCs w:val="24"/>
        </w:rPr>
        <w:t>Y</w:t>
      </w:r>
      <w:r w:rsidRPr="00E62F08">
        <w:rPr>
          <w:rFonts w:ascii="Arial" w:hAnsi="Arial" w:cs="Arial"/>
          <w:szCs w:val="24"/>
        </w:rPr>
        <w:t>ours</w:t>
      </w:r>
      <w:r>
        <w:rPr>
          <w:rFonts w:ascii="Arial" w:hAnsi="Arial" w:cs="Arial"/>
          <w:szCs w:val="24"/>
        </w:rPr>
        <w:t xml:space="preserve"> sincerely Yordanka Ivanova </w:t>
      </w:r>
    </w:p>
    <w:p w14:paraId="608516DC" w14:textId="03189C70" w:rsidR="00E62F08" w:rsidRDefault="00E62F08" w:rsidP="00E62F08">
      <w:pPr>
        <w:pStyle w:val="NormalWeb"/>
        <w:ind w:left="360" w:firstLine="720"/>
        <w:rPr>
          <w:rFonts w:ascii="Arial" w:hAnsi="Arial" w:cs="Arial"/>
          <w:szCs w:val="24"/>
        </w:rPr>
      </w:pPr>
    </w:p>
    <w:p w14:paraId="5FBB7655" w14:textId="77777777" w:rsidR="00936C83" w:rsidRPr="00936C83" w:rsidRDefault="00936C83" w:rsidP="00936C83">
      <w:pPr>
        <w:spacing w:after="240" w:line="360" w:lineRule="auto"/>
        <w:rPr>
          <w:rFonts w:ascii="Times New Roman" w:eastAsia="Times New Roman" w:hAnsi="Times New Roman" w:cs="Times New Roman"/>
          <w:sz w:val="36"/>
          <w:szCs w:val="36"/>
          <w:lang w:eastAsia="en-GB"/>
        </w:rPr>
      </w:pPr>
      <w:r w:rsidRPr="00936C83">
        <w:rPr>
          <w:rFonts w:ascii="Times New Roman" w:eastAsia="Times New Roman" w:hAnsi="Times New Roman" w:cs="Times New Roman"/>
          <w:sz w:val="36"/>
          <w:szCs w:val="36"/>
          <w:lang w:eastAsia="en-GB"/>
        </w:rPr>
        <w:t>Reference list</w:t>
      </w:r>
    </w:p>
    <w:p w14:paraId="35B77CBC"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lastRenderedPageBreak/>
        <w:t xml:space="preserve">Books Received. (1998). </w:t>
      </w:r>
      <w:r w:rsidRPr="00936C83">
        <w:rPr>
          <w:rFonts w:ascii="Times New Roman" w:eastAsia="Times New Roman" w:hAnsi="Times New Roman" w:cs="Times New Roman"/>
          <w:i/>
          <w:iCs/>
          <w:sz w:val="24"/>
          <w:szCs w:val="24"/>
          <w:lang w:eastAsia="en-GB"/>
        </w:rPr>
        <w:t>Journal of Law and Society</w:t>
      </w:r>
      <w:r w:rsidRPr="00936C83">
        <w:rPr>
          <w:rFonts w:ascii="Times New Roman" w:eastAsia="Times New Roman" w:hAnsi="Times New Roman" w:cs="Times New Roman"/>
          <w:sz w:val="24"/>
          <w:szCs w:val="24"/>
          <w:lang w:eastAsia="en-GB"/>
        </w:rPr>
        <w:t>, 25(4), pp.660–663.</w:t>
      </w:r>
    </w:p>
    <w:p w14:paraId="5B391AAD"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Chitty, J., Beale, H.G. and Al, E. (2008). </w:t>
      </w:r>
      <w:r w:rsidRPr="00936C83">
        <w:rPr>
          <w:rFonts w:ascii="Times New Roman" w:eastAsia="Times New Roman" w:hAnsi="Times New Roman" w:cs="Times New Roman"/>
          <w:i/>
          <w:iCs/>
          <w:sz w:val="24"/>
          <w:szCs w:val="24"/>
          <w:lang w:eastAsia="en-GB"/>
        </w:rPr>
        <w:t>Chitty on contracts. Volume I, General principles</w:t>
      </w:r>
      <w:r w:rsidRPr="00936C83">
        <w:rPr>
          <w:rFonts w:ascii="Times New Roman" w:eastAsia="Times New Roman" w:hAnsi="Times New Roman" w:cs="Times New Roman"/>
          <w:sz w:val="24"/>
          <w:szCs w:val="24"/>
          <w:lang w:eastAsia="en-GB"/>
        </w:rPr>
        <w:t>. London: Sweet &amp; Maxwell.</w:t>
      </w:r>
    </w:p>
    <w:p w14:paraId="38C14BA5"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Frontmatter. (2017). </w:t>
      </w:r>
      <w:proofErr w:type="spellStart"/>
      <w:r w:rsidRPr="00936C83">
        <w:rPr>
          <w:rFonts w:ascii="Times New Roman" w:eastAsia="Times New Roman" w:hAnsi="Times New Roman" w:cs="Times New Roman"/>
          <w:i/>
          <w:iCs/>
          <w:sz w:val="24"/>
          <w:szCs w:val="24"/>
          <w:lang w:eastAsia="en-GB"/>
        </w:rPr>
        <w:t>Südosteuropa</w:t>
      </w:r>
      <w:proofErr w:type="spellEnd"/>
      <w:r w:rsidRPr="00936C83">
        <w:rPr>
          <w:rFonts w:ascii="Times New Roman" w:eastAsia="Times New Roman" w:hAnsi="Times New Roman" w:cs="Times New Roman"/>
          <w:sz w:val="24"/>
          <w:szCs w:val="24"/>
          <w:lang w:eastAsia="en-GB"/>
        </w:rPr>
        <w:t>, 65(2).</w:t>
      </w:r>
    </w:p>
    <w:p w14:paraId="6A7FC8E3"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proofErr w:type="spellStart"/>
      <w:r w:rsidRPr="00936C83">
        <w:rPr>
          <w:rFonts w:ascii="Times New Roman" w:eastAsia="Times New Roman" w:hAnsi="Times New Roman" w:cs="Times New Roman"/>
          <w:sz w:val="24"/>
          <w:szCs w:val="24"/>
          <w:lang w:eastAsia="en-GB"/>
        </w:rPr>
        <w:t>Merkin</w:t>
      </w:r>
      <w:proofErr w:type="spellEnd"/>
      <w:r w:rsidRPr="00936C83">
        <w:rPr>
          <w:rFonts w:ascii="Times New Roman" w:eastAsia="Times New Roman" w:hAnsi="Times New Roman" w:cs="Times New Roman"/>
          <w:sz w:val="24"/>
          <w:szCs w:val="24"/>
          <w:lang w:eastAsia="en-GB"/>
        </w:rPr>
        <w:t xml:space="preserve">, R.M. and </w:t>
      </w:r>
      <w:proofErr w:type="spellStart"/>
      <w:r w:rsidRPr="00936C83">
        <w:rPr>
          <w:rFonts w:ascii="Times New Roman" w:eastAsia="Times New Roman" w:hAnsi="Times New Roman" w:cs="Times New Roman"/>
          <w:sz w:val="24"/>
          <w:szCs w:val="24"/>
          <w:lang w:eastAsia="en-GB"/>
        </w:rPr>
        <w:t>Séverine</w:t>
      </w:r>
      <w:proofErr w:type="spellEnd"/>
      <w:r w:rsidRPr="00936C83">
        <w:rPr>
          <w:rFonts w:ascii="Times New Roman" w:eastAsia="Times New Roman" w:hAnsi="Times New Roman" w:cs="Times New Roman"/>
          <w:sz w:val="24"/>
          <w:szCs w:val="24"/>
          <w:lang w:eastAsia="en-GB"/>
        </w:rPr>
        <w:t xml:space="preserve"> </w:t>
      </w:r>
      <w:proofErr w:type="spellStart"/>
      <w:r w:rsidRPr="00936C83">
        <w:rPr>
          <w:rFonts w:ascii="Times New Roman" w:eastAsia="Times New Roman" w:hAnsi="Times New Roman" w:cs="Times New Roman"/>
          <w:sz w:val="24"/>
          <w:szCs w:val="24"/>
          <w:lang w:eastAsia="en-GB"/>
        </w:rPr>
        <w:t>Saintier</w:t>
      </w:r>
      <w:proofErr w:type="spellEnd"/>
      <w:r w:rsidRPr="00936C83">
        <w:rPr>
          <w:rFonts w:ascii="Times New Roman" w:eastAsia="Times New Roman" w:hAnsi="Times New Roman" w:cs="Times New Roman"/>
          <w:sz w:val="24"/>
          <w:szCs w:val="24"/>
          <w:lang w:eastAsia="en-GB"/>
        </w:rPr>
        <w:t xml:space="preserve"> (2019). </w:t>
      </w:r>
      <w:r w:rsidRPr="00936C83">
        <w:rPr>
          <w:rFonts w:ascii="Times New Roman" w:eastAsia="Times New Roman" w:hAnsi="Times New Roman" w:cs="Times New Roman"/>
          <w:i/>
          <w:iCs/>
          <w:sz w:val="24"/>
          <w:szCs w:val="24"/>
          <w:lang w:eastAsia="en-GB"/>
        </w:rPr>
        <w:t>Poole’s casebook on contract law</w:t>
      </w:r>
      <w:r w:rsidRPr="00936C83">
        <w:rPr>
          <w:rFonts w:ascii="Times New Roman" w:eastAsia="Times New Roman" w:hAnsi="Times New Roman" w:cs="Times New Roman"/>
          <w:sz w:val="24"/>
          <w:szCs w:val="24"/>
          <w:lang w:eastAsia="en-GB"/>
        </w:rPr>
        <w:t>. Oxford: Oxford University Press. Copyright.</w:t>
      </w:r>
    </w:p>
    <w:p w14:paraId="434AA566"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Peel, E. and </w:t>
      </w:r>
      <w:proofErr w:type="spellStart"/>
      <w:r w:rsidRPr="00936C83">
        <w:rPr>
          <w:rFonts w:ascii="Times New Roman" w:eastAsia="Times New Roman" w:hAnsi="Times New Roman" w:cs="Times New Roman"/>
          <w:sz w:val="24"/>
          <w:szCs w:val="24"/>
          <w:lang w:eastAsia="en-GB"/>
        </w:rPr>
        <w:t>Treitel</w:t>
      </w:r>
      <w:proofErr w:type="spellEnd"/>
      <w:r w:rsidRPr="00936C83">
        <w:rPr>
          <w:rFonts w:ascii="Times New Roman" w:eastAsia="Times New Roman" w:hAnsi="Times New Roman" w:cs="Times New Roman"/>
          <w:sz w:val="24"/>
          <w:szCs w:val="24"/>
          <w:lang w:eastAsia="en-GB"/>
        </w:rPr>
        <w:t xml:space="preserve">, G.H. (2010). </w:t>
      </w:r>
      <w:r w:rsidRPr="00936C83">
        <w:rPr>
          <w:rFonts w:ascii="Times New Roman" w:eastAsia="Times New Roman" w:hAnsi="Times New Roman" w:cs="Times New Roman"/>
          <w:i/>
          <w:iCs/>
          <w:sz w:val="24"/>
          <w:szCs w:val="24"/>
          <w:lang w:eastAsia="en-GB"/>
        </w:rPr>
        <w:t>The law of contract</w:t>
      </w:r>
      <w:r w:rsidRPr="00936C83">
        <w:rPr>
          <w:rFonts w:ascii="Times New Roman" w:eastAsia="Times New Roman" w:hAnsi="Times New Roman" w:cs="Times New Roman"/>
          <w:sz w:val="24"/>
          <w:szCs w:val="24"/>
          <w:lang w:eastAsia="en-GB"/>
        </w:rPr>
        <w:t>. London: Sweet &amp; Maxwell.</w:t>
      </w:r>
    </w:p>
    <w:p w14:paraId="21B81A57"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Poole, J. (2016). </w:t>
      </w:r>
      <w:r w:rsidRPr="00936C83">
        <w:rPr>
          <w:rFonts w:ascii="Times New Roman" w:eastAsia="Times New Roman" w:hAnsi="Times New Roman" w:cs="Times New Roman"/>
          <w:i/>
          <w:iCs/>
          <w:sz w:val="24"/>
          <w:szCs w:val="24"/>
          <w:lang w:eastAsia="en-GB"/>
        </w:rPr>
        <w:t>Textbook on contract law</w:t>
      </w:r>
      <w:r w:rsidRPr="00936C83">
        <w:rPr>
          <w:rFonts w:ascii="Times New Roman" w:eastAsia="Times New Roman" w:hAnsi="Times New Roman" w:cs="Times New Roman"/>
          <w:sz w:val="24"/>
          <w:szCs w:val="24"/>
          <w:lang w:eastAsia="en-GB"/>
        </w:rPr>
        <w:t>. Oxford: Oxford University Press.</w:t>
      </w:r>
    </w:p>
    <w:p w14:paraId="2ED73EBE"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Reviews. (2001). </w:t>
      </w:r>
      <w:r w:rsidRPr="00936C83">
        <w:rPr>
          <w:rFonts w:ascii="Times New Roman" w:eastAsia="Times New Roman" w:hAnsi="Times New Roman" w:cs="Times New Roman"/>
          <w:i/>
          <w:iCs/>
          <w:sz w:val="24"/>
          <w:szCs w:val="24"/>
          <w:lang w:eastAsia="en-GB"/>
        </w:rPr>
        <w:t>The Modern Law Review</w:t>
      </w:r>
      <w:r w:rsidRPr="00936C83">
        <w:rPr>
          <w:rFonts w:ascii="Times New Roman" w:eastAsia="Times New Roman" w:hAnsi="Times New Roman" w:cs="Times New Roman"/>
          <w:sz w:val="24"/>
          <w:szCs w:val="24"/>
          <w:lang w:eastAsia="en-GB"/>
        </w:rPr>
        <w:t>, 64(3), pp.512–518.</w:t>
      </w:r>
    </w:p>
    <w:p w14:paraId="128ECF46"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Richards, P. (2019). </w:t>
      </w:r>
      <w:r w:rsidRPr="00936C83">
        <w:rPr>
          <w:rFonts w:ascii="Times New Roman" w:eastAsia="Times New Roman" w:hAnsi="Times New Roman" w:cs="Times New Roman"/>
          <w:i/>
          <w:iCs/>
          <w:sz w:val="24"/>
          <w:szCs w:val="24"/>
          <w:lang w:eastAsia="en-GB"/>
        </w:rPr>
        <w:t xml:space="preserve">Law Of </w:t>
      </w:r>
      <w:proofErr w:type="gramStart"/>
      <w:r w:rsidRPr="00936C83">
        <w:rPr>
          <w:rFonts w:ascii="Times New Roman" w:eastAsia="Times New Roman" w:hAnsi="Times New Roman" w:cs="Times New Roman"/>
          <w:i/>
          <w:iCs/>
          <w:sz w:val="24"/>
          <w:szCs w:val="24"/>
          <w:lang w:eastAsia="en-GB"/>
        </w:rPr>
        <w:t>Contract.</w:t>
      </w:r>
      <w:r w:rsidRPr="00936C83">
        <w:rPr>
          <w:rFonts w:ascii="Times New Roman" w:eastAsia="Times New Roman" w:hAnsi="Times New Roman" w:cs="Times New Roman"/>
          <w:sz w:val="24"/>
          <w:szCs w:val="24"/>
          <w:lang w:eastAsia="en-GB"/>
        </w:rPr>
        <w:t>.</w:t>
      </w:r>
      <w:proofErr w:type="gramEnd"/>
    </w:p>
    <w:p w14:paraId="0BB27884"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Taylor, R.D. and Taylor, D. (2019). </w:t>
      </w:r>
      <w:r w:rsidRPr="00936C83">
        <w:rPr>
          <w:rFonts w:ascii="Times New Roman" w:eastAsia="Times New Roman" w:hAnsi="Times New Roman" w:cs="Times New Roman"/>
          <w:i/>
          <w:iCs/>
          <w:sz w:val="24"/>
          <w:szCs w:val="24"/>
          <w:lang w:eastAsia="en-GB"/>
        </w:rPr>
        <w:t>Contract law directions</w:t>
      </w:r>
      <w:r w:rsidRPr="00936C83">
        <w:rPr>
          <w:rFonts w:ascii="Times New Roman" w:eastAsia="Times New Roman" w:hAnsi="Times New Roman" w:cs="Times New Roman"/>
          <w:sz w:val="24"/>
          <w:szCs w:val="24"/>
          <w:lang w:eastAsia="en-GB"/>
        </w:rPr>
        <w:t>. Oxford, United Kingdom: Oxford University Press.</w:t>
      </w:r>
    </w:p>
    <w:p w14:paraId="58C60963"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The </w:t>
      </w:r>
      <w:proofErr w:type="spellStart"/>
      <w:r w:rsidRPr="00936C83">
        <w:rPr>
          <w:rFonts w:ascii="Times New Roman" w:eastAsia="Times New Roman" w:hAnsi="Times New Roman" w:cs="Times New Roman"/>
          <w:sz w:val="24"/>
          <w:szCs w:val="24"/>
          <w:lang w:eastAsia="en-GB"/>
        </w:rPr>
        <w:t>electronicprotein</w:t>
      </w:r>
      <w:proofErr w:type="spellEnd"/>
      <w:r w:rsidRPr="00936C83">
        <w:rPr>
          <w:rFonts w:ascii="Times New Roman" w:eastAsia="Times New Roman" w:hAnsi="Times New Roman" w:cs="Times New Roman"/>
          <w:sz w:val="24"/>
          <w:szCs w:val="24"/>
          <w:lang w:eastAsia="en-GB"/>
        </w:rPr>
        <w:t xml:space="preserve"> </w:t>
      </w:r>
      <w:proofErr w:type="spellStart"/>
      <w:r w:rsidRPr="00936C83">
        <w:rPr>
          <w:rFonts w:ascii="Times New Roman" w:eastAsia="Times New Roman" w:hAnsi="Times New Roman" w:cs="Times New Roman"/>
          <w:sz w:val="24"/>
          <w:szCs w:val="24"/>
          <w:lang w:eastAsia="en-GB"/>
        </w:rPr>
        <w:t>scienceupdate</w:t>
      </w:r>
      <w:proofErr w:type="spellEnd"/>
      <w:r w:rsidRPr="00936C83">
        <w:rPr>
          <w:rFonts w:ascii="Times New Roman" w:eastAsia="Times New Roman" w:hAnsi="Times New Roman" w:cs="Times New Roman"/>
          <w:sz w:val="24"/>
          <w:szCs w:val="24"/>
          <w:lang w:eastAsia="en-GB"/>
        </w:rPr>
        <w:t xml:space="preserve">. (1996). </w:t>
      </w:r>
      <w:r w:rsidRPr="00936C83">
        <w:rPr>
          <w:rFonts w:ascii="Times New Roman" w:eastAsia="Times New Roman" w:hAnsi="Times New Roman" w:cs="Times New Roman"/>
          <w:i/>
          <w:iCs/>
          <w:sz w:val="24"/>
          <w:szCs w:val="24"/>
          <w:lang w:eastAsia="en-GB"/>
        </w:rPr>
        <w:t>Protein Science</w:t>
      </w:r>
      <w:r w:rsidRPr="00936C83">
        <w:rPr>
          <w:rFonts w:ascii="Times New Roman" w:eastAsia="Times New Roman" w:hAnsi="Times New Roman" w:cs="Times New Roman"/>
          <w:sz w:val="24"/>
          <w:szCs w:val="24"/>
          <w:lang w:eastAsia="en-GB"/>
        </w:rPr>
        <w:t>, 5(10), pp.2139–2139.</w:t>
      </w:r>
    </w:p>
    <w:p w14:paraId="406305F6"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www.bailii.org. (1615). </w:t>
      </w:r>
      <w:proofErr w:type="spellStart"/>
      <w:r w:rsidRPr="00936C83">
        <w:rPr>
          <w:rFonts w:ascii="Times New Roman" w:eastAsia="Times New Roman" w:hAnsi="Times New Roman" w:cs="Times New Roman"/>
          <w:i/>
          <w:iCs/>
          <w:sz w:val="24"/>
          <w:szCs w:val="24"/>
          <w:lang w:eastAsia="en-GB"/>
        </w:rPr>
        <w:t>Lampleigh</w:t>
      </w:r>
      <w:proofErr w:type="spellEnd"/>
      <w:r w:rsidRPr="00936C83">
        <w:rPr>
          <w:rFonts w:ascii="Times New Roman" w:eastAsia="Times New Roman" w:hAnsi="Times New Roman" w:cs="Times New Roman"/>
          <w:i/>
          <w:iCs/>
          <w:sz w:val="24"/>
          <w:szCs w:val="24"/>
          <w:lang w:eastAsia="en-GB"/>
        </w:rPr>
        <w:t xml:space="preserve"> v </w:t>
      </w:r>
      <w:proofErr w:type="spellStart"/>
      <w:r w:rsidRPr="00936C83">
        <w:rPr>
          <w:rFonts w:ascii="Times New Roman" w:eastAsia="Times New Roman" w:hAnsi="Times New Roman" w:cs="Times New Roman"/>
          <w:i/>
          <w:iCs/>
          <w:sz w:val="24"/>
          <w:szCs w:val="24"/>
          <w:lang w:eastAsia="en-GB"/>
        </w:rPr>
        <w:t>Brathwait</w:t>
      </w:r>
      <w:proofErr w:type="spellEnd"/>
      <w:r w:rsidRPr="00936C83">
        <w:rPr>
          <w:rFonts w:ascii="Times New Roman" w:eastAsia="Times New Roman" w:hAnsi="Times New Roman" w:cs="Times New Roman"/>
          <w:i/>
          <w:iCs/>
          <w:sz w:val="24"/>
          <w:szCs w:val="24"/>
          <w:lang w:eastAsia="en-GB"/>
        </w:rPr>
        <w:t xml:space="preserve"> [1615] EWHC KB J17 (24 March 1615)</w:t>
      </w:r>
      <w:r w:rsidRPr="00936C83">
        <w:rPr>
          <w:rFonts w:ascii="Times New Roman" w:eastAsia="Times New Roman" w:hAnsi="Times New Roman" w:cs="Times New Roman"/>
          <w:sz w:val="24"/>
          <w:szCs w:val="24"/>
          <w:lang w:eastAsia="en-GB"/>
        </w:rPr>
        <w:t>. [online] Available at: https://www.bailii.org/ew/cases/EWHC/KB/1615/J17.html [Accessed 27 Feb. 2022].</w:t>
      </w:r>
    </w:p>
    <w:p w14:paraId="31E896E5"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www.bailii.org. (1795). </w:t>
      </w:r>
      <w:r w:rsidRPr="00936C83">
        <w:rPr>
          <w:rFonts w:ascii="Times New Roman" w:eastAsia="Times New Roman" w:hAnsi="Times New Roman" w:cs="Times New Roman"/>
          <w:i/>
          <w:iCs/>
          <w:sz w:val="24"/>
          <w:szCs w:val="24"/>
          <w:lang w:eastAsia="en-GB"/>
        </w:rPr>
        <w:t>Cutter v Powell [1795] EWHC KB J13 (9 June 1795)</w:t>
      </w:r>
      <w:r w:rsidRPr="00936C83">
        <w:rPr>
          <w:rFonts w:ascii="Times New Roman" w:eastAsia="Times New Roman" w:hAnsi="Times New Roman" w:cs="Times New Roman"/>
          <w:sz w:val="24"/>
          <w:szCs w:val="24"/>
          <w:lang w:eastAsia="en-GB"/>
        </w:rPr>
        <w:t>. [online] Available at: https://www.bailii.org/ew/cases/EWHC/KB/1795/J13.html [Accessed 28 Feb. 2022].</w:t>
      </w:r>
    </w:p>
    <w:p w14:paraId="42F19194"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www.bailii.org. (1818). </w:t>
      </w:r>
      <w:r w:rsidRPr="00936C83">
        <w:rPr>
          <w:rFonts w:ascii="Times New Roman" w:eastAsia="Times New Roman" w:hAnsi="Times New Roman" w:cs="Times New Roman"/>
          <w:i/>
          <w:iCs/>
          <w:sz w:val="24"/>
          <w:szCs w:val="24"/>
          <w:lang w:eastAsia="en-GB"/>
        </w:rPr>
        <w:t xml:space="preserve">Adams &amp; </w:t>
      </w:r>
      <w:proofErr w:type="spellStart"/>
      <w:r w:rsidRPr="00936C83">
        <w:rPr>
          <w:rFonts w:ascii="Times New Roman" w:eastAsia="Times New Roman" w:hAnsi="Times New Roman" w:cs="Times New Roman"/>
          <w:i/>
          <w:iCs/>
          <w:sz w:val="24"/>
          <w:szCs w:val="24"/>
          <w:lang w:eastAsia="en-GB"/>
        </w:rPr>
        <w:t>Ors</w:t>
      </w:r>
      <w:proofErr w:type="spellEnd"/>
      <w:r w:rsidRPr="00936C83">
        <w:rPr>
          <w:rFonts w:ascii="Times New Roman" w:eastAsia="Times New Roman" w:hAnsi="Times New Roman" w:cs="Times New Roman"/>
          <w:i/>
          <w:iCs/>
          <w:sz w:val="24"/>
          <w:szCs w:val="24"/>
          <w:lang w:eastAsia="en-GB"/>
        </w:rPr>
        <w:t xml:space="preserve"> v Lindsell &amp; </w:t>
      </w:r>
      <w:proofErr w:type="spellStart"/>
      <w:r w:rsidRPr="00936C83">
        <w:rPr>
          <w:rFonts w:ascii="Times New Roman" w:eastAsia="Times New Roman" w:hAnsi="Times New Roman" w:cs="Times New Roman"/>
          <w:i/>
          <w:iCs/>
          <w:sz w:val="24"/>
          <w:szCs w:val="24"/>
          <w:lang w:eastAsia="en-GB"/>
        </w:rPr>
        <w:t>Ors</w:t>
      </w:r>
      <w:proofErr w:type="spellEnd"/>
      <w:r w:rsidRPr="00936C83">
        <w:rPr>
          <w:rFonts w:ascii="Times New Roman" w:eastAsia="Times New Roman" w:hAnsi="Times New Roman" w:cs="Times New Roman"/>
          <w:i/>
          <w:iCs/>
          <w:sz w:val="24"/>
          <w:szCs w:val="24"/>
          <w:lang w:eastAsia="en-GB"/>
        </w:rPr>
        <w:t xml:space="preserve"> [1818] EWHC KB J59 (05 June 1818)</w:t>
      </w:r>
      <w:r w:rsidRPr="00936C83">
        <w:rPr>
          <w:rFonts w:ascii="Times New Roman" w:eastAsia="Times New Roman" w:hAnsi="Times New Roman" w:cs="Times New Roman"/>
          <w:sz w:val="24"/>
          <w:szCs w:val="24"/>
          <w:lang w:eastAsia="en-GB"/>
        </w:rPr>
        <w:t>. [online] Available at: https://www.bailii.org/ew/cases/EWHC/KB/1818/J59.html.</w:t>
      </w:r>
    </w:p>
    <w:p w14:paraId="486AB20F"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www.bailii.org. (1861). </w:t>
      </w:r>
      <w:r w:rsidRPr="00936C83">
        <w:rPr>
          <w:rFonts w:ascii="Times New Roman" w:eastAsia="Times New Roman" w:hAnsi="Times New Roman" w:cs="Times New Roman"/>
          <w:i/>
          <w:iCs/>
          <w:sz w:val="24"/>
          <w:szCs w:val="24"/>
          <w:lang w:eastAsia="en-GB"/>
        </w:rPr>
        <w:t>Tweddle v Atkinson [1861] EWHC QB J57 (7 June 1861)</w:t>
      </w:r>
      <w:r w:rsidRPr="00936C83">
        <w:rPr>
          <w:rFonts w:ascii="Times New Roman" w:eastAsia="Times New Roman" w:hAnsi="Times New Roman" w:cs="Times New Roman"/>
          <w:sz w:val="24"/>
          <w:szCs w:val="24"/>
          <w:lang w:eastAsia="en-GB"/>
        </w:rPr>
        <w:t>. [online] Available at: https://www.bailii.org/ew/cases/EWHC/QB/1861/J57.html.</w:t>
      </w:r>
    </w:p>
    <w:p w14:paraId="403DB461"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www.bailii.org. (1893). </w:t>
      </w:r>
      <w:r w:rsidRPr="00936C83">
        <w:rPr>
          <w:rFonts w:ascii="Times New Roman" w:eastAsia="Times New Roman" w:hAnsi="Times New Roman" w:cs="Times New Roman"/>
          <w:i/>
          <w:iCs/>
          <w:sz w:val="24"/>
          <w:szCs w:val="24"/>
          <w:lang w:eastAsia="en-GB"/>
        </w:rPr>
        <w:t xml:space="preserve">Carlill v Carbolic Smoke Ball Company [1892] EWCA </w:t>
      </w:r>
      <w:proofErr w:type="spellStart"/>
      <w:r w:rsidRPr="00936C83">
        <w:rPr>
          <w:rFonts w:ascii="Times New Roman" w:eastAsia="Times New Roman" w:hAnsi="Times New Roman" w:cs="Times New Roman"/>
          <w:i/>
          <w:iCs/>
          <w:sz w:val="24"/>
          <w:szCs w:val="24"/>
          <w:lang w:eastAsia="en-GB"/>
        </w:rPr>
        <w:t>Civ</w:t>
      </w:r>
      <w:proofErr w:type="spellEnd"/>
      <w:r w:rsidRPr="00936C83">
        <w:rPr>
          <w:rFonts w:ascii="Times New Roman" w:eastAsia="Times New Roman" w:hAnsi="Times New Roman" w:cs="Times New Roman"/>
          <w:i/>
          <w:iCs/>
          <w:sz w:val="24"/>
          <w:szCs w:val="24"/>
          <w:lang w:eastAsia="en-GB"/>
        </w:rPr>
        <w:t xml:space="preserve"> 1 (07 December 1892)</w:t>
      </w:r>
      <w:r w:rsidRPr="00936C83">
        <w:rPr>
          <w:rFonts w:ascii="Times New Roman" w:eastAsia="Times New Roman" w:hAnsi="Times New Roman" w:cs="Times New Roman"/>
          <w:sz w:val="24"/>
          <w:szCs w:val="24"/>
          <w:lang w:eastAsia="en-GB"/>
        </w:rPr>
        <w:t>. [online] Available at: https://www.bailii.org/ew/cases/EWCA/Civ/1892/1.html.</w:t>
      </w:r>
    </w:p>
    <w:p w14:paraId="1A3DB94B"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www.bailii.org. (1915). </w:t>
      </w:r>
      <w:r w:rsidRPr="00936C83">
        <w:rPr>
          <w:rFonts w:ascii="Times New Roman" w:eastAsia="Times New Roman" w:hAnsi="Times New Roman" w:cs="Times New Roman"/>
          <w:i/>
          <w:iCs/>
          <w:sz w:val="24"/>
          <w:szCs w:val="24"/>
          <w:lang w:eastAsia="en-GB"/>
        </w:rPr>
        <w:t>Dunlop Pneumatic Tyre Co Ltd v Selfridge &amp; Co Ltd [1915] UKHL 1 (26 April 1915)</w:t>
      </w:r>
      <w:r w:rsidRPr="00936C83">
        <w:rPr>
          <w:rFonts w:ascii="Times New Roman" w:eastAsia="Times New Roman" w:hAnsi="Times New Roman" w:cs="Times New Roman"/>
          <w:sz w:val="24"/>
          <w:szCs w:val="24"/>
          <w:lang w:eastAsia="en-GB"/>
        </w:rPr>
        <w:t>. [online] Available at: https://www.bailii.org/uk/cases/UKHL/1915/1.html.</w:t>
      </w:r>
    </w:p>
    <w:p w14:paraId="4CFA33BC"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www.bailii.org. (1952). </w:t>
      </w:r>
      <w:r w:rsidRPr="00936C83">
        <w:rPr>
          <w:rFonts w:ascii="Times New Roman" w:eastAsia="Times New Roman" w:hAnsi="Times New Roman" w:cs="Times New Roman"/>
          <w:i/>
          <w:iCs/>
          <w:sz w:val="24"/>
          <w:szCs w:val="24"/>
          <w:lang w:eastAsia="en-GB"/>
        </w:rPr>
        <w:t xml:space="preserve">Hoenig v Isaacs [1952] EWCA </w:t>
      </w:r>
      <w:proofErr w:type="spellStart"/>
      <w:r w:rsidRPr="00936C83">
        <w:rPr>
          <w:rFonts w:ascii="Times New Roman" w:eastAsia="Times New Roman" w:hAnsi="Times New Roman" w:cs="Times New Roman"/>
          <w:i/>
          <w:iCs/>
          <w:sz w:val="24"/>
          <w:szCs w:val="24"/>
          <w:lang w:eastAsia="en-GB"/>
        </w:rPr>
        <w:t>Civ</w:t>
      </w:r>
      <w:proofErr w:type="spellEnd"/>
      <w:r w:rsidRPr="00936C83">
        <w:rPr>
          <w:rFonts w:ascii="Times New Roman" w:eastAsia="Times New Roman" w:hAnsi="Times New Roman" w:cs="Times New Roman"/>
          <w:i/>
          <w:iCs/>
          <w:sz w:val="24"/>
          <w:szCs w:val="24"/>
          <w:lang w:eastAsia="en-GB"/>
        </w:rPr>
        <w:t xml:space="preserve"> 6 (13 February 1952)</w:t>
      </w:r>
      <w:r w:rsidRPr="00936C83">
        <w:rPr>
          <w:rFonts w:ascii="Times New Roman" w:eastAsia="Times New Roman" w:hAnsi="Times New Roman" w:cs="Times New Roman"/>
          <w:sz w:val="24"/>
          <w:szCs w:val="24"/>
          <w:lang w:eastAsia="en-GB"/>
        </w:rPr>
        <w:t>. [online] Available at: https://www.bailii.org/ew/cases/EWCA/Civ/1952/6.html.</w:t>
      </w:r>
    </w:p>
    <w:p w14:paraId="359F83B2"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lastRenderedPageBreak/>
        <w:t xml:space="preserve">www.bailii.org. (1979a). </w:t>
      </w:r>
      <w:r w:rsidRPr="00936C83">
        <w:rPr>
          <w:rFonts w:ascii="Times New Roman" w:eastAsia="Times New Roman" w:hAnsi="Times New Roman" w:cs="Times New Roman"/>
          <w:i/>
          <w:iCs/>
          <w:sz w:val="24"/>
          <w:szCs w:val="24"/>
          <w:lang w:eastAsia="en-GB"/>
        </w:rPr>
        <w:t>Gibson v Manchester City Council [1979] UKHL 6 (08 March 1979)</w:t>
      </w:r>
      <w:r w:rsidRPr="00936C83">
        <w:rPr>
          <w:rFonts w:ascii="Times New Roman" w:eastAsia="Times New Roman" w:hAnsi="Times New Roman" w:cs="Times New Roman"/>
          <w:sz w:val="24"/>
          <w:szCs w:val="24"/>
          <w:lang w:eastAsia="en-GB"/>
        </w:rPr>
        <w:t>. [online] Available at: https://www.bailii.org/uk/cases/UKHL/1979/6.html.</w:t>
      </w:r>
    </w:p>
    <w:p w14:paraId="438C19AF"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www.bailii.org. (1979b). </w:t>
      </w:r>
      <w:r w:rsidRPr="00936C83">
        <w:rPr>
          <w:rFonts w:ascii="Times New Roman" w:eastAsia="Times New Roman" w:hAnsi="Times New Roman" w:cs="Times New Roman"/>
          <w:i/>
          <w:iCs/>
          <w:sz w:val="24"/>
          <w:szCs w:val="24"/>
          <w:lang w:eastAsia="en-GB"/>
        </w:rPr>
        <w:t xml:space="preserve">Pao On and others v Lau </w:t>
      </w:r>
      <w:proofErr w:type="spellStart"/>
      <w:r w:rsidRPr="00936C83">
        <w:rPr>
          <w:rFonts w:ascii="Times New Roman" w:eastAsia="Times New Roman" w:hAnsi="Times New Roman" w:cs="Times New Roman"/>
          <w:i/>
          <w:iCs/>
          <w:sz w:val="24"/>
          <w:szCs w:val="24"/>
          <w:lang w:eastAsia="en-GB"/>
        </w:rPr>
        <w:t>Yiu</w:t>
      </w:r>
      <w:proofErr w:type="spellEnd"/>
      <w:r w:rsidRPr="00936C83">
        <w:rPr>
          <w:rFonts w:ascii="Times New Roman" w:eastAsia="Times New Roman" w:hAnsi="Times New Roman" w:cs="Times New Roman"/>
          <w:i/>
          <w:iCs/>
          <w:sz w:val="24"/>
          <w:szCs w:val="24"/>
          <w:lang w:eastAsia="en-GB"/>
        </w:rPr>
        <w:t xml:space="preserve"> Long and another (Hong Kong) [1979] UKPC 17 (9 April 1979)</w:t>
      </w:r>
      <w:r w:rsidRPr="00936C83">
        <w:rPr>
          <w:rFonts w:ascii="Times New Roman" w:eastAsia="Times New Roman" w:hAnsi="Times New Roman" w:cs="Times New Roman"/>
          <w:sz w:val="24"/>
          <w:szCs w:val="24"/>
          <w:lang w:eastAsia="en-GB"/>
        </w:rPr>
        <w:t>. [online] Available at: https://www.bailii.org/uk/cases/UKPC/1979/1979_17.html [Accessed 27 Feb. 2022].</w:t>
      </w:r>
    </w:p>
    <w:p w14:paraId="70C21621"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www.iclr.co.uk. (1898). </w:t>
      </w:r>
      <w:r w:rsidRPr="00936C83">
        <w:rPr>
          <w:rFonts w:ascii="Times New Roman" w:eastAsia="Times New Roman" w:hAnsi="Times New Roman" w:cs="Times New Roman"/>
          <w:i/>
          <w:iCs/>
          <w:sz w:val="24"/>
          <w:szCs w:val="24"/>
          <w:lang w:eastAsia="en-GB"/>
        </w:rPr>
        <w:t>ICLR</w:t>
      </w:r>
      <w:r w:rsidRPr="00936C83">
        <w:rPr>
          <w:rFonts w:ascii="Times New Roman" w:eastAsia="Times New Roman" w:hAnsi="Times New Roman" w:cs="Times New Roman"/>
          <w:sz w:val="24"/>
          <w:szCs w:val="24"/>
          <w:lang w:eastAsia="en-GB"/>
        </w:rPr>
        <w:t>. [online] Available at: https://www.iclr.co.uk/document/1890626308/casereport_72629/html.</w:t>
      </w:r>
    </w:p>
    <w:p w14:paraId="60D7DBBC"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www.iclr.co.uk. (1968). </w:t>
      </w:r>
      <w:r w:rsidRPr="00936C83">
        <w:rPr>
          <w:rFonts w:ascii="Times New Roman" w:eastAsia="Times New Roman" w:hAnsi="Times New Roman" w:cs="Times New Roman"/>
          <w:i/>
          <w:iCs/>
          <w:sz w:val="24"/>
          <w:szCs w:val="24"/>
          <w:lang w:eastAsia="en-GB"/>
        </w:rPr>
        <w:t>ICLR</w:t>
      </w:r>
      <w:r w:rsidRPr="00936C83">
        <w:rPr>
          <w:rFonts w:ascii="Times New Roman" w:eastAsia="Times New Roman" w:hAnsi="Times New Roman" w:cs="Times New Roman"/>
          <w:sz w:val="24"/>
          <w:szCs w:val="24"/>
          <w:lang w:eastAsia="en-GB"/>
        </w:rPr>
        <w:t>. [online] Available at: https://www.iclr.co.uk/ic/1961003083 [Accessed 2 Mar. 2022].</w:t>
      </w:r>
    </w:p>
    <w:p w14:paraId="54159CED" w14:textId="77777777" w:rsidR="00936C83" w:rsidRPr="00936C83" w:rsidRDefault="00936C83" w:rsidP="00936C83">
      <w:pPr>
        <w:pStyle w:val="ListParagraph"/>
        <w:numPr>
          <w:ilvl w:val="0"/>
          <w:numId w:val="4"/>
        </w:numPr>
        <w:spacing w:after="240" w:line="360" w:lineRule="auto"/>
        <w:rPr>
          <w:rFonts w:ascii="Times New Roman" w:eastAsia="Times New Roman" w:hAnsi="Times New Roman" w:cs="Times New Roman"/>
          <w:sz w:val="24"/>
          <w:szCs w:val="24"/>
          <w:lang w:eastAsia="en-GB"/>
        </w:rPr>
      </w:pPr>
      <w:r w:rsidRPr="00936C83">
        <w:rPr>
          <w:rFonts w:ascii="Times New Roman" w:eastAsia="Times New Roman" w:hAnsi="Times New Roman" w:cs="Times New Roman"/>
          <w:sz w:val="24"/>
          <w:szCs w:val="24"/>
          <w:lang w:eastAsia="en-GB"/>
        </w:rPr>
        <w:t xml:space="preserve">www.lawteacher.net. (2019). </w:t>
      </w:r>
      <w:r w:rsidRPr="00936C83">
        <w:rPr>
          <w:rFonts w:ascii="Times New Roman" w:eastAsia="Times New Roman" w:hAnsi="Times New Roman" w:cs="Times New Roman"/>
          <w:i/>
          <w:iCs/>
          <w:sz w:val="24"/>
          <w:szCs w:val="24"/>
          <w:lang w:eastAsia="en-GB"/>
        </w:rPr>
        <w:t>Re McArdle – 1951</w:t>
      </w:r>
      <w:r w:rsidRPr="00936C83">
        <w:rPr>
          <w:rFonts w:ascii="Times New Roman" w:eastAsia="Times New Roman" w:hAnsi="Times New Roman" w:cs="Times New Roman"/>
          <w:sz w:val="24"/>
          <w:szCs w:val="24"/>
          <w:lang w:eastAsia="en-GB"/>
        </w:rPr>
        <w:t>. [online] Available at: https://www.lawteacher.net/cases/re-mcardle.php.</w:t>
      </w:r>
    </w:p>
    <w:p w14:paraId="62362098" w14:textId="77777777" w:rsidR="00936C83" w:rsidRPr="005D48B4" w:rsidRDefault="00936C83" w:rsidP="00E62F08">
      <w:pPr>
        <w:pStyle w:val="NormalWeb"/>
        <w:ind w:left="360" w:firstLine="720"/>
        <w:rPr>
          <w:rFonts w:ascii="Arial" w:hAnsi="Arial" w:cs="Arial"/>
          <w:szCs w:val="24"/>
        </w:rPr>
      </w:pPr>
    </w:p>
    <w:sectPr w:rsidR="00936C83" w:rsidRPr="005D48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C2490D"/>
    <w:multiLevelType w:val="hybridMultilevel"/>
    <w:tmpl w:val="180835DA"/>
    <w:lvl w:ilvl="0" w:tplc="4226259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595CB4"/>
    <w:multiLevelType w:val="hybridMultilevel"/>
    <w:tmpl w:val="4710B0F8"/>
    <w:lvl w:ilvl="0" w:tplc="5606B25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3D472F"/>
    <w:multiLevelType w:val="hybridMultilevel"/>
    <w:tmpl w:val="CDC456EC"/>
    <w:lvl w:ilvl="0" w:tplc="789C5D2C">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45B153C0"/>
    <w:multiLevelType w:val="hybridMultilevel"/>
    <w:tmpl w:val="71F8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F7C"/>
    <w:rsid w:val="00003734"/>
    <w:rsid w:val="00043861"/>
    <w:rsid w:val="000B2C8B"/>
    <w:rsid w:val="000E31E3"/>
    <w:rsid w:val="00100F38"/>
    <w:rsid w:val="00154469"/>
    <w:rsid w:val="003272FA"/>
    <w:rsid w:val="003703A6"/>
    <w:rsid w:val="003739D5"/>
    <w:rsid w:val="00373B8F"/>
    <w:rsid w:val="003A28EB"/>
    <w:rsid w:val="005332AD"/>
    <w:rsid w:val="005641A9"/>
    <w:rsid w:val="005C3E61"/>
    <w:rsid w:val="005D48B4"/>
    <w:rsid w:val="00692B30"/>
    <w:rsid w:val="00807B47"/>
    <w:rsid w:val="008C34D0"/>
    <w:rsid w:val="00936C83"/>
    <w:rsid w:val="00994405"/>
    <w:rsid w:val="009B00BB"/>
    <w:rsid w:val="00A6327F"/>
    <w:rsid w:val="00AB0D06"/>
    <w:rsid w:val="00AD43AF"/>
    <w:rsid w:val="00B972D1"/>
    <w:rsid w:val="00C77F7C"/>
    <w:rsid w:val="00CB0668"/>
    <w:rsid w:val="00CC16DD"/>
    <w:rsid w:val="00CE78B1"/>
    <w:rsid w:val="00D57C0E"/>
    <w:rsid w:val="00DD25E7"/>
    <w:rsid w:val="00DE4590"/>
    <w:rsid w:val="00DF5615"/>
    <w:rsid w:val="00E0597E"/>
    <w:rsid w:val="00E62F08"/>
    <w:rsid w:val="00F321E2"/>
    <w:rsid w:val="00F825A9"/>
    <w:rsid w:val="00FA253C"/>
    <w:rsid w:val="00FA6379"/>
    <w:rsid w:val="00FB40CA"/>
    <w:rsid w:val="00FC5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061A1"/>
  <w15:chartTrackingRefBased/>
  <w15:docId w15:val="{4971B29D-1992-49AB-A585-2399A9526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25E7"/>
    <w:pPr>
      <w:ind w:left="720"/>
      <w:contextualSpacing/>
    </w:pPr>
  </w:style>
  <w:style w:type="paragraph" w:styleId="NormalWeb">
    <w:name w:val="Normal (Web)"/>
    <w:basedOn w:val="Normal"/>
    <w:uiPriority w:val="99"/>
    <w:unhideWhenUsed/>
    <w:rsid w:val="005641A9"/>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919659">
      <w:bodyDiv w:val="1"/>
      <w:marLeft w:val="0"/>
      <w:marRight w:val="0"/>
      <w:marTop w:val="0"/>
      <w:marBottom w:val="0"/>
      <w:divBdr>
        <w:top w:val="none" w:sz="0" w:space="0" w:color="auto"/>
        <w:left w:val="none" w:sz="0" w:space="0" w:color="auto"/>
        <w:bottom w:val="none" w:sz="0" w:space="0" w:color="auto"/>
        <w:right w:val="none" w:sz="0" w:space="0" w:color="auto"/>
      </w:divBdr>
    </w:div>
    <w:div w:id="823668561">
      <w:bodyDiv w:val="1"/>
      <w:marLeft w:val="0"/>
      <w:marRight w:val="0"/>
      <w:marTop w:val="0"/>
      <w:marBottom w:val="0"/>
      <w:divBdr>
        <w:top w:val="none" w:sz="0" w:space="0" w:color="auto"/>
        <w:left w:val="none" w:sz="0" w:space="0" w:color="auto"/>
        <w:bottom w:val="none" w:sz="0" w:space="0" w:color="auto"/>
        <w:right w:val="none" w:sz="0" w:space="0" w:color="auto"/>
      </w:divBdr>
    </w:div>
    <w:div w:id="1773436227">
      <w:bodyDiv w:val="1"/>
      <w:marLeft w:val="0"/>
      <w:marRight w:val="0"/>
      <w:marTop w:val="0"/>
      <w:marBottom w:val="0"/>
      <w:divBdr>
        <w:top w:val="none" w:sz="0" w:space="0" w:color="auto"/>
        <w:left w:val="none" w:sz="0" w:space="0" w:color="auto"/>
        <w:bottom w:val="none" w:sz="0" w:space="0" w:color="auto"/>
        <w:right w:val="none" w:sz="0" w:space="0" w:color="auto"/>
      </w:divBdr>
      <w:divsChild>
        <w:div w:id="1502626800">
          <w:marLeft w:val="0"/>
          <w:marRight w:val="0"/>
          <w:marTop w:val="0"/>
          <w:marBottom w:val="0"/>
          <w:divBdr>
            <w:top w:val="none" w:sz="0" w:space="0" w:color="auto"/>
            <w:left w:val="none" w:sz="0" w:space="0" w:color="auto"/>
            <w:bottom w:val="none" w:sz="0" w:space="0" w:color="auto"/>
            <w:right w:val="none" w:sz="0" w:space="0" w:color="auto"/>
          </w:divBdr>
        </w:div>
      </w:divsChild>
    </w:div>
    <w:div w:id="1935354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2468</TotalTime>
  <Pages>6</Pages>
  <Words>2577</Words>
  <Characters>14693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Ivanova (2022864)</dc:creator>
  <cp:keywords/>
  <dc:description/>
  <cp:lastModifiedBy>Yordanka Ivanova (2022864)</cp:lastModifiedBy>
  <cp:revision>6</cp:revision>
  <dcterms:created xsi:type="dcterms:W3CDTF">2022-02-27T13:41:00Z</dcterms:created>
  <dcterms:modified xsi:type="dcterms:W3CDTF">2022-03-04T16:23:00Z</dcterms:modified>
</cp:coreProperties>
</file>