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E00BE" w14:textId="77777777" w:rsidR="00485C6A" w:rsidRPr="00841587" w:rsidRDefault="00841587">
      <w:pPr>
        <w:rPr>
          <w:i/>
          <w:sz w:val="24"/>
          <w:shd w:val="clear" w:color="auto" w:fill="FFFFFF"/>
        </w:rPr>
      </w:pPr>
      <w:r w:rsidRPr="00841587">
        <w:rPr>
          <w:i/>
          <w:sz w:val="24"/>
          <w:shd w:val="clear" w:color="auto" w:fill="FFFFFF"/>
        </w:rPr>
        <w:t xml:space="preserve">'Yr oedd y Phariseaid yn helpu i ddiogelu'r hyn oedd orau mewn Iddewiaeth'. Rhowch eich sylwadau ar y disgrifiad hwn a dadansoddwch arwyddocâd y Phariseaid i Iddewiaeth. </w:t>
      </w:r>
    </w:p>
    <w:p w14:paraId="796D4940" w14:textId="77777777" w:rsidR="004D1333" w:rsidRDefault="004D1333" w:rsidP="004D1333">
      <w:pPr>
        <w:ind w:firstLine="720"/>
        <w:rPr>
          <w:rFonts w:ascii="Calibri" w:hAnsi="Calibri" w:cs="Calibri"/>
          <w:sz w:val="24"/>
          <w:szCs w:val="24"/>
        </w:rPr>
      </w:pPr>
      <w:r>
        <w:rPr>
          <w:rFonts w:ascii="Calibri" w:hAnsi="Calibri" w:cs="Calibri"/>
          <w:sz w:val="24"/>
          <w:szCs w:val="24"/>
        </w:rPr>
        <w:t>Roedd y Phariseaid yn un mewn nifer o sectau o fewn Iddewiaeth ac yn bodoli yn ystod cyfnod yr ail Deml. Daethon nhw ar ôl y gwrthryfel Hasmonean tua 165-160 CC, ac roeddent yr unig grŵp i oroesi'r dinistriad o’r Deml gan y Rhufeiniaid yn 70 OC. Mae ysgolheigion yn ystyried y Phariseaid fel y rhai a wnaeth gosod y sylfaen ar gyfer Iddewiaeth am y ddwy filiwn nesaf, hyd at heddiw. Yn ystod y traethawd yma byddaf yn edrych ar y ffordd mae’r Phariseaid wedi datblygu yn ystod y cyfnod hwn, pa gyfraniad a wnaethant a pha etifeddiaeth a adawant ar gyfer Iddewiaeth yn y dyfodol. Y ffynonellau sydd gennym ynglŷn â gwybodaeth amdano'r Phariseaid yw Josephus, llenyddiaeth Rabinaidd ac yr Efengylau sydd yn cael eu gweld yn Destament Newydd.</w:t>
      </w:r>
    </w:p>
    <w:p w14:paraId="11EEF79C" w14:textId="1A09504A" w:rsidR="00C544E9" w:rsidRDefault="00C544E9" w:rsidP="00CD201F">
      <w:pPr>
        <w:rPr>
          <w:color w:val="FF0000"/>
          <w:sz w:val="24"/>
          <w:shd w:val="clear" w:color="auto" w:fill="FFFFFF"/>
        </w:rPr>
      </w:pPr>
      <w:r>
        <w:rPr>
          <w:sz w:val="24"/>
          <w:shd w:val="clear" w:color="auto" w:fill="FFFFFF"/>
        </w:rPr>
        <w:tab/>
      </w:r>
      <w:r w:rsidR="004D1333">
        <w:rPr>
          <w:rFonts w:ascii="Calibri" w:hAnsi="Calibri" w:cs="Calibri"/>
          <w:sz w:val="24"/>
          <w:szCs w:val="24"/>
        </w:rPr>
        <w:t>Mae rhaid trin y ffynonellau yn ofalus. Yn gyntaf mae gennym Josephus sydd yn hanesydd Iddewig. Rhwng 75 OC a 100 OC ysgrifennodd hanes yr Iddewon o’r dechreuad hyd at ddinistrio’r Deml, yn gynnwys y rhyfel yn erbyn Rhufain ac arweiniodd tuag at y dinistrio</w:t>
      </w:r>
      <w:r w:rsidR="00FA08D9">
        <w:rPr>
          <w:sz w:val="24"/>
          <w:shd w:val="clear" w:color="auto" w:fill="FFFFFF"/>
        </w:rPr>
        <w:t>.</w:t>
      </w:r>
      <w:r w:rsidR="00241107">
        <w:rPr>
          <w:rStyle w:val="FootnoteReference"/>
          <w:sz w:val="24"/>
          <w:shd w:val="clear" w:color="auto" w:fill="FFFFFF"/>
        </w:rPr>
        <w:footnoteReference w:id="1"/>
      </w:r>
      <w:r w:rsidR="00FA08D9">
        <w:rPr>
          <w:sz w:val="24"/>
          <w:shd w:val="clear" w:color="auto" w:fill="FFFFFF"/>
        </w:rPr>
        <w:t xml:space="preserve"> </w:t>
      </w:r>
      <w:r w:rsidR="004D1333">
        <w:rPr>
          <w:rFonts w:ascii="Calibri" w:hAnsi="Calibri" w:cs="Calibri"/>
          <w:sz w:val="24"/>
          <w:szCs w:val="24"/>
        </w:rPr>
        <w:t>Hefyd mae’r traddodiadau bywgraffyddol am y dywediadau a briodolir i Iesu a'r cyfreithiau a'r dywediadau a briodolir i gyn 70 OC. Mae gan Josephus dau brif ffynhonnell sef ‘Jewish War’ a chafodd ei ysgrifennu yn 71 OC. O fewn hyn, nid yw Josephus yn portreadu'r Phariseaid mewn ffordd dda, sydd yn ddiddorol achos o fewn y ‘Antiquities of the Jews’ (93-94 OC) sef ei ail waith maent yn ei bortreadu'r Phariseaid yn dda. Felly gallwn ddweud nid yw Josephus yn ffynhonnell ddibynadwy wrth sôn am arwyddocâd y Phariseaid i Iddewiaeth</w:t>
      </w:r>
      <w:r w:rsidR="00D56E8F">
        <w:rPr>
          <w:sz w:val="24"/>
          <w:shd w:val="clear" w:color="auto" w:fill="FFFFFF"/>
        </w:rPr>
        <w:t>.</w:t>
      </w:r>
      <w:r w:rsidR="00241107">
        <w:rPr>
          <w:rStyle w:val="FootnoteReference"/>
          <w:sz w:val="24"/>
          <w:shd w:val="clear" w:color="auto" w:fill="FFFFFF"/>
        </w:rPr>
        <w:footnoteReference w:id="2"/>
      </w:r>
      <w:r w:rsidR="00FA5788">
        <w:rPr>
          <w:sz w:val="24"/>
          <w:shd w:val="clear" w:color="auto" w:fill="FFFFFF"/>
        </w:rPr>
        <w:t xml:space="preserve"> </w:t>
      </w:r>
      <w:r w:rsidR="004D1333">
        <w:rPr>
          <w:rFonts w:ascii="Calibri" w:hAnsi="Calibri" w:cs="Calibri"/>
          <w:sz w:val="24"/>
          <w:szCs w:val="24"/>
        </w:rPr>
        <w:t>Nid yw’r Efengylau yn dangos llawer o ddiddordeb gyda'r Phariseaid, ac eithrio fel sail gyfleus ar gyfer achosion polemig neu naratif. Defnyddiant yr Efengylau at eu dibenion eu hunain megis ymrwymiad y Phariseaid i gadw at y deddfau purdeb y tu allan i'r Deml. Felly, does dim llawer gyda’r Efengylau amdano'r Phariseaid sy'n dangos ein bod yn dangos y dylid eu trin gydag amheuaeth cyn belled â'u dibynadwyedd hanesyddol. Mae'r traddodiad Rabiniaid yn dangos y mwyaf cymhleth ynghylch y Phariseaid. Mae'r deunyddiau cyfreithiol a ysgrifennwyd ar ôl 70 OC, i gyd yn cael eu hail-weithio yn y ffurflenni a ddefnyddir ar ôl hynny. Mae hanes rhyfeddol y Phariseaid yn berthnasol i'r argyfwng ysbrydol yn dilyn y Rhyfel Bar Kokba</w:t>
      </w:r>
      <w:r w:rsidR="00241107" w:rsidRPr="00241107">
        <w:rPr>
          <w:sz w:val="24"/>
          <w:shd w:val="clear" w:color="auto" w:fill="FFFFFF"/>
        </w:rPr>
        <w:t>.</w:t>
      </w:r>
      <w:r w:rsidR="00241107">
        <w:rPr>
          <w:rStyle w:val="FootnoteReference"/>
          <w:sz w:val="24"/>
          <w:shd w:val="clear" w:color="auto" w:fill="FFFFFF"/>
        </w:rPr>
        <w:footnoteReference w:id="3"/>
      </w:r>
      <w:r w:rsidR="009D643A">
        <w:rPr>
          <w:sz w:val="24"/>
          <w:shd w:val="clear" w:color="auto" w:fill="FFFFFF"/>
        </w:rPr>
        <w:t xml:space="preserve"> Felly gyda’r ffynonellau i gyd dylai eu trin </w:t>
      </w:r>
      <w:r w:rsidR="009D643A">
        <w:rPr>
          <w:rFonts w:cstheme="minorHAnsi"/>
          <w:sz w:val="24"/>
          <w:shd w:val="clear" w:color="auto" w:fill="FFFFFF"/>
        </w:rPr>
        <w:t>â</w:t>
      </w:r>
      <w:r w:rsidR="009D643A">
        <w:rPr>
          <w:sz w:val="24"/>
          <w:shd w:val="clear" w:color="auto" w:fill="FFFFFF"/>
        </w:rPr>
        <w:t xml:space="preserve"> amheuaeth. </w:t>
      </w:r>
    </w:p>
    <w:p w14:paraId="6183E680" w14:textId="5C7E3DA0" w:rsidR="00925491" w:rsidRDefault="00841587" w:rsidP="00925491">
      <w:pPr>
        <w:ind w:firstLine="720"/>
        <w:rPr>
          <w:color w:val="FF0000"/>
          <w:sz w:val="24"/>
          <w:shd w:val="clear" w:color="auto" w:fill="FFFFFF"/>
        </w:rPr>
      </w:pPr>
      <w:r>
        <w:rPr>
          <w:color w:val="FF0000"/>
          <w:sz w:val="24"/>
          <w:shd w:val="clear" w:color="auto" w:fill="FFFFFF"/>
        </w:rPr>
        <w:t xml:space="preserve"> </w:t>
      </w:r>
      <w:r w:rsidR="00773C27">
        <w:rPr>
          <w:sz w:val="24"/>
          <w:shd w:val="clear" w:color="auto" w:fill="FFFFFF"/>
        </w:rPr>
        <w:t xml:space="preserve">Phariseaid yn Hebraeg yw </w:t>
      </w:r>
      <w:r w:rsidR="00925491">
        <w:rPr>
          <w:i/>
          <w:sz w:val="24"/>
          <w:shd w:val="clear" w:color="auto" w:fill="FFFFFF"/>
        </w:rPr>
        <w:t xml:space="preserve">perushim </w:t>
      </w:r>
      <w:r w:rsidR="00925491">
        <w:rPr>
          <w:sz w:val="24"/>
          <w:shd w:val="clear" w:color="auto" w:fill="FFFFFF"/>
        </w:rPr>
        <w:t>sydd yn golygu “those who are seperated”.</w:t>
      </w:r>
      <w:r w:rsidR="00925491">
        <w:rPr>
          <w:rStyle w:val="FootnoteReference"/>
          <w:sz w:val="24"/>
          <w:shd w:val="clear" w:color="auto" w:fill="FFFFFF"/>
        </w:rPr>
        <w:footnoteReference w:id="4"/>
      </w:r>
      <w:r w:rsidR="009D643A">
        <w:rPr>
          <w:sz w:val="24"/>
          <w:shd w:val="clear" w:color="auto" w:fill="FFFFFF"/>
        </w:rPr>
        <w:t xml:space="preserve"> </w:t>
      </w:r>
      <w:r w:rsidR="004D1333">
        <w:rPr>
          <w:rFonts w:ascii="Calibri" w:hAnsi="Calibri" w:cs="Calibri"/>
          <w:sz w:val="24"/>
          <w:szCs w:val="24"/>
        </w:rPr>
        <w:t>Roedd yr enw yma yn gysylltiedig gyda’r Phariseaid oherwydd gwnaethant wahanu ei hun o'r lluoedd er mwyn sancteiddrwydd neu achos yr wrthwynebwyr oedd yn cyhuddo eu bod wedi gwahanu oddi wrth ddehongliad y Sadwceaid o ysgrythur</w:t>
      </w:r>
      <w:r w:rsidR="00925491">
        <w:rPr>
          <w:sz w:val="24"/>
          <w:shd w:val="clear" w:color="auto" w:fill="FFFFFF"/>
        </w:rPr>
        <w:t>.</w:t>
      </w:r>
      <w:r w:rsidR="00925491">
        <w:rPr>
          <w:rStyle w:val="FootnoteReference"/>
          <w:sz w:val="24"/>
          <w:shd w:val="clear" w:color="auto" w:fill="FFFFFF"/>
        </w:rPr>
        <w:footnoteReference w:id="5"/>
      </w:r>
      <w:r w:rsidR="00052ADF">
        <w:rPr>
          <w:sz w:val="24"/>
          <w:shd w:val="clear" w:color="auto" w:fill="FFFFFF"/>
        </w:rPr>
        <w:t xml:space="preserve"> </w:t>
      </w:r>
      <w:r w:rsidR="005C60B9">
        <w:rPr>
          <w:rFonts w:ascii="Calibri" w:hAnsi="Calibri" w:cs="Calibri"/>
          <w:sz w:val="24"/>
          <w:szCs w:val="24"/>
        </w:rPr>
        <w:t xml:space="preserve">Dywedwyd ei fod wedi gwahanu o “people of the land” y </w:t>
      </w:r>
      <w:r w:rsidR="005C60B9">
        <w:rPr>
          <w:rFonts w:ascii="Calibri" w:hAnsi="Calibri" w:cs="Calibri"/>
          <w:i/>
          <w:iCs/>
          <w:sz w:val="24"/>
          <w:szCs w:val="24"/>
        </w:rPr>
        <w:t>‘am ha’ares.</w:t>
      </w:r>
      <w:r w:rsidR="005C60B9">
        <w:rPr>
          <w:rFonts w:ascii="Calibri" w:hAnsi="Calibri" w:cs="Calibri"/>
          <w:sz w:val="24"/>
          <w:szCs w:val="24"/>
        </w:rPr>
        <w:t xml:space="preserve"> Roedd hwn yn dynodi'r anllythrennog a'r </w:t>
      </w:r>
      <w:r w:rsidR="005C60B9">
        <w:rPr>
          <w:rFonts w:ascii="Calibri" w:hAnsi="Calibri" w:cs="Calibri"/>
          <w:sz w:val="24"/>
          <w:szCs w:val="24"/>
        </w:rPr>
        <w:lastRenderedPageBreak/>
        <w:t>bobl oedd heb buro eu tir, y gwerinwyr; mae ei anllythrennedd yn rhwystro unrhyw ffyddlondeb ofalus i'r dyletswyddau crefyddol megis degymau dan sylw a glendid</w:t>
      </w:r>
      <w:r w:rsidR="00925491">
        <w:rPr>
          <w:sz w:val="24"/>
          <w:shd w:val="clear" w:color="auto" w:fill="FFFFFF"/>
        </w:rPr>
        <w:t>.</w:t>
      </w:r>
      <w:r w:rsidR="00925491">
        <w:rPr>
          <w:rStyle w:val="FootnoteReference"/>
          <w:sz w:val="24"/>
          <w:shd w:val="clear" w:color="auto" w:fill="FFFFFF"/>
        </w:rPr>
        <w:footnoteReference w:id="6"/>
      </w:r>
      <w:r w:rsidR="00925491">
        <w:rPr>
          <w:sz w:val="24"/>
          <w:shd w:val="clear" w:color="auto" w:fill="FFFFFF"/>
        </w:rPr>
        <w:t xml:space="preserve"> N</w:t>
      </w:r>
      <w:r w:rsidR="00925491" w:rsidRPr="007C1235">
        <w:rPr>
          <w:sz w:val="24"/>
          <w:shd w:val="clear" w:color="auto" w:fill="FFFFFF"/>
        </w:rPr>
        <w:t>id oeddent yn weithredwyr gwleidyddol; yn hytrach, cefnogant y cyflwyniad i ewyllys Duw.</w:t>
      </w:r>
      <w:r w:rsidR="00773C27">
        <w:rPr>
          <w:sz w:val="24"/>
          <w:shd w:val="clear" w:color="auto" w:fill="FFFFFF"/>
        </w:rPr>
        <w:t xml:space="preserve"> </w:t>
      </w:r>
    </w:p>
    <w:p w14:paraId="1C2EA600" w14:textId="214E8641" w:rsidR="00F54928" w:rsidRDefault="005C60B9" w:rsidP="00864216">
      <w:pPr>
        <w:ind w:firstLine="720"/>
        <w:rPr>
          <w:sz w:val="24"/>
          <w:shd w:val="clear" w:color="auto" w:fill="FFFFFF"/>
        </w:rPr>
      </w:pPr>
      <w:r>
        <w:rPr>
          <w:rFonts w:ascii="Calibri" w:hAnsi="Calibri" w:cs="Calibri"/>
          <w:sz w:val="24"/>
          <w:szCs w:val="24"/>
        </w:rPr>
        <w:t>Mae gwreiddiau’r Phariseaid yn aneglur, efallai y byddai hynafiaeth ysbrydol yn deillio o gyfnod y cyfnod Adfer, pan ddaeth y gyfraith yn flaenllaw i Iddewiaeth o dan arweiniad Esra. Daethon nhw i’r amlwg ar ôl y cyfnod Hasmonean, ac mae'n debyg ei fod wedi esblygu o’r Hasideaid neu Hasidim, ac arsylwodd ddefod Iddewig a'r Torah</w:t>
      </w:r>
      <w:r w:rsidR="00D911ED" w:rsidRPr="00D911ED">
        <w:rPr>
          <w:sz w:val="24"/>
          <w:shd w:val="clear" w:color="auto" w:fill="FFFFFF"/>
        </w:rPr>
        <w:t>.</w:t>
      </w:r>
      <w:r w:rsidR="002012A4">
        <w:rPr>
          <w:rStyle w:val="FootnoteReference"/>
          <w:sz w:val="24"/>
          <w:shd w:val="clear" w:color="auto" w:fill="FFFFFF"/>
        </w:rPr>
        <w:footnoteReference w:id="7"/>
      </w:r>
      <w:r w:rsidR="00D911ED">
        <w:rPr>
          <w:sz w:val="24"/>
          <w:shd w:val="clear" w:color="auto" w:fill="FFFFFF"/>
        </w:rPr>
        <w:t xml:space="preserve"> </w:t>
      </w:r>
      <w:r>
        <w:rPr>
          <w:rFonts w:ascii="Calibri" w:hAnsi="Calibri" w:cs="Calibri"/>
          <w:sz w:val="24"/>
          <w:szCs w:val="24"/>
        </w:rPr>
        <w:t>Roeddent yn aelodau o gabinet mewnol y brenin, y Sanhedrin, sef dyfarniad goruchaf yr Iddewon, sy'n dangos yn ystod yr amser hwn roedden nhw yn party wleidyddol a chrefyddol. Yn barod roedd gwahaniaethau yn codi rhwng y Phariseaid sef dosbarth canol y gymdeithas ac y Sadwceaid aristocrataidd ynghylch y Torah llafar, a byddwn yn drafod yn nes ymlaen. Hefyd yn cyfodoli roedd eu syniadau diwinyddol, ac mae’r Gwyddoniadur Judica yn awgrymu bod rhoi gobaith i'r lluoedd gormesol yn dylanwadu ar fywyd cyfan yr Iddewon</w:t>
      </w:r>
      <w:r w:rsidR="00BC506B">
        <w:rPr>
          <w:sz w:val="24"/>
          <w:shd w:val="clear" w:color="auto" w:fill="FFFFFF"/>
        </w:rPr>
        <w:t>.</w:t>
      </w:r>
      <w:r w:rsidR="00773C27">
        <w:rPr>
          <w:rStyle w:val="FootnoteReference"/>
          <w:sz w:val="24"/>
          <w:shd w:val="clear" w:color="auto" w:fill="FFFFFF"/>
        </w:rPr>
        <w:footnoteReference w:id="8"/>
      </w:r>
      <w:r w:rsidR="00BC506B">
        <w:rPr>
          <w:sz w:val="24"/>
          <w:shd w:val="clear" w:color="auto" w:fill="FFFFFF"/>
        </w:rPr>
        <w:t xml:space="preserve"> </w:t>
      </w:r>
      <w:r>
        <w:rPr>
          <w:rFonts w:ascii="Calibri" w:hAnsi="Calibri" w:cs="Calibri"/>
          <w:sz w:val="24"/>
          <w:szCs w:val="24"/>
        </w:rPr>
        <w:t>Gwnaeth John Hyrcanus siarad allan yn erbyn y Phariseaid ac o blaid y Sadwceaid a chanlyniad o hwnna yw cafodd eu gorfodi allan o'r llywodraeth. O hynny ymlaen nes teyrnasiad Salome Alexandra roeddent yn aros yn wrthblaid filwrol, a gafodd eu heithrio, eu herlid a'u croeshoelio am eu hymosodiad. Ar un adeg, gofynnodd y Brenin Demetrius VI Syr i ymosod ar Jerwsalem. Pan fu farw ei mab, gwnaeth Jannaeus ei hun annog ei wraig Salome Alexander i roi pŵer yn ôl i’r Phariseaid er mwyn adennill cefnogaeth y bobl. Nad oeddent wedi dal pŵer gwleidyddol fel yr oeddent yn ystod y cyfnod hwn. Gyda dyfodiad y Rhufeiniaid a Herod, gwnaethant aros yn bennaf fel parti crefyddol</w:t>
      </w:r>
      <w:r w:rsidR="00BE1D8C" w:rsidRPr="00BE1D8C">
        <w:rPr>
          <w:sz w:val="24"/>
          <w:shd w:val="clear" w:color="auto" w:fill="FFFFFF"/>
        </w:rPr>
        <w:t>.</w:t>
      </w:r>
      <w:r w:rsidR="00664D93">
        <w:rPr>
          <w:rStyle w:val="FootnoteReference"/>
          <w:sz w:val="24"/>
          <w:shd w:val="clear" w:color="auto" w:fill="FFFFFF"/>
        </w:rPr>
        <w:footnoteReference w:id="9"/>
      </w:r>
    </w:p>
    <w:p w14:paraId="44A31E40" w14:textId="50E9770A" w:rsidR="00BE1D8C" w:rsidRDefault="005C60B9" w:rsidP="00864216">
      <w:pPr>
        <w:ind w:firstLine="720"/>
        <w:rPr>
          <w:sz w:val="24"/>
          <w:szCs w:val="24"/>
          <w:shd w:val="clear" w:color="auto" w:fill="FFFFFF"/>
        </w:rPr>
      </w:pPr>
      <w:r>
        <w:rPr>
          <w:rFonts w:ascii="Calibri" w:hAnsi="Calibri" w:cs="Calibri"/>
          <w:sz w:val="24"/>
          <w:szCs w:val="24"/>
        </w:rPr>
        <w:t xml:space="preserve">Erbyn heddiw, mae Cristnogion yn dreisgar tuag at y Phariseaid. Mae’r protestwyr yn pwysleisio cyfreithlondeb y Phariseaid, a ffordd arall o ymosod ar yr hyn maen nhw yn ei gredu i fod yn gyfreithlondeb y cytundeb Catholig. Mae Catholigion yn llunio barnau o fewn yr Efengylau sy'n portreadu'r Phariseaid fel rhagrithwyr. Gwelwn hyn </w:t>
      </w:r>
      <w:r w:rsidR="00446102">
        <w:rPr>
          <w:sz w:val="24"/>
          <w:shd w:val="clear" w:color="auto" w:fill="FFFFFF"/>
        </w:rPr>
        <w:t xml:space="preserve">yn </w:t>
      </w:r>
      <w:r w:rsidR="00BE1D8C" w:rsidRPr="00E354F3">
        <w:rPr>
          <w:sz w:val="24"/>
          <w:shd w:val="clear" w:color="auto" w:fill="FFFFFF"/>
        </w:rPr>
        <w:t>Mathew</w:t>
      </w:r>
      <w:r w:rsidR="00BE1D8C">
        <w:rPr>
          <w:sz w:val="24"/>
          <w:shd w:val="clear" w:color="auto" w:fill="FFFFFF"/>
        </w:rPr>
        <w:t xml:space="preserve"> 23:23</w:t>
      </w:r>
      <w:r w:rsidR="00BE1D8C" w:rsidRPr="00E354F3">
        <w:rPr>
          <w:sz w:val="24"/>
          <w:shd w:val="clear" w:color="auto" w:fill="FFFFFF"/>
        </w:rPr>
        <w:t xml:space="preserve"> </w:t>
      </w:r>
      <w:r w:rsidR="009B6518">
        <w:rPr>
          <w:sz w:val="24"/>
          <w:szCs w:val="23"/>
          <w:shd w:val="clear" w:color="auto" w:fill="FFFFFF"/>
        </w:rPr>
        <w:t>“Gwae chwi, ysgrifenyddion a Phariseaid, ragrithwyr, oherwydd yr ydych yn talu degwm o fintys ac anis a chwmin, ond gadawsoch heibio bethau trymach y Gyfraith...</w:t>
      </w:r>
      <w:r w:rsidR="00BE1D8C">
        <w:rPr>
          <w:sz w:val="24"/>
          <w:szCs w:val="23"/>
          <w:shd w:val="clear" w:color="auto" w:fill="FFFFFF"/>
        </w:rPr>
        <w:t>”</w:t>
      </w:r>
      <w:r w:rsidR="00AB6B87">
        <w:rPr>
          <w:sz w:val="24"/>
          <w:szCs w:val="23"/>
          <w:shd w:val="clear" w:color="auto" w:fill="FFFFFF"/>
        </w:rPr>
        <w:t>.</w:t>
      </w:r>
      <w:r w:rsidR="00AB6B87">
        <w:rPr>
          <w:rStyle w:val="FootnoteReference"/>
          <w:sz w:val="24"/>
          <w:szCs w:val="23"/>
          <w:shd w:val="clear" w:color="auto" w:fill="FFFFFF"/>
        </w:rPr>
        <w:footnoteReference w:id="10"/>
      </w:r>
      <w:r w:rsidR="00BE1D8C" w:rsidRPr="00EB2EA8">
        <w:rPr>
          <w:color w:val="FF0000"/>
          <w:sz w:val="24"/>
          <w:szCs w:val="23"/>
          <w:shd w:val="clear" w:color="auto" w:fill="FFFFFF"/>
        </w:rPr>
        <w:t xml:space="preserve"> </w:t>
      </w:r>
      <w:r>
        <w:rPr>
          <w:rFonts w:ascii="Calibri" w:hAnsi="Calibri" w:cs="Calibri"/>
          <w:sz w:val="24"/>
          <w:szCs w:val="24"/>
        </w:rPr>
        <w:t xml:space="preserve">Felly ddangosodd Iesu elyniaeth drugarog tuag at y Phariseaid. Pam gwnaeth Iesu dangos gelyniaeth drugarog tuag y Phariseaid? Mai dau reswm am ei agwedd: (1) trwy gymryd y farn bod unrhyw addysgu a briodolir i Iesu yn yr Efengylau yn ddilys yn yr ystyr ei fod yn cael ei roi ganddo, neu (2) gan dybio bod y geiriau yn cael eu rhoi ar wefusau Iesu gan fod yr Efengylau yn ysgrifennu yn ystod degawdau olaf y ganrif gyntaf. Yn ôl yr Efengylau </w:t>
      </w:r>
      <w:r w:rsidR="00BE1D8C">
        <w:rPr>
          <w:sz w:val="24"/>
          <w:szCs w:val="23"/>
          <w:shd w:val="clear" w:color="auto" w:fill="FFFFFF"/>
        </w:rPr>
        <w:lastRenderedPageBreak/>
        <w:t>“Pharisaism is a bad sy</w:t>
      </w:r>
      <w:r w:rsidR="00AB6B87">
        <w:rPr>
          <w:sz w:val="24"/>
          <w:szCs w:val="23"/>
          <w:shd w:val="clear" w:color="auto" w:fill="FFFFFF"/>
        </w:rPr>
        <w:t>stem that produces bad people”.</w:t>
      </w:r>
      <w:r w:rsidR="00AB6B87">
        <w:rPr>
          <w:rStyle w:val="FootnoteReference"/>
          <w:sz w:val="24"/>
          <w:szCs w:val="23"/>
          <w:shd w:val="clear" w:color="auto" w:fill="FFFFFF"/>
        </w:rPr>
        <w:footnoteReference w:id="11"/>
      </w:r>
      <w:r w:rsidR="00BE1D8C">
        <w:rPr>
          <w:sz w:val="24"/>
          <w:szCs w:val="24"/>
          <w:shd w:val="clear" w:color="auto" w:fill="FFFFFF"/>
        </w:rPr>
        <w:t xml:space="preserve"> </w:t>
      </w:r>
      <w:r>
        <w:rPr>
          <w:rFonts w:ascii="Calibri" w:hAnsi="Calibri" w:cs="Calibri"/>
          <w:sz w:val="24"/>
          <w:szCs w:val="24"/>
        </w:rPr>
        <w:t xml:space="preserve">Mae'r rhai sy'n derbyn yr un cyntaf yn mynnu ar 'wir' unrhyw ddatganiad a roddir i Iesu. Maen nhw'n honni beth bynnag y dywedai ei fod yn werthfawr i'w ddilynwyr ac mae'n normadol ar gyfer cred Gristnogol. Maen nhw'n honni eu bod yn haeddu triniaeth o'r fath. </w:t>
      </w:r>
      <w:r w:rsidR="00BE1D8C">
        <w:rPr>
          <w:sz w:val="24"/>
          <w:szCs w:val="24"/>
          <w:shd w:val="clear" w:color="auto" w:fill="FFFFFF"/>
        </w:rPr>
        <w:t>Yn ôl Lukyn Williams “If Jesus, who had the Incarnation of God, and therefore the personification of perfect knowledge and truth, thus depicts the Pharisees, thus they must have been and not otherwise; no more is to be said”.</w:t>
      </w:r>
      <w:r w:rsidR="00BE1D8C">
        <w:rPr>
          <w:rStyle w:val="FootnoteReference"/>
          <w:sz w:val="24"/>
          <w:szCs w:val="24"/>
          <w:shd w:val="clear" w:color="auto" w:fill="FFFFFF"/>
        </w:rPr>
        <w:footnoteReference w:id="12"/>
      </w:r>
      <w:r w:rsidR="00BE1D8C">
        <w:rPr>
          <w:sz w:val="24"/>
          <w:szCs w:val="24"/>
          <w:shd w:val="clear" w:color="auto" w:fill="FFFFFF"/>
        </w:rPr>
        <w:t xml:space="preserve"> </w:t>
      </w:r>
    </w:p>
    <w:p w14:paraId="40CC4555" w14:textId="2C7E72F7" w:rsidR="003E60F8" w:rsidRPr="00AB6B87" w:rsidRDefault="005C60B9" w:rsidP="00864216">
      <w:pPr>
        <w:ind w:firstLine="720"/>
        <w:rPr>
          <w:sz w:val="24"/>
          <w:shd w:val="clear" w:color="auto" w:fill="FFFFFF"/>
        </w:rPr>
      </w:pPr>
      <w:r>
        <w:rPr>
          <w:rFonts w:ascii="Calibri" w:hAnsi="Calibri" w:cs="Calibri"/>
          <w:sz w:val="24"/>
          <w:szCs w:val="24"/>
        </w:rPr>
        <w:t>Mae’r Phariseaid yn arwyddocaol am ddau</w:t>
      </w:r>
      <w:r w:rsidR="005040BD">
        <w:rPr>
          <w:rFonts w:ascii="Calibri" w:hAnsi="Calibri" w:cs="Calibri"/>
          <w:sz w:val="24"/>
          <w:szCs w:val="24"/>
        </w:rPr>
        <w:t xml:space="preserve"> </w:t>
      </w:r>
      <w:r w:rsidR="00864216">
        <w:rPr>
          <w:rFonts w:ascii="Calibri" w:hAnsi="Calibri" w:cs="Calibri"/>
          <w:sz w:val="24"/>
          <w:szCs w:val="24"/>
        </w:rPr>
        <w:t>reswm. M</w:t>
      </w:r>
      <w:r>
        <w:rPr>
          <w:rFonts w:ascii="Calibri" w:hAnsi="Calibri" w:cs="Calibri"/>
          <w:sz w:val="24"/>
          <w:szCs w:val="24"/>
        </w:rPr>
        <w:t xml:space="preserve">ae’r Efengylau yn portreadu'r Phariseaid fel un o'r prif grwpiau gwrth pleidiol i Iesu. Yr ail reswm yw achos mae rhai o arferion Iddewiaeth yn teithio nôl i’r Phariseaid </w:t>
      </w:r>
      <w:r w:rsidR="007C1235">
        <w:rPr>
          <w:sz w:val="24"/>
          <w:shd w:val="clear" w:color="auto" w:fill="FFFFFF"/>
        </w:rPr>
        <w:t>ac y</w:t>
      </w:r>
      <w:r w:rsidR="007727C8">
        <w:rPr>
          <w:sz w:val="24"/>
          <w:shd w:val="clear" w:color="auto" w:fill="FFFFFF"/>
        </w:rPr>
        <w:t>n ôl R. L. Rubenstein “All contemporary branches of Judaism – Reform, Conservative and Orthodox – are the spiritual heirs of the tradition of the Pharisees”.</w:t>
      </w:r>
      <w:r w:rsidR="00F54928">
        <w:rPr>
          <w:rStyle w:val="FootnoteReference"/>
          <w:sz w:val="24"/>
          <w:shd w:val="clear" w:color="auto" w:fill="FFFFFF"/>
        </w:rPr>
        <w:footnoteReference w:id="13"/>
      </w:r>
      <w:r w:rsidR="00F54928">
        <w:rPr>
          <w:sz w:val="24"/>
          <w:shd w:val="clear" w:color="auto" w:fill="FFFFFF"/>
        </w:rPr>
        <w:t xml:space="preserve"> </w:t>
      </w:r>
      <w:r>
        <w:rPr>
          <w:rFonts w:ascii="Calibri" w:hAnsi="Calibri" w:cs="Calibri"/>
          <w:sz w:val="24"/>
          <w:szCs w:val="24"/>
        </w:rPr>
        <w:t xml:space="preserve">Felly gallwn gytuno â Kohler trwy ddweud bod </w:t>
      </w:r>
      <w:r w:rsidR="00F54928">
        <w:rPr>
          <w:sz w:val="24"/>
          <w:shd w:val="clear" w:color="auto" w:fill="FFFFFF"/>
        </w:rPr>
        <w:t xml:space="preserve">“Pharisaism shaped the character of Judaism and the life </w:t>
      </w:r>
      <w:r w:rsidR="00CE3DC6">
        <w:rPr>
          <w:sz w:val="24"/>
          <w:shd w:val="clear" w:color="auto" w:fill="FFFFFF"/>
        </w:rPr>
        <w:t>and thought of the Jew for all the future”.</w:t>
      </w:r>
      <w:r w:rsidR="00CE3DC6">
        <w:rPr>
          <w:rStyle w:val="FootnoteReference"/>
          <w:sz w:val="24"/>
          <w:shd w:val="clear" w:color="auto" w:fill="FFFFFF"/>
        </w:rPr>
        <w:footnoteReference w:id="14"/>
      </w:r>
      <w:r w:rsidR="00CE3DC6">
        <w:rPr>
          <w:sz w:val="24"/>
          <w:shd w:val="clear" w:color="auto" w:fill="FFFFFF"/>
        </w:rPr>
        <w:t xml:space="preserve"> </w:t>
      </w:r>
      <w:r>
        <w:rPr>
          <w:rFonts w:ascii="Calibri" w:hAnsi="Calibri" w:cs="Calibri"/>
          <w:sz w:val="24"/>
          <w:szCs w:val="24"/>
        </w:rPr>
        <w:t>Mae rhaid i ni wybod fel mae nodweddion canolog Iddewiaeth yn teithio nôl i’r Phariseaid. Mae’r Mishnah sef casgliad awdurdodol o ddeunydd gweithredol yn cynnwys traddodiad llafar y gyfraith Iddewig sef y Phariseaid sydd yn ffurfio rhan gyntaf y Talmud. Felly gan fod y Phariseaid yn cael eu gweld o fewn y Mishnah, ac mae’r Mishnah dal yn cael ei ddefnyddio heddiw, mae'n dangos ei arwyddocâd i Iddewiaeth heddiw. Gwelwn hwn o fewn Gamaliel a'i mab Simeon. Ystyriwyd y Mishnah tad Gamaliel, sef y Rabbi Hillel fel un o'r prif awdurdodau ar gyfer traddodiadau'r Mishnah. Yn fuan ar ôl y cyfnod hwnnw, roedd dysgeidiaeth y Mishnah yn perthyn i'r Phariseaid yn ystod amser Iesu. Y prif ffigwr ar ôl 70 OC roedd Yohanan ben Zakai sef disgybl Hillel sydd yn ei gynrychioli fel y meistr, y doethwr a’r Rabbi a oedd wedi arwain Israel y tu hwnt i’r diwedd. Aethant i dref o’r enw Yavneh lle yr ymgynullodd grŵp o ddoethwyr Phariseaidd er mwyn parhau’r broses o ysgolheictod crefyddol a oedd yn bodoli yn ystod dyddiau’r deml. Dywedodd ben Zakai dylai Iddewon ymroi eu hunain i astudio’r Torah. Gallwn ddweud mai’r Phariseaid yn arwyddocaol gan fod yr Iddewon yn canmol y Phariseaid fel ffynhonnell doethineb a dysgu achos fel dywedwn yn gynharach mae olrhain eu traddodiadau crefyddol yn teithio nôl i’r Phariseaid, a gallwn ddadlau gwnaeth ben Zakai helpu sicrhau bod y Torah dal yn rhan hanfodol o fywyd Iddewon, ac felly dal yn cael ei ddefnyddio heddiw</w:t>
      </w:r>
      <w:r w:rsidR="00913679">
        <w:rPr>
          <w:sz w:val="24"/>
          <w:shd w:val="clear" w:color="auto" w:fill="FFFFFF"/>
        </w:rPr>
        <w:t>.</w:t>
      </w:r>
      <w:r w:rsidR="00AB6B87">
        <w:rPr>
          <w:rStyle w:val="FootnoteReference"/>
          <w:sz w:val="24"/>
          <w:shd w:val="clear" w:color="auto" w:fill="FFFFFF"/>
        </w:rPr>
        <w:footnoteReference w:id="15"/>
      </w:r>
    </w:p>
    <w:p w14:paraId="778C9DAD" w14:textId="5BFD9072" w:rsidR="00BE1D8C" w:rsidRPr="005C60B9" w:rsidRDefault="005C60B9" w:rsidP="00864216">
      <w:pPr>
        <w:autoSpaceDE w:val="0"/>
        <w:autoSpaceDN w:val="0"/>
        <w:adjustRightInd w:val="0"/>
        <w:ind w:firstLine="720"/>
        <w:rPr>
          <w:rFonts w:ascii="Calibri" w:hAnsi="Calibri" w:cs="Calibri"/>
          <w:color w:val="FF0000"/>
          <w:sz w:val="24"/>
          <w:szCs w:val="24"/>
        </w:rPr>
      </w:pPr>
      <w:r>
        <w:rPr>
          <w:rFonts w:ascii="Calibri" w:hAnsi="Calibri" w:cs="Calibri"/>
          <w:sz w:val="24"/>
          <w:szCs w:val="24"/>
        </w:rPr>
        <w:t xml:space="preserve">Wrth ddisgrifio credoau ac ymarferion y Phariseaid, mae rhaid edrych ar y ffynonellau nodwyd yn gynharach. Er mwyn cael disgrifiadau amdano'r Phariseaid mae rhaid iddynt edrych o fewn llenyddiaeth y Rabiniaid. Y rheswm dros hwn yw achos dydy’r Testament Newydd neu’r ffynhonnell Josephus ddim yn cynnwys llawer o wybodaeth </w:t>
      </w:r>
      <w:r>
        <w:rPr>
          <w:rFonts w:ascii="Calibri" w:hAnsi="Calibri" w:cs="Calibri"/>
          <w:sz w:val="24"/>
          <w:szCs w:val="24"/>
        </w:rPr>
        <w:lastRenderedPageBreak/>
        <w:t>amdanynt sydd yn ddiddorol gan fod Josephus wedi ysgrifennu llawer amdano Eseniaid, ond nid ar y Sadwceaid neu'r Phariseaid</w:t>
      </w:r>
      <w:r w:rsidR="008D660A">
        <w:rPr>
          <w:sz w:val="24"/>
        </w:rPr>
        <w:t>.</w:t>
      </w:r>
      <w:r w:rsidR="00B5135F">
        <w:rPr>
          <w:rStyle w:val="FootnoteReference"/>
          <w:sz w:val="24"/>
        </w:rPr>
        <w:footnoteReference w:id="16"/>
      </w:r>
      <w:r w:rsidR="008D660A">
        <w:rPr>
          <w:sz w:val="24"/>
        </w:rPr>
        <w:t xml:space="preserve"> </w:t>
      </w:r>
      <w:r>
        <w:rPr>
          <w:rFonts w:ascii="Calibri" w:hAnsi="Calibri" w:cs="Calibri"/>
          <w:sz w:val="24"/>
          <w:szCs w:val="24"/>
        </w:rPr>
        <w:t>Mae llenyddiaeth Rabiniaid yn ailadrodd safbwyntiau'r Phariseaid, ac yn ystod 70 OC gwnaeth Phariseaeth dominyddu Iddewiaeth, felly achos hyn maent yn dangos arwyddocâd y Phariseaid i Iddewiaeth. Mae ychydig o wahaniaethau rhwng Phariseaeth cyn 70 OC, Rabiniaid ar ôl 70 OC, ac Iddewon yn eu cyfanrwydd. Mae gwaith ysgolhaig Jacob Neusner wedi dod yn ddylanwadol, achos mae nifer o ysgolheigion wedi sylweddoli mae llenyddiaeth Rabiniaid gallu cael eu defnyddio fel tystiolaeth i weld beth roedd Iddewiaeth fel cyn 70 CC.</w:t>
      </w:r>
      <w:r w:rsidR="00B5135F">
        <w:rPr>
          <w:rStyle w:val="FootnoteReference"/>
          <w:sz w:val="24"/>
        </w:rPr>
        <w:footnoteReference w:id="17"/>
      </w:r>
      <w:r w:rsidR="00AF2C7A">
        <w:rPr>
          <w:sz w:val="24"/>
        </w:rPr>
        <w:t xml:space="preserve"> </w:t>
      </w:r>
      <w:r>
        <w:rPr>
          <w:rFonts w:ascii="Calibri" w:hAnsi="Calibri" w:cs="Calibri"/>
          <w:sz w:val="24"/>
          <w:szCs w:val="24"/>
        </w:rPr>
        <w:t>Mae cysylltiadau rhwng y Phariseaid a’r Rabiniaid megis y pwyslais ar draddodiadau sydd ddim yn Feiblaidd. Mae’n hefyd yn bwysig i wybod roedd Rabiniaid diwedd y ganrif gyntaf ac yr ail ganrif yn ystyried eu hun fel etifeddion y Phariseaid. Er hyn, os roedd gennym ddisgrifiad o Apostol Paul ag oedd yn Pharisead amdano’r Phariseaid, byddaf hwn yn hynod o ddefnyddiol achos wedyn ni, byddwn yn gwybod beth roedd yn cyfri fel Phariseaeth yn ystod cyfnod y Diaspora. Gwelwn o fewn Galatiaid 1:14</w:t>
      </w:r>
      <w:r>
        <w:rPr>
          <w:rFonts w:ascii="Calibri" w:hAnsi="Calibri" w:cs="Calibri"/>
          <w:color w:val="FF0000"/>
          <w:sz w:val="24"/>
          <w:szCs w:val="24"/>
        </w:rPr>
        <w:t xml:space="preserve"> </w:t>
      </w:r>
      <w:r>
        <w:rPr>
          <w:rFonts w:ascii="Calibri" w:hAnsi="Calibri" w:cs="Calibri"/>
          <w:sz w:val="24"/>
          <w:szCs w:val="24"/>
        </w:rPr>
        <w:t>“ac imi gael y blaen, fel crefyddwr Iddewig, ar gyfoedion lawer yn fy nghenedl, gan gymaint fy sêl dros draddodiadau fy nhadau”. Felly mae’r gosodiad yn dangos bod yr unig wybodaeth gadarnhaol sydd gennym amdano Phariseaeth yw bod y Phariseaid yn syfrdanol am y gyfraith, ac mae hwn yn cyd-daro yn berffaith gyda gwaith Josephus</w:t>
      </w:r>
      <w:r w:rsidR="00B5135F">
        <w:rPr>
          <w:sz w:val="24"/>
        </w:rPr>
        <w:t>.</w:t>
      </w:r>
      <w:r w:rsidR="00B5135F">
        <w:rPr>
          <w:rStyle w:val="FootnoteReference"/>
          <w:sz w:val="24"/>
        </w:rPr>
        <w:footnoteReference w:id="18"/>
      </w:r>
      <w:r w:rsidR="00B5135F">
        <w:rPr>
          <w:sz w:val="24"/>
        </w:rPr>
        <w:t xml:space="preserve"> </w:t>
      </w:r>
    </w:p>
    <w:p w14:paraId="0C83A6FF" w14:textId="327B12C2" w:rsidR="00511E1A" w:rsidRPr="0021111F" w:rsidRDefault="004C1E1A" w:rsidP="00864216">
      <w:pPr>
        <w:ind w:firstLine="720"/>
        <w:rPr>
          <w:sz w:val="24"/>
          <w:shd w:val="clear" w:color="auto" w:fill="FFFFFF"/>
        </w:rPr>
      </w:pPr>
      <w:r>
        <w:rPr>
          <w:sz w:val="24"/>
          <w:shd w:val="clear" w:color="auto" w:fill="FFFFFF"/>
        </w:rPr>
        <w:t>Mewn cyferbyniad â'r Sadwceaid</w:t>
      </w:r>
      <w:r w:rsidRPr="003F14BB">
        <w:rPr>
          <w:sz w:val="24"/>
          <w:shd w:val="clear" w:color="auto" w:fill="FFFFFF"/>
        </w:rPr>
        <w:t xml:space="preserve"> a oedd yn ymwneud â diwylliant y Deml, canolbwyntiodd y Pha</w:t>
      </w:r>
      <w:r w:rsidR="003C1DEA">
        <w:rPr>
          <w:sz w:val="24"/>
          <w:shd w:val="clear" w:color="auto" w:fill="FFFFFF"/>
        </w:rPr>
        <w:t>riseaid eu gweithgareddau ar y S</w:t>
      </w:r>
      <w:r w:rsidRPr="003F14BB">
        <w:rPr>
          <w:sz w:val="24"/>
          <w:shd w:val="clear" w:color="auto" w:fill="FFFFFF"/>
        </w:rPr>
        <w:t>ynagog.</w:t>
      </w:r>
      <w:r w:rsidR="00A67C6B">
        <w:rPr>
          <w:sz w:val="24"/>
          <w:shd w:val="clear" w:color="auto" w:fill="FFFFFF"/>
        </w:rPr>
        <w:t xml:space="preserve"> Da</w:t>
      </w:r>
      <w:r>
        <w:rPr>
          <w:sz w:val="24"/>
          <w:shd w:val="clear" w:color="auto" w:fill="FFFFFF"/>
        </w:rPr>
        <w:t>eth yr ysgrythurau yma rhan hanfodol o bwysig o fewn bywyd Iddewig.</w:t>
      </w:r>
      <w:r>
        <w:rPr>
          <w:rStyle w:val="FootnoteReference"/>
          <w:sz w:val="24"/>
          <w:shd w:val="clear" w:color="auto" w:fill="FFFFFF"/>
        </w:rPr>
        <w:footnoteReference w:id="19"/>
      </w:r>
      <w:r w:rsidR="003C1DEA">
        <w:rPr>
          <w:sz w:val="24"/>
          <w:shd w:val="clear" w:color="auto" w:fill="FFFFFF"/>
        </w:rPr>
        <w:t xml:space="preserve"> </w:t>
      </w:r>
      <w:r w:rsidR="005C60B9">
        <w:rPr>
          <w:rFonts w:ascii="Calibri" w:hAnsi="Calibri" w:cs="Calibri"/>
          <w:sz w:val="24"/>
          <w:szCs w:val="24"/>
        </w:rPr>
        <w:t>Mai’r Synagog yn cael ei ystyried fel sefydliad Phariseaeth, felly gwnaethant godi yn statws. Gwnaethant roi'r Synagog yn ganolog ym mywyd crefyddol Iddewig, ac mae'n dal yn cael ei weld fel man addoli'r grefydd heddiw. Felly yn arwyddocaol achos, os nad symudodd y Phariseaid eu harferion i’r Synagog ni fydd Iddewiaeth wedi goroesi dinistriad y Deml. Dosbarth o athrawon crefyddol oedd y Phariseaid ag oedd yn astudio a thrafod y gyfraith.</w:t>
      </w:r>
      <w:r w:rsidR="005C60B9">
        <w:rPr>
          <w:rFonts w:ascii="Calibri" w:hAnsi="Calibri" w:cs="Calibri"/>
        </w:rPr>
        <w:t xml:space="preserve"> </w:t>
      </w:r>
      <w:r w:rsidR="005C60B9">
        <w:rPr>
          <w:rFonts w:ascii="Calibri" w:hAnsi="Calibri" w:cs="Calibri"/>
          <w:sz w:val="24"/>
          <w:szCs w:val="24"/>
        </w:rPr>
        <w:t>Roeddent am wneud y gyfraith Feiblaidd yn berthnasol i amgylchiadau cyfoes trwy gynnig amlygiad llafar o'r testun. Felly yn ganolog i gredoau'r Phariseaid mae’r Torah llafar achos credant roeddent yn bwysig i gadw’r gyfraith yn fyw ac yn berthnasol i’r bobl. Mae’r Torah llafar yn gweithio ochr yn ochr gydag awdurdod yr ysgrythurau crefydd ac yn cael ei ddefnyddio yn ystod bywyd pob dydd</w:t>
      </w:r>
      <w:r w:rsidR="003805FD">
        <w:rPr>
          <w:rStyle w:val="shorttext"/>
          <w:rFonts w:cstheme="minorHAnsi"/>
          <w:sz w:val="24"/>
          <w:szCs w:val="24"/>
        </w:rPr>
        <w:t>.</w:t>
      </w:r>
      <w:r w:rsidR="000D0744">
        <w:rPr>
          <w:rStyle w:val="FootnoteReference"/>
          <w:rFonts w:cstheme="minorHAnsi"/>
          <w:sz w:val="24"/>
          <w:szCs w:val="24"/>
        </w:rPr>
        <w:footnoteReference w:id="20"/>
      </w:r>
      <w:r w:rsidR="00925491">
        <w:rPr>
          <w:sz w:val="24"/>
          <w:shd w:val="clear" w:color="auto" w:fill="FFFFFF"/>
        </w:rPr>
        <w:t xml:space="preserve"> </w:t>
      </w:r>
      <w:r w:rsidR="00902644">
        <w:rPr>
          <w:rFonts w:ascii="Calibri" w:hAnsi="Calibri" w:cs="Calibri"/>
          <w:sz w:val="24"/>
          <w:szCs w:val="24"/>
        </w:rPr>
        <w:t xml:space="preserve">Er mwyn i hyn digwydd roedd rhaid iddynt ail-ddehongli’r Torah; dechreuodd hwn yn 30 OC. Roedd y Phariseaid yn credu roedd hyn yn gorchymyn o Dduw i Moses ar Fynydd Sinai, pan dderbyniodd y gorchmynion ysgrifenedig. Er enghraifft, y pedwerydd gorchymyn yw </w:t>
      </w:r>
      <w:r w:rsidR="00902644">
        <w:rPr>
          <w:rFonts w:ascii="Calibri" w:hAnsi="Calibri" w:cs="Calibri"/>
          <w:sz w:val="24"/>
          <w:szCs w:val="24"/>
        </w:rPr>
        <w:lastRenderedPageBreak/>
        <w:t>gwahardd unrhyw fath o waith ar y Sabath; gwnaeth y Phariseaid dyfeisio deg ar hugain o gategori ar lafar fel bod pawb yn glir beth oedd yn rhaid ei osgoi.</w:t>
      </w:r>
      <w:r w:rsidR="00150404">
        <w:rPr>
          <w:rStyle w:val="FootnoteReference"/>
          <w:sz w:val="24"/>
          <w:szCs w:val="24"/>
        </w:rPr>
        <w:footnoteReference w:id="21"/>
      </w:r>
      <w:r w:rsidR="00150404">
        <w:rPr>
          <w:sz w:val="24"/>
          <w:szCs w:val="24"/>
        </w:rPr>
        <w:t xml:space="preserve"> </w:t>
      </w:r>
    </w:p>
    <w:p w14:paraId="65050016" w14:textId="77777777" w:rsidR="00902644" w:rsidRDefault="00902644" w:rsidP="00864216">
      <w:pPr>
        <w:ind w:firstLine="720"/>
        <w:rPr>
          <w:rFonts w:ascii="Calibri" w:hAnsi="Calibri" w:cs="Calibri"/>
          <w:sz w:val="24"/>
          <w:szCs w:val="24"/>
        </w:rPr>
      </w:pPr>
      <w:r>
        <w:rPr>
          <w:rFonts w:ascii="Calibri" w:hAnsi="Calibri" w:cs="Calibri"/>
          <w:sz w:val="24"/>
          <w:szCs w:val="24"/>
        </w:rPr>
        <w:t>Yn ôl Josephus roedd y Phariseaid yn y dehonglwyr mwyaf cywir o'r gyfraith; felly mae hwn yn awgrymu eu bod yn ddigon dylanwadol eu bod yn gallu gosod dehongliadau eu hun.</w:t>
      </w:r>
      <w:r w:rsidR="00AB6B87">
        <w:rPr>
          <w:rStyle w:val="FootnoteReference"/>
          <w:rFonts w:eastAsia="Times New Roman" w:cstheme="minorHAnsi"/>
          <w:sz w:val="24"/>
          <w:szCs w:val="24"/>
          <w:lang w:eastAsia="en-GB"/>
        </w:rPr>
        <w:footnoteReference w:id="22"/>
      </w:r>
      <w:r w:rsidR="00254F02" w:rsidRPr="007C1235">
        <w:rPr>
          <w:sz w:val="24"/>
          <w:shd w:val="clear" w:color="auto" w:fill="FFFFFF"/>
        </w:rPr>
        <w:t xml:space="preserve"> </w:t>
      </w:r>
      <w:r w:rsidR="003F297F">
        <w:rPr>
          <w:sz w:val="24"/>
          <w:shd w:val="clear" w:color="auto" w:fill="FFFFFF"/>
        </w:rPr>
        <w:t xml:space="preserve">Dywedwyd </w:t>
      </w:r>
      <w:r w:rsidR="006034CC">
        <w:rPr>
          <w:sz w:val="24"/>
          <w:shd w:val="clear" w:color="auto" w:fill="FFFFFF"/>
        </w:rPr>
        <w:t>Josephus, roedd y Phariseaid</w:t>
      </w:r>
      <w:r w:rsidR="003F297F">
        <w:rPr>
          <w:sz w:val="24"/>
          <w:shd w:val="clear" w:color="auto" w:fill="FFFFFF"/>
        </w:rPr>
        <w:t xml:space="preserve"> yn </w:t>
      </w:r>
      <w:r w:rsidR="003F297F">
        <w:rPr>
          <w:i/>
          <w:sz w:val="24"/>
          <w:shd w:val="clear" w:color="auto" w:fill="FFFFFF"/>
        </w:rPr>
        <w:t xml:space="preserve">akribeia </w:t>
      </w:r>
      <w:r w:rsidR="003F297F">
        <w:rPr>
          <w:sz w:val="24"/>
          <w:shd w:val="clear" w:color="auto" w:fill="FFFFFF"/>
        </w:rPr>
        <w:t xml:space="preserve">sydd yn golygu naill ai yn </w:t>
      </w:r>
      <w:r w:rsidR="006034CC">
        <w:rPr>
          <w:sz w:val="24"/>
          <w:shd w:val="clear" w:color="auto" w:fill="FFFFFF"/>
        </w:rPr>
        <w:t>‘gaeth’ neu yn ‘</w:t>
      </w:r>
      <w:r w:rsidR="00B5135F">
        <w:rPr>
          <w:sz w:val="24"/>
          <w:shd w:val="clear" w:color="auto" w:fill="FFFFFF"/>
        </w:rPr>
        <w:t>fanylder</w:t>
      </w:r>
      <w:r w:rsidR="00A67C6B">
        <w:rPr>
          <w:sz w:val="24"/>
          <w:shd w:val="clear" w:color="auto" w:fill="FFFFFF"/>
        </w:rPr>
        <w:t xml:space="preserve">’ </w:t>
      </w:r>
      <w:r w:rsidR="006034CC">
        <w:rPr>
          <w:sz w:val="24"/>
          <w:shd w:val="clear" w:color="auto" w:fill="FFFFFF"/>
        </w:rPr>
        <w:t xml:space="preserve">ynglŷn â’r gyfraith. </w:t>
      </w:r>
      <w:r w:rsidR="003F297F">
        <w:rPr>
          <w:sz w:val="24"/>
          <w:shd w:val="clear" w:color="auto" w:fill="FFFFFF"/>
        </w:rPr>
        <w:t>Yn ôl Josephus “they were ‘precise’ in defining the law and ‘strict’ in keeping it”.</w:t>
      </w:r>
      <w:r w:rsidR="00B5135F">
        <w:rPr>
          <w:rStyle w:val="FootnoteReference"/>
          <w:sz w:val="24"/>
          <w:shd w:val="clear" w:color="auto" w:fill="FFFFFF"/>
        </w:rPr>
        <w:footnoteReference w:id="23"/>
      </w:r>
      <w:r w:rsidR="003F297F">
        <w:rPr>
          <w:sz w:val="24"/>
          <w:shd w:val="clear" w:color="auto" w:fill="FFFFFF"/>
        </w:rPr>
        <w:t xml:space="preserve"> Ysgrifennodd Josephus o fewn ‘Jewish War</w:t>
      </w:r>
      <w:r w:rsidR="00CA60D9">
        <w:rPr>
          <w:sz w:val="24"/>
          <w:shd w:val="clear" w:color="auto" w:fill="FFFFFF"/>
        </w:rPr>
        <w:t>’</w:t>
      </w:r>
      <w:r w:rsidR="003F297F">
        <w:rPr>
          <w:sz w:val="24"/>
          <w:shd w:val="clear" w:color="auto" w:fill="FFFFFF"/>
        </w:rPr>
        <w:t xml:space="preserve"> 2.162 bod y Phariseaid yn cael eu “considered the most accurate interpreters of the laws”.</w:t>
      </w:r>
      <w:r w:rsidR="00B5135F">
        <w:rPr>
          <w:rStyle w:val="FootnoteReference"/>
          <w:sz w:val="24"/>
          <w:shd w:val="clear" w:color="auto" w:fill="FFFFFF"/>
        </w:rPr>
        <w:footnoteReference w:id="24"/>
      </w:r>
      <w:r w:rsidR="003F297F">
        <w:rPr>
          <w:sz w:val="24"/>
          <w:shd w:val="clear" w:color="auto" w:fill="FFFFFF"/>
        </w:rPr>
        <w:t xml:space="preserve"> </w:t>
      </w:r>
      <w:r w:rsidR="006218F3">
        <w:rPr>
          <w:sz w:val="24"/>
          <w:shd w:val="clear" w:color="auto" w:fill="FFFFFF"/>
        </w:rPr>
        <w:t>Mae tystiolaeth o hwn yn cael ei weld o fewn</w:t>
      </w:r>
      <w:r w:rsidR="00C544E9">
        <w:rPr>
          <w:sz w:val="24"/>
          <w:shd w:val="clear" w:color="auto" w:fill="FFFFFF"/>
        </w:rPr>
        <w:t xml:space="preserve"> y Testament </w:t>
      </w:r>
      <w:r w:rsidR="00C544E9" w:rsidRPr="00CA60D9">
        <w:rPr>
          <w:sz w:val="24"/>
          <w:shd w:val="clear" w:color="auto" w:fill="FFFFFF"/>
        </w:rPr>
        <w:t>Newydd</w:t>
      </w:r>
      <w:r w:rsidR="006218F3" w:rsidRPr="00CA60D9">
        <w:rPr>
          <w:sz w:val="24"/>
          <w:shd w:val="clear" w:color="auto" w:fill="FFFFFF"/>
        </w:rPr>
        <w:t xml:space="preserve"> </w:t>
      </w:r>
      <w:r w:rsidR="00341725" w:rsidRPr="00CA60D9">
        <w:rPr>
          <w:sz w:val="24"/>
          <w:shd w:val="clear" w:color="auto" w:fill="FFFFFF"/>
        </w:rPr>
        <w:t xml:space="preserve">“Y maent yn gwybod ers amser maith, os dymunant dystiolaethu, mai yn ôl </w:t>
      </w:r>
      <w:r w:rsidR="00CA60D9" w:rsidRPr="00CA60D9">
        <w:rPr>
          <w:sz w:val="24"/>
          <w:shd w:val="clear" w:color="auto" w:fill="FFFFFF"/>
        </w:rPr>
        <w:t>sect fwyaf caeth ein crefydd y bûm i’n byw, yn Pharisea</w:t>
      </w:r>
      <w:r w:rsidR="00971465">
        <w:rPr>
          <w:sz w:val="24"/>
          <w:shd w:val="clear" w:color="auto" w:fill="FFFFFF"/>
        </w:rPr>
        <w:t>i</w:t>
      </w:r>
      <w:r w:rsidR="00CA60D9" w:rsidRPr="00CA60D9">
        <w:rPr>
          <w:sz w:val="24"/>
          <w:shd w:val="clear" w:color="auto" w:fill="FFFFFF"/>
        </w:rPr>
        <w:t>d”</w:t>
      </w:r>
      <w:r w:rsidR="003B6B3D">
        <w:rPr>
          <w:sz w:val="24"/>
          <w:shd w:val="clear" w:color="auto" w:fill="FFFFFF"/>
        </w:rPr>
        <w:t xml:space="preserve"> </w:t>
      </w:r>
      <w:r w:rsidR="00C544E9" w:rsidRPr="00CA60D9">
        <w:rPr>
          <w:sz w:val="24"/>
          <w:szCs w:val="23"/>
          <w:shd w:val="clear" w:color="auto" w:fill="FFFFFF"/>
        </w:rPr>
        <w:t>(Actau 26.5)</w:t>
      </w:r>
      <w:r w:rsidR="006218F3" w:rsidRPr="00CA60D9">
        <w:rPr>
          <w:sz w:val="24"/>
          <w:szCs w:val="23"/>
          <w:shd w:val="clear" w:color="auto" w:fill="FFFFFF"/>
        </w:rPr>
        <w:t xml:space="preserve">. </w:t>
      </w:r>
      <w:r>
        <w:rPr>
          <w:rFonts w:ascii="Calibri" w:hAnsi="Calibri" w:cs="Calibri"/>
          <w:sz w:val="24"/>
          <w:szCs w:val="24"/>
        </w:rPr>
        <w:t>Mae etifeddiaeth y Phariseaid yn glir o fewn lenyddiaeth y Rabiniaid. Roeddent yn rhoi ystyr newydd a mwy derbyniol i'r gyfraith, gan ddefnyddio cefnogaeth ysgrythurol ar gyfer eu gweithredoedd trwy gyfundrefn ramifig o wenyniaeth. Y rheswm am hyn oedd achos roedd y Phariseaid yn parhau i ddatblygu eu dehongliad o'r Torah, ac mae wedi parhau i fod yn hanfodol o fewn Iddewiaeth.</w:t>
      </w:r>
      <w:r w:rsidR="00040C54">
        <w:rPr>
          <w:rStyle w:val="FootnoteReference"/>
          <w:sz w:val="24"/>
          <w:szCs w:val="23"/>
          <w:shd w:val="clear" w:color="auto" w:fill="FFFFFF"/>
        </w:rPr>
        <w:footnoteReference w:id="25"/>
      </w:r>
      <w:r w:rsidR="00040C54">
        <w:rPr>
          <w:sz w:val="24"/>
          <w:szCs w:val="23"/>
          <w:shd w:val="clear" w:color="auto" w:fill="FFFFFF"/>
        </w:rPr>
        <w:t xml:space="preserve"> </w:t>
      </w:r>
      <w:r>
        <w:rPr>
          <w:rFonts w:ascii="Calibri" w:hAnsi="Calibri" w:cs="Calibri"/>
          <w:sz w:val="24"/>
          <w:szCs w:val="24"/>
        </w:rPr>
        <w:t>O safbwynt diwinyddol mae hyn yn eu galluogi i fabwysiadu syniadau megis y gred yn yr atgyfodiad, er gwaethaf amheuaeth gyffredinol y Beibl am fywyd. Felly yn wahanol i’r Sadwceaid, roedd y Phariseaid yn credu yn atgyfodiad y corff a'r byd i ddod. Mae’r Torah dal yn cael ei ddefnyddio heddiw felly yn dangos arwyddocâd y Phariseaid. Mae’r Torah yn hanfodol ac yn ganolbwynt y grefydd.</w:t>
      </w:r>
    </w:p>
    <w:p w14:paraId="6C738878" w14:textId="10F8DE7E" w:rsidR="00C65E23" w:rsidRPr="00902644" w:rsidRDefault="00FF091D" w:rsidP="00864216">
      <w:pPr>
        <w:autoSpaceDE w:val="0"/>
        <w:autoSpaceDN w:val="0"/>
        <w:adjustRightInd w:val="0"/>
        <w:ind w:firstLine="720"/>
        <w:rPr>
          <w:rFonts w:ascii="Calibri" w:hAnsi="Calibri" w:cs="Calibri"/>
          <w:sz w:val="28"/>
          <w:szCs w:val="28"/>
        </w:rPr>
      </w:pPr>
      <w:r w:rsidRPr="00FF091D">
        <w:rPr>
          <w:sz w:val="24"/>
          <w:shd w:val="clear" w:color="auto" w:fill="FFFFFF"/>
        </w:rPr>
        <w:t>Yn seiliedig ar ddywediadau'r pro</w:t>
      </w:r>
      <w:r w:rsidR="00F34F4A">
        <w:rPr>
          <w:sz w:val="24"/>
          <w:shd w:val="clear" w:color="auto" w:fill="FFFFFF"/>
        </w:rPr>
        <w:t>ffwydi, fe greodd y Phariseaid D</w:t>
      </w:r>
      <w:r w:rsidRPr="00FF091D">
        <w:rPr>
          <w:sz w:val="24"/>
          <w:shd w:val="clear" w:color="auto" w:fill="FFFFFF"/>
        </w:rPr>
        <w:t xml:space="preserve">uw fel Bod ysbrydol </w:t>
      </w:r>
      <w:r w:rsidR="00D15D2F" w:rsidRPr="00D15D2F">
        <w:rPr>
          <w:sz w:val="24"/>
          <w:shd w:val="clear" w:color="auto" w:fill="FFFFFF"/>
        </w:rPr>
        <w:t>hollalluog</w:t>
      </w:r>
      <w:r w:rsidRPr="00D15D2F">
        <w:rPr>
          <w:sz w:val="24"/>
          <w:shd w:val="clear" w:color="auto" w:fill="FFFFFF"/>
        </w:rPr>
        <w:t xml:space="preserve">, holl-ddoeth, </w:t>
      </w:r>
      <w:r w:rsidR="00D656D6" w:rsidRPr="00D15D2F">
        <w:rPr>
          <w:sz w:val="24"/>
          <w:shd w:val="clear" w:color="auto" w:fill="FFFFFF"/>
        </w:rPr>
        <w:t>h</w:t>
      </w:r>
      <w:r w:rsidRPr="00D15D2F">
        <w:rPr>
          <w:sz w:val="24"/>
          <w:shd w:val="clear" w:color="auto" w:fill="FFFFFF"/>
        </w:rPr>
        <w:t>oll-wybod, holl-gyfiawn, a holl-drugarog</w:t>
      </w:r>
      <w:r w:rsidRPr="00FF091D">
        <w:rPr>
          <w:sz w:val="24"/>
          <w:shd w:val="clear" w:color="auto" w:fill="FFFFFF"/>
        </w:rPr>
        <w:t>.</w:t>
      </w:r>
      <w:r w:rsidR="00F34F4A">
        <w:rPr>
          <w:rStyle w:val="FootnoteReference"/>
          <w:sz w:val="24"/>
          <w:shd w:val="clear" w:color="auto" w:fill="FFFFFF"/>
        </w:rPr>
        <w:footnoteReference w:id="26"/>
      </w:r>
      <w:r w:rsidRPr="00FF091D">
        <w:rPr>
          <w:sz w:val="24"/>
          <w:shd w:val="clear" w:color="auto" w:fill="FFFFFF"/>
        </w:rPr>
        <w:t xml:space="preserve"> </w:t>
      </w:r>
      <w:r w:rsidR="00902644">
        <w:rPr>
          <w:rFonts w:ascii="Calibri" w:hAnsi="Calibri" w:cs="Calibri"/>
          <w:sz w:val="24"/>
          <w:szCs w:val="24"/>
        </w:rPr>
        <w:t>Dysgon nhw fod Duw yn caru ei holl greaduriaid a gofynna i bawb i gerdded yn ei ffyrdd, i weithredu'n gyfiawn, ac i garu caredigrwydd. Er ei fod yn hollol wybodus ac yn oddefgar, rhoddodd Duw'r grym i ddewis rhwng da a drwg. Creodd ddau ysgogiad, un da ac un drwg, a chynghorodd iddo wneud yn dda. I helpu fod yn dda rhoddodd iddo'r Torah fel canllaw. Gan fod Duw yn drosgynnol, ni ellid ei ddeall yn nhermau anthropomorffig, ac ni allai gael ei ddynodi gydag enw.</w:t>
      </w:r>
      <w:r w:rsidR="00880331">
        <w:rPr>
          <w:rStyle w:val="FootnoteReference"/>
          <w:sz w:val="24"/>
          <w:shd w:val="clear" w:color="auto" w:fill="FFFFFF"/>
        </w:rPr>
        <w:footnoteReference w:id="27"/>
      </w:r>
      <w:r w:rsidR="00C65E23">
        <w:rPr>
          <w:sz w:val="24"/>
          <w:shd w:val="clear" w:color="auto" w:fill="FFFFFF"/>
        </w:rPr>
        <w:t xml:space="preserve"> Siaradwyd y Phariseaid amdano Duw fel “the creator of the world” (</w:t>
      </w:r>
      <w:r w:rsidR="00C65E23">
        <w:rPr>
          <w:i/>
          <w:sz w:val="24"/>
          <w:shd w:val="clear" w:color="auto" w:fill="FFFFFF"/>
        </w:rPr>
        <w:t xml:space="preserve">Bore Olam), </w:t>
      </w:r>
      <w:r w:rsidR="00C65E23">
        <w:rPr>
          <w:sz w:val="24"/>
          <w:shd w:val="clear" w:color="auto" w:fill="FFFFFF"/>
        </w:rPr>
        <w:t>“the place” (</w:t>
      </w:r>
      <w:r w:rsidR="00C65E23">
        <w:rPr>
          <w:i/>
          <w:sz w:val="24"/>
          <w:shd w:val="clear" w:color="auto" w:fill="FFFFFF"/>
        </w:rPr>
        <w:t xml:space="preserve">Ha-Makom), </w:t>
      </w:r>
      <w:r w:rsidR="00EE11DA">
        <w:rPr>
          <w:sz w:val="24"/>
          <w:shd w:val="clear" w:color="auto" w:fill="FFFFFF"/>
        </w:rPr>
        <w:t>a</w:t>
      </w:r>
      <w:r w:rsidR="00C65E23">
        <w:rPr>
          <w:sz w:val="24"/>
          <w:shd w:val="clear" w:color="auto" w:fill="FFFFFF"/>
        </w:rPr>
        <w:t xml:space="preserve"> “</w:t>
      </w:r>
      <w:r w:rsidR="00E31C5C">
        <w:rPr>
          <w:sz w:val="24"/>
          <w:shd w:val="clear" w:color="auto" w:fill="FFFFFF"/>
        </w:rPr>
        <w:t>the divine p</w:t>
      </w:r>
      <w:r w:rsidR="00C65E23">
        <w:rPr>
          <w:sz w:val="24"/>
          <w:shd w:val="clear" w:color="auto" w:fill="FFFFFF"/>
        </w:rPr>
        <w:t xml:space="preserve">resence” </w:t>
      </w:r>
      <w:r w:rsidR="00C65E23">
        <w:rPr>
          <w:i/>
          <w:sz w:val="24"/>
          <w:shd w:val="clear" w:color="auto" w:fill="FFFFFF"/>
        </w:rPr>
        <w:t>(Shekhinah).</w:t>
      </w:r>
      <w:r w:rsidR="00E31C5C">
        <w:rPr>
          <w:rStyle w:val="FootnoteReference"/>
          <w:i/>
          <w:sz w:val="24"/>
          <w:shd w:val="clear" w:color="auto" w:fill="FFFFFF"/>
        </w:rPr>
        <w:footnoteReference w:id="28"/>
      </w:r>
      <w:r w:rsidR="00C65E23">
        <w:rPr>
          <w:i/>
          <w:sz w:val="24"/>
          <w:shd w:val="clear" w:color="auto" w:fill="FFFFFF"/>
        </w:rPr>
        <w:t xml:space="preserve"> </w:t>
      </w:r>
      <w:r w:rsidR="00C65E23">
        <w:rPr>
          <w:sz w:val="24"/>
          <w:shd w:val="clear" w:color="auto" w:fill="FFFFFF"/>
        </w:rPr>
        <w:t xml:space="preserve"> </w:t>
      </w:r>
    </w:p>
    <w:p w14:paraId="56651BA1" w14:textId="6FEBE2BC" w:rsidR="00F2486B" w:rsidRDefault="00902644" w:rsidP="00864216">
      <w:pPr>
        <w:spacing w:before="240"/>
        <w:ind w:firstLine="720"/>
        <w:rPr>
          <w:sz w:val="24"/>
          <w:shd w:val="clear" w:color="auto" w:fill="FFFFFF"/>
        </w:rPr>
      </w:pPr>
      <w:r>
        <w:rPr>
          <w:rFonts w:ascii="Calibri" w:hAnsi="Calibri" w:cs="Calibri"/>
          <w:sz w:val="24"/>
          <w:szCs w:val="24"/>
        </w:rPr>
        <w:t xml:space="preserve">Dros y blynyddoedd mae camsyniadau yn ymwneud â phurdeb defodol y Phariseaid. Pwysleisiodd nifer o ysgolheigion eu bod yn gwahanu eu hunain oddi wrth bobl gyffredin. </w:t>
      </w:r>
      <w:r>
        <w:rPr>
          <w:rFonts w:ascii="Calibri" w:hAnsi="Calibri" w:cs="Calibri"/>
          <w:sz w:val="24"/>
          <w:szCs w:val="24"/>
        </w:rPr>
        <w:lastRenderedPageBreak/>
        <w:t>Dywed Saunders fod rhai ysgolheigion wedi eu cyhuddo o drin y Phariseaid fel aflan, ac wedi eu dynodi fel rhai hunangyfiawn</w:t>
      </w:r>
      <w:r w:rsidR="0084117B">
        <w:rPr>
          <w:sz w:val="24"/>
          <w:shd w:val="clear" w:color="auto" w:fill="FFFFFF"/>
        </w:rPr>
        <w:t>.</w:t>
      </w:r>
      <w:r w:rsidR="00B23483">
        <w:rPr>
          <w:rStyle w:val="FootnoteReference"/>
          <w:sz w:val="24"/>
          <w:shd w:val="clear" w:color="auto" w:fill="FFFFFF"/>
        </w:rPr>
        <w:footnoteReference w:id="29"/>
      </w:r>
      <w:r w:rsidR="0084117B">
        <w:rPr>
          <w:sz w:val="24"/>
          <w:shd w:val="clear" w:color="auto" w:fill="FFFFFF"/>
        </w:rPr>
        <w:t xml:space="preserve"> </w:t>
      </w:r>
      <w:r>
        <w:rPr>
          <w:rFonts w:ascii="Calibri" w:hAnsi="Calibri" w:cs="Calibri"/>
          <w:sz w:val="24"/>
          <w:szCs w:val="24"/>
        </w:rPr>
        <w:t>Bu’r Cristnogion cynnar yn trin y Phariseaid fel hyn, hyd yn oed does dim tystiolaeth o fewn llenyddiaeth y grefydd. Yn realiti nad oedd y sefyllfa gallu bod mor wael â hynny achos roedd y Phariseaid yn dod ar draws pobl pob dydd megis yn addoli yn y Synagog  gyda phobl gyffredin, ac yn eistedd yn y Sanhedrin yn cymysgu gyda sectau gwahanol. Mae rhaid i ni cofio pan roeddent yn eistedd yn y Sanhedrin bydd y Phariseaid yn y lleiafrif ymysg pawb</w:t>
      </w:r>
      <w:r w:rsidR="0084117B">
        <w:rPr>
          <w:sz w:val="24"/>
          <w:shd w:val="clear" w:color="auto" w:fill="FFFFFF"/>
        </w:rPr>
        <w:t>.</w:t>
      </w:r>
      <w:r w:rsidR="00B23483">
        <w:rPr>
          <w:rStyle w:val="FootnoteReference"/>
          <w:sz w:val="24"/>
          <w:shd w:val="clear" w:color="auto" w:fill="FFFFFF"/>
        </w:rPr>
        <w:footnoteReference w:id="30"/>
      </w:r>
      <w:r w:rsidR="0084117B">
        <w:rPr>
          <w:sz w:val="24"/>
          <w:shd w:val="clear" w:color="auto" w:fill="FFFFFF"/>
        </w:rPr>
        <w:t xml:space="preserve"> </w:t>
      </w:r>
      <w:r>
        <w:rPr>
          <w:rFonts w:ascii="Calibri" w:hAnsi="Calibri" w:cs="Calibri"/>
          <w:sz w:val="24"/>
          <w:szCs w:val="24"/>
        </w:rPr>
        <w:t>Gwnaeth Paul ag oedd yn Pharisead ei hun cael ei erledigaeth gan Gristnogion, felly roedd rhaid iddo fod yn gysylltiad agos gyda gwahanol bobl. Yn yr Efengylau mae Mathew yn dweud, teithiodd y Phariseaid dros dir a môr i ennill trosi, ac felly eto bydden nhw wedi cymysg â phob ffordd o fyw. Does dim sôn am hun o fewn llenyddiaeth Gristnogol, ac mae Josephus hefyd yn aros yn dawel ar y sefyllfa. Nad ydym yn gallu anghofio amdano Simon ben Gamaliel sef arweinydd y Phariseaid ag oedd yn rhan o gyngor y genedl yn ystod y gwrthryfel Iddewig; rhaid iddo eto fod wedi cymysgu â llawer o wahanol bobl</w:t>
      </w:r>
      <w:r w:rsidR="00165D4F">
        <w:rPr>
          <w:sz w:val="24"/>
          <w:shd w:val="clear" w:color="auto" w:fill="FFFFFF"/>
        </w:rPr>
        <w:t>.</w:t>
      </w:r>
      <w:r w:rsidR="00B23483">
        <w:rPr>
          <w:rStyle w:val="FootnoteReference"/>
          <w:sz w:val="24"/>
          <w:shd w:val="clear" w:color="auto" w:fill="FFFFFF"/>
        </w:rPr>
        <w:footnoteReference w:id="31"/>
      </w:r>
      <w:r w:rsidR="00165D4F">
        <w:rPr>
          <w:sz w:val="24"/>
          <w:shd w:val="clear" w:color="auto" w:fill="FFFFFF"/>
        </w:rPr>
        <w:t xml:space="preserve"> </w:t>
      </w:r>
    </w:p>
    <w:p w14:paraId="1FC91F51" w14:textId="71816904" w:rsidR="00F211E8" w:rsidRDefault="00902644" w:rsidP="00864216">
      <w:pPr>
        <w:spacing w:before="240"/>
        <w:ind w:firstLine="720"/>
        <w:rPr>
          <w:sz w:val="24"/>
          <w:szCs w:val="24"/>
          <w:shd w:val="clear" w:color="auto" w:fill="FFFFFF"/>
        </w:rPr>
      </w:pPr>
      <w:r>
        <w:rPr>
          <w:rFonts w:ascii="Calibri" w:hAnsi="Calibri" w:cs="Calibri"/>
          <w:sz w:val="24"/>
          <w:szCs w:val="24"/>
        </w:rPr>
        <w:t>Peth arall sydd yn cysylltu gyda phurdeb defodol yw’r pwysigrwydd o fwyd sanctaidd. Yn ôl Sanders mae’r Phariseaid yn aml yn cael eu “defined as a group that ate their everyday food in purity” fel eu bod yn Offeiriad o fewn y Deml</w:t>
      </w:r>
      <w:r w:rsidR="00F2486B">
        <w:rPr>
          <w:sz w:val="24"/>
          <w:shd w:val="clear" w:color="auto" w:fill="FFFFFF"/>
        </w:rPr>
        <w:t>.</w:t>
      </w:r>
      <w:r w:rsidR="00EE6C16">
        <w:rPr>
          <w:rStyle w:val="FootnoteReference"/>
          <w:sz w:val="24"/>
          <w:shd w:val="clear" w:color="auto" w:fill="FFFFFF"/>
        </w:rPr>
        <w:footnoteReference w:id="32"/>
      </w:r>
      <w:r w:rsidR="00F2486B">
        <w:rPr>
          <w:sz w:val="24"/>
          <w:shd w:val="clear" w:color="auto" w:fill="FFFFFF"/>
        </w:rPr>
        <w:t xml:space="preserve">  </w:t>
      </w:r>
      <w:r>
        <w:rPr>
          <w:rFonts w:ascii="Calibri" w:hAnsi="Calibri" w:cs="Calibri"/>
          <w:sz w:val="24"/>
          <w:szCs w:val="24"/>
        </w:rPr>
        <w:t>Mae pum math o fwydydd sanctaidd: (1) beth fwytodd yr Offeiriaid tu fewn i’r Deml; (2) beth fwytodd yr Offeiriaid a’u  teuluoedd tu-allan i’r Deml; (3) ail ddegwm sydd yn cael ei bwyta yn Jerwsalem, gan y rhai a gynhyrchodd; (4) pryd pesach; (5) a rhannu’r aberthu.</w:t>
      </w:r>
      <w:r w:rsidR="00AC4545">
        <w:rPr>
          <w:rStyle w:val="FootnoteReference"/>
          <w:sz w:val="24"/>
          <w:shd w:val="clear" w:color="auto" w:fill="FFFFFF"/>
        </w:rPr>
        <w:footnoteReference w:id="33"/>
      </w:r>
      <w:r w:rsidR="00EE6C16">
        <w:rPr>
          <w:sz w:val="24"/>
          <w:shd w:val="clear" w:color="auto" w:fill="FFFFFF"/>
        </w:rPr>
        <w:t xml:space="preserve"> </w:t>
      </w:r>
      <w:r w:rsidR="00D00B60">
        <w:rPr>
          <w:sz w:val="24"/>
          <w:shd w:val="clear" w:color="auto" w:fill="FFFFFF"/>
        </w:rPr>
        <w:t>Cr</w:t>
      </w:r>
      <w:r w:rsidR="00E17B66">
        <w:rPr>
          <w:sz w:val="24"/>
          <w:shd w:val="clear" w:color="auto" w:fill="FFFFFF"/>
        </w:rPr>
        <w:t xml:space="preserve">edwyd y Phariseaid bod rhai o’r pobl cyffredin yn </w:t>
      </w:r>
      <w:r w:rsidR="00E17B66" w:rsidRPr="00E17B66">
        <w:rPr>
          <w:sz w:val="24"/>
          <w:shd w:val="clear" w:color="auto" w:fill="FFFFFF"/>
        </w:rPr>
        <w:t>cadw rhai amhureddau</w:t>
      </w:r>
      <w:r w:rsidR="0021111F">
        <w:rPr>
          <w:sz w:val="24"/>
          <w:shd w:val="clear" w:color="auto" w:fill="FFFFFF"/>
        </w:rPr>
        <w:t xml:space="preserve"> i ffwrdd o fwyd yr O</w:t>
      </w:r>
      <w:r w:rsidR="00E17B66">
        <w:rPr>
          <w:sz w:val="24"/>
          <w:shd w:val="clear" w:color="auto" w:fill="FFFFFF"/>
        </w:rPr>
        <w:t>ffeiriaid. Nad oedd y Phariseaid</w:t>
      </w:r>
      <w:r w:rsidR="00E17B66" w:rsidRPr="00E17B66">
        <w:rPr>
          <w:sz w:val="24"/>
          <w:shd w:val="clear" w:color="auto" w:fill="FFFFFF"/>
        </w:rPr>
        <w:t xml:space="preserve"> yn unigryw, ond fe wnaethon nhw rannu</w:t>
      </w:r>
      <w:r w:rsidR="00E17B66">
        <w:rPr>
          <w:sz w:val="24"/>
          <w:shd w:val="clear" w:color="auto" w:fill="FFFFFF"/>
        </w:rPr>
        <w:t xml:space="preserve"> bwyd</w:t>
      </w:r>
      <w:r w:rsidR="00E17B66" w:rsidRPr="00E17B66">
        <w:rPr>
          <w:sz w:val="24"/>
          <w:shd w:val="clear" w:color="auto" w:fill="FFFFFF"/>
        </w:rPr>
        <w:t xml:space="preserve"> mewn datblygiad diwylliannol, lle gwnaethant reolau drostynt eu hunain</w:t>
      </w:r>
      <w:r w:rsidR="00E17B66">
        <w:rPr>
          <w:sz w:val="24"/>
          <w:shd w:val="clear" w:color="auto" w:fill="FFFFFF"/>
        </w:rPr>
        <w:t>. Hefyd mae purdeb defodol yn bwysig wrth ystyried golchi dwylo. Daeth</w:t>
      </w:r>
      <w:r w:rsidR="00281C2A">
        <w:rPr>
          <w:sz w:val="24"/>
          <w:shd w:val="clear" w:color="auto" w:fill="FFFFFF"/>
        </w:rPr>
        <w:t xml:space="preserve"> hwn yn hwyr</w:t>
      </w:r>
      <w:r w:rsidR="0021111F">
        <w:rPr>
          <w:sz w:val="24"/>
          <w:shd w:val="clear" w:color="auto" w:fill="FFFFFF"/>
        </w:rPr>
        <w:t>ach yn ei symudiad, a ch</w:t>
      </w:r>
      <w:r w:rsidR="00281C2A">
        <w:rPr>
          <w:sz w:val="24"/>
          <w:shd w:val="clear" w:color="auto" w:fill="FFFFFF"/>
        </w:rPr>
        <w:t>afodd ei ymarfer yn ystod cyfnod y Diaspora.</w:t>
      </w:r>
      <w:r w:rsidR="00AC4545">
        <w:rPr>
          <w:rStyle w:val="FootnoteReference"/>
          <w:sz w:val="24"/>
          <w:shd w:val="clear" w:color="auto" w:fill="FFFFFF"/>
        </w:rPr>
        <w:footnoteReference w:id="34"/>
      </w:r>
      <w:r w:rsidR="00281C2A">
        <w:rPr>
          <w:sz w:val="24"/>
          <w:shd w:val="clear" w:color="auto" w:fill="FFFFFF"/>
        </w:rPr>
        <w:t xml:space="preserve"> Yn ôl Salm 24.4 </w:t>
      </w:r>
      <w:r w:rsidR="0021111F">
        <w:rPr>
          <w:sz w:val="24"/>
          <w:szCs w:val="23"/>
          <w:shd w:val="clear" w:color="auto" w:fill="FFFFFF"/>
        </w:rPr>
        <w:t>os yr ydynt yn mynd i’r D</w:t>
      </w:r>
      <w:r w:rsidR="00281C2A">
        <w:rPr>
          <w:sz w:val="24"/>
          <w:szCs w:val="23"/>
          <w:shd w:val="clear" w:color="auto" w:fill="FFFFFF"/>
        </w:rPr>
        <w:t xml:space="preserve">eml, dyle nhw </w:t>
      </w:r>
      <w:r w:rsidR="00CA60D9">
        <w:rPr>
          <w:sz w:val="24"/>
          <w:szCs w:val="23"/>
          <w:shd w:val="clear" w:color="auto" w:fill="FFFFFF"/>
        </w:rPr>
        <w:t>“glân ei ddwylo a’r pur o galon”</w:t>
      </w:r>
      <w:r w:rsidR="00281C2A">
        <w:rPr>
          <w:sz w:val="24"/>
          <w:szCs w:val="23"/>
          <w:shd w:val="clear" w:color="auto" w:fill="FFFFFF"/>
        </w:rPr>
        <w:t xml:space="preserve">. </w:t>
      </w:r>
      <w:r>
        <w:rPr>
          <w:rFonts w:ascii="Calibri" w:hAnsi="Calibri" w:cs="Calibri"/>
          <w:sz w:val="24"/>
          <w:szCs w:val="24"/>
        </w:rPr>
        <w:t>Felly achos hyn, gwnaeth y Phariseaid golchi eu dwylo yn aml yn enwedig cyn iddynt addoli, ac ar ôl iddynt gyffwrdd ag ysgrythurau. Mae ysgolheigion yn trin y purdeb defodol o olchi dwylo fel tystiolaeth bod y Phariseaid yn dymuno i fyw fel Offeiriad yn Deml</w:t>
      </w:r>
      <w:r w:rsidR="00B23483">
        <w:rPr>
          <w:sz w:val="24"/>
          <w:szCs w:val="23"/>
          <w:shd w:val="clear" w:color="auto" w:fill="FFFFFF"/>
        </w:rPr>
        <w:t>.</w:t>
      </w:r>
      <w:r w:rsidR="00AC4545">
        <w:rPr>
          <w:rStyle w:val="FootnoteReference"/>
          <w:sz w:val="24"/>
          <w:szCs w:val="23"/>
          <w:shd w:val="clear" w:color="auto" w:fill="FFFFFF"/>
        </w:rPr>
        <w:footnoteReference w:id="35"/>
      </w:r>
      <w:r w:rsidR="00B23483">
        <w:rPr>
          <w:sz w:val="24"/>
          <w:szCs w:val="23"/>
          <w:shd w:val="clear" w:color="auto" w:fill="FFFFFF"/>
        </w:rPr>
        <w:t xml:space="preserve"> </w:t>
      </w:r>
    </w:p>
    <w:p w14:paraId="6A104A50" w14:textId="601E5D59" w:rsidR="0021111F" w:rsidRPr="00CE4428" w:rsidRDefault="00902644" w:rsidP="00864216">
      <w:pPr>
        <w:ind w:firstLine="720"/>
        <w:rPr>
          <w:sz w:val="24"/>
          <w:shd w:val="clear" w:color="auto" w:fill="FFFFFF"/>
        </w:rPr>
      </w:pPr>
      <w:r>
        <w:rPr>
          <w:rFonts w:ascii="Calibri" w:hAnsi="Calibri" w:cs="Calibri"/>
          <w:sz w:val="24"/>
          <w:szCs w:val="24"/>
        </w:rPr>
        <w:t xml:space="preserve">Wrth edrych ar y Phariseaid gallwn ddweud gwnaeth y Phariseaid helpu diogelu'r hyn oedd orau mewn Iddewiaeth. O fewn Iddewiaeth heddiw, mae’r Synagog sef y prif fan addoli'r grefydd. Felly os nad oedd y Phariseaid wedi datblygu’r Synagog trwy newid eu ffocws o’r Deml i’r Synagog ni fydd ffocws o addoliad yn y Synagog heddiw, felly ni fydd man addoli i’r grefydd heddiw. Hefyd daeth y Phariseaid y Torah llafar sydd yn arwyddocaol o </w:t>
      </w:r>
      <w:r>
        <w:rPr>
          <w:rFonts w:ascii="Calibri" w:hAnsi="Calibri" w:cs="Calibri"/>
          <w:sz w:val="24"/>
          <w:szCs w:val="24"/>
        </w:rPr>
        <w:lastRenderedPageBreak/>
        <w:t>fewn Iddewiaeth gan fod y Torah dal yn rhan hanfodol ac yn ganolbwynt y grefydd heddiw. Os nad oedd y Phariseaid wedi gwneud y Torah llafar er mwyn iddynt fod yn ganolog i’w bywyd pob dydd ni fyddant yr I</w:t>
      </w:r>
      <w:r w:rsidR="00864216">
        <w:rPr>
          <w:rFonts w:ascii="Calibri" w:hAnsi="Calibri" w:cs="Calibri"/>
          <w:sz w:val="24"/>
          <w:szCs w:val="24"/>
        </w:rPr>
        <w:t>ddewon yn eu defnyddio. G</w:t>
      </w:r>
      <w:r>
        <w:rPr>
          <w:rFonts w:ascii="Calibri" w:hAnsi="Calibri" w:cs="Calibri"/>
          <w:sz w:val="24"/>
          <w:szCs w:val="24"/>
        </w:rPr>
        <w:t>allwn ddweud gwnaeth y Phariseaid arbed y Torah sydd yn arwyddocaol gan ei fod yn y brif ysgrythur sanctaidd heddiw. Felly yn syml gwnaeth y Phariseaid arbed y grefydd Iddewiaeth achos cododd Phariseaid y grefydd ar ôl dinistriad yr Ail Deml a throi Iddewiaeth o amgylch i beth mae fe heddiw. Os nad oedd y Phariseaid wedi bodoli a newid pethau o fewn y gymdeithas, ni fydd Iddewiaeth yn bodoli heddiw.</w:t>
      </w:r>
    </w:p>
    <w:p w14:paraId="215B3663" w14:textId="77777777" w:rsidR="003310B6" w:rsidRPr="00932A8E" w:rsidRDefault="003310B6" w:rsidP="00932A8E">
      <w:pPr>
        <w:ind w:firstLine="720"/>
        <w:rPr>
          <w:shd w:val="clear" w:color="auto" w:fill="FFFFFF"/>
          <w:lang w:val="en-GB"/>
        </w:rPr>
      </w:pPr>
      <w:bookmarkStart w:id="0" w:name="_GoBack"/>
      <w:bookmarkEnd w:id="0"/>
    </w:p>
    <w:p w14:paraId="4342318E" w14:textId="77777777" w:rsidR="00841587" w:rsidRPr="00525F4F" w:rsidRDefault="00841587">
      <w:pPr>
        <w:rPr>
          <w:sz w:val="24"/>
          <w:shd w:val="clear" w:color="auto" w:fill="FFFFFF"/>
        </w:rPr>
      </w:pPr>
    </w:p>
    <w:p w14:paraId="5D73FA43" w14:textId="77777777" w:rsidR="00CE3DC6" w:rsidRDefault="00841587">
      <w:pPr>
        <w:rPr>
          <w:color w:val="FF0000"/>
          <w:sz w:val="24"/>
          <w:shd w:val="clear" w:color="auto" w:fill="FFFFFF"/>
        </w:rPr>
      </w:pPr>
      <w:r>
        <w:rPr>
          <w:sz w:val="24"/>
          <w:shd w:val="clear" w:color="auto" w:fill="FFFFFF"/>
        </w:rPr>
        <w:t xml:space="preserve"> </w:t>
      </w:r>
    </w:p>
    <w:p w14:paraId="4554C8D6" w14:textId="77777777" w:rsidR="00CE3DC6" w:rsidRPr="00CE3DC6" w:rsidRDefault="00CE3DC6" w:rsidP="00CE3DC6">
      <w:pPr>
        <w:rPr>
          <w:sz w:val="24"/>
        </w:rPr>
      </w:pPr>
    </w:p>
    <w:p w14:paraId="71372CCF" w14:textId="77777777" w:rsidR="00AB6B87" w:rsidRDefault="00AB6B87" w:rsidP="0032286F"/>
    <w:p w14:paraId="7489367A" w14:textId="77777777" w:rsidR="00AB6B87" w:rsidRDefault="00AB6B87" w:rsidP="0032286F"/>
    <w:p w14:paraId="2D241E54" w14:textId="77777777" w:rsidR="00AB6B87" w:rsidRDefault="00AB6B87" w:rsidP="0032286F"/>
    <w:p w14:paraId="21DE9F2F" w14:textId="4BF57B3E" w:rsidR="00AB6B87" w:rsidRDefault="00AB6B87" w:rsidP="0032286F"/>
    <w:p w14:paraId="2385CEB8" w14:textId="5F583079" w:rsidR="00971465" w:rsidRDefault="00971465" w:rsidP="0032286F"/>
    <w:p w14:paraId="554884AC" w14:textId="5A1697D8" w:rsidR="00971465" w:rsidRDefault="00971465" w:rsidP="0032286F"/>
    <w:p w14:paraId="2FCC1FBF" w14:textId="44EAB9E7" w:rsidR="00971465" w:rsidRDefault="00971465" w:rsidP="0032286F"/>
    <w:p w14:paraId="7BEAB2BF" w14:textId="77777777" w:rsidR="00971465" w:rsidRDefault="00971465" w:rsidP="0032286F"/>
    <w:p w14:paraId="63DF3C81" w14:textId="77777777" w:rsidR="00AB6B87" w:rsidRDefault="00AB6B87" w:rsidP="0032286F"/>
    <w:p w14:paraId="3EF1B9E6" w14:textId="77777777" w:rsidR="004A71D9" w:rsidRDefault="004A71D9" w:rsidP="00A30AE0">
      <w:pPr>
        <w:spacing w:after="0"/>
        <w:rPr>
          <w:sz w:val="24"/>
          <w:u w:val="single"/>
        </w:rPr>
      </w:pPr>
    </w:p>
    <w:p w14:paraId="69754514" w14:textId="77777777" w:rsidR="004A71D9" w:rsidRDefault="004A71D9" w:rsidP="00A30AE0">
      <w:pPr>
        <w:spacing w:after="0"/>
        <w:rPr>
          <w:sz w:val="24"/>
          <w:u w:val="single"/>
        </w:rPr>
      </w:pPr>
    </w:p>
    <w:p w14:paraId="27742F51" w14:textId="77777777" w:rsidR="004A71D9" w:rsidRDefault="004A71D9" w:rsidP="00A30AE0">
      <w:pPr>
        <w:spacing w:after="0"/>
        <w:rPr>
          <w:sz w:val="24"/>
          <w:u w:val="single"/>
        </w:rPr>
      </w:pPr>
    </w:p>
    <w:p w14:paraId="781E0F78" w14:textId="77777777" w:rsidR="004A71D9" w:rsidRDefault="004A71D9" w:rsidP="00A30AE0">
      <w:pPr>
        <w:spacing w:after="0"/>
        <w:rPr>
          <w:sz w:val="24"/>
          <w:u w:val="single"/>
        </w:rPr>
      </w:pPr>
    </w:p>
    <w:p w14:paraId="41442F4E" w14:textId="77777777" w:rsidR="004A71D9" w:rsidRDefault="004A71D9" w:rsidP="00A30AE0">
      <w:pPr>
        <w:spacing w:after="0"/>
        <w:rPr>
          <w:sz w:val="24"/>
          <w:u w:val="single"/>
        </w:rPr>
      </w:pPr>
    </w:p>
    <w:p w14:paraId="3F5C2602" w14:textId="77777777" w:rsidR="004A71D9" w:rsidRDefault="004A71D9" w:rsidP="00A30AE0">
      <w:pPr>
        <w:spacing w:after="0"/>
        <w:rPr>
          <w:sz w:val="24"/>
          <w:u w:val="single"/>
        </w:rPr>
      </w:pPr>
    </w:p>
    <w:p w14:paraId="051A6329" w14:textId="77777777" w:rsidR="004A71D9" w:rsidRDefault="004A71D9" w:rsidP="00A30AE0">
      <w:pPr>
        <w:spacing w:after="0"/>
        <w:rPr>
          <w:sz w:val="24"/>
          <w:u w:val="single"/>
        </w:rPr>
      </w:pPr>
    </w:p>
    <w:p w14:paraId="17003F1E" w14:textId="77777777" w:rsidR="004A71D9" w:rsidRDefault="004A71D9" w:rsidP="00A30AE0">
      <w:pPr>
        <w:spacing w:after="0"/>
        <w:rPr>
          <w:sz w:val="24"/>
          <w:u w:val="single"/>
        </w:rPr>
      </w:pPr>
    </w:p>
    <w:p w14:paraId="3E0783B3" w14:textId="77777777" w:rsidR="004A71D9" w:rsidRDefault="004A71D9" w:rsidP="00A30AE0">
      <w:pPr>
        <w:spacing w:after="0"/>
        <w:rPr>
          <w:sz w:val="24"/>
          <w:u w:val="single"/>
        </w:rPr>
      </w:pPr>
    </w:p>
    <w:p w14:paraId="424B5A95" w14:textId="77777777" w:rsidR="00024D85" w:rsidRDefault="00024D85" w:rsidP="00024D85">
      <w:pPr>
        <w:spacing w:after="0"/>
        <w:rPr>
          <w:sz w:val="24"/>
          <w:u w:val="single"/>
        </w:rPr>
      </w:pPr>
    </w:p>
    <w:p w14:paraId="7D65C1AB" w14:textId="77777777" w:rsidR="007A1135" w:rsidRDefault="007A1135" w:rsidP="00024D85">
      <w:pPr>
        <w:spacing w:after="0"/>
        <w:rPr>
          <w:sz w:val="24"/>
          <w:u w:val="single"/>
        </w:rPr>
      </w:pPr>
    </w:p>
    <w:p w14:paraId="4870BD3F" w14:textId="77777777" w:rsidR="007A1135" w:rsidRDefault="007A1135" w:rsidP="00024D85">
      <w:pPr>
        <w:spacing w:after="0"/>
        <w:rPr>
          <w:sz w:val="24"/>
          <w:u w:val="single"/>
        </w:rPr>
      </w:pPr>
    </w:p>
    <w:p w14:paraId="5E9EAB83" w14:textId="77777777" w:rsidR="007A1135" w:rsidRDefault="007A1135" w:rsidP="00024D85">
      <w:pPr>
        <w:spacing w:after="0"/>
        <w:rPr>
          <w:sz w:val="24"/>
          <w:u w:val="single"/>
        </w:rPr>
      </w:pPr>
    </w:p>
    <w:p w14:paraId="5B29A984" w14:textId="2818E890" w:rsidR="00024D85" w:rsidRDefault="00AB6B87" w:rsidP="00024D85">
      <w:pPr>
        <w:spacing w:after="0"/>
        <w:rPr>
          <w:sz w:val="24"/>
          <w:u w:val="single"/>
        </w:rPr>
      </w:pPr>
      <w:r w:rsidRPr="00A30AE0">
        <w:rPr>
          <w:sz w:val="24"/>
          <w:u w:val="single"/>
        </w:rPr>
        <w:lastRenderedPageBreak/>
        <w:t>Llyfryddiaeth:</w:t>
      </w:r>
    </w:p>
    <w:p w14:paraId="32F893E4" w14:textId="77777777" w:rsidR="00024D85" w:rsidRDefault="00024D85" w:rsidP="00024D85">
      <w:pPr>
        <w:spacing w:after="0"/>
        <w:rPr>
          <w:sz w:val="24"/>
          <w:u w:val="single"/>
        </w:rPr>
      </w:pPr>
    </w:p>
    <w:p w14:paraId="7402F2F3" w14:textId="4BF6A005" w:rsidR="00A30AE0" w:rsidRPr="00024D85" w:rsidRDefault="00A30AE0" w:rsidP="00024D85">
      <w:pPr>
        <w:spacing w:after="0"/>
        <w:rPr>
          <w:sz w:val="24"/>
          <w:u w:val="single"/>
        </w:rPr>
      </w:pPr>
      <w:r w:rsidRPr="00A30AE0">
        <w:rPr>
          <w:sz w:val="24"/>
          <w:szCs w:val="24"/>
          <w:lang w:val="en-GB"/>
        </w:rPr>
        <w:t xml:space="preserve"> </w:t>
      </w:r>
      <w:r w:rsidRPr="00A30AE0">
        <w:rPr>
          <w:sz w:val="24"/>
          <w:szCs w:val="24"/>
        </w:rPr>
        <w:t>Jeremias, J</w:t>
      </w:r>
      <w:r w:rsidR="007A1135">
        <w:rPr>
          <w:sz w:val="24"/>
          <w:szCs w:val="24"/>
        </w:rPr>
        <w:t>.,</w:t>
      </w:r>
      <w:r w:rsidRPr="00A30AE0">
        <w:rPr>
          <w:sz w:val="24"/>
          <w:szCs w:val="24"/>
        </w:rPr>
        <w:t xml:space="preserve"> (1969), </w:t>
      </w:r>
      <w:r w:rsidRPr="00A30AE0">
        <w:rPr>
          <w:i/>
          <w:sz w:val="24"/>
          <w:szCs w:val="24"/>
        </w:rPr>
        <w:t>Jerusalem in the Time of Jesus</w:t>
      </w:r>
      <w:r w:rsidRPr="00A30AE0">
        <w:rPr>
          <w:sz w:val="24"/>
          <w:szCs w:val="24"/>
        </w:rPr>
        <w:t>, (Philadelphia: Fortress Press).</w:t>
      </w:r>
    </w:p>
    <w:p w14:paraId="302F3A68" w14:textId="77777777" w:rsidR="00A30AE0" w:rsidRDefault="00A30AE0" w:rsidP="00A30AE0">
      <w:pPr>
        <w:pStyle w:val="FootnoteText"/>
        <w:spacing w:before="240" w:line="276" w:lineRule="auto"/>
        <w:rPr>
          <w:sz w:val="24"/>
          <w:szCs w:val="24"/>
        </w:rPr>
      </w:pPr>
      <w:r w:rsidRPr="00A30AE0">
        <w:rPr>
          <w:sz w:val="24"/>
          <w:szCs w:val="24"/>
        </w:rPr>
        <w:t xml:space="preserve">Lloyd Jones, G., </w:t>
      </w:r>
      <w:r w:rsidRPr="00A30AE0">
        <w:rPr>
          <w:i/>
          <w:sz w:val="24"/>
          <w:szCs w:val="24"/>
        </w:rPr>
        <w:t>The Bones of Joseph</w:t>
      </w:r>
      <w:r w:rsidRPr="00A30AE0">
        <w:rPr>
          <w:sz w:val="24"/>
          <w:szCs w:val="24"/>
        </w:rPr>
        <w:t xml:space="preserve"> (Grand Rapids: William B. Eerdmans, 1997).</w:t>
      </w:r>
    </w:p>
    <w:p w14:paraId="1EE07170" w14:textId="1C4FA6F7" w:rsidR="00A30AE0" w:rsidRPr="004A71D9" w:rsidRDefault="00A30AE0" w:rsidP="00A30AE0">
      <w:pPr>
        <w:pStyle w:val="FootnoteText"/>
        <w:spacing w:before="240" w:line="276" w:lineRule="auto"/>
        <w:rPr>
          <w:rFonts w:cs="Arial"/>
          <w:sz w:val="24"/>
          <w:szCs w:val="24"/>
          <w:shd w:val="clear" w:color="auto" w:fill="F5F5F5"/>
        </w:rPr>
      </w:pPr>
      <w:r w:rsidRPr="00A30AE0">
        <w:rPr>
          <w:sz w:val="24"/>
          <w:szCs w:val="24"/>
        </w:rPr>
        <w:t>Mansoor</w:t>
      </w:r>
      <w:r w:rsidR="00444D7A">
        <w:rPr>
          <w:sz w:val="24"/>
          <w:szCs w:val="24"/>
        </w:rPr>
        <w:t>,</w:t>
      </w:r>
      <w:r w:rsidRPr="00A30AE0">
        <w:rPr>
          <w:sz w:val="24"/>
          <w:szCs w:val="24"/>
        </w:rPr>
        <w:t xml:space="preserve"> </w:t>
      </w:r>
      <w:r w:rsidR="007A1135">
        <w:rPr>
          <w:rFonts w:cs="Arial"/>
          <w:sz w:val="24"/>
          <w:szCs w:val="24"/>
          <w:shd w:val="clear" w:color="auto" w:fill="F5F5F5"/>
        </w:rPr>
        <w:t xml:space="preserve">Menahem., </w:t>
      </w:r>
      <w:r w:rsidRPr="00A30AE0">
        <w:rPr>
          <w:rFonts w:cs="Arial"/>
          <w:sz w:val="24"/>
          <w:szCs w:val="24"/>
          <w:shd w:val="clear" w:color="auto" w:fill="F5F5F5"/>
        </w:rPr>
        <w:t>"Pharisees." </w:t>
      </w:r>
      <w:r w:rsidRPr="00A30AE0">
        <w:rPr>
          <w:rFonts w:cs="Arial"/>
          <w:i/>
          <w:iCs/>
          <w:sz w:val="24"/>
          <w:szCs w:val="24"/>
          <w:shd w:val="clear" w:color="auto" w:fill="F5F5F5"/>
        </w:rPr>
        <w:t>Encyclopaedia Judaica</w:t>
      </w:r>
      <w:r w:rsidRPr="00A30AE0">
        <w:rPr>
          <w:rFonts w:cs="Arial"/>
          <w:sz w:val="24"/>
          <w:szCs w:val="24"/>
          <w:shd w:val="clear" w:color="auto" w:fill="F5F5F5"/>
        </w:rPr>
        <w:t>, edited by Michael Berenbaum and Fred Skolnik, 2nd ed., vol. 16, Macmillan Reference USA, 2007, 30-32. </w:t>
      </w:r>
      <w:r w:rsidRPr="00A30AE0">
        <w:rPr>
          <w:rFonts w:cs="Arial"/>
          <w:i/>
          <w:iCs/>
          <w:sz w:val="24"/>
          <w:szCs w:val="24"/>
          <w:shd w:val="clear" w:color="auto" w:fill="F5F5F5"/>
        </w:rPr>
        <w:t xml:space="preserve">Gale Virtual Reference. Last </w:t>
      </w:r>
      <w:r w:rsidRPr="00A30AE0">
        <w:rPr>
          <w:rFonts w:cs="Arial"/>
          <w:sz w:val="24"/>
          <w:szCs w:val="24"/>
          <w:shd w:val="clear" w:color="auto" w:fill="F5F5F5"/>
        </w:rPr>
        <w:t>Accessed 04/12/17.</w:t>
      </w:r>
    </w:p>
    <w:p w14:paraId="236C9E5F" w14:textId="3EC1BB4C" w:rsidR="00A30AE0" w:rsidRDefault="00A30AE0" w:rsidP="00A30AE0">
      <w:pPr>
        <w:pStyle w:val="FootnoteText"/>
        <w:spacing w:before="240" w:line="276" w:lineRule="auto"/>
        <w:rPr>
          <w:color w:val="000000"/>
          <w:sz w:val="24"/>
          <w:szCs w:val="24"/>
        </w:rPr>
      </w:pPr>
      <w:r w:rsidRPr="00A30AE0">
        <w:rPr>
          <w:sz w:val="24"/>
          <w:szCs w:val="24"/>
        </w:rPr>
        <w:t xml:space="preserve">Mason, </w:t>
      </w:r>
      <w:r w:rsidRPr="00A30AE0">
        <w:rPr>
          <w:color w:val="000000"/>
          <w:sz w:val="24"/>
          <w:szCs w:val="24"/>
        </w:rPr>
        <w:t>Steve</w:t>
      </w:r>
      <w:r w:rsidR="007A1135">
        <w:rPr>
          <w:color w:val="000000"/>
          <w:sz w:val="24"/>
          <w:szCs w:val="24"/>
        </w:rPr>
        <w:t>.,</w:t>
      </w:r>
      <w:r w:rsidRPr="00A30AE0">
        <w:rPr>
          <w:color w:val="000000"/>
          <w:sz w:val="24"/>
          <w:szCs w:val="24"/>
        </w:rPr>
        <w:t xml:space="preserve"> (2001), </w:t>
      </w:r>
      <w:r w:rsidRPr="00A30AE0">
        <w:rPr>
          <w:i/>
          <w:iCs/>
          <w:color w:val="000000"/>
          <w:sz w:val="24"/>
          <w:szCs w:val="24"/>
        </w:rPr>
        <w:t>Flavius Josephus on the Pharisees: A Composition-Critical Study</w:t>
      </w:r>
      <w:r w:rsidRPr="00A30AE0">
        <w:rPr>
          <w:color w:val="000000"/>
          <w:sz w:val="24"/>
          <w:szCs w:val="24"/>
        </w:rPr>
        <w:t>. Boston: Brill Academic Publishers. 5.</w:t>
      </w:r>
    </w:p>
    <w:p w14:paraId="19045D55" w14:textId="2235D19F" w:rsidR="00A30AE0" w:rsidRPr="00A30AE0" w:rsidRDefault="00A30AE0" w:rsidP="00A30AE0">
      <w:pPr>
        <w:pStyle w:val="FootnoteText"/>
        <w:spacing w:before="240" w:line="276" w:lineRule="auto"/>
        <w:rPr>
          <w:sz w:val="24"/>
          <w:szCs w:val="24"/>
          <w:lang w:val="en-GB"/>
        </w:rPr>
      </w:pPr>
      <w:r w:rsidRPr="00A30AE0">
        <w:rPr>
          <w:sz w:val="24"/>
          <w:szCs w:val="24"/>
          <w:lang w:val="en-GB"/>
        </w:rPr>
        <w:t>Mills, E Watson</w:t>
      </w:r>
      <w:r w:rsidR="007A1135">
        <w:rPr>
          <w:sz w:val="24"/>
          <w:szCs w:val="24"/>
          <w:lang w:val="en-GB"/>
        </w:rPr>
        <w:t>., (1994),</w:t>
      </w:r>
      <w:r w:rsidRPr="00A30AE0">
        <w:rPr>
          <w:sz w:val="24"/>
          <w:szCs w:val="24"/>
          <w:lang w:val="en-GB"/>
        </w:rPr>
        <w:t xml:space="preserve"> </w:t>
      </w:r>
      <w:r w:rsidRPr="00A30AE0">
        <w:rPr>
          <w:i/>
          <w:sz w:val="24"/>
          <w:szCs w:val="24"/>
          <w:lang w:val="en-GB"/>
        </w:rPr>
        <w:t xml:space="preserve">Lutterworth Dictionary of the Bible. </w:t>
      </w:r>
      <w:r w:rsidRPr="00A30AE0">
        <w:rPr>
          <w:sz w:val="24"/>
          <w:szCs w:val="24"/>
          <w:lang w:val="en-GB"/>
        </w:rPr>
        <w:t>Lutterworth Press.</w:t>
      </w:r>
    </w:p>
    <w:p w14:paraId="577D4FE8" w14:textId="6A159847" w:rsidR="00A30AE0" w:rsidRPr="00A30AE0" w:rsidRDefault="00A30AE0" w:rsidP="00A30AE0">
      <w:pPr>
        <w:spacing w:before="240"/>
        <w:rPr>
          <w:sz w:val="24"/>
          <w:szCs w:val="24"/>
        </w:rPr>
      </w:pPr>
      <w:r w:rsidRPr="00A30AE0">
        <w:rPr>
          <w:sz w:val="24"/>
          <w:szCs w:val="24"/>
        </w:rPr>
        <w:t>Neusner, J</w:t>
      </w:r>
      <w:r w:rsidR="007A1135">
        <w:rPr>
          <w:sz w:val="24"/>
          <w:szCs w:val="24"/>
        </w:rPr>
        <w:t>.,</w:t>
      </w:r>
      <w:r w:rsidRPr="00A30AE0">
        <w:rPr>
          <w:sz w:val="24"/>
          <w:szCs w:val="24"/>
        </w:rPr>
        <w:t xml:space="preserve"> (1984), </w:t>
      </w:r>
      <w:r w:rsidRPr="00A30AE0">
        <w:rPr>
          <w:i/>
          <w:sz w:val="24"/>
          <w:szCs w:val="24"/>
        </w:rPr>
        <w:t>Judaism in the Beginning of Christianity</w:t>
      </w:r>
      <w:r w:rsidRPr="00A30AE0">
        <w:rPr>
          <w:sz w:val="24"/>
          <w:szCs w:val="24"/>
        </w:rPr>
        <w:t xml:space="preserve">. Philadelphia: Fortress Press. </w:t>
      </w:r>
    </w:p>
    <w:p w14:paraId="7D6F62CD" w14:textId="597FD075" w:rsidR="00A30AE0" w:rsidRDefault="00A30AE0" w:rsidP="00A30AE0">
      <w:pPr>
        <w:pStyle w:val="FootnoteText"/>
        <w:spacing w:before="240" w:line="276" w:lineRule="auto"/>
        <w:rPr>
          <w:i/>
          <w:sz w:val="24"/>
          <w:szCs w:val="24"/>
          <w:lang w:val="en-GB"/>
        </w:rPr>
      </w:pPr>
      <w:r w:rsidRPr="00A30AE0">
        <w:rPr>
          <w:sz w:val="24"/>
          <w:szCs w:val="24"/>
          <w:lang w:val="en-GB"/>
        </w:rPr>
        <w:t>R. L. Rubenstein</w:t>
      </w:r>
      <w:r w:rsidR="007A1135">
        <w:rPr>
          <w:sz w:val="24"/>
          <w:szCs w:val="24"/>
          <w:lang w:val="en-GB"/>
        </w:rPr>
        <w:t>.</w:t>
      </w:r>
      <w:r w:rsidRPr="00A30AE0">
        <w:rPr>
          <w:sz w:val="24"/>
          <w:szCs w:val="24"/>
          <w:lang w:val="en-GB"/>
        </w:rPr>
        <w:t xml:space="preserve">, “Scribes, Pharisees and Hypocrites: A Study in Rabbinic Psychology”, </w:t>
      </w:r>
      <w:r w:rsidRPr="00A30AE0">
        <w:rPr>
          <w:i/>
          <w:sz w:val="24"/>
          <w:szCs w:val="24"/>
          <w:lang w:val="en-GB"/>
        </w:rPr>
        <w:t xml:space="preserve">Judaism 12 </w:t>
      </w:r>
      <w:r w:rsidRPr="00A30AE0">
        <w:rPr>
          <w:sz w:val="24"/>
          <w:szCs w:val="24"/>
          <w:lang w:val="en-GB"/>
        </w:rPr>
        <w:t xml:space="preserve">(1963). </w:t>
      </w:r>
      <w:r w:rsidRPr="00A30AE0">
        <w:rPr>
          <w:i/>
          <w:sz w:val="24"/>
          <w:szCs w:val="24"/>
          <w:lang w:val="en-GB"/>
        </w:rPr>
        <w:t xml:space="preserve"> </w:t>
      </w:r>
    </w:p>
    <w:p w14:paraId="352E456A" w14:textId="742826F9" w:rsidR="00A30AE0" w:rsidRDefault="00A30AE0" w:rsidP="00A30AE0">
      <w:pPr>
        <w:pStyle w:val="FootnoteText"/>
        <w:spacing w:before="240" w:line="276" w:lineRule="auto"/>
        <w:rPr>
          <w:color w:val="000000"/>
          <w:sz w:val="24"/>
          <w:szCs w:val="24"/>
        </w:rPr>
      </w:pPr>
      <w:r w:rsidRPr="00A30AE0">
        <w:rPr>
          <w:color w:val="000000"/>
          <w:sz w:val="24"/>
          <w:szCs w:val="24"/>
        </w:rPr>
        <w:t>Sanders,</w:t>
      </w:r>
      <w:r w:rsidR="00444D7A">
        <w:rPr>
          <w:color w:val="000000"/>
          <w:sz w:val="24"/>
          <w:szCs w:val="24"/>
        </w:rPr>
        <w:t xml:space="preserve"> </w:t>
      </w:r>
      <w:r w:rsidRPr="00A30AE0">
        <w:rPr>
          <w:color w:val="000000"/>
          <w:sz w:val="24"/>
          <w:szCs w:val="24"/>
        </w:rPr>
        <w:t>E. P.</w:t>
      </w:r>
      <w:r w:rsidR="007A1135">
        <w:rPr>
          <w:color w:val="000000"/>
          <w:sz w:val="24"/>
          <w:szCs w:val="24"/>
        </w:rPr>
        <w:t>, (1992),</w:t>
      </w:r>
      <w:r w:rsidRPr="00A30AE0">
        <w:rPr>
          <w:color w:val="000000"/>
          <w:sz w:val="24"/>
          <w:szCs w:val="24"/>
        </w:rPr>
        <w:t> </w:t>
      </w:r>
      <w:r w:rsidRPr="00A30AE0">
        <w:rPr>
          <w:i/>
          <w:iCs/>
          <w:color w:val="000000"/>
          <w:sz w:val="24"/>
          <w:szCs w:val="24"/>
        </w:rPr>
        <w:t>Judaism: Practice and Belief, 63 BCE-66 CE</w:t>
      </w:r>
      <w:r w:rsidRPr="00A30AE0">
        <w:rPr>
          <w:color w:val="000000"/>
          <w:sz w:val="24"/>
          <w:szCs w:val="24"/>
        </w:rPr>
        <w:t>. London: SCM Press.</w:t>
      </w:r>
    </w:p>
    <w:p w14:paraId="4B29BF8F" w14:textId="440AD4CD" w:rsidR="00A30AE0" w:rsidRPr="00A30AE0" w:rsidRDefault="00A30AE0" w:rsidP="00A30AE0">
      <w:pPr>
        <w:spacing w:before="240"/>
        <w:jc w:val="both"/>
        <w:rPr>
          <w:sz w:val="24"/>
          <w:szCs w:val="24"/>
        </w:rPr>
      </w:pPr>
      <w:r w:rsidRPr="00A30AE0">
        <w:rPr>
          <w:sz w:val="24"/>
          <w:szCs w:val="24"/>
        </w:rPr>
        <w:t>Segal, Eliezer</w:t>
      </w:r>
      <w:r w:rsidR="007A1135">
        <w:rPr>
          <w:sz w:val="24"/>
          <w:szCs w:val="24"/>
        </w:rPr>
        <w:t>., (2009),</w:t>
      </w:r>
      <w:r w:rsidRPr="00A30AE0">
        <w:rPr>
          <w:sz w:val="24"/>
          <w:szCs w:val="24"/>
        </w:rPr>
        <w:t xml:space="preserve"> </w:t>
      </w:r>
      <w:r w:rsidRPr="00A30AE0">
        <w:rPr>
          <w:i/>
          <w:iCs/>
          <w:sz w:val="24"/>
          <w:szCs w:val="24"/>
        </w:rPr>
        <w:t>Introducing Judaism</w:t>
      </w:r>
      <w:r w:rsidRPr="00A30AE0">
        <w:rPr>
          <w:sz w:val="24"/>
          <w:szCs w:val="24"/>
        </w:rPr>
        <w:t>. New York: Rouledge.</w:t>
      </w:r>
    </w:p>
    <w:p w14:paraId="1BA6B8CD" w14:textId="55B9A72F" w:rsidR="00A30AE0" w:rsidRPr="00A30AE0" w:rsidRDefault="00A30AE0" w:rsidP="00A30AE0">
      <w:pPr>
        <w:pStyle w:val="FootnoteText"/>
        <w:spacing w:before="240" w:after="200" w:line="276" w:lineRule="auto"/>
        <w:rPr>
          <w:color w:val="000000"/>
          <w:sz w:val="24"/>
          <w:szCs w:val="24"/>
        </w:rPr>
      </w:pPr>
      <w:r w:rsidRPr="00A30AE0">
        <w:rPr>
          <w:color w:val="000000"/>
          <w:sz w:val="24"/>
          <w:szCs w:val="24"/>
        </w:rPr>
        <w:t>Sherbok-Cohn, Dan</w:t>
      </w:r>
      <w:r w:rsidR="007A1135">
        <w:rPr>
          <w:color w:val="000000"/>
          <w:sz w:val="24"/>
          <w:szCs w:val="24"/>
        </w:rPr>
        <w:t>., (2003),</w:t>
      </w:r>
      <w:r w:rsidRPr="00A30AE0">
        <w:rPr>
          <w:color w:val="000000"/>
          <w:sz w:val="24"/>
          <w:szCs w:val="24"/>
        </w:rPr>
        <w:t> </w:t>
      </w:r>
      <w:r w:rsidRPr="00A30AE0">
        <w:rPr>
          <w:i/>
          <w:iCs/>
          <w:color w:val="000000"/>
          <w:sz w:val="24"/>
          <w:szCs w:val="24"/>
        </w:rPr>
        <w:t>Judaism</w:t>
      </w:r>
      <w:r w:rsidRPr="00A30AE0">
        <w:rPr>
          <w:color w:val="000000"/>
          <w:sz w:val="24"/>
          <w:szCs w:val="24"/>
        </w:rPr>
        <w:t>. London: Routledge.</w:t>
      </w:r>
    </w:p>
    <w:p w14:paraId="660C60DE" w14:textId="77777777" w:rsidR="00A30AE0" w:rsidRPr="00A30AE0" w:rsidRDefault="00A30AE0" w:rsidP="00A30AE0">
      <w:pPr>
        <w:pStyle w:val="FootnoteText"/>
        <w:spacing w:before="240" w:line="276" w:lineRule="auto"/>
        <w:rPr>
          <w:sz w:val="24"/>
          <w:szCs w:val="24"/>
          <w:lang w:val="en-GB"/>
        </w:rPr>
      </w:pPr>
      <w:r w:rsidRPr="00A30AE0">
        <w:rPr>
          <w:sz w:val="24"/>
          <w:szCs w:val="24"/>
        </w:rPr>
        <w:t xml:space="preserve">The Editors of Encyclopædia Britannica. </w:t>
      </w:r>
      <w:r w:rsidRPr="00A30AE0">
        <w:rPr>
          <w:i/>
          <w:iCs/>
          <w:sz w:val="24"/>
          <w:szCs w:val="24"/>
        </w:rPr>
        <w:t>Pharisee.</w:t>
      </w:r>
      <w:r w:rsidRPr="00A30AE0">
        <w:rPr>
          <w:sz w:val="24"/>
          <w:szCs w:val="24"/>
        </w:rPr>
        <w:t xml:space="preserve"> Last accessed 04/12/2017.</w:t>
      </w:r>
    </w:p>
    <w:p w14:paraId="03ED2109" w14:textId="5F591E45" w:rsidR="00A30AE0" w:rsidRDefault="00A30AE0" w:rsidP="00A30AE0">
      <w:pPr>
        <w:pStyle w:val="FootnoteText"/>
        <w:spacing w:before="240" w:line="276" w:lineRule="auto"/>
        <w:rPr>
          <w:sz w:val="24"/>
          <w:szCs w:val="24"/>
          <w:lang w:val="en-GB"/>
        </w:rPr>
      </w:pPr>
      <w:r w:rsidRPr="00A30AE0">
        <w:rPr>
          <w:sz w:val="24"/>
          <w:szCs w:val="24"/>
          <w:lang w:val="en-GB"/>
        </w:rPr>
        <w:t xml:space="preserve">Williams, </w:t>
      </w:r>
      <w:proofErr w:type="spellStart"/>
      <w:r w:rsidRPr="00A30AE0">
        <w:rPr>
          <w:sz w:val="24"/>
          <w:szCs w:val="24"/>
          <w:lang w:val="en-GB"/>
        </w:rPr>
        <w:t>Lukyn</w:t>
      </w:r>
      <w:proofErr w:type="spellEnd"/>
      <w:r w:rsidRPr="00A30AE0">
        <w:rPr>
          <w:sz w:val="24"/>
          <w:szCs w:val="24"/>
          <w:lang w:val="en-GB"/>
        </w:rPr>
        <w:t xml:space="preserve"> A</w:t>
      </w:r>
      <w:r w:rsidR="007A1135">
        <w:rPr>
          <w:sz w:val="24"/>
          <w:szCs w:val="24"/>
          <w:lang w:val="en-GB"/>
        </w:rPr>
        <w:t>.,</w:t>
      </w:r>
      <w:r w:rsidRPr="00A30AE0">
        <w:rPr>
          <w:sz w:val="24"/>
          <w:szCs w:val="24"/>
          <w:lang w:val="en-GB"/>
        </w:rPr>
        <w:t xml:space="preserve"> (1933), </w:t>
      </w:r>
      <w:r w:rsidRPr="00A30AE0">
        <w:rPr>
          <w:i/>
          <w:sz w:val="24"/>
          <w:szCs w:val="24"/>
          <w:lang w:val="en-GB"/>
        </w:rPr>
        <w:t xml:space="preserve">Talmudic Judaism and Christianity. </w:t>
      </w:r>
      <w:r w:rsidRPr="00A30AE0">
        <w:rPr>
          <w:sz w:val="24"/>
          <w:szCs w:val="24"/>
          <w:lang w:val="en-GB"/>
        </w:rPr>
        <w:t xml:space="preserve">London: SPCK. </w:t>
      </w:r>
    </w:p>
    <w:p w14:paraId="60A9942E" w14:textId="77777777" w:rsidR="00CE3DC6" w:rsidRPr="00CE3DC6" w:rsidRDefault="00CE3DC6" w:rsidP="00CE3DC6">
      <w:pPr>
        <w:rPr>
          <w:sz w:val="24"/>
        </w:rPr>
      </w:pPr>
    </w:p>
    <w:p w14:paraId="64A68BC4" w14:textId="77777777" w:rsidR="00CE3DC6" w:rsidRPr="00CE3DC6" w:rsidRDefault="00CE3DC6" w:rsidP="00CE3DC6">
      <w:pPr>
        <w:rPr>
          <w:sz w:val="24"/>
        </w:rPr>
      </w:pPr>
    </w:p>
    <w:p w14:paraId="644CBCFC" w14:textId="77777777" w:rsidR="00CE3DC6" w:rsidRPr="00CE3DC6" w:rsidRDefault="00CE3DC6" w:rsidP="00CE3DC6">
      <w:pPr>
        <w:rPr>
          <w:sz w:val="24"/>
        </w:rPr>
      </w:pPr>
    </w:p>
    <w:p w14:paraId="6EFB0721" w14:textId="77777777" w:rsidR="00CE3DC6" w:rsidRPr="00CE3DC6" w:rsidRDefault="00CE3DC6" w:rsidP="00CE3DC6">
      <w:pPr>
        <w:rPr>
          <w:sz w:val="24"/>
        </w:rPr>
      </w:pPr>
    </w:p>
    <w:p w14:paraId="2F4D794C" w14:textId="77777777" w:rsidR="00CE3DC6" w:rsidRPr="00CE3DC6" w:rsidRDefault="00CE3DC6" w:rsidP="00CE3DC6">
      <w:pPr>
        <w:rPr>
          <w:sz w:val="24"/>
        </w:rPr>
      </w:pPr>
    </w:p>
    <w:p w14:paraId="4A331946" w14:textId="77777777" w:rsidR="00CE3DC6" w:rsidRPr="00CE3DC6" w:rsidRDefault="00CE3DC6" w:rsidP="00CE3DC6">
      <w:pPr>
        <w:rPr>
          <w:sz w:val="24"/>
        </w:rPr>
      </w:pPr>
    </w:p>
    <w:p w14:paraId="255D62E8" w14:textId="77777777" w:rsidR="00CE3DC6" w:rsidRDefault="00CE3DC6" w:rsidP="00CE3DC6">
      <w:pPr>
        <w:rPr>
          <w:sz w:val="24"/>
        </w:rPr>
      </w:pPr>
    </w:p>
    <w:p w14:paraId="0AA814E8" w14:textId="77777777" w:rsidR="00841587" w:rsidRPr="00CE3DC6" w:rsidRDefault="00CE3DC6" w:rsidP="00CE3DC6">
      <w:pPr>
        <w:tabs>
          <w:tab w:val="left" w:pos="3225"/>
        </w:tabs>
        <w:rPr>
          <w:sz w:val="24"/>
        </w:rPr>
      </w:pPr>
      <w:r>
        <w:rPr>
          <w:sz w:val="24"/>
        </w:rPr>
        <w:tab/>
      </w:r>
    </w:p>
    <w:sectPr w:rsidR="00841587" w:rsidRPr="00CE3D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83AE1" w14:textId="77777777" w:rsidR="0047399A" w:rsidRDefault="0047399A" w:rsidP="0047399A">
      <w:pPr>
        <w:spacing w:after="0" w:line="240" w:lineRule="auto"/>
      </w:pPr>
      <w:r>
        <w:separator/>
      </w:r>
    </w:p>
  </w:endnote>
  <w:endnote w:type="continuationSeparator" w:id="0">
    <w:p w14:paraId="62CF95D8" w14:textId="77777777" w:rsidR="0047399A" w:rsidRDefault="0047399A" w:rsidP="00473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2179A" w14:textId="77777777" w:rsidR="0047399A" w:rsidRDefault="0047399A" w:rsidP="0047399A">
      <w:pPr>
        <w:spacing w:after="0" w:line="240" w:lineRule="auto"/>
      </w:pPr>
      <w:r>
        <w:separator/>
      </w:r>
    </w:p>
  </w:footnote>
  <w:footnote w:type="continuationSeparator" w:id="0">
    <w:p w14:paraId="52561173" w14:textId="77777777" w:rsidR="0047399A" w:rsidRDefault="0047399A" w:rsidP="0047399A">
      <w:pPr>
        <w:spacing w:after="0" w:line="240" w:lineRule="auto"/>
      </w:pPr>
      <w:r>
        <w:continuationSeparator/>
      </w:r>
    </w:p>
  </w:footnote>
  <w:footnote w:id="1">
    <w:p w14:paraId="6F115DB6" w14:textId="2BD697CE" w:rsidR="00241107" w:rsidRPr="005040BD" w:rsidRDefault="00241107">
      <w:pPr>
        <w:pStyle w:val="FootnoteText"/>
        <w:rPr>
          <w:rFonts w:ascii="Verdana" w:hAnsi="Verdana"/>
          <w:sz w:val="18"/>
          <w:szCs w:val="18"/>
          <w:lang w:val="en-GB"/>
        </w:rPr>
      </w:pPr>
      <w:r w:rsidRPr="007A1135">
        <w:rPr>
          <w:rStyle w:val="FootnoteReference"/>
          <w:sz w:val="18"/>
          <w:szCs w:val="18"/>
        </w:rPr>
        <w:footnoteRef/>
      </w:r>
      <w:r w:rsidRPr="007A1135">
        <w:rPr>
          <w:sz w:val="18"/>
          <w:szCs w:val="18"/>
        </w:rPr>
        <w:t xml:space="preserve"> </w:t>
      </w:r>
      <w:r w:rsidRPr="007A1135">
        <w:rPr>
          <w:rFonts w:ascii="Verdana" w:hAnsi="Verdana"/>
          <w:sz w:val="18"/>
          <w:szCs w:val="18"/>
        </w:rPr>
        <w:t xml:space="preserve">J Neusner (1984), </w:t>
      </w:r>
      <w:r w:rsidRPr="007A1135">
        <w:rPr>
          <w:rFonts w:ascii="Verdana" w:hAnsi="Verdana"/>
          <w:i/>
          <w:sz w:val="18"/>
          <w:szCs w:val="18"/>
        </w:rPr>
        <w:t>Judaism in the Beginning of Christianity</w:t>
      </w:r>
      <w:r w:rsidRPr="007A1135">
        <w:rPr>
          <w:rFonts w:ascii="Verdana" w:hAnsi="Verdana"/>
          <w:sz w:val="18"/>
          <w:szCs w:val="18"/>
        </w:rPr>
        <w:t>. P</w:t>
      </w:r>
      <w:r w:rsidRPr="005040BD">
        <w:rPr>
          <w:rFonts w:ascii="Verdana" w:hAnsi="Verdana"/>
          <w:sz w:val="18"/>
          <w:szCs w:val="18"/>
        </w:rPr>
        <w:t>hiladelphia: Fortress Press. 45-61.</w:t>
      </w:r>
    </w:p>
  </w:footnote>
  <w:footnote w:id="2">
    <w:p w14:paraId="05E6F76D" w14:textId="31825967" w:rsidR="00241107" w:rsidRPr="005040BD" w:rsidRDefault="00241107">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J Neusner, </w:t>
      </w:r>
      <w:r w:rsidRPr="005040BD">
        <w:rPr>
          <w:rFonts w:ascii="Verdana" w:hAnsi="Verdana"/>
          <w:i/>
          <w:sz w:val="18"/>
          <w:szCs w:val="18"/>
        </w:rPr>
        <w:t>Judaism in the Beginning of Christianity</w:t>
      </w:r>
      <w:r w:rsidRPr="005040BD">
        <w:rPr>
          <w:rFonts w:ascii="Verdana" w:hAnsi="Verdana"/>
          <w:sz w:val="18"/>
          <w:szCs w:val="18"/>
        </w:rPr>
        <w:t>. 45-61.</w:t>
      </w:r>
    </w:p>
  </w:footnote>
  <w:footnote w:id="3">
    <w:p w14:paraId="29401BA6" w14:textId="06BAE45E" w:rsidR="00241107" w:rsidRPr="005040BD" w:rsidRDefault="00241107">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J Neusner, </w:t>
      </w:r>
      <w:r w:rsidRPr="005040BD">
        <w:rPr>
          <w:rFonts w:ascii="Verdana" w:hAnsi="Verdana"/>
          <w:i/>
          <w:sz w:val="18"/>
          <w:szCs w:val="18"/>
        </w:rPr>
        <w:t>Judaism in the Beginning of Christianity</w:t>
      </w:r>
      <w:r w:rsidRPr="005040BD">
        <w:rPr>
          <w:rFonts w:ascii="Verdana" w:hAnsi="Verdana"/>
          <w:sz w:val="18"/>
          <w:szCs w:val="18"/>
        </w:rPr>
        <w:t>. 45-61.</w:t>
      </w:r>
    </w:p>
  </w:footnote>
  <w:footnote w:id="4">
    <w:p w14:paraId="7B956782" w14:textId="77777777" w:rsidR="00925491" w:rsidRPr="005040BD" w:rsidRDefault="00925491" w:rsidP="00925491">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Eliezer Segal (2009). </w:t>
      </w:r>
      <w:r w:rsidRPr="005040BD">
        <w:rPr>
          <w:rFonts w:ascii="Verdana" w:hAnsi="Verdana"/>
          <w:i/>
          <w:iCs/>
          <w:sz w:val="18"/>
          <w:szCs w:val="18"/>
        </w:rPr>
        <w:t>Introducing Judaism</w:t>
      </w:r>
      <w:r w:rsidRPr="005040BD">
        <w:rPr>
          <w:rFonts w:ascii="Verdana" w:hAnsi="Verdana"/>
          <w:sz w:val="18"/>
          <w:szCs w:val="18"/>
        </w:rPr>
        <w:t>. New York: Rouledge. 32-37.</w:t>
      </w:r>
    </w:p>
  </w:footnote>
  <w:footnote w:id="5">
    <w:p w14:paraId="2DB0F172" w14:textId="77777777" w:rsidR="00925491" w:rsidRPr="005040BD" w:rsidRDefault="00925491" w:rsidP="00925491">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Eliezer Segal. </w:t>
      </w:r>
      <w:r w:rsidRPr="005040BD">
        <w:rPr>
          <w:rFonts w:ascii="Verdana" w:hAnsi="Verdana"/>
          <w:i/>
          <w:iCs/>
          <w:sz w:val="18"/>
          <w:szCs w:val="18"/>
        </w:rPr>
        <w:t>Introducing Judaism</w:t>
      </w:r>
      <w:r w:rsidRPr="005040BD">
        <w:rPr>
          <w:rFonts w:ascii="Verdana" w:hAnsi="Verdana"/>
          <w:sz w:val="18"/>
          <w:szCs w:val="18"/>
        </w:rPr>
        <w:t>. 32-37.</w:t>
      </w:r>
    </w:p>
  </w:footnote>
  <w:footnote w:id="6">
    <w:p w14:paraId="782B68C5" w14:textId="77777777" w:rsidR="00925491" w:rsidRPr="005040BD" w:rsidRDefault="00925491" w:rsidP="00925491">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Dan Cohn-Sherbok (2003). </w:t>
      </w:r>
      <w:r w:rsidRPr="005040BD">
        <w:rPr>
          <w:rFonts w:ascii="Verdana" w:hAnsi="Verdana"/>
          <w:i/>
          <w:iCs/>
          <w:color w:val="000000"/>
          <w:sz w:val="18"/>
          <w:szCs w:val="18"/>
        </w:rPr>
        <w:t>Judaism</w:t>
      </w:r>
      <w:r w:rsidRPr="005040BD">
        <w:rPr>
          <w:rFonts w:ascii="Verdana" w:hAnsi="Verdana"/>
          <w:color w:val="000000"/>
          <w:sz w:val="18"/>
          <w:szCs w:val="18"/>
        </w:rPr>
        <w:t>. London: Routledge. 90-91.</w:t>
      </w:r>
    </w:p>
  </w:footnote>
  <w:footnote w:id="7">
    <w:p w14:paraId="345F3CE9" w14:textId="77777777" w:rsidR="002012A4" w:rsidRPr="005040BD" w:rsidRDefault="002012A4">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sz w:val="18"/>
          <w:szCs w:val="18"/>
          <w:lang w:val="en-GB"/>
        </w:rPr>
        <w:t xml:space="preserve">Mills, E Watson (1994). </w:t>
      </w:r>
      <w:r w:rsidR="00925491" w:rsidRPr="005040BD">
        <w:rPr>
          <w:rFonts w:ascii="Verdana" w:hAnsi="Verdana"/>
          <w:i/>
          <w:sz w:val="18"/>
          <w:szCs w:val="18"/>
          <w:lang w:val="en-GB"/>
        </w:rPr>
        <w:t xml:space="preserve">Lutterworth Dictionary of the Bible. </w:t>
      </w:r>
      <w:r w:rsidR="00925491" w:rsidRPr="005040BD">
        <w:rPr>
          <w:rFonts w:ascii="Verdana" w:hAnsi="Verdana"/>
          <w:sz w:val="18"/>
          <w:szCs w:val="18"/>
          <w:lang w:val="en-GB"/>
        </w:rPr>
        <w:t xml:space="preserve">Lutterworth Press. 680. </w:t>
      </w:r>
    </w:p>
  </w:footnote>
  <w:footnote w:id="8">
    <w:p w14:paraId="44B08D7D" w14:textId="77777777" w:rsidR="00773C27" w:rsidRPr="005040BD" w:rsidRDefault="00773C27">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s="Arial"/>
          <w:sz w:val="18"/>
          <w:szCs w:val="18"/>
          <w:shd w:val="clear" w:color="auto" w:fill="F5F5F5"/>
        </w:rPr>
        <w:t>Menahem Mansoor. "Pharisees." </w:t>
      </w:r>
      <w:r w:rsidRPr="005040BD">
        <w:rPr>
          <w:rFonts w:ascii="Verdana" w:hAnsi="Verdana" w:cs="Arial"/>
          <w:i/>
          <w:iCs/>
          <w:sz w:val="18"/>
          <w:szCs w:val="18"/>
          <w:shd w:val="clear" w:color="auto" w:fill="F5F5F5"/>
        </w:rPr>
        <w:t>Encyclopaedia Judaica</w:t>
      </w:r>
      <w:r w:rsidRPr="005040BD">
        <w:rPr>
          <w:rFonts w:ascii="Verdana" w:hAnsi="Verdana" w:cs="Arial"/>
          <w:sz w:val="18"/>
          <w:szCs w:val="18"/>
          <w:shd w:val="clear" w:color="auto" w:fill="F5F5F5"/>
        </w:rPr>
        <w:t>, edited by Michael Berenbaum and Fred Skolnik, 2nd ed., vol. 16, Macmillan Reference USA, 2007, 30-32. </w:t>
      </w:r>
      <w:r w:rsidRPr="005040BD">
        <w:rPr>
          <w:rFonts w:ascii="Verdana" w:hAnsi="Verdana" w:cs="Arial"/>
          <w:i/>
          <w:iCs/>
          <w:sz w:val="18"/>
          <w:szCs w:val="18"/>
          <w:shd w:val="clear" w:color="auto" w:fill="F5F5F5"/>
        </w:rPr>
        <w:t xml:space="preserve">Gale Virtual Reference. Last </w:t>
      </w:r>
      <w:r w:rsidRPr="005040BD">
        <w:rPr>
          <w:rFonts w:ascii="Verdana" w:hAnsi="Verdana" w:cs="Arial"/>
          <w:sz w:val="18"/>
          <w:szCs w:val="18"/>
          <w:shd w:val="clear" w:color="auto" w:fill="F5F5F5"/>
        </w:rPr>
        <w:t>Accessed 04/12/17.</w:t>
      </w:r>
    </w:p>
  </w:footnote>
  <w:footnote w:id="9">
    <w:p w14:paraId="4A939BA5" w14:textId="0DC7E827" w:rsidR="00664D93" w:rsidRPr="005040BD" w:rsidRDefault="00664D93">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s="Arial"/>
          <w:sz w:val="18"/>
          <w:szCs w:val="18"/>
          <w:shd w:val="clear" w:color="auto" w:fill="F5F5F5"/>
        </w:rPr>
        <w:t>Menahem Mansoor. "Pharisees." </w:t>
      </w:r>
      <w:r w:rsidRPr="005040BD">
        <w:rPr>
          <w:rFonts w:ascii="Verdana" w:hAnsi="Verdana" w:cs="Arial"/>
          <w:i/>
          <w:iCs/>
          <w:sz w:val="18"/>
          <w:szCs w:val="18"/>
          <w:shd w:val="clear" w:color="auto" w:fill="F5F5F5"/>
        </w:rPr>
        <w:t>Encyclopaedia Judaica</w:t>
      </w:r>
      <w:r w:rsidRPr="005040BD">
        <w:rPr>
          <w:rFonts w:ascii="Verdana" w:hAnsi="Verdana" w:cs="Arial"/>
          <w:sz w:val="18"/>
          <w:szCs w:val="18"/>
          <w:shd w:val="clear" w:color="auto" w:fill="F5F5F5"/>
        </w:rPr>
        <w:t>, edited by Michael Berenbaum and Fred Skolnik. 30-32.</w:t>
      </w:r>
      <w:r w:rsidRPr="005040BD">
        <w:rPr>
          <w:rFonts w:ascii="Verdana" w:hAnsi="Verdana" w:cs="Arial"/>
          <w:i/>
          <w:iCs/>
          <w:sz w:val="18"/>
          <w:szCs w:val="18"/>
          <w:shd w:val="clear" w:color="auto" w:fill="F5F5F5"/>
        </w:rPr>
        <w:t xml:space="preserve"> Last </w:t>
      </w:r>
      <w:r w:rsidRPr="005040BD">
        <w:rPr>
          <w:rFonts w:ascii="Verdana" w:hAnsi="Verdana" w:cs="Arial"/>
          <w:sz w:val="18"/>
          <w:szCs w:val="18"/>
          <w:shd w:val="clear" w:color="auto" w:fill="F5F5F5"/>
        </w:rPr>
        <w:t>Accessed 04/12/17.</w:t>
      </w:r>
    </w:p>
  </w:footnote>
  <w:footnote w:id="10">
    <w:p w14:paraId="131409BF" w14:textId="180D3AAA" w:rsidR="00AB6B87" w:rsidRPr="005040BD" w:rsidRDefault="00AB6B87" w:rsidP="00AB6B87">
      <w:pPr>
        <w:jc w:val="both"/>
        <w:rPr>
          <w:rFonts w:ascii="Verdana" w:hAnsi="Verdana"/>
          <w:sz w:val="18"/>
          <w:szCs w:val="18"/>
        </w:rPr>
      </w:pPr>
      <w:r w:rsidRPr="005040BD">
        <w:rPr>
          <w:rStyle w:val="FootnoteReference"/>
          <w:rFonts w:ascii="Verdana" w:hAnsi="Verdana"/>
          <w:sz w:val="18"/>
          <w:szCs w:val="18"/>
        </w:rPr>
        <w:footnoteRef/>
      </w:r>
      <w:r w:rsidRPr="005040BD">
        <w:rPr>
          <w:rFonts w:ascii="Verdana" w:hAnsi="Verdana"/>
          <w:sz w:val="18"/>
          <w:szCs w:val="18"/>
        </w:rPr>
        <w:t xml:space="preserve"> </w:t>
      </w:r>
      <w:r w:rsidR="00241107" w:rsidRPr="005040BD">
        <w:rPr>
          <w:rFonts w:ascii="Verdana" w:hAnsi="Verdana"/>
          <w:sz w:val="18"/>
          <w:szCs w:val="18"/>
        </w:rPr>
        <w:t xml:space="preserve">J Neusner, </w:t>
      </w:r>
      <w:r w:rsidR="00241107" w:rsidRPr="005040BD">
        <w:rPr>
          <w:rFonts w:ascii="Verdana" w:hAnsi="Verdana"/>
          <w:i/>
          <w:sz w:val="18"/>
          <w:szCs w:val="18"/>
        </w:rPr>
        <w:t>Judaism in the Beginning of Christianity</w:t>
      </w:r>
      <w:r w:rsidR="00241107" w:rsidRPr="005040BD">
        <w:rPr>
          <w:rFonts w:ascii="Verdana" w:hAnsi="Verdana"/>
          <w:sz w:val="18"/>
          <w:szCs w:val="18"/>
        </w:rPr>
        <w:t>. 45-61.</w:t>
      </w:r>
    </w:p>
  </w:footnote>
  <w:footnote w:id="11">
    <w:p w14:paraId="677D2FDA" w14:textId="06999C33" w:rsidR="00AB6B87" w:rsidRPr="005040BD" w:rsidRDefault="00AB6B87">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Lloyd Jones, G., </w:t>
      </w:r>
      <w:r w:rsidRPr="005040BD">
        <w:rPr>
          <w:rFonts w:ascii="Verdana" w:hAnsi="Verdana"/>
          <w:i/>
          <w:sz w:val="18"/>
          <w:szCs w:val="18"/>
        </w:rPr>
        <w:t>The Bones of Joseph</w:t>
      </w:r>
      <w:r w:rsidRPr="005040BD">
        <w:rPr>
          <w:rFonts w:ascii="Verdana" w:hAnsi="Verdana"/>
          <w:sz w:val="18"/>
          <w:szCs w:val="18"/>
        </w:rPr>
        <w:t xml:space="preserve"> (Grand Rapids: William B. Eerdmans, 1997) 99-122.</w:t>
      </w:r>
    </w:p>
  </w:footnote>
  <w:footnote w:id="12">
    <w:p w14:paraId="4430BBE4" w14:textId="77777777" w:rsidR="00BE1D8C" w:rsidRPr="005040BD" w:rsidRDefault="00BE1D8C" w:rsidP="00BE1D8C">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sz w:val="18"/>
          <w:szCs w:val="18"/>
          <w:lang w:val="en-GB"/>
        </w:rPr>
        <w:t xml:space="preserve">A. </w:t>
      </w:r>
      <w:proofErr w:type="spellStart"/>
      <w:r w:rsidRPr="005040BD">
        <w:rPr>
          <w:rFonts w:ascii="Verdana" w:hAnsi="Verdana"/>
          <w:sz w:val="18"/>
          <w:szCs w:val="18"/>
          <w:lang w:val="en-GB"/>
        </w:rPr>
        <w:t>Lukyn</w:t>
      </w:r>
      <w:proofErr w:type="spellEnd"/>
      <w:r w:rsidRPr="005040BD">
        <w:rPr>
          <w:rFonts w:ascii="Verdana" w:hAnsi="Verdana"/>
          <w:sz w:val="18"/>
          <w:szCs w:val="18"/>
          <w:lang w:val="en-GB"/>
        </w:rPr>
        <w:t xml:space="preserve"> Williams (1933), </w:t>
      </w:r>
      <w:r w:rsidRPr="005040BD">
        <w:rPr>
          <w:rFonts w:ascii="Verdana" w:hAnsi="Verdana"/>
          <w:i/>
          <w:sz w:val="18"/>
          <w:szCs w:val="18"/>
          <w:lang w:val="en-GB"/>
        </w:rPr>
        <w:t xml:space="preserve">Talmudic Judaism and Christianity. </w:t>
      </w:r>
      <w:r w:rsidRPr="005040BD">
        <w:rPr>
          <w:rFonts w:ascii="Verdana" w:hAnsi="Verdana"/>
          <w:sz w:val="18"/>
          <w:szCs w:val="18"/>
          <w:lang w:val="en-GB"/>
        </w:rPr>
        <w:t xml:space="preserve">London: SPCK. 63. </w:t>
      </w:r>
    </w:p>
  </w:footnote>
  <w:footnote w:id="13">
    <w:p w14:paraId="1CA4FE9C" w14:textId="77777777" w:rsidR="00F54928" w:rsidRPr="005040BD" w:rsidRDefault="00F54928">
      <w:pPr>
        <w:pStyle w:val="FootnoteText"/>
        <w:rPr>
          <w:rFonts w:ascii="Verdana" w:hAnsi="Verdana"/>
          <w:i/>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sz w:val="18"/>
          <w:szCs w:val="18"/>
          <w:lang w:val="en-GB"/>
        </w:rPr>
        <w:t xml:space="preserve">R. L. Rubenstein, “Scribes, Pharisees and Hypocrites: A Study in Rabbinic Psychology”, </w:t>
      </w:r>
      <w:r w:rsidRPr="005040BD">
        <w:rPr>
          <w:rFonts w:ascii="Verdana" w:hAnsi="Verdana"/>
          <w:i/>
          <w:sz w:val="18"/>
          <w:szCs w:val="18"/>
          <w:lang w:val="en-GB"/>
        </w:rPr>
        <w:t xml:space="preserve">Judaism 12 </w:t>
      </w:r>
      <w:r w:rsidRPr="005040BD">
        <w:rPr>
          <w:rFonts w:ascii="Verdana" w:hAnsi="Verdana"/>
          <w:sz w:val="18"/>
          <w:szCs w:val="18"/>
          <w:lang w:val="en-GB"/>
        </w:rPr>
        <w:t xml:space="preserve">(1963), 456. </w:t>
      </w:r>
      <w:r w:rsidRPr="005040BD">
        <w:rPr>
          <w:rFonts w:ascii="Verdana" w:hAnsi="Verdana"/>
          <w:i/>
          <w:sz w:val="18"/>
          <w:szCs w:val="18"/>
          <w:lang w:val="en-GB"/>
        </w:rPr>
        <w:t xml:space="preserve"> </w:t>
      </w:r>
    </w:p>
  </w:footnote>
  <w:footnote w:id="14">
    <w:p w14:paraId="00C865EA" w14:textId="17AF6A7A" w:rsidR="00CE3DC6" w:rsidRPr="005040BD" w:rsidRDefault="00CE3DC6">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00132872" w:rsidRPr="005040BD">
        <w:rPr>
          <w:rFonts w:ascii="Verdana" w:hAnsi="Verdana"/>
          <w:color w:val="000000"/>
          <w:sz w:val="18"/>
          <w:szCs w:val="18"/>
        </w:rPr>
        <w:t>Steve Mason (2001),</w:t>
      </w:r>
      <w:r w:rsidRPr="005040BD">
        <w:rPr>
          <w:rFonts w:ascii="Verdana" w:hAnsi="Verdana"/>
          <w:color w:val="000000"/>
          <w:sz w:val="18"/>
          <w:szCs w:val="18"/>
        </w:rPr>
        <w:t> </w:t>
      </w:r>
      <w:r w:rsidRPr="005040BD">
        <w:rPr>
          <w:rFonts w:ascii="Verdana" w:hAnsi="Verdana"/>
          <w:i/>
          <w:iCs/>
          <w:color w:val="000000"/>
          <w:sz w:val="18"/>
          <w:szCs w:val="18"/>
        </w:rPr>
        <w:t>Flavius Josephus on the Pharisees: A Composition-Critical Study</w:t>
      </w:r>
      <w:r w:rsidR="00FF091D" w:rsidRPr="005040BD">
        <w:rPr>
          <w:rFonts w:ascii="Verdana" w:hAnsi="Verdana"/>
          <w:color w:val="000000"/>
          <w:sz w:val="18"/>
          <w:szCs w:val="18"/>
        </w:rPr>
        <w:t>. Boston</w:t>
      </w:r>
      <w:r w:rsidRPr="005040BD">
        <w:rPr>
          <w:rFonts w:ascii="Verdana" w:hAnsi="Verdana"/>
          <w:color w:val="000000"/>
          <w:sz w:val="18"/>
          <w:szCs w:val="18"/>
        </w:rPr>
        <w:t>: Brill Academic Publishers. 5.</w:t>
      </w:r>
    </w:p>
  </w:footnote>
  <w:footnote w:id="15">
    <w:p w14:paraId="2B1BD7D5" w14:textId="512E29CA" w:rsidR="00AB6B87" w:rsidRPr="005040BD" w:rsidRDefault="00AB6B87">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J Neusner, </w:t>
      </w:r>
      <w:r w:rsidRPr="005040BD">
        <w:rPr>
          <w:rFonts w:ascii="Verdana" w:hAnsi="Verdana"/>
          <w:i/>
          <w:sz w:val="18"/>
          <w:szCs w:val="18"/>
        </w:rPr>
        <w:t>Judaism in the Beginning of Christianity</w:t>
      </w:r>
      <w:r w:rsidRPr="005040BD">
        <w:rPr>
          <w:rFonts w:ascii="Verdana" w:hAnsi="Verdana"/>
          <w:sz w:val="18"/>
          <w:szCs w:val="18"/>
        </w:rPr>
        <w:t>. 45-61.</w:t>
      </w:r>
    </w:p>
  </w:footnote>
  <w:footnote w:id="16">
    <w:p w14:paraId="22FA812D" w14:textId="77777777" w:rsidR="00B5135F" w:rsidRPr="005040BD" w:rsidRDefault="00B5135F">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(1992). </w:t>
      </w:r>
      <w:r w:rsidRPr="005040BD">
        <w:rPr>
          <w:rFonts w:ascii="Verdana" w:hAnsi="Verdana"/>
          <w:i/>
          <w:iCs/>
          <w:color w:val="000000"/>
          <w:sz w:val="18"/>
          <w:szCs w:val="18"/>
        </w:rPr>
        <w:t>Judaism: Practice and Belief, 63 BCE-66 CE</w:t>
      </w:r>
      <w:r w:rsidR="004C1E1A" w:rsidRPr="005040BD">
        <w:rPr>
          <w:rFonts w:ascii="Verdana" w:hAnsi="Verdana"/>
          <w:color w:val="000000"/>
          <w:sz w:val="18"/>
          <w:szCs w:val="18"/>
        </w:rPr>
        <w:t>. London: SCM Press</w:t>
      </w:r>
      <w:r w:rsidRPr="005040BD">
        <w:rPr>
          <w:rFonts w:ascii="Verdana" w:hAnsi="Verdana"/>
          <w:color w:val="000000"/>
          <w:sz w:val="18"/>
          <w:szCs w:val="18"/>
        </w:rPr>
        <w:t>. 413-451.</w:t>
      </w:r>
    </w:p>
  </w:footnote>
  <w:footnote w:id="17">
    <w:p w14:paraId="7F3A538B" w14:textId="77777777" w:rsidR="00B5135F" w:rsidRPr="005040BD" w:rsidRDefault="00B5135F">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18">
    <w:p w14:paraId="7BA3E9AD" w14:textId="77777777" w:rsidR="00B5135F" w:rsidRPr="005040BD" w:rsidRDefault="00B5135F">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19">
    <w:p w14:paraId="5A4882EA" w14:textId="77777777" w:rsidR="004C1E1A" w:rsidRPr="005040BD" w:rsidRDefault="004C1E1A" w:rsidP="004C1E1A">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Dan Cohn-Sherbok. </w:t>
      </w:r>
      <w:r w:rsidRPr="005040BD">
        <w:rPr>
          <w:rFonts w:ascii="Verdana" w:hAnsi="Verdana"/>
          <w:i/>
          <w:iCs/>
          <w:color w:val="000000"/>
          <w:sz w:val="18"/>
          <w:szCs w:val="18"/>
        </w:rPr>
        <w:t>Judaism</w:t>
      </w:r>
      <w:r w:rsidRPr="005040BD">
        <w:rPr>
          <w:rFonts w:ascii="Verdana" w:hAnsi="Verdana"/>
          <w:color w:val="000000"/>
          <w:sz w:val="18"/>
          <w:szCs w:val="18"/>
        </w:rPr>
        <w:t>. 90-91.</w:t>
      </w:r>
    </w:p>
  </w:footnote>
  <w:footnote w:id="20">
    <w:p w14:paraId="2AD32898" w14:textId="77777777" w:rsidR="000D0744" w:rsidRPr="005040BD" w:rsidRDefault="000D0744">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Dan Cohn-Sherbok. </w:t>
      </w:r>
      <w:r w:rsidRPr="005040BD">
        <w:rPr>
          <w:rFonts w:ascii="Verdana" w:hAnsi="Verdana"/>
          <w:i/>
          <w:iCs/>
          <w:color w:val="000000"/>
          <w:sz w:val="18"/>
          <w:szCs w:val="18"/>
        </w:rPr>
        <w:t>Judaism</w:t>
      </w:r>
      <w:r w:rsidRPr="005040BD">
        <w:rPr>
          <w:rFonts w:ascii="Verdana" w:hAnsi="Verdana"/>
          <w:color w:val="000000"/>
          <w:sz w:val="18"/>
          <w:szCs w:val="18"/>
        </w:rPr>
        <w:t>. 90-91.</w:t>
      </w:r>
    </w:p>
  </w:footnote>
  <w:footnote w:id="21">
    <w:p w14:paraId="01C9240B" w14:textId="77777777" w:rsidR="00150404" w:rsidRPr="005040BD" w:rsidRDefault="00150404">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Dan Cohn-Sherbok. </w:t>
      </w:r>
      <w:r w:rsidRPr="005040BD">
        <w:rPr>
          <w:rFonts w:ascii="Verdana" w:hAnsi="Verdana"/>
          <w:i/>
          <w:iCs/>
          <w:color w:val="000000"/>
          <w:sz w:val="18"/>
          <w:szCs w:val="18"/>
        </w:rPr>
        <w:t>Judaism</w:t>
      </w:r>
      <w:r w:rsidRPr="005040BD">
        <w:rPr>
          <w:rFonts w:ascii="Verdana" w:hAnsi="Verdana"/>
          <w:color w:val="000000"/>
          <w:sz w:val="18"/>
          <w:szCs w:val="18"/>
        </w:rPr>
        <w:t>. 90-91.</w:t>
      </w:r>
    </w:p>
  </w:footnote>
  <w:footnote w:id="22">
    <w:p w14:paraId="7B466373" w14:textId="28822348" w:rsidR="00AB6B87" w:rsidRPr="005040BD" w:rsidRDefault="00AB6B87">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J Neusner, </w:t>
      </w:r>
      <w:r w:rsidRPr="005040BD">
        <w:rPr>
          <w:rFonts w:ascii="Verdana" w:hAnsi="Verdana"/>
          <w:i/>
          <w:sz w:val="18"/>
          <w:szCs w:val="18"/>
        </w:rPr>
        <w:t>Judaism in the Beginning of Christianity</w:t>
      </w:r>
      <w:r w:rsidRPr="005040BD">
        <w:rPr>
          <w:rFonts w:ascii="Verdana" w:hAnsi="Verdana"/>
          <w:sz w:val="18"/>
          <w:szCs w:val="18"/>
        </w:rPr>
        <w:t>. 45-61.</w:t>
      </w:r>
    </w:p>
  </w:footnote>
  <w:footnote w:id="23">
    <w:p w14:paraId="50D925FA" w14:textId="77777777" w:rsidR="00B5135F" w:rsidRPr="005040BD" w:rsidRDefault="00B5135F">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24">
    <w:p w14:paraId="3592DA50" w14:textId="77777777" w:rsidR="00B5135F" w:rsidRPr="005040BD" w:rsidRDefault="00B5135F">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25">
    <w:p w14:paraId="5DCDF784" w14:textId="77777777" w:rsidR="00040C54" w:rsidRPr="005040BD" w:rsidRDefault="00040C54">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The Editors of Encyclopædia Britannica. </w:t>
      </w:r>
      <w:r w:rsidRPr="005040BD">
        <w:rPr>
          <w:rFonts w:ascii="Verdana" w:hAnsi="Verdana"/>
          <w:i/>
          <w:iCs/>
          <w:sz w:val="18"/>
          <w:szCs w:val="18"/>
        </w:rPr>
        <w:t>Pharisee.</w:t>
      </w:r>
      <w:r w:rsidRPr="005040BD">
        <w:rPr>
          <w:rFonts w:ascii="Verdana" w:hAnsi="Verdana"/>
          <w:sz w:val="18"/>
          <w:szCs w:val="18"/>
        </w:rPr>
        <w:t xml:space="preserve"> Last accessed 04/12/2017.</w:t>
      </w:r>
    </w:p>
  </w:footnote>
  <w:footnote w:id="26">
    <w:p w14:paraId="419D7598" w14:textId="77777777" w:rsidR="00F34F4A" w:rsidRPr="005040BD" w:rsidRDefault="00F34F4A">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00773C27" w:rsidRPr="005040BD">
        <w:rPr>
          <w:rFonts w:ascii="Verdana" w:hAnsi="Verdana" w:cs="Arial"/>
          <w:sz w:val="18"/>
          <w:szCs w:val="18"/>
          <w:shd w:val="clear" w:color="auto" w:fill="F5F5F5"/>
        </w:rPr>
        <w:t>Menahem Mansoor. "Pharisees." </w:t>
      </w:r>
      <w:r w:rsidR="00773C27" w:rsidRPr="005040BD">
        <w:rPr>
          <w:rFonts w:ascii="Verdana" w:hAnsi="Verdana" w:cs="Arial"/>
          <w:i/>
          <w:iCs/>
          <w:sz w:val="18"/>
          <w:szCs w:val="18"/>
          <w:shd w:val="clear" w:color="auto" w:fill="F5F5F5"/>
        </w:rPr>
        <w:t>Encyclopaedia Judaica</w:t>
      </w:r>
      <w:r w:rsidR="00773C27" w:rsidRPr="005040BD">
        <w:rPr>
          <w:rFonts w:ascii="Verdana" w:hAnsi="Verdana" w:cs="Arial"/>
          <w:sz w:val="18"/>
          <w:szCs w:val="18"/>
          <w:shd w:val="clear" w:color="auto" w:fill="F5F5F5"/>
        </w:rPr>
        <w:t>, edited by Michael Berenbaum and Fred Skolnik. 30-32.</w:t>
      </w:r>
      <w:r w:rsidR="00773C27" w:rsidRPr="005040BD">
        <w:rPr>
          <w:rFonts w:ascii="Verdana" w:hAnsi="Verdana" w:cs="Arial"/>
          <w:i/>
          <w:iCs/>
          <w:sz w:val="18"/>
          <w:szCs w:val="18"/>
          <w:shd w:val="clear" w:color="auto" w:fill="F5F5F5"/>
        </w:rPr>
        <w:t xml:space="preserve"> Last </w:t>
      </w:r>
      <w:r w:rsidR="00773C27" w:rsidRPr="005040BD">
        <w:rPr>
          <w:rFonts w:ascii="Verdana" w:hAnsi="Verdana" w:cs="Arial"/>
          <w:sz w:val="18"/>
          <w:szCs w:val="18"/>
          <w:shd w:val="clear" w:color="auto" w:fill="F5F5F5"/>
        </w:rPr>
        <w:t>Accessed 04/12/17.</w:t>
      </w:r>
    </w:p>
  </w:footnote>
  <w:footnote w:id="27">
    <w:p w14:paraId="50B51E9C" w14:textId="77777777" w:rsidR="00880331" w:rsidRPr="005040BD" w:rsidRDefault="00880331">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s="Arial"/>
          <w:sz w:val="18"/>
          <w:szCs w:val="18"/>
          <w:shd w:val="clear" w:color="auto" w:fill="F5F5F5"/>
        </w:rPr>
        <w:t>Menahem Mansoor. "Pharisees." </w:t>
      </w:r>
      <w:r w:rsidRPr="005040BD">
        <w:rPr>
          <w:rFonts w:ascii="Verdana" w:hAnsi="Verdana" w:cs="Arial"/>
          <w:i/>
          <w:iCs/>
          <w:sz w:val="18"/>
          <w:szCs w:val="18"/>
          <w:shd w:val="clear" w:color="auto" w:fill="F5F5F5"/>
        </w:rPr>
        <w:t>Encyclopaedia Judaica</w:t>
      </w:r>
      <w:r w:rsidRPr="005040BD">
        <w:rPr>
          <w:rFonts w:ascii="Verdana" w:hAnsi="Verdana" w:cs="Arial"/>
          <w:sz w:val="18"/>
          <w:szCs w:val="18"/>
          <w:shd w:val="clear" w:color="auto" w:fill="F5F5F5"/>
        </w:rPr>
        <w:t>, edited by Michael Berenbaum and Fred Skolnik. 30-32.</w:t>
      </w:r>
      <w:r w:rsidRPr="005040BD">
        <w:rPr>
          <w:rFonts w:ascii="Verdana" w:hAnsi="Verdana" w:cs="Arial"/>
          <w:i/>
          <w:iCs/>
          <w:sz w:val="18"/>
          <w:szCs w:val="18"/>
          <w:shd w:val="clear" w:color="auto" w:fill="F5F5F5"/>
        </w:rPr>
        <w:t xml:space="preserve"> Last </w:t>
      </w:r>
      <w:r w:rsidRPr="005040BD">
        <w:rPr>
          <w:rFonts w:ascii="Verdana" w:hAnsi="Verdana" w:cs="Arial"/>
          <w:sz w:val="18"/>
          <w:szCs w:val="18"/>
          <w:shd w:val="clear" w:color="auto" w:fill="F5F5F5"/>
        </w:rPr>
        <w:t>Accessed 04/12/17.</w:t>
      </w:r>
    </w:p>
  </w:footnote>
  <w:footnote w:id="28">
    <w:p w14:paraId="4F643112" w14:textId="77777777" w:rsidR="00E31C5C" w:rsidRPr="005040BD" w:rsidRDefault="00E31C5C">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s="Arial"/>
          <w:sz w:val="18"/>
          <w:szCs w:val="18"/>
          <w:shd w:val="clear" w:color="auto" w:fill="F5F5F5"/>
        </w:rPr>
        <w:t>Menahem Mansoor. "Pharisees." </w:t>
      </w:r>
      <w:r w:rsidRPr="005040BD">
        <w:rPr>
          <w:rFonts w:ascii="Verdana" w:hAnsi="Verdana" w:cs="Arial"/>
          <w:i/>
          <w:iCs/>
          <w:sz w:val="18"/>
          <w:szCs w:val="18"/>
          <w:shd w:val="clear" w:color="auto" w:fill="F5F5F5"/>
        </w:rPr>
        <w:t>Encyclopaedia Judaica</w:t>
      </w:r>
      <w:r w:rsidRPr="005040BD">
        <w:rPr>
          <w:rFonts w:ascii="Verdana" w:hAnsi="Verdana" w:cs="Arial"/>
          <w:sz w:val="18"/>
          <w:szCs w:val="18"/>
          <w:shd w:val="clear" w:color="auto" w:fill="F5F5F5"/>
        </w:rPr>
        <w:t>, edited by Michael Berenbaum and Fred Skolnik. 30-32.</w:t>
      </w:r>
      <w:r w:rsidRPr="005040BD">
        <w:rPr>
          <w:rFonts w:ascii="Verdana" w:hAnsi="Verdana" w:cs="Arial"/>
          <w:i/>
          <w:iCs/>
          <w:sz w:val="18"/>
          <w:szCs w:val="18"/>
          <w:shd w:val="clear" w:color="auto" w:fill="F5F5F5"/>
        </w:rPr>
        <w:t xml:space="preserve"> Last </w:t>
      </w:r>
      <w:r w:rsidRPr="005040BD">
        <w:rPr>
          <w:rFonts w:ascii="Verdana" w:hAnsi="Verdana" w:cs="Arial"/>
          <w:sz w:val="18"/>
          <w:szCs w:val="18"/>
          <w:shd w:val="clear" w:color="auto" w:fill="F5F5F5"/>
        </w:rPr>
        <w:t>Accessed 04/12/17.</w:t>
      </w:r>
    </w:p>
  </w:footnote>
  <w:footnote w:id="29">
    <w:p w14:paraId="71BA08A5" w14:textId="0899DE32" w:rsidR="00B23483" w:rsidRPr="005040BD" w:rsidRDefault="00B23483">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30">
    <w:p w14:paraId="6BA7898F" w14:textId="48EC9C58" w:rsidR="00B23483" w:rsidRPr="005040BD" w:rsidRDefault="00B23483">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31">
    <w:p w14:paraId="24DB6408" w14:textId="53CF6AF1" w:rsidR="00B23483" w:rsidRPr="005040BD" w:rsidRDefault="00B23483">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32">
    <w:p w14:paraId="6A86B598" w14:textId="73AFC0BB" w:rsidR="00EE6C16" w:rsidRPr="005040BD" w:rsidRDefault="00EE6C16">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33">
    <w:p w14:paraId="3518BE08" w14:textId="1A19FE74" w:rsidR="00AC4545" w:rsidRPr="005040BD" w:rsidRDefault="00AC4545">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34">
    <w:p w14:paraId="49A4C6B2" w14:textId="50D03E93" w:rsidR="00AC4545" w:rsidRPr="005040BD" w:rsidRDefault="00AC4545">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footnote>
  <w:footnote w:id="35">
    <w:p w14:paraId="20457188" w14:textId="77777777" w:rsidR="00AC4545" w:rsidRPr="005040BD" w:rsidRDefault="00AC4545" w:rsidP="00AC4545">
      <w:pPr>
        <w:pStyle w:val="FootnoteText"/>
        <w:rPr>
          <w:rFonts w:ascii="Verdana" w:hAnsi="Verdana"/>
          <w:sz w:val="18"/>
          <w:szCs w:val="18"/>
          <w:lang w:val="en-GB"/>
        </w:rPr>
      </w:pPr>
      <w:r w:rsidRPr="005040BD">
        <w:rPr>
          <w:rStyle w:val="FootnoteReference"/>
          <w:rFonts w:ascii="Verdana" w:hAnsi="Verdana"/>
          <w:sz w:val="18"/>
          <w:szCs w:val="18"/>
        </w:rPr>
        <w:footnoteRef/>
      </w:r>
      <w:r w:rsidRPr="005040BD">
        <w:rPr>
          <w:rFonts w:ascii="Verdana" w:hAnsi="Verdana"/>
          <w:sz w:val="18"/>
          <w:szCs w:val="18"/>
        </w:rPr>
        <w:t xml:space="preserve"> </w:t>
      </w:r>
      <w:r w:rsidRPr="005040BD">
        <w:rPr>
          <w:rFonts w:ascii="Verdana" w:hAnsi="Verdana"/>
          <w:color w:val="000000"/>
          <w:sz w:val="18"/>
          <w:szCs w:val="18"/>
        </w:rPr>
        <w:t>E. P. Sanders. </w:t>
      </w:r>
      <w:r w:rsidRPr="005040BD">
        <w:rPr>
          <w:rFonts w:ascii="Verdana" w:hAnsi="Verdana"/>
          <w:i/>
          <w:iCs/>
          <w:color w:val="000000"/>
          <w:sz w:val="18"/>
          <w:szCs w:val="18"/>
        </w:rPr>
        <w:t>Judaism: Practice and Belief, 63 BCE-66 CE</w:t>
      </w:r>
      <w:r w:rsidRPr="005040BD">
        <w:rPr>
          <w:rFonts w:ascii="Verdana" w:hAnsi="Verdana"/>
          <w:color w:val="000000"/>
          <w:sz w:val="18"/>
          <w:szCs w:val="18"/>
        </w:rPr>
        <w:t>. 413-451.</w:t>
      </w:r>
    </w:p>
    <w:p w14:paraId="5571D29D" w14:textId="295AED11" w:rsidR="00AC4545" w:rsidRPr="007A1135" w:rsidRDefault="00AC4545">
      <w:pPr>
        <w:pStyle w:val="FootnoteText"/>
        <w:rPr>
          <w:rFonts w:ascii="Verdana" w:hAnsi="Verdana"/>
          <w:sz w:val="18"/>
          <w:szCs w:val="18"/>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921B3"/>
    <w:multiLevelType w:val="hybridMultilevel"/>
    <w:tmpl w:val="2E30659E"/>
    <w:lvl w:ilvl="0" w:tplc="DF6236FE">
      <w:start w:val="1"/>
      <w:numFmt w:val="bullet"/>
      <w:lvlText w:val=""/>
      <w:lvlJc w:val="left"/>
      <w:pPr>
        <w:tabs>
          <w:tab w:val="num" w:pos="720"/>
        </w:tabs>
        <w:ind w:left="720" w:hanging="360"/>
      </w:pPr>
      <w:rPr>
        <w:rFonts w:ascii="Wingdings" w:hAnsi="Wingdings" w:hint="default"/>
      </w:rPr>
    </w:lvl>
    <w:lvl w:ilvl="1" w:tplc="05DE74D0" w:tentative="1">
      <w:start w:val="1"/>
      <w:numFmt w:val="bullet"/>
      <w:lvlText w:val=""/>
      <w:lvlJc w:val="left"/>
      <w:pPr>
        <w:tabs>
          <w:tab w:val="num" w:pos="1440"/>
        </w:tabs>
        <w:ind w:left="1440" w:hanging="360"/>
      </w:pPr>
      <w:rPr>
        <w:rFonts w:ascii="Wingdings" w:hAnsi="Wingdings" w:hint="default"/>
      </w:rPr>
    </w:lvl>
    <w:lvl w:ilvl="2" w:tplc="ED02EECE" w:tentative="1">
      <w:start w:val="1"/>
      <w:numFmt w:val="bullet"/>
      <w:lvlText w:val=""/>
      <w:lvlJc w:val="left"/>
      <w:pPr>
        <w:tabs>
          <w:tab w:val="num" w:pos="2160"/>
        </w:tabs>
        <w:ind w:left="2160" w:hanging="360"/>
      </w:pPr>
      <w:rPr>
        <w:rFonts w:ascii="Wingdings" w:hAnsi="Wingdings" w:hint="default"/>
      </w:rPr>
    </w:lvl>
    <w:lvl w:ilvl="3" w:tplc="E0DCD1D6" w:tentative="1">
      <w:start w:val="1"/>
      <w:numFmt w:val="bullet"/>
      <w:lvlText w:val=""/>
      <w:lvlJc w:val="left"/>
      <w:pPr>
        <w:tabs>
          <w:tab w:val="num" w:pos="2880"/>
        </w:tabs>
        <w:ind w:left="2880" w:hanging="360"/>
      </w:pPr>
      <w:rPr>
        <w:rFonts w:ascii="Wingdings" w:hAnsi="Wingdings" w:hint="default"/>
      </w:rPr>
    </w:lvl>
    <w:lvl w:ilvl="4" w:tplc="888CECA2" w:tentative="1">
      <w:start w:val="1"/>
      <w:numFmt w:val="bullet"/>
      <w:lvlText w:val=""/>
      <w:lvlJc w:val="left"/>
      <w:pPr>
        <w:tabs>
          <w:tab w:val="num" w:pos="3600"/>
        </w:tabs>
        <w:ind w:left="3600" w:hanging="360"/>
      </w:pPr>
      <w:rPr>
        <w:rFonts w:ascii="Wingdings" w:hAnsi="Wingdings" w:hint="default"/>
      </w:rPr>
    </w:lvl>
    <w:lvl w:ilvl="5" w:tplc="CBFE53A4" w:tentative="1">
      <w:start w:val="1"/>
      <w:numFmt w:val="bullet"/>
      <w:lvlText w:val=""/>
      <w:lvlJc w:val="left"/>
      <w:pPr>
        <w:tabs>
          <w:tab w:val="num" w:pos="4320"/>
        </w:tabs>
        <w:ind w:left="4320" w:hanging="360"/>
      </w:pPr>
      <w:rPr>
        <w:rFonts w:ascii="Wingdings" w:hAnsi="Wingdings" w:hint="default"/>
      </w:rPr>
    </w:lvl>
    <w:lvl w:ilvl="6" w:tplc="487E5BFA" w:tentative="1">
      <w:start w:val="1"/>
      <w:numFmt w:val="bullet"/>
      <w:lvlText w:val=""/>
      <w:lvlJc w:val="left"/>
      <w:pPr>
        <w:tabs>
          <w:tab w:val="num" w:pos="5040"/>
        </w:tabs>
        <w:ind w:left="5040" w:hanging="360"/>
      </w:pPr>
      <w:rPr>
        <w:rFonts w:ascii="Wingdings" w:hAnsi="Wingdings" w:hint="default"/>
      </w:rPr>
    </w:lvl>
    <w:lvl w:ilvl="7" w:tplc="158C0702" w:tentative="1">
      <w:start w:val="1"/>
      <w:numFmt w:val="bullet"/>
      <w:lvlText w:val=""/>
      <w:lvlJc w:val="left"/>
      <w:pPr>
        <w:tabs>
          <w:tab w:val="num" w:pos="5760"/>
        </w:tabs>
        <w:ind w:left="5760" w:hanging="360"/>
      </w:pPr>
      <w:rPr>
        <w:rFonts w:ascii="Wingdings" w:hAnsi="Wingdings" w:hint="default"/>
      </w:rPr>
    </w:lvl>
    <w:lvl w:ilvl="8" w:tplc="54E2D2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41C4715"/>
    <w:multiLevelType w:val="hybridMultilevel"/>
    <w:tmpl w:val="79B8E868"/>
    <w:lvl w:ilvl="0" w:tplc="871265B8">
      <w:start w:val="1"/>
      <w:numFmt w:val="bullet"/>
      <w:lvlText w:val=""/>
      <w:lvlJc w:val="left"/>
      <w:pPr>
        <w:tabs>
          <w:tab w:val="num" w:pos="720"/>
        </w:tabs>
        <w:ind w:left="720" w:hanging="360"/>
      </w:pPr>
      <w:rPr>
        <w:rFonts w:ascii="Wingdings" w:hAnsi="Wingdings" w:hint="default"/>
      </w:rPr>
    </w:lvl>
    <w:lvl w:ilvl="1" w:tplc="BAE44C8C" w:tentative="1">
      <w:start w:val="1"/>
      <w:numFmt w:val="bullet"/>
      <w:lvlText w:val=""/>
      <w:lvlJc w:val="left"/>
      <w:pPr>
        <w:tabs>
          <w:tab w:val="num" w:pos="1440"/>
        </w:tabs>
        <w:ind w:left="1440" w:hanging="360"/>
      </w:pPr>
      <w:rPr>
        <w:rFonts w:ascii="Wingdings" w:hAnsi="Wingdings" w:hint="default"/>
      </w:rPr>
    </w:lvl>
    <w:lvl w:ilvl="2" w:tplc="1B6C6A76" w:tentative="1">
      <w:start w:val="1"/>
      <w:numFmt w:val="bullet"/>
      <w:lvlText w:val=""/>
      <w:lvlJc w:val="left"/>
      <w:pPr>
        <w:tabs>
          <w:tab w:val="num" w:pos="2160"/>
        </w:tabs>
        <w:ind w:left="2160" w:hanging="360"/>
      </w:pPr>
      <w:rPr>
        <w:rFonts w:ascii="Wingdings" w:hAnsi="Wingdings" w:hint="default"/>
      </w:rPr>
    </w:lvl>
    <w:lvl w:ilvl="3" w:tplc="94F05B66" w:tentative="1">
      <w:start w:val="1"/>
      <w:numFmt w:val="bullet"/>
      <w:lvlText w:val=""/>
      <w:lvlJc w:val="left"/>
      <w:pPr>
        <w:tabs>
          <w:tab w:val="num" w:pos="2880"/>
        </w:tabs>
        <w:ind w:left="2880" w:hanging="360"/>
      </w:pPr>
      <w:rPr>
        <w:rFonts w:ascii="Wingdings" w:hAnsi="Wingdings" w:hint="default"/>
      </w:rPr>
    </w:lvl>
    <w:lvl w:ilvl="4" w:tplc="BBC053DA" w:tentative="1">
      <w:start w:val="1"/>
      <w:numFmt w:val="bullet"/>
      <w:lvlText w:val=""/>
      <w:lvlJc w:val="left"/>
      <w:pPr>
        <w:tabs>
          <w:tab w:val="num" w:pos="3600"/>
        </w:tabs>
        <w:ind w:left="3600" w:hanging="360"/>
      </w:pPr>
      <w:rPr>
        <w:rFonts w:ascii="Wingdings" w:hAnsi="Wingdings" w:hint="default"/>
      </w:rPr>
    </w:lvl>
    <w:lvl w:ilvl="5" w:tplc="65AAB7F6" w:tentative="1">
      <w:start w:val="1"/>
      <w:numFmt w:val="bullet"/>
      <w:lvlText w:val=""/>
      <w:lvlJc w:val="left"/>
      <w:pPr>
        <w:tabs>
          <w:tab w:val="num" w:pos="4320"/>
        </w:tabs>
        <w:ind w:left="4320" w:hanging="360"/>
      </w:pPr>
      <w:rPr>
        <w:rFonts w:ascii="Wingdings" w:hAnsi="Wingdings" w:hint="default"/>
      </w:rPr>
    </w:lvl>
    <w:lvl w:ilvl="6" w:tplc="D4266C4A" w:tentative="1">
      <w:start w:val="1"/>
      <w:numFmt w:val="bullet"/>
      <w:lvlText w:val=""/>
      <w:lvlJc w:val="left"/>
      <w:pPr>
        <w:tabs>
          <w:tab w:val="num" w:pos="5040"/>
        </w:tabs>
        <w:ind w:left="5040" w:hanging="360"/>
      </w:pPr>
      <w:rPr>
        <w:rFonts w:ascii="Wingdings" w:hAnsi="Wingdings" w:hint="default"/>
      </w:rPr>
    </w:lvl>
    <w:lvl w:ilvl="7" w:tplc="D1AC4562" w:tentative="1">
      <w:start w:val="1"/>
      <w:numFmt w:val="bullet"/>
      <w:lvlText w:val=""/>
      <w:lvlJc w:val="left"/>
      <w:pPr>
        <w:tabs>
          <w:tab w:val="num" w:pos="5760"/>
        </w:tabs>
        <w:ind w:left="5760" w:hanging="360"/>
      </w:pPr>
      <w:rPr>
        <w:rFonts w:ascii="Wingdings" w:hAnsi="Wingdings" w:hint="default"/>
      </w:rPr>
    </w:lvl>
    <w:lvl w:ilvl="8" w:tplc="445E33B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A754C00"/>
    <w:multiLevelType w:val="hybridMultilevel"/>
    <w:tmpl w:val="B1D275A2"/>
    <w:lvl w:ilvl="0" w:tplc="627CC166">
      <w:start w:val="1"/>
      <w:numFmt w:val="bullet"/>
      <w:lvlText w:val=""/>
      <w:lvlJc w:val="left"/>
      <w:pPr>
        <w:tabs>
          <w:tab w:val="num" w:pos="720"/>
        </w:tabs>
        <w:ind w:left="720" w:hanging="360"/>
      </w:pPr>
      <w:rPr>
        <w:rFonts w:ascii="Wingdings" w:hAnsi="Wingdings" w:hint="default"/>
      </w:rPr>
    </w:lvl>
    <w:lvl w:ilvl="1" w:tplc="137015E0" w:tentative="1">
      <w:start w:val="1"/>
      <w:numFmt w:val="bullet"/>
      <w:lvlText w:val=""/>
      <w:lvlJc w:val="left"/>
      <w:pPr>
        <w:tabs>
          <w:tab w:val="num" w:pos="1440"/>
        </w:tabs>
        <w:ind w:left="1440" w:hanging="360"/>
      </w:pPr>
      <w:rPr>
        <w:rFonts w:ascii="Wingdings" w:hAnsi="Wingdings" w:hint="default"/>
      </w:rPr>
    </w:lvl>
    <w:lvl w:ilvl="2" w:tplc="AE4079A6" w:tentative="1">
      <w:start w:val="1"/>
      <w:numFmt w:val="bullet"/>
      <w:lvlText w:val=""/>
      <w:lvlJc w:val="left"/>
      <w:pPr>
        <w:tabs>
          <w:tab w:val="num" w:pos="2160"/>
        </w:tabs>
        <w:ind w:left="2160" w:hanging="360"/>
      </w:pPr>
      <w:rPr>
        <w:rFonts w:ascii="Wingdings" w:hAnsi="Wingdings" w:hint="default"/>
      </w:rPr>
    </w:lvl>
    <w:lvl w:ilvl="3" w:tplc="4210EB3C" w:tentative="1">
      <w:start w:val="1"/>
      <w:numFmt w:val="bullet"/>
      <w:lvlText w:val=""/>
      <w:lvlJc w:val="left"/>
      <w:pPr>
        <w:tabs>
          <w:tab w:val="num" w:pos="2880"/>
        </w:tabs>
        <w:ind w:left="2880" w:hanging="360"/>
      </w:pPr>
      <w:rPr>
        <w:rFonts w:ascii="Wingdings" w:hAnsi="Wingdings" w:hint="default"/>
      </w:rPr>
    </w:lvl>
    <w:lvl w:ilvl="4" w:tplc="E0026BA2" w:tentative="1">
      <w:start w:val="1"/>
      <w:numFmt w:val="bullet"/>
      <w:lvlText w:val=""/>
      <w:lvlJc w:val="left"/>
      <w:pPr>
        <w:tabs>
          <w:tab w:val="num" w:pos="3600"/>
        </w:tabs>
        <w:ind w:left="3600" w:hanging="360"/>
      </w:pPr>
      <w:rPr>
        <w:rFonts w:ascii="Wingdings" w:hAnsi="Wingdings" w:hint="default"/>
      </w:rPr>
    </w:lvl>
    <w:lvl w:ilvl="5" w:tplc="AF5A85B4" w:tentative="1">
      <w:start w:val="1"/>
      <w:numFmt w:val="bullet"/>
      <w:lvlText w:val=""/>
      <w:lvlJc w:val="left"/>
      <w:pPr>
        <w:tabs>
          <w:tab w:val="num" w:pos="4320"/>
        </w:tabs>
        <w:ind w:left="4320" w:hanging="360"/>
      </w:pPr>
      <w:rPr>
        <w:rFonts w:ascii="Wingdings" w:hAnsi="Wingdings" w:hint="default"/>
      </w:rPr>
    </w:lvl>
    <w:lvl w:ilvl="6" w:tplc="B44AF864" w:tentative="1">
      <w:start w:val="1"/>
      <w:numFmt w:val="bullet"/>
      <w:lvlText w:val=""/>
      <w:lvlJc w:val="left"/>
      <w:pPr>
        <w:tabs>
          <w:tab w:val="num" w:pos="5040"/>
        </w:tabs>
        <w:ind w:left="5040" w:hanging="360"/>
      </w:pPr>
      <w:rPr>
        <w:rFonts w:ascii="Wingdings" w:hAnsi="Wingdings" w:hint="default"/>
      </w:rPr>
    </w:lvl>
    <w:lvl w:ilvl="7" w:tplc="DCC2AF3C" w:tentative="1">
      <w:start w:val="1"/>
      <w:numFmt w:val="bullet"/>
      <w:lvlText w:val=""/>
      <w:lvlJc w:val="left"/>
      <w:pPr>
        <w:tabs>
          <w:tab w:val="num" w:pos="5760"/>
        </w:tabs>
        <w:ind w:left="5760" w:hanging="360"/>
      </w:pPr>
      <w:rPr>
        <w:rFonts w:ascii="Wingdings" w:hAnsi="Wingdings" w:hint="default"/>
      </w:rPr>
    </w:lvl>
    <w:lvl w:ilvl="8" w:tplc="10ACE5A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AFF5BC9"/>
    <w:multiLevelType w:val="hybridMultilevel"/>
    <w:tmpl w:val="5226DA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87"/>
    <w:rsid w:val="0001603C"/>
    <w:rsid w:val="00024D85"/>
    <w:rsid w:val="00040C54"/>
    <w:rsid w:val="00041243"/>
    <w:rsid w:val="00052ADF"/>
    <w:rsid w:val="00053B11"/>
    <w:rsid w:val="00060CD7"/>
    <w:rsid w:val="000629FF"/>
    <w:rsid w:val="00062A9F"/>
    <w:rsid w:val="000653C2"/>
    <w:rsid w:val="0008107F"/>
    <w:rsid w:val="00084709"/>
    <w:rsid w:val="000A0AF8"/>
    <w:rsid w:val="000A1470"/>
    <w:rsid w:val="000B64E5"/>
    <w:rsid w:val="000B7776"/>
    <w:rsid w:val="000C0F76"/>
    <w:rsid w:val="000C5217"/>
    <w:rsid w:val="000C6C57"/>
    <w:rsid w:val="000D0744"/>
    <w:rsid w:val="000D4886"/>
    <w:rsid w:val="000E5E71"/>
    <w:rsid w:val="00107A3E"/>
    <w:rsid w:val="00112C2A"/>
    <w:rsid w:val="00125B0D"/>
    <w:rsid w:val="00125BAF"/>
    <w:rsid w:val="00132872"/>
    <w:rsid w:val="00140E07"/>
    <w:rsid w:val="0014232E"/>
    <w:rsid w:val="00146564"/>
    <w:rsid w:val="00150404"/>
    <w:rsid w:val="001518F5"/>
    <w:rsid w:val="0015540A"/>
    <w:rsid w:val="00165D4F"/>
    <w:rsid w:val="00187776"/>
    <w:rsid w:val="0019436F"/>
    <w:rsid w:val="001C188F"/>
    <w:rsid w:val="001F257A"/>
    <w:rsid w:val="001F34FA"/>
    <w:rsid w:val="002012A4"/>
    <w:rsid w:val="00207D74"/>
    <w:rsid w:val="0021111F"/>
    <w:rsid w:val="0021123C"/>
    <w:rsid w:val="002120B0"/>
    <w:rsid w:val="002146DB"/>
    <w:rsid w:val="00230022"/>
    <w:rsid w:val="00241107"/>
    <w:rsid w:val="0024799F"/>
    <w:rsid w:val="002540DB"/>
    <w:rsid w:val="00254F02"/>
    <w:rsid w:val="00281C2A"/>
    <w:rsid w:val="00287F12"/>
    <w:rsid w:val="00294C06"/>
    <w:rsid w:val="002A7609"/>
    <w:rsid w:val="002B10C8"/>
    <w:rsid w:val="002B3F84"/>
    <w:rsid w:val="002E36F0"/>
    <w:rsid w:val="00300E95"/>
    <w:rsid w:val="00320A73"/>
    <w:rsid w:val="0032286F"/>
    <w:rsid w:val="003310B6"/>
    <w:rsid w:val="00335BFA"/>
    <w:rsid w:val="00341725"/>
    <w:rsid w:val="0035365D"/>
    <w:rsid w:val="0036533D"/>
    <w:rsid w:val="0036696C"/>
    <w:rsid w:val="0037212A"/>
    <w:rsid w:val="003805FD"/>
    <w:rsid w:val="00387704"/>
    <w:rsid w:val="0039358D"/>
    <w:rsid w:val="003B6B3D"/>
    <w:rsid w:val="003C1DEA"/>
    <w:rsid w:val="003C282D"/>
    <w:rsid w:val="003E085A"/>
    <w:rsid w:val="003E1778"/>
    <w:rsid w:val="003E1F49"/>
    <w:rsid w:val="003E4155"/>
    <w:rsid w:val="003E60F8"/>
    <w:rsid w:val="003F14BB"/>
    <w:rsid w:val="003F297F"/>
    <w:rsid w:val="004073E6"/>
    <w:rsid w:val="004105F6"/>
    <w:rsid w:val="00417A72"/>
    <w:rsid w:val="00425580"/>
    <w:rsid w:val="00440236"/>
    <w:rsid w:val="00444D7A"/>
    <w:rsid w:val="00446102"/>
    <w:rsid w:val="0046452D"/>
    <w:rsid w:val="0047399A"/>
    <w:rsid w:val="00481F7C"/>
    <w:rsid w:val="00485C6A"/>
    <w:rsid w:val="00493DBD"/>
    <w:rsid w:val="00497107"/>
    <w:rsid w:val="004A71D9"/>
    <w:rsid w:val="004C1E1A"/>
    <w:rsid w:val="004D0849"/>
    <w:rsid w:val="004D1333"/>
    <w:rsid w:val="004D67B5"/>
    <w:rsid w:val="004F0B24"/>
    <w:rsid w:val="005019A8"/>
    <w:rsid w:val="005040BD"/>
    <w:rsid w:val="00511B9D"/>
    <w:rsid w:val="00511E1A"/>
    <w:rsid w:val="00513E4B"/>
    <w:rsid w:val="005145EF"/>
    <w:rsid w:val="0051572B"/>
    <w:rsid w:val="00525F4F"/>
    <w:rsid w:val="00526AB7"/>
    <w:rsid w:val="0053562F"/>
    <w:rsid w:val="00536F04"/>
    <w:rsid w:val="005558D0"/>
    <w:rsid w:val="00577BF6"/>
    <w:rsid w:val="00577CE1"/>
    <w:rsid w:val="00587E15"/>
    <w:rsid w:val="00590BCD"/>
    <w:rsid w:val="00594655"/>
    <w:rsid w:val="005A6AE3"/>
    <w:rsid w:val="005B3619"/>
    <w:rsid w:val="005C0C11"/>
    <w:rsid w:val="005C60B9"/>
    <w:rsid w:val="005D09D6"/>
    <w:rsid w:val="005D4914"/>
    <w:rsid w:val="005E507C"/>
    <w:rsid w:val="005F35D2"/>
    <w:rsid w:val="006034CC"/>
    <w:rsid w:val="006218F3"/>
    <w:rsid w:val="00624249"/>
    <w:rsid w:val="00630E2B"/>
    <w:rsid w:val="00634361"/>
    <w:rsid w:val="00634FC6"/>
    <w:rsid w:val="00646E7C"/>
    <w:rsid w:val="00651C69"/>
    <w:rsid w:val="00653A2F"/>
    <w:rsid w:val="00664D93"/>
    <w:rsid w:val="00666331"/>
    <w:rsid w:val="00690E68"/>
    <w:rsid w:val="006A365C"/>
    <w:rsid w:val="006B5C67"/>
    <w:rsid w:val="006C6AD2"/>
    <w:rsid w:val="006D2D37"/>
    <w:rsid w:val="006E47BB"/>
    <w:rsid w:val="00711193"/>
    <w:rsid w:val="00716D4C"/>
    <w:rsid w:val="0072020D"/>
    <w:rsid w:val="00735C2F"/>
    <w:rsid w:val="00741D6D"/>
    <w:rsid w:val="00745922"/>
    <w:rsid w:val="00756F4C"/>
    <w:rsid w:val="007727C8"/>
    <w:rsid w:val="00773C27"/>
    <w:rsid w:val="007748C0"/>
    <w:rsid w:val="0077745D"/>
    <w:rsid w:val="0078527C"/>
    <w:rsid w:val="007A1135"/>
    <w:rsid w:val="007A18EB"/>
    <w:rsid w:val="007B337D"/>
    <w:rsid w:val="007C053F"/>
    <w:rsid w:val="007C121D"/>
    <w:rsid w:val="007C1235"/>
    <w:rsid w:val="007C22C0"/>
    <w:rsid w:val="007C50AE"/>
    <w:rsid w:val="007C7326"/>
    <w:rsid w:val="007C73B2"/>
    <w:rsid w:val="007D6F6C"/>
    <w:rsid w:val="007E3C21"/>
    <w:rsid w:val="00804770"/>
    <w:rsid w:val="00804F5A"/>
    <w:rsid w:val="00805DD9"/>
    <w:rsid w:val="0081377C"/>
    <w:rsid w:val="00816DD8"/>
    <w:rsid w:val="0083487F"/>
    <w:rsid w:val="0084117B"/>
    <w:rsid w:val="00841587"/>
    <w:rsid w:val="00851689"/>
    <w:rsid w:val="0086008B"/>
    <w:rsid w:val="00864216"/>
    <w:rsid w:val="0087132F"/>
    <w:rsid w:val="00880331"/>
    <w:rsid w:val="00882947"/>
    <w:rsid w:val="0089611E"/>
    <w:rsid w:val="008A1455"/>
    <w:rsid w:val="008A3D39"/>
    <w:rsid w:val="008B0B58"/>
    <w:rsid w:val="008B6D14"/>
    <w:rsid w:val="008C7E23"/>
    <w:rsid w:val="008D02FD"/>
    <w:rsid w:val="008D660A"/>
    <w:rsid w:val="008D6BB1"/>
    <w:rsid w:val="008E0F3D"/>
    <w:rsid w:val="008F1B51"/>
    <w:rsid w:val="008F7256"/>
    <w:rsid w:val="008F7A39"/>
    <w:rsid w:val="00901DF5"/>
    <w:rsid w:val="00902644"/>
    <w:rsid w:val="00913679"/>
    <w:rsid w:val="00925491"/>
    <w:rsid w:val="00932A8E"/>
    <w:rsid w:val="009519A6"/>
    <w:rsid w:val="00971465"/>
    <w:rsid w:val="00992403"/>
    <w:rsid w:val="009958A7"/>
    <w:rsid w:val="009A3D10"/>
    <w:rsid w:val="009B6518"/>
    <w:rsid w:val="009D643A"/>
    <w:rsid w:val="00A048A1"/>
    <w:rsid w:val="00A10274"/>
    <w:rsid w:val="00A169D2"/>
    <w:rsid w:val="00A17B8B"/>
    <w:rsid w:val="00A27393"/>
    <w:rsid w:val="00A30AE0"/>
    <w:rsid w:val="00A55ED8"/>
    <w:rsid w:val="00A67455"/>
    <w:rsid w:val="00A67677"/>
    <w:rsid w:val="00A67C6B"/>
    <w:rsid w:val="00A70D95"/>
    <w:rsid w:val="00A830C8"/>
    <w:rsid w:val="00A95EA5"/>
    <w:rsid w:val="00AB680F"/>
    <w:rsid w:val="00AB694C"/>
    <w:rsid w:val="00AB6B87"/>
    <w:rsid w:val="00AC004D"/>
    <w:rsid w:val="00AC4545"/>
    <w:rsid w:val="00AC4CA2"/>
    <w:rsid w:val="00AC59E3"/>
    <w:rsid w:val="00AD4BB4"/>
    <w:rsid w:val="00AE5EA0"/>
    <w:rsid w:val="00AF2C7A"/>
    <w:rsid w:val="00AF323B"/>
    <w:rsid w:val="00AF3C9B"/>
    <w:rsid w:val="00B001B6"/>
    <w:rsid w:val="00B00D5C"/>
    <w:rsid w:val="00B04331"/>
    <w:rsid w:val="00B05E94"/>
    <w:rsid w:val="00B165BD"/>
    <w:rsid w:val="00B23483"/>
    <w:rsid w:val="00B236B7"/>
    <w:rsid w:val="00B25C08"/>
    <w:rsid w:val="00B40ADA"/>
    <w:rsid w:val="00B5135F"/>
    <w:rsid w:val="00B53B9B"/>
    <w:rsid w:val="00B653D2"/>
    <w:rsid w:val="00B77256"/>
    <w:rsid w:val="00B81AEE"/>
    <w:rsid w:val="00B85D16"/>
    <w:rsid w:val="00B87EFD"/>
    <w:rsid w:val="00B87F68"/>
    <w:rsid w:val="00B90E05"/>
    <w:rsid w:val="00BB6947"/>
    <w:rsid w:val="00BC0617"/>
    <w:rsid w:val="00BC44A2"/>
    <w:rsid w:val="00BC506B"/>
    <w:rsid w:val="00BD06F0"/>
    <w:rsid w:val="00BE1D8C"/>
    <w:rsid w:val="00BF12F0"/>
    <w:rsid w:val="00C00D7A"/>
    <w:rsid w:val="00C0269C"/>
    <w:rsid w:val="00C25A59"/>
    <w:rsid w:val="00C277BC"/>
    <w:rsid w:val="00C2795E"/>
    <w:rsid w:val="00C34CE7"/>
    <w:rsid w:val="00C353F6"/>
    <w:rsid w:val="00C43CAD"/>
    <w:rsid w:val="00C544E9"/>
    <w:rsid w:val="00C630D3"/>
    <w:rsid w:val="00C6464F"/>
    <w:rsid w:val="00C65E23"/>
    <w:rsid w:val="00C841D8"/>
    <w:rsid w:val="00CA412F"/>
    <w:rsid w:val="00CA60D9"/>
    <w:rsid w:val="00CC50B7"/>
    <w:rsid w:val="00CD201F"/>
    <w:rsid w:val="00CD4904"/>
    <w:rsid w:val="00CD7857"/>
    <w:rsid w:val="00CE3DC6"/>
    <w:rsid w:val="00CE4428"/>
    <w:rsid w:val="00CE75C0"/>
    <w:rsid w:val="00CF101A"/>
    <w:rsid w:val="00CF2DC4"/>
    <w:rsid w:val="00CF449F"/>
    <w:rsid w:val="00D00B60"/>
    <w:rsid w:val="00D06A38"/>
    <w:rsid w:val="00D15D2F"/>
    <w:rsid w:val="00D30A23"/>
    <w:rsid w:val="00D323C3"/>
    <w:rsid w:val="00D369D2"/>
    <w:rsid w:val="00D46338"/>
    <w:rsid w:val="00D56E8F"/>
    <w:rsid w:val="00D656D6"/>
    <w:rsid w:val="00D86FAE"/>
    <w:rsid w:val="00D87F9B"/>
    <w:rsid w:val="00D911ED"/>
    <w:rsid w:val="00DC720C"/>
    <w:rsid w:val="00DD4333"/>
    <w:rsid w:val="00DE06B5"/>
    <w:rsid w:val="00DE4CB9"/>
    <w:rsid w:val="00DE5C1E"/>
    <w:rsid w:val="00E14F40"/>
    <w:rsid w:val="00E17B66"/>
    <w:rsid w:val="00E268CE"/>
    <w:rsid w:val="00E31C5C"/>
    <w:rsid w:val="00E354F3"/>
    <w:rsid w:val="00E44EE4"/>
    <w:rsid w:val="00E46C84"/>
    <w:rsid w:val="00E57CCE"/>
    <w:rsid w:val="00E65E3F"/>
    <w:rsid w:val="00E710D4"/>
    <w:rsid w:val="00E90829"/>
    <w:rsid w:val="00E92BC2"/>
    <w:rsid w:val="00E96A20"/>
    <w:rsid w:val="00EA003B"/>
    <w:rsid w:val="00EB2EA8"/>
    <w:rsid w:val="00ED44B9"/>
    <w:rsid w:val="00EE00DA"/>
    <w:rsid w:val="00EE11DA"/>
    <w:rsid w:val="00EE6C16"/>
    <w:rsid w:val="00EF1D6C"/>
    <w:rsid w:val="00EF34AD"/>
    <w:rsid w:val="00EF7807"/>
    <w:rsid w:val="00F147E7"/>
    <w:rsid w:val="00F211E8"/>
    <w:rsid w:val="00F21740"/>
    <w:rsid w:val="00F2486B"/>
    <w:rsid w:val="00F31DCC"/>
    <w:rsid w:val="00F32141"/>
    <w:rsid w:val="00F34F4A"/>
    <w:rsid w:val="00F468BA"/>
    <w:rsid w:val="00F4733A"/>
    <w:rsid w:val="00F54928"/>
    <w:rsid w:val="00F55982"/>
    <w:rsid w:val="00F725D4"/>
    <w:rsid w:val="00F92D53"/>
    <w:rsid w:val="00F94349"/>
    <w:rsid w:val="00F95A23"/>
    <w:rsid w:val="00F95BB1"/>
    <w:rsid w:val="00FA08D9"/>
    <w:rsid w:val="00FA36B7"/>
    <w:rsid w:val="00FA5788"/>
    <w:rsid w:val="00FA67D7"/>
    <w:rsid w:val="00FA6F18"/>
    <w:rsid w:val="00FB51CC"/>
    <w:rsid w:val="00FD40E6"/>
    <w:rsid w:val="00FF0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272F8"/>
  <w15:chartTrackingRefBased/>
  <w15:docId w15:val="{DD9C943F-7B24-4F8D-90C7-A69F8D96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41587"/>
    <w:rPr>
      <w:b/>
      <w:bCs/>
    </w:rPr>
  </w:style>
  <w:style w:type="paragraph" w:styleId="ListParagraph">
    <w:name w:val="List Paragraph"/>
    <w:basedOn w:val="Normal"/>
    <w:uiPriority w:val="34"/>
    <w:qFormat/>
    <w:rsid w:val="00932A8E"/>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unhideWhenUsed/>
    <w:rsid w:val="0047399A"/>
    <w:pPr>
      <w:spacing w:after="0" w:line="240" w:lineRule="auto"/>
    </w:pPr>
    <w:rPr>
      <w:sz w:val="20"/>
      <w:szCs w:val="20"/>
    </w:rPr>
  </w:style>
  <w:style w:type="character" w:customStyle="1" w:styleId="FootnoteTextChar">
    <w:name w:val="Footnote Text Char"/>
    <w:basedOn w:val="DefaultParagraphFont"/>
    <w:link w:val="FootnoteText"/>
    <w:uiPriority w:val="99"/>
    <w:rsid w:val="0047399A"/>
    <w:rPr>
      <w:sz w:val="20"/>
      <w:szCs w:val="20"/>
      <w:lang w:val="cy-GB"/>
    </w:rPr>
  </w:style>
  <w:style w:type="character" w:styleId="FootnoteReference">
    <w:name w:val="footnote reference"/>
    <w:basedOn w:val="DefaultParagraphFont"/>
    <w:uiPriority w:val="99"/>
    <w:semiHidden/>
    <w:unhideWhenUsed/>
    <w:rsid w:val="0047399A"/>
    <w:rPr>
      <w:vertAlign w:val="superscript"/>
    </w:rPr>
  </w:style>
  <w:style w:type="character" w:customStyle="1" w:styleId="shorttext">
    <w:name w:val="short_text"/>
    <w:basedOn w:val="DefaultParagraphFont"/>
    <w:rsid w:val="00DD4333"/>
  </w:style>
  <w:style w:type="character" w:customStyle="1" w:styleId="docurl">
    <w:name w:val="docurl"/>
    <w:basedOn w:val="DefaultParagraphFont"/>
    <w:rsid w:val="00F34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7792">
      <w:bodyDiv w:val="1"/>
      <w:marLeft w:val="0"/>
      <w:marRight w:val="0"/>
      <w:marTop w:val="0"/>
      <w:marBottom w:val="0"/>
      <w:divBdr>
        <w:top w:val="none" w:sz="0" w:space="0" w:color="auto"/>
        <w:left w:val="none" w:sz="0" w:space="0" w:color="auto"/>
        <w:bottom w:val="none" w:sz="0" w:space="0" w:color="auto"/>
        <w:right w:val="none" w:sz="0" w:space="0" w:color="auto"/>
      </w:divBdr>
      <w:divsChild>
        <w:div w:id="1133016793">
          <w:marLeft w:val="504"/>
          <w:marRight w:val="0"/>
          <w:marTop w:val="140"/>
          <w:marBottom w:val="0"/>
          <w:divBdr>
            <w:top w:val="none" w:sz="0" w:space="0" w:color="auto"/>
            <w:left w:val="none" w:sz="0" w:space="0" w:color="auto"/>
            <w:bottom w:val="none" w:sz="0" w:space="0" w:color="auto"/>
            <w:right w:val="none" w:sz="0" w:space="0" w:color="auto"/>
          </w:divBdr>
        </w:div>
      </w:divsChild>
    </w:div>
    <w:div w:id="351541192">
      <w:bodyDiv w:val="1"/>
      <w:marLeft w:val="0"/>
      <w:marRight w:val="0"/>
      <w:marTop w:val="0"/>
      <w:marBottom w:val="0"/>
      <w:divBdr>
        <w:top w:val="none" w:sz="0" w:space="0" w:color="auto"/>
        <w:left w:val="none" w:sz="0" w:space="0" w:color="auto"/>
        <w:bottom w:val="none" w:sz="0" w:space="0" w:color="auto"/>
        <w:right w:val="none" w:sz="0" w:space="0" w:color="auto"/>
      </w:divBdr>
      <w:divsChild>
        <w:div w:id="677535528">
          <w:marLeft w:val="504"/>
          <w:marRight w:val="0"/>
          <w:marTop w:val="140"/>
          <w:marBottom w:val="0"/>
          <w:divBdr>
            <w:top w:val="none" w:sz="0" w:space="0" w:color="auto"/>
            <w:left w:val="none" w:sz="0" w:space="0" w:color="auto"/>
            <w:bottom w:val="none" w:sz="0" w:space="0" w:color="auto"/>
            <w:right w:val="none" w:sz="0" w:space="0" w:color="auto"/>
          </w:divBdr>
        </w:div>
      </w:divsChild>
    </w:div>
    <w:div w:id="437676702">
      <w:bodyDiv w:val="1"/>
      <w:marLeft w:val="0"/>
      <w:marRight w:val="0"/>
      <w:marTop w:val="0"/>
      <w:marBottom w:val="0"/>
      <w:divBdr>
        <w:top w:val="none" w:sz="0" w:space="0" w:color="auto"/>
        <w:left w:val="none" w:sz="0" w:space="0" w:color="auto"/>
        <w:bottom w:val="none" w:sz="0" w:space="0" w:color="auto"/>
        <w:right w:val="none" w:sz="0" w:space="0" w:color="auto"/>
      </w:divBdr>
      <w:divsChild>
        <w:div w:id="215703316">
          <w:marLeft w:val="0"/>
          <w:marRight w:val="0"/>
          <w:marTop w:val="0"/>
          <w:marBottom w:val="0"/>
          <w:divBdr>
            <w:top w:val="none" w:sz="0" w:space="0" w:color="auto"/>
            <w:left w:val="none" w:sz="0" w:space="0" w:color="auto"/>
            <w:bottom w:val="none" w:sz="0" w:space="0" w:color="auto"/>
            <w:right w:val="none" w:sz="0" w:space="0" w:color="auto"/>
          </w:divBdr>
          <w:divsChild>
            <w:div w:id="2135714180">
              <w:marLeft w:val="0"/>
              <w:marRight w:val="0"/>
              <w:marTop w:val="0"/>
              <w:marBottom w:val="0"/>
              <w:divBdr>
                <w:top w:val="none" w:sz="0" w:space="0" w:color="auto"/>
                <w:left w:val="none" w:sz="0" w:space="0" w:color="auto"/>
                <w:bottom w:val="none" w:sz="0" w:space="0" w:color="auto"/>
                <w:right w:val="none" w:sz="0" w:space="0" w:color="auto"/>
              </w:divBdr>
              <w:divsChild>
                <w:div w:id="1078946443">
                  <w:marLeft w:val="0"/>
                  <w:marRight w:val="0"/>
                  <w:marTop w:val="0"/>
                  <w:marBottom w:val="0"/>
                  <w:divBdr>
                    <w:top w:val="none" w:sz="0" w:space="0" w:color="auto"/>
                    <w:left w:val="none" w:sz="0" w:space="0" w:color="auto"/>
                    <w:bottom w:val="none" w:sz="0" w:space="0" w:color="auto"/>
                    <w:right w:val="none" w:sz="0" w:space="0" w:color="auto"/>
                  </w:divBdr>
                  <w:divsChild>
                    <w:div w:id="635987783">
                      <w:marLeft w:val="0"/>
                      <w:marRight w:val="0"/>
                      <w:marTop w:val="0"/>
                      <w:marBottom w:val="0"/>
                      <w:divBdr>
                        <w:top w:val="none" w:sz="0" w:space="0" w:color="auto"/>
                        <w:left w:val="none" w:sz="0" w:space="0" w:color="auto"/>
                        <w:bottom w:val="none" w:sz="0" w:space="0" w:color="auto"/>
                        <w:right w:val="none" w:sz="0" w:space="0" w:color="auto"/>
                      </w:divBdr>
                      <w:divsChild>
                        <w:div w:id="1784418943">
                          <w:marLeft w:val="0"/>
                          <w:marRight w:val="0"/>
                          <w:marTop w:val="0"/>
                          <w:marBottom w:val="0"/>
                          <w:divBdr>
                            <w:top w:val="none" w:sz="0" w:space="0" w:color="auto"/>
                            <w:left w:val="none" w:sz="0" w:space="0" w:color="auto"/>
                            <w:bottom w:val="none" w:sz="0" w:space="0" w:color="auto"/>
                            <w:right w:val="none" w:sz="0" w:space="0" w:color="auto"/>
                          </w:divBdr>
                          <w:divsChild>
                            <w:div w:id="1823035213">
                              <w:marLeft w:val="0"/>
                              <w:marRight w:val="0"/>
                              <w:marTop w:val="0"/>
                              <w:marBottom w:val="0"/>
                              <w:divBdr>
                                <w:top w:val="none" w:sz="0" w:space="0" w:color="auto"/>
                                <w:left w:val="none" w:sz="0" w:space="0" w:color="auto"/>
                                <w:bottom w:val="none" w:sz="0" w:space="0" w:color="auto"/>
                                <w:right w:val="none" w:sz="0" w:space="0" w:color="auto"/>
                              </w:divBdr>
                              <w:divsChild>
                                <w:div w:id="2037196692">
                                  <w:marLeft w:val="0"/>
                                  <w:marRight w:val="0"/>
                                  <w:marTop w:val="0"/>
                                  <w:marBottom w:val="0"/>
                                  <w:divBdr>
                                    <w:top w:val="none" w:sz="0" w:space="0" w:color="auto"/>
                                    <w:left w:val="none" w:sz="0" w:space="0" w:color="auto"/>
                                    <w:bottom w:val="none" w:sz="0" w:space="0" w:color="auto"/>
                                    <w:right w:val="none" w:sz="0" w:space="0" w:color="auto"/>
                                  </w:divBdr>
                                  <w:divsChild>
                                    <w:div w:id="768936036">
                                      <w:marLeft w:val="60"/>
                                      <w:marRight w:val="0"/>
                                      <w:marTop w:val="0"/>
                                      <w:marBottom w:val="0"/>
                                      <w:divBdr>
                                        <w:top w:val="none" w:sz="0" w:space="0" w:color="auto"/>
                                        <w:left w:val="none" w:sz="0" w:space="0" w:color="auto"/>
                                        <w:bottom w:val="none" w:sz="0" w:space="0" w:color="auto"/>
                                        <w:right w:val="none" w:sz="0" w:space="0" w:color="auto"/>
                                      </w:divBdr>
                                      <w:divsChild>
                                        <w:div w:id="1558973986">
                                          <w:marLeft w:val="0"/>
                                          <w:marRight w:val="0"/>
                                          <w:marTop w:val="0"/>
                                          <w:marBottom w:val="0"/>
                                          <w:divBdr>
                                            <w:top w:val="none" w:sz="0" w:space="0" w:color="auto"/>
                                            <w:left w:val="none" w:sz="0" w:space="0" w:color="auto"/>
                                            <w:bottom w:val="none" w:sz="0" w:space="0" w:color="auto"/>
                                            <w:right w:val="none" w:sz="0" w:space="0" w:color="auto"/>
                                          </w:divBdr>
                                          <w:divsChild>
                                            <w:div w:id="87699455">
                                              <w:marLeft w:val="0"/>
                                              <w:marRight w:val="0"/>
                                              <w:marTop w:val="0"/>
                                              <w:marBottom w:val="120"/>
                                              <w:divBdr>
                                                <w:top w:val="single" w:sz="6" w:space="0" w:color="F5F5F5"/>
                                                <w:left w:val="single" w:sz="6" w:space="0" w:color="F5F5F5"/>
                                                <w:bottom w:val="single" w:sz="6" w:space="0" w:color="F5F5F5"/>
                                                <w:right w:val="single" w:sz="6" w:space="0" w:color="F5F5F5"/>
                                              </w:divBdr>
                                              <w:divsChild>
                                                <w:div w:id="1879199439">
                                                  <w:marLeft w:val="0"/>
                                                  <w:marRight w:val="0"/>
                                                  <w:marTop w:val="0"/>
                                                  <w:marBottom w:val="0"/>
                                                  <w:divBdr>
                                                    <w:top w:val="none" w:sz="0" w:space="0" w:color="auto"/>
                                                    <w:left w:val="none" w:sz="0" w:space="0" w:color="auto"/>
                                                    <w:bottom w:val="none" w:sz="0" w:space="0" w:color="auto"/>
                                                    <w:right w:val="none" w:sz="0" w:space="0" w:color="auto"/>
                                                  </w:divBdr>
                                                  <w:divsChild>
                                                    <w:div w:id="107277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7683247">
      <w:bodyDiv w:val="1"/>
      <w:marLeft w:val="0"/>
      <w:marRight w:val="0"/>
      <w:marTop w:val="0"/>
      <w:marBottom w:val="0"/>
      <w:divBdr>
        <w:top w:val="none" w:sz="0" w:space="0" w:color="auto"/>
        <w:left w:val="none" w:sz="0" w:space="0" w:color="auto"/>
        <w:bottom w:val="none" w:sz="0" w:space="0" w:color="auto"/>
        <w:right w:val="none" w:sz="0" w:space="0" w:color="auto"/>
      </w:divBdr>
      <w:divsChild>
        <w:div w:id="489560913">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22A7E-939A-4572-888E-81D32D35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8</Pages>
  <Words>2764</Words>
  <Characters>15757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dc:creator>
  <cp:keywords/>
  <dc:description/>
  <cp:lastModifiedBy>Eleri</cp:lastModifiedBy>
  <cp:revision>26</cp:revision>
  <dcterms:created xsi:type="dcterms:W3CDTF">2017-12-06T16:42:00Z</dcterms:created>
  <dcterms:modified xsi:type="dcterms:W3CDTF">2017-12-08T18:33:00Z</dcterms:modified>
</cp:coreProperties>
</file>