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899EBB" w14:textId="77777777" w:rsidR="00E675A6" w:rsidRPr="00A67A7E" w:rsidRDefault="00E675A6" w:rsidP="00E675A6">
      <w:pPr>
        <w:ind w:left="720"/>
        <w:rPr>
          <w:rFonts w:ascii="Georgia" w:hAnsi="Georgia"/>
          <w:szCs w:val="24"/>
        </w:rPr>
      </w:pPr>
      <w:r w:rsidRPr="00A67A7E">
        <w:rPr>
          <w:rFonts w:ascii="Georgia" w:hAnsi="Georgia"/>
          <w:b/>
          <w:bCs/>
          <w:szCs w:val="24"/>
        </w:rPr>
        <w:t>7</w:t>
      </w:r>
      <w:r w:rsidRPr="00A67A7E">
        <w:rPr>
          <w:rFonts w:ascii="Georgia" w:hAnsi="Georgia"/>
          <w:b/>
          <w:bCs/>
          <w:szCs w:val="24"/>
        </w:rPr>
        <w:tab/>
        <w:t>Islamic Politics in Palestine [DEA]</w:t>
      </w:r>
      <w:r>
        <w:rPr>
          <w:rFonts w:ascii="Georgia" w:hAnsi="Georgia"/>
          <w:b/>
          <w:bCs/>
          <w:szCs w:val="24"/>
        </w:rPr>
        <w:t xml:space="preserve"> </w:t>
      </w:r>
      <w:r>
        <w:rPr>
          <w:rStyle w:val="FootnoteReference"/>
          <w:rFonts w:ascii="Georgia" w:hAnsi="Georgia"/>
          <w:b/>
          <w:bCs/>
          <w:szCs w:val="24"/>
        </w:rPr>
        <w:footnoteReference w:id="1"/>
      </w:r>
    </w:p>
    <w:p w14:paraId="0F9B4FAB" w14:textId="77777777" w:rsidR="00E675A6" w:rsidRPr="00570082" w:rsidRDefault="00E675A6" w:rsidP="00E675A6">
      <w:pPr>
        <w:ind w:left="720"/>
        <w:rPr>
          <w:rFonts w:ascii="Georgia" w:hAnsi="Georgia"/>
        </w:rPr>
      </w:pPr>
    </w:p>
    <w:p w14:paraId="544BFD88" w14:textId="77777777" w:rsidR="00A90EFF" w:rsidRPr="006527DD" w:rsidRDefault="00A90EFF" w:rsidP="00A90EFF">
      <w:pPr>
        <w:ind w:left="720"/>
        <w:rPr>
          <w:rFonts w:ascii="Georgia" w:hAnsi="Georgia"/>
          <w:i/>
          <w:szCs w:val="24"/>
        </w:rPr>
      </w:pPr>
      <w:r w:rsidRPr="006527DD">
        <w:rPr>
          <w:rFonts w:ascii="Georgia" w:hAnsi="Georgia"/>
          <w:i/>
          <w:szCs w:val="24"/>
        </w:rPr>
        <w:t xml:space="preserve">The author has placed references to key suggested reading in parenthesis. Should you wish to read these, they can be obtained through libraries. </w:t>
      </w:r>
    </w:p>
    <w:p w14:paraId="024A1CE8" w14:textId="77777777" w:rsidR="00A90EFF" w:rsidRDefault="00A90EFF" w:rsidP="00E675A6">
      <w:pPr>
        <w:ind w:left="720" w:firstLine="720"/>
        <w:rPr>
          <w:rFonts w:ascii="Georgia" w:hAnsi="Georgia"/>
        </w:rPr>
      </w:pPr>
    </w:p>
    <w:p w14:paraId="7043A33B" w14:textId="77777777" w:rsidR="00E675A6" w:rsidRDefault="00E675A6" w:rsidP="00E675A6">
      <w:pPr>
        <w:ind w:left="720" w:firstLine="720"/>
        <w:rPr>
          <w:rFonts w:ascii="Georgia" w:hAnsi="Georgia"/>
        </w:rPr>
      </w:pPr>
      <w:bookmarkStart w:id="0" w:name="_GoBack"/>
      <w:bookmarkEnd w:id="0"/>
      <w:r w:rsidRPr="00570082">
        <w:rPr>
          <w:rFonts w:ascii="Georgia" w:hAnsi="Georgia"/>
        </w:rPr>
        <w:t xml:space="preserve">As suggested in the section on Egypt, students should have a good overall grasp of the history of the region in general and Palestine in particular in order to place this topic in context.  </w:t>
      </w:r>
    </w:p>
    <w:p w14:paraId="6DD9FC0E" w14:textId="77777777" w:rsidR="00E675A6" w:rsidRPr="00570082" w:rsidRDefault="00E675A6" w:rsidP="00E675A6">
      <w:pPr>
        <w:ind w:left="720"/>
        <w:rPr>
          <w:rFonts w:ascii="Georgia" w:hAnsi="Georgia"/>
        </w:rPr>
      </w:pPr>
    </w:p>
    <w:p w14:paraId="5EA78BF6" w14:textId="77777777" w:rsidR="00E675A6" w:rsidRDefault="00E675A6" w:rsidP="00E675A6">
      <w:pPr>
        <w:ind w:left="720"/>
        <w:rPr>
          <w:rFonts w:ascii="Georgia" w:hAnsi="Georgia"/>
        </w:rPr>
      </w:pPr>
      <w:r w:rsidRPr="00570082">
        <w:rPr>
          <w:rFonts w:ascii="Georgia" w:hAnsi="Georgia"/>
        </w:rPr>
        <w:t xml:space="preserve">Suggested background reading: </w:t>
      </w:r>
    </w:p>
    <w:p w14:paraId="5CB14557" w14:textId="77777777" w:rsidR="00E675A6" w:rsidRPr="00570082" w:rsidRDefault="00E675A6" w:rsidP="00E675A6">
      <w:pPr>
        <w:ind w:left="720"/>
        <w:rPr>
          <w:rFonts w:ascii="Georgia" w:hAnsi="Georgia"/>
        </w:rPr>
      </w:pPr>
    </w:p>
    <w:p w14:paraId="17BE06CE" w14:textId="77777777" w:rsidR="00E675A6" w:rsidRPr="00570082" w:rsidRDefault="00E675A6" w:rsidP="00E675A6">
      <w:pPr>
        <w:ind w:left="720" w:firstLine="720"/>
        <w:rPr>
          <w:rFonts w:ascii="Georgia" w:hAnsi="Georgia"/>
        </w:rPr>
      </w:pPr>
      <w:r w:rsidRPr="00570082">
        <w:rPr>
          <w:rFonts w:ascii="Georgia" w:hAnsi="Georgia"/>
        </w:rPr>
        <w:t xml:space="preserve">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7017CB66" w14:textId="77777777" w:rsidR="00E675A6" w:rsidRPr="00570082" w:rsidRDefault="00E675A6" w:rsidP="00E675A6">
      <w:pPr>
        <w:ind w:left="720"/>
        <w:rPr>
          <w:rFonts w:ascii="Georgia" w:hAnsi="Georgia"/>
        </w:rPr>
      </w:pPr>
    </w:p>
    <w:p w14:paraId="5BE2FB98" w14:textId="77777777" w:rsidR="00E675A6" w:rsidRPr="00570082" w:rsidRDefault="00E675A6" w:rsidP="00E675A6">
      <w:pPr>
        <w:ind w:left="720"/>
        <w:rPr>
          <w:rFonts w:ascii="Georgia" w:hAnsi="Georgia"/>
        </w:rPr>
      </w:pPr>
      <w:r w:rsidRPr="00570082">
        <w:rPr>
          <w:rFonts w:ascii="Georgia" w:hAnsi="Georgia"/>
        </w:rPr>
        <w:t xml:space="preserve">Cohn-Sherbok, Dan and El-Alami, Dawoud, </w:t>
      </w:r>
      <w:r w:rsidRPr="00570082">
        <w:rPr>
          <w:rFonts w:ascii="Georgia" w:hAnsi="Georgia"/>
          <w:u w:val="single"/>
        </w:rPr>
        <w:t>The Palestine Israeli Conflict – A beginners guide</w:t>
      </w:r>
      <w:r w:rsidRPr="00570082">
        <w:rPr>
          <w:rFonts w:ascii="Georgia" w:hAnsi="Georgia"/>
        </w:rPr>
        <w:t>, One World Books, Oxford 2003</w:t>
      </w:r>
    </w:p>
    <w:p w14:paraId="2DDAD3A8" w14:textId="77777777" w:rsidR="00E675A6" w:rsidRPr="00570082" w:rsidRDefault="00E675A6" w:rsidP="00E675A6">
      <w:pPr>
        <w:ind w:left="720"/>
        <w:rPr>
          <w:rFonts w:ascii="Georgia" w:hAnsi="Georgia"/>
        </w:rPr>
      </w:pPr>
    </w:p>
    <w:p w14:paraId="3EF69AEA" w14:textId="77777777" w:rsidR="00E675A6" w:rsidRPr="00570082" w:rsidRDefault="00E675A6" w:rsidP="00E675A6">
      <w:pPr>
        <w:ind w:left="720"/>
        <w:rPr>
          <w:rFonts w:ascii="Georgia" w:hAnsi="Georgia"/>
          <w:b/>
          <w:bCs/>
        </w:rPr>
      </w:pPr>
      <w:r w:rsidRPr="00570082">
        <w:rPr>
          <w:rFonts w:ascii="Georgia" w:hAnsi="Georgia"/>
        </w:rPr>
        <w:t>This section will focus on the period of Islamic revival from the late 1970s although Islamic organisations were important in the inter-war period prior to the creation of the State of Israel –</w:t>
      </w:r>
      <w:r w:rsidRPr="00570082">
        <w:rPr>
          <w:rFonts w:ascii="Georgia" w:hAnsi="Georgia"/>
          <w:b/>
          <w:bCs/>
        </w:rPr>
        <w:t xml:space="preserve"> [ P1 Cohn-Sherbok and El-Alami,  </w:t>
      </w:r>
      <w:r w:rsidRPr="00570082">
        <w:rPr>
          <w:rFonts w:ascii="Georgia" w:hAnsi="Georgia"/>
          <w:b/>
          <w:bCs/>
          <w:u w:val="single"/>
        </w:rPr>
        <w:t>The Palestine Israeli Conflict</w:t>
      </w:r>
      <w:r w:rsidRPr="00570082">
        <w:rPr>
          <w:rFonts w:ascii="Georgia" w:hAnsi="Georgia"/>
          <w:b/>
          <w:bCs/>
        </w:rPr>
        <w:t>. Chs. 2 and 8</w:t>
      </w:r>
    </w:p>
    <w:p w14:paraId="15A1D668" w14:textId="77777777" w:rsidR="00E675A6" w:rsidRPr="00570082" w:rsidRDefault="00E675A6" w:rsidP="00E675A6">
      <w:pPr>
        <w:ind w:left="720"/>
        <w:rPr>
          <w:rFonts w:ascii="Georgia" w:hAnsi="Georgia"/>
        </w:rPr>
      </w:pPr>
    </w:p>
    <w:p w14:paraId="7CAB0D9F" w14:textId="77777777" w:rsidR="00E675A6" w:rsidRPr="00570082" w:rsidRDefault="00E675A6" w:rsidP="00E675A6">
      <w:pPr>
        <w:ind w:left="720"/>
        <w:rPr>
          <w:rFonts w:ascii="Georgia" w:hAnsi="Georgia"/>
          <w:b/>
          <w:bCs/>
        </w:rPr>
      </w:pPr>
      <w:r w:rsidRPr="00570082">
        <w:rPr>
          <w:rFonts w:ascii="Georgia" w:hAnsi="Georgia"/>
          <w:b/>
          <w:bCs/>
        </w:rPr>
        <w:t xml:space="preserve">As a key text for this section, students are recommended to read   Milton Edwards, Beverley, </w:t>
      </w:r>
      <w:r w:rsidRPr="00570082">
        <w:rPr>
          <w:rFonts w:ascii="Georgia" w:hAnsi="Georgia"/>
          <w:b/>
          <w:bCs/>
          <w:u w:val="single"/>
        </w:rPr>
        <w:t>Islamic Politics in Palestine,</w:t>
      </w:r>
      <w:r w:rsidRPr="00570082">
        <w:rPr>
          <w:rFonts w:ascii="Georgia" w:hAnsi="Georgia"/>
          <w:b/>
          <w:bCs/>
        </w:rPr>
        <w:t xml:space="preserve"> IB Tauris, London 1996 .</w:t>
      </w:r>
    </w:p>
    <w:p w14:paraId="493695A8" w14:textId="77777777" w:rsidR="00E675A6" w:rsidRPr="00570082" w:rsidRDefault="00E675A6" w:rsidP="00E675A6">
      <w:pPr>
        <w:ind w:left="720"/>
        <w:rPr>
          <w:rFonts w:ascii="Georgia" w:hAnsi="Georgia"/>
        </w:rPr>
      </w:pPr>
    </w:p>
    <w:p w14:paraId="4E18227A" w14:textId="77777777" w:rsidR="00E675A6" w:rsidRDefault="00E675A6" w:rsidP="00E675A6">
      <w:pPr>
        <w:ind w:left="720" w:firstLine="720"/>
        <w:rPr>
          <w:rFonts w:ascii="Georgia" w:hAnsi="Georgia"/>
        </w:rPr>
      </w:pPr>
      <w:r w:rsidRPr="00570082">
        <w:rPr>
          <w:rFonts w:ascii="Georgia" w:hAnsi="Georgia"/>
        </w:rPr>
        <w:t>In the post-war period Palestinian political organisations were essentially secular nationalist and socialist and included Marxist elements.  This was part of the movements for national liberation and pan-Arabism that were a driving force in the politics of the Middle East in the 1950s and 60s and reflected in similar movements worldwide.  The modern Islamic movements only began to emerge on any scale in the 1970s as part of a resurgence across the Arab world and only began to be politically important in the 1980s.  Many factors were involved in this, including the humiliation of the Arab world and disillusionment at the loss of the Six Day War in 1967, the relaxing of the repression of the Muslim Brotherhood in Egypt under Sadat, and the encouragement of Hamas by Israel in its early stages as a means of fragmenting Palestinian politics and challenging the power of the PLO.</w:t>
      </w:r>
    </w:p>
    <w:p w14:paraId="0EEF7100" w14:textId="77777777" w:rsidR="00E675A6" w:rsidRPr="00570082" w:rsidRDefault="00E675A6" w:rsidP="00E675A6">
      <w:pPr>
        <w:ind w:left="720"/>
        <w:rPr>
          <w:rFonts w:ascii="Georgia" w:hAnsi="Georgia"/>
        </w:rPr>
      </w:pPr>
    </w:p>
    <w:p w14:paraId="12CEB5D7" w14:textId="77777777" w:rsidR="00E675A6" w:rsidRPr="00570082" w:rsidRDefault="00E675A6" w:rsidP="00E675A6">
      <w:pPr>
        <w:ind w:left="720"/>
        <w:rPr>
          <w:rFonts w:ascii="Georgia" w:hAnsi="Georgia"/>
          <w:b/>
          <w:bCs/>
        </w:rPr>
      </w:pPr>
      <w:r w:rsidRPr="00570082">
        <w:rPr>
          <w:rFonts w:ascii="Georgia" w:hAnsi="Georgia"/>
        </w:rPr>
        <w:tab/>
      </w:r>
      <w:r w:rsidRPr="00570082">
        <w:rPr>
          <w:rFonts w:ascii="Georgia" w:hAnsi="Georgia"/>
          <w:b/>
          <w:bCs/>
        </w:rPr>
        <w:t xml:space="preserve">[ P2: Dekmejian, R.Hrair, </w:t>
      </w:r>
      <w:r w:rsidRPr="00570082">
        <w:rPr>
          <w:rFonts w:ascii="Georgia" w:hAnsi="Georgia"/>
          <w:b/>
          <w:bCs/>
          <w:u w:val="single"/>
        </w:rPr>
        <w:t>Islam in Revolution</w:t>
      </w:r>
      <w:r w:rsidRPr="00570082">
        <w:rPr>
          <w:rFonts w:ascii="Georgia" w:hAnsi="Georgia"/>
          <w:b/>
          <w:bCs/>
          <w:i/>
          <w:iCs/>
        </w:rPr>
        <w:t xml:space="preserve">. </w:t>
      </w:r>
      <w:r w:rsidRPr="00570082">
        <w:rPr>
          <w:rFonts w:ascii="Georgia" w:hAnsi="Georgia"/>
          <w:b/>
          <w:bCs/>
        </w:rPr>
        <w:t xml:space="preserve">ch. 14 </w:t>
      </w:r>
      <w:r w:rsidRPr="00570082">
        <w:rPr>
          <w:rFonts w:ascii="Georgia" w:hAnsi="Georgia"/>
          <w:b/>
          <w:bCs/>
          <w:i/>
          <w:iCs/>
        </w:rPr>
        <w:t>Jordan, Israel, West Bank and Gaza</w:t>
      </w:r>
      <w:r w:rsidRPr="00570082">
        <w:rPr>
          <w:rFonts w:ascii="Georgia" w:hAnsi="Georgia"/>
          <w:b/>
          <w:bCs/>
        </w:rPr>
        <w:t>. pp.195-201]</w:t>
      </w:r>
    </w:p>
    <w:p w14:paraId="1F22AC5C" w14:textId="77777777" w:rsidR="00E675A6" w:rsidRPr="00570082" w:rsidRDefault="00E675A6" w:rsidP="00E675A6">
      <w:pPr>
        <w:ind w:left="720"/>
        <w:rPr>
          <w:rFonts w:ascii="Georgia" w:hAnsi="Georgia"/>
        </w:rPr>
      </w:pPr>
      <w:r w:rsidRPr="00570082">
        <w:rPr>
          <w:rFonts w:ascii="Georgia" w:hAnsi="Georgia"/>
        </w:rPr>
        <w:t xml:space="preserve"> </w:t>
      </w:r>
    </w:p>
    <w:p w14:paraId="103B0231" w14:textId="77777777" w:rsidR="00E675A6" w:rsidRPr="00570082" w:rsidRDefault="00E675A6" w:rsidP="00E675A6">
      <w:pPr>
        <w:ind w:left="720"/>
        <w:rPr>
          <w:rFonts w:ascii="Georgia" w:hAnsi="Georgia"/>
        </w:rPr>
      </w:pPr>
    </w:p>
    <w:p w14:paraId="42CFD131" w14:textId="77777777" w:rsidR="00E675A6" w:rsidRDefault="00E675A6" w:rsidP="00E675A6">
      <w:pPr>
        <w:ind w:left="720" w:firstLine="720"/>
        <w:rPr>
          <w:rFonts w:ascii="Georgia" w:hAnsi="Georgia"/>
        </w:rPr>
      </w:pPr>
      <w:r w:rsidRPr="00570082">
        <w:rPr>
          <w:rFonts w:ascii="Georgia" w:hAnsi="Georgia"/>
        </w:rPr>
        <w:t xml:space="preserve">Hamas grew in strength to fill the gap left by PLO when the PLO were in Tunisia after their withdrawal from Lebanon in the 80s.  They </w:t>
      </w:r>
      <w:r w:rsidRPr="00570082">
        <w:rPr>
          <w:rFonts w:ascii="Georgia" w:hAnsi="Georgia"/>
        </w:rPr>
        <w:lastRenderedPageBreak/>
        <w:t>gained the respect of the Palestinian people as they supported the first Intifada and were involved in providing basic services and charity work in Gaza and the West Bank, although they are more often associated outside Palestine with the phenomenon of suicide bombing.</w:t>
      </w:r>
    </w:p>
    <w:p w14:paraId="399911E7" w14:textId="77777777" w:rsidR="00E675A6" w:rsidRPr="00570082" w:rsidRDefault="00E675A6" w:rsidP="00E675A6">
      <w:pPr>
        <w:ind w:left="720"/>
        <w:rPr>
          <w:rFonts w:ascii="Georgia" w:hAnsi="Georgia"/>
        </w:rPr>
      </w:pPr>
    </w:p>
    <w:p w14:paraId="4050A13C" w14:textId="77777777" w:rsidR="00E675A6" w:rsidRDefault="00E675A6" w:rsidP="00E675A6">
      <w:pPr>
        <w:ind w:left="720"/>
        <w:rPr>
          <w:rFonts w:ascii="Georgia" w:hAnsi="Georgia"/>
          <w:b/>
          <w:bCs/>
        </w:rPr>
      </w:pPr>
      <w:r w:rsidRPr="00570082">
        <w:rPr>
          <w:rFonts w:ascii="Georgia" w:hAnsi="Georgia"/>
          <w:b/>
          <w:bCs/>
        </w:rPr>
        <w:t xml:space="preserve"> </w:t>
      </w:r>
      <w:r w:rsidRPr="00570082">
        <w:rPr>
          <w:rFonts w:ascii="Georgia" w:hAnsi="Georgia"/>
          <w:b/>
          <w:bCs/>
        </w:rPr>
        <w:tab/>
        <w:t xml:space="preserve">[P3: Reuter, Christoph. </w:t>
      </w:r>
      <w:r w:rsidRPr="00570082">
        <w:rPr>
          <w:rFonts w:ascii="Georgia" w:hAnsi="Georgia"/>
          <w:b/>
          <w:bCs/>
          <w:u w:val="single"/>
        </w:rPr>
        <w:t>My Life is a Weapon – A modern history of suicide bombing</w:t>
      </w:r>
      <w:r w:rsidRPr="00570082">
        <w:rPr>
          <w:rFonts w:ascii="Georgia" w:hAnsi="Georgia"/>
          <w:b/>
          <w:bCs/>
        </w:rPr>
        <w:t xml:space="preserve"> . Introduction and Ch 4]</w:t>
      </w:r>
    </w:p>
    <w:p w14:paraId="70465E39" w14:textId="77777777" w:rsidR="00E675A6" w:rsidRPr="00570082" w:rsidRDefault="00E675A6" w:rsidP="00E675A6">
      <w:pPr>
        <w:ind w:left="720"/>
        <w:rPr>
          <w:rFonts w:ascii="Georgia" w:hAnsi="Georgia"/>
          <w:b/>
          <w:bCs/>
        </w:rPr>
      </w:pPr>
    </w:p>
    <w:p w14:paraId="5699B255" w14:textId="77777777" w:rsidR="00E675A6" w:rsidRPr="00570082" w:rsidRDefault="00E675A6" w:rsidP="00E675A6">
      <w:pPr>
        <w:ind w:left="720" w:firstLine="720"/>
        <w:rPr>
          <w:rFonts w:ascii="Georgia" w:hAnsi="Georgia"/>
        </w:rPr>
      </w:pPr>
      <w:r w:rsidRPr="00570082">
        <w:rPr>
          <w:rFonts w:ascii="Georgia" w:hAnsi="Georgia"/>
        </w:rPr>
        <w:t>Following the peace agreements of the mid 90s and the creation of the Palestinian National Authority there was a growing awareness that a significant proportion of the development money that began to flow into the country was being diverted into the private accounts of PNA officials and being used to support a government of more style than substance which was more concerned with luxury cars for ministers than infrastructures for the population.  Hamas offered an honest alternative working at grass roots level amongst the Palestinian people, running clinics and schools and having influence in trade unions, universities and professional organisations.  During Arafat’s lifetime he remained unchallenged as national leader, at least in public, due to his iconic status as the figurehead of the Palestinian cause.  In 2005 Hamas stood in the Municipal Elections and made significant gains and in January 2006 it achieved a victory in the surprise victory in the Legislative Elections.</w:t>
      </w:r>
    </w:p>
    <w:p w14:paraId="615B4A02" w14:textId="77777777" w:rsidR="00E675A6" w:rsidRPr="00570082" w:rsidRDefault="00E675A6" w:rsidP="00E675A6">
      <w:pPr>
        <w:ind w:left="720"/>
        <w:rPr>
          <w:rFonts w:ascii="Georgia" w:hAnsi="Georgia"/>
        </w:rPr>
      </w:pPr>
    </w:p>
    <w:p w14:paraId="0633147C" w14:textId="77777777" w:rsidR="00E675A6" w:rsidRPr="00570082" w:rsidRDefault="00E675A6" w:rsidP="00E675A6">
      <w:pPr>
        <w:ind w:left="720"/>
        <w:rPr>
          <w:rFonts w:ascii="Georgia" w:hAnsi="Georgia"/>
        </w:rPr>
      </w:pPr>
    </w:p>
    <w:p w14:paraId="70A57FC8" w14:textId="77777777" w:rsidR="00E675A6" w:rsidRPr="00570082" w:rsidRDefault="00E675A6" w:rsidP="00E675A6">
      <w:pPr>
        <w:ind w:left="720"/>
        <w:rPr>
          <w:rFonts w:ascii="Georgia" w:hAnsi="Georgia"/>
        </w:rPr>
      </w:pPr>
    </w:p>
    <w:p w14:paraId="18241857" w14:textId="77777777" w:rsidR="00E675A6" w:rsidRPr="00570082" w:rsidRDefault="00E675A6" w:rsidP="00E675A6">
      <w:pPr>
        <w:ind w:left="720"/>
        <w:rPr>
          <w:rFonts w:ascii="Georgia" w:hAnsi="Georgia"/>
        </w:rPr>
      </w:pPr>
    </w:p>
    <w:p w14:paraId="3BC67EAC" w14:textId="77777777" w:rsidR="00E675A6" w:rsidRPr="00570082" w:rsidRDefault="00E675A6" w:rsidP="00E675A6">
      <w:pPr>
        <w:ind w:left="720"/>
        <w:outlineLvl w:val="0"/>
        <w:rPr>
          <w:rFonts w:ascii="Georgia" w:hAnsi="Georgia"/>
          <w:b/>
          <w:bCs/>
          <w:u w:val="single"/>
        </w:rPr>
      </w:pPr>
      <w:r w:rsidRPr="00570082">
        <w:rPr>
          <w:rFonts w:ascii="Georgia" w:hAnsi="Georgia"/>
          <w:b/>
          <w:bCs/>
          <w:u w:val="single"/>
        </w:rPr>
        <w:t>Bibliography</w:t>
      </w:r>
    </w:p>
    <w:p w14:paraId="48F667BF" w14:textId="77777777" w:rsidR="00E675A6" w:rsidRPr="00570082" w:rsidRDefault="00E675A6" w:rsidP="00E675A6">
      <w:pPr>
        <w:ind w:left="720"/>
        <w:rPr>
          <w:rFonts w:ascii="Georgia" w:hAnsi="Georgia"/>
        </w:rPr>
      </w:pPr>
    </w:p>
    <w:p w14:paraId="2FF6ED5E" w14:textId="77777777" w:rsidR="00E675A6" w:rsidRPr="00570082" w:rsidRDefault="00E675A6" w:rsidP="00E675A6">
      <w:pPr>
        <w:ind w:left="720"/>
        <w:outlineLvl w:val="0"/>
        <w:rPr>
          <w:rFonts w:ascii="Georgia" w:hAnsi="Georgia"/>
        </w:rPr>
      </w:pPr>
      <w:r w:rsidRPr="00570082">
        <w:rPr>
          <w:rFonts w:ascii="Georgia" w:hAnsi="Georgia"/>
        </w:rPr>
        <w:t xml:space="preserve">Mansfield, Peter. </w:t>
      </w:r>
      <w:r w:rsidRPr="00570082">
        <w:rPr>
          <w:rFonts w:ascii="Georgia" w:hAnsi="Georgia"/>
          <w:u w:val="single"/>
        </w:rPr>
        <w:t>A History of the Middle East.</w:t>
      </w:r>
      <w:r w:rsidRPr="00570082">
        <w:rPr>
          <w:rFonts w:ascii="Georgia" w:hAnsi="Georgia"/>
          <w:i/>
          <w:iCs/>
        </w:rPr>
        <w:t xml:space="preserve">  </w:t>
      </w:r>
      <w:r w:rsidRPr="00570082">
        <w:rPr>
          <w:rFonts w:ascii="Georgia" w:hAnsi="Georgia"/>
        </w:rPr>
        <w:t>Penguin, London 1992.</w:t>
      </w:r>
      <w:r w:rsidRPr="00570082">
        <w:rPr>
          <w:rFonts w:ascii="Georgia" w:hAnsi="Georgia"/>
          <w:i/>
          <w:iCs/>
        </w:rPr>
        <w:t xml:space="preserve"> </w:t>
      </w:r>
    </w:p>
    <w:p w14:paraId="2EFD06F7" w14:textId="77777777" w:rsidR="00E675A6" w:rsidRPr="00570082" w:rsidRDefault="00E675A6" w:rsidP="00E675A6">
      <w:pPr>
        <w:ind w:left="720"/>
        <w:rPr>
          <w:rFonts w:ascii="Georgia" w:hAnsi="Georgia"/>
        </w:rPr>
      </w:pPr>
    </w:p>
    <w:p w14:paraId="3C010713" w14:textId="77777777" w:rsidR="00E675A6" w:rsidRPr="00570082" w:rsidRDefault="00E675A6" w:rsidP="00E675A6">
      <w:pPr>
        <w:ind w:left="720"/>
        <w:rPr>
          <w:rFonts w:ascii="Georgia" w:hAnsi="Georgia"/>
        </w:rPr>
      </w:pPr>
      <w:r w:rsidRPr="00570082">
        <w:rPr>
          <w:rFonts w:ascii="Georgia" w:hAnsi="Georgia"/>
        </w:rPr>
        <w:t xml:space="preserve">Abu-Amr, Ziad, </w:t>
      </w:r>
      <w:r w:rsidRPr="00570082">
        <w:rPr>
          <w:rFonts w:ascii="Georgia" w:hAnsi="Georgia"/>
          <w:u w:val="single"/>
        </w:rPr>
        <w:t>Islamic Fundamentalism in the West Bank and Gaza: Muslim Brotherhood and Islamic Jihad,</w:t>
      </w:r>
      <w:r w:rsidRPr="00570082">
        <w:rPr>
          <w:rFonts w:ascii="Georgia" w:hAnsi="Georgia"/>
          <w:i/>
          <w:iCs/>
          <w:u w:val="single"/>
        </w:rPr>
        <w:t xml:space="preserve"> </w:t>
      </w:r>
      <w:r w:rsidRPr="00570082">
        <w:rPr>
          <w:rFonts w:ascii="Georgia" w:hAnsi="Georgia"/>
        </w:rPr>
        <w:t xml:space="preserve"> Indiana University Press 1994 </w:t>
      </w:r>
    </w:p>
    <w:p w14:paraId="0E793979" w14:textId="77777777" w:rsidR="00E675A6" w:rsidRPr="00570082" w:rsidRDefault="00E675A6" w:rsidP="00E675A6">
      <w:pPr>
        <w:ind w:left="720"/>
        <w:rPr>
          <w:rFonts w:ascii="Georgia" w:hAnsi="Georgia"/>
        </w:rPr>
      </w:pPr>
    </w:p>
    <w:p w14:paraId="5B9E9B11" w14:textId="77777777" w:rsidR="00E675A6" w:rsidRPr="00570082" w:rsidRDefault="00E675A6" w:rsidP="00E675A6">
      <w:pPr>
        <w:ind w:left="720"/>
        <w:rPr>
          <w:rFonts w:ascii="Georgia" w:hAnsi="Georgia"/>
        </w:rPr>
      </w:pPr>
      <w:r w:rsidRPr="00570082">
        <w:rPr>
          <w:rFonts w:ascii="Georgia" w:hAnsi="Georgia"/>
        </w:rPr>
        <w:t xml:space="preserve">Milton Edwards, Beverley, </w:t>
      </w:r>
      <w:r w:rsidRPr="00570082">
        <w:rPr>
          <w:rFonts w:ascii="Georgia" w:hAnsi="Georgia"/>
          <w:u w:val="single"/>
        </w:rPr>
        <w:t>Islamic Politics in Palestine,</w:t>
      </w:r>
      <w:r w:rsidRPr="00570082">
        <w:rPr>
          <w:rFonts w:ascii="Georgia" w:hAnsi="Georgia"/>
        </w:rPr>
        <w:t xml:space="preserve"> IB Tauris, London 1996</w:t>
      </w:r>
    </w:p>
    <w:p w14:paraId="6EAFB948" w14:textId="77777777" w:rsidR="00E675A6" w:rsidRPr="00570082" w:rsidRDefault="00E675A6" w:rsidP="00E675A6">
      <w:pPr>
        <w:ind w:left="720"/>
        <w:rPr>
          <w:rFonts w:ascii="Georgia" w:hAnsi="Georgia"/>
        </w:rPr>
      </w:pPr>
    </w:p>
    <w:p w14:paraId="666404C0" w14:textId="77777777" w:rsidR="00E675A6" w:rsidRPr="00570082" w:rsidRDefault="00E675A6" w:rsidP="00E675A6">
      <w:pPr>
        <w:ind w:left="720"/>
        <w:rPr>
          <w:rFonts w:ascii="Georgia" w:hAnsi="Georgia"/>
        </w:rPr>
      </w:pPr>
      <w:r w:rsidRPr="00570082">
        <w:rPr>
          <w:rFonts w:ascii="Georgia" w:hAnsi="Georgia"/>
        </w:rPr>
        <w:t xml:space="preserve">Tamimi, Azzam.  </w:t>
      </w:r>
      <w:r w:rsidRPr="00570082">
        <w:rPr>
          <w:rFonts w:ascii="Georgia" w:hAnsi="Georgia"/>
          <w:u w:val="single"/>
        </w:rPr>
        <w:t>Hamas: Unwritten Chapters.</w:t>
      </w:r>
      <w:r w:rsidRPr="00570082">
        <w:rPr>
          <w:rFonts w:ascii="Georgia" w:hAnsi="Georgia"/>
        </w:rPr>
        <w:t xml:space="preserve"> C. Hurst &amp;Co. London 2006 (not published at time of going to print)</w:t>
      </w:r>
    </w:p>
    <w:p w14:paraId="261734DC" w14:textId="77777777" w:rsidR="00E675A6" w:rsidRPr="00570082" w:rsidRDefault="00E675A6" w:rsidP="00E675A6">
      <w:pPr>
        <w:ind w:left="720"/>
        <w:rPr>
          <w:rFonts w:ascii="Georgia" w:hAnsi="Georgia"/>
        </w:rPr>
      </w:pPr>
    </w:p>
    <w:p w14:paraId="6353A01B" w14:textId="77777777" w:rsidR="00E675A6" w:rsidRPr="00570082" w:rsidRDefault="00E675A6" w:rsidP="00E675A6">
      <w:pPr>
        <w:ind w:left="720"/>
        <w:rPr>
          <w:rFonts w:ascii="Georgia" w:hAnsi="Georgia"/>
        </w:rPr>
      </w:pPr>
      <w:r w:rsidRPr="00570082">
        <w:rPr>
          <w:rFonts w:ascii="Georgia" w:hAnsi="Georgia"/>
        </w:rPr>
        <w:t xml:space="preserve">Levitt, Matthew. </w:t>
      </w:r>
      <w:r w:rsidRPr="00570082">
        <w:rPr>
          <w:rFonts w:ascii="Georgia" w:hAnsi="Georgia"/>
          <w:u w:val="single"/>
        </w:rPr>
        <w:t>Hamas: Politics, Charity and Terrorism in the Service of Jihad</w:t>
      </w:r>
      <w:r w:rsidRPr="00570082">
        <w:rPr>
          <w:rFonts w:ascii="Georgia" w:hAnsi="Georgia"/>
        </w:rPr>
        <w:t xml:space="preserve">  Yale University Press, 2006</w:t>
      </w:r>
    </w:p>
    <w:p w14:paraId="1A3210E4" w14:textId="77777777" w:rsidR="00E675A6" w:rsidRPr="00570082" w:rsidRDefault="00E675A6" w:rsidP="00E675A6">
      <w:pPr>
        <w:ind w:left="720"/>
        <w:rPr>
          <w:rFonts w:ascii="Georgia" w:hAnsi="Georgia"/>
        </w:rPr>
      </w:pPr>
    </w:p>
    <w:p w14:paraId="0DBEAF95" w14:textId="77777777" w:rsidR="00E675A6" w:rsidRPr="00570082" w:rsidRDefault="00E675A6" w:rsidP="00E675A6">
      <w:pPr>
        <w:ind w:left="720"/>
        <w:rPr>
          <w:rFonts w:ascii="Georgia" w:hAnsi="Georgia"/>
        </w:rPr>
      </w:pPr>
      <w:r w:rsidRPr="00570082">
        <w:rPr>
          <w:rFonts w:ascii="Georgia" w:hAnsi="Georgia"/>
        </w:rPr>
        <w:t xml:space="preserve">Hatina, Meir. </w:t>
      </w:r>
      <w:r w:rsidRPr="00570082">
        <w:rPr>
          <w:rFonts w:ascii="Georgia" w:hAnsi="Georgia"/>
          <w:u w:val="single"/>
        </w:rPr>
        <w:t>Islam and Salvation in Palestine: The Islamic Jihad Movement</w:t>
      </w:r>
      <w:r w:rsidRPr="00570082">
        <w:rPr>
          <w:rFonts w:ascii="Georgia" w:hAnsi="Georgia"/>
        </w:rPr>
        <w:t xml:space="preserve">  Syracuse University Press, 2001</w:t>
      </w:r>
    </w:p>
    <w:p w14:paraId="676295CF" w14:textId="77777777" w:rsidR="00E675A6" w:rsidRPr="00570082" w:rsidRDefault="00E675A6" w:rsidP="00E675A6">
      <w:pPr>
        <w:ind w:left="720"/>
        <w:rPr>
          <w:rFonts w:ascii="Georgia" w:hAnsi="Georgia"/>
        </w:rPr>
      </w:pPr>
    </w:p>
    <w:p w14:paraId="4C1A0642" w14:textId="77777777" w:rsidR="00E675A6" w:rsidRPr="00570082" w:rsidRDefault="00E675A6" w:rsidP="00E675A6">
      <w:pPr>
        <w:ind w:left="720"/>
        <w:rPr>
          <w:rFonts w:ascii="Georgia" w:hAnsi="Georgia"/>
        </w:rPr>
      </w:pPr>
      <w:r w:rsidRPr="00570082">
        <w:rPr>
          <w:rFonts w:ascii="Georgia" w:hAnsi="Georgia"/>
        </w:rPr>
        <w:t xml:space="preserve">Nusse, Andrea.  </w:t>
      </w:r>
      <w:r w:rsidRPr="00570082">
        <w:rPr>
          <w:rFonts w:ascii="Georgia" w:hAnsi="Georgia"/>
          <w:u w:val="single"/>
        </w:rPr>
        <w:t>Muslim Palestine - Ideology of Hamas</w:t>
      </w:r>
      <w:r w:rsidRPr="00570082">
        <w:rPr>
          <w:rFonts w:ascii="Georgia" w:hAnsi="Georgia"/>
        </w:rPr>
        <w:t xml:space="preserve"> Routledge, London 1999</w:t>
      </w:r>
    </w:p>
    <w:p w14:paraId="1D6EE693" w14:textId="77777777" w:rsidR="00E675A6" w:rsidRPr="00570082" w:rsidRDefault="00E675A6" w:rsidP="00E675A6">
      <w:pPr>
        <w:ind w:left="720"/>
        <w:rPr>
          <w:rFonts w:ascii="Georgia" w:hAnsi="Georgia"/>
        </w:rPr>
      </w:pPr>
    </w:p>
    <w:p w14:paraId="42904BA7" w14:textId="77777777" w:rsidR="00E675A6" w:rsidRPr="00570082" w:rsidRDefault="00E675A6" w:rsidP="00E675A6">
      <w:pPr>
        <w:ind w:left="720"/>
        <w:rPr>
          <w:rFonts w:ascii="Georgia" w:hAnsi="Georgia"/>
        </w:rPr>
      </w:pPr>
      <w:r w:rsidRPr="00570082">
        <w:rPr>
          <w:rFonts w:ascii="Georgia" w:hAnsi="Georgia"/>
        </w:rPr>
        <w:t xml:space="preserve">Reuter, Christoph. </w:t>
      </w:r>
      <w:r w:rsidRPr="00570082">
        <w:rPr>
          <w:rFonts w:ascii="Georgia" w:hAnsi="Georgia"/>
          <w:u w:val="single"/>
        </w:rPr>
        <w:t>My Life is a Weapon – A modern history of suicide bombing</w:t>
      </w:r>
      <w:r w:rsidRPr="00570082">
        <w:rPr>
          <w:rFonts w:ascii="Georgia" w:hAnsi="Georgia"/>
        </w:rPr>
        <w:t xml:space="preserve">  Princeton University Press, Princeton NJ / Oxford 2004</w:t>
      </w:r>
    </w:p>
    <w:p w14:paraId="34B30CA0" w14:textId="77777777" w:rsidR="001F2359" w:rsidRDefault="001F2359"/>
    <w:sectPr w:rsidR="001F2359" w:rsidSect="00012EF9">
      <w:footerReference w:type="even" r:id="rId7"/>
      <w:footerReference w:type="default" r:id="rId8"/>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05BBEF" w14:textId="77777777" w:rsidR="00E675A6" w:rsidRDefault="00E675A6" w:rsidP="00E675A6">
      <w:r>
        <w:separator/>
      </w:r>
    </w:p>
  </w:endnote>
  <w:endnote w:type="continuationSeparator" w:id="0">
    <w:p w14:paraId="22ECA873" w14:textId="77777777" w:rsidR="00E675A6" w:rsidRDefault="00E675A6" w:rsidP="00E67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029F59" w14:textId="77777777" w:rsidR="00E675A6" w:rsidRDefault="00E675A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A7FFC3" w14:textId="77777777" w:rsidR="00E675A6" w:rsidRDefault="00E675A6" w:rsidP="00E675A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3740E" w14:textId="77777777" w:rsidR="00E675A6" w:rsidRDefault="00E675A6"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90EFF">
      <w:rPr>
        <w:rStyle w:val="PageNumber"/>
        <w:noProof/>
      </w:rPr>
      <w:t>1</w:t>
    </w:r>
    <w:r>
      <w:rPr>
        <w:rStyle w:val="PageNumber"/>
      </w:rPr>
      <w:fldChar w:fldCharType="end"/>
    </w:r>
  </w:p>
  <w:p w14:paraId="77C7FD86" w14:textId="77777777" w:rsidR="00E675A6" w:rsidRDefault="00E675A6" w:rsidP="00E675A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F8307D" w14:textId="77777777" w:rsidR="00E675A6" w:rsidRDefault="00E675A6" w:rsidP="00E675A6">
      <w:r>
        <w:separator/>
      </w:r>
    </w:p>
  </w:footnote>
  <w:footnote w:type="continuationSeparator" w:id="0">
    <w:p w14:paraId="1F51760B" w14:textId="77777777" w:rsidR="00E675A6" w:rsidRDefault="00E675A6" w:rsidP="00E675A6">
      <w:r>
        <w:continuationSeparator/>
      </w:r>
    </w:p>
  </w:footnote>
  <w:footnote w:id="1">
    <w:p w14:paraId="41846F84" w14:textId="77777777" w:rsidR="00E675A6" w:rsidRDefault="00E675A6" w:rsidP="00E675A6">
      <w:pPr>
        <w:pStyle w:val="FootnoteText"/>
        <w:ind w:left="720"/>
      </w:pPr>
      <w:r>
        <w:rPr>
          <w:rStyle w:val="FootnoteReference"/>
        </w:rPr>
        <w:footnoteRef/>
      </w:r>
      <w:r>
        <w:t xml:space="preserve"> </w:t>
      </w:r>
      <w:r w:rsidRPr="00CE2E9D">
        <w:rPr>
          <w:rFonts w:ascii="Georgia" w:hAnsi="Georgia"/>
        </w:rPr>
        <w:t>Note that the photocopied reading for this section is contained at the back of this pack, and has the prefix ‘</w:t>
      </w:r>
      <w:r>
        <w:rPr>
          <w:rFonts w:ascii="Georgia" w:hAnsi="Georgia"/>
        </w:rPr>
        <w:t>P</w:t>
      </w:r>
      <w:r w:rsidRPr="00CE2E9D">
        <w:rPr>
          <w:rFonts w:ascii="Georgia" w:hAnsi="Georgia"/>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75A6"/>
    <w:rsid w:val="00012EF9"/>
    <w:rsid w:val="001F2359"/>
    <w:rsid w:val="00A90EFF"/>
    <w:rsid w:val="00E675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CE6C2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5A6"/>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675A6"/>
  </w:style>
  <w:style w:type="character" w:customStyle="1" w:styleId="FootnoteTextChar">
    <w:name w:val="Footnote Text Char"/>
    <w:basedOn w:val="DefaultParagraphFont"/>
    <w:link w:val="FootnoteText"/>
    <w:semiHidden/>
    <w:rsid w:val="00E675A6"/>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E675A6"/>
    <w:rPr>
      <w:vertAlign w:val="superscript"/>
    </w:rPr>
  </w:style>
  <w:style w:type="paragraph" w:styleId="Footer">
    <w:name w:val="footer"/>
    <w:basedOn w:val="Normal"/>
    <w:link w:val="FooterChar"/>
    <w:uiPriority w:val="99"/>
    <w:unhideWhenUsed/>
    <w:rsid w:val="00E675A6"/>
    <w:pPr>
      <w:tabs>
        <w:tab w:val="center" w:pos="4320"/>
        <w:tab w:val="right" w:pos="8640"/>
      </w:tabs>
    </w:pPr>
  </w:style>
  <w:style w:type="character" w:customStyle="1" w:styleId="FooterChar">
    <w:name w:val="Footer Char"/>
    <w:basedOn w:val="DefaultParagraphFont"/>
    <w:link w:val="Footer"/>
    <w:uiPriority w:val="99"/>
    <w:rsid w:val="00E675A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E675A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75A6"/>
    <w:rPr>
      <w:rFonts w:ascii="Times New Roman" w:eastAsia="Times New Roman" w:hAnsi="Times New Roman"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sid w:val="00E675A6"/>
  </w:style>
  <w:style w:type="character" w:customStyle="1" w:styleId="FootnoteTextChar">
    <w:name w:val="Footnote Text Char"/>
    <w:basedOn w:val="DefaultParagraphFont"/>
    <w:link w:val="FootnoteText"/>
    <w:semiHidden/>
    <w:rsid w:val="00E675A6"/>
    <w:rPr>
      <w:rFonts w:ascii="Times New Roman" w:eastAsia="Times New Roman" w:hAnsi="Times New Roman" w:cs="Times New Roman"/>
      <w:szCs w:val="20"/>
      <w:lang w:eastAsia="en-GB"/>
    </w:rPr>
  </w:style>
  <w:style w:type="character" w:styleId="FootnoteReference">
    <w:name w:val="footnote reference"/>
    <w:basedOn w:val="DefaultParagraphFont"/>
    <w:semiHidden/>
    <w:rsid w:val="00E675A6"/>
    <w:rPr>
      <w:vertAlign w:val="superscript"/>
    </w:rPr>
  </w:style>
  <w:style w:type="paragraph" w:styleId="Footer">
    <w:name w:val="footer"/>
    <w:basedOn w:val="Normal"/>
    <w:link w:val="FooterChar"/>
    <w:uiPriority w:val="99"/>
    <w:unhideWhenUsed/>
    <w:rsid w:val="00E675A6"/>
    <w:pPr>
      <w:tabs>
        <w:tab w:val="center" w:pos="4320"/>
        <w:tab w:val="right" w:pos="8640"/>
      </w:tabs>
    </w:pPr>
  </w:style>
  <w:style w:type="character" w:customStyle="1" w:styleId="FooterChar">
    <w:name w:val="Footer Char"/>
    <w:basedOn w:val="DefaultParagraphFont"/>
    <w:link w:val="Footer"/>
    <w:uiPriority w:val="99"/>
    <w:rsid w:val="00E675A6"/>
    <w:rPr>
      <w:rFonts w:ascii="Times New Roman" w:eastAsia="Times New Roman" w:hAnsi="Times New Roman" w:cs="Times New Roman"/>
      <w:szCs w:val="20"/>
      <w:lang w:eastAsia="en-GB"/>
    </w:rPr>
  </w:style>
  <w:style w:type="character" w:styleId="PageNumber">
    <w:name w:val="page number"/>
    <w:basedOn w:val="DefaultParagraphFont"/>
    <w:uiPriority w:val="99"/>
    <w:semiHidden/>
    <w:unhideWhenUsed/>
    <w:rsid w:val="00E675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653</Words>
  <Characters>3725</Characters>
  <Application>Microsoft Macintosh Word</Application>
  <DocSecurity>0</DocSecurity>
  <Lines>31</Lines>
  <Paragraphs>8</Paragraphs>
  <ScaleCrop>false</ScaleCrop>
  <Company>Dept. of Theology, Religious Studies &amp; Islamic Stud</Company>
  <LinksUpToDate>false</LinksUpToDate>
  <CharactersWithSpaces>4370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2</cp:revision>
  <dcterms:created xsi:type="dcterms:W3CDTF">2012-05-30T11:59:00Z</dcterms:created>
  <dcterms:modified xsi:type="dcterms:W3CDTF">2012-11-30T19:40:00Z</dcterms:modified>
</cp:coreProperties>
</file>