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anchor allowOverlap="1" behindDoc="0" distB="114300" distT="114300" distL="114300" distR="114300" hidden="0" layoutInCell="1" locked="0" relativeHeight="0" simplePos="0">
            <wp:simplePos x="0" y="0"/>
            <wp:positionH relativeFrom="margin">
              <wp:posOffset>3579341</wp:posOffset>
            </wp:positionH>
            <wp:positionV relativeFrom="margin">
              <wp:posOffset>71438</wp:posOffset>
            </wp:positionV>
            <wp:extent cx="2641111" cy="944011"/>
            <wp:effectExtent b="0" l="0" r="0" t="0"/>
            <wp:wrapSquare wrapText="bothSides" distB="114300" distT="114300" distL="114300" distR="114300"/>
            <wp:docPr id="2"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641111" cy="944011"/>
                    </a:xfrm>
                    <a:prstGeom prst="rect"/>
                    <a:ln/>
                  </pic:spPr>
                </pic:pic>
              </a:graphicData>
            </a:graphic>
          </wp:anchor>
        </w:drawing>
      </w:r>
      <w:r w:rsidDel="00000000" w:rsidR="00000000" w:rsidRPr="00000000">
        <w:rPr>
          <w:rFonts w:ascii="Times New Roman" w:cs="Times New Roman" w:eastAsia="Times New Roman" w:hAnsi="Times New Roman"/>
          <w:sz w:val="24"/>
          <w:szCs w:val="24"/>
        </w:rPr>
        <w:drawing>
          <wp:anchor allowOverlap="1" behindDoc="0" distB="114300" distT="114300" distL="114300" distR="114300" hidden="0" layoutInCell="1" locked="0" relativeHeight="0" simplePos="0">
            <wp:simplePos x="0" y="0"/>
            <wp:positionH relativeFrom="page">
              <wp:posOffset>771525</wp:posOffset>
            </wp:positionH>
            <wp:positionV relativeFrom="page">
              <wp:posOffset>914400</wp:posOffset>
            </wp:positionV>
            <wp:extent cx="2414588" cy="1090130"/>
            <wp:effectExtent b="0" l="0" r="0" t="0"/>
            <wp:wrapSquare wrapText="bothSides" distB="114300" distT="114300" distL="114300" distR="114300"/>
            <wp:docPr id="1" name="image2.png"/>
            <a:graphic>
              <a:graphicData uri="http://schemas.openxmlformats.org/drawingml/2006/picture">
                <pic:pic>
                  <pic:nvPicPr>
                    <pic:cNvPr id="0" name="image2.png"/>
                    <pic:cNvPicPr preferRelativeResize="0"/>
                  </pic:nvPicPr>
                  <pic:blipFill>
                    <a:blip r:embed="rId7"/>
                    <a:srcRect b="0" l="0" r="0" t="0"/>
                    <a:stretch>
                      <a:fillRect/>
                    </a:stretch>
                  </pic:blipFill>
                  <pic:spPr>
                    <a:xfrm>
                      <a:off x="0" y="0"/>
                      <a:ext cx="2414588" cy="1090130"/>
                    </a:xfrm>
                    <a:prstGeom prst="rect"/>
                    <a:ln/>
                  </pic:spPr>
                </pic:pic>
              </a:graphicData>
            </a:graphic>
          </wp:anchor>
        </w:drawing>
      </w:r>
      <w:r w:rsidDel="00000000" w:rsidR="00000000" w:rsidRPr="00000000">
        <w:rPr>
          <w:rtl w:val="0"/>
        </w:rPr>
      </w:r>
    </w:p>
    <w:p w:rsidR="00000000" w:rsidDel="00000000" w:rsidP="00000000" w:rsidRDefault="00000000" w:rsidRPr="00000000" w14:paraId="00000002">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3">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4">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5">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6">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7">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8">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9">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A">
      <w:pPr>
        <w:jc w:val="center"/>
        <w:rPr>
          <w:b w:val="1"/>
        </w:rPr>
      </w:pPr>
      <w:r w:rsidDel="00000000" w:rsidR="00000000" w:rsidRPr="00000000">
        <w:rPr>
          <w:rFonts w:ascii="Times New Roman" w:cs="Times New Roman" w:eastAsia="Times New Roman" w:hAnsi="Times New Roman"/>
          <w:b w:val="1"/>
          <w:sz w:val="28"/>
          <w:szCs w:val="28"/>
          <w:rtl w:val="0"/>
        </w:rPr>
        <w:t xml:space="preserve">IUBA6003 – LEADING AND DEVELOPING PEOPLE</w:t>
      </w:r>
      <w:r w:rsidDel="00000000" w:rsidR="00000000" w:rsidRPr="00000000">
        <w:rPr>
          <w:rtl w:val="0"/>
        </w:rPr>
      </w:r>
    </w:p>
    <w:p w:rsidR="00000000" w:rsidDel="00000000" w:rsidP="00000000" w:rsidRDefault="00000000" w:rsidRPr="00000000" w14:paraId="0000000B">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C">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D">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0E">
      <w:pPr>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8"/>
          <w:szCs w:val="28"/>
          <w:rtl w:val="0"/>
        </w:rPr>
        <w:t xml:space="preserve">ADIDAS LEARNING AND DEVELOPMENT PROGRAMME</w:t>
      </w:r>
      <w:r w:rsidDel="00000000" w:rsidR="00000000" w:rsidRPr="00000000">
        <w:rPr>
          <w:rtl w:val="0"/>
        </w:rPr>
      </w:r>
    </w:p>
    <w:p w:rsidR="00000000" w:rsidDel="00000000" w:rsidP="00000000" w:rsidRDefault="00000000" w:rsidRPr="00000000" w14:paraId="0000000F">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0">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1">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2">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3">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4">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5">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6">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7">
      <w:pPr>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NAME: NABEELA BINTI MOHAMAD ASHRAF </w:t>
      </w:r>
    </w:p>
    <w:p w:rsidR="00000000" w:rsidDel="00000000" w:rsidP="00000000" w:rsidRDefault="00000000" w:rsidRPr="00000000" w14:paraId="00000018">
      <w:pPr>
        <w:jc w:val="cente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STUDENT ID: 2026685 </w:t>
      </w:r>
    </w:p>
    <w:p w:rsidR="00000000" w:rsidDel="00000000" w:rsidP="00000000" w:rsidRDefault="00000000" w:rsidRPr="00000000" w14:paraId="00000019">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A">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B">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C">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D">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E">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today's fast-paced and intensely competitive business environment, organizations must continually adapt and evolve in order to remain pertinent. Investing in the learning and development of their personnel is a critical aspect of this adaptation. Adidas, a global leader in the sportswear industry, understands the significance of talent development and has established a comprehensive Learning and Development (L&amp;D) framework. The purpose of this essay is to assess how well Adidas' L&amp;D framework suits current needs and to shed light on its limitations.</w:t>
      </w:r>
    </w:p>
    <w:p w:rsidR="00000000" w:rsidDel="00000000" w:rsidP="00000000" w:rsidRDefault="00000000" w:rsidRPr="00000000" w14:paraId="00000021">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Adidas Learning and Development Framework incorporates a </w:t>
      </w:r>
      <w:r w:rsidDel="00000000" w:rsidR="00000000" w:rsidRPr="00000000">
        <w:rPr>
          <w:rFonts w:ascii="Times New Roman" w:cs="Times New Roman" w:eastAsia="Times New Roman" w:hAnsi="Times New Roman"/>
          <w:b w:val="1"/>
          <w:sz w:val="24"/>
          <w:szCs w:val="24"/>
          <w:rtl w:val="0"/>
        </w:rPr>
        <w:t xml:space="preserve">learning culture, personalized learning paths, and accessible resources</w:t>
      </w:r>
      <w:r w:rsidDel="00000000" w:rsidR="00000000" w:rsidRPr="00000000">
        <w:rPr>
          <w:rFonts w:ascii="Times New Roman" w:cs="Times New Roman" w:eastAsia="Times New Roman" w:hAnsi="Times New Roman"/>
          <w:sz w:val="24"/>
          <w:szCs w:val="24"/>
          <w:rtl w:val="0"/>
        </w:rPr>
        <w:t xml:space="preserve">. Adidas has nurtured a robust </w:t>
      </w:r>
      <w:r w:rsidDel="00000000" w:rsidR="00000000" w:rsidRPr="00000000">
        <w:rPr>
          <w:rFonts w:ascii="Times New Roman" w:cs="Times New Roman" w:eastAsia="Times New Roman" w:hAnsi="Times New Roman"/>
          <w:b w:val="1"/>
          <w:sz w:val="24"/>
          <w:szCs w:val="24"/>
          <w:rtl w:val="0"/>
        </w:rPr>
        <w:t xml:space="preserve">learning culture</w:t>
      </w:r>
      <w:r w:rsidDel="00000000" w:rsidR="00000000" w:rsidRPr="00000000">
        <w:rPr>
          <w:rFonts w:ascii="Times New Roman" w:cs="Times New Roman" w:eastAsia="Times New Roman" w:hAnsi="Times New Roman"/>
          <w:sz w:val="24"/>
          <w:szCs w:val="24"/>
          <w:rtl w:val="0"/>
        </w:rPr>
        <w:t xml:space="preserve"> throughout the organization. The organization encourages all levels of employees to embrace continuous learning. This culture is essential for maintaining a workforce that is adaptable and current with the most recent industry trends and technologies. Second, Adidas has implemented a </w:t>
      </w:r>
      <w:r w:rsidDel="00000000" w:rsidR="00000000" w:rsidRPr="00000000">
        <w:rPr>
          <w:rFonts w:ascii="Times New Roman" w:cs="Times New Roman" w:eastAsia="Times New Roman" w:hAnsi="Times New Roman"/>
          <w:b w:val="1"/>
          <w:sz w:val="24"/>
          <w:szCs w:val="24"/>
          <w:rtl w:val="0"/>
        </w:rPr>
        <w:t xml:space="preserve">personalized learning strategy,</w:t>
      </w:r>
      <w:r w:rsidDel="00000000" w:rsidR="00000000" w:rsidRPr="00000000">
        <w:rPr>
          <w:rFonts w:ascii="Times New Roman" w:cs="Times New Roman" w:eastAsia="Times New Roman" w:hAnsi="Times New Roman"/>
          <w:sz w:val="24"/>
          <w:szCs w:val="24"/>
          <w:rtl w:val="0"/>
        </w:rPr>
        <w:t xml:space="preserve"> tailoring training programmes to the individual requirements and career objectives of each employee. This strategy guarantees that employees receive training that directly contributes to their roles, thereby enhancing their skills and knowledge. Also, Adidas offers a variety of </w:t>
      </w:r>
      <w:r w:rsidDel="00000000" w:rsidR="00000000" w:rsidRPr="00000000">
        <w:rPr>
          <w:rFonts w:ascii="Times New Roman" w:cs="Times New Roman" w:eastAsia="Times New Roman" w:hAnsi="Times New Roman"/>
          <w:b w:val="1"/>
          <w:sz w:val="24"/>
          <w:szCs w:val="24"/>
          <w:rtl w:val="0"/>
        </w:rPr>
        <w:t xml:space="preserve">accessible learning resources</w:t>
      </w:r>
      <w:r w:rsidDel="00000000" w:rsidR="00000000" w:rsidRPr="00000000">
        <w:rPr>
          <w:rFonts w:ascii="Times New Roman" w:cs="Times New Roman" w:eastAsia="Times New Roman" w:hAnsi="Times New Roman"/>
          <w:sz w:val="24"/>
          <w:szCs w:val="24"/>
          <w:rtl w:val="0"/>
        </w:rPr>
        <w:t xml:space="preserve">, such as online courses, seminars, and mentorship programmes. These resources enable employees to assume responsibility for their own development and make learning more flexible and convenient (Bush, 2023).</w:t>
      </w:r>
    </w:p>
    <w:p w:rsidR="00000000" w:rsidDel="00000000" w:rsidP="00000000" w:rsidRDefault="00000000" w:rsidRPr="00000000" w14:paraId="0000002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Adidas learning and development framework has a number of strengths for meeting current needs. The initial trait is </w:t>
      </w:r>
      <w:r w:rsidDel="00000000" w:rsidR="00000000" w:rsidRPr="00000000">
        <w:rPr>
          <w:rFonts w:ascii="Times New Roman" w:cs="Times New Roman" w:eastAsia="Times New Roman" w:hAnsi="Times New Roman"/>
          <w:b w:val="1"/>
          <w:sz w:val="24"/>
          <w:szCs w:val="24"/>
          <w:rtl w:val="0"/>
        </w:rPr>
        <w:t xml:space="preserve">brand reputation</w:t>
      </w:r>
      <w:r w:rsidDel="00000000" w:rsidR="00000000" w:rsidRPr="00000000">
        <w:rPr>
          <w:rFonts w:ascii="Times New Roman" w:cs="Times New Roman" w:eastAsia="Times New Roman" w:hAnsi="Times New Roman"/>
          <w:sz w:val="24"/>
          <w:szCs w:val="24"/>
          <w:rtl w:val="0"/>
        </w:rPr>
        <w:t xml:space="preserve">. Adidas is a globally recognised brand that provides employees with opportunities to work on exciting projects and collaborate with subject matter experts. Following is </w:t>
      </w:r>
      <w:r w:rsidDel="00000000" w:rsidR="00000000" w:rsidRPr="00000000">
        <w:rPr>
          <w:rFonts w:ascii="Times New Roman" w:cs="Times New Roman" w:eastAsia="Times New Roman" w:hAnsi="Times New Roman"/>
          <w:b w:val="1"/>
          <w:sz w:val="24"/>
          <w:szCs w:val="24"/>
          <w:rtl w:val="0"/>
        </w:rPr>
        <w:t xml:space="preserve">global reach</w:t>
      </w:r>
      <w:r w:rsidDel="00000000" w:rsidR="00000000" w:rsidRPr="00000000">
        <w:rPr>
          <w:rFonts w:ascii="Times New Roman" w:cs="Times New Roman" w:eastAsia="Times New Roman" w:hAnsi="Times New Roman"/>
          <w:sz w:val="24"/>
          <w:szCs w:val="24"/>
          <w:rtl w:val="0"/>
        </w:rPr>
        <w:t xml:space="preserve">. With a presence in many countries, Adidas has the potential to offer diverse learning experiences and cross-cultural collaborations, which can be valuable for personal and professional development. </w:t>
      </w:r>
      <w:r w:rsidDel="00000000" w:rsidR="00000000" w:rsidRPr="00000000">
        <w:rPr>
          <w:rFonts w:ascii="Times New Roman" w:cs="Times New Roman" w:eastAsia="Times New Roman" w:hAnsi="Times New Roman"/>
          <w:b w:val="1"/>
          <w:sz w:val="24"/>
          <w:szCs w:val="24"/>
          <w:rtl w:val="0"/>
        </w:rPr>
        <w:t xml:space="preserve">Innovation</w:t>
      </w:r>
      <w:r w:rsidDel="00000000" w:rsidR="00000000" w:rsidRPr="00000000">
        <w:rPr>
          <w:rFonts w:ascii="Times New Roman" w:cs="Times New Roman" w:eastAsia="Times New Roman" w:hAnsi="Times New Roman"/>
          <w:sz w:val="24"/>
          <w:szCs w:val="24"/>
          <w:rtl w:val="0"/>
        </w:rPr>
        <w:t xml:space="preserve"> is the third strength that meets current requirements. The sportswear industry is extremely competitive and dynamic. The innovative spirit of Adidas can translate into cutting-edge educational opportunities for its employees. The fourth factor is </w:t>
      </w:r>
      <w:r w:rsidDel="00000000" w:rsidR="00000000" w:rsidRPr="00000000">
        <w:rPr>
          <w:rFonts w:ascii="Times New Roman" w:cs="Times New Roman" w:eastAsia="Times New Roman" w:hAnsi="Times New Roman"/>
          <w:b w:val="1"/>
          <w:sz w:val="24"/>
          <w:szCs w:val="24"/>
          <w:rtl w:val="0"/>
        </w:rPr>
        <w:t xml:space="preserve">employee development</w:t>
      </w:r>
      <w:r w:rsidDel="00000000" w:rsidR="00000000" w:rsidRPr="00000000">
        <w:rPr>
          <w:rFonts w:ascii="Times New Roman" w:cs="Times New Roman" w:eastAsia="Times New Roman" w:hAnsi="Times New Roman"/>
          <w:sz w:val="24"/>
          <w:szCs w:val="24"/>
          <w:rtl w:val="0"/>
        </w:rPr>
        <w:t xml:space="preserve">. A robust framework for employee learning and development can contribute to employee retention and satisfaction. Employees who perceive opportunities for advancement and growth are more likely to remain with the organization (Kuhna, 2014). The fifth characteristic is </w:t>
      </w:r>
      <w:r w:rsidDel="00000000" w:rsidR="00000000" w:rsidRPr="00000000">
        <w:rPr>
          <w:rFonts w:ascii="Times New Roman" w:cs="Times New Roman" w:eastAsia="Times New Roman" w:hAnsi="Times New Roman"/>
          <w:b w:val="1"/>
          <w:sz w:val="24"/>
          <w:szCs w:val="24"/>
          <w:rtl w:val="0"/>
        </w:rPr>
        <w:t xml:space="preserve">adaptive learning</w:t>
      </w:r>
      <w:r w:rsidDel="00000000" w:rsidR="00000000" w:rsidRPr="00000000">
        <w:rPr>
          <w:rFonts w:ascii="Times New Roman" w:cs="Times New Roman" w:eastAsia="Times New Roman" w:hAnsi="Times New Roman"/>
          <w:sz w:val="24"/>
          <w:szCs w:val="24"/>
          <w:rtl w:val="0"/>
        </w:rPr>
        <w:t xml:space="preserve">. In a rapidly changing world, a successful framework should adapt to current trends and requirements, such as digital transformation, sustainability, and diversity and inclusion. Additionally, </w:t>
      </w:r>
      <w:r w:rsidDel="00000000" w:rsidR="00000000" w:rsidRPr="00000000">
        <w:rPr>
          <w:rFonts w:ascii="Times New Roman" w:cs="Times New Roman" w:eastAsia="Times New Roman" w:hAnsi="Times New Roman"/>
          <w:b w:val="1"/>
          <w:sz w:val="24"/>
          <w:szCs w:val="24"/>
          <w:rtl w:val="0"/>
        </w:rPr>
        <w:t xml:space="preserve">aligning with industry trends</w:t>
      </w:r>
      <w:r w:rsidDel="00000000" w:rsidR="00000000" w:rsidRPr="00000000">
        <w:rPr>
          <w:rFonts w:ascii="Times New Roman" w:cs="Times New Roman" w:eastAsia="Times New Roman" w:hAnsi="Times New Roman"/>
          <w:sz w:val="24"/>
          <w:szCs w:val="24"/>
          <w:rtl w:val="0"/>
        </w:rPr>
        <w:t xml:space="preserve">. The L&amp;D framework at Adidas is aligned with current industry trends, such as sustainability and digitalization, in an efficient manner. The company offers training programmes that address these emerging areas, allowing employees to remain competitive in a market that is constantly evolving. </w:t>
      </w:r>
      <w:r w:rsidDel="00000000" w:rsidR="00000000" w:rsidRPr="00000000">
        <w:rPr>
          <w:rFonts w:ascii="Times New Roman" w:cs="Times New Roman" w:eastAsia="Times New Roman" w:hAnsi="Times New Roman"/>
          <w:b w:val="1"/>
          <w:sz w:val="24"/>
          <w:szCs w:val="24"/>
          <w:rtl w:val="0"/>
        </w:rPr>
        <w:t xml:space="preserve">Employee well-being</w:t>
      </w:r>
      <w:r w:rsidDel="00000000" w:rsidR="00000000" w:rsidRPr="00000000">
        <w:rPr>
          <w:rFonts w:ascii="Times New Roman" w:cs="Times New Roman" w:eastAsia="Times New Roman" w:hAnsi="Times New Roman"/>
          <w:sz w:val="24"/>
          <w:szCs w:val="24"/>
          <w:rtl w:val="0"/>
        </w:rPr>
        <w:t xml:space="preserve"> is the final strength that satisfies current needs. Adidas has incorporated well-being programmes into its L&amp;D framework in response to the increasing significance of work-life balance and mental health. This demonstrates a dedication to meeting the holistic demands of its workforce, which contributes to the overall satisfaction and productivity of its employees (</w:t>
      </w:r>
      <w:r w:rsidDel="00000000" w:rsidR="00000000" w:rsidRPr="00000000">
        <w:rPr>
          <w:rFonts w:ascii="Times New Roman" w:cs="Times New Roman" w:eastAsia="Times New Roman" w:hAnsi="Times New Roman"/>
          <w:i w:val="1"/>
          <w:sz w:val="24"/>
          <w:szCs w:val="24"/>
          <w:rtl w:val="0"/>
        </w:rPr>
        <w:t xml:space="preserve">Learning and performance</w:t>
      </w:r>
      <w:r w:rsidDel="00000000" w:rsidR="00000000" w:rsidRPr="00000000">
        <w:rPr>
          <w:rFonts w:ascii="Times New Roman" w:cs="Times New Roman" w:eastAsia="Times New Roman" w:hAnsi="Times New Roman"/>
          <w:sz w:val="24"/>
          <w:szCs w:val="24"/>
          <w:rtl w:val="0"/>
        </w:rPr>
        <w:t xml:space="preserve">, no date). </w:t>
      </w:r>
    </w:p>
    <w:p w:rsidR="00000000" w:rsidDel="00000000" w:rsidP="00000000" w:rsidRDefault="00000000" w:rsidRPr="00000000" w14:paraId="0000002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Despite its effectiveness, the Adidas learning and development framework has limitations. The first limitation is the </w:t>
      </w:r>
      <w:r w:rsidDel="00000000" w:rsidR="00000000" w:rsidRPr="00000000">
        <w:rPr>
          <w:rFonts w:ascii="Times New Roman" w:cs="Times New Roman" w:eastAsia="Times New Roman" w:hAnsi="Times New Roman"/>
          <w:b w:val="1"/>
          <w:sz w:val="24"/>
          <w:szCs w:val="24"/>
          <w:rtl w:val="0"/>
        </w:rPr>
        <w:t xml:space="preserve">allocation of resources</w:t>
      </w:r>
      <w:r w:rsidDel="00000000" w:rsidR="00000000" w:rsidRPr="00000000">
        <w:rPr>
          <w:rFonts w:ascii="Times New Roman" w:cs="Times New Roman" w:eastAsia="Times New Roman" w:hAnsi="Times New Roman"/>
          <w:sz w:val="24"/>
          <w:szCs w:val="24"/>
          <w:rtl w:val="0"/>
        </w:rPr>
        <w:t xml:space="preserve">. Allocation of resources is a common difficulty in L&amp;D programmes. It can be difficult to ensure that sufficient financial and human resources are allocated to learning and development initiatives (Bush, 2023). Second is </w:t>
      </w:r>
      <w:r w:rsidDel="00000000" w:rsidR="00000000" w:rsidRPr="00000000">
        <w:rPr>
          <w:rFonts w:ascii="Times New Roman" w:cs="Times New Roman" w:eastAsia="Times New Roman" w:hAnsi="Times New Roman"/>
          <w:b w:val="1"/>
          <w:sz w:val="24"/>
          <w:szCs w:val="24"/>
          <w:rtl w:val="0"/>
        </w:rPr>
        <w:t xml:space="preserve">skill gaps</w:t>
      </w:r>
      <w:r w:rsidDel="00000000" w:rsidR="00000000" w:rsidRPr="00000000">
        <w:rPr>
          <w:rFonts w:ascii="Times New Roman" w:cs="Times New Roman" w:eastAsia="Times New Roman" w:hAnsi="Times New Roman"/>
          <w:sz w:val="24"/>
          <w:szCs w:val="24"/>
          <w:rtl w:val="0"/>
        </w:rPr>
        <w:t xml:space="preserve">. The effectiveness of the framework is contingent upon its capacity to resolve skill gaps within the organization. Identifying these voids and designing appropriate training can be difficult (Meister, 2014). </w:t>
      </w:r>
      <w:r w:rsidDel="00000000" w:rsidR="00000000" w:rsidRPr="00000000">
        <w:rPr>
          <w:rFonts w:ascii="Times New Roman" w:cs="Times New Roman" w:eastAsia="Times New Roman" w:hAnsi="Times New Roman"/>
          <w:b w:val="1"/>
          <w:sz w:val="24"/>
          <w:szCs w:val="24"/>
          <w:rtl w:val="0"/>
        </w:rPr>
        <w:t xml:space="preserve">Measurement and evaluation</w:t>
      </w:r>
      <w:r w:rsidDel="00000000" w:rsidR="00000000" w:rsidRPr="00000000">
        <w:rPr>
          <w:rFonts w:ascii="Times New Roman" w:cs="Times New Roman" w:eastAsia="Times New Roman" w:hAnsi="Times New Roman"/>
          <w:sz w:val="24"/>
          <w:szCs w:val="24"/>
          <w:rtl w:val="0"/>
        </w:rPr>
        <w:t xml:space="preserve"> come third. It is crucial to evaluate the effectiveness of learning and development initiatives. Without appropriate metrics and evaluation processes, it can be challenging to determine the framework's effectiveness. The fourth limitation is </w:t>
      </w:r>
      <w:r w:rsidDel="00000000" w:rsidR="00000000" w:rsidRPr="00000000">
        <w:rPr>
          <w:rFonts w:ascii="Times New Roman" w:cs="Times New Roman" w:eastAsia="Times New Roman" w:hAnsi="Times New Roman"/>
          <w:b w:val="1"/>
          <w:sz w:val="24"/>
          <w:szCs w:val="24"/>
          <w:rtl w:val="0"/>
        </w:rPr>
        <w:t xml:space="preserve">adaptation to market changes</w:t>
      </w:r>
      <w:r w:rsidDel="00000000" w:rsidR="00000000" w:rsidRPr="00000000">
        <w:rPr>
          <w:rFonts w:ascii="Times New Roman" w:cs="Times New Roman" w:eastAsia="Times New Roman" w:hAnsi="Times New Roman"/>
          <w:sz w:val="24"/>
          <w:szCs w:val="24"/>
          <w:rtl w:val="0"/>
        </w:rPr>
        <w:t xml:space="preserve">. The sportswear industry is vulnerable to market fluctuations, consumer preferences, and fashion trends. To maintain employee relevance, the L&amp;D framework must rapidly adapt to these changes (Adidas SWOT analysis - the strategy story, 2023). Fifth on the list is </w:t>
      </w:r>
      <w:r w:rsidDel="00000000" w:rsidR="00000000" w:rsidRPr="00000000">
        <w:rPr>
          <w:rFonts w:ascii="Times New Roman" w:cs="Times New Roman" w:eastAsia="Times New Roman" w:hAnsi="Times New Roman"/>
          <w:b w:val="1"/>
          <w:sz w:val="24"/>
          <w:szCs w:val="24"/>
          <w:rtl w:val="0"/>
        </w:rPr>
        <w:t xml:space="preserve">digitalization</w:t>
      </w:r>
      <w:r w:rsidDel="00000000" w:rsidR="00000000" w:rsidRPr="00000000">
        <w:rPr>
          <w:rFonts w:ascii="Times New Roman" w:cs="Times New Roman" w:eastAsia="Times New Roman" w:hAnsi="Times New Roman"/>
          <w:sz w:val="24"/>
          <w:szCs w:val="24"/>
          <w:rtl w:val="0"/>
        </w:rPr>
        <w:t xml:space="preserve">. Traditional L&amp;D frameworks are challenged by the growing significance of digital skills in a variety of industries, such as retail and activewear. It is essential to stay current with digital learning trends (Adidas SWOT analysis - the strategy story, 2023). Sixth is </w:t>
      </w:r>
      <w:r w:rsidDel="00000000" w:rsidR="00000000" w:rsidRPr="00000000">
        <w:rPr>
          <w:rFonts w:ascii="Times New Roman" w:cs="Times New Roman" w:eastAsia="Times New Roman" w:hAnsi="Times New Roman"/>
          <w:b w:val="1"/>
          <w:sz w:val="24"/>
          <w:szCs w:val="24"/>
          <w:rtl w:val="0"/>
        </w:rPr>
        <w:t xml:space="preserve">diversity and inclusion</w:t>
      </w:r>
      <w:r w:rsidDel="00000000" w:rsidR="00000000" w:rsidRPr="00000000">
        <w:rPr>
          <w:rFonts w:ascii="Times New Roman" w:cs="Times New Roman" w:eastAsia="Times New Roman" w:hAnsi="Times New Roman"/>
          <w:sz w:val="24"/>
          <w:szCs w:val="24"/>
          <w:rtl w:val="0"/>
        </w:rPr>
        <w:t xml:space="preserve">. In today's business environment, it is crucial to ensure that the framework promotes diversity and inclusion. Not addressing these issues may result in cultural and talent issues. Additionally, </w:t>
      </w:r>
      <w:r w:rsidDel="00000000" w:rsidR="00000000" w:rsidRPr="00000000">
        <w:rPr>
          <w:rFonts w:ascii="Times New Roman" w:cs="Times New Roman" w:eastAsia="Times New Roman" w:hAnsi="Times New Roman"/>
          <w:b w:val="1"/>
          <w:sz w:val="24"/>
          <w:szCs w:val="24"/>
          <w:rtl w:val="0"/>
        </w:rPr>
        <w:t xml:space="preserve">technological gaps</w:t>
      </w:r>
      <w:r w:rsidDel="00000000" w:rsidR="00000000" w:rsidRPr="00000000">
        <w:rPr>
          <w:rFonts w:ascii="Times New Roman" w:cs="Times New Roman" w:eastAsia="Times New Roman" w:hAnsi="Times New Roman"/>
          <w:sz w:val="24"/>
          <w:szCs w:val="24"/>
          <w:rtl w:val="0"/>
        </w:rPr>
        <w:t xml:space="preserve">. There may be technological gaps in certain regions that impede the efficacy of digital learning tools. This restriction may impede the capacity of employees to completely engage with the L&amp;D framework (Meister, 2014). The eighth is </w:t>
      </w:r>
      <w:r w:rsidDel="00000000" w:rsidR="00000000" w:rsidRPr="00000000">
        <w:rPr>
          <w:rFonts w:ascii="Times New Roman" w:cs="Times New Roman" w:eastAsia="Times New Roman" w:hAnsi="Times New Roman"/>
          <w:b w:val="1"/>
          <w:sz w:val="24"/>
          <w:szCs w:val="24"/>
          <w:rtl w:val="0"/>
        </w:rPr>
        <w:t xml:space="preserve">resistance to change</w:t>
      </w:r>
      <w:r w:rsidDel="00000000" w:rsidR="00000000" w:rsidRPr="00000000">
        <w:rPr>
          <w:rFonts w:ascii="Times New Roman" w:cs="Times New Roman" w:eastAsia="Times New Roman" w:hAnsi="Times New Roman"/>
          <w:sz w:val="24"/>
          <w:szCs w:val="24"/>
          <w:rtl w:val="0"/>
        </w:rPr>
        <w:t xml:space="preserve">. In spite of efforts to cultivate a culture of learning, resistance to change can persist within an organization. Some employees may be unwilling to adopt new learning methods or technologies, thereby reducing the framework's effectiveness (Adidas SWOT analysis - the strategy story, 2023). </w:t>
      </w:r>
      <w:r w:rsidDel="00000000" w:rsidR="00000000" w:rsidRPr="00000000">
        <w:rPr>
          <w:rFonts w:ascii="Times New Roman" w:cs="Times New Roman" w:eastAsia="Times New Roman" w:hAnsi="Times New Roman"/>
          <w:b w:val="1"/>
          <w:sz w:val="24"/>
          <w:szCs w:val="24"/>
          <w:rtl w:val="0"/>
        </w:rPr>
        <w:t xml:space="preserve">Evaluation and feedback</w:t>
      </w:r>
      <w:r w:rsidDel="00000000" w:rsidR="00000000" w:rsidRPr="00000000">
        <w:rPr>
          <w:rFonts w:ascii="Times New Roman" w:cs="Times New Roman" w:eastAsia="Times New Roman" w:hAnsi="Times New Roman"/>
          <w:sz w:val="24"/>
          <w:szCs w:val="24"/>
          <w:rtl w:val="0"/>
        </w:rPr>
        <w:t xml:space="preserve"> come last. By instituting a robust evaluation and feedback mechanism, Adidas could enhance its L&amp;D framework. This would aid in identifying areas for development and ensure that the framework continues to reflect evolving requirements (Kuhna, 2014).</w:t>
      </w:r>
    </w:p>
    <w:p w:rsidR="00000000" w:rsidDel="00000000" w:rsidP="00000000" w:rsidRDefault="00000000" w:rsidRPr="00000000" w14:paraId="00000027">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Adidas' Learning and Development framework demonstrates a strong commitment to adapting to industry trends and meeting the current requirements of its workforce. It is effective due to the personalized approach, emphasis on a learning culture, and availability of resources. However, there are constraints, such as resource limitations, technological gaps, resistance to change, and the need for enhanced evaluation and feedback mechanisms. Adidas should continue refining its L&amp;D framework to resolve these limitations while leveraging its strengths to equip its employees for success in a dynamic business environment in order to maintain its global leadership position.</w:t>
      </w:r>
    </w:p>
    <w:p w:rsidR="00000000" w:rsidDel="00000000" w:rsidP="00000000" w:rsidRDefault="00000000" w:rsidRPr="00000000" w14:paraId="00000029">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A">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D">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E">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F">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1">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2">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3">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7">
      <w:pPr>
        <w:spacing w:line="360" w:lineRule="auto"/>
        <w:ind w:left="0" w:firstLine="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Presentation Link:</w:t>
      </w:r>
    </w:p>
    <w:p w:rsidR="00000000" w:rsidDel="00000000" w:rsidP="00000000" w:rsidRDefault="00000000" w:rsidRPr="00000000" w14:paraId="00000038">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9">
      <w:pPr>
        <w:spacing w:line="360" w:lineRule="auto"/>
        <w:ind w:left="0" w:firstLine="0"/>
        <w:jc w:val="both"/>
        <w:rPr>
          <w:rFonts w:ascii="Times New Roman" w:cs="Times New Roman" w:eastAsia="Times New Roman" w:hAnsi="Times New Roman"/>
          <w:sz w:val="24"/>
          <w:szCs w:val="24"/>
        </w:rPr>
      </w:pPr>
      <w:hyperlink r:id="rId8">
        <w:r w:rsidDel="00000000" w:rsidR="00000000" w:rsidRPr="00000000">
          <w:rPr>
            <w:rFonts w:ascii="Times New Roman" w:cs="Times New Roman" w:eastAsia="Times New Roman" w:hAnsi="Times New Roman"/>
            <w:color w:val="1155cc"/>
            <w:sz w:val="24"/>
            <w:szCs w:val="24"/>
            <w:u w:val="single"/>
            <w:rtl w:val="0"/>
          </w:rPr>
          <w:t xml:space="preserve">General-20230905_120135-Meeting Recording.mp4</w:t>
        </w:r>
      </w:hyperlink>
      <w:r w:rsidDel="00000000" w:rsidR="00000000" w:rsidRPr="00000000">
        <w:rPr>
          <w:rtl w:val="0"/>
        </w:rPr>
      </w:r>
    </w:p>
    <w:p w:rsidR="00000000" w:rsidDel="00000000" w:rsidP="00000000" w:rsidRDefault="00000000" w:rsidRPr="00000000" w14:paraId="0000003A">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B">
      <w:pPr>
        <w:spacing w:line="360" w:lineRule="auto"/>
        <w:ind w:left="0" w:firstLine="0"/>
        <w:jc w:val="both"/>
        <w:rPr/>
      </w:pPr>
      <w:r w:rsidDel="00000000" w:rsidR="00000000" w:rsidRPr="00000000">
        <w:rPr>
          <w:rtl w:val="0"/>
        </w:rPr>
      </w:r>
    </w:p>
    <w:p w:rsidR="00000000" w:rsidDel="00000000" w:rsidP="00000000" w:rsidRDefault="00000000" w:rsidRPr="00000000" w14:paraId="0000003C">
      <w:pPr>
        <w:spacing w:line="360" w:lineRule="auto"/>
        <w:ind w:left="0" w:firstLine="0"/>
        <w:jc w:val="both"/>
        <w:rPr/>
      </w:pPr>
      <w:r w:rsidDel="00000000" w:rsidR="00000000" w:rsidRPr="00000000">
        <w:rPr>
          <w:rtl w:val="0"/>
        </w:rPr>
      </w:r>
    </w:p>
    <w:p w:rsidR="00000000" w:rsidDel="00000000" w:rsidP="00000000" w:rsidRDefault="00000000" w:rsidRPr="00000000" w14:paraId="0000003D">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References:</w:t>
      </w:r>
    </w:p>
    <w:p w:rsidR="00000000" w:rsidDel="00000000" w:rsidP="00000000" w:rsidRDefault="00000000" w:rsidRPr="00000000" w14:paraId="0000003E">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F">
      <w:pPr>
        <w:spacing w:after="240" w:before="240" w:lineRule="auto"/>
        <w:ind w:left="58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Adidas SWOT analysis - the strategy story (2023) The Strategy Story - Simplifying Business Strategies. Available at: https://thestrategystory.com/blog/adidas-swot-analysis/#:~:text=Dependence%20on%20the%20sports%20market,to%20changes%20in%20the%20market. (Accessed: 04 September 2023). </w:t>
      </w:r>
    </w:p>
    <w:p w:rsidR="00000000" w:rsidDel="00000000" w:rsidP="00000000" w:rsidRDefault="00000000" w:rsidRPr="00000000" w14:paraId="00000040">
      <w:pPr>
        <w:spacing w:after="240" w:before="240" w:lineRule="auto"/>
        <w:ind w:left="58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Bush, T. (2023) SWOT analysis of Adidas proves it’s a powerful brand, PESTLE Analysis. Available at: https://pestleanalysis.com/swot-analysis-of-adidas/ (Accessed: 04 September 2023). </w:t>
      </w:r>
    </w:p>
    <w:p w:rsidR="00000000" w:rsidDel="00000000" w:rsidP="00000000" w:rsidRDefault="00000000" w:rsidRPr="00000000" w14:paraId="00000041">
      <w:pPr>
        <w:spacing w:after="240" w:before="240" w:lineRule="auto"/>
        <w:ind w:left="58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Kuhna, C. (2014) Bringing the Adidas Group Learning Campus to Life! – learning in the 21st century!, adidas GamePlan A. Available at: https://www.gameplan-a.com/2014/03/bringing-the-adidas-group-learning-campus-to-life-learning-in-the-21st-century/ (Accessed: 04 September 2023). </w:t>
      </w:r>
    </w:p>
    <w:p w:rsidR="00000000" w:rsidDel="00000000" w:rsidP="00000000" w:rsidRDefault="00000000" w:rsidRPr="00000000" w14:paraId="00000042">
      <w:pPr>
        <w:spacing w:after="240" w:before="240" w:lineRule="auto"/>
        <w:ind w:left="58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Learning and performance (no date) adidas Annual Report 2021. Available at: https://report.adidas-group.com/2021/en/group-management-report-our-company/our-people/learning-and-performance.html (Accessed: 04 September 2023). </w:t>
      </w:r>
    </w:p>
    <w:p w:rsidR="00000000" w:rsidDel="00000000" w:rsidP="00000000" w:rsidRDefault="00000000" w:rsidRPr="00000000" w14:paraId="00000043">
      <w:pPr>
        <w:spacing w:after="240" w:before="240" w:lineRule="auto"/>
        <w:ind w:left="58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Meister, J. (2014) A new way of working and learning: Adidas style, Forbes. Available at: https://www.forbes.com/sites/jeannemeister/2014/07/21/a-new-way-of-working-and-learning-adidas-style/?sh=17876f952adc (Accessed: 04 September 2023). </w:t>
      </w:r>
    </w:p>
    <w:p w:rsidR="00000000" w:rsidDel="00000000" w:rsidP="00000000" w:rsidRDefault="00000000" w:rsidRPr="00000000" w14:paraId="00000044">
      <w:pP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46">
      <w:pPr>
        <w:spacing w:line="360" w:lineRule="auto"/>
        <w:ind w:left="0" w:firstLine="0"/>
        <w:jc w:val="both"/>
        <w:rPr/>
      </w:pPr>
      <w:r w:rsidDel="00000000" w:rsidR="00000000" w:rsidRPr="00000000">
        <w:rPr>
          <w:rtl w:val="0"/>
        </w:rPr>
      </w:r>
    </w:p>
    <w:p w:rsidR="00000000" w:rsidDel="00000000" w:rsidP="00000000" w:rsidRDefault="00000000" w:rsidRPr="00000000" w14:paraId="00000047">
      <w:pPr>
        <w:spacing w:line="360" w:lineRule="auto"/>
        <w:ind w:left="0" w:firstLine="0"/>
        <w:jc w:val="both"/>
        <w:rPr/>
      </w:pPr>
      <w:r w:rsidDel="00000000" w:rsidR="00000000" w:rsidRPr="00000000">
        <w:rPr>
          <w:rtl w:val="0"/>
        </w:rPr>
      </w:r>
    </w:p>
    <w:p w:rsidR="00000000" w:rsidDel="00000000" w:rsidP="00000000" w:rsidRDefault="00000000" w:rsidRPr="00000000" w14:paraId="00000048">
      <w:pPr>
        <w:spacing w:line="360" w:lineRule="auto"/>
        <w:ind w:left="0" w:firstLine="0"/>
        <w:jc w:val="both"/>
        <w:rPr/>
      </w:pPr>
      <w:r w:rsidDel="00000000" w:rsidR="00000000" w:rsidRPr="00000000">
        <w:rPr>
          <w:rtl w:val="0"/>
        </w:rPr>
      </w:r>
    </w:p>
    <w:p w:rsidR="00000000" w:rsidDel="00000000" w:rsidP="00000000" w:rsidRDefault="00000000" w:rsidRPr="00000000" w14:paraId="00000049">
      <w:pPr>
        <w:spacing w:line="360" w:lineRule="auto"/>
        <w:ind w:left="0" w:firstLine="0"/>
        <w:jc w:val="both"/>
        <w:rPr/>
      </w:pPr>
      <w:r w:rsidDel="00000000" w:rsidR="00000000" w:rsidRPr="00000000">
        <w:rPr>
          <w:rtl w:val="0"/>
        </w:rPr>
      </w:r>
    </w:p>
    <w:p w:rsidR="00000000" w:rsidDel="00000000" w:rsidP="00000000" w:rsidRDefault="00000000" w:rsidRPr="00000000" w14:paraId="0000004A">
      <w:pPr>
        <w:spacing w:line="360" w:lineRule="auto"/>
        <w:ind w:left="0" w:firstLine="0"/>
        <w:jc w:val="both"/>
        <w:rPr>
          <w:rFonts w:ascii="Times New Roman" w:cs="Times New Roman" w:eastAsia="Times New Roman" w:hAnsi="Times New Roman"/>
          <w:sz w:val="24"/>
          <w:szCs w:val="24"/>
        </w:rPr>
      </w:pPr>
      <w:r w:rsidDel="00000000" w:rsidR="00000000" w:rsidRPr="00000000">
        <w:rPr>
          <w:rtl w:val="0"/>
        </w:rPr>
      </w:r>
    </w:p>
    <w:sectPr>
      <w:footerReference r:id="rId9" w:type="default"/>
      <w:footerReference r:id="rId10" w:type="firs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B">
    <w:pPr>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C">
    <w:pPr>
      <w:jc w:val="right"/>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footer" Target="footer1.xml"/><Relationship Id="rId9" Type="http://schemas.openxmlformats.org/officeDocument/2006/relationships/footer" Target="footer2.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2.png"/><Relationship Id="rId8" Type="http://schemas.openxmlformats.org/officeDocument/2006/relationships/hyperlink" Target="https://uowtsd.sharepoint.com/:v:/t/LeadingandDevelopingPeople-Assessment2_GRP/EQhE8mNnaf9InHc1gAF0IEQBH01qw4dC1uYsC9lHi94ISg?e=QjctRd&amp;nav=eyJyZWZlcnJhbEluZm8iOnsicmVmZXJyYWxBcHAiOiJTdHJlYW1XZWJBcHAiLCJyZWZlcnJhbFZpZXciOiJTaGFyZURpYWxvZyIsInJlZmVycmFsQXBwUGxhdGZvcm0iOiJXZWIiLCJyZWZlcnJhbE1vZGUiOiJ2aWV3In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