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1EBF9" w14:textId="20311F69" w:rsidR="005536D9" w:rsidRPr="003E6051" w:rsidRDefault="005536D9" w:rsidP="00A20578">
      <w:pPr>
        <w:spacing w:line="360" w:lineRule="auto"/>
        <w:ind w:left="-288" w:right="-288"/>
        <w:jc w:val="both"/>
      </w:pPr>
    </w:p>
    <w:p w14:paraId="6AB8F53B" w14:textId="65734F70" w:rsidR="005536D9" w:rsidRPr="003E6051" w:rsidRDefault="005536D9" w:rsidP="00E11E47">
      <w:pPr>
        <w:spacing w:line="240" w:lineRule="auto"/>
        <w:ind w:left="-432" w:right="-432"/>
        <w:jc w:val="both"/>
        <w:rPr>
          <w:sz w:val="36"/>
          <w:szCs w:val="36"/>
        </w:rPr>
      </w:pPr>
      <w:r w:rsidRPr="003E6051">
        <w:rPr>
          <w:sz w:val="36"/>
          <w:szCs w:val="36"/>
        </w:rPr>
        <w:t xml:space="preserve">Course: </w:t>
      </w:r>
      <w:r w:rsidR="009C1E5C" w:rsidRPr="003E6051">
        <w:rPr>
          <w:sz w:val="36"/>
          <w:szCs w:val="36"/>
        </w:rPr>
        <w:t>M</w:t>
      </w:r>
      <w:r w:rsidRPr="003E6051">
        <w:rPr>
          <w:sz w:val="36"/>
          <w:szCs w:val="36"/>
        </w:rPr>
        <w:t>Sc Engineering</w:t>
      </w:r>
      <w:r w:rsidR="009C1E5C" w:rsidRPr="003E6051">
        <w:rPr>
          <w:sz w:val="36"/>
          <w:szCs w:val="36"/>
        </w:rPr>
        <w:t xml:space="preserve"> Project Management </w:t>
      </w:r>
    </w:p>
    <w:p w14:paraId="54A4D32A" w14:textId="530009B4" w:rsidR="005536D9" w:rsidRPr="003E6051" w:rsidRDefault="005536D9" w:rsidP="00E11E47">
      <w:pPr>
        <w:spacing w:line="240" w:lineRule="auto"/>
        <w:ind w:left="-432" w:right="-432"/>
        <w:jc w:val="both"/>
        <w:rPr>
          <w:sz w:val="36"/>
          <w:szCs w:val="36"/>
        </w:rPr>
      </w:pPr>
      <w:r w:rsidRPr="003E6051">
        <w:rPr>
          <w:sz w:val="36"/>
          <w:szCs w:val="36"/>
        </w:rPr>
        <w:t xml:space="preserve">Module: </w:t>
      </w:r>
      <w:r w:rsidR="009C1E5C" w:rsidRPr="003E6051">
        <w:rPr>
          <w:sz w:val="36"/>
          <w:szCs w:val="36"/>
        </w:rPr>
        <w:t>ACEA70</w:t>
      </w:r>
      <w:r w:rsidR="0075006E" w:rsidRPr="003E6051">
        <w:rPr>
          <w:sz w:val="36"/>
          <w:szCs w:val="36"/>
        </w:rPr>
        <w:t>0</w:t>
      </w:r>
      <w:r w:rsidR="001951B3" w:rsidRPr="003E6051">
        <w:rPr>
          <w:sz w:val="36"/>
          <w:szCs w:val="36"/>
        </w:rPr>
        <w:t>3 Masters Project</w:t>
      </w:r>
    </w:p>
    <w:p w14:paraId="5245E054" w14:textId="26BFDBC8" w:rsidR="005536D9" w:rsidRPr="003E6051" w:rsidRDefault="005536D9" w:rsidP="00E11E47">
      <w:pPr>
        <w:spacing w:line="240" w:lineRule="auto"/>
        <w:ind w:left="-432" w:right="-432"/>
        <w:jc w:val="both"/>
        <w:rPr>
          <w:sz w:val="36"/>
          <w:szCs w:val="36"/>
        </w:rPr>
      </w:pPr>
      <w:r w:rsidRPr="003E6051">
        <w:rPr>
          <w:sz w:val="36"/>
          <w:szCs w:val="36"/>
        </w:rPr>
        <w:t xml:space="preserve">Assignment: </w:t>
      </w:r>
      <w:r w:rsidR="00CB48DF" w:rsidRPr="003E6051">
        <w:rPr>
          <w:sz w:val="36"/>
          <w:szCs w:val="36"/>
        </w:rPr>
        <w:t xml:space="preserve">Are </w:t>
      </w:r>
      <w:r w:rsidR="00CC7478">
        <w:rPr>
          <w:sz w:val="36"/>
          <w:szCs w:val="36"/>
        </w:rPr>
        <w:t>R</w:t>
      </w:r>
      <w:r w:rsidR="00CB48DF" w:rsidRPr="003E6051">
        <w:rPr>
          <w:sz w:val="36"/>
          <w:szCs w:val="36"/>
        </w:rPr>
        <w:t xml:space="preserve">isk </w:t>
      </w:r>
      <w:r w:rsidR="00CC7478">
        <w:rPr>
          <w:sz w:val="36"/>
          <w:szCs w:val="36"/>
        </w:rPr>
        <w:t>A</w:t>
      </w:r>
      <w:r w:rsidR="00CB48DF" w:rsidRPr="003E6051">
        <w:rPr>
          <w:sz w:val="36"/>
          <w:szCs w:val="36"/>
        </w:rPr>
        <w:t xml:space="preserve">ssessment </w:t>
      </w:r>
      <w:r w:rsidR="00CC7478">
        <w:rPr>
          <w:sz w:val="36"/>
          <w:szCs w:val="36"/>
        </w:rPr>
        <w:t>T</w:t>
      </w:r>
      <w:r w:rsidR="00CB48DF" w:rsidRPr="003E6051">
        <w:rPr>
          <w:sz w:val="36"/>
          <w:szCs w:val="36"/>
        </w:rPr>
        <w:t xml:space="preserve">ools </w:t>
      </w:r>
      <w:r w:rsidR="00CC7478">
        <w:rPr>
          <w:sz w:val="36"/>
          <w:szCs w:val="36"/>
        </w:rPr>
        <w:t>E</w:t>
      </w:r>
      <w:r w:rsidR="00CB48DF" w:rsidRPr="003E6051">
        <w:rPr>
          <w:sz w:val="36"/>
          <w:szCs w:val="36"/>
        </w:rPr>
        <w:t xml:space="preserve">ffectively used in </w:t>
      </w:r>
      <w:r w:rsidR="00CC7478">
        <w:rPr>
          <w:sz w:val="36"/>
          <w:szCs w:val="36"/>
        </w:rPr>
        <w:t>P</w:t>
      </w:r>
      <w:r w:rsidR="00CB48DF" w:rsidRPr="003E6051">
        <w:rPr>
          <w:sz w:val="36"/>
          <w:szCs w:val="36"/>
        </w:rPr>
        <w:t xml:space="preserve">roject </w:t>
      </w:r>
      <w:r w:rsidR="00CC7478">
        <w:rPr>
          <w:sz w:val="36"/>
          <w:szCs w:val="36"/>
        </w:rPr>
        <w:t>M</w:t>
      </w:r>
      <w:r w:rsidR="00CB48DF" w:rsidRPr="003E6051">
        <w:rPr>
          <w:sz w:val="36"/>
          <w:szCs w:val="36"/>
        </w:rPr>
        <w:t xml:space="preserve">anagement, and is there a </w:t>
      </w:r>
      <w:r w:rsidR="00B65BCC">
        <w:rPr>
          <w:sz w:val="36"/>
          <w:szCs w:val="36"/>
        </w:rPr>
        <w:t>N</w:t>
      </w:r>
      <w:r w:rsidR="00CB48DF" w:rsidRPr="003E6051">
        <w:rPr>
          <w:sz w:val="36"/>
          <w:szCs w:val="36"/>
        </w:rPr>
        <w:t xml:space="preserve">eed for a </w:t>
      </w:r>
      <w:r w:rsidR="00CC7478">
        <w:rPr>
          <w:sz w:val="36"/>
          <w:szCs w:val="36"/>
        </w:rPr>
        <w:t>C</w:t>
      </w:r>
      <w:r w:rsidR="00CB48DF" w:rsidRPr="003E6051">
        <w:rPr>
          <w:sz w:val="36"/>
          <w:szCs w:val="36"/>
        </w:rPr>
        <w:t xml:space="preserve">ustomisable </w:t>
      </w:r>
      <w:r w:rsidR="00CC7478">
        <w:rPr>
          <w:sz w:val="36"/>
          <w:szCs w:val="36"/>
        </w:rPr>
        <w:t>F</w:t>
      </w:r>
      <w:r w:rsidR="00CB48DF" w:rsidRPr="003E6051">
        <w:rPr>
          <w:sz w:val="36"/>
          <w:szCs w:val="36"/>
        </w:rPr>
        <w:t xml:space="preserve">ramework to </w:t>
      </w:r>
      <w:r w:rsidR="00CC7478">
        <w:rPr>
          <w:sz w:val="36"/>
          <w:szCs w:val="36"/>
        </w:rPr>
        <w:t>E</w:t>
      </w:r>
      <w:r w:rsidR="00CB48DF" w:rsidRPr="003E6051">
        <w:rPr>
          <w:sz w:val="36"/>
          <w:szCs w:val="36"/>
        </w:rPr>
        <w:t xml:space="preserve">nhance </w:t>
      </w:r>
      <w:r w:rsidR="00CC7478">
        <w:rPr>
          <w:sz w:val="36"/>
          <w:szCs w:val="36"/>
        </w:rPr>
        <w:t>R</w:t>
      </w:r>
      <w:r w:rsidR="00CB48DF" w:rsidRPr="003E6051">
        <w:rPr>
          <w:sz w:val="36"/>
          <w:szCs w:val="36"/>
        </w:rPr>
        <w:t xml:space="preserve">isk </w:t>
      </w:r>
      <w:r w:rsidR="00CC7478">
        <w:rPr>
          <w:sz w:val="36"/>
          <w:szCs w:val="36"/>
        </w:rPr>
        <w:t>M</w:t>
      </w:r>
      <w:r w:rsidR="00CB48DF" w:rsidRPr="003E6051">
        <w:rPr>
          <w:sz w:val="36"/>
          <w:szCs w:val="36"/>
        </w:rPr>
        <w:t xml:space="preserve">anagement to </w:t>
      </w:r>
      <w:r w:rsidR="00CC7478">
        <w:rPr>
          <w:sz w:val="36"/>
          <w:szCs w:val="36"/>
        </w:rPr>
        <w:t>U</w:t>
      </w:r>
      <w:r w:rsidR="00CB48DF" w:rsidRPr="003E6051">
        <w:rPr>
          <w:sz w:val="36"/>
          <w:szCs w:val="36"/>
        </w:rPr>
        <w:t xml:space="preserve">ltimately </w:t>
      </w:r>
      <w:r w:rsidR="00CC7478">
        <w:rPr>
          <w:sz w:val="36"/>
          <w:szCs w:val="36"/>
        </w:rPr>
        <w:t>I</w:t>
      </w:r>
      <w:r w:rsidR="00CB48DF" w:rsidRPr="003E6051">
        <w:rPr>
          <w:sz w:val="36"/>
          <w:szCs w:val="36"/>
        </w:rPr>
        <w:t xml:space="preserve">mprove </w:t>
      </w:r>
      <w:r w:rsidR="00CC7478">
        <w:rPr>
          <w:sz w:val="36"/>
          <w:szCs w:val="36"/>
        </w:rPr>
        <w:t>P</w:t>
      </w:r>
      <w:r w:rsidR="00CB48DF" w:rsidRPr="003E6051">
        <w:rPr>
          <w:sz w:val="36"/>
          <w:szCs w:val="36"/>
        </w:rPr>
        <w:t xml:space="preserve">roject </w:t>
      </w:r>
      <w:r w:rsidR="00CC7478">
        <w:rPr>
          <w:sz w:val="36"/>
          <w:szCs w:val="36"/>
        </w:rPr>
        <w:t>O</w:t>
      </w:r>
      <w:r w:rsidR="00CB48DF" w:rsidRPr="003E6051">
        <w:rPr>
          <w:sz w:val="36"/>
          <w:szCs w:val="36"/>
        </w:rPr>
        <w:t>utcomes?</w:t>
      </w:r>
    </w:p>
    <w:p w14:paraId="083AEFFC" w14:textId="77777777" w:rsidR="005536D9" w:rsidRPr="003E6051" w:rsidRDefault="005536D9" w:rsidP="00E11E47">
      <w:pPr>
        <w:spacing w:line="240" w:lineRule="auto"/>
        <w:ind w:left="-432" w:right="-432"/>
        <w:jc w:val="both"/>
        <w:rPr>
          <w:sz w:val="36"/>
          <w:szCs w:val="36"/>
        </w:rPr>
      </w:pPr>
      <w:r w:rsidRPr="003E6051">
        <w:rPr>
          <w:sz w:val="36"/>
          <w:szCs w:val="36"/>
        </w:rPr>
        <w:t>University number: 1809810</w:t>
      </w:r>
    </w:p>
    <w:p w14:paraId="581556D6" w14:textId="31E00F11" w:rsidR="005536D9" w:rsidRPr="003E6051" w:rsidRDefault="005536D9" w:rsidP="00E11E47">
      <w:pPr>
        <w:shd w:val="clear" w:color="auto" w:fill="FFFFFF"/>
        <w:spacing w:line="240" w:lineRule="auto"/>
        <w:ind w:left="-432" w:right="-432"/>
        <w:jc w:val="both"/>
      </w:pPr>
      <w:r w:rsidRPr="003E6051">
        <w:rPr>
          <w:sz w:val="36"/>
          <w:szCs w:val="36"/>
        </w:rPr>
        <w:t>Date submitted:</w:t>
      </w:r>
      <w:r w:rsidR="00A27D73">
        <w:rPr>
          <w:sz w:val="36"/>
          <w:szCs w:val="36"/>
        </w:rPr>
        <w:t xml:space="preserve"> 14/01/2026</w:t>
      </w:r>
      <w:r w:rsidRPr="003E6051">
        <w:rPr>
          <w:sz w:val="36"/>
          <w:szCs w:val="36"/>
        </w:rPr>
        <w:t xml:space="preserve"> </w:t>
      </w:r>
    </w:p>
    <w:p w14:paraId="45B123BD" w14:textId="7C186495" w:rsidR="005536D9" w:rsidRPr="003E6051" w:rsidRDefault="005536D9" w:rsidP="00E11E47">
      <w:pPr>
        <w:spacing w:line="240" w:lineRule="auto"/>
        <w:ind w:left="-432" w:right="-432"/>
        <w:jc w:val="both"/>
      </w:pPr>
      <w:r w:rsidRPr="003E6051">
        <w:rPr>
          <w:sz w:val="36"/>
          <w:szCs w:val="36"/>
        </w:rPr>
        <w:t xml:space="preserve">Word count: </w:t>
      </w:r>
      <w:r w:rsidR="00CC7478">
        <w:rPr>
          <w:sz w:val="36"/>
          <w:szCs w:val="36"/>
          <w:shd w:val="clear" w:color="auto" w:fill="FFFFFF" w:themeFill="background1"/>
        </w:rPr>
        <w:t>16</w:t>
      </w:r>
      <w:r w:rsidR="00E77AAF">
        <w:rPr>
          <w:sz w:val="36"/>
          <w:szCs w:val="36"/>
          <w:shd w:val="clear" w:color="auto" w:fill="FFFFFF" w:themeFill="background1"/>
        </w:rPr>
        <w:t>86</w:t>
      </w:r>
      <w:r w:rsidR="00283521">
        <w:rPr>
          <w:sz w:val="36"/>
          <w:szCs w:val="36"/>
          <w:shd w:val="clear" w:color="auto" w:fill="FFFFFF" w:themeFill="background1"/>
        </w:rPr>
        <w:t>8</w:t>
      </w:r>
    </w:p>
    <w:p w14:paraId="40AE8A35" w14:textId="77777777" w:rsidR="005536D9" w:rsidRPr="003E6051" w:rsidRDefault="005536D9" w:rsidP="00A20578">
      <w:pPr>
        <w:spacing w:line="360" w:lineRule="auto"/>
        <w:ind w:left="-288" w:right="-288"/>
        <w:jc w:val="both"/>
      </w:pPr>
    </w:p>
    <w:p w14:paraId="2419A15B" w14:textId="77777777" w:rsidR="005536D9" w:rsidRPr="003E6051" w:rsidRDefault="005536D9" w:rsidP="00A20578">
      <w:pPr>
        <w:spacing w:line="360" w:lineRule="auto"/>
        <w:ind w:left="-288" w:right="-288"/>
        <w:jc w:val="both"/>
      </w:pPr>
    </w:p>
    <w:p w14:paraId="4109633E" w14:textId="77777777" w:rsidR="005536D9" w:rsidRPr="003E6051" w:rsidRDefault="005536D9" w:rsidP="00A20578">
      <w:pPr>
        <w:spacing w:line="360" w:lineRule="auto"/>
        <w:ind w:left="-288" w:right="-288"/>
        <w:jc w:val="both"/>
      </w:pPr>
      <w:r w:rsidRPr="003E6051">
        <w:br w:type="page"/>
      </w:r>
    </w:p>
    <w:sdt>
      <w:sdtPr>
        <w:rPr>
          <w:rFonts w:ascii="Calibri Light" w:eastAsiaTheme="minorHAnsi" w:hAnsi="Calibri Light" w:cs="Calibri Light"/>
          <w:color w:val="000000" w:themeColor="text1"/>
          <w:sz w:val="22"/>
          <w:szCs w:val="22"/>
          <w:lang w:val="en-GB"/>
        </w:rPr>
        <w:id w:val="-2133934402"/>
        <w:docPartObj>
          <w:docPartGallery w:val="Table of Contents"/>
          <w:docPartUnique/>
        </w:docPartObj>
      </w:sdtPr>
      <w:sdtEndPr>
        <w:rPr>
          <w:b/>
          <w:bCs/>
          <w:noProof/>
        </w:rPr>
      </w:sdtEndPr>
      <w:sdtContent>
        <w:p w14:paraId="4C51F4DD" w14:textId="5635CFE3" w:rsidR="005536D9" w:rsidRDefault="005536D9" w:rsidP="008B1FE7">
          <w:pPr>
            <w:pStyle w:val="TOCHeading"/>
            <w:spacing w:before="0" w:line="360" w:lineRule="auto"/>
            <w:ind w:left="-288" w:right="-288"/>
            <w:jc w:val="center"/>
            <w:rPr>
              <w:rFonts w:ascii="Calibri Light" w:hAnsi="Calibri Light" w:cs="Calibri Light"/>
              <w:color w:val="000000" w:themeColor="text1"/>
              <w:sz w:val="28"/>
              <w:szCs w:val="28"/>
              <w:u w:val="single"/>
            </w:rPr>
          </w:pPr>
          <w:r w:rsidRPr="003E6051">
            <w:rPr>
              <w:rFonts w:ascii="Calibri Light" w:hAnsi="Calibri Light" w:cs="Calibri Light"/>
              <w:color w:val="000000" w:themeColor="text1"/>
              <w:sz w:val="28"/>
              <w:szCs w:val="28"/>
              <w:u w:val="single"/>
            </w:rPr>
            <w:t>Contents</w:t>
          </w:r>
        </w:p>
        <w:p w14:paraId="1F9D2407" w14:textId="77777777" w:rsidR="00D600C7" w:rsidRPr="00D600C7" w:rsidRDefault="00D600C7" w:rsidP="00F12850">
          <w:pPr>
            <w:spacing w:after="0" w:line="240" w:lineRule="auto"/>
            <w:rPr>
              <w:lang w:val="en-US"/>
            </w:rPr>
          </w:pPr>
        </w:p>
        <w:p w14:paraId="79109C35" w14:textId="62AEA496" w:rsidR="001D60B3" w:rsidRDefault="005536D9" w:rsidP="001D60B3">
          <w:pPr>
            <w:pStyle w:val="TOC2"/>
            <w:spacing w:after="0" w:line="276" w:lineRule="auto"/>
            <w:rPr>
              <w:rStyle w:val="Hyperlink"/>
              <w:noProof/>
            </w:rPr>
          </w:pPr>
          <w:r w:rsidRPr="003E6051">
            <w:fldChar w:fldCharType="begin"/>
          </w:r>
          <w:r w:rsidRPr="003E6051">
            <w:instrText xml:space="preserve"> TOC \o "1-3" \h \z \u </w:instrText>
          </w:r>
          <w:r w:rsidRPr="003E6051">
            <w:fldChar w:fldCharType="separate"/>
          </w:r>
          <w:hyperlink w:anchor="_Toc219216458" w:history="1">
            <w:r w:rsidR="001D60B3" w:rsidRPr="0066647F">
              <w:rPr>
                <w:rStyle w:val="Hyperlink"/>
                <w:noProof/>
              </w:rPr>
              <w:t>1. Executive Summary</w:t>
            </w:r>
            <w:r w:rsidR="001D60B3">
              <w:rPr>
                <w:noProof/>
                <w:webHidden/>
              </w:rPr>
              <w:tab/>
            </w:r>
            <w:r w:rsidR="001D60B3">
              <w:rPr>
                <w:noProof/>
                <w:webHidden/>
              </w:rPr>
              <w:fldChar w:fldCharType="begin"/>
            </w:r>
            <w:r w:rsidR="001D60B3">
              <w:rPr>
                <w:noProof/>
                <w:webHidden/>
              </w:rPr>
              <w:instrText xml:space="preserve"> PAGEREF _Toc219216458 \h </w:instrText>
            </w:r>
            <w:r w:rsidR="001D60B3">
              <w:rPr>
                <w:noProof/>
                <w:webHidden/>
              </w:rPr>
            </w:r>
            <w:r w:rsidR="001D60B3">
              <w:rPr>
                <w:noProof/>
                <w:webHidden/>
              </w:rPr>
              <w:fldChar w:fldCharType="separate"/>
            </w:r>
            <w:r w:rsidR="00E77AAF">
              <w:rPr>
                <w:noProof/>
                <w:webHidden/>
              </w:rPr>
              <w:t>6</w:t>
            </w:r>
            <w:r w:rsidR="001D60B3">
              <w:rPr>
                <w:noProof/>
                <w:webHidden/>
              </w:rPr>
              <w:fldChar w:fldCharType="end"/>
            </w:r>
          </w:hyperlink>
        </w:p>
        <w:p w14:paraId="54CC66E6" w14:textId="77777777" w:rsidR="001D60B3" w:rsidRPr="001D60B3" w:rsidRDefault="001D60B3" w:rsidP="001D60B3">
          <w:pPr>
            <w:spacing w:after="0" w:line="276" w:lineRule="auto"/>
            <w:rPr>
              <w:noProof/>
            </w:rPr>
          </w:pPr>
        </w:p>
        <w:p w14:paraId="0D45972A" w14:textId="236BA2BD" w:rsidR="001D60B3" w:rsidRDefault="001D60B3" w:rsidP="001D60B3">
          <w:pPr>
            <w:pStyle w:val="TOC2"/>
            <w:spacing w:after="0" w:line="276" w:lineRule="auto"/>
            <w:rPr>
              <w:rStyle w:val="Hyperlink"/>
              <w:noProof/>
            </w:rPr>
          </w:pPr>
          <w:hyperlink w:anchor="_Toc219216459" w:history="1">
            <w:r w:rsidRPr="0066647F">
              <w:rPr>
                <w:rStyle w:val="Hyperlink"/>
                <w:noProof/>
              </w:rPr>
              <w:t>2. Acknowledgements</w:t>
            </w:r>
            <w:r>
              <w:rPr>
                <w:noProof/>
                <w:webHidden/>
              </w:rPr>
              <w:tab/>
            </w:r>
            <w:r>
              <w:rPr>
                <w:noProof/>
                <w:webHidden/>
              </w:rPr>
              <w:fldChar w:fldCharType="begin"/>
            </w:r>
            <w:r>
              <w:rPr>
                <w:noProof/>
                <w:webHidden/>
              </w:rPr>
              <w:instrText xml:space="preserve"> PAGEREF _Toc219216459 \h </w:instrText>
            </w:r>
            <w:r>
              <w:rPr>
                <w:noProof/>
                <w:webHidden/>
              </w:rPr>
            </w:r>
            <w:r>
              <w:rPr>
                <w:noProof/>
                <w:webHidden/>
              </w:rPr>
              <w:fldChar w:fldCharType="separate"/>
            </w:r>
            <w:r w:rsidR="00E77AAF">
              <w:rPr>
                <w:noProof/>
                <w:webHidden/>
              </w:rPr>
              <w:t>7</w:t>
            </w:r>
            <w:r>
              <w:rPr>
                <w:noProof/>
                <w:webHidden/>
              </w:rPr>
              <w:fldChar w:fldCharType="end"/>
            </w:r>
          </w:hyperlink>
        </w:p>
        <w:p w14:paraId="1A135539" w14:textId="77777777" w:rsidR="001D60B3" w:rsidRPr="001D60B3" w:rsidRDefault="001D60B3" w:rsidP="001D60B3">
          <w:pPr>
            <w:spacing w:after="0" w:line="276" w:lineRule="auto"/>
            <w:rPr>
              <w:noProof/>
            </w:rPr>
          </w:pPr>
        </w:p>
        <w:p w14:paraId="41C4EE1D" w14:textId="1E8AC440" w:rsidR="001D60B3" w:rsidRDefault="001D60B3" w:rsidP="001D60B3">
          <w:pPr>
            <w:pStyle w:val="TOC2"/>
            <w:spacing w:after="0" w:line="276" w:lineRule="auto"/>
            <w:rPr>
              <w:rStyle w:val="Hyperlink"/>
              <w:noProof/>
            </w:rPr>
          </w:pPr>
          <w:hyperlink w:anchor="_Toc219216460" w:history="1">
            <w:r w:rsidRPr="0066647F">
              <w:rPr>
                <w:rStyle w:val="Hyperlink"/>
                <w:noProof/>
              </w:rPr>
              <w:t>3. Declaration Statement</w:t>
            </w:r>
            <w:r>
              <w:rPr>
                <w:noProof/>
                <w:webHidden/>
              </w:rPr>
              <w:tab/>
            </w:r>
            <w:r>
              <w:rPr>
                <w:noProof/>
                <w:webHidden/>
              </w:rPr>
              <w:fldChar w:fldCharType="begin"/>
            </w:r>
            <w:r>
              <w:rPr>
                <w:noProof/>
                <w:webHidden/>
              </w:rPr>
              <w:instrText xml:space="preserve"> PAGEREF _Toc219216460 \h </w:instrText>
            </w:r>
            <w:r>
              <w:rPr>
                <w:noProof/>
                <w:webHidden/>
              </w:rPr>
            </w:r>
            <w:r>
              <w:rPr>
                <w:noProof/>
                <w:webHidden/>
              </w:rPr>
              <w:fldChar w:fldCharType="separate"/>
            </w:r>
            <w:r w:rsidR="00E77AAF">
              <w:rPr>
                <w:noProof/>
                <w:webHidden/>
              </w:rPr>
              <w:t>8</w:t>
            </w:r>
            <w:r>
              <w:rPr>
                <w:noProof/>
                <w:webHidden/>
              </w:rPr>
              <w:fldChar w:fldCharType="end"/>
            </w:r>
          </w:hyperlink>
        </w:p>
        <w:p w14:paraId="468BB61A" w14:textId="77777777" w:rsidR="001D60B3" w:rsidRPr="001D60B3" w:rsidRDefault="001D60B3" w:rsidP="001D60B3">
          <w:pPr>
            <w:spacing w:after="0" w:line="276" w:lineRule="auto"/>
            <w:rPr>
              <w:noProof/>
            </w:rPr>
          </w:pPr>
        </w:p>
        <w:p w14:paraId="3AEFAFCB" w14:textId="5F5E8D6B" w:rsidR="001D60B3" w:rsidRDefault="001D60B3" w:rsidP="001D60B3">
          <w:pPr>
            <w:pStyle w:val="TOC2"/>
            <w:spacing w:after="0" w:line="276" w:lineRule="auto"/>
            <w:rPr>
              <w:rStyle w:val="Hyperlink"/>
              <w:noProof/>
            </w:rPr>
          </w:pPr>
          <w:hyperlink w:anchor="_Toc219216461" w:history="1">
            <w:r w:rsidRPr="0066647F">
              <w:rPr>
                <w:rStyle w:val="Hyperlink"/>
                <w:noProof/>
              </w:rPr>
              <w:t>4. Title</w:t>
            </w:r>
            <w:r>
              <w:rPr>
                <w:noProof/>
                <w:webHidden/>
              </w:rPr>
              <w:tab/>
            </w:r>
            <w:r>
              <w:rPr>
                <w:noProof/>
                <w:webHidden/>
              </w:rPr>
              <w:fldChar w:fldCharType="begin"/>
            </w:r>
            <w:r>
              <w:rPr>
                <w:noProof/>
                <w:webHidden/>
              </w:rPr>
              <w:instrText xml:space="preserve"> PAGEREF _Toc219216461 \h </w:instrText>
            </w:r>
            <w:r>
              <w:rPr>
                <w:noProof/>
                <w:webHidden/>
              </w:rPr>
            </w:r>
            <w:r>
              <w:rPr>
                <w:noProof/>
                <w:webHidden/>
              </w:rPr>
              <w:fldChar w:fldCharType="separate"/>
            </w:r>
            <w:r w:rsidR="00E77AAF">
              <w:rPr>
                <w:noProof/>
                <w:webHidden/>
              </w:rPr>
              <w:t>9</w:t>
            </w:r>
            <w:r>
              <w:rPr>
                <w:noProof/>
                <w:webHidden/>
              </w:rPr>
              <w:fldChar w:fldCharType="end"/>
            </w:r>
          </w:hyperlink>
        </w:p>
        <w:p w14:paraId="41E170CF" w14:textId="77777777" w:rsidR="001D60B3" w:rsidRPr="001D60B3" w:rsidRDefault="001D60B3" w:rsidP="001D60B3">
          <w:pPr>
            <w:spacing w:after="0" w:line="276" w:lineRule="auto"/>
            <w:rPr>
              <w:noProof/>
            </w:rPr>
          </w:pPr>
        </w:p>
        <w:p w14:paraId="1837CFBF" w14:textId="4A8CD4F5"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62" w:history="1">
            <w:r w:rsidRPr="0066647F">
              <w:rPr>
                <w:rStyle w:val="Hyperlink"/>
                <w:noProof/>
              </w:rPr>
              <w:t>5. Introduction</w:t>
            </w:r>
            <w:r>
              <w:rPr>
                <w:noProof/>
                <w:webHidden/>
              </w:rPr>
              <w:tab/>
            </w:r>
            <w:r>
              <w:rPr>
                <w:noProof/>
                <w:webHidden/>
              </w:rPr>
              <w:fldChar w:fldCharType="begin"/>
            </w:r>
            <w:r>
              <w:rPr>
                <w:noProof/>
                <w:webHidden/>
              </w:rPr>
              <w:instrText xml:space="preserve"> PAGEREF _Toc219216462 \h </w:instrText>
            </w:r>
            <w:r>
              <w:rPr>
                <w:noProof/>
                <w:webHidden/>
              </w:rPr>
            </w:r>
            <w:r>
              <w:rPr>
                <w:noProof/>
                <w:webHidden/>
              </w:rPr>
              <w:fldChar w:fldCharType="separate"/>
            </w:r>
            <w:r w:rsidR="00E77AAF">
              <w:rPr>
                <w:noProof/>
                <w:webHidden/>
              </w:rPr>
              <w:t>10</w:t>
            </w:r>
            <w:r>
              <w:rPr>
                <w:noProof/>
                <w:webHidden/>
              </w:rPr>
              <w:fldChar w:fldCharType="end"/>
            </w:r>
          </w:hyperlink>
        </w:p>
        <w:p w14:paraId="3029936D" w14:textId="2C2BECB9"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63" w:history="1">
            <w:r w:rsidRPr="0066647F">
              <w:rPr>
                <w:rStyle w:val="Hyperlink"/>
                <w:rFonts w:eastAsia="Times New Roman"/>
                <w:noProof/>
                <w:lang w:eastAsia="en-GB"/>
              </w:rPr>
              <w:t>5.1. Background and Context.</w:t>
            </w:r>
            <w:r>
              <w:rPr>
                <w:noProof/>
                <w:webHidden/>
              </w:rPr>
              <w:tab/>
            </w:r>
            <w:r>
              <w:rPr>
                <w:noProof/>
                <w:webHidden/>
              </w:rPr>
              <w:fldChar w:fldCharType="begin"/>
            </w:r>
            <w:r>
              <w:rPr>
                <w:noProof/>
                <w:webHidden/>
              </w:rPr>
              <w:instrText xml:space="preserve"> PAGEREF _Toc219216463 \h </w:instrText>
            </w:r>
            <w:r>
              <w:rPr>
                <w:noProof/>
                <w:webHidden/>
              </w:rPr>
            </w:r>
            <w:r>
              <w:rPr>
                <w:noProof/>
                <w:webHidden/>
              </w:rPr>
              <w:fldChar w:fldCharType="separate"/>
            </w:r>
            <w:r w:rsidR="00E77AAF">
              <w:rPr>
                <w:noProof/>
                <w:webHidden/>
              </w:rPr>
              <w:t>12</w:t>
            </w:r>
            <w:r>
              <w:rPr>
                <w:noProof/>
                <w:webHidden/>
              </w:rPr>
              <w:fldChar w:fldCharType="end"/>
            </w:r>
          </w:hyperlink>
        </w:p>
        <w:p w14:paraId="4609898D" w14:textId="0B0066D2"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64" w:history="1">
            <w:r w:rsidRPr="0066647F">
              <w:rPr>
                <w:rStyle w:val="Hyperlink"/>
                <w:rFonts w:eastAsia="Times New Roman"/>
                <w:noProof/>
                <w:lang w:eastAsia="en-GB"/>
              </w:rPr>
              <w:t>5.2. Aims and Objectives.</w:t>
            </w:r>
            <w:r>
              <w:rPr>
                <w:noProof/>
                <w:webHidden/>
              </w:rPr>
              <w:tab/>
            </w:r>
            <w:r>
              <w:rPr>
                <w:noProof/>
                <w:webHidden/>
              </w:rPr>
              <w:fldChar w:fldCharType="begin"/>
            </w:r>
            <w:r>
              <w:rPr>
                <w:noProof/>
                <w:webHidden/>
              </w:rPr>
              <w:instrText xml:space="preserve"> PAGEREF _Toc219216464 \h </w:instrText>
            </w:r>
            <w:r>
              <w:rPr>
                <w:noProof/>
                <w:webHidden/>
              </w:rPr>
            </w:r>
            <w:r>
              <w:rPr>
                <w:noProof/>
                <w:webHidden/>
              </w:rPr>
              <w:fldChar w:fldCharType="separate"/>
            </w:r>
            <w:r w:rsidR="00E77AAF">
              <w:rPr>
                <w:noProof/>
                <w:webHidden/>
              </w:rPr>
              <w:t>14</w:t>
            </w:r>
            <w:r>
              <w:rPr>
                <w:noProof/>
                <w:webHidden/>
              </w:rPr>
              <w:fldChar w:fldCharType="end"/>
            </w:r>
          </w:hyperlink>
        </w:p>
        <w:p w14:paraId="76EEAE9A" w14:textId="448E0077" w:rsidR="001D60B3" w:rsidRDefault="001D60B3" w:rsidP="001D60B3">
          <w:pPr>
            <w:pStyle w:val="TOC2"/>
            <w:spacing w:after="0" w:line="276" w:lineRule="auto"/>
            <w:rPr>
              <w:rStyle w:val="Hyperlink"/>
              <w:noProof/>
            </w:rPr>
          </w:pPr>
          <w:hyperlink w:anchor="_Toc219216465" w:history="1">
            <w:r w:rsidRPr="0066647F">
              <w:rPr>
                <w:rStyle w:val="Hyperlink"/>
                <w:rFonts w:eastAsia="Times New Roman"/>
                <w:noProof/>
                <w:lang w:eastAsia="en-GB"/>
              </w:rPr>
              <w:t>5.3. Significance of the Research.</w:t>
            </w:r>
            <w:r>
              <w:rPr>
                <w:noProof/>
                <w:webHidden/>
              </w:rPr>
              <w:tab/>
            </w:r>
            <w:r>
              <w:rPr>
                <w:noProof/>
                <w:webHidden/>
              </w:rPr>
              <w:fldChar w:fldCharType="begin"/>
            </w:r>
            <w:r>
              <w:rPr>
                <w:noProof/>
                <w:webHidden/>
              </w:rPr>
              <w:instrText xml:space="preserve"> PAGEREF _Toc219216465 \h </w:instrText>
            </w:r>
            <w:r>
              <w:rPr>
                <w:noProof/>
                <w:webHidden/>
              </w:rPr>
            </w:r>
            <w:r>
              <w:rPr>
                <w:noProof/>
                <w:webHidden/>
              </w:rPr>
              <w:fldChar w:fldCharType="separate"/>
            </w:r>
            <w:r w:rsidR="00E77AAF">
              <w:rPr>
                <w:noProof/>
                <w:webHidden/>
              </w:rPr>
              <w:t>15</w:t>
            </w:r>
            <w:r>
              <w:rPr>
                <w:noProof/>
                <w:webHidden/>
              </w:rPr>
              <w:fldChar w:fldCharType="end"/>
            </w:r>
          </w:hyperlink>
        </w:p>
        <w:p w14:paraId="373C3F22" w14:textId="77777777" w:rsidR="001D60B3" w:rsidRPr="001D60B3" w:rsidRDefault="001D60B3" w:rsidP="001D60B3">
          <w:pPr>
            <w:spacing w:after="0" w:line="276" w:lineRule="auto"/>
            <w:rPr>
              <w:noProof/>
            </w:rPr>
          </w:pPr>
        </w:p>
        <w:p w14:paraId="3DAD359E" w14:textId="6A10DC39"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66" w:history="1">
            <w:r w:rsidRPr="0066647F">
              <w:rPr>
                <w:rStyle w:val="Hyperlink"/>
                <w:noProof/>
              </w:rPr>
              <w:t>6. Literature Review</w:t>
            </w:r>
            <w:r>
              <w:rPr>
                <w:noProof/>
                <w:webHidden/>
              </w:rPr>
              <w:tab/>
            </w:r>
            <w:r>
              <w:rPr>
                <w:noProof/>
                <w:webHidden/>
              </w:rPr>
              <w:fldChar w:fldCharType="begin"/>
            </w:r>
            <w:r>
              <w:rPr>
                <w:noProof/>
                <w:webHidden/>
              </w:rPr>
              <w:instrText xml:space="preserve"> PAGEREF _Toc219216466 \h </w:instrText>
            </w:r>
            <w:r>
              <w:rPr>
                <w:noProof/>
                <w:webHidden/>
              </w:rPr>
            </w:r>
            <w:r>
              <w:rPr>
                <w:noProof/>
                <w:webHidden/>
              </w:rPr>
              <w:fldChar w:fldCharType="separate"/>
            </w:r>
            <w:r w:rsidR="00E77AAF">
              <w:rPr>
                <w:noProof/>
                <w:webHidden/>
              </w:rPr>
              <w:t>16</w:t>
            </w:r>
            <w:r>
              <w:rPr>
                <w:noProof/>
                <w:webHidden/>
              </w:rPr>
              <w:fldChar w:fldCharType="end"/>
            </w:r>
          </w:hyperlink>
        </w:p>
        <w:p w14:paraId="38EEC8FD" w14:textId="0360A7F6"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67" w:history="1">
            <w:r w:rsidRPr="0066647F">
              <w:rPr>
                <w:rStyle w:val="Hyperlink"/>
                <w:rFonts w:eastAsiaTheme="majorEastAsia"/>
                <w:noProof/>
              </w:rPr>
              <w:t>6.1. Risks in Project Management.</w:t>
            </w:r>
            <w:r>
              <w:rPr>
                <w:noProof/>
                <w:webHidden/>
              </w:rPr>
              <w:tab/>
            </w:r>
            <w:r>
              <w:rPr>
                <w:noProof/>
                <w:webHidden/>
              </w:rPr>
              <w:fldChar w:fldCharType="begin"/>
            </w:r>
            <w:r>
              <w:rPr>
                <w:noProof/>
                <w:webHidden/>
              </w:rPr>
              <w:instrText xml:space="preserve"> PAGEREF _Toc219216467 \h </w:instrText>
            </w:r>
            <w:r>
              <w:rPr>
                <w:noProof/>
                <w:webHidden/>
              </w:rPr>
            </w:r>
            <w:r>
              <w:rPr>
                <w:noProof/>
                <w:webHidden/>
              </w:rPr>
              <w:fldChar w:fldCharType="separate"/>
            </w:r>
            <w:r w:rsidR="00E77AAF">
              <w:rPr>
                <w:noProof/>
                <w:webHidden/>
              </w:rPr>
              <w:t>17</w:t>
            </w:r>
            <w:r>
              <w:rPr>
                <w:noProof/>
                <w:webHidden/>
              </w:rPr>
              <w:fldChar w:fldCharType="end"/>
            </w:r>
          </w:hyperlink>
        </w:p>
        <w:p w14:paraId="3BA15C8A" w14:textId="449740D9"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68" w:history="1">
            <w:r w:rsidRPr="0066647F">
              <w:rPr>
                <w:rStyle w:val="Hyperlink"/>
                <w:rFonts w:eastAsiaTheme="majorEastAsia"/>
                <w:noProof/>
              </w:rPr>
              <w:t>6.2. Different Tools Available for Project Management Risks.</w:t>
            </w:r>
            <w:r>
              <w:rPr>
                <w:noProof/>
                <w:webHidden/>
              </w:rPr>
              <w:tab/>
            </w:r>
            <w:r>
              <w:rPr>
                <w:noProof/>
                <w:webHidden/>
              </w:rPr>
              <w:fldChar w:fldCharType="begin"/>
            </w:r>
            <w:r>
              <w:rPr>
                <w:noProof/>
                <w:webHidden/>
              </w:rPr>
              <w:instrText xml:space="preserve"> PAGEREF _Toc219216468 \h </w:instrText>
            </w:r>
            <w:r>
              <w:rPr>
                <w:noProof/>
                <w:webHidden/>
              </w:rPr>
            </w:r>
            <w:r>
              <w:rPr>
                <w:noProof/>
                <w:webHidden/>
              </w:rPr>
              <w:fldChar w:fldCharType="separate"/>
            </w:r>
            <w:r w:rsidR="00E77AAF">
              <w:rPr>
                <w:noProof/>
                <w:webHidden/>
              </w:rPr>
              <w:t>21</w:t>
            </w:r>
            <w:r>
              <w:rPr>
                <w:noProof/>
                <w:webHidden/>
              </w:rPr>
              <w:fldChar w:fldCharType="end"/>
            </w:r>
          </w:hyperlink>
        </w:p>
        <w:p w14:paraId="3867F0AD" w14:textId="32285BEE"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69" w:history="1">
            <w:r w:rsidRPr="0066647F">
              <w:rPr>
                <w:rStyle w:val="Hyperlink"/>
                <w:noProof/>
              </w:rPr>
              <w:t>6.3. Perception of Risk and Risk Management Tools.</w:t>
            </w:r>
            <w:r>
              <w:rPr>
                <w:noProof/>
                <w:webHidden/>
              </w:rPr>
              <w:tab/>
            </w:r>
            <w:r>
              <w:rPr>
                <w:noProof/>
                <w:webHidden/>
              </w:rPr>
              <w:fldChar w:fldCharType="begin"/>
            </w:r>
            <w:r>
              <w:rPr>
                <w:noProof/>
                <w:webHidden/>
              </w:rPr>
              <w:instrText xml:space="preserve"> PAGEREF _Toc219216469 \h </w:instrText>
            </w:r>
            <w:r>
              <w:rPr>
                <w:noProof/>
                <w:webHidden/>
              </w:rPr>
            </w:r>
            <w:r>
              <w:rPr>
                <w:noProof/>
                <w:webHidden/>
              </w:rPr>
              <w:fldChar w:fldCharType="separate"/>
            </w:r>
            <w:r w:rsidR="00E77AAF">
              <w:rPr>
                <w:noProof/>
                <w:webHidden/>
              </w:rPr>
              <w:t>25</w:t>
            </w:r>
            <w:r>
              <w:rPr>
                <w:noProof/>
                <w:webHidden/>
              </w:rPr>
              <w:fldChar w:fldCharType="end"/>
            </w:r>
          </w:hyperlink>
        </w:p>
        <w:p w14:paraId="0688EED3" w14:textId="76B51444"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70" w:history="1">
            <w:r w:rsidRPr="0066647F">
              <w:rPr>
                <w:rStyle w:val="Hyperlink"/>
                <w:noProof/>
              </w:rPr>
              <w:t>6.4. Risk Management and its Impact on Project Outcomes.</w:t>
            </w:r>
            <w:r>
              <w:rPr>
                <w:noProof/>
                <w:webHidden/>
              </w:rPr>
              <w:tab/>
            </w:r>
            <w:r>
              <w:rPr>
                <w:noProof/>
                <w:webHidden/>
              </w:rPr>
              <w:fldChar w:fldCharType="begin"/>
            </w:r>
            <w:r>
              <w:rPr>
                <w:noProof/>
                <w:webHidden/>
              </w:rPr>
              <w:instrText xml:space="preserve"> PAGEREF _Toc219216470 \h </w:instrText>
            </w:r>
            <w:r>
              <w:rPr>
                <w:noProof/>
                <w:webHidden/>
              </w:rPr>
            </w:r>
            <w:r>
              <w:rPr>
                <w:noProof/>
                <w:webHidden/>
              </w:rPr>
              <w:fldChar w:fldCharType="separate"/>
            </w:r>
            <w:r w:rsidR="00E77AAF">
              <w:rPr>
                <w:noProof/>
                <w:webHidden/>
              </w:rPr>
              <w:t>32</w:t>
            </w:r>
            <w:r>
              <w:rPr>
                <w:noProof/>
                <w:webHidden/>
              </w:rPr>
              <w:fldChar w:fldCharType="end"/>
            </w:r>
          </w:hyperlink>
        </w:p>
        <w:p w14:paraId="4E3EBD30" w14:textId="1857CC94" w:rsidR="001D60B3" w:rsidRDefault="001D60B3" w:rsidP="001D60B3">
          <w:pPr>
            <w:pStyle w:val="TOC2"/>
            <w:spacing w:after="0" w:line="276" w:lineRule="auto"/>
            <w:rPr>
              <w:rStyle w:val="Hyperlink"/>
              <w:noProof/>
            </w:rPr>
          </w:pPr>
          <w:hyperlink w:anchor="_Toc219216471" w:history="1">
            <w:r w:rsidRPr="0066647F">
              <w:rPr>
                <w:rStyle w:val="Hyperlink"/>
                <w:rFonts w:eastAsiaTheme="majorEastAsia"/>
                <w:noProof/>
              </w:rPr>
              <w:t xml:space="preserve">6.5. </w:t>
            </w:r>
            <w:r w:rsidRPr="0066647F">
              <w:rPr>
                <w:rStyle w:val="Hyperlink"/>
                <w:noProof/>
              </w:rPr>
              <w:t>Is There a ‘Universal Fit’ Risk Management Tool?</w:t>
            </w:r>
            <w:r>
              <w:rPr>
                <w:noProof/>
                <w:webHidden/>
              </w:rPr>
              <w:tab/>
            </w:r>
            <w:r>
              <w:rPr>
                <w:noProof/>
                <w:webHidden/>
              </w:rPr>
              <w:fldChar w:fldCharType="begin"/>
            </w:r>
            <w:r>
              <w:rPr>
                <w:noProof/>
                <w:webHidden/>
              </w:rPr>
              <w:instrText xml:space="preserve"> PAGEREF _Toc219216471 \h </w:instrText>
            </w:r>
            <w:r>
              <w:rPr>
                <w:noProof/>
                <w:webHidden/>
              </w:rPr>
            </w:r>
            <w:r>
              <w:rPr>
                <w:noProof/>
                <w:webHidden/>
              </w:rPr>
              <w:fldChar w:fldCharType="separate"/>
            </w:r>
            <w:r w:rsidR="00E77AAF">
              <w:rPr>
                <w:noProof/>
                <w:webHidden/>
              </w:rPr>
              <w:t>35</w:t>
            </w:r>
            <w:r>
              <w:rPr>
                <w:noProof/>
                <w:webHidden/>
              </w:rPr>
              <w:fldChar w:fldCharType="end"/>
            </w:r>
          </w:hyperlink>
        </w:p>
        <w:p w14:paraId="728F6A5E" w14:textId="77777777" w:rsidR="001D60B3" w:rsidRPr="001D60B3" w:rsidRDefault="001D60B3" w:rsidP="001D60B3">
          <w:pPr>
            <w:spacing w:after="0" w:line="276" w:lineRule="auto"/>
            <w:rPr>
              <w:noProof/>
            </w:rPr>
          </w:pPr>
        </w:p>
        <w:p w14:paraId="57ECBE8A" w14:textId="738EB62D"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72" w:history="1">
            <w:r w:rsidRPr="0066647F">
              <w:rPr>
                <w:rStyle w:val="Hyperlink"/>
                <w:noProof/>
              </w:rPr>
              <w:t>7. Methodology.</w:t>
            </w:r>
            <w:r>
              <w:rPr>
                <w:noProof/>
                <w:webHidden/>
              </w:rPr>
              <w:tab/>
            </w:r>
            <w:r>
              <w:rPr>
                <w:noProof/>
                <w:webHidden/>
              </w:rPr>
              <w:fldChar w:fldCharType="begin"/>
            </w:r>
            <w:r>
              <w:rPr>
                <w:noProof/>
                <w:webHidden/>
              </w:rPr>
              <w:instrText xml:space="preserve"> PAGEREF _Toc219216472 \h </w:instrText>
            </w:r>
            <w:r>
              <w:rPr>
                <w:noProof/>
                <w:webHidden/>
              </w:rPr>
            </w:r>
            <w:r>
              <w:rPr>
                <w:noProof/>
                <w:webHidden/>
              </w:rPr>
              <w:fldChar w:fldCharType="separate"/>
            </w:r>
            <w:r w:rsidR="00E77AAF">
              <w:rPr>
                <w:noProof/>
                <w:webHidden/>
              </w:rPr>
              <w:t>38</w:t>
            </w:r>
            <w:r>
              <w:rPr>
                <w:noProof/>
                <w:webHidden/>
              </w:rPr>
              <w:fldChar w:fldCharType="end"/>
            </w:r>
          </w:hyperlink>
        </w:p>
        <w:p w14:paraId="3056A7C0" w14:textId="24F24802"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73" w:history="1">
            <w:r w:rsidRPr="0066647F">
              <w:rPr>
                <w:rStyle w:val="Hyperlink"/>
                <w:noProof/>
              </w:rPr>
              <w:t>7.1. Methodology Choice.</w:t>
            </w:r>
            <w:r>
              <w:rPr>
                <w:noProof/>
                <w:webHidden/>
              </w:rPr>
              <w:tab/>
            </w:r>
            <w:r>
              <w:rPr>
                <w:noProof/>
                <w:webHidden/>
              </w:rPr>
              <w:fldChar w:fldCharType="begin"/>
            </w:r>
            <w:r>
              <w:rPr>
                <w:noProof/>
                <w:webHidden/>
              </w:rPr>
              <w:instrText xml:space="preserve"> PAGEREF _Toc219216473 \h </w:instrText>
            </w:r>
            <w:r>
              <w:rPr>
                <w:noProof/>
                <w:webHidden/>
              </w:rPr>
            </w:r>
            <w:r>
              <w:rPr>
                <w:noProof/>
                <w:webHidden/>
              </w:rPr>
              <w:fldChar w:fldCharType="separate"/>
            </w:r>
            <w:r w:rsidR="00E77AAF">
              <w:rPr>
                <w:noProof/>
                <w:webHidden/>
              </w:rPr>
              <w:t>39</w:t>
            </w:r>
            <w:r>
              <w:rPr>
                <w:noProof/>
                <w:webHidden/>
              </w:rPr>
              <w:fldChar w:fldCharType="end"/>
            </w:r>
          </w:hyperlink>
        </w:p>
        <w:p w14:paraId="076E2EA5" w14:textId="5ED1959C"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74" w:history="1">
            <w:r w:rsidRPr="0066647F">
              <w:rPr>
                <w:rStyle w:val="Hyperlink"/>
                <w:noProof/>
              </w:rPr>
              <w:t>7.2. Question Design.</w:t>
            </w:r>
            <w:r>
              <w:rPr>
                <w:noProof/>
                <w:webHidden/>
              </w:rPr>
              <w:tab/>
            </w:r>
            <w:r>
              <w:rPr>
                <w:noProof/>
                <w:webHidden/>
              </w:rPr>
              <w:fldChar w:fldCharType="begin"/>
            </w:r>
            <w:r>
              <w:rPr>
                <w:noProof/>
                <w:webHidden/>
              </w:rPr>
              <w:instrText xml:space="preserve"> PAGEREF _Toc219216474 \h </w:instrText>
            </w:r>
            <w:r>
              <w:rPr>
                <w:noProof/>
                <w:webHidden/>
              </w:rPr>
            </w:r>
            <w:r>
              <w:rPr>
                <w:noProof/>
                <w:webHidden/>
              </w:rPr>
              <w:fldChar w:fldCharType="separate"/>
            </w:r>
            <w:r w:rsidR="00E77AAF">
              <w:rPr>
                <w:noProof/>
                <w:webHidden/>
              </w:rPr>
              <w:t>41</w:t>
            </w:r>
            <w:r>
              <w:rPr>
                <w:noProof/>
                <w:webHidden/>
              </w:rPr>
              <w:fldChar w:fldCharType="end"/>
            </w:r>
          </w:hyperlink>
        </w:p>
        <w:p w14:paraId="290024C5" w14:textId="4E32BA6A" w:rsidR="001D60B3" w:rsidRDefault="001D60B3" w:rsidP="001D60B3">
          <w:pPr>
            <w:pStyle w:val="TOC2"/>
            <w:spacing w:after="0" w:line="276" w:lineRule="auto"/>
            <w:rPr>
              <w:rStyle w:val="Hyperlink"/>
              <w:noProof/>
            </w:rPr>
          </w:pPr>
          <w:hyperlink w:anchor="_Toc219216475" w:history="1">
            <w:r w:rsidRPr="0066647F">
              <w:rPr>
                <w:rStyle w:val="Hyperlink"/>
                <w:noProof/>
              </w:rPr>
              <w:t>7.3. Sampling.</w:t>
            </w:r>
            <w:r>
              <w:rPr>
                <w:noProof/>
                <w:webHidden/>
              </w:rPr>
              <w:tab/>
            </w:r>
            <w:r>
              <w:rPr>
                <w:noProof/>
                <w:webHidden/>
              </w:rPr>
              <w:fldChar w:fldCharType="begin"/>
            </w:r>
            <w:r>
              <w:rPr>
                <w:noProof/>
                <w:webHidden/>
              </w:rPr>
              <w:instrText xml:space="preserve"> PAGEREF _Toc219216475 \h </w:instrText>
            </w:r>
            <w:r>
              <w:rPr>
                <w:noProof/>
                <w:webHidden/>
              </w:rPr>
            </w:r>
            <w:r>
              <w:rPr>
                <w:noProof/>
                <w:webHidden/>
              </w:rPr>
              <w:fldChar w:fldCharType="separate"/>
            </w:r>
            <w:r w:rsidR="00E77AAF">
              <w:rPr>
                <w:noProof/>
                <w:webHidden/>
              </w:rPr>
              <w:t>45</w:t>
            </w:r>
            <w:r>
              <w:rPr>
                <w:noProof/>
                <w:webHidden/>
              </w:rPr>
              <w:fldChar w:fldCharType="end"/>
            </w:r>
          </w:hyperlink>
        </w:p>
        <w:p w14:paraId="61A476CA" w14:textId="77777777" w:rsidR="001D60B3" w:rsidRPr="001D60B3" w:rsidRDefault="001D60B3" w:rsidP="001D60B3">
          <w:pPr>
            <w:spacing w:after="0" w:line="276" w:lineRule="auto"/>
            <w:rPr>
              <w:noProof/>
            </w:rPr>
          </w:pPr>
        </w:p>
        <w:p w14:paraId="058F4F38" w14:textId="795277DA"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76" w:history="1">
            <w:r w:rsidRPr="0066647F">
              <w:rPr>
                <w:rStyle w:val="Hyperlink"/>
                <w:noProof/>
              </w:rPr>
              <w:t>8. Results</w:t>
            </w:r>
            <w:r>
              <w:rPr>
                <w:noProof/>
                <w:webHidden/>
              </w:rPr>
              <w:tab/>
            </w:r>
            <w:r>
              <w:rPr>
                <w:noProof/>
                <w:webHidden/>
              </w:rPr>
              <w:fldChar w:fldCharType="begin"/>
            </w:r>
            <w:r>
              <w:rPr>
                <w:noProof/>
                <w:webHidden/>
              </w:rPr>
              <w:instrText xml:space="preserve"> PAGEREF _Toc219216476 \h </w:instrText>
            </w:r>
            <w:r>
              <w:rPr>
                <w:noProof/>
                <w:webHidden/>
              </w:rPr>
            </w:r>
            <w:r>
              <w:rPr>
                <w:noProof/>
                <w:webHidden/>
              </w:rPr>
              <w:fldChar w:fldCharType="separate"/>
            </w:r>
            <w:r w:rsidR="00E77AAF">
              <w:rPr>
                <w:noProof/>
                <w:webHidden/>
              </w:rPr>
              <w:t>46</w:t>
            </w:r>
            <w:r>
              <w:rPr>
                <w:noProof/>
                <w:webHidden/>
              </w:rPr>
              <w:fldChar w:fldCharType="end"/>
            </w:r>
          </w:hyperlink>
        </w:p>
        <w:p w14:paraId="65DECCEA" w14:textId="340DBC09"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77" w:history="1">
            <w:r w:rsidRPr="0066647F">
              <w:rPr>
                <w:rStyle w:val="Hyperlink"/>
                <w:noProof/>
              </w:rPr>
              <w:t>8.1. Participant Demographics (Questions 1 &amp; 2)</w:t>
            </w:r>
            <w:r>
              <w:rPr>
                <w:noProof/>
                <w:webHidden/>
              </w:rPr>
              <w:tab/>
            </w:r>
            <w:r>
              <w:rPr>
                <w:noProof/>
                <w:webHidden/>
              </w:rPr>
              <w:fldChar w:fldCharType="begin"/>
            </w:r>
            <w:r>
              <w:rPr>
                <w:noProof/>
                <w:webHidden/>
              </w:rPr>
              <w:instrText xml:space="preserve"> PAGEREF _Toc219216477 \h </w:instrText>
            </w:r>
            <w:r>
              <w:rPr>
                <w:noProof/>
                <w:webHidden/>
              </w:rPr>
            </w:r>
            <w:r>
              <w:rPr>
                <w:noProof/>
                <w:webHidden/>
              </w:rPr>
              <w:fldChar w:fldCharType="separate"/>
            </w:r>
            <w:r w:rsidR="00E77AAF">
              <w:rPr>
                <w:noProof/>
                <w:webHidden/>
              </w:rPr>
              <w:t>46</w:t>
            </w:r>
            <w:r>
              <w:rPr>
                <w:noProof/>
                <w:webHidden/>
              </w:rPr>
              <w:fldChar w:fldCharType="end"/>
            </w:r>
          </w:hyperlink>
        </w:p>
        <w:p w14:paraId="2F682857" w14:textId="4BC11D99"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78" w:history="1">
            <w:r w:rsidRPr="0066647F">
              <w:rPr>
                <w:rStyle w:val="Hyperlink"/>
                <w:noProof/>
              </w:rPr>
              <w:t>8.2. Current Use of Risk Assessment Tools (Questions 3 &amp;4).</w:t>
            </w:r>
            <w:r>
              <w:rPr>
                <w:noProof/>
                <w:webHidden/>
              </w:rPr>
              <w:tab/>
            </w:r>
            <w:r>
              <w:rPr>
                <w:noProof/>
                <w:webHidden/>
              </w:rPr>
              <w:fldChar w:fldCharType="begin"/>
            </w:r>
            <w:r>
              <w:rPr>
                <w:noProof/>
                <w:webHidden/>
              </w:rPr>
              <w:instrText xml:space="preserve"> PAGEREF _Toc219216478 \h </w:instrText>
            </w:r>
            <w:r>
              <w:rPr>
                <w:noProof/>
                <w:webHidden/>
              </w:rPr>
            </w:r>
            <w:r>
              <w:rPr>
                <w:noProof/>
                <w:webHidden/>
              </w:rPr>
              <w:fldChar w:fldCharType="separate"/>
            </w:r>
            <w:r w:rsidR="00E77AAF">
              <w:rPr>
                <w:noProof/>
                <w:webHidden/>
              </w:rPr>
              <w:t>48</w:t>
            </w:r>
            <w:r>
              <w:rPr>
                <w:noProof/>
                <w:webHidden/>
              </w:rPr>
              <w:fldChar w:fldCharType="end"/>
            </w:r>
          </w:hyperlink>
        </w:p>
        <w:p w14:paraId="49E06AB2" w14:textId="3B6C2278"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79" w:history="1">
            <w:r w:rsidRPr="0066647F">
              <w:rPr>
                <w:rStyle w:val="Hyperlink"/>
                <w:noProof/>
              </w:rPr>
              <w:t>8.3. Effectiveness of Risk Management.</w:t>
            </w:r>
            <w:r>
              <w:rPr>
                <w:noProof/>
                <w:webHidden/>
              </w:rPr>
              <w:tab/>
            </w:r>
            <w:r>
              <w:rPr>
                <w:noProof/>
                <w:webHidden/>
              </w:rPr>
              <w:fldChar w:fldCharType="begin"/>
            </w:r>
            <w:r>
              <w:rPr>
                <w:noProof/>
                <w:webHidden/>
              </w:rPr>
              <w:instrText xml:space="preserve"> PAGEREF _Toc219216479 \h </w:instrText>
            </w:r>
            <w:r>
              <w:rPr>
                <w:noProof/>
                <w:webHidden/>
              </w:rPr>
            </w:r>
            <w:r>
              <w:rPr>
                <w:noProof/>
                <w:webHidden/>
              </w:rPr>
              <w:fldChar w:fldCharType="separate"/>
            </w:r>
            <w:r w:rsidR="00E77AAF">
              <w:rPr>
                <w:noProof/>
                <w:webHidden/>
              </w:rPr>
              <w:t>50</w:t>
            </w:r>
            <w:r>
              <w:rPr>
                <w:noProof/>
                <w:webHidden/>
              </w:rPr>
              <w:fldChar w:fldCharType="end"/>
            </w:r>
          </w:hyperlink>
        </w:p>
        <w:p w14:paraId="416A0761" w14:textId="3934D7CB"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80" w:history="1">
            <w:r w:rsidRPr="0066647F">
              <w:rPr>
                <w:rStyle w:val="Hyperlink"/>
                <w:noProof/>
              </w:rPr>
              <w:t>8.4. Need for a Customisable Framework.</w:t>
            </w:r>
            <w:r>
              <w:rPr>
                <w:noProof/>
                <w:webHidden/>
              </w:rPr>
              <w:tab/>
            </w:r>
            <w:r>
              <w:rPr>
                <w:noProof/>
                <w:webHidden/>
              </w:rPr>
              <w:fldChar w:fldCharType="begin"/>
            </w:r>
            <w:r>
              <w:rPr>
                <w:noProof/>
                <w:webHidden/>
              </w:rPr>
              <w:instrText xml:space="preserve"> PAGEREF _Toc219216480 \h </w:instrText>
            </w:r>
            <w:r>
              <w:rPr>
                <w:noProof/>
                <w:webHidden/>
              </w:rPr>
            </w:r>
            <w:r>
              <w:rPr>
                <w:noProof/>
                <w:webHidden/>
              </w:rPr>
              <w:fldChar w:fldCharType="separate"/>
            </w:r>
            <w:r w:rsidR="00E77AAF">
              <w:rPr>
                <w:noProof/>
                <w:webHidden/>
              </w:rPr>
              <w:t>53</w:t>
            </w:r>
            <w:r>
              <w:rPr>
                <w:noProof/>
                <w:webHidden/>
              </w:rPr>
              <w:fldChar w:fldCharType="end"/>
            </w:r>
          </w:hyperlink>
        </w:p>
        <w:p w14:paraId="1BA9F07A" w14:textId="229DD353" w:rsidR="001D60B3" w:rsidRDefault="001D60B3" w:rsidP="001D60B3">
          <w:pPr>
            <w:pStyle w:val="TOC2"/>
            <w:spacing w:after="0" w:line="276" w:lineRule="auto"/>
            <w:rPr>
              <w:rStyle w:val="Hyperlink"/>
              <w:noProof/>
            </w:rPr>
          </w:pPr>
          <w:hyperlink w:anchor="_Toc219216481" w:history="1">
            <w:r w:rsidRPr="0066647F">
              <w:rPr>
                <w:rStyle w:val="Hyperlink"/>
                <w:noProof/>
              </w:rPr>
              <w:t>8.5. Open-ended Feedback.</w:t>
            </w:r>
            <w:r>
              <w:rPr>
                <w:noProof/>
                <w:webHidden/>
              </w:rPr>
              <w:tab/>
            </w:r>
            <w:r>
              <w:rPr>
                <w:noProof/>
                <w:webHidden/>
              </w:rPr>
              <w:fldChar w:fldCharType="begin"/>
            </w:r>
            <w:r>
              <w:rPr>
                <w:noProof/>
                <w:webHidden/>
              </w:rPr>
              <w:instrText xml:space="preserve"> PAGEREF _Toc219216481 \h </w:instrText>
            </w:r>
            <w:r>
              <w:rPr>
                <w:noProof/>
                <w:webHidden/>
              </w:rPr>
            </w:r>
            <w:r>
              <w:rPr>
                <w:noProof/>
                <w:webHidden/>
              </w:rPr>
              <w:fldChar w:fldCharType="separate"/>
            </w:r>
            <w:r w:rsidR="00E77AAF">
              <w:rPr>
                <w:noProof/>
                <w:webHidden/>
              </w:rPr>
              <w:t>55</w:t>
            </w:r>
            <w:r>
              <w:rPr>
                <w:noProof/>
                <w:webHidden/>
              </w:rPr>
              <w:fldChar w:fldCharType="end"/>
            </w:r>
          </w:hyperlink>
        </w:p>
        <w:p w14:paraId="0338D29D" w14:textId="77777777" w:rsidR="001D60B3" w:rsidRPr="001D60B3" w:rsidRDefault="001D60B3" w:rsidP="001D60B3">
          <w:pPr>
            <w:spacing w:after="0" w:line="276" w:lineRule="auto"/>
            <w:rPr>
              <w:noProof/>
            </w:rPr>
          </w:pPr>
        </w:p>
        <w:p w14:paraId="617B42CC" w14:textId="70B82629"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82" w:history="1">
            <w:r w:rsidRPr="0066647F">
              <w:rPr>
                <w:rStyle w:val="Hyperlink"/>
                <w:noProof/>
              </w:rPr>
              <w:t>9. Discussion.</w:t>
            </w:r>
            <w:r>
              <w:rPr>
                <w:noProof/>
                <w:webHidden/>
              </w:rPr>
              <w:tab/>
            </w:r>
            <w:r>
              <w:rPr>
                <w:noProof/>
                <w:webHidden/>
              </w:rPr>
              <w:fldChar w:fldCharType="begin"/>
            </w:r>
            <w:r>
              <w:rPr>
                <w:noProof/>
                <w:webHidden/>
              </w:rPr>
              <w:instrText xml:space="preserve"> PAGEREF _Toc219216482 \h </w:instrText>
            </w:r>
            <w:r>
              <w:rPr>
                <w:noProof/>
                <w:webHidden/>
              </w:rPr>
            </w:r>
            <w:r>
              <w:rPr>
                <w:noProof/>
                <w:webHidden/>
              </w:rPr>
              <w:fldChar w:fldCharType="separate"/>
            </w:r>
            <w:r w:rsidR="00E77AAF">
              <w:rPr>
                <w:noProof/>
                <w:webHidden/>
              </w:rPr>
              <w:t>56</w:t>
            </w:r>
            <w:r>
              <w:rPr>
                <w:noProof/>
                <w:webHidden/>
              </w:rPr>
              <w:fldChar w:fldCharType="end"/>
            </w:r>
          </w:hyperlink>
        </w:p>
        <w:p w14:paraId="50BE7B14" w14:textId="54C63447"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83" w:history="1">
            <w:r w:rsidRPr="0066647F">
              <w:rPr>
                <w:rStyle w:val="Hyperlink"/>
                <w:noProof/>
              </w:rPr>
              <w:t>9.1. Current Use of Risk Assessment Tools.</w:t>
            </w:r>
            <w:r>
              <w:rPr>
                <w:noProof/>
                <w:webHidden/>
              </w:rPr>
              <w:tab/>
            </w:r>
            <w:r>
              <w:rPr>
                <w:noProof/>
                <w:webHidden/>
              </w:rPr>
              <w:fldChar w:fldCharType="begin"/>
            </w:r>
            <w:r>
              <w:rPr>
                <w:noProof/>
                <w:webHidden/>
              </w:rPr>
              <w:instrText xml:space="preserve"> PAGEREF _Toc219216483 \h </w:instrText>
            </w:r>
            <w:r>
              <w:rPr>
                <w:noProof/>
                <w:webHidden/>
              </w:rPr>
            </w:r>
            <w:r>
              <w:rPr>
                <w:noProof/>
                <w:webHidden/>
              </w:rPr>
              <w:fldChar w:fldCharType="separate"/>
            </w:r>
            <w:r w:rsidR="00E77AAF">
              <w:rPr>
                <w:noProof/>
                <w:webHidden/>
              </w:rPr>
              <w:t>57</w:t>
            </w:r>
            <w:r>
              <w:rPr>
                <w:noProof/>
                <w:webHidden/>
              </w:rPr>
              <w:fldChar w:fldCharType="end"/>
            </w:r>
          </w:hyperlink>
        </w:p>
        <w:p w14:paraId="3684887B" w14:textId="0B9DE6D9"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84" w:history="1">
            <w:r w:rsidRPr="0066647F">
              <w:rPr>
                <w:rStyle w:val="Hyperlink"/>
                <w:noProof/>
              </w:rPr>
              <w:t>9.2. Effectiveness and Limitations of Current Practices.</w:t>
            </w:r>
            <w:r>
              <w:rPr>
                <w:noProof/>
                <w:webHidden/>
              </w:rPr>
              <w:tab/>
            </w:r>
            <w:r>
              <w:rPr>
                <w:noProof/>
                <w:webHidden/>
              </w:rPr>
              <w:fldChar w:fldCharType="begin"/>
            </w:r>
            <w:r>
              <w:rPr>
                <w:noProof/>
                <w:webHidden/>
              </w:rPr>
              <w:instrText xml:space="preserve"> PAGEREF _Toc219216484 \h </w:instrText>
            </w:r>
            <w:r>
              <w:rPr>
                <w:noProof/>
                <w:webHidden/>
              </w:rPr>
            </w:r>
            <w:r>
              <w:rPr>
                <w:noProof/>
                <w:webHidden/>
              </w:rPr>
              <w:fldChar w:fldCharType="separate"/>
            </w:r>
            <w:r w:rsidR="00E77AAF">
              <w:rPr>
                <w:noProof/>
                <w:webHidden/>
              </w:rPr>
              <w:t>60</w:t>
            </w:r>
            <w:r>
              <w:rPr>
                <w:noProof/>
                <w:webHidden/>
              </w:rPr>
              <w:fldChar w:fldCharType="end"/>
            </w:r>
          </w:hyperlink>
        </w:p>
        <w:p w14:paraId="1574A4D6" w14:textId="6FC1098A"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85" w:history="1">
            <w:r w:rsidRPr="0066647F">
              <w:rPr>
                <w:rStyle w:val="Hyperlink"/>
                <w:noProof/>
              </w:rPr>
              <w:t>9.3. Tool Misapplication and Misclassification.</w:t>
            </w:r>
            <w:r>
              <w:rPr>
                <w:noProof/>
                <w:webHidden/>
              </w:rPr>
              <w:tab/>
            </w:r>
            <w:r>
              <w:rPr>
                <w:noProof/>
                <w:webHidden/>
              </w:rPr>
              <w:fldChar w:fldCharType="begin"/>
            </w:r>
            <w:r>
              <w:rPr>
                <w:noProof/>
                <w:webHidden/>
              </w:rPr>
              <w:instrText xml:space="preserve"> PAGEREF _Toc219216485 \h </w:instrText>
            </w:r>
            <w:r>
              <w:rPr>
                <w:noProof/>
                <w:webHidden/>
              </w:rPr>
            </w:r>
            <w:r>
              <w:rPr>
                <w:noProof/>
                <w:webHidden/>
              </w:rPr>
              <w:fldChar w:fldCharType="separate"/>
            </w:r>
            <w:r w:rsidR="00E77AAF">
              <w:rPr>
                <w:noProof/>
                <w:webHidden/>
              </w:rPr>
              <w:t>63</w:t>
            </w:r>
            <w:r>
              <w:rPr>
                <w:noProof/>
                <w:webHidden/>
              </w:rPr>
              <w:fldChar w:fldCharType="end"/>
            </w:r>
          </w:hyperlink>
        </w:p>
        <w:p w14:paraId="36E46A87" w14:textId="02EB8C53"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86" w:history="1">
            <w:r w:rsidRPr="0066647F">
              <w:rPr>
                <w:rStyle w:val="Hyperlink"/>
                <w:noProof/>
              </w:rPr>
              <w:t>9.4. Risk Management and its Impact on Project Outcomes.</w:t>
            </w:r>
            <w:r>
              <w:rPr>
                <w:noProof/>
                <w:webHidden/>
              </w:rPr>
              <w:tab/>
            </w:r>
            <w:r>
              <w:rPr>
                <w:noProof/>
                <w:webHidden/>
              </w:rPr>
              <w:fldChar w:fldCharType="begin"/>
            </w:r>
            <w:r>
              <w:rPr>
                <w:noProof/>
                <w:webHidden/>
              </w:rPr>
              <w:instrText xml:space="preserve"> PAGEREF _Toc219216486 \h </w:instrText>
            </w:r>
            <w:r>
              <w:rPr>
                <w:noProof/>
                <w:webHidden/>
              </w:rPr>
            </w:r>
            <w:r>
              <w:rPr>
                <w:noProof/>
                <w:webHidden/>
              </w:rPr>
              <w:fldChar w:fldCharType="separate"/>
            </w:r>
            <w:r w:rsidR="00E77AAF">
              <w:rPr>
                <w:noProof/>
                <w:webHidden/>
              </w:rPr>
              <w:t>66</w:t>
            </w:r>
            <w:r>
              <w:rPr>
                <w:noProof/>
                <w:webHidden/>
              </w:rPr>
              <w:fldChar w:fldCharType="end"/>
            </w:r>
          </w:hyperlink>
        </w:p>
        <w:p w14:paraId="73D78D23" w14:textId="56D2159E"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87" w:history="1">
            <w:r w:rsidRPr="0066647F">
              <w:rPr>
                <w:rStyle w:val="Hyperlink"/>
                <w:noProof/>
              </w:rPr>
              <w:t>9.5. The Case for a Customisable Framework.</w:t>
            </w:r>
            <w:r>
              <w:rPr>
                <w:noProof/>
                <w:webHidden/>
              </w:rPr>
              <w:tab/>
            </w:r>
            <w:r>
              <w:rPr>
                <w:noProof/>
                <w:webHidden/>
              </w:rPr>
              <w:fldChar w:fldCharType="begin"/>
            </w:r>
            <w:r>
              <w:rPr>
                <w:noProof/>
                <w:webHidden/>
              </w:rPr>
              <w:instrText xml:space="preserve"> PAGEREF _Toc219216487 \h </w:instrText>
            </w:r>
            <w:r>
              <w:rPr>
                <w:noProof/>
                <w:webHidden/>
              </w:rPr>
            </w:r>
            <w:r>
              <w:rPr>
                <w:noProof/>
                <w:webHidden/>
              </w:rPr>
              <w:fldChar w:fldCharType="separate"/>
            </w:r>
            <w:r w:rsidR="00E77AAF">
              <w:rPr>
                <w:noProof/>
                <w:webHidden/>
              </w:rPr>
              <w:t>68</w:t>
            </w:r>
            <w:r>
              <w:rPr>
                <w:noProof/>
                <w:webHidden/>
              </w:rPr>
              <w:fldChar w:fldCharType="end"/>
            </w:r>
          </w:hyperlink>
        </w:p>
        <w:p w14:paraId="2F4E7E96" w14:textId="65043EA2"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88" w:history="1">
            <w:r w:rsidRPr="0066647F">
              <w:rPr>
                <w:rStyle w:val="Hyperlink"/>
                <w:noProof/>
              </w:rPr>
              <w:t>9.6. Summary</w:t>
            </w:r>
            <w:r>
              <w:rPr>
                <w:noProof/>
                <w:webHidden/>
              </w:rPr>
              <w:tab/>
            </w:r>
            <w:r>
              <w:rPr>
                <w:noProof/>
                <w:webHidden/>
              </w:rPr>
              <w:fldChar w:fldCharType="begin"/>
            </w:r>
            <w:r>
              <w:rPr>
                <w:noProof/>
                <w:webHidden/>
              </w:rPr>
              <w:instrText xml:space="preserve"> PAGEREF _Toc219216488 \h </w:instrText>
            </w:r>
            <w:r>
              <w:rPr>
                <w:noProof/>
                <w:webHidden/>
              </w:rPr>
            </w:r>
            <w:r>
              <w:rPr>
                <w:noProof/>
                <w:webHidden/>
              </w:rPr>
              <w:fldChar w:fldCharType="separate"/>
            </w:r>
            <w:r w:rsidR="00E77AAF">
              <w:rPr>
                <w:noProof/>
                <w:webHidden/>
              </w:rPr>
              <w:t>72</w:t>
            </w:r>
            <w:r>
              <w:rPr>
                <w:noProof/>
                <w:webHidden/>
              </w:rPr>
              <w:fldChar w:fldCharType="end"/>
            </w:r>
          </w:hyperlink>
        </w:p>
        <w:p w14:paraId="715B1888" w14:textId="336B7E63"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89" w:history="1">
            <w:r w:rsidRPr="0066647F">
              <w:rPr>
                <w:rStyle w:val="Hyperlink"/>
                <w:noProof/>
              </w:rPr>
              <w:t>9.7. Conclusion and Limitations</w:t>
            </w:r>
            <w:r>
              <w:rPr>
                <w:noProof/>
                <w:webHidden/>
              </w:rPr>
              <w:tab/>
            </w:r>
            <w:r>
              <w:rPr>
                <w:noProof/>
                <w:webHidden/>
              </w:rPr>
              <w:fldChar w:fldCharType="begin"/>
            </w:r>
            <w:r>
              <w:rPr>
                <w:noProof/>
                <w:webHidden/>
              </w:rPr>
              <w:instrText xml:space="preserve"> PAGEREF _Toc219216489 \h </w:instrText>
            </w:r>
            <w:r>
              <w:rPr>
                <w:noProof/>
                <w:webHidden/>
              </w:rPr>
            </w:r>
            <w:r>
              <w:rPr>
                <w:noProof/>
                <w:webHidden/>
              </w:rPr>
              <w:fldChar w:fldCharType="separate"/>
            </w:r>
            <w:r w:rsidR="00E77AAF">
              <w:rPr>
                <w:noProof/>
                <w:webHidden/>
              </w:rPr>
              <w:t>74</w:t>
            </w:r>
            <w:r>
              <w:rPr>
                <w:noProof/>
                <w:webHidden/>
              </w:rPr>
              <w:fldChar w:fldCharType="end"/>
            </w:r>
          </w:hyperlink>
        </w:p>
        <w:p w14:paraId="4EC903A7" w14:textId="3ABDD4E6" w:rsidR="001D60B3" w:rsidRDefault="001D60B3" w:rsidP="001D60B3">
          <w:pPr>
            <w:pStyle w:val="TOC2"/>
            <w:spacing w:after="0" w:line="276" w:lineRule="auto"/>
            <w:rPr>
              <w:rStyle w:val="Hyperlink"/>
              <w:noProof/>
            </w:rPr>
          </w:pPr>
          <w:hyperlink w:anchor="_Toc219216490" w:history="1">
            <w:r w:rsidRPr="0066647F">
              <w:rPr>
                <w:rStyle w:val="Hyperlink"/>
                <w:noProof/>
              </w:rPr>
              <w:t>9.8. Closing Reflections.</w:t>
            </w:r>
            <w:r>
              <w:rPr>
                <w:noProof/>
                <w:webHidden/>
              </w:rPr>
              <w:tab/>
            </w:r>
            <w:r>
              <w:rPr>
                <w:noProof/>
                <w:webHidden/>
              </w:rPr>
              <w:fldChar w:fldCharType="begin"/>
            </w:r>
            <w:r>
              <w:rPr>
                <w:noProof/>
                <w:webHidden/>
              </w:rPr>
              <w:instrText xml:space="preserve"> PAGEREF _Toc219216490 \h </w:instrText>
            </w:r>
            <w:r>
              <w:rPr>
                <w:noProof/>
                <w:webHidden/>
              </w:rPr>
            </w:r>
            <w:r>
              <w:rPr>
                <w:noProof/>
                <w:webHidden/>
              </w:rPr>
              <w:fldChar w:fldCharType="separate"/>
            </w:r>
            <w:r w:rsidR="00E77AAF">
              <w:rPr>
                <w:noProof/>
                <w:webHidden/>
              </w:rPr>
              <w:t>78</w:t>
            </w:r>
            <w:r>
              <w:rPr>
                <w:noProof/>
                <w:webHidden/>
              </w:rPr>
              <w:fldChar w:fldCharType="end"/>
            </w:r>
          </w:hyperlink>
        </w:p>
        <w:p w14:paraId="00DCE3A6" w14:textId="77777777" w:rsidR="001D60B3" w:rsidRPr="001D60B3" w:rsidRDefault="001D60B3" w:rsidP="001D60B3">
          <w:pPr>
            <w:spacing w:after="0" w:line="276" w:lineRule="auto"/>
            <w:rPr>
              <w:noProof/>
            </w:rPr>
          </w:pPr>
        </w:p>
        <w:p w14:paraId="109E0D64" w14:textId="6BECCD0F" w:rsidR="001D60B3" w:rsidRDefault="001D60B3" w:rsidP="001D60B3">
          <w:pPr>
            <w:pStyle w:val="TOC2"/>
            <w:spacing w:after="0" w:line="276" w:lineRule="auto"/>
            <w:rPr>
              <w:rStyle w:val="Hyperlink"/>
              <w:noProof/>
            </w:rPr>
          </w:pPr>
          <w:hyperlink w:anchor="_Toc219216491" w:history="1">
            <w:r w:rsidRPr="0066647F">
              <w:rPr>
                <w:rStyle w:val="Hyperlink"/>
                <w:noProof/>
              </w:rPr>
              <w:t>10. Recommendations &amp; Further Work</w:t>
            </w:r>
            <w:r>
              <w:rPr>
                <w:noProof/>
                <w:webHidden/>
              </w:rPr>
              <w:tab/>
            </w:r>
            <w:r>
              <w:rPr>
                <w:noProof/>
                <w:webHidden/>
              </w:rPr>
              <w:fldChar w:fldCharType="begin"/>
            </w:r>
            <w:r>
              <w:rPr>
                <w:noProof/>
                <w:webHidden/>
              </w:rPr>
              <w:instrText xml:space="preserve"> PAGEREF _Toc219216491 \h </w:instrText>
            </w:r>
            <w:r>
              <w:rPr>
                <w:noProof/>
                <w:webHidden/>
              </w:rPr>
            </w:r>
            <w:r>
              <w:rPr>
                <w:noProof/>
                <w:webHidden/>
              </w:rPr>
              <w:fldChar w:fldCharType="separate"/>
            </w:r>
            <w:r w:rsidR="00E77AAF">
              <w:rPr>
                <w:noProof/>
                <w:webHidden/>
              </w:rPr>
              <w:t>79</w:t>
            </w:r>
            <w:r>
              <w:rPr>
                <w:noProof/>
                <w:webHidden/>
              </w:rPr>
              <w:fldChar w:fldCharType="end"/>
            </w:r>
          </w:hyperlink>
        </w:p>
        <w:p w14:paraId="273E6823" w14:textId="77777777" w:rsidR="001D60B3" w:rsidRPr="001D60B3" w:rsidRDefault="001D60B3" w:rsidP="001D60B3">
          <w:pPr>
            <w:spacing w:after="0" w:line="276" w:lineRule="auto"/>
            <w:rPr>
              <w:noProof/>
            </w:rPr>
          </w:pPr>
        </w:p>
        <w:p w14:paraId="1A746223" w14:textId="3D12372E" w:rsidR="001D60B3" w:rsidRDefault="001D60B3" w:rsidP="001D60B3">
          <w:pPr>
            <w:pStyle w:val="TOC2"/>
            <w:spacing w:after="0" w:line="276" w:lineRule="auto"/>
            <w:rPr>
              <w:rStyle w:val="Hyperlink"/>
              <w:noProof/>
            </w:rPr>
          </w:pPr>
          <w:hyperlink w:anchor="_Toc219216492" w:history="1">
            <w:r w:rsidRPr="0066647F">
              <w:rPr>
                <w:rStyle w:val="Hyperlink"/>
                <w:noProof/>
              </w:rPr>
              <w:t>11. References</w:t>
            </w:r>
            <w:r>
              <w:rPr>
                <w:noProof/>
                <w:webHidden/>
              </w:rPr>
              <w:tab/>
            </w:r>
            <w:r>
              <w:rPr>
                <w:noProof/>
                <w:webHidden/>
              </w:rPr>
              <w:fldChar w:fldCharType="begin"/>
            </w:r>
            <w:r>
              <w:rPr>
                <w:noProof/>
                <w:webHidden/>
              </w:rPr>
              <w:instrText xml:space="preserve"> PAGEREF _Toc219216492 \h </w:instrText>
            </w:r>
            <w:r>
              <w:rPr>
                <w:noProof/>
                <w:webHidden/>
              </w:rPr>
            </w:r>
            <w:r>
              <w:rPr>
                <w:noProof/>
                <w:webHidden/>
              </w:rPr>
              <w:fldChar w:fldCharType="separate"/>
            </w:r>
            <w:r w:rsidR="00E77AAF">
              <w:rPr>
                <w:noProof/>
                <w:webHidden/>
              </w:rPr>
              <w:t>82</w:t>
            </w:r>
            <w:r>
              <w:rPr>
                <w:noProof/>
                <w:webHidden/>
              </w:rPr>
              <w:fldChar w:fldCharType="end"/>
            </w:r>
          </w:hyperlink>
        </w:p>
        <w:p w14:paraId="17819210" w14:textId="77777777" w:rsidR="001D60B3" w:rsidRPr="001D60B3" w:rsidRDefault="001D60B3" w:rsidP="001D60B3">
          <w:pPr>
            <w:spacing w:after="0" w:line="276" w:lineRule="auto"/>
            <w:rPr>
              <w:noProof/>
            </w:rPr>
          </w:pPr>
        </w:p>
        <w:p w14:paraId="7DE5A404" w14:textId="4832288D"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93" w:history="1">
            <w:r w:rsidRPr="0066647F">
              <w:rPr>
                <w:rStyle w:val="Hyperlink"/>
                <w:noProof/>
              </w:rPr>
              <w:t>12. Appendix</w:t>
            </w:r>
            <w:r>
              <w:rPr>
                <w:noProof/>
                <w:webHidden/>
              </w:rPr>
              <w:tab/>
            </w:r>
            <w:r>
              <w:rPr>
                <w:noProof/>
                <w:webHidden/>
              </w:rPr>
              <w:fldChar w:fldCharType="begin"/>
            </w:r>
            <w:r>
              <w:rPr>
                <w:noProof/>
                <w:webHidden/>
              </w:rPr>
              <w:instrText xml:space="preserve"> PAGEREF _Toc219216493 \h </w:instrText>
            </w:r>
            <w:r>
              <w:rPr>
                <w:noProof/>
                <w:webHidden/>
              </w:rPr>
            </w:r>
            <w:r>
              <w:rPr>
                <w:noProof/>
                <w:webHidden/>
              </w:rPr>
              <w:fldChar w:fldCharType="separate"/>
            </w:r>
            <w:r w:rsidR="00E77AAF">
              <w:rPr>
                <w:noProof/>
                <w:webHidden/>
              </w:rPr>
              <w:t>87</w:t>
            </w:r>
            <w:r>
              <w:rPr>
                <w:noProof/>
                <w:webHidden/>
              </w:rPr>
              <w:fldChar w:fldCharType="end"/>
            </w:r>
          </w:hyperlink>
        </w:p>
        <w:p w14:paraId="6DD21C58" w14:textId="6A8FA5AD"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94" w:history="1">
            <w:r w:rsidRPr="0066647F">
              <w:rPr>
                <w:rStyle w:val="Hyperlink"/>
                <w:noProof/>
              </w:rPr>
              <w:t>12.1. Survey Questionnaire.</w:t>
            </w:r>
            <w:r>
              <w:rPr>
                <w:noProof/>
                <w:webHidden/>
              </w:rPr>
              <w:tab/>
            </w:r>
            <w:r>
              <w:rPr>
                <w:noProof/>
                <w:webHidden/>
              </w:rPr>
              <w:fldChar w:fldCharType="begin"/>
            </w:r>
            <w:r>
              <w:rPr>
                <w:noProof/>
                <w:webHidden/>
              </w:rPr>
              <w:instrText xml:space="preserve"> PAGEREF _Toc219216494 \h </w:instrText>
            </w:r>
            <w:r>
              <w:rPr>
                <w:noProof/>
                <w:webHidden/>
              </w:rPr>
            </w:r>
            <w:r>
              <w:rPr>
                <w:noProof/>
                <w:webHidden/>
              </w:rPr>
              <w:fldChar w:fldCharType="separate"/>
            </w:r>
            <w:r w:rsidR="00E77AAF">
              <w:rPr>
                <w:noProof/>
                <w:webHidden/>
              </w:rPr>
              <w:t>87</w:t>
            </w:r>
            <w:r>
              <w:rPr>
                <w:noProof/>
                <w:webHidden/>
              </w:rPr>
              <w:fldChar w:fldCharType="end"/>
            </w:r>
          </w:hyperlink>
        </w:p>
        <w:p w14:paraId="30965594" w14:textId="7D940791"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95" w:history="1">
            <w:r w:rsidRPr="0066647F">
              <w:rPr>
                <w:rStyle w:val="Hyperlink"/>
                <w:noProof/>
              </w:rPr>
              <w:t>12.2. Proposed Timeline Gantt Chart.</w:t>
            </w:r>
            <w:r>
              <w:rPr>
                <w:noProof/>
                <w:webHidden/>
              </w:rPr>
              <w:tab/>
            </w:r>
            <w:r>
              <w:rPr>
                <w:noProof/>
                <w:webHidden/>
              </w:rPr>
              <w:fldChar w:fldCharType="begin"/>
            </w:r>
            <w:r>
              <w:rPr>
                <w:noProof/>
                <w:webHidden/>
              </w:rPr>
              <w:instrText xml:space="preserve"> PAGEREF _Toc219216495 \h </w:instrText>
            </w:r>
            <w:r>
              <w:rPr>
                <w:noProof/>
                <w:webHidden/>
              </w:rPr>
            </w:r>
            <w:r>
              <w:rPr>
                <w:noProof/>
                <w:webHidden/>
              </w:rPr>
              <w:fldChar w:fldCharType="separate"/>
            </w:r>
            <w:r w:rsidR="00E77AAF">
              <w:rPr>
                <w:noProof/>
                <w:webHidden/>
              </w:rPr>
              <w:t>91</w:t>
            </w:r>
            <w:r>
              <w:rPr>
                <w:noProof/>
                <w:webHidden/>
              </w:rPr>
              <w:fldChar w:fldCharType="end"/>
            </w:r>
          </w:hyperlink>
        </w:p>
        <w:p w14:paraId="125DE11D" w14:textId="7E6E4C6E"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96" w:history="1">
            <w:r w:rsidRPr="0066647F">
              <w:rPr>
                <w:rStyle w:val="Hyperlink"/>
                <w:noProof/>
              </w:rPr>
              <w:t>12.3. Participant Demographics.</w:t>
            </w:r>
            <w:r>
              <w:rPr>
                <w:noProof/>
                <w:webHidden/>
              </w:rPr>
              <w:tab/>
            </w:r>
            <w:r>
              <w:rPr>
                <w:noProof/>
                <w:webHidden/>
              </w:rPr>
              <w:fldChar w:fldCharType="begin"/>
            </w:r>
            <w:r>
              <w:rPr>
                <w:noProof/>
                <w:webHidden/>
              </w:rPr>
              <w:instrText xml:space="preserve"> PAGEREF _Toc219216496 \h </w:instrText>
            </w:r>
            <w:r>
              <w:rPr>
                <w:noProof/>
                <w:webHidden/>
              </w:rPr>
            </w:r>
            <w:r>
              <w:rPr>
                <w:noProof/>
                <w:webHidden/>
              </w:rPr>
              <w:fldChar w:fldCharType="separate"/>
            </w:r>
            <w:r w:rsidR="00E77AAF">
              <w:rPr>
                <w:noProof/>
                <w:webHidden/>
              </w:rPr>
              <w:t>92</w:t>
            </w:r>
            <w:r>
              <w:rPr>
                <w:noProof/>
                <w:webHidden/>
              </w:rPr>
              <w:fldChar w:fldCharType="end"/>
            </w:r>
          </w:hyperlink>
        </w:p>
        <w:p w14:paraId="3691E0EA" w14:textId="402E0BB4"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97" w:history="1">
            <w:r w:rsidRPr="0066647F">
              <w:rPr>
                <w:rStyle w:val="Hyperlink"/>
                <w:noProof/>
              </w:rPr>
              <w:t>12.4. Current Use of Risk Assessment Tools.</w:t>
            </w:r>
            <w:r>
              <w:rPr>
                <w:noProof/>
                <w:webHidden/>
              </w:rPr>
              <w:tab/>
            </w:r>
            <w:r>
              <w:rPr>
                <w:noProof/>
                <w:webHidden/>
              </w:rPr>
              <w:fldChar w:fldCharType="begin"/>
            </w:r>
            <w:r>
              <w:rPr>
                <w:noProof/>
                <w:webHidden/>
              </w:rPr>
              <w:instrText xml:space="preserve"> PAGEREF _Toc219216497 \h </w:instrText>
            </w:r>
            <w:r>
              <w:rPr>
                <w:noProof/>
                <w:webHidden/>
              </w:rPr>
            </w:r>
            <w:r>
              <w:rPr>
                <w:noProof/>
                <w:webHidden/>
              </w:rPr>
              <w:fldChar w:fldCharType="separate"/>
            </w:r>
            <w:r w:rsidR="00E77AAF">
              <w:rPr>
                <w:noProof/>
                <w:webHidden/>
              </w:rPr>
              <w:t>94</w:t>
            </w:r>
            <w:r>
              <w:rPr>
                <w:noProof/>
                <w:webHidden/>
              </w:rPr>
              <w:fldChar w:fldCharType="end"/>
            </w:r>
          </w:hyperlink>
        </w:p>
        <w:p w14:paraId="156E4082" w14:textId="5F88134E"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98" w:history="1">
            <w:r w:rsidRPr="0066647F">
              <w:rPr>
                <w:rStyle w:val="Hyperlink"/>
                <w:noProof/>
              </w:rPr>
              <w:t>12.5. Effectiveness of Risk Management</w:t>
            </w:r>
            <w:r>
              <w:rPr>
                <w:noProof/>
                <w:webHidden/>
              </w:rPr>
              <w:tab/>
            </w:r>
            <w:r>
              <w:rPr>
                <w:noProof/>
                <w:webHidden/>
              </w:rPr>
              <w:fldChar w:fldCharType="begin"/>
            </w:r>
            <w:r>
              <w:rPr>
                <w:noProof/>
                <w:webHidden/>
              </w:rPr>
              <w:instrText xml:space="preserve"> PAGEREF _Toc219216498 \h </w:instrText>
            </w:r>
            <w:r>
              <w:rPr>
                <w:noProof/>
                <w:webHidden/>
              </w:rPr>
            </w:r>
            <w:r>
              <w:rPr>
                <w:noProof/>
                <w:webHidden/>
              </w:rPr>
              <w:fldChar w:fldCharType="separate"/>
            </w:r>
            <w:r w:rsidR="00E77AAF">
              <w:rPr>
                <w:noProof/>
                <w:webHidden/>
              </w:rPr>
              <w:t>96</w:t>
            </w:r>
            <w:r>
              <w:rPr>
                <w:noProof/>
                <w:webHidden/>
              </w:rPr>
              <w:fldChar w:fldCharType="end"/>
            </w:r>
          </w:hyperlink>
        </w:p>
        <w:p w14:paraId="41AD8A5A" w14:textId="7E847CB8"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99" w:history="1">
            <w:r w:rsidRPr="0066647F">
              <w:rPr>
                <w:rStyle w:val="Hyperlink"/>
                <w:noProof/>
              </w:rPr>
              <w:t xml:space="preserve">12.6. </w:t>
            </w:r>
            <w:r w:rsidRPr="0066647F">
              <w:rPr>
                <w:rStyle w:val="Hyperlink"/>
                <w:rFonts w:eastAsia="Times New Roman"/>
                <w:noProof/>
                <w:lang w:eastAsia="en-GB"/>
              </w:rPr>
              <w:t>Need for a Customisable Framework</w:t>
            </w:r>
            <w:r>
              <w:rPr>
                <w:noProof/>
                <w:webHidden/>
              </w:rPr>
              <w:tab/>
            </w:r>
            <w:r>
              <w:rPr>
                <w:noProof/>
                <w:webHidden/>
              </w:rPr>
              <w:fldChar w:fldCharType="begin"/>
            </w:r>
            <w:r>
              <w:rPr>
                <w:noProof/>
                <w:webHidden/>
              </w:rPr>
              <w:instrText xml:space="preserve"> PAGEREF _Toc219216499 \h </w:instrText>
            </w:r>
            <w:r>
              <w:rPr>
                <w:noProof/>
                <w:webHidden/>
              </w:rPr>
            </w:r>
            <w:r>
              <w:rPr>
                <w:noProof/>
                <w:webHidden/>
              </w:rPr>
              <w:fldChar w:fldCharType="separate"/>
            </w:r>
            <w:r w:rsidR="00E77AAF">
              <w:rPr>
                <w:noProof/>
                <w:webHidden/>
              </w:rPr>
              <w:t>99</w:t>
            </w:r>
            <w:r>
              <w:rPr>
                <w:noProof/>
                <w:webHidden/>
              </w:rPr>
              <w:fldChar w:fldCharType="end"/>
            </w:r>
          </w:hyperlink>
        </w:p>
        <w:p w14:paraId="39A17158" w14:textId="142E5490" w:rsidR="001D60B3" w:rsidRDefault="001D60B3" w:rsidP="001D60B3">
          <w:pPr>
            <w:pStyle w:val="TOC2"/>
            <w:spacing w:after="0"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00" w:history="1">
            <w:r w:rsidRPr="0066647F">
              <w:rPr>
                <w:rStyle w:val="Hyperlink"/>
                <w:noProof/>
              </w:rPr>
              <w:t>12.6. Open-ended Feedback.</w:t>
            </w:r>
            <w:r>
              <w:rPr>
                <w:noProof/>
                <w:webHidden/>
              </w:rPr>
              <w:tab/>
            </w:r>
            <w:r>
              <w:rPr>
                <w:noProof/>
                <w:webHidden/>
              </w:rPr>
              <w:fldChar w:fldCharType="begin"/>
            </w:r>
            <w:r>
              <w:rPr>
                <w:noProof/>
                <w:webHidden/>
              </w:rPr>
              <w:instrText xml:space="preserve"> PAGEREF _Toc219216500 \h </w:instrText>
            </w:r>
            <w:r>
              <w:rPr>
                <w:noProof/>
                <w:webHidden/>
              </w:rPr>
            </w:r>
            <w:r>
              <w:rPr>
                <w:noProof/>
                <w:webHidden/>
              </w:rPr>
              <w:fldChar w:fldCharType="separate"/>
            </w:r>
            <w:r w:rsidR="00E77AAF">
              <w:rPr>
                <w:noProof/>
                <w:webHidden/>
              </w:rPr>
              <w:t>101</w:t>
            </w:r>
            <w:r>
              <w:rPr>
                <w:noProof/>
                <w:webHidden/>
              </w:rPr>
              <w:fldChar w:fldCharType="end"/>
            </w:r>
          </w:hyperlink>
        </w:p>
        <w:p w14:paraId="7F2B9274" w14:textId="0185FDDC" w:rsidR="005536D9" w:rsidRPr="003E6051" w:rsidRDefault="005536D9" w:rsidP="00F12850">
          <w:pPr>
            <w:spacing w:after="0" w:line="240" w:lineRule="auto"/>
            <w:ind w:left="-576" w:right="-576"/>
            <w:jc w:val="both"/>
          </w:pPr>
          <w:r w:rsidRPr="003E6051">
            <w:rPr>
              <w:b/>
              <w:bCs/>
              <w:noProof/>
            </w:rPr>
            <w:fldChar w:fldCharType="end"/>
          </w:r>
        </w:p>
      </w:sdtContent>
    </w:sdt>
    <w:p w14:paraId="3D7ABB2E" w14:textId="3413DC98" w:rsidR="003E37A2" w:rsidRPr="003E6051" w:rsidRDefault="003E37A2" w:rsidP="00A20578">
      <w:pPr>
        <w:spacing w:after="0" w:line="360" w:lineRule="auto"/>
        <w:ind w:left="-576" w:right="-576"/>
        <w:jc w:val="both"/>
      </w:pPr>
    </w:p>
    <w:p w14:paraId="6E89110C" w14:textId="77777777" w:rsidR="00373AD1" w:rsidRDefault="00373AD1">
      <w:pPr>
        <w:rPr>
          <w:sz w:val="28"/>
          <w:szCs w:val="28"/>
          <w:u w:val="single"/>
        </w:rPr>
      </w:pPr>
      <w:r>
        <w:rPr>
          <w:sz w:val="28"/>
          <w:szCs w:val="28"/>
          <w:u w:val="single"/>
        </w:rPr>
        <w:br w:type="page"/>
      </w:r>
    </w:p>
    <w:p w14:paraId="46225E9E" w14:textId="79027680" w:rsidR="003E37A2" w:rsidRPr="003E6051" w:rsidRDefault="003E37A2" w:rsidP="00A20578">
      <w:pPr>
        <w:spacing w:after="0" w:line="360" w:lineRule="auto"/>
        <w:ind w:left="-576" w:right="-576"/>
        <w:jc w:val="center"/>
        <w:rPr>
          <w:sz w:val="28"/>
          <w:szCs w:val="28"/>
          <w:u w:val="single"/>
        </w:rPr>
      </w:pPr>
      <w:r w:rsidRPr="003E6051">
        <w:rPr>
          <w:sz w:val="28"/>
          <w:szCs w:val="28"/>
          <w:u w:val="single"/>
        </w:rPr>
        <w:lastRenderedPageBreak/>
        <w:t>Table of Figures</w:t>
      </w:r>
    </w:p>
    <w:p w14:paraId="64A2563B" w14:textId="77777777" w:rsidR="009535E5" w:rsidRPr="003E6051" w:rsidRDefault="009535E5" w:rsidP="00A20578">
      <w:pPr>
        <w:spacing w:after="0" w:line="360" w:lineRule="auto"/>
        <w:ind w:left="-576" w:right="-576"/>
        <w:jc w:val="both"/>
        <w:rPr>
          <w:u w:val="single"/>
        </w:rPr>
      </w:pPr>
    </w:p>
    <w:p w14:paraId="6A502416" w14:textId="64FF2628" w:rsidR="001D60B3" w:rsidRDefault="00E11E47"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r>
        <w:fldChar w:fldCharType="begin"/>
      </w:r>
      <w:r>
        <w:instrText xml:space="preserve"> TOC \h \z \c "Figure" </w:instrText>
      </w:r>
      <w:r>
        <w:fldChar w:fldCharType="separate"/>
      </w:r>
      <w:hyperlink w:anchor="_Toc219216528" w:history="1">
        <w:r w:rsidR="001D60B3" w:rsidRPr="00CE1A21">
          <w:rPr>
            <w:rStyle w:val="Hyperlink"/>
            <w:noProof/>
          </w:rPr>
          <w:t>Figure 1 - Methodology Sampling</w:t>
        </w:r>
        <w:r w:rsidR="001D60B3">
          <w:rPr>
            <w:noProof/>
            <w:webHidden/>
          </w:rPr>
          <w:tab/>
        </w:r>
        <w:r w:rsidR="001D60B3">
          <w:rPr>
            <w:noProof/>
            <w:webHidden/>
          </w:rPr>
          <w:fldChar w:fldCharType="begin"/>
        </w:r>
        <w:r w:rsidR="001D60B3">
          <w:rPr>
            <w:noProof/>
            <w:webHidden/>
          </w:rPr>
          <w:instrText xml:space="preserve"> PAGEREF _Toc219216528 \h </w:instrText>
        </w:r>
        <w:r w:rsidR="001D60B3">
          <w:rPr>
            <w:noProof/>
            <w:webHidden/>
          </w:rPr>
        </w:r>
        <w:r w:rsidR="001D60B3">
          <w:rPr>
            <w:noProof/>
            <w:webHidden/>
          </w:rPr>
          <w:fldChar w:fldCharType="separate"/>
        </w:r>
        <w:r w:rsidR="00E77AAF">
          <w:rPr>
            <w:noProof/>
            <w:webHidden/>
          </w:rPr>
          <w:t>45</w:t>
        </w:r>
        <w:r w:rsidR="001D60B3">
          <w:rPr>
            <w:noProof/>
            <w:webHidden/>
          </w:rPr>
          <w:fldChar w:fldCharType="end"/>
        </w:r>
      </w:hyperlink>
    </w:p>
    <w:p w14:paraId="1F854213" w14:textId="79ED8E41"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29" w:history="1">
        <w:r w:rsidRPr="00CE1A21">
          <w:rPr>
            <w:rStyle w:val="Hyperlink"/>
            <w:noProof/>
          </w:rPr>
          <w:t>Figure 2 - Participant Job Title &amp; Sector</w:t>
        </w:r>
        <w:r>
          <w:rPr>
            <w:noProof/>
            <w:webHidden/>
          </w:rPr>
          <w:tab/>
        </w:r>
        <w:r>
          <w:rPr>
            <w:noProof/>
            <w:webHidden/>
          </w:rPr>
          <w:fldChar w:fldCharType="begin"/>
        </w:r>
        <w:r>
          <w:rPr>
            <w:noProof/>
            <w:webHidden/>
          </w:rPr>
          <w:instrText xml:space="preserve"> PAGEREF _Toc219216529 \h </w:instrText>
        </w:r>
        <w:r>
          <w:rPr>
            <w:noProof/>
            <w:webHidden/>
          </w:rPr>
        </w:r>
        <w:r>
          <w:rPr>
            <w:noProof/>
            <w:webHidden/>
          </w:rPr>
          <w:fldChar w:fldCharType="separate"/>
        </w:r>
        <w:r w:rsidR="00E77AAF">
          <w:rPr>
            <w:noProof/>
            <w:webHidden/>
          </w:rPr>
          <w:t>46</w:t>
        </w:r>
        <w:r>
          <w:rPr>
            <w:noProof/>
            <w:webHidden/>
          </w:rPr>
          <w:fldChar w:fldCharType="end"/>
        </w:r>
      </w:hyperlink>
    </w:p>
    <w:p w14:paraId="5644A3D3" w14:textId="425071CA"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30" w:history="1">
        <w:r w:rsidRPr="00CE1A21">
          <w:rPr>
            <w:rStyle w:val="Hyperlink"/>
            <w:noProof/>
          </w:rPr>
          <w:t>Figure 3 - Participant Project Experience</w:t>
        </w:r>
        <w:r>
          <w:rPr>
            <w:noProof/>
            <w:webHidden/>
          </w:rPr>
          <w:tab/>
        </w:r>
        <w:r>
          <w:rPr>
            <w:noProof/>
            <w:webHidden/>
          </w:rPr>
          <w:fldChar w:fldCharType="begin"/>
        </w:r>
        <w:r>
          <w:rPr>
            <w:noProof/>
            <w:webHidden/>
          </w:rPr>
          <w:instrText xml:space="preserve"> PAGEREF _Toc219216530 \h </w:instrText>
        </w:r>
        <w:r>
          <w:rPr>
            <w:noProof/>
            <w:webHidden/>
          </w:rPr>
        </w:r>
        <w:r>
          <w:rPr>
            <w:noProof/>
            <w:webHidden/>
          </w:rPr>
          <w:fldChar w:fldCharType="separate"/>
        </w:r>
        <w:r w:rsidR="00E77AAF">
          <w:rPr>
            <w:noProof/>
            <w:webHidden/>
          </w:rPr>
          <w:t>47</w:t>
        </w:r>
        <w:r>
          <w:rPr>
            <w:noProof/>
            <w:webHidden/>
          </w:rPr>
          <w:fldChar w:fldCharType="end"/>
        </w:r>
      </w:hyperlink>
    </w:p>
    <w:p w14:paraId="224DB616" w14:textId="328A5A3F"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31" w:history="1">
        <w:r w:rsidRPr="00CE1A21">
          <w:rPr>
            <w:rStyle w:val="Hyperlink"/>
            <w:noProof/>
          </w:rPr>
          <w:t>Figure 4 - Participant Use of Risk Assessment Tools</w:t>
        </w:r>
        <w:r>
          <w:rPr>
            <w:noProof/>
            <w:webHidden/>
          </w:rPr>
          <w:tab/>
        </w:r>
        <w:r>
          <w:rPr>
            <w:noProof/>
            <w:webHidden/>
          </w:rPr>
          <w:fldChar w:fldCharType="begin"/>
        </w:r>
        <w:r>
          <w:rPr>
            <w:noProof/>
            <w:webHidden/>
          </w:rPr>
          <w:instrText xml:space="preserve"> PAGEREF _Toc219216531 \h </w:instrText>
        </w:r>
        <w:r>
          <w:rPr>
            <w:noProof/>
            <w:webHidden/>
          </w:rPr>
        </w:r>
        <w:r>
          <w:rPr>
            <w:noProof/>
            <w:webHidden/>
          </w:rPr>
          <w:fldChar w:fldCharType="separate"/>
        </w:r>
        <w:r w:rsidR="00E77AAF">
          <w:rPr>
            <w:noProof/>
            <w:webHidden/>
          </w:rPr>
          <w:t>48</w:t>
        </w:r>
        <w:r>
          <w:rPr>
            <w:noProof/>
            <w:webHidden/>
          </w:rPr>
          <w:fldChar w:fldCharType="end"/>
        </w:r>
      </w:hyperlink>
    </w:p>
    <w:p w14:paraId="1A4F3B11" w14:textId="48B88022"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32" w:history="1">
        <w:r w:rsidRPr="00CE1A21">
          <w:rPr>
            <w:rStyle w:val="Hyperlink"/>
            <w:noProof/>
          </w:rPr>
          <w:t>Figure 5 - Participant Use and Opinion of Risk Assessment Tools</w:t>
        </w:r>
        <w:r>
          <w:rPr>
            <w:noProof/>
            <w:webHidden/>
          </w:rPr>
          <w:tab/>
        </w:r>
        <w:r>
          <w:rPr>
            <w:noProof/>
            <w:webHidden/>
          </w:rPr>
          <w:fldChar w:fldCharType="begin"/>
        </w:r>
        <w:r>
          <w:rPr>
            <w:noProof/>
            <w:webHidden/>
          </w:rPr>
          <w:instrText xml:space="preserve"> PAGEREF _Toc219216532 \h </w:instrText>
        </w:r>
        <w:r>
          <w:rPr>
            <w:noProof/>
            <w:webHidden/>
          </w:rPr>
        </w:r>
        <w:r>
          <w:rPr>
            <w:noProof/>
            <w:webHidden/>
          </w:rPr>
          <w:fldChar w:fldCharType="separate"/>
        </w:r>
        <w:r w:rsidR="00E77AAF">
          <w:rPr>
            <w:noProof/>
            <w:webHidden/>
          </w:rPr>
          <w:t>49</w:t>
        </w:r>
        <w:r>
          <w:rPr>
            <w:noProof/>
            <w:webHidden/>
          </w:rPr>
          <w:fldChar w:fldCharType="end"/>
        </w:r>
      </w:hyperlink>
    </w:p>
    <w:p w14:paraId="6C99C32E" w14:textId="5697F507"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33" w:history="1">
        <w:r w:rsidRPr="00CE1A21">
          <w:rPr>
            <w:rStyle w:val="Hyperlink"/>
            <w:noProof/>
          </w:rPr>
          <w:t>Figure 6 - Participants Use and Opinion of Risk Assessment Tools</w:t>
        </w:r>
        <w:r>
          <w:rPr>
            <w:noProof/>
            <w:webHidden/>
          </w:rPr>
          <w:tab/>
        </w:r>
        <w:r>
          <w:rPr>
            <w:noProof/>
            <w:webHidden/>
          </w:rPr>
          <w:fldChar w:fldCharType="begin"/>
        </w:r>
        <w:r>
          <w:rPr>
            <w:noProof/>
            <w:webHidden/>
          </w:rPr>
          <w:instrText xml:space="preserve"> PAGEREF _Toc219216533 \h </w:instrText>
        </w:r>
        <w:r>
          <w:rPr>
            <w:noProof/>
            <w:webHidden/>
          </w:rPr>
        </w:r>
        <w:r>
          <w:rPr>
            <w:noProof/>
            <w:webHidden/>
          </w:rPr>
          <w:fldChar w:fldCharType="separate"/>
        </w:r>
        <w:r w:rsidR="00E77AAF">
          <w:rPr>
            <w:noProof/>
            <w:webHidden/>
          </w:rPr>
          <w:t>50</w:t>
        </w:r>
        <w:r>
          <w:rPr>
            <w:noProof/>
            <w:webHidden/>
          </w:rPr>
          <w:fldChar w:fldCharType="end"/>
        </w:r>
      </w:hyperlink>
    </w:p>
    <w:p w14:paraId="61E1AAE7" w14:textId="70CF53E8"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34" w:history="1">
        <w:r w:rsidRPr="00CE1A21">
          <w:rPr>
            <w:rStyle w:val="Hyperlink"/>
            <w:noProof/>
          </w:rPr>
          <w:t>Figure 7 - Participants Project Deviations</w:t>
        </w:r>
        <w:r>
          <w:rPr>
            <w:noProof/>
            <w:webHidden/>
          </w:rPr>
          <w:tab/>
        </w:r>
        <w:r>
          <w:rPr>
            <w:noProof/>
            <w:webHidden/>
          </w:rPr>
          <w:fldChar w:fldCharType="begin"/>
        </w:r>
        <w:r>
          <w:rPr>
            <w:noProof/>
            <w:webHidden/>
          </w:rPr>
          <w:instrText xml:space="preserve"> PAGEREF _Toc219216534 \h </w:instrText>
        </w:r>
        <w:r>
          <w:rPr>
            <w:noProof/>
            <w:webHidden/>
          </w:rPr>
        </w:r>
        <w:r>
          <w:rPr>
            <w:noProof/>
            <w:webHidden/>
          </w:rPr>
          <w:fldChar w:fldCharType="separate"/>
        </w:r>
        <w:r w:rsidR="00E77AAF">
          <w:rPr>
            <w:noProof/>
            <w:webHidden/>
          </w:rPr>
          <w:t>51</w:t>
        </w:r>
        <w:r>
          <w:rPr>
            <w:noProof/>
            <w:webHidden/>
          </w:rPr>
          <w:fldChar w:fldCharType="end"/>
        </w:r>
      </w:hyperlink>
    </w:p>
    <w:p w14:paraId="29664F0A" w14:textId="68FD3A60"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35" w:history="1">
        <w:r w:rsidRPr="00CE1A21">
          <w:rPr>
            <w:rStyle w:val="Hyperlink"/>
            <w:noProof/>
          </w:rPr>
          <w:t>Figure 9 - Participant Views on Need for Customisable Framework</w:t>
        </w:r>
        <w:r>
          <w:rPr>
            <w:noProof/>
            <w:webHidden/>
          </w:rPr>
          <w:tab/>
        </w:r>
        <w:r>
          <w:rPr>
            <w:noProof/>
            <w:webHidden/>
          </w:rPr>
          <w:fldChar w:fldCharType="begin"/>
        </w:r>
        <w:r>
          <w:rPr>
            <w:noProof/>
            <w:webHidden/>
          </w:rPr>
          <w:instrText xml:space="preserve"> PAGEREF _Toc219216535 \h </w:instrText>
        </w:r>
        <w:r>
          <w:rPr>
            <w:noProof/>
            <w:webHidden/>
          </w:rPr>
        </w:r>
        <w:r>
          <w:rPr>
            <w:noProof/>
            <w:webHidden/>
          </w:rPr>
          <w:fldChar w:fldCharType="separate"/>
        </w:r>
        <w:r w:rsidR="00E77AAF">
          <w:rPr>
            <w:noProof/>
            <w:webHidden/>
          </w:rPr>
          <w:t>53</w:t>
        </w:r>
        <w:r>
          <w:rPr>
            <w:noProof/>
            <w:webHidden/>
          </w:rPr>
          <w:fldChar w:fldCharType="end"/>
        </w:r>
      </w:hyperlink>
    </w:p>
    <w:p w14:paraId="54F2F46B" w14:textId="0B9782EE"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36" w:history="1">
        <w:r w:rsidRPr="00CE1A21">
          <w:rPr>
            <w:rStyle w:val="Hyperlink"/>
            <w:noProof/>
          </w:rPr>
          <w:t>Figure 10 - Participant Views on Customisable Framework Requirements</w:t>
        </w:r>
        <w:r>
          <w:rPr>
            <w:noProof/>
            <w:webHidden/>
          </w:rPr>
          <w:tab/>
        </w:r>
        <w:r>
          <w:rPr>
            <w:noProof/>
            <w:webHidden/>
          </w:rPr>
          <w:fldChar w:fldCharType="begin"/>
        </w:r>
        <w:r>
          <w:rPr>
            <w:noProof/>
            <w:webHidden/>
          </w:rPr>
          <w:instrText xml:space="preserve"> PAGEREF _Toc219216536 \h </w:instrText>
        </w:r>
        <w:r>
          <w:rPr>
            <w:noProof/>
            <w:webHidden/>
          </w:rPr>
        </w:r>
        <w:r>
          <w:rPr>
            <w:noProof/>
            <w:webHidden/>
          </w:rPr>
          <w:fldChar w:fldCharType="separate"/>
        </w:r>
        <w:r w:rsidR="00E77AAF">
          <w:rPr>
            <w:noProof/>
            <w:webHidden/>
          </w:rPr>
          <w:t>54</w:t>
        </w:r>
        <w:r>
          <w:rPr>
            <w:noProof/>
            <w:webHidden/>
          </w:rPr>
          <w:fldChar w:fldCharType="end"/>
        </w:r>
      </w:hyperlink>
    </w:p>
    <w:p w14:paraId="07979925" w14:textId="5CAA78F7"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37" w:history="1">
        <w:r w:rsidRPr="00CE1A21">
          <w:rPr>
            <w:rStyle w:val="Hyperlink"/>
            <w:noProof/>
          </w:rPr>
          <w:t>Figure 11 - Survey Questionnaire - Section 1</w:t>
        </w:r>
        <w:r>
          <w:rPr>
            <w:noProof/>
            <w:webHidden/>
          </w:rPr>
          <w:tab/>
        </w:r>
        <w:r>
          <w:rPr>
            <w:noProof/>
            <w:webHidden/>
          </w:rPr>
          <w:fldChar w:fldCharType="begin"/>
        </w:r>
        <w:r>
          <w:rPr>
            <w:noProof/>
            <w:webHidden/>
          </w:rPr>
          <w:instrText xml:space="preserve"> PAGEREF _Toc219216537 \h </w:instrText>
        </w:r>
        <w:r>
          <w:rPr>
            <w:noProof/>
            <w:webHidden/>
          </w:rPr>
        </w:r>
        <w:r>
          <w:rPr>
            <w:noProof/>
            <w:webHidden/>
          </w:rPr>
          <w:fldChar w:fldCharType="separate"/>
        </w:r>
        <w:r w:rsidR="00E77AAF">
          <w:rPr>
            <w:noProof/>
            <w:webHidden/>
          </w:rPr>
          <w:t>87</w:t>
        </w:r>
        <w:r>
          <w:rPr>
            <w:noProof/>
            <w:webHidden/>
          </w:rPr>
          <w:fldChar w:fldCharType="end"/>
        </w:r>
      </w:hyperlink>
    </w:p>
    <w:p w14:paraId="5DDAE5F9" w14:textId="71949DF0"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38" w:history="1">
        <w:r w:rsidRPr="00CE1A21">
          <w:rPr>
            <w:rStyle w:val="Hyperlink"/>
            <w:noProof/>
          </w:rPr>
          <w:t>Figure 12 - Survey Questionnaire - Section 2</w:t>
        </w:r>
        <w:r>
          <w:rPr>
            <w:noProof/>
            <w:webHidden/>
          </w:rPr>
          <w:tab/>
        </w:r>
        <w:r>
          <w:rPr>
            <w:noProof/>
            <w:webHidden/>
          </w:rPr>
          <w:fldChar w:fldCharType="begin"/>
        </w:r>
        <w:r>
          <w:rPr>
            <w:noProof/>
            <w:webHidden/>
          </w:rPr>
          <w:instrText xml:space="preserve"> PAGEREF _Toc219216538 \h </w:instrText>
        </w:r>
        <w:r>
          <w:rPr>
            <w:noProof/>
            <w:webHidden/>
          </w:rPr>
        </w:r>
        <w:r>
          <w:rPr>
            <w:noProof/>
            <w:webHidden/>
          </w:rPr>
          <w:fldChar w:fldCharType="separate"/>
        </w:r>
        <w:r w:rsidR="00E77AAF">
          <w:rPr>
            <w:noProof/>
            <w:webHidden/>
          </w:rPr>
          <w:t>87</w:t>
        </w:r>
        <w:r>
          <w:rPr>
            <w:noProof/>
            <w:webHidden/>
          </w:rPr>
          <w:fldChar w:fldCharType="end"/>
        </w:r>
      </w:hyperlink>
    </w:p>
    <w:p w14:paraId="31B570E0" w14:textId="481BC7AF"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39" w:history="1">
        <w:r w:rsidRPr="00CE1A21">
          <w:rPr>
            <w:rStyle w:val="Hyperlink"/>
            <w:noProof/>
          </w:rPr>
          <w:t>Figure 13 - Survey Questionnaire - Section 3</w:t>
        </w:r>
        <w:r>
          <w:rPr>
            <w:noProof/>
            <w:webHidden/>
          </w:rPr>
          <w:tab/>
        </w:r>
        <w:r>
          <w:rPr>
            <w:noProof/>
            <w:webHidden/>
          </w:rPr>
          <w:fldChar w:fldCharType="begin"/>
        </w:r>
        <w:r>
          <w:rPr>
            <w:noProof/>
            <w:webHidden/>
          </w:rPr>
          <w:instrText xml:space="preserve"> PAGEREF _Toc219216539 \h </w:instrText>
        </w:r>
        <w:r>
          <w:rPr>
            <w:noProof/>
            <w:webHidden/>
          </w:rPr>
        </w:r>
        <w:r>
          <w:rPr>
            <w:noProof/>
            <w:webHidden/>
          </w:rPr>
          <w:fldChar w:fldCharType="separate"/>
        </w:r>
        <w:r w:rsidR="00E77AAF">
          <w:rPr>
            <w:noProof/>
            <w:webHidden/>
          </w:rPr>
          <w:t>88</w:t>
        </w:r>
        <w:r>
          <w:rPr>
            <w:noProof/>
            <w:webHidden/>
          </w:rPr>
          <w:fldChar w:fldCharType="end"/>
        </w:r>
      </w:hyperlink>
    </w:p>
    <w:p w14:paraId="18B81F0A" w14:textId="5528B4AA"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40" w:history="1">
        <w:r w:rsidRPr="00CE1A21">
          <w:rPr>
            <w:rStyle w:val="Hyperlink"/>
            <w:noProof/>
          </w:rPr>
          <w:t>Figure 14 - Survey Questionnaire - Section 4</w:t>
        </w:r>
        <w:r>
          <w:rPr>
            <w:noProof/>
            <w:webHidden/>
          </w:rPr>
          <w:tab/>
        </w:r>
        <w:r>
          <w:rPr>
            <w:noProof/>
            <w:webHidden/>
          </w:rPr>
          <w:fldChar w:fldCharType="begin"/>
        </w:r>
        <w:r>
          <w:rPr>
            <w:noProof/>
            <w:webHidden/>
          </w:rPr>
          <w:instrText xml:space="preserve"> PAGEREF _Toc219216540 \h </w:instrText>
        </w:r>
        <w:r>
          <w:rPr>
            <w:noProof/>
            <w:webHidden/>
          </w:rPr>
        </w:r>
        <w:r>
          <w:rPr>
            <w:noProof/>
            <w:webHidden/>
          </w:rPr>
          <w:fldChar w:fldCharType="separate"/>
        </w:r>
        <w:r w:rsidR="00E77AAF">
          <w:rPr>
            <w:noProof/>
            <w:webHidden/>
          </w:rPr>
          <w:t>89</w:t>
        </w:r>
        <w:r>
          <w:rPr>
            <w:noProof/>
            <w:webHidden/>
          </w:rPr>
          <w:fldChar w:fldCharType="end"/>
        </w:r>
      </w:hyperlink>
    </w:p>
    <w:p w14:paraId="6A8B780E" w14:textId="17FAA5CB"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41" w:history="1">
        <w:r w:rsidRPr="00CE1A21">
          <w:rPr>
            <w:rStyle w:val="Hyperlink"/>
            <w:noProof/>
          </w:rPr>
          <w:t>Figure 15 - Survey Questionnaire - Section 5</w:t>
        </w:r>
        <w:r>
          <w:rPr>
            <w:noProof/>
            <w:webHidden/>
          </w:rPr>
          <w:tab/>
        </w:r>
        <w:r>
          <w:rPr>
            <w:noProof/>
            <w:webHidden/>
          </w:rPr>
          <w:fldChar w:fldCharType="begin"/>
        </w:r>
        <w:r>
          <w:rPr>
            <w:noProof/>
            <w:webHidden/>
          </w:rPr>
          <w:instrText xml:space="preserve"> PAGEREF _Toc219216541 \h </w:instrText>
        </w:r>
        <w:r>
          <w:rPr>
            <w:noProof/>
            <w:webHidden/>
          </w:rPr>
        </w:r>
        <w:r>
          <w:rPr>
            <w:noProof/>
            <w:webHidden/>
          </w:rPr>
          <w:fldChar w:fldCharType="separate"/>
        </w:r>
        <w:r w:rsidR="00E77AAF">
          <w:rPr>
            <w:noProof/>
            <w:webHidden/>
          </w:rPr>
          <w:t>90</w:t>
        </w:r>
        <w:r>
          <w:rPr>
            <w:noProof/>
            <w:webHidden/>
          </w:rPr>
          <w:fldChar w:fldCharType="end"/>
        </w:r>
      </w:hyperlink>
    </w:p>
    <w:p w14:paraId="03899E7C" w14:textId="1B33B532"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42" w:history="1">
        <w:r w:rsidRPr="00CE1A21">
          <w:rPr>
            <w:rStyle w:val="Hyperlink"/>
            <w:noProof/>
          </w:rPr>
          <w:t>Figure 16 - Survey Questionnaire - Section 6</w:t>
        </w:r>
        <w:r>
          <w:rPr>
            <w:noProof/>
            <w:webHidden/>
          </w:rPr>
          <w:tab/>
        </w:r>
        <w:r>
          <w:rPr>
            <w:noProof/>
            <w:webHidden/>
          </w:rPr>
          <w:fldChar w:fldCharType="begin"/>
        </w:r>
        <w:r>
          <w:rPr>
            <w:noProof/>
            <w:webHidden/>
          </w:rPr>
          <w:instrText xml:space="preserve"> PAGEREF _Toc219216542 \h </w:instrText>
        </w:r>
        <w:r>
          <w:rPr>
            <w:noProof/>
            <w:webHidden/>
          </w:rPr>
        </w:r>
        <w:r>
          <w:rPr>
            <w:noProof/>
            <w:webHidden/>
          </w:rPr>
          <w:fldChar w:fldCharType="separate"/>
        </w:r>
        <w:r w:rsidR="00E77AAF">
          <w:rPr>
            <w:noProof/>
            <w:webHidden/>
          </w:rPr>
          <w:t>90</w:t>
        </w:r>
        <w:r>
          <w:rPr>
            <w:noProof/>
            <w:webHidden/>
          </w:rPr>
          <w:fldChar w:fldCharType="end"/>
        </w:r>
      </w:hyperlink>
    </w:p>
    <w:p w14:paraId="5191B604" w14:textId="4AEEE6A1"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43" w:history="1">
        <w:r w:rsidRPr="00CE1A21">
          <w:rPr>
            <w:rStyle w:val="Hyperlink"/>
            <w:noProof/>
          </w:rPr>
          <w:t>Figure 17 - Link to Forms Survey</w:t>
        </w:r>
        <w:r>
          <w:rPr>
            <w:noProof/>
            <w:webHidden/>
          </w:rPr>
          <w:tab/>
        </w:r>
        <w:r>
          <w:rPr>
            <w:noProof/>
            <w:webHidden/>
          </w:rPr>
          <w:fldChar w:fldCharType="begin"/>
        </w:r>
        <w:r>
          <w:rPr>
            <w:noProof/>
            <w:webHidden/>
          </w:rPr>
          <w:instrText xml:space="preserve"> PAGEREF _Toc219216543 \h </w:instrText>
        </w:r>
        <w:r>
          <w:rPr>
            <w:noProof/>
            <w:webHidden/>
          </w:rPr>
        </w:r>
        <w:r>
          <w:rPr>
            <w:noProof/>
            <w:webHidden/>
          </w:rPr>
          <w:fldChar w:fldCharType="separate"/>
        </w:r>
        <w:r w:rsidR="00E77AAF">
          <w:rPr>
            <w:noProof/>
            <w:webHidden/>
          </w:rPr>
          <w:t>90</w:t>
        </w:r>
        <w:r>
          <w:rPr>
            <w:noProof/>
            <w:webHidden/>
          </w:rPr>
          <w:fldChar w:fldCharType="end"/>
        </w:r>
      </w:hyperlink>
    </w:p>
    <w:p w14:paraId="5E008F6B" w14:textId="50FD597B"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544" w:history="1">
        <w:r w:rsidRPr="00CE1A21">
          <w:rPr>
            <w:rStyle w:val="Hyperlink"/>
            <w:noProof/>
          </w:rPr>
          <w:t>Figure 18 - Proposed Project Timeline</w:t>
        </w:r>
        <w:r>
          <w:rPr>
            <w:noProof/>
            <w:webHidden/>
          </w:rPr>
          <w:tab/>
        </w:r>
        <w:r>
          <w:rPr>
            <w:noProof/>
            <w:webHidden/>
          </w:rPr>
          <w:fldChar w:fldCharType="begin"/>
        </w:r>
        <w:r>
          <w:rPr>
            <w:noProof/>
            <w:webHidden/>
          </w:rPr>
          <w:instrText xml:space="preserve"> PAGEREF _Toc219216544 \h </w:instrText>
        </w:r>
        <w:r>
          <w:rPr>
            <w:noProof/>
            <w:webHidden/>
          </w:rPr>
        </w:r>
        <w:r>
          <w:rPr>
            <w:noProof/>
            <w:webHidden/>
          </w:rPr>
          <w:fldChar w:fldCharType="separate"/>
        </w:r>
        <w:r w:rsidR="00E77AAF">
          <w:rPr>
            <w:noProof/>
            <w:webHidden/>
          </w:rPr>
          <w:t>91</w:t>
        </w:r>
        <w:r>
          <w:rPr>
            <w:noProof/>
            <w:webHidden/>
          </w:rPr>
          <w:fldChar w:fldCharType="end"/>
        </w:r>
      </w:hyperlink>
    </w:p>
    <w:p w14:paraId="7C7E02C5" w14:textId="568ADF26" w:rsidR="005536D9" w:rsidRPr="003E6051" w:rsidRDefault="00E11E47" w:rsidP="00A20578">
      <w:pPr>
        <w:spacing w:after="0" w:line="360" w:lineRule="auto"/>
        <w:ind w:left="-576" w:right="-576"/>
        <w:jc w:val="both"/>
      </w:pPr>
      <w:r>
        <w:rPr>
          <w:b/>
          <w:bCs/>
          <w:noProof/>
          <w:lang w:val="en-US"/>
        </w:rPr>
        <w:fldChar w:fldCharType="end"/>
      </w:r>
      <w:r w:rsidR="005536D9" w:rsidRPr="003E6051">
        <w:br w:type="page"/>
      </w:r>
    </w:p>
    <w:p w14:paraId="555267C0" w14:textId="42D2F830" w:rsidR="003E37A2" w:rsidRPr="003E6051" w:rsidRDefault="003E37A2" w:rsidP="00A20578">
      <w:pPr>
        <w:spacing w:after="0" w:line="360" w:lineRule="auto"/>
        <w:ind w:left="-576" w:right="-576"/>
        <w:jc w:val="center"/>
        <w:rPr>
          <w:sz w:val="28"/>
          <w:szCs w:val="28"/>
          <w:u w:val="single"/>
        </w:rPr>
      </w:pPr>
      <w:r w:rsidRPr="003E6051">
        <w:rPr>
          <w:sz w:val="28"/>
          <w:szCs w:val="28"/>
          <w:u w:val="single"/>
        </w:rPr>
        <w:lastRenderedPageBreak/>
        <w:t>Table of Tables</w:t>
      </w:r>
    </w:p>
    <w:p w14:paraId="328832B7" w14:textId="77777777" w:rsidR="009535E5" w:rsidRPr="003E6051" w:rsidRDefault="009535E5" w:rsidP="00A20578">
      <w:pPr>
        <w:spacing w:after="0" w:line="360" w:lineRule="auto"/>
        <w:ind w:left="-576" w:right="-576"/>
        <w:jc w:val="both"/>
        <w:rPr>
          <w:u w:val="single"/>
        </w:rPr>
      </w:pPr>
    </w:p>
    <w:p w14:paraId="1DCA7021" w14:textId="41FA1AC2" w:rsidR="001D60B3" w:rsidRDefault="0075006E"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r w:rsidRPr="003E6051">
        <w:fldChar w:fldCharType="begin"/>
      </w:r>
      <w:r w:rsidRPr="003E6051">
        <w:instrText xml:space="preserve"> TOC \h \z \c "Table" </w:instrText>
      </w:r>
      <w:r w:rsidRPr="003E6051">
        <w:fldChar w:fldCharType="separate"/>
      </w:r>
      <w:hyperlink w:anchor="_Toc219216414" w:history="1">
        <w:r w:rsidR="001D60B3" w:rsidRPr="00C84DDF">
          <w:rPr>
            <w:rStyle w:val="Hyperlink"/>
            <w:noProof/>
          </w:rPr>
          <w:t>Table 1 - Various Critical Risks in Industrial Projects</w:t>
        </w:r>
        <w:r w:rsidR="001D60B3">
          <w:rPr>
            <w:noProof/>
            <w:webHidden/>
          </w:rPr>
          <w:tab/>
        </w:r>
        <w:r w:rsidR="001D60B3">
          <w:rPr>
            <w:noProof/>
            <w:webHidden/>
          </w:rPr>
          <w:fldChar w:fldCharType="begin"/>
        </w:r>
        <w:r w:rsidR="001D60B3">
          <w:rPr>
            <w:noProof/>
            <w:webHidden/>
          </w:rPr>
          <w:instrText xml:space="preserve"> PAGEREF _Toc219216414 \h </w:instrText>
        </w:r>
        <w:r w:rsidR="001D60B3">
          <w:rPr>
            <w:noProof/>
            <w:webHidden/>
          </w:rPr>
        </w:r>
        <w:r w:rsidR="001D60B3">
          <w:rPr>
            <w:noProof/>
            <w:webHidden/>
          </w:rPr>
          <w:fldChar w:fldCharType="separate"/>
        </w:r>
        <w:r w:rsidR="00E77AAF">
          <w:rPr>
            <w:noProof/>
            <w:webHidden/>
          </w:rPr>
          <w:t>19</w:t>
        </w:r>
        <w:r w:rsidR="001D60B3">
          <w:rPr>
            <w:noProof/>
            <w:webHidden/>
          </w:rPr>
          <w:fldChar w:fldCharType="end"/>
        </w:r>
      </w:hyperlink>
    </w:p>
    <w:p w14:paraId="7A3C7528" w14:textId="23F69718"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15" w:history="1">
        <w:r w:rsidRPr="00C84DDF">
          <w:rPr>
            <w:rStyle w:val="Hyperlink"/>
            <w:noProof/>
          </w:rPr>
          <w:t>Table 2 - Comparison of Project Management Risk Analysis Tools</w:t>
        </w:r>
        <w:r>
          <w:rPr>
            <w:noProof/>
            <w:webHidden/>
          </w:rPr>
          <w:tab/>
        </w:r>
        <w:r>
          <w:rPr>
            <w:noProof/>
            <w:webHidden/>
          </w:rPr>
          <w:fldChar w:fldCharType="begin"/>
        </w:r>
        <w:r>
          <w:rPr>
            <w:noProof/>
            <w:webHidden/>
          </w:rPr>
          <w:instrText xml:space="preserve"> PAGEREF _Toc219216415 \h </w:instrText>
        </w:r>
        <w:r>
          <w:rPr>
            <w:noProof/>
            <w:webHidden/>
          </w:rPr>
        </w:r>
        <w:r>
          <w:rPr>
            <w:noProof/>
            <w:webHidden/>
          </w:rPr>
          <w:fldChar w:fldCharType="separate"/>
        </w:r>
        <w:r w:rsidR="00E77AAF">
          <w:rPr>
            <w:noProof/>
            <w:webHidden/>
          </w:rPr>
          <w:t>23</w:t>
        </w:r>
        <w:r>
          <w:rPr>
            <w:noProof/>
            <w:webHidden/>
          </w:rPr>
          <w:fldChar w:fldCharType="end"/>
        </w:r>
      </w:hyperlink>
    </w:p>
    <w:p w14:paraId="7C677132" w14:textId="09BA4D26"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16" w:history="1">
        <w:r w:rsidRPr="00C84DDF">
          <w:rPr>
            <w:rStyle w:val="Hyperlink"/>
            <w:noProof/>
          </w:rPr>
          <w:t>Table 3 - Risk Management Tool Application</w:t>
        </w:r>
        <w:r>
          <w:rPr>
            <w:noProof/>
            <w:webHidden/>
          </w:rPr>
          <w:tab/>
        </w:r>
        <w:r>
          <w:rPr>
            <w:noProof/>
            <w:webHidden/>
          </w:rPr>
          <w:fldChar w:fldCharType="begin"/>
        </w:r>
        <w:r>
          <w:rPr>
            <w:noProof/>
            <w:webHidden/>
          </w:rPr>
          <w:instrText xml:space="preserve"> PAGEREF _Toc219216416 \h </w:instrText>
        </w:r>
        <w:r>
          <w:rPr>
            <w:noProof/>
            <w:webHidden/>
          </w:rPr>
        </w:r>
        <w:r>
          <w:rPr>
            <w:noProof/>
            <w:webHidden/>
          </w:rPr>
          <w:fldChar w:fldCharType="separate"/>
        </w:r>
        <w:r w:rsidR="00E77AAF">
          <w:rPr>
            <w:noProof/>
            <w:webHidden/>
          </w:rPr>
          <w:t>26</w:t>
        </w:r>
        <w:r>
          <w:rPr>
            <w:noProof/>
            <w:webHidden/>
          </w:rPr>
          <w:fldChar w:fldCharType="end"/>
        </w:r>
      </w:hyperlink>
    </w:p>
    <w:p w14:paraId="276E7A22" w14:textId="5C8AB76E"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17" w:history="1">
        <w:r w:rsidRPr="00C84DDF">
          <w:rPr>
            <w:rStyle w:val="Hyperlink"/>
            <w:noProof/>
          </w:rPr>
          <w:t>Table 4 - Survey Methodology Analysis</w:t>
        </w:r>
        <w:r>
          <w:rPr>
            <w:noProof/>
            <w:webHidden/>
          </w:rPr>
          <w:tab/>
        </w:r>
        <w:r>
          <w:rPr>
            <w:noProof/>
            <w:webHidden/>
          </w:rPr>
          <w:fldChar w:fldCharType="begin"/>
        </w:r>
        <w:r>
          <w:rPr>
            <w:noProof/>
            <w:webHidden/>
          </w:rPr>
          <w:instrText xml:space="preserve"> PAGEREF _Toc219216417 \h </w:instrText>
        </w:r>
        <w:r>
          <w:rPr>
            <w:noProof/>
            <w:webHidden/>
          </w:rPr>
        </w:r>
        <w:r>
          <w:rPr>
            <w:noProof/>
            <w:webHidden/>
          </w:rPr>
          <w:fldChar w:fldCharType="separate"/>
        </w:r>
        <w:r w:rsidR="00E77AAF">
          <w:rPr>
            <w:noProof/>
            <w:webHidden/>
          </w:rPr>
          <w:t>40</w:t>
        </w:r>
        <w:r>
          <w:rPr>
            <w:noProof/>
            <w:webHidden/>
          </w:rPr>
          <w:fldChar w:fldCharType="end"/>
        </w:r>
      </w:hyperlink>
    </w:p>
    <w:p w14:paraId="545044A4" w14:textId="1F8243D9"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18" w:history="1">
        <w:r w:rsidRPr="00C84DDF">
          <w:rPr>
            <w:rStyle w:val="Hyperlink"/>
            <w:noProof/>
          </w:rPr>
          <w:t>Table 5 - Sample Question Design Survey</w:t>
        </w:r>
        <w:r>
          <w:rPr>
            <w:noProof/>
            <w:webHidden/>
          </w:rPr>
          <w:tab/>
        </w:r>
        <w:r>
          <w:rPr>
            <w:noProof/>
            <w:webHidden/>
          </w:rPr>
          <w:fldChar w:fldCharType="begin"/>
        </w:r>
        <w:r>
          <w:rPr>
            <w:noProof/>
            <w:webHidden/>
          </w:rPr>
          <w:instrText xml:space="preserve"> PAGEREF _Toc219216418 \h </w:instrText>
        </w:r>
        <w:r>
          <w:rPr>
            <w:noProof/>
            <w:webHidden/>
          </w:rPr>
        </w:r>
        <w:r>
          <w:rPr>
            <w:noProof/>
            <w:webHidden/>
          </w:rPr>
          <w:fldChar w:fldCharType="separate"/>
        </w:r>
        <w:r w:rsidR="00E77AAF">
          <w:rPr>
            <w:noProof/>
            <w:webHidden/>
          </w:rPr>
          <w:t>44</w:t>
        </w:r>
        <w:r>
          <w:rPr>
            <w:noProof/>
            <w:webHidden/>
          </w:rPr>
          <w:fldChar w:fldCharType="end"/>
        </w:r>
      </w:hyperlink>
    </w:p>
    <w:p w14:paraId="26661CB3" w14:textId="5744EFFA"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19" w:history="1">
        <w:r w:rsidRPr="00C84DDF">
          <w:rPr>
            <w:rStyle w:val="Hyperlink"/>
            <w:noProof/>
          </w:rPr>
          <w:t>Table 6 - Participant Understanding of Risk and Appropriate Risk Tool</w:t>
        </w:r>
        <w:r>
          <w:rPr>
            <w:noProof/>
            <w:webHidden/>
          </w:rPr>
          <w:tab/>
        </w:r>
        <w:r>
          <w:rPr>
            <w:noProof/>
            <w:webHidden/>
          </w:rPr>
          <w:fldChar w:fldCharType="begin"/>
        </w:r>
        <w:r>
          <w:rPr>
            <w:noProof/>
            <w:webHidden/>
          </w:rPr>
          <w:instrText xml:space="preserve"> PAGEREF _Toc219216419 \h </w:instrText>
        </w:r>
        <w:r>
          <w:rPr>
            <w:noProof/>
            <w:webHidden/>
          </w:rPr>
        </w:r>
        <w:r>
          <w:rPr>
            <w:noProof/>
            <w:webHidden/>
          </w:rPr>
          <w:fldChar w:fldCharType="separate"/>
        </w:r>
        <w:r w:rsidR="00E77AAF">
          <w:rPr>
            <w:noProof/>
            <w:webHidden/>
          </w:rPr>
          <w:t>52</w:t>
        </w:r>
        <w:r>
          <w:rPr>
            <w:noProof/>
            <w:webHidden/>
          </w:rPr>
          <w:fldChar w:fldCharType="end"/>
        </w:r>
      </w:hyperlink>
    </w:p>
    <w:p w14:paraId="3667BFB1" w14:textId="64975CD0"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20" w:history="1">
        <w:r w:rsidRPr="00C84DDF">
          <w:rPr>
            <w:rStyle w:val="Hyperlink"/>
            <w:noProof/>
          </w:rPr>
          <w:t>Table 7 - Questionnaire Q1 Data Set</w:t>
        </w:r>
        <w:r>
          <w:rPr>
            <w:noProof/>
            <w:webHidden/>
          </w:rPr>
          <w:tab/>
        </w:r>
        <w:r>
          <w:rPr>
            <w:noProof/>
            <w:webHidden/>
          </w:rPr>
          <w:fldChar w:fldCharType="begin"/>
        </w:r>
        <w:r>
          <w:rPr>
            <w:noProof/>
            <w:webHidden/>
          </w:rPr>
          <w:instrText xml:space="preserve"> PAGEREF _Toc219216420 \h </w:instrText>
        </w:r>
        <w:r>
          <w:rPr>
            <w:noProof/>
            <w:webHidden/>
          </w:rPr>
        </w:r>
        <w:r>
          <w:rPr>
            <w:noProof/>
            <w:webHidden/>
          </w:rPr>
          <w:fldChar w:fldCharType="separate"/>
        </w:r>
        <w:r w:rsidR="00E77AAF">
          <w:rPr>
            <w:noProof/>
            <w:webHidden/>
          </w:rPr>
          <w:t>92</w:t>
        </w:r>
        <w:r>
          <w:rPr>
            <w:noProof/>
            <w:webHidden/>
          </w:rPr>
          <w:fldChar w:fldCharType="end"/>
        </w:r>
      </w:hyperlink>
    </w:p>
    <w:p w14:paraId="4531B9C6" w14:textId="46629594"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21" w:history="1">
        <w:r w:rsidRPr="00C84DDF">
          <w:rPr>
            <w:rStyle w:val="Hyperlink"/>
            <w:noProof/>
          </w:rPr>
          <w:t>Table 8 - Questionnaire Q2 Data Set</w:t>
        </w:r>
        <w:r>
          <w:rPr>
            <w:noProof/>
            <w:webHidden/>
          </w:rPr>
          <w:tab/>
        </w:r>
        <w:r>
          <w:rPr>
            <w:noProof/>
            <w:webHidden/>
          </w:rPr>
          <w:fldChar w:fldCharType="begin"/>
        </w:r>
        <w:r>
          <w:rPr>
            <w:noProof/>
            <w:webHidden/>
          </w:rPr>
          <w:instrText xml:space="preserve"> PAGEREF _Toc219216421 \h </w:instrText>
        </w:r>
        <w:r>
          <w:rPr>
            <w:noProof/>
            <w:webHidden/>
          </w:rPr>
        </w:r>
        <w:r>
          <w:rPr>
            <w:noProof/>
            <w:webHidden/>
          </w:rPr>
          <w:fldChar w:fldCharType="separate"/>
        </w:r>
        <w:r w:rsidR="00E77AAF">
          <w:rPr>
            <w:noProof/>
            <w:webHidden/>
          </w:rPr>
          <w:t>92</w:t>
        </w:r>
        <w:r>
          <w:rPr>
            <w:noProof/>
            <w:webHidden/>
          </w:rPr>
          <w:fldChar w:fldCharType="end"/>
        </w:r>
      </w:hyperlink>
    </w:p>
    <w:p w14:paraId="1FB0BDEB" w14:textId="50AD1AA1"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22" w:history="1">
        <w:r w:rsidRPr="00C84DDF">
          <w:rPr>
            <w:rStyle w:val="Hyperlink"/>
            <w:noProof/>
          </w:rPr>
          <w:t>Table 9 - Questionnaire Q3 Data Set</w:t>
        </w:r>
        <w:r>
          <w:rPr>
            <w:noProof/>
            <w:webHidden/>
          </w:rPr>
          <w:tab/>
        </w:r>
        <w:r>
          <w:rPr>
            <w:noProof/>
            <w:webHidden/>
          </w:rPr>
          <w:fldChar w:fldCharType="begin"/>
        </w:r>
        <w:r>
          <w:rPr>
            <w:noProof/>
            <w:webHidden/>
          </w:rPr>
          <w:instrText xml:space="preserve"> PAGEREF _Toc219216422 \h </w:instrText>
        </w:r>
        <w:r>
          <w:rPr>
            <w:noProof/>
            <w:webHidden/>
          </w:rPr>
        </w:r>
        <w:r>
          <w:rPr>
            <w:noProof/>
            <w:webHidden/>
          </w:rPr>
          <w:fldChar w:fldCharType="separate"/>
        </w:r>
        <w:r w:rsidR="00E77AAF">
          <w:rPr>
            <w:noProof/>
            <w:webHidden/>
          </w:rPr>
          <w:t>92</w:t>
        </w:r>
        <w:r>
          <w:rPr>
            <w:noProof/>
            <w:webHidden/>
          </w:rPr>
          <w:fldChar w:fldCharType="end"/>
        </w:r>
      </w:hyperlink>
    </w:p>
    <w:p w14:paraId="5A72A3CE" w14:textId="62A9EB95"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23" w:history="1">
        <w:r w:rsidRPr="00C84DDF">
          <w:rPr>
            <w:rStyle w:val="Hyperlink"/>
            <w:noProof/>
          </w:rPr>
          <w:t>Table 10 - Questionnaire Q4 Data Set</w:t>
        </w:r>
        <w:r>
          <w:rPr>
            <w:noProof/>
            <w:webHidden/>
          </w:rPr>
          <w:tab/>
        </w:r>
        <w:r>
          <w:rPr>
            <w:noProof/>
            <w:webHidden/>
          </w:rPr>
          <w:fldChar w:fldCharType="begin"/>
        </w:r>
        <w:r>
          <w:rPr>
            <w:noProof/>
            <w:webHidden/>
          </w:rPr>
          <w:instrText xml:space="preserve"> PAGEREF _Toc219216423 \h </w:instrText>
        </w:r>
        <w:r>
          <w:rPr>
            <w:noProof/>
            <w:webHidden/>
          </w:rPr>
        </w:r>
        <w:r>
          <w:rPr>
            <w:noProof/>
            <w:webHidden/>
          </w:rPr>
          <w:fldChar w:fldCharType="separate"/>
        </w:r>
        <w:r w:rsidR="00E77AAF">
          <w:rPr>
            <w:noProof/>
            <w:webHidden/>
          </w:rPr>
          <w:t>93</w:t>
        </w:r>
        <w:r>
          <w:rPr>
            <w:noProof/>
            <w:webHidden/>
          </w:rPr>
          <w:fldChar w:fldCharType="end"/>
        </w:r>
      </w:hyperlink>
    </w:p>
    <w:p w14:paraId="7B0301F4" w14:textId="63475F56"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24" w:history="1">
        <w:r w:rsidRPr="00C84DDF">
          <w:rPr>
            <w:rStyle w:val="Hyperlink"/>
            <w:noProof/>
          </w:rPr>
          <w:t>Table 11 - Questionnaire Q5 Data Set</w:t>
        </w:r>
        <w:r>
          <w:rPr>
            <w:noProof/>
            <w:webHidden/>
          </w:rPr>
          <w:tab/>
        </w:r>
        <w:r>
          <w:rPr>
            <w:noProof/>
            <w:webHidden/>
          </w:rPr>
          <w:fldChar w:fldCharType="begin"/>
        </w:r>
        <w:r>
          <w:rPr>
            <w:noProof/>
            <w:webHidden/>
          </w:rPr>
          <w:instrText xml:space="preserve"> PAGEREF _Toc219216424 \h </w:instrText>
        </w:r>
        <w:r>
          <w:rPr>
            <w:noProof/>
            <w:webHidden/>
          </w:rPr>
        </w:r>
        <w:r>
          <w:rPr>
            <w:noProof/>
            <w:webHidden/>
          </w:rPr>
          <w:fldChar w:fldCharType="separate"/>
        </w:r>
        <w:r w:rsidR="00E77AAF">
          <w:rPr>
            <w:noProof/>
            <w:webHidden/>
          </w:rPr>
          <w:t>94</w:t>
        </w:r>
        <w:r>
          <w:rPr>
            <w:noProof/>
            <w:webHidden/>
          </w:rPr>
          <w:fldChar w:fldCharType="end"/>
        </w:r>
      </w:hyperlink>
    </w:p>
    <w:p w14:paraId="3D6EF1F7" w14:textId="5985D173"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25" w:history="1">
        <w:r w:rsidRPr="00C84DDF">
          <w:rPr>
            <w:rStyle w:val="Hyperlink"/>
            <w:noProof/>
          </w:rPr>
          <w:t>Table 12 - Questionnaire Q6 Data Set</w:t>
        </w:r>
        <w:r>
          <w:rPr>
            <w:noProof/>
            <w:webHidden/>
          </w:rPr>
          <w:tab/>
        </w:r>
        <w:r>
          <w:rPr>
            <w:noProof/>
            <w:webHidden/>
          </w:rPr>
          <w:fldChar w:fldCharType="begin"/>
        </w:r>
        <w:r>
          <w:rPr>
            <w:noProof/>
            <w:webHidden/>
          </w:rPr>
          <w:instrText xml:space="preserve"> PAGEREF _Toc219216425 \h </w:instrText>
        </w:r>
        <w:r>
          <w:rPr>
            <w:noProof/>
            <w:webHidden/>
          </w:rPr>
        </w:r>
        <w:r>
          <w:rPr>
            <w:noProof/>
            <w:webHidden/>
          </w:rPr>
          <w:fldChar w:fldCharType="separate"/>
        </w:r>
        <w:r w:rsidR="00E77AAF">
          <w:rPr>
            <w:noProof/>
            <w:webHidden/>
          </w:rPr>
          <w:t>94</w:t>
        </w:r>
        <w:r>
          <w:rPr>
            <w:noProof/>
            <w:webHidden/>
          </w:rPr>
          <w:fldChar w:fldCharType="end"/>
        </w:r>
      </w:hyperlink>
    </w:p>
    <w:p w14:paraId="6445622D" w14:textId="728175C6"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26" w:history="1">
        <w:r w:rsidRPr="00C84DDF">
          <w:rPr>
            <w:rStyle w:val="Hyperlink"/>
            <w:noProof/>
          </w:rPr>
          <w:t>Table 13 - Questionnaire Q7 Data Set</w:t>
        </w:r>
        <w:r>
          <w:rPr>
            <w:noProof/>
            <w:webHidden/>
          </w:rPr>
          <w:tab/>
        </w:r>
        <w:r>
          <w:rPr>
            <w:noProof/>
            <w:webHidden/>
          </w:rPr>
          <w:fldChar w:fldCharType="begin"/>
        </w:r>
        <w:r>
          <w:rPr>
            <w:noProof/>
            <w:webHidden/>
          </w:rPr>
          <w:instrText xml:space="preserve"> PAGEREF _Toc219216426 \h </w:instrText>
        </w:r>
        <w:r>
          <w:rPr>
            <w:noProof/>
            <w:webHidden/>
          </w:rPr>
        </w:r>
        <w:r>
          <w:rPr>
            <w:noProof/>
            <w:webHidden/>
          </w:rPr>
          <w:fldChar w:fldCharType="separate"/>
        </w:r>
        <w:r w:rsidR="00E77AAF">
          <w:rPr>
            <w:noProof/>
            <w:webHidden/>
          </w:rPr>
          <w:t>94</w:t>
        </w:r>
        <w:r>
          <w:rPr>
            <w:noProof/>
            <w:webHidden/>
          </w:rPr>
          <w:fldChar w:fldCharType="end"/>
        </w:r>
      </w:hyperlink>
    </w:p>
    <w:p w14:paraId="54D44332" w14:textId="61EC4EAA"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27" w:history="1">
        <w:r w:rsidRPr="00C84DDF">
          <w:rPr>
            <w:rStyle w:val="Hyperlink"/>
            <w:noProof/>
          </w:rPr>
          <w:t>Table 14 - Questionnaire Q8 Data Set</w:t>
        </w:r>
        <w:r>
          <w:rPr>
            <w:noProof/>
            <w:webHidden/>
          </w:rPr>
          <w:tab/>
        </w:r>
        <w:r>
          <w:rPr>
            <w:noProof/>
            <w:webHidden/>
          </w:rPr>
          <w:fldChar w:fldCharType="begin"/>
        </w:r>
        <w:r>
          <w:rPr>
            <w:noProof/>
            <w:webHidden/>
          </w:rPr>
          <w:instrText xml:space="preserve"> PAGEREF _Toc219216427 \h </w:instrText>
        </w:r>
        <w:r>
          <w:rPr>
            <w:noProof/>
            <w:webHidden/>
          </w:rPr>
        </w:r>
        <w:r>
          <w:rPr>
            <w:noProof/>
            <w:webHidden/>
          </w:rPr>
          <w:fldChar w:fldCharType="separate"/>
        </w:r>
        <w:r w:rsidR="00E77AAF">
          <w:rPr>
            <w:noProof/>
            <w:webHidden/>
          </w:rPr>
          <w:t>95</w:t>
        </w:r>
        <w:r>
          <w:rPr>
            <w:noProof/>
            <w:webHidden/>
          </w:rPr>
          <w:fldChar w:fldCharType="end"/>
        </w:r>
      </w:hyperlink>
    </w:p>
    <w:p w14:paraId="6E22AFC0" w14:textId="7D6538DB"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28" w:history="1">
        <w:r w:rsidRPr="00C84DDF">
          <w:rPr>
            <w:rStyle w:val="Hyperlink"/>
            <w:noProof/>
          </w:rPr>
          <w:t>Table 15 - Questionnaire Q9 Data Set</w:t>
        </w:r>
        <w:r>
          <w:rPr>
            <w:noProof/>
            <w:webHidden/>
          </w:rPr>
          <w:tab/>
        </w:r>
        <w:r>
          <w:rPr>
            <w:noProof/>
            <w:webHidden/>
          </w:rPr>
          <w:fldChar w:fldCharType="begin"/>
        </w:r>
        <w:r>
          <w:rPr>
            <w:noProof/>
            <w:webHidden/>
          </w:rPr>
          <w:instrText xml:space="preserve"> PAGEREF _Toc219216428 \h </w:instrText>
        </w:r>
        <w:r>
          <w:rPr>
            <w:noProof/>
            <w:webHidden/>
          </w:rPr>
        </w:r>
        <w:r>
          <w:rPr>
            <w:noProof/>
            <w:webHidden/>
          </w:rPr>
          <w:fldChar w:fldCharType="separate"/>
        </w:r>
        <w:r w:rsidR="00E77AAF">
          <w:rPr>
            <w:noProof/>
            <w:webHidden/>
          </w:rPr>
          <w:t>95</w:t>
        </w:r>
        <w:r>
          <w:rPr>
            <w:noProof/>
            <w:webHidden/>
          </w:rPr>
          <w:fldChar w:fldCharType="end"/>
        </w:r>
      </w:hyperlink>
    </w:p>
    <w:p w14:paraId="43BD49BE" w14:textId="58AC47D9"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29" w:history="1">
        <w:r w:rsidRPr="00C84DDF">
          <w:rPr>
            <w:rStyle w:val="Hyperlink"/>
            <w:noProof/>
          </w:rPr>
          <w:t>Table 16 - Questionnaire Q10 Data Set</w:t>
        </w:r>
        <w:r>
          <w:rPr>
            <w:noProof/>
            <w:webHidden/>
          </w:rPr>
          <w:tab/>
        </w:r>
        <w:r>
          <w:rPr>
            <w:noProof/>
            <w:webHidden/>
          </w:rPr>
          <w:fldChar w:fldCharType="begin"/>
        </w:r>
        <w:r>
          <w:rPr>
            <w:noProof/>
            <w:webHidden/>
          </w:rPr>
          <w:instrText xml:space="preserve"> PAGEREF _Toc219216429 \h </w:instrText>
        </w:r>
        <w:r>
          <w:rPr>
            <w:noProof/>
            <w:webHidden/>
          </w:rPr>
        </w:r>
        <w:r>
          <w:rPr>
            <w:noProof/>
            <w:webHidden/>
          </w:rPr>
          <w:fldChar w:fldCharType="separate"/>
        </w:r>
        <w:r w:rsidR="00E77AAF">
          <w:rPr>
            <w:noProof/>
            <w:webHidden/>
          </w:rPr>
          <w:t>96</w:t>
        </w:r>
        <w:r>
          <w:rPr>
            <w:noProof/>
            <w:webHidden/>
          </w:rPr>
          <w:fldChar w:fldCharType="end"/>
        </w:r>
      </w:hyperlink>
    </w:p>
    <w:p w14:paraId="4FC2D491" w14:textId="7DA1A3DD"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30" w:history="1">
        <w:r w:rsidRPr="00C84DDF">
          <w:rPr>
            <w:rStyle w:val="Hyperlink"/>
            <w:noProof/>
          </w:rPr>
          <w:t>Table 17 - Questionnaire Q11 Data Set</w:t>
        </w:r>
        <w:r>
          <w:rPr>
            <w:noProof/>
            <w:webHidden/>
          </w:rPr>
          <w:tab/>
        </w:r>
        <w:r>
          <w:rPr>
            <w:noProof/>
            <w:webHidden/>
          </w:rPr>
          <w:fldChar w:fldCharType="begin"/>
        </w:r>
        <w:r>
          <w:rPr>
            <w:noProof/>
            <w:webHidden/>
          </w:rPr>
          <w:instrText xml:space="preserve"> PAGEREF _Toc219216430 \h </w:instrText>
        </w:r>
        <w:r>
          <w:rPr>
            <w:noProof/>
            <w:webHidden/>
          </w:rPr>
        </w:r>
        <w:r>
          <w:rPr>
            <w:noProof/>
            <w:webHidden/>
          </w:rPr>
          <w:fldChar w:fldCharType="separate"/>
        </w:r>
        <w:r w:rsidR="00E77AAF">
          <w:rPr>
            <w:noProof/>
            <w:webHidden/>
          </w:rPr>
          <w:t>96</w:t>
        </w:r>
        <w:r>
          <w:rPr>
            <w:noProof/>
            <w:webHidden/>
          </w:rPr>
          <w:fldChar w:fldCharType="end"/>
        </w:r>
      </w:hyperlink>
    </w:p>
    <w:p w14:paraId="006190A7" w14:textId="1210D84D"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31" w:history="1">
        <w:r w:rsidRPr="00C84DDF">
          <w:rPr>
            <w:rStyle w:val="Hyperlink"/>
            <w:noProof/>
          </w:rPr>
          <w:t>Table 18 - Questionnaire Q12 Data Set</w:t>
        </w:r>
        <w:r>
          <w:rPr>
            <w:noProof/>
            <w:webHidden/>
          </w:rPr>
          <w:tab/>
        </w:r>
        <w:r>
          <w:rPr>
            <w:noProof/>
            <w:webHidden/>
          </w:rPr>
          <w:fldChar w:fldCharType="begin"/>
        </w:r>
        <w:r>
          <w:rPr>
            <w:noProof/>
            <w:webHidden/>
          </w:rPr>
          <w:instrText xml:space="preserve"> PAGEREF _Toc219216431 \h </w:instrText>
        </w:r>
        <w:r>
          <w:rPr>
            <w:noProof/>
            <w:webHidden/>
          </w:rPr>
        </w:r>
        <w:r>
          <w:rPr>
            <w:noProof/>
            <w:webHidden/>
          </w:rPr>
          <w:fldChar w:fldCharType="separate"/>
        </w:r>
        <w:r w:rsidR="00E77AAF">
          <w:rPr>
            <w:noProof/>
            <w:webHidden/>
          </w:rPr>
          <w:t>96</w:t>
        </w:r>
        <w:r>
          <w:rPr>
            <w:noProof/>
            <w:webHidden/>
          </w:rPr>
          <w:fldChar w:fldCharType="end"/>
        </w:r>
      </w:hyperlink>
    </w:p>
    <w:p w14:paraId="39F6FF34" w14:textId="03A180E5"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32" w:history="1">
        <w:r w:rsidRPr="00C84DDF">
          <w:rPr>
            <w:rStyle w:val="Hyperlink"/>
            <w:noProof/>
          </w:rPr>
          <w:t>Table 19 - Questionnaire Q13 Data Set</w:t>
        </w:r>
        <w:r>
          <w:rPr>
            <w:noProof/>
            <w:webHidden/>
          </w:rPr>
          <w:tab/>
        </w:r>
        <w:r>
          <w:rPr>
            <w:noProof/>
            <w:webHidden/>
          </w:rPr>
          <w:fldChar w:fldCharType="begin"/>
        </w:r>
        <w:r>
          <w:rPr>
            <w:noProof/>
            <w:webHidden/>
          </w:rPr>
          <w:instrText xml:space="preserve"> PAGEREF _Toc219216432 \h </w:instrText>
        </w:r>
        <w:r>
          <w:rPr>
            <w:noProof/>
            <w:webHidden/>
          </w:rPr>
        </w:r>
        <w:r>
          <w:rPr>
            <w:noProof/>
            <w:webHidden/>
          </w:rPr>
          <w:fldChar w:fldCharType="separate"/>
        </w:r>
        <w:r w:rsidR="00E77AAF">
          <w:rPr>
            <w:noProof/>
            <w:webHidden/>
          </w:rPr>
          <w:t>97</w:t>
        </w:r>
        <w:r>
          <w:rPr>
            <w:noProof/>
            <w:webHidden/>
          </w:rPr>
          <w:fldChar w:fldCharType="end"/>
        </w:r>
      </w:hyperlink>
    </w:p>
    <w:p w14:paraId="53A951FF" w14:textId="78FAFB32"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33" w:history="1">
        <w:r w:rsidRPr="00C84DDF">
          <w:rPr>
            <w:rStyle w:val="Hyperlink"/>
            <w:noProof/>
          </w:rPr>
          <w:t>Table 20 - Questionnaire Q14 Data Set</w:t>
        </w:r>
        <w:r>
          <w:rPr>
            <w:noProof/>
            <w:webHidden/>
          </w:rPr>
          <w:tab/>
        </w:r>
        <w:r>
          <w:rPr>
            <w:noProof/>
            <w:webHidden/>
          </w:rPr>
          <w:fldChar w:fldCharType="begin"/>
        </w:r>
        <w:r>
          <w:rPr>
            <w:noProof/>
            <w:webHidden/>
          </w:rPr>
          <w:instrText xml:space="preserve"> PAGEREF _Toc219216433 \h </w:instrText>
        </w:r>
        <w:r>
          <w:rPr>
            <w:noProof/>
            <w:webHidden/>
          </w:rPr>
        </w:r>
        <w:r>
          <w:rPr>
            <w:noProof/>
            <w:webHidden/>
          </w:rPr>
          <w:fldChar w:fldCharType="separate"/>
        </w:r>
        <w:r w:rsidR="00E77AAF">
          <w:rPr>
            <w:noProof/>
            <w:webHidden/>
          </w:rPr>
          <w:t>97</w:t>
        </w:r>
        <w:r>
          <w:rPr>
            <w:noProof/>
            <w:webHidden/>
          </w:rPr>
          <w:fldChar w:fldCharType="end"/>
        </w:r>
      </w:hyperlink>
    </w:p>
    <w:p w14:paraId="21BB7F47" w14:textId="19BFA26E"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34" w:history="1">
        <w:r w:rsidRPr="00C84DDF">
          <w:rPr>
            <w:rStyle w:val="Hyperlink"/>
            <w:noProof/>
          </w:rPr>
          <w:t>Table 21 - Questionnaire Q15 Data Set</w:t>
        </w:r>
        <w:r>
          <w:rPr>
            <w:noProof/>
            <w:webHidden/>
          </w:rPr>
          <w:tab/>
        </w:r>
        <w:r>
          <w:rPr>
            <w:noProof/>
            <w:webHidden/>
          </w:rPr>
          <w:fldChar w:fldCharType="begin"/>
        </w:r>
        <w:r>
          <w:rPr>
            <w:noProof/>
            <w:webHidden/>
          </w:rPr>
          <w:instrText xml:space="preserve"> PAGEREF _Toc219216434 \h </w:instrText>
        </w:r>
        <w:r>
          <w:rPr>
            <w:noProof/>
            <w:webHidden/>
          </w:rPr>
        </w:r>
        <w:r>
          <w:rPr>
            <w:noProof/>
            <w:webHidden/>
          </w:rPr>
          <w:fldChar w:fldCharType="separate"/>
        </w:r>
        <w:r w:rsidR="00E77AAF">
          <w:rPr>
            <w:noProof/>
            <w:webHidden/>
          </w:rPr>
          <w:t>98</w:t>
        </w:r>
        <w:r>
          <w:rPr>
            <w:noProof/>
            <w:webHidden/>
          </w:rPr>
          <w:fldChar w:fldCharType="end"/>
        </w:r>
      </w:hyperlink>
    </w:p>
    <w:p w14:paraId="310E7FE4" w14:textId="0FB53494"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35" w:history="1">
        <w:r w:rsidRPr="00C84DDF">
          <w:rPr>
            <w:rStyle w:val="Hyperlink"/>
            <w:noProof/>
          </w:rPr>
          <w:t>Table 22 - Questionnaire Q16 Data Set</w:t>
        </w:r>
        <w:r>
          <w:rPr>
            <w:noProof/>
            <w:webHidden/>
          </w:rPr>
          <w:tab/>
        </w:r>
        <w:r>
          <w:rPr>
            <w:noProof/>
            <w:webHidden/>
          </w:rPr>
          <w:fldChar w:fldCharType="begin"/>
        </w:r>
        <w:r>
          <w:rPr>
            <w:noProof/>
            <w:webHidden/>
          </w:rPr>
          <w:instrText xml:space="preserve"> PAGEREF _Toc219216435 \h </w:instrText>
        </w:r>
        <w:r>
          <w:rPr>
            <w:noProof/>
            <w:webHidden/>
          </w:rPr>
        </w:r>
        <w:r>
          <w:rPr>
            <w:noProof/>
            <w:webHidden/>
          </w:rPr>
          <w:fldChar w:fldCharType="separate"/>
        </w:r>
        <w:r w:rsidR="00E77AAF">
          <w:rPr>
            <w:noProof/>
            <w:webHidden/>
          </w:rPr>
          <w:t>99</w:t>
        </w:r>
        <w:r>
          <w:rPr>
            <w:noProof/>
            <w:webHidden/>
          </w:rPr>
          <w:fldChar w:fldCharType="end"/>
        </w:r>
      </w:hyperlink>
    </w:p>
    <w:p w14:paraId="144D110B" w14:textId="01A106AF"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36" w:history="1">
        <w:r w:rsidRPr="00C84DDF">
          <w:rPr>
            <w:rStyle w:val="Hyperlink"/>
            <w:noProof/>
          </w:rPr>
          <w:t>Table 23 - Questionnaire Q17 Data Set</w:t>
        </w:r>
        <w:r>
          <w:rPr>
            <w:noProof/>
            <w:webHidden/>
          </w:rPr>
          <w:tab/>
        </w:r>
        <w:r>
          <w:rPr>
            <w:noProof/>
            <w:webHidden/>
          </w:rPr>
          <w:fldChar w:fldCharType="begin"/>
        </w:r>
        <w:r>
          <w:rPr>
            <w:noProof/>
            <w:webHidden/>
          </w:rPr>
          <w:instrText xml:space="preserve"> PAGEREF _Toc219216436 \h </w:instrText>
        </w:r>
        <w:r>
          <w:rPr>
            <w:noProof/>
            <w:webHidden/>
          </w:rPr>
        </w:r>
        <w:r>
          <w:rPr>
            <w:noProof/>
            <w:webHidden/>
          </w:rPr>
          <w:fldChar w:fldCharType="separate"/>
        </w:r>
        <w:r w:rsidR="00E77AAF">
          <w:rPr>
            <w:noProof/>
            <w:webHidden/>
          </w:rPr>
          <w:t>99</w:t>
        </w:r>
        <w:r>
          <w:rPr>
            <w:noProof/>
            <w:webHidden/>
          </w:rPr>
          <w:fldChar w:fldCharType="end"/>
        </w:r>
      </w:hyperlink>
    </w:p>
    <w:p w14:paraId="6B9383D9" w14:textId="689F8412"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37" w:history="1">
        <w:r w:rsidRPr="00C84DDF">
          <w:rPr>
            <w:rStyle w:val="Hyperlink"/>
            <w:noProof/>
          </w:rPr>
          <w:t>Table 24 - Questionnaire Q18 Data Set</w:t>
        </w:r>
        <w:r>
          <w:rPr>
            <w:noProof/>
            <w:webHidden/>
          </w:rPr>
          <w:tab/>
        </w:r>
        <w:r>
          <w:rPr>
            <w:noProof/>
            <w:webHidden/>
          </w:rPr>
          <w:fldChar w:fldCharType="begin"/>
        </w:r>
        <w:r>
          <w:rPr>
            <w:noProof/>
            <w:webHidden/>
          </w:rPr>
          <w:instrText xml:space="preserve"> PAGEREF _Toc219216437 \h </w:instrText>
        </w:r>
        <w:r>
          <w:rPr>
            <w:noProof/>
            <w:webHidden/>
          </w:rPr>
        </w:r>
        <w:r>
          <w:rPr>
            <w:noProof/>
            <w:webHidden/>
          </w:rPr>
          <w:fldChar w:fldCharType="separate"/>
        </w:r>
        <w:r w:rsidR="00E77AAF">
          <w:rPr>
            <w:noProof/>
            <w:webHidden/>
          </w:rPr>
          <w:t>99</w:t>
        </w:r>
        <w:r>
          <w:rPr>
            <w:noProof/>
            <w:webHidden/>
          </w:rPr>
          <w:fldChar w:fldCharType="end"/>
        </w:r>
      </w:hyperlink>
    </w:p>
    <w:p w14:paraId="15360629" w14:textId="79BF8F39"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38" w:history="1">
        <w:r w:rsidRPr="00C84DDF">
          <w:rPr>
            <w:rStyle w:val="Hyperlink"/>
            <w:noProof/>
          </w:rPr>
          <w:t>Table 25 - Questionnaire Q19 Data Set</w:t>
        </w:r>
        <w:r>
          <w:rPr>
            <w:noProof/>
            <w:webHidden/>
          </w:rPr>
          <w:tab/>
        </w:r>
        <w:r>
          <w:rPr>
            <w:noProof/>
            <w:webHidden/>
          </w:rPr>
          <w:fldChar w:fldCharType="begin"/>
        </w:r>
        <w:r>
          <w:rPr>
            <w:noProof/>
            <w:webHidden/>
          </w:rPr>
          <w:instrText xml:space="preserve"> PAGEREF _Toc219216438 \h </w:instrText>
        </w:r>
        <w:r>
          <w:rPr>
            <w:noProof/>
            <w:webHidden/>
          </w:rPr>
        </w:r>
        <w:r>
          <w:rPr>
            <w:noProof/>
            <w:webHidden/>
          </w:rPr>
          <w:fldChar w:fldCharType="separate"/>
        </w:r>
        <w:r w:rsidR="00E77AAF">
          <w:rPr>
            <w:noProof/>
            <w:webHidden/>
          </w:rPr>
          <w:t>100</w:t>
        </w:r>
        <w:r>
          <w:rPr>
            <w:noProof/>
            <w:webHidden/>
          </w:rPr>
          <w:fldChar w:fldCharType="end"/>
        </w:r>
      </w:hyperlink>
    </w:p>
    <w:p w14:paraId="5496FCC7" w14:textId="60F17A90"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39" w:history="1">
        <w:r w:rsidRPr="00C84DDF">
          <w:rPr>
            <w:rStyle w:val="Hyperlink"/>
            <w:noProof/>
          </w:rPr>
          <w:t>Table 26 - Questionnaire Q20 Data Set</w:t>
        </w:r>
        <w:r>
          <w:rPr>
            <w:noProof/>
            <w:webHidden/>
          </w:rPr>
          <w:tab/>
        </w:r>
        <w:r>
          <w:rPr>
            <w:noProof/>
            <w:webHidden/>
          </w:rPr>
          <w:fldChar w:fldCharType="begin"/>
        </w:r>
        <w:r>
          <w:rPr>
            <w:noProof/>
            <w:webHidden/>
          </w:rPr>
          <w:instrText xml:space="preserve"> PAGEREF _Toc219216439 \h </w:instrText>
        </w:r>
        <w:r>
          <w:rPr>
            <w:noProof/>
            <w:webHidden/>
          </w:rPr>
        </w:r>
        <w:r>
          <w:rPr>
            <w:noProof/>
            <w:webHidden/>
          </w:rPr>
          <w:fldChar w:fldCharType="separate"/>
        </w:r>
        <w:r w:rsidR="00E77AAF">
          <w:rPr>
            <w:noProof/>
            <w:webHidden/>
          </w:rPr>
          <w:t>101</w:t>
        </w:r>
        <w:r>
          <w:rPr>
            <w:noProof/>
            <w:webHidden/>
          </w:rPr>
          <w:fldChar w:fldCharType="end"/>
        </w:r>
      </w:hyperlink>
    </w:p>
    <w:p w14:paraId="3F6C4CBD" w14:textId="656283E7" w:rsidR="001D60B3" w:rsidRDefault="001D60B3" w:rsidP="001D60B3">
      <w:pPr>
        <w:pStyle w:val="TableofFigures"/>
        <w:tabs>
          <w:tab w:val="right" w:leader="dot" w:pos="9016"/>
        </w:tabs>
        <w:spacing w:line="276" w:lineRule="auto"/>
        <w:rPr>
          <w:rFonts w:asciiTheme="minorHAnsi" w:eastAsiaTheme="minorEastAsia" w:hAnsiTheme="minorHAnsi" w:cstheme="minorBidi"/>
          <w:noProof/>
          <w:color w:val="auto"/>
          <w:kern w:val="2"/>
          <w:sz w:val="24"/>
          <w:szCs w:val="24"/>
          <w:lang w:eastAsia="en-GB"/>
          <w14:ligatures w14:val="standardContextual"/>
        </w:rPr>
      </w:pPr>
      <w:hyperlink w:anchor="_Toc219216440" w:history="1">
        <w:r w:rsidRPr="00C84DDF">
          <w:rPr>
            <w:rStyle w:val="Hyperlink"/>
            <w:noProof/>
          </w:rPr>
          <w:t>Table 27 - Questionnaire Q21 Data Set</w:t>
        </w:r>
        <w:r>
          <w:rPr>
            <w:noProof/>
            <w:webHidden/>
          </w:rPr>
          <w:tab/>
        </w:r>
        <w:r>
          <w:rPr>
            <w:noProof/>
            <w:webHidden/>
          </w:rPr>
          <w:fldChar w:fldCharType="begin"/>
        </w:r>
        <w:r>
          <w:rPr>
            <w:noProof/>
            <w:webHidden/>
          </w:rPr>
          <w:instrText xml:space="preserve"> PAGEREF _Toc219216440 \h </w:instrText>
        </w:r>
        <w:r>
          <w:rPr>
            <w:noProof/>
            <w:webHidden/>
          </w:rPr>
        </w:r>
        <w:r>
          <w:rPr>
            <w:noProof/>
            <w:webHidden/>
          </w:rPr>
          <w:fldChar w:fldCharType="separate"/>
        </w:r>
        <w:r w:rsidR="00E77AAF">
          <w:rPr>
            <w:noProof/>
            <w:webHidden/>
          </w:rPr>
          <w:t>102</w:t>
        </w:r>
        <w:r>
          <w:rPr>
            <w:noProof/>
            <w:webHidden/>
          </w:rPr>
          <w:fldChar w:fldCharType="end"/>
        </w:r>
      </w:hyperlink>
    </w:p>
    <w:p w14:paraId="25CA0C89" w14:textId="38C8BE76" w:rsidR="003E37A2" w:rsidRPr="003E6051" w:rsidRDefault="0075006E" w:rsidP="00A20578">
      <w:pPr>
        <w:spacing w:after="0" w:line="360" w:lineRule="auto"/>
        <w:ind w:left="-576" w:right="-576"/>
        <w:jc w:val="both"/>
      </w:pPr>
      <w:r w:rsidRPr="003E6051">
        <w:rPr>
          <w:b/>
          <w:bCs/>
          <w:noProof/>
          <w:lang w:val="en-US"/>
        </w:rPr>
        <w:fldChar w:fldCharType="end"/>
      </w:r>
    </w:p>
    <w:p w14:paraId="54CDA6B0" w14:textId="77777777" w:rsidR="003E37A2" w:rsidRPr="003E6051" w:rsidRDefault="003E37A2" w:rsidP="00A20578">
      <w:pPr>
        <w:spacing w:after="0" w:line="360" w:lineRule="auto"/>
        <w:ind w:left="-576" w:right="-576"/>
        <w:jc w:val="both"/>
      </w:pPr>
    </w:p>
    <w:p w14:paraId="29959076" w14:textId="77777777" w:rsidR="003E37A2" w:rsidRPr="003E6051" w:rsidRDefault="003E37A2" w:rsidP="00A20578">
      <w:pPr>
        <w:spacing w:after="0" w:line="360" w:lineRule="auto"/>
        <w:ind w:left="-576" w:right="-576"/>
        <w:jc w:val="both"/>
      </w:pPr>
      <w:r w:rsidRPr="003E6051">
        <w:br w:type="page"/>
      </w:r>
    </w:p>
    <w:p w14:paraId="5D776021" w14:textId="75B81C7C" w:rsidR="00A20578" w:rsidRPr="003E6051" w:rsidRDefault="00A20578" w:rsidP="007C1BEE">
      <w:pPr>
        <w:pStyle w:val="Heading2"/>
        <w:spacing w:before="0" w:line="360" w:lineRule="auto"/>
        <w:ind w:left="-576" w:right="-576"/>
        <w:jc w:val="both"/>
        <w:rPr>
          <w:rFonts w:cs="Calibri Light"/>
          <w:sz w:val="22"/>
          <w:szCs w:val="22"/>
        </w:rPr>
      </w:pPr>
      <w:bookmarkStart w:id="0" w:name="_Toc219216458"/>
      <w:r w:rsidRPr="003E6051">
        <w:rPr>
          <w:rFonts w:cs="Calibri Light"/>
          <w:sz w:val="22"/>
          <w:szCs w:val="22"/>
        </w:rPr>
        <w:lastRenderedPageBreak/>
        <w:t xml:space="preserve">1. </w:t>
      </w:r>
      <w:r w:rsidR="001951B3" w:rsidRPr="003E6051">
        <w:rPr>
          <w:rFonts w:cs="Calibri Light"/>
          <w:sz w:val="22"/>
          <w:szCs w:val="22"/>
          <w:u w:val="single"/>
        </w:rPr>
        <w:t>Executive Summary</w:t>
      </w:r>
      <w:bookmarkEnd w:id="0"/>
      <w:r w:rsidR="001951B3" w:rsidRPr="003E6051">
        <w:rPr>
          <w:rFonts w:cs="Calibri Light"/>
          <w:sz w:val="22"/>
          <w:szCs w:val="22"/>
          <w:u w:val="single"/>
        </w:rPr>
        <w:t xml:space="preserve"> </w:t>
      </w:r>
    </w:p>
    <w:p w14:paraId="4DD4AC49" w14:textId="77777777" w:rsidR="00DC7AD6" w:rsidRDefault="00DC7AD6" w:rsidP="007C1BEE">
      <w:pPr>
        <w:spacing w:after="0" w:line="360" w:lineRule="auto"/>
        <w:ind w:left="-576" w:right="-576"/>
        <w:jc w:val="both"/>
      </w:pPr>
    </w:p>
    <w:p w14:paraId="3941C6F0" w14:textId="6A7551A0" w:rsidR="00DC7AD6" w:rsidRDefault="00DC7AD6" w:rsidP="00DC7AD6">
      <w:pPr>
        <w:spacing w:after="0" w:line="360" w:lineRule="auto"/>
        <w:ind w:left="-576" w:right="-576"/>
        <w:jc w:val="both"/>
      </w:pPr>
      <w:r>
        <w:t xml:space="preserve">This report investigates the effectiveness of risk assessment tools in project management and </w:t>
      </w:r>
      <w:r w:rsidR="00735C90">
        <w:t xml:space="preserve">whether there is a </w:t>
      </w:r>
      <w:r>
        <w:t xml:space="preserve">need for a customisable framework to </w:t>
      </w:r>
      <w:r w:rsidR="00735C90">
        <w:t>improve</w:t>
      </w:r>
      <w:r>
        <w:t xml:space="preserve"> risk mitigation and project outcomes. </w:t>
      </w:r>
      <w:r w:rsidR="00735C90">
        <w:t>L</w:t>
      </w:r>
      <w:r>
        <w:t xml:space="preserve">arge-scale industrial projects, spanning construction, energy, and manufacturing sectors, face increasingly complex risks that, if </w:t>
      </w:r>
      <w:r w:rsidR="00735C90">
        <w:t>not managed effectively</w:t>
      </w:r>
      <w:r>
        <w:t xml:space="preserve">, can </w:t>
      </w:r>
      <w:r w:rsidR="00735C90">
        <w:t>lead to delays</w:t>
      </w:r>
      <w:r>
        <w:t>, budget</w:t>
      </w:r>
      <w:r w:rsidR="00735C90">
        <w:t xml:space="preserve"> overruns</w:t>
      </w:r>
      <w:r>
        <w:t xml:space="preserve">, and </w:t>
      </w:r>
      <w:r w:rsidR="00735C90">
        <w:t xml:space="preserve">loss of </w:t>
      </w:r>
      <w:r>
        <w:t>stakeholder confidence.</w:t>
      </w:r>
    </w:p>
    <w:p w14:paraId="2B79CA4E" w14:textId="77777777" w:rsidR="00DC7AD6" w:rsidRDefault="00DC7AD6" w:rsidP="00DC7AD6">
      <w:pPr>
        <w:spacing w:after="0" w:line="360" w:lineRule="auto"/>
        <w:ind w:left="-576" w:right="-576"/>
        <w:jc w:val="both"/>
      </w:pPr>
    </w:p>
    <w:p w14:paraId="7A52DDB6" w14:textId="7C4CE53F" w:rsidR="00DC7AD6" w:rsidRDefault="00DC7AD6" w:rsidP="00DC7AD6">
      <w:pPr>
        <w:spacing w:after="0" w:line="360" w:lineRule="auto"/>
        <w:ind w:left="-576" w:right="-576"/>
        <w:jc w:val="both"/>
      </w:pPr>
      <w:r>
        <w:t>The literature highlights a broad range of risks</w:t>
      </w:r>
      <w:r w:rsidR="00735C90">
        <w:t>:</w:t>
      </w:r>
      <w:r>
        <w:t xml:space="preserve"> financial, technical, operational, environmental, and regulatory, and assesses </w:t>
      </w:r>
      <w:r w:rsidR="00735C90">
        <w:t xml:space="preserve">the </w:t>
      </w:r>
      <w:r>
        <w:t>established tools such as Failure Modes and Effects Analysis (FMEA), Monte Carlo simulation, S</w:t>
      </w:r>
      <w:r w:rsidR="00283521">
        <w:t>trengths, Weaknesses, Opportunities and Threats (S</w:t>
      </w:r>
      <w:r>
        <w:t>WOT</w:t>
      </w:r>
      <w:r w:rsidR="00283521">
        <w:t>)</w:t>
      </w:r>
      <w:r>
        <w:t xml:space="preserve"> analysis, and risk matrices</w:t>
      </w:r>
      <w:r w:rsidR="00735C90">
        <w:t xml:space="preserve"> in mitigating these</w:t>
      </w:r>
      <w:r>
        <w:t>. Whil</w:t>
      </w:r>
      <w:r w:rsidR="00AB2D20">
        <w:t xml:space="preserve">st </w:t>
      </w:r>
      <w:r>
        <w:t xml:space="preserve">theoretically robust and </w:t>
      </w:r>
      <w:r w:rsidR="00AB2D20">
        <w:t>supported</w:t>
      </w:r>
      <w:r>
        <w:t xml:space="preserve"> by international frameworks like ISO 31000 and PMBOK, their </w:t>
      </w:r>
      <w:r w:rsidR="00AB2D20">
        <w:t xml:space="preserve">use in practice </w:t>
      </w:r>
      <w:r>
        <w:t xml:space="preserve">is inconsistent. Barriers include organisational resistance, lack of training, tool complexity, and </w:t>
      </w:r>
      <w:r w:rsidR="00AB2D20">
        <w:t>reliance</w:t>
      </w:r>
      <w:r>
        <w:t xml:space="preserve"> on intuition over structured methods. The</w:t>
      </w:r>
      <w:r w:rsidR="00AB2D20">
        <w:t xml:space="preserve"> underpinning theme is that </w:t>
      </w:r>
      <w:r>
        <w:t xml:space="preserve">no single “universal fit” tool exists, and adaptive, context-sensitive approaches are </w:t>
      </w:r>
      <w:r w:rsidR="00AB2D20">
        <w:t>needed</w:t>
      </w:r>
      <w:r>
        <w:t>.</w:t>
      </w:r>
    </w:p>
    <w:p w14:paraId="581084FA" w14:textId="77777777" w:rsidR="00DC7AD6" w:rsidRDefault="00DC7AD6" w:rsidP="00DC7AD6">
      <w:pPr>
        <w:spacing w:after="0" w:line="360" w:lineRule="auto"/>
        <w:ind w:left="-576" w:right="-576"/>
        <w:jc w:val="both"/>
      </w:pPr>
    </w:p>
    <w:p w14:paraId="0CCA6063" w14:textId="0A7163BA" w:rsidR="00DC7AD6" w:rsidRDefault="00DC7AD6" w:rsidP="00DC7AD6">
      <w:pPr>
        <w:spacing w:after="0" w:line="360" w:lineRule="auto"/>
        <w:ind w:left="-576" w:right="-576"/>
        <w:jc w:val="both"/>
      </w:pPr>
      <w:r>
        <w:t xml:space="preserve">The methodology adopted was a descriptive survey </w:t>
      </w:r>
      <w:r w:rsidR="00AB2D20">
        <w:t>of</w:t>
      </w:r>
      <w:r>
        <w:t xml:space="preserve"> professionals across multiple sectors, capturing both quantitative and qualitative insights. Data revealed that although most practitioners acknowledged the value of risk tools, their routine application was often fragmented. </w:t>
      </w:r>
      <w:r w:rsidR="005905D6">
        <w:t>C</w:t>
      </w:r>
      <w:r>
        <w:t xml:space="preserve">hallenges </w:t>
      </w:r>
      <w:r w:rsidR="005905D6">
        <w:t>included poor</w:t>
      </w:r>
      <w:r>
        <w:t xml:space="preserve"> integration with project workflows, limited flexibility, and lack of stakeholder engagement. Importantly, many participants </w:t>
      </w:r>
      <w:r w:rsidR="003B5C1C">
        <w:t>supported</w:t>
      </w:r>
      <w:r>
        <w:t xml:space="preserve"> the need for a more adaptable and user-friendly framework</w:t>
      </w:r>
      <w:r w:rsidR="005B0079">
        <w:t xml:space="preserve"> that is tai</w:t>
      </w:r>
      <w:r>
        <w:t>lored to industry-specific requirement</w:t>
      </w:r>
      <w:r w:rsidR="005B0079">
        <w:t>. F</w:t>
      </w:r>
      <w:r>
        <w:t>eatures such as AI-based prediction, real-time collaboration, and integration with project management software</w:t>
      </w:r>
      <w:r w:rsidR="005B0079">
        <w:t xml:space="preserve"> were highlighted</w:t>
      </w:r>
      <w:r>
        <w:t>.</w:t>
      </w:r>
    </w:p>
    <w:p w14:paraId="4AE06937" w14:textId="77777777" w:rsidR="00DC7AD6" w:rsidRDefault="00DC7AD6" w:rsidP="00DC7AD6">
      <w:pPr>
        <w:spacing w:after="0" w:line="360" w:lineRule="auto"/>
        <w:ind w:left="-576" w:right="-576"/>
        <w:jc w:val="both"/>
      </w:pPr>
    </w:p>
    <w:p w14:paraId="1E31461D" w14:textId="03661355" w:rsidR="00DC7AD6" w:rsidRDefault="005B0079" w:rsidP="00DC7AD6">
      <w:pPr>
        <w:spacing w:after="0" w:line="360" w:lineRule="auto"/>
        <w:ind w:left="-576" w:right="-576"/>
        <w:jc w:val="both"/>
      </w:pPr>
      <w:r>
        <w:t>Overall, f</w:t>
      </w:r>
      <w:r w:rsidR="00DC7AD6">
        <w:t xml:space="preserve">indings indicate that while risk assessment tools contribute positively to project outcomes when applied systematically, knowledge gaps </w:t>
      </w:r>
      <w:r>
        <w:t>and incorrect application limit effectiveness</w:t>
      </w:r>
      <w:r w:rsidR="00DC7AD6">
        <w:t xml:space="preserve">. The study concludes that current practices alone are insufficient to ensure resilience </w:t>
      </w:r>
      <w:r>
        <w:t>in u</w:t>
      </w:r>
      <w:r w:rsidR="00DC7AD6">
        <w:t>ncertain environments. It therefore advocates</w:t>
      </w:r>
      <w:r>
        <w:t xml:space="preserve"> </w:t>
      </w:r>
      <w:r w:rsidR="00DC7AD6">
        <w:t xml:space="preserve">the development of a customisable risk management framework that </w:t>
      </w:r>
      <w:r>
        <w:t>combines</w:t>
      </w:r>
      <w:r w:rsidR="00DC7AD6">
        <w:t xml:space="preserve"> standardisation with flexibility, </w:t>
      </w:r>
      <w:r>
        <w:t>supports analytics</w:t>
      </w:r>
      <w:r w:rsidR="00DC7AD6">
        <w:t>, and fosters organisational learning.</w:t>
      </w:r>
    </w:p>
    <w:p w14:paraId="635B85EC" w14:textId="77777777" w:rsidR="00DC7AD6" w:rsidRDefault="00DC7AD6" w:rsidP="00DC7AD6">
      <w:pPr>
        <w:spacing w:after="0" w:line="360" w:lineRule="auto"/>
        <w:ind w:left="-576" w:right="-576"/>
        <w:jc w:val="both"/>
      </w:pPr>
    </w:p>
    <w:p w14:paraId="6119D89C" w14:textId="7967EEC8" w:rsidR="00A20578" w:rsidRPr="003E6051" w:rsidRDefault="00DC7AD6" w:rsidP="00DC7AD6">
      <w:pPr>
        <w:spacing w:after="0" w:line="360" w:lineRule="auto"/>
        <w:ind w:left="-576" w:right="-576"/>
        <w:jc w:val="both"/>
        <w:rPr>
          <w:rFonts w:eastAsiaTheme="majorEastAsia"/>
        </w:rPr>
      </w:pPr>
      <w:r>
        <w:t xml:space="preserve">This research </w:t>
      </w:r>
      <w:r w:rsidR="006962ED">
        <w:t xml:space="preserve">also </w:t>
      </w:r>
      <w:r>
        <w:t>expos</w:t>
      </w:r>
      <w:r w:rsidR="006962ED">
        <w:t>es</w:t>
      </w:r>
      <w:r>
        <w:t xml:space="preserve"> the gap between </w:t>
      </w:r>
      <w:r w:rsidR="006962ED">
        <w:t xml:space="preserve">risk management </w:t>
      </w:r>
      <w:r>
        <w:t xml:space="preserve">theory and practice. It provides </w:t>
      </w:r>
      <w:r w:rsidR="006962ED">
        <w:t>support</w:t>
      </w:r>
      <w:r>
        <w:t xml:space="preserve"> that embedding a culture of proactive, adaptable risk management, supported by tailored tools, can improve not only project performance but also resilience, adaptability, and sustainability. Recommendations for further work include piloting the proposed framework in </w:t>
      </w:r>
      <w:r w:rsidR="006962ED">
        <w:t xml:space="preserve">real-world </w:t>
      </w:r>
      <w:r>
        <w:t xml:space="preserve">industry settings and exploring AI-driven predictive tools </w:t>
      </w:r>
      <w:r w:rsidR="006962ED">
        <w:t>can</w:t>
      </w:r>
      <w:r>
        <w:t xml:space="preserve"> strengthen risk governance.</w:t>
      </w:r>
      <w:r w:rsidR="00A20578" w:rsidRPr="003E6051">
        <w:br w:type="page"/>
      </w:r>
    </w:p>
    <w:p w14:paraId="23F48E41" w14:textId="4D5D893C" w:rsidR="009535E5" w:rsidRPr="003E6051" w:rsidRDefault="00A20578" w:rsidP="007C1BEE">
      <w:pPr>
        <w:pStyle w:val="Heading2"/>
        <w:spacing w:before="0" w:line="360" w:lineRule="auto"/>
        <w:ind w:left="-576" w:right="-576"/>
        <w:jc w:val="both"/>
        <w:rPr>
          <w:rFonts w:cs="Calibri Light"/>
          <w:sz w:val="22"/>
          <w:szCs w:val="22"/>
        </w:rPr>
      </w:pPr>
      <w:bookmarkStart w:id="1" w:name="_Toc219216459"/>
      <w:r w:rsidRPr="003E6051">
        <w:rPr>
          <w:rFonts w:cs="Calibri Light"/>
          <w:sz w:val="22"/>
          <w:szCs w:val="22"/>
        </w:rPr>
        <w:lastRenderedPageBreak/>
        <w:t>2</w:t>
      </w:r>
      <w:r w:rsidR="009535E5" w:rsidRPr="003E6051">
        <w:rPr>
          <w:rFonts w:cs="Calibri Light"/>
          <w:sz w:val="22"/>
          <w:szCs w:val="22"/>
        </w:rPr>
        <w:t xml:space="preserve">. </w:t>
      </w:r>
      <w:r w:rsidR="001951B3" w:rsidRPr="003E6051">
        <w:rPr>
          <w:rFonts w:cs="Calibri Light"/>
          <w:sz w:val="22"/>
          <w:szCs w:val="22"/>
          <w:u w:val="single"/>
        </w:rPr>
        <w:t>Acknowledgements</w:t>
      </w:r>
      <w:bookmarkEnd w:id="1"/>
      <w:r w:rsidR="001951B3" w:rsidRPr="003E6051">
        <w:rPr>
          <w:rFonts w:cs="Calibri Light"/>
          <w:sz w:val="22"/>
          <w:szCs w:val="22"/>
          <w:u w:val="single"/>
        </w:rPr>
        <w:t xml:space="preserve"> </w:t>
      </w:r>
      <w:r w:rsidR="00330CE6" w:rsidRPr="003E6051">
        <w:rPr>
          <w:rFonts w:cs="Calibri Light"/>
          <w:sz w:val="22"/>
          <w:szCs w:val="22"/>
          <w:u w:val="single"/>
        </w:rPr>
        <w:t xml:space="preserve"> </w:t>
      </w:r>
    </w:p>
    <w:p w14:paraId="1B7991D3" w14:textId="77A8A4EC" w:rsidR="009535E5" w:rsidRPr="003E6051" w:rsidRDefault="009535E5" w:rsidP="007C1BEE">
      <w:pPr>
        <w:spacing w:after="0" w:line="360" w:lineRule="auto"/>
        <w:ind w:left="-576" w:right="-576"/>
        <w:jc w:val="both"/>
      </w:pPr>
    </w:p>
    <w:p w14:paraId="4464D293" w14:textId="77777777" w:rsidR="00DC7AD6" w:rsidRPr="00DC7AD6" w:rsidRDefault="00DC7AD6" w:rsidP="00DC7AD6">
      <w:pPr>
        <w:spacing w:after="0" w:line="360" w:lineRule="auto"/>
        <w:ind w:left="-576" w:right="-576"/>
        <w:jc w:val="both"/>
      </w:pPr>
      <w:r w:rsidRPr="00DC7AD6">
        <w:t>The author wishes to express sincere gratitude to the academic staff and supervisors at the University of Wales Trinity Saint David for their continuous guidance, encouragement, and constructive feedback throughout the development of this dissertation. Their expertise and support have been central to the successful completion of this research.</w:t>
      </w:r>
    </w:p>
    <w:p w14:paraId="6AEF25C5" w14:textId="77777777" w:rsidR="00DC7AD6" w:rsidRPr="00DC7AD6" w:rsidRDefault="00DC7AD6" w:rsidP="00DC7AD6">
      <w:pPr>
        <w:spacing w:after="0" w:line="360" w:lineRule="auto"/>
        <w:ind w:left="-576" w:right="-576"/>
        <w:jc w:val="both"/>
      </w:pPr>
    </w:p>
    <w:p w14:paraId="7388E4A2" w14:textId="0C57405D" w:rsidR="00DC7AD6" w:rsidRPr="00DC7AD6" w:rsidRDefault="00DC7AD6" w:rsidP="00DC7AD6">
      <w:pPr>
        <w:spacing w:after="0" w:line="360" w:lineRule="auto"/>
        <w:ind w:left="-576" w:right="-576"/>
        <w:jc w:val="both"/>
      </w:pPr>
      <w:r w:rsidRPr="00DC7AD6">
        <w:t>Appreciation is also extended to the employees of Tata Steel and other professionals who participated in the anonymous questionnaire. Their willingness to share valuable insights and practical experiences provided the foundation for the study and significantly enriched its findings.</w:t>
      </w:r>
    </w:p>
    <w:p w14:paraId="65B8149C" w14:textId="77777777" w:rsidR="00DC7AD6" w:rsidRPr="00DC7AD6" w:rsidRDefault="00DC7AD6" w:rsidP="00DC7AD6">
      <w:pPr>
        <w:spacing w:after="0" w:line="360" w:lineRule="auto"/>
        <w:ind w:left="-576" w:right="-576"/>
        <w:jc w:val="both"/>
      </w:pPr>
    </w:p>
    <w:p w14:paraId="6E3AAF1E" w14:textId="61FB84F4" w:rsidR="00F04198" w:rsidRPr="00DC7AD6" w:rsidRDefault="00DC7AD6" w:rsidP="00DC7AD6">
      <w:pPr>
        <w:spacing w:after="0" w:line="360" w:lineRule="auto"/>
        <w:ind w:left="-576" w:right="-576"/>
        <w:jc w:val="both"/>
      </w:pPr>
      <w:r w:rsidRPr="00DC7AD6">
        <w:t>The author further acknowledges the unwavering support of family and peers, whose encouragement and understanding have been a constant source of motivation during this academic journey.</w:t>
      </w:r>
    </w:p>
    <w:p w14:paraId="5C04927D" w14:textId="77777777" w:rsidR="00AF29E8" w:rsidRPr="003E6051" w:rsidRDefault="00AF29E8" w:rsidP="007C1BEE">
      <w:pPr>
        <w:spacing w:after="0" w:line="360" w:lineRule="auto"/>
        <w:ind w:left="-576" w:right="-576"/>
        <w:jc w:val="both"/>
        <w:rPr>
          <w:rFonts w:eastAsiaTheme="majorEastAsia"/>
        </w:rPr>
      </w:pPr>
      <w:r w:rsidRPr="003E6051">
        <w:br w:type="page"/>
      </w:r>
    </w:p>
    <w:p w14:paraId="53A74238" w14:textId="0C70E064" w:rsidR="00330CE6" w:rsidRPr="003E6051" w:rsidRDefault="00A20578" w:rsidP="007C1BEE">
      <w:pPr>
        <w:pStyle w:val="Heading2"/>
        <w:spacing w:before="0" w:line="360" w:lineRule="auto"/>
        <w:ind w:left="-576" w:right="-576"/>
        <w:jc w:val="both"/>
        <w:rPr>
          <w:rFonts w:cs="Calibri Light"/>
          <w:sz w:val="22"/>
          <w:szCs w:val="22"/>
          <w:u w:val="single"/>
        </w:rPr>
      </w:pPr>
      <w:bookmarkStart w:id="2" w:name="_Toc219216460"/>
      <w:r w:rsidRPr="003E6051">
        <w:rPr>
          <w:rFonts w:cs="Calibri Light"/>
          <w:sz w:val="22"/>
          <w:szCs w:val="22"/>
        </w:rPr>
        <w:lastRenderedPageBreak/>
        <w:t>3</w:t>
      </w:r>
      <w:r w:rsidR="00C8278F" w:rsidRPr="003E6051">
        <w:rPr>
          <w:rFonts w:cs="Calibri Light"/>
          <w:sz w:val="22"/>
          <w:szCs w:val="22"/>
        </w:rPr>
        <w:t xml:space="preserve">. </w:t>
      </w:r>
      <w:r w:rsidR="001951B3" w:rsidRPr="003E6051">
        <w:rPr>
          <w:rFonts w:cs="Calibri Light"/>
          <w:sz w:val="22"/>
          <w:szCs w:val="22"/>
          <w:u w:val="single"/>
        </w:rPr>
        <w:t>Declaration Statement</w:t>
      </w:r>
      <w:bookmarkEnd w:id="2"/>
      <w:r w:rsidR="001951B3" w:rsidRPr="003E6051">
        <w:rPr>
          <w:rFonts w:cs="Calibri Light"/>
          <w:sz w:val="22"/>
          <w:szCs w:val="22"/>
          <w:u w:val="single"/>
        </w:rPr>
        <w:t xml:space="preserve"> </w:t>
      </w:r>
      <w:r w:rsidR="00483CA6" w:rsidRPr="003E6051">
        <w:rPr>
          <w:rFonts w:cs="Calibri Light"/>
          <w:sz w:val="22"/>
          <w:szCs w:val="22"/>
          <w:u w:val="single"/>
        </w:rPr>
        <w:t xml:space="preserve"> </w:t>
      </w:r>
    </w:p>
    <w:p w14:paraId="6DB4EFA4" w14:textId="04D4520E" w:rsidR="003C29F3" w:rsidRPr="003E6051" w:rsidRDefault="003C29F3" w:rsidP="007C1BEE">
      <w:pPr>
        <w:spacing w:after="0" w:line="360" w:lineRule="auto"/>
        <w:ind w:left="-576" w:right="-576"/>
        <w:jc w:val="both"/>
      </w:pPr>
    </w:p>
    <w:p w14:paraId="20FECDAC" w14:textId="77777777" w:rsidR="00CB48DF" w:rsidRPr="003E6051" w:rsidRDefault="00CB48DF" w:rsidP="007C1BEE">
      <w:pPr>
        <w:spacing w:after="0" w:line="360" w:lineRule="auto"/>
        <w:ind w:left="-576" w:right="-576"/>
        <w:jc w:val="both"/>
      </w:pPr>
      <w:r w:rsidRPr="003E6051">
        <w:t>Author’s  Declaration</w:t>
      </w:r>
    </w:p>
    <w:p w14:paraId="6A251307" w14:textId="77777777" w:rsidR="00CB48DF" w:rsidRPr="003E6051" w:rsidRDefault="00CB48DF" w:rsidP="007C1BEE">
      <w:pPr>
        <w:spacing w:after="0" w:line="360" w:lineRule="auto"/>
        <w:ind w:left="-576" w:right="-576"/>
        <w:jc w:val="both"/>
      </w:pPr>
    </w:p>
    <w:p w14:paraId="2B57E1B0" w14:textId="6363DDF3" w:rsidR="00CB48DF" w:rsidRPr="003E6051" w:rsidRDefault="00CB48DF" w:rsidP="007C1BEE">
      <w:pPr>
        <w:spacing w:after="0" w:line="360" w:lineRule="auto"/>
        <w:ind w:left="-576" w:right="-576"/>
        <w:jc w:val="both"/>
      </w:pPr>
      <w:r w:rsidRPr="003E6051">
        <w:t>I declare that the work in this dissertation was carried out in accordance with the regulations of UWTSD.  The work is original except, where indicated by special references in the text and no part of the dissertation has been submitted for any other degree.</w:t>
      </w:r>
    </w:p>
    <w:p w14:paraId="6579F739" w14:textId="77777777" w:rsidR="00CB48DF" w:rsidRPr="003E6051" w:rsidRDefault="00CB48DF" w:rsidP="007C1BEE">
      <w:pPr>
        <w:spacing w:after="0" w:line="360" w:lineRule="auto"/>
        <w:ind w:left="-576" w:right="-576"/>
        <w:jc w:val="both"/>
      </w:pPr>
    </w:p>
    <w:p w14:paraId="130E4131" w14:textId="77777777" w:rsidR="00CB48DF" w:rsidRPr="003E6051" w:rsidRDefault="00CB48DF" w:rsidP="007C1BEE">
      <w:pPr>
        <w:spacing w:after="0" w:line="360" w:lineRule="auto"/>
        <w:ind w:left="-576" w:right="-576"/>
        <w:jc w:val="both"/>
      </w:pPr>
      <w:r w:rsidRPr="003E6051">
        <w:t>Any views expressed in the dissertation are those of the author and in no way represent those of the UWTSD.</w:t>
      </w:r>
    </w:p>
    <w:p w14:paraId="24E7B577" w14:textId="77777777" w:rsidR="00CB48DF" w:rsidRPr="003E6051" w:rsidRDefault="00CB48DF" w:rsidP="007C1BEE">
      <w:pPr>
        <w:spacing w:after="0" w:line="360" w:lineRule="auto"/>
        <w:ind w:left="-576" w:right="-576"/>
        <w:jc w:val="both"/>
      </w:pPr>
    </w:p>
    <w:p w14:paraId="682966B4" w14:textId="77777777" w:rsidR="00CB48DF" w:rsidRPr="003E6051" w:rsidRDefault="00CB48DF" w:rsidP="007C1BEE">
      <w:pPr>
        <w:spacing w:after="0" w:line="360" w:lineRule="auto"/>
        <w:ind w:left="-576" w:right="-576"/>
        <w:jc w:val="both"/>
      </w:pPr>
      <w:r w:rsidRPr="003E6051">
        <w:t>The dissertation has not been presented to any other University for examination either in the United Kingdom or overseas.</w:t>
      </w:r>
    </w:p>
    <w:p w14:paraId="1755E461" w14:textId="77777777" w:rsidR="00CB48DF" w:rsidRPr="003E6051" w:rsidRDefault="00CB48DF" w:rsidP="007C1BEE">
      <w:pPr>
        <w:spacing w:after="0" w:line="360" w:lineRule="auto"/>
        <w:ind w:left="-576" w:right="-576"/>
        <w:jc w:val="both"/>
      </w:pPr>
    </w:p>
    <w:p w14:paraId="552720AC" w14:textId="77777777" w:rsidR="00CB48DF" w:rsidRPr="003E6051" w:rsidRDefault="00CB48DF" w:rsidP="007C1BEE">
      <w:pPr>
        <w:spacing w:after="0" w:line="360" w:lineRule="auto"/>
        <w:ind w:left="-576" w:right="-576"/>
        <w:jc w:val="both"/>
      </w:pPr>
      <w:r w:rsidRPr="003E6051">
        <w:t>I hereby give permission for my work, if accepted, to be available for photocopying and inter-library loan, and for the title and summary to be made available to outside organisations.</w:t>
      </w:r>
    </w:p>
    <w:p w14:paraId="591D529B" w14:textId="77777777" w:rsidR="00CB48DF" w:rsidRPr="003E6051" w:rsidRDefault="00CB48DF" w:rsidP="007C1BEE">
      <w:pPr>
        <w:spacing w:after="0" w:line="360" w:lineRule="auto"/>
        <w:ind w:left="-576" w:right="-576"/>
        <w:jc w:val="both"/>
      </w:pPr>
    </w:p>
    <w:p w14:paraId="73447D7E" w14:textId="77777777" w:rsidR="00CB48DF" w:rsidRPr="003E6051" w:rsidRDefault="00CB48DF" w:rsidP="007C1BEE">
      <w:pPr>
        <w:spacing w:after="0" w:line="360" w:lineRule="auto"/>
        <w:ind w:left="-576" w:right="-576"/>
        <w:jc w:val="both"/>
      </w:pPr>
    </w:p>
    <w:p w14:paraId="258F3B18" w14:textId="43EF6FAF" w:rsidR="00CB48DF" w:rsidRPr="003E6051" w:rsidRDefault="00CB48DF" w:rsidP="007C1BEE">
      <w:pPr>
        <w:spacing w:after="0" w:line="360" w:lineRule="auto"/>
        <w:ind w:left="-576" w:right="-576"/>
        <w:jc w:val="both"/>
      </w:pPr>
      <w:r w:rsidRPr="003E6051">
        <w:t xml:space="preserve">Signed:  </w:t>
      </w:r>
      <w:r w:rsidR="001D60B3" w:rsidRPr="001D60B3">
        <w:rPr>
          <w:rFonts w:ascii="Kunstler Script" w:hAnsi="Kunstler Script"/>
          <w:i/>
          <w:iCs/>
          <w:sz w:val="32"/>
          <w:szCs w:val="32"/>
        </w:rPr>
        <w:t>DM Thomas</w:t>
      </w:r>
      <w:r w:rsidR="001D60B3" w:rsidRPr="001D60B3">
        <w:rPr>
          <w:rFonts w:ascii="Blackadder ITC" w:hAnsi="Blackadder ITC"/>
          <w:i/>
          <w:iCs/>
          <w:sz w:val="32"/>
          <w:szCs w:val="32"/>
        </w:rPr>
        <w:t xml:space="preserve">    </w:t>
      </w:r>
      <w:r w:rsidR="001D60B3">
        <w:t>…</w:t>
      </w:r>
      <w:r w:rsidRPr="003E6051">
        <w:t>………</w:t>
      </w:r>
      <w:r w:rsidR="001D60B3">
        <w:t>..</w:t>
      </w:r>
    </w:p>
    <w:p w14:paraId="02DAC5FD" w14:textId="77777777" w:rsidR="00CB48DF" w:rsidRPr="003E6051" w:rsidRDefault="00CB48DF" w:rsidP="007C1BEE">
      <w:pPr>
        <w:spacing w:after="0" w:line="360" w:lineRule="auto"/>
        <w:ind w:left="-576" w:right="-576"/>
        <w:jc w:val="both"/>
      </w:pPr>
    </w:p>
    <w:p w14:paraId="1C2FADB4" w14:textId="0487C777" w:rsidR="0075006E" w:rsidRPr="003E6051" w:rsidRDefault="00CB48DF" w:rsidP="007C1BEE">
      <w:pPr>
        <w:spacing w:after="0" w:line="360" w:lineRule="auto"/>
        <w:ind w:left="-576" w:right="-576"/>
        <w:jc w:val="both"/>
      </w:pPr>
      <w:r w:rsidRPr="003E6051">
        <w:t xml:space="preserve">Date:  </w:t>
      </w:r>
      <w:r w:rsidR="00A27D73">
        <w:t>14/01/2026……</w:t>
      </w:r>
      <w:r w:rsidRPr="003E6051">
        <w:t>………………….</w:t>
      </w:r>
    </w:p>
    <w:p w14:paraId="3FEC83BF" w14:textId="77777777" w:rsidR="0075006E" w:rsidRPr="003E6051" w:rsidRDefault="0075006E" w:rsidP="007C1BEE">
      <w:pPr>
        <w:spacing w:after="0" w:line="360" w:lineRule="auto"/>
        <w:ind w:left="-576" w:right="-576"/>
        <w:jc w:val="both"/>
      </w:pPr>
    </w:p>
    <w:p w14:paraId="28AF1377" w14:textId="77777777" w:rsidR="0075006E" w:rsidRPr="003E6051" w:rsidRDefault="0075006E" w:rsidP="007C1BEE">
      <w:pPr>
        <w:spacing w:after="0" w:line="360" w:lineRule="auto"/>
        <w:ind w:left="-576" w:right="-576"/>
        <w:jc w:val="both"/>
      </w:pPr>
    </w:p>
    <w:p w14:paraId="5DE3794D" w14:textId="77777777" w:rsidR="0075006E" w:rsidRPr="003E6051" w:rsidRDefault="0075006E" w:rsidP="007C1BEE">
      <w:pPr>
        <w:spacing w:after="0" w:line="360" w:lineRule="auto"/>
        <w:ind w:left="-576" w:right="-576"/>
        <w:jc w:val="both"/>
      </w:pPr>
    </w:p>
    <w:p w14:paraId="04F8C394" w14:textId="77777777" w:rsidR="0075006E" w:rsidRPr="003E6051" w:rsidRDefault="0075006E" w:rsidP="007C1BEE">
      <w:pPr>
        <w:spacing w:after="0" w:line="360" w:lineRule="auto"/>
        <w:ind w:left="-576" w:right="-576"/>
        <w:jc w:val="both"/>
      </w:pPr>
    </w:p>
    <w:p w14:paraId="2EF48545" w14:textId="77777777" w:rsidR="0075006E" w:rsidRPr="003E6051" w:rsidRDefault="0075006E" w:rsidP="007C1BEE">
      <w:pPr>
        <w:spacing w:after="0" w:line="360" w:lineRule="auto"/>
        <w:ind w:left="-576" w:right="-576"/>
        <w:jc w:val="both"/>
      </w:pPr>
    </w:p>
    <w:p w14:paraId="7E20EA0B" w14:textId="77777777" w:rsidR="0075006E" w:rsidRPr="003E6051" w:rsidRDefault="0075006E" w:rsidP="007C1BEE">
      <w:pPr>
        <w:spacing w:after="0" w:line="360" w:lineRule="auto"/>
        <w:ind w:left="-576" w:right="-576"/>
        <w:jc w:val="both"/>
      </w:pPr>
    </w:p>
    <w:p w14:paraId="05348ED5" w14:textId="77777777" w:rsidR="0075006E" w:rsidRPr="003E6051" w:rsidRDefault="0075006E" w:rsidP="007C1BEE">
      <w:pPr>
        <w:spacing w:after="0" w:line="360" w:lineRule="auto"/>
        <w:ind w:left="-576" w:right="-576"/>
        <w:jc w:val="both"/>
      </w:pPr>
    </w:p>
    <w:p w14:paraId="6E7AAC88" w14:textId="77777777" w:rsidR="0075006E" w:rsidRPr="003E6051" w:rsidRDefault="0075006E" w:rsidP="007C1BEE">
      <w:pPr>
        <w:spacing w:after="0" w:line="360" w:lineRule="auto"/>
        <w:ind w:left="-576" w:right="-576"/>
        <w:jc w:val="both"/>
      </w:pPr>
    </w:p>
    <w:p w14:paraId="0A798391" w14:textId="77777777" w:rsidR="0075006E" w:rsidRPr="003E6051" w:rsidRDefault="0075006E" w:rsidP="007C1BEE">
      <w:pPr>
        <w:spacing w:after="0" w:line="360" w:lineRule="auto"/>
        <w:ind w:left="-576" w:right="-576"/>
        <w:jc w:val="both"/>
      </w:pPr>
    </w:p>
    <w:p w14:paraId="4151E075" w14:textId="77777777" w:rsidR="0075006E" w:rsidRPr="003E6051" w:rsidRDefault="0075006E" w:rsidP="007C1BEE">
      <w:pPr>
        <w:spacing w:after="0" w:line="360" w:lineRule="auto"/>
        <w:ind w:left="-576" w:right="-576"/>
        <w:jc w:val="both"/>
      </w:pPr>
    </w:p>
    <w:p w14:paraId="53CB7677" w14:textId="77777777" w:rsidR="0075006E" w:rsidRPr="003E6051" w:rsidRDefault="0075006E" w:rsidP="007C1BEE">
      <w:pPr>
        <w:spacing w:after="0" w:line="360" w:lineRule="auto"/>
        <w:ind w:left="-576" w:right="-576"/>
        <w:jc w:val="both"/>
      </w:pPr>
    </w:p>
    <w:p w14:paraId="120C0F2D" w14:textId="77777777" w:rsidR="0075006E" w:rsidRPr="003E6051" w:rsidRDefault="0075006E" w:rsidP="007C1BEE">
      <w:pPr>
        <w:spacing w:after="0" w:line="360" w:lineRule="auto"/>
        <w:ind w:left="-576" w:right="-576"/>
        <w:jc w:val="both"/>
      </w:pPr>
    </w:p>
    <w:p w14:paraId="16179524" w14:textId="77777777" w:rsidR="0075006E" w:rsidRPr="003E6051" w:rsidRDefault="0075006E" w:rsidP="007C1BEE">
      <w:pPr>
        <w:spacing w:after="0" w:line="360" w:lineRule="auto"/>
        <w:ind w:left="-576" w:right="-576"/>
        <w:jc w:val="both"/>
      </w:pPr>
    </w:p>
    <w:p w14:paraId="7472349E" w14:textId="77777777" w:rsidR="00CB48DF" w:rsidRPr="003E6051" w:rsidRDefault="00CB48DF" w:rsidP="007C1BEE">
      <w:pPr>
        <w:spacing w:after="0"/>
        <w:rPr>
          <w:rFonts w:eastAsiaTheme="majorEastAsia"/>
        </w:rPr>
      </w:pPr>
      <w:r w:rsidRPr="003E6051">
        <w:br w:type="page"/>
      </w:r>
    </w:p>
    <w:p w14:paraId="14E612E0" w14:textId="6D729314" w:rsidR="00CB48DF" w:rsidRPr="003E6051" w:rsidRDefault="00A20578" w:rsidP="007C1BEE">
      <w:pPr>
        <w:pStyle w:val="Heading2"/>
        <w:spacing w:before="0" w:line="360" w:lineRule="auto"/>
        <w:ind w:left="-576" w:right="-576"/>
        <w:jc w:val="both"/>
        <w:rPr>
          <w:rFonts w:cs="Calibri Light"/>
          <w:sz w:val="22"/>
          <w:szCs w:val="22"/>
        </w:rPr>
      </w:pPr>
      <w:bookmarkStart w:id="3" w:name="_Toc219216461"/>
      <w:r w:rsidRPr="003E6051">
        <w:rPr>
          <w:rFonts w:cs="Calibri Light"/>
          <w:sz w:val="22"/>
          <w:szCs w:val="22"/>
        </w:rPr>
        <w:lastRenderedPageBreak/>
        <w:t>4</w:t>
      </w:r>
      <w:r w:rsidR="003E37A2" w:rsidRPr="003E6051">
        <w:rPr>
          <w:rFonts w:cs="Calibri Light"/>
          <w:sz w:val="22"/>
          <w:szCs w:val="22"/>
        </w:rPr>
        <w:t xml:space="preserve">. </w:t>
      </w:r>
      <w:r w:rsidR="00CB48DF" w:rsidRPr="003E6051">
        <w:rPr>
          <w:rFonts w:cs="Calibri Light"/>
          <w:sz w:val="22"/>
          <w:szCs w:val="22"/>
        </w:rPr>
        <w:t>Title</w:t>
      </w:r>
      <w:bookmarkEnd w:id="3"/>
    </w:p>
    <w:p w14:paraId="5A3CD832" w14:textId="77777777" w:rsidR="00CB48DF" w:rsidRPr="003E6051" w:rsidRDefault="00CB48DF" w:rsidP="007C1BEE">
      <w:pPr>
        <w:spacing w:after="0" w:line="360" w:lineRule="auto"/>
        <w:ind w:left="-576" w:right="-576"/>
        <w:jc w:val="both"/>
      </w:pPr>
    </w:p>
    <w:p w14:paraId="11C806F8" w14:textId="46C385C3" w:rsidR="00CB48DF" w:rsidRPr="003E6051" w:rsidRDefault="00CB48DF" w:rsidP="007C1BEE">
      <w:pPr>
        <w:spacing w:after="0" w:line="360" w:lineRule="auto"/>
        <w:ind w:left="-576" w:right="-576"/>
        <w:jc w:val="both"/>
      </w:pPr>
      <w:r w:rsidRPr="003E6051">
        <w:t xml:space="preserve">Are </w:t>
      </w:r>
      <w:r w:rsidR="00E7326C" w:rsidRPr="003E6051">
        <w:t xml:space="preserve">Risk Assessment Tools Effectively </w:t>
      </w:r>
      <w:r w:rsidR="00E7326C">
        <w:t>u</w:t>
      </w:r>
      <w:r w:rsidR="00E7326C" w:rsidRPr="003E6051">
        <w:t xml:space="preserve">sed </w:t>
      </w:r>
      <w:r w:rsidR="00E7326C">
        <w:t>i</w:t>
      </w:r>
      <w:r w:rsidR="00E7326C" w:rsidRPr="003E6051">
        <w:t xml:space="preserve">n Project Management, </w:t>
      </w:r>
      <w:r w:rsidR="00E7326C">
        <w:t>a</w:t>
      </w:r>
      <w:r w:rsidR="00E7326C" w:rsidRPr="003E6051">
        <w:t xml:space="preserve">nd </w:t>
      </w:r>
      <w:r w:rsidR="00E7326C">
        <w:t>i</w:t>
      </w:r>
      <w:r w:rsidR="00E7326C" w:rsidRPr="003E6051">
        <w:t xml:space="preserve">s </w:t>
      </w:r>
      <w:r w:rsidR="00E7326C">
        <w:t>t</w:t>
      </w:r>
      <w:r w:rsidR="00E7326C" w:rsidRPr="003E6051">
        <w:t xml:space="preserve">here </w:t>
      </w:r>
      <w:r w:rsidR="00E7326C">
        <w:t>a</w:t>
      </w:r>
      <w:r w:rsidR="00E7326C" w:rsidRPr="003E6051">
        <w:t xml:space="preserve"> Need </w:t>
      </w:r>
      <w:r w:rsidR="00E7326C">
        <w:t>f</w:t>
      </w:r>
      <w:r w:rsidR="00E7326C" w:rsidRPr="003E6051">
        <w:t xml:space="preserve">or </w:t>
      </w:r>
      <w:r w:rsidR="00E7326C">
        <w:t>a</w:t>
      </w:r>
      <w:r w:rsidR="00E7326C" w:rsidRPr="003E6051">
        <w:t xml:space="preserve"> Customisable Framework </w:t>
      </w:r>
      <w:r w:rsidR="00E7326C">
        <w:t>t</w:t>
      </w:r>
      <w:r w:rsidR="00E7326C" w:rsidRPr="003E6051">
        <w:t xml:space="preserve">o Enhance Risk Management </w:t>
      </w:r>
      <w:r w:rsidR="00E7326C">
        <w:t>t</w:t>
      </w:r>
      <w:r w:rsidR="00E7326C" w:rsidRPr="003E6051">
        <w:t>o Ultimately Improve Project Outcomes?</w:t>
      </w:r>
    </w:p>
    <w:p w14:paraId="631AAF68" w14:textId="77777777" w:rsidR="00CB48DF" w:rsidRPr="003E6051" w:rsidRDefault="00CB48DF" w:rsidP="007C1BEE">
      <w:pPr>
        <w:spacing w:after="0"/>
      </w:pPr>
    </w:p>
    <w:p w14:paraId="53CAC9AE" w14:textId="77777777" w:rsidR="00CB48DF" w:rsidRPr="003E6051" w:rsidRDefault="00CB48DF" w:rsidP="007C1BEE">
      <w:pPr>
        <w:spacing w:after="0"/>
        <w:rPr>
          <w:rFonts w:eastAsiaTheme="majorEastAsia"/>
        </w:rPr>
      </w:pPr>
      <w:r w:rsidRPr="003E6051">
        <w:br w:type="page"/>
      </w:r>
    </w:p>
    <w:p w14:paraId="25752B46" w14:textId="27DFE7C2" w:rsidR="005536D9" w:rsidRPr="003E6051" w:rsidRDefault="00CB48DF" w:rsidP="007C1BEE">
      <w:pPr>
        <w:pStyle w:val="Heading2"/>
        <w:spacing w:before="0" w:line="360" w:lineRule="auto"/>
        <w:ind w:left="-576" w:right="-576"/>
        <w:jc w:val="both"/>
        <w:rPr>
          <w:rFonts w:cs="Calibri Light"/>
          <w:sz w:val="22"/>
          <w:szCs w:val="22"/>
        </w:rPr>
      </w:pPr>
      <w:bookmarkStart w:id="4" w:name="_Toc219216462"/>
      <w:r w:rsidRPr="003E6051">
        <w:rPr>
          <w:rFonts w:cs="Calibri Light"/>
          <w:sz w:val="22"/>
          <w:szCs w:val="22"/>
        </w:rPr>
        <w:lastRenderedPageBreak/>
        <w:t xml:space="preserve">5. </w:t>
      </w:r>
      <w:r w:rsidR="001951B3" w:rsidRPr="003E6051">
        <w:rPr>
          <w:rFonts w:cs="Calibri Light"/>
          <w:sz w:val="22"/>
          <w:szCs w:val="22"/>
          <w:u w:val="single"/>
        </w:rPr>
        <w:t>Introduction</w:t>
      </w:r>
      <w:bookmarkEnd w:id="4"/>
      <w:r w:rsidR="001951B3" w:rsidRPr="003E6051">
        <w:rPr>
          <w:rFonts w:cs="Calibri Light"/>
          <w:sz w:val="22"/>
          <w:szCs w:val="22"/>
          <w:u w:val="single"/>
        </w:rPr>
        <w:t xml:space="preserve"> </w:t>
      </w:r>
    </w:p>
    <w:p w14:paraId="2CC8A1D1" w14:textId="77777777" w:rsidR="00046FD6" w:rsidRPr="003E6051" w:rsidRDefault="00046FD6" w:rsidP="007C1BEE">
      <w:pPr>
        <w:spacing w:after="0" w:line="360" w:lineRule="auto"/>
        <w:ind w:left="-576" w:right="-576"/>
        <w:jc w:val="both"/>
        <w:rPr>
          <w:rFonts w:eastAsia="Times New Roman"/>
          <w:lang w:eastAsia="en-GB"/>
        </w:rPr>
      </w:pPr>
    </w:p>
    <w:p w14:paraId="65F96C42" w14:textId="2ED0CCB0" w:rsidR="00203237" w:rsidRPr="003E6051" w:rsidRDefault="00203237" w:rsidP="007C1BEE">
      <w:pPr>
        <w:spacing w:after="0" w:line="360" w:lineRule="auto"/>
        <w:ind w:left="-576" w:right="-576"/>
        <w:jc w:val="both"/>
        <w:rPr>
          <w:rFonts w:eastAsia="Times New Roman"/>
          <w:lang w:eastAsia="en-GB"/>
        </w:rPr>
      </w:pPr>
      <w:r w:rsidRPr="003E6051">
        <w:rPr>
          <w:rFonts w:eastAsia="Times New Roman"/>
          <w:lang w:eastAsia="en-GB"/>
        </w:rPr>
        <w:t xml:space="preserve">Risk management is not merely a procedural component but a strategic imperative in the successful execution of large-scale industrial projects. As articulated by </w:t>
      </w:r>
      <w:sdt>
        <w:sdtPr>
          <w:rPr>
            <w:rFonts w:eastAsia="Times New Roman"/>
            <w:lang w:eastAsia="en-GB"/>
          </w:rPr>
          <w:id w:val="820235133"/>
          <w:citation/>
        </w:sdtPr>
        <w:sdtContent>
          <w:r w:rsidR="00205101" w:rsidRPr="003E6051">
            <w:rPr>
              <w:rFonts w:eastAsia="Times New Roman"/>
              <w:lang w:eastAsia="en-GB"/>
            </w:rPr>
            <w:fldChar w:fldCharType="begin"/>
          </w:r>
          <w:r w:rsidR="00205101" w:rsidRPr="003E6051">
            <w:rPr>
              <w:rFonts w:eastAsia="Times New Roman"/>
              <w:lang w:val="en-US" w:eastAsia="en-GB"/>
            </w:rPr>
            <w:instrText xml:space="preserve"> CITATION Jac18 \l 1033 </w:instrText>
          </w:r>
          <w:r w:rsidR="00205101" w:rsidRPr="003E6051">
            <w:rPr>
              <w:rFonts w:eastAsia="Times New Roman"/>
              <w:lang w:eastAsia="en-GB"/>
            </w:rPr>
            <w:fldChar w:fldCharType="separate"/>
          </w:r>
          <w:r w:rsidR="00205101" w:rsidRPr="003E6051">
            <w:rPr>
              <w:rFonts w:eastAsia="Times New Roman"/>
              <w:noProof/>
              <w:lang w:val="en-US" w:eastAsia="en-GB"/>
            </w:rPr>
            <w:t>(Jacqueline Jepson, 2018)</w:t>
          </w:r>
          <w:r w:rsidR="00205101" w:rsidRPr="003E6051">
            <w:rPr>
              <w:rFonts w:eastAsia="Times New Roman"/>
              <w:lang w:eastAsia="en-GB"/>
            </w:rPr>
            <w:fldChar w:fldCharType="end"/>
          </w:r>
        </w:sdtContent>
      </w:sdt>
      <w:r w:rsidRPr="003E6051">
        <w:rPr>
          <w:rFonts w:eastAsia="Times New Roman"/>
          <w:lang w:eastAsia="en-GB"/>
        </w:rPr>
        <w:t>, these ventures, ranging across construction, manufacturing, and energy sectors, operate within environments that are inherently volatile and complex. They are routinely exposed to multifaceted risks including regulatory delays, supply chain disruptions, geopolitical instability, technological failure, and workforce-related issues</w:t>
      </w:r>
      <w:r w:rsidR="00897EE4" w:rsidRPr="003E6051">
        <w:rPr>
          <w:rFonts w:eastAsia="Times New Roman"/>
          <w:lang w:eastAsia="en-GB"/>
        </w:rPr>
        <w:t xml:space="preserve"> </w:t>
      </w:r>
      <w:sdt>
        <w:sdtPr>
          <w:rPr>
            <w:rFonts w:eastAsia="Times New Roman"/>
            <w:lang w:eastAsia="en-GB"/>
          </w:rPr>
          <w:id w:val="1578237127"/>
          <w:citation/>
        </w:sdtPr>
        <w:sdtContent>
          <w:r w:rsidR="00897EE4" w:rsidRPr="003E6051">
            <w:rPr>
              <w:rFonts w:eastAsia="Times New Roman"/>
              <w:lang w:eastAsia="en-GB"/>
            </w:rPr>
            <w:fldChar w:fldCharType="begin"/>
          </w:r>
          <w:r w:rsidR="00897EE4" w:rsidRPr="003E6051">
            <w:rPr>
              <w:rFonts w:eastAsia="Times New Roman"/>
              <w:lang w:val="en-US" w:eastAsia="en-GB"/>
            </w:rPr>
            <w:instrText xml:space="preserve"> CITATION Het21 \l 1033 </w:instrText>
          </w:r>
          <w:r w:rsidR="00897EE4" w:rsidRPr="003E6051">
            <w:rPr>
              <w:rFonts w:eastAsia="Times New Roman"/>
              <w:lang w:eastAsia="en-GB"/>
            </w:rPr>
            <w:fldChar w:fldCharType="separate"/>
          </w:r>
          <w:r w:rsidR="00897EE4" w:rsidRPr="003E6051">
            <w:rPr>
              <w:rFonts w:eastAsia="Times New Roman"/>
              <w:noProof/>
              <w:lang w:val="en-US" w:eastAsia="en-GB"/>
            </w:rPr>
            <w:t>(Hetemi, 2021)</w:t>
          </w:r>
          <w:r w:rsidR="00897EE4" w:rsidRPr="003E6051">
            <w:rPr>
              <w:rFonts w:eastAsia="Times New Roman"/>
              <w:lang w:eastAsia="en-GB"/>
            </w:rPr>
            <w:fldChar w:fldCharType="end"/>
          </w:r>
        </w:sdtContent>
      </w:sdt>
      <w:r w:rsidRPr="003E6051">
        <w:rPr>
          <w:rFonts w:eastAsia="Times New Roman"/>
          <w:lang w:eastAsia="en-GB"/>
        </w:rPr>
        <w:t>. The consequences of such risks can be severe, not only compromising timelines and budgets but also eroding stakeholder confidence and regulatory compliance.</w:t>
      </w:r>
    </w:p>
    <w:p w14:paraId="2CBAFA91" w14:textId="77777777" w:rsidR="00203237" w:rsidRPr="003E6051" w:rsidRDefault="00203237" w:rsidP="007C1BEE">
      <w:pPr>
        <w:spacing w:after="0" w:line="360" w:lineRule="auto"/>
        <w:ind w:left="-576" w:right="-576"/>
        <w:jc w:val="both"/>
        <w:rPr>
          <w:rFonts w:eastAsia="Times New Roman"/>
          <w:lang w:eastAsia="en-GB"/>
        </w:rPr>
      </w:pPr>
    </w:p>
    <w:p w14:paraId="1C2B574F" w14:textId="3B7C32A2" w:rsidR="00203237" w:rsidRPr="003E6051" w:rsidRDefault="00203237" w:rsidP="007C1BEE">
      <w:pPr>
        <w:spacing w:after="0" w:line="360" w:lineRule="auto"/>
        <w:ind w:left="-576" w:right="-576"/>
        <w:jc w:val="both"/>
        <w:rPr>
          <w:rFonts w:eastAsia="Times New Roman"/>
          <w:lang w:eastAsia="en-GB"/>
        </w:rPr>
      </w:pPr>
      <w:r w:rsidRPr="003E6051">
        <w:rPr>
          <w:rFonts w:eastAsia="Times New Roman"/>
          <w:lang w:eastAsia="en-GB"/>
        </w:rPr>
        <w:t>Within this context, the systematic use of risk assessment tools becomes indispensable</w:t>
      </w:r>
      <w:r w:rsidR="00897EE4" w:rsidRPr="003E6051">
        <w:rPr>
          <w:rFonts w:eastAsia="Times New Roman"/>
          <w:lang w:eastAsia="en-GB"/>
        </w:rPr>
        <w:t xml:space="preserve"> </w:t>
      </w:r>
      <w:sdt>
        <w:sdtPr>
          <w:rPr>
            <w:rFonts w:eastAsia="Times New Roman"/>
            <w:lang w:eastAsia="en-GB"/>
          </w:rPr>
          <w:id w:val="1872187786"/>
          <w:citation/>
        </w:sdtPr>
        <w:sdtContent>
          <w:r w:rsidR="00897EE4" w:rsidRPr="003E6051">
            <w:rPr>
              <w:rFonts w:eastAsia="Times New Roman"/>
              <w:lang w:eastAsia="en-GB"/>
            </w:rPr>
            <w:fldChar w:fldCharType="begin"/>
          </w:r>
          <w:r w:rsidR="00897EE4" w:rsidRPr="003E6051">
            <w:rPr>
              <w:rFonts w:eastAsia="Times New Roman"/>
              <w:lang w:val="en-US" w:eastAsia="en-GB"/>
            </w:rPr>
            <w:instrText xml:space="preserve"> CITATION Pau08 \l 1033 </w:instrText>
          </w:r>
          <w:r w:rsidR="00897EE4" w:rsidRPr="003E6051">
            <w:rPr>
              <w:rFonts w:eastAsia="Times New Roman"/>
              <w:lang w:eastAsia="en-GB"/>
            </w:rPr>
            <w:fldChar w:fldCharType="separate"/>
          </w:r>
          <w:r w:rsidR="00897EE4" w:rsidRPr="003E6051">
            <w:rPr>
              <w:rFonts w:eastAsia="Times New Roman"/>
              <w:noProof/>
              <w:lang w:val="en-US" w:eastAsia="en-GB"/>
            </w:rPr>
            <w:t>(Bannerman, 2008)</w:t>
          </w:r>
          <w:r w:rsidR="00897EE4" w:rsidRPr="003E6051">
            <w:rPr>
              <w:rFonts w:eastAsia="Times New Roman"/>
              <w:lang w:eastAsia="en-GB"/>
            </w:rPr>
            <w:fldChar w:fldCharType="end"/>
          </w:r>
        </w:sdtContent>
      </w:sdt>
      <w:r w:rsidRPr="003E6051">
        <w:rPr>
          <w:rFonts w:eastAsia="Times New Roman"/>
          <w:lang w:eastAsia="en-GB"/>
        </w:rPr>
        <w:t>. Tools such as Failure Modes and Effects Analysis (FMEA), Monte Carlo simulation, SWOT analysis, and Risk Breakdown Structures (RBS) are designed to proactively identify, evaluate, and mitigate potential threats. These instruments provide a structured pathway to transform uncertainty into quantifiable and manageable parameters, thereby enhancing decision-making and contingency planning</w:t>
      </w:r>
      <w:r w:rsidR="00897EE4" w:rsidRPr="003E6051">
        <w:rPr>
          <w:rFonts w:eastAsia="Times New Roman"/>
          <w:lang w:eastAsia="en-GB"/>
        </w:rPr>
        <w:t xml:space="preserve"> </w:t>
      </w:r>
      <w:sdt>
        <w:sdtPr>
          <w:rPr>
            <w:rFonts w:eastAsia="Times New Roman"/>
            <w:lang w:eastAsia="en-GB"/>
          </w:rPr>
          <w:id w:val="-181903454"/>
          <w:citation/>
        </w:sdtPr>
        <w:sdtContent>
          <w:r w:rsidR="00897EE4" w:rsidRPr="003E6051">
            <w:rPr>
              <w:rFonts w:eastAsia="Times New Roman"/>
              <w:lang w:eastAsia="en-GB"/>
            </w:rPr>
            <w:fldChar w:fldCharType="begin"/>
          </w:r>
          <w:r w:rsidR="00897EE4" w:rsidRPr="003E6051">
            <w:rPr>
              <w:rFonts w:eastAsia="Times New Roman"/>
              <w:lang w:val="en-US" w:eastAsia="en-GB"/>
            </w:rPr>
            <w:instrText xml:space="preserve"> CITATION Pau08 \l 1033 </w:instrText>
          </w:r>
          <w:r w:rsidR="00897EE4" w:rsidRPr="003E6051">
            <w:rPr>
              <w:rFonts w:eastAsia="Times New Roman"/>
              <w:lang w:eastAsia="en-GB"/>
            </w:rPr>
            <w:fldChar w:fldCharType="separate"/>
          </w:r>
          <w:r w:rsidR="00897EE4" w:rsidRPr="003E6051">
            <w:rPr>
              <w:rFonts w:eastAsia="Times New Roman"/>
              <w:noProof/>
              <w:lang w:val="en-US" w:eastAsia="en-GB"/>
            </w:rPr>
            <w:t>(Bannerman, 2008)</w:t>
          </w:r>
          <w:r w:rsidR="00897EE4" w:rsidRPr="003E6051">
            <w:rPr>
              <w:rFonts w:eastAsia="Times New Roman"/>
              <w:lang w:eastAsia="en-GB"/>
            </w:rPr>
            <w:fldChar w:fldCharType="end"/>
          </w:r>
        </w:sdtContent>
      </w:sdt>
      <w:r w:rsidRPr="003E6051">
        <w:rPr>
          <w:rFonts w:eastAsia="Times New Roman"/>
          <w:lang w:eastAsia="en-GB"/>
        </w:rPr>
        <w:t>.</w:t>
      </w:r>
    </w:p>
    <w:p w14:paraId="45C121E1" w14:textId="77777777" w:rsidR="00203237" w:rsidRPr="003E6051" w:rsidRDefault="00203237" w:rsidP="007C1BEE">
      <w:pPr>
        <w:spacing w:after="0" w:line="360" w:lineRule="auto"/>
        <w:ind w:left="-576" w:right="-576"/>
        <w:jc w:val="both"/>
        <w:rPr>
          <w:rFonts w:eastAsia="Times New Roman"/>
          <w:lang w:eastAsia="en-GB"/>
        </w:rPr>
      </w:pPr>
    </w:p>
    <w:p w14:paraId="1D3D86B6" w14:textId="01A41317" w:rsidR="00203237" w:rsidRPr="003E6051" w:rsidRDefault="00203237" w:rsidP="007C1BEE">
      <w:pPr>
        <w:spacing w:after="0" w:line="360" w:lineRule="auto"/>
        <w:ind w:left="-576" w:right="-576"/>
        <w:jc w:val="both"/>
        <w:rPr>
          <w:rFonts w:eastAsia="Times New Roman"/>
          <w:lang w:eastAsia="en-GB"/>
        </w:rPr>
      </w:pPr>
      <w:r w:rsidRPr="003E6051">
        <w:rPr>
          <w:rFonts w:eastAsia="Times New Roman"/>
          <w:lang w:eastAsia="en-GB"/>
        </w:rPr>
        <w:t>The theoretical endorsement of these tools stands in stark contrast to their inconsistent real-world application, as noted by</w:t>
      </w:r>
      <w:r w:rsidR="00205101" w:rsidRPr="003E6051">
        <w:rPr>
          <w:rFonts w:eastAsia="Times New Roman"/>
          <w:lang w:eastAsia="en-GB"/>
        </w:rPr>
        <w:t xml:space="preserve"> </w:t>
      </w:r>
      <w:sdt>
        <w:sdtPr>
          <w:rPr>
            <w:rFonts w:eastAsia="Times New Roman"/>
            <w:lang w:eastAsia="en-GB"/>
          </w:rPr>
          <w:id w:val="-9838451"/>
          <w:citation/>
        </w:sdtPr>
        <w:sdtContent>
          <w:r w:rsidR="00205101" w:rsidRPr="003E6051">
            <w:rPr>
              <w:rFonts w:eastAsia="Times New Roman"/>
              <w:lang w:eastAsia="en-GB"/>
            </w:rPr>
            <w:fldChar w:fldCharType="begin"/>
          </w:r>
          <w:r w:rsidR="00205101" w:rsidRPr="003E6051">
            <w:rPr>
              <w:rFonts w:eastAsia="Times New Roman"/>
              <w:lang w:val="en-US" w:eastAsia="en-GB"/>
            </w:rPr>
            <w:instrText xml:space="preserve"> CITATION Cha97 \l 1033 </w:instrText>
          </w:r>
          <w:r w:rsidR="00205101" w:rsidRPr="003E6051">
            <w:rPr>
              <w:rFonts w:eastAsia="Times New Roman"/>
              <w:lang w:eastAsia="en-GB"/>
            </w:rPr>
            <w:fldChar w:fldCharType="separate"/>
          </w:r>
          <w:r w:rsidR="00205101" w:rsidRPr="003E6051">
            <w:rPr>
              <w:rFonts w:eastAsia="Times New Roman"/>
              <w:noProof/>
              <w:lang w:val="en-US" w:eastAsia="en-GB"/>
            </w:rPr>
            <w:t>(Chapman &amp; Ward, 1997)</w:t>
          </w:r>
          <w:r w:rsidR="00205101" w:rsidRPr="003E6051">
            <w:rPr>
              <w:rFonts w:eastAsia="Times New Roman"/>
              <w:lang w:eastAsia="en-GB"/>
            </w:rPr>
            <w:fldChar w:fldCharType="end"/>
          </w:r>
        </w:sdtContent>
      </w:sdt>
      <w:r w:rsidRPr="003E6051">
        <w:rPr>
          <w:rFonts w:eastAsia="Times New Roman"/>
          <w:lang w:eastAsia="en-GB"/>
        </w:rPr>
        <w:t>. Despite the widespread development of risk management frameworks, such as ISO 31000, the PMBOK, (Project Management Body of Knowledge) risk management process, and PRAM (Project Risk Analysis and Management)</w:t>
      </w:r>
      <w:r w:rsidR="00897EE4" w:rsidRPr="003E6051">
        <w:rPr>
          <w:rFonts w:eastAsia="Times New Roman"/>
          <w:lang w:eastAsia="en-GB"/>
        </w:rPr>
        <w:t xml:space="preserve"> </w:t>
      </w:r>
      <w:sdt>
        <w:sdtPr>
          <w:rPr>
            <w:rFonts w:eastAsia="Times New Roman"/>
            <w:lang w:eastAsia="en-GB"/>
          </w:rPr>
          <w:id w:val="-1505989"/>
          <w:citation/>
        </w:sdtPr>
        <w:sdtContent>
          <w:r w:rsidR="00897EE4" w:rsidRPr="003E6051">
            <w:rPr>
              <w:rFonts w:eastAsia="Times New Roman"/>
              <w:lang w:eastAsia="en-GB"/>
            </w:rPr>
            <w:fldChar w:fldCharType="begin"/>
          </w:r>
          <w:r w:rsidR="00897EE4" w:rsidRPr="003E6051">
            <w:rPr>
              <w:rFonts w:eastAsia="Times New Roman"/>
              <w:lang w:val="en-US" w:eastAsia="en-GB"/>
            </w:rPr>
            <w:instrText xml:space="preserve"> CITATION Pat05 \l 1033 </w:instrText>
          </w:r>
          <w:r w:rsidR="00897EE4" w:rsidRPr="003E6051">
            <w:rPr>
              <w:rFonts w:eastAsia="Times New Roman"/>
              <w:lang w:eastAsia="en-GB"/>
            </w:rPr>
            <w:fldChar w:fldCharType="separate"/>
          </w:r>
          <w:r w:rsidR="00897EE4" w:rsidRPr="003E6051">
            <w:rPr>
              <w:rFonts w:eastAsia="Times New Roman"/>
              <w:noProof/>
              <w:lang w:val="en-US" w:eastAsia="en-GB"/>
            </w:rPr>
            <w:t>(Pattberg, 2005)</w:t>
          </w:r>
          <w:r w:rsidR="00897EE4" w:rsidRPr="003E6051">
            <w:rPr>
              <w:rFonts w:eastAsia="Times New Roman"/>
              <w:lang w:eastAsia="en-GB"/>
            </w:rPr>
            <w:fldChar w:fldCharType="end"/>
          </w:r>
        </w:sdtContent>
      </w:sdt>
      <w:r w:rsidR="00897EE4" w:rsidRPr="003E6051">
        <w:rPr>
          <w:rFonts w:eastAsia="Times New Roman"/>
          <w:lang w:eastAsia="en-GB"/>
        </w:rPr>
        <w:t>,</w:t>
      </w:r>
      <w:r w:rsidRPr="003E6051">
        <w:rPr>
          <w:rFonts w:eastAsia="Times New Roman"/>
          <w:lang w:eastAsia="en-GB"/>
        </w:rPr>
        <w:t xml:space="preserve"> empirical evidence suggests that their adoption remains fragmented and sporadic, particularly in fast-paced or resource-constrained environments. Organisational culture, project complexity, lack of training, and managerial resistance are frequently cited as barriers to the routine institutionalisation of these practices</w:t>
      </w:r>
      <w:r w:rsidR="00E62582" w:rsidRPr="003E6051">
        <w:rPr>
          <w:rFonts w:eastAsia="Times New Roman"/>
          <w:lang w:eastAsia="en-GB"/>
        </w:rPr>
        <w:t xml:space="preserve"> </w:t>
      </w:r>
      <w:sdt>
        <w:sdtPr>
          <w:rPr>
            <w:rFonts w:eastAsia="Times New Roman"/>
            <w:lang w:eastAsia="en-GB"/>
          </w:rPr>
          <w:id w:val="-833681019"/>
          <w:citation/>
        </w:sdtPr>
        <w:sdtContent>
          <w:r w:rsidR="00E62582" w:rsidRPr="003E6051">
            <w:rPr>
              <w:rFonts w:eastAsia="Times New Roman"/>
              <w:lang w:eastAsia="en-GB"/>
            </w:rPr>
            <w:fldChar w:fldCharType="begin"/>
          </w:r>
          <w:r w:rsidR="00E62582" w:rsidRPr="003E6051">
            <w:rPr>
              <w:rFonts w:eastAsia="Times New Roman"/>
              <w:lang w:val="en-US" w:eastAsia="en-GB"/>
            </w:rPr>
            <w:instrText xml:space="preserve"> CITATION Aer17 \l 1033 </w:instrText>
          </w:r>
          <w:r w:rsidR="00E62582" w:rsidRPr="003E6051">
            <w:rPr>
              <w:rFonts w:eastAsia="Times New Roman"/>
              <w:lang w:eastAsia="en-GB"/>
            </w:rPr>
            <w:fldChar w:fldCharType="separate"/>
          </w:r>
          <w:r w:rsidR="00E62582" w:rsidRPr="003E6051">
            <w:rPr>
              <w:rFonts w:eastAsia="Times New Roman"/>
              <w:noProof/>
              <w:lang w:val="en-US" w:eastAsia="en-GB"/>
            </w:rPr>
            <w:t>(Aerts, 2017)</w:t>
          </w:r>
          <w:r w:rsidR="00E62582" w:rsidRPr="003E6051">
            <w:rPr>
              <w:rFonts w:eastAsia="Times New Roman"/>
              <w:lang w:eastAsia="en-GB"/>
            </w:rPr>
            <w:fldChar w:fldCharType="end"/>
          </w:r>
        </w:sdtContent>
      </w:sdt>
      <w:r w:rsidRPr="003E6051">
        <w:rPr>
          <w:rFonts w:eastAsia="Times New Roman"/>
          <w:lang w:eastAsia="en-GB"/>
        </w:rPr>
        <w:t>.</w:t>
      </w:r>
      <w:r w:rsidR="00E62582" w:rsidRPr="003E6051">
        <w:rPr>
          <w:rFonts w:eastAsia="Times New Roman"/>
          <w:lang w:eastAsia="en-GB"/>
        </w:rPr>
        <w:t xml:space="preserve"> </w:t>
      </w:r>
    </w:p>
    <w:p w14:paraId="5C65C304" w14:textId="77777777" w:rsidR="00203237" w:rsidRPr="003E6051" w:rsidRDefault="00203237" w:rsidP="007C1BEE">
      <w:pPr>
        <w:spacing w:after="0" w:line="360" w:lineRule="auto"/>
        <w:ind w:left="-576" w:right="-576"/>
        <w:jc w:val="both"/>
        <w:rPr>
          <w:rFonts w:eastAsia="Times New Roman"/>
          <w:lang w:eastAsia="en-GB"/>
        </w:rPr>
      </w:pPr>
    </w:p>
    <w:p w14:paraId="75B0690B" w14:textId="77777777" w:rsidR="00203237" w:rsidRPr="003E6051" w:rsidRDefault="00203237" w:rsidP="007C1BEE">
      <w:pPr>
        <w:spacing w:after="0" w:line="360" w:lineRule="auto"/>
        <w:ind w:left="-576" w:right="-576"/>
        <w:jc w:val="both"/>
        <w:rPr>
          <w:rFonts w:eastAsia="Times New Roman"/>
          <w:lang w:eastAsia="en-GB"/>
        </w:rPr>
      </w:pPr>
      <w:r w:rsidRPr="003E6051">
        <w:rPr>
          <w:rFonts w:eastAsia="Times New Roman"/>
          <w:lang w:eastAsia="en-GB"/>
        </w:rPr>
        <w:t xml:space="preserve">This discrepancy raises critical questions: </w:t>
      </w:r>
    </w:p>
    <w:p w14:paraId="615521D3" w14:textId="77777777" w:rsidR="00203237" w:rsidRPr="003E6051" w:rsidRDefault="00203237" w:rsidP="007C1BEE">
      <w:pPr>
        <w:pStyle w:val="ListParagraph"/>
        <w:numPr>
          <w:ilvl w:val="0"/>
          <w:numId w:val="33"/>
        </w:numPr>
        <w:spacing w:after="0" w:line="360" w:lineRule="auto"/>
        <w:ind w:right="-576"/>
        <w:jc w:val="both"/>
        <w:rPr>
          <w:rFonts w:eastAsia="Times New Roman"/>
          <w:lang w:eastAsia="en-GB"/>
        </w:rPr>
      </w:pPr>
      <w:r w:rsidRPr="003E6051">
        <w:rPr>
          <w:rFonts w:eastAsia="Times New Roman"/>
          <w:lang w:eastAsia="en-GB"/>
        </w:rPr>
        <w:t xml:space="preserve">Are these tools perceived as too complex or time-consuming for practical application? </w:t>
      </w:r>
    </w:p>
    <w:p w14:paraId="78AA102D" w14:textId="77777777" w:rsidR="00203237" w:rsidRPr="003E6051" w:rsidRDefault="00203237" w:rsidP="007C1BEE">
      <w:pPr>
        <w:pStyle w:val="ListParagraph"/>
        <w:numPr>
          <w:ilvl w:val="0"/>
          <w:numId w:val="33"/>
        </w:numPr>
        <w:spacing w:after="0" w:line="360" w:lineRule="auto"/>
        <w:ind w:right="-576"/>
        <w:jc w:val="both"/>
        <w:rPr>
          <w:rFonts w:eastAsia="Times New Roman"/>
          <w:lang w:eastAsia="en-GB"/>
        </w:rPr>
      </w:pPr>
      <w:r w:rsidRPr="003E6051">
        <w:rPr>
          <w:rFonts w:eastAsia="Times New Roman"/>
          <w:lang w:eastAsia="en-GB"/>
        </w:rPr>
        <w:t xml:space="preserve">Do project teams undervalue formal risk processes in favour of experience-based intuition? </w:t>
      </w:r>
    </w:p>
    <w:p w14:paraId="46F7548F" w14:textId="3EFC0F5D" w:rsidR="00203237" w:rsidRPr="003E6051" w:rsidRDefault="00203237" w:rsidP="007C1BEE">
      <w:pPr>
        <w:pStyle w:val="ListParagraph"/>
        <w:numPr>
          <w:ilvl w:val="0"/>
          <w:numId w:val="33"/>
        </w:numPr>
        <w:spacing w:after="0" w:line="360" w:lineRule="auto"/>
        <w:ind w:right="-576"/>
        <w:jc w:val="both"/>
        <w:rPr>
          <w:rFonts w:eastAsia="Times New Roman"/>
          <w:lang w:eastAsia="en-GB"/>
        </w:rPr>
      </w:pPr>
      <w:r w:rsidRPr="003E6051">
        <w:rPr>
          <w:rFonts w:eastAsia="Times New Roman"/>
          <w:lang w:eastAsia="en-GB"/>
        </w:rPr>
        <w:t>Are organisations failing to cultivate a risk-aware culture that prioriti</w:t>
      </w:r>
      <w:r w:rsidR="00D73F5A">
        <w:rPr>
          <w:rFonts w:eastAsia="Times New Roman"/>
          <w:lang w:eastAsia="en-GB"/>
        </w:rPr>
        <w:t>s</w:t>
      </w:r>
      <w:r w:rsidRPr="003E6051">
        <w:rPr>
          <w:rFonts w:eastAsia="Times New Roman"/>
          <w:lang w:eastAsia="en-GB"/>
        </w:rPr>
        <w:t>es proactive rather than reactive measures?</w:t>
      </w:r>
    </w:p>
    <w:p w14:paraId="1973BF34" w14:textId="77777777" w:rsidR="00203237" w:rsidRPr="003E6051" w:rsidRDefault="00203237" w:rsidP="007C1BEE">
      <w:pPr>
        <w:spacing w:after="0" w:line="360" w:lineRule="auto"/>
        <w:ind w:left="-576" w:right="-576"/>
        <w:jc w:val="both"/>
        <w:rPr>
          <w:rFonts w:eastAsia="Times New Roman"/>
          <w:lang w:eastAsia="en-GB"/>
        </w:rPr>
      </w:pPr>
    </w:p>
    <w:p w14:paraId="087AEBC9" w14:textId="1F2AAB27" w:rsidR="00203237" w:rsidRPr="003E6051" w:rsidRDefault="00203237" w:rsidP="007C1BEE">
      <w:pPr>
        <w:spacing w:after="0" w:line="360" w:lineRule="auto"/>
        <w:ind w:left="-576" w:right="-576"/>
        <w:jc w:val="both"/>
        <w:rPr>
          <w:rFonts w:eastAsia="Times New Roman"/>
          <w:lang w:eastAsia="en-GB"/>
        </w:rPr>
      </w:pPr>
      <w:r w:rsidRPr="003E6051">
        <w:rPr>
          <w:rFonts w:eastAsia="Times New Roman"/>
          <w:lang w:eastAsia="en-GB"/>
        </w:rPr>
        <w:t xml:space="preserve">The proposed research thus gains relevance in seeking to interrogate the gap between theoretical risk management paradigms and their actual utilisation in project </w:t>
      </w:r>
      <w:r w:rsidR="003F537D" w:rsidRPr="003E6051">
        <w:rPr>
          <w:rFonts w:eastAsia="Times New Roman"/>
          <w:lang w:eastAsia="en-GB"/>
        </w:rPr>
        <w:t>environments</w:t>
      </w:r>
      <w:r w:rsidR="00E62582" w:rsidRPr="003E6051">
        <w:rPr>
          <w:rFonts w:eastAsia="Times New Roman"/>
          <w:lang w:eastAsia="en-GB"/>
        </w:rPr>
        <w:t xml:space="preserve"> </w:t>
      </w:r>
      <w:sdt>
        <w:sdtPr>
          <w:rPr>
            <w:rFonts w:eastAsia="Times New Roman"/>
            <w:lang w:eastAsia="en-GB"/>
          </w:rPr>
          <w:id w:val="1530982251"/>
          <w:citation/>
        </w:sdtPr>
        <w:sdtContent>
          <w:r w:rsidR="00E62582" w:rsidRPr="003E6051">
            <w:rPr>
              <w:rFonts w:eastAsia="Times New Roman"/>
              <w:lang w:eastAsia="en-GB"/>
            </w:rPr>
            <w:fldChar w:fldCharType="begin"/>
          </w:r>
          <w:r w:rsidR="00E62582" w:rsidRPr="003E6051">
            <w:rPr>
              <w:rFonts w:eastAsia="Times New Roman"/>
              <w:lang w:val="en-US" w:eastAsia="en-GB"/>
            </w:rPr>
            <w:instrText xml:space="preserve"> CITATION Kha24 \l 1033 </w:instrText>
          </w:r>
          <w:r w:rsidR="00E62582" w:rsidRPr="003E6051">
            <w:rPr>
              <w:rFonts w:eastAsia="Times New Roman"/>
              <w:lang w:eastAsia="en-GB"/>
            </w:rPr>
            <w:fldChar w:fldCharType="separate"/>
          </w:r>
          <w:r w:rsidR="00E62582" w:rsidRPr="003E6051">
            <w:rPr>
              <w:rFonts w:eastAsia="Times New Roman"/>
              <w:noProof/>
              <w:lang w:val="en-US" w:eastAsia="en-GB"/>
            </w:rPr>
            <w:t>(Khan, 2024)</w:t>
          </w:r>
          <w:r w:rsidR="00E62582" w:rsidRPr="003E6051">
            <w:rPr>
              <w:rFonts w:eastAsia="Times New Roman"/>
              <w:lang w:eastAsia="en-GB"/>
            </w:rPr>
            <w:fldChar w:fldCharType="end"/>
          </w:r>
        </w:sdtContent>
      </w:sdt>
      <w:r w:rsidRPr="003E6051">
        <w:rPr>
          <w:rFonts w:eastAsia="Times New Roman"/>
          <w:lang w:eastAsia="en-GB"/>
        </w:rPr>
        <w:t xml:space="preserve">. By evaluating whether risk assessment tools are routinely employed and examining their tangible contributions to project outcomes, the study aims to </w:t>
      </w:r>
      <w:r w:rsidRPr="003E6051">
        <w:rPr>
          <w:rFonts w:eastAsia="Times New Roman"/>
          <w:lang w:eastAsia="en-GB"/>
        </w:rPr>
        <w:lastRenderedPageBreak/>
        <w:t>bridge this theory-practice divide. Importantly, the findings may inform best practices and policy recommendations for embedding risk management more deeply into organi</w:t>
      </w:r>
      <w:r w:rsidR="003F537D" w:rsidRPr="003E6051">
        <w:rPr>
          <w:rFonts w:eastAsia="Times New Roman"/>
          <w:lang w:eastAsia="en-GB"/>
        </w:rPr>
        <w:t>s</w:t>
      </w:r>
      <w:r w:rsidRPr="003E6051">
        <w:rPr>
          <w:rFonts w:eastAsia="Times New Roman"/>
          <w:lang w:eastAsia="en-GB"/>
        </w:rPr>
        <w:t>ational project governance frameworks.</w:t>
      </w:r>
    </w:p>
    <w:p w14:paraId="6EB432D7" w14:textId="77777777" w:rsidR="00203237" w:rsidRPr="003E6051" w:rsidRDefault="00203237" w:rsidP="007C1BEE">
      <w:pPr>
        <w:spacing w:after="0" w:line="360" w:lineRule="auto"/>
        <w:ind w:left="-576" w:right="-576"/>
        <w:jc w:val="both"/>
        <w:rPr>
          <w:rFonts w:eastAsia="Times New Roman"/>
          <w:lang w:eastAsia="en-GB"/>
        </w:rPr>
      </w:pPr>
    </w:p>
    <w:p w14:paraId="2FA4AD52" w14:textId="446562BA" w:rsidR="00203237" w:rsidRPr="003E6051" w:rsidRDefault="003F537D" w:rsidP="007C1BEE">
      <w:pPr>
        <w:spacing w:after="0" w:line="360" w:lineRule="auto"/>
        <w:ind w:left="-576" w:right="-576"/>
        <w:jc w:val="both"/>
        <w:rPr>
          <w:rFonts w:eastAsia="Times New Roman"/>
          <w:lang w:eastAsia="en-GB"/>
        </w:rPr>
      </w:pPr>
      <w:r w:rsidRPr="003E6051">
        <w:rPr>
          <w:rFonts w:eastAsia="Times New Roman"/>
          <w:lang w:eastAsia="en-GB"/>
        </w:rPr>
        <w:t>T</w:t>
      </w:r>
      <w:r w:rsidR="00203237" w:rsidRPr="003E6051">
        <w:rPr>
          <w:rFonts w:eastAsia="Times New Roman"/>
          <w:lang w:eastAsia="en-GB"/>
        </w:rPr>
        <w:t>his line of inquiry aligns with the growing scholarly consensus that project success is no longer defined solely by the 'iron triangle' of cost, time, and scope</w:t>
      </w:r>
      <w:r w:rsidR="00E62582" w:rsidRPr="003E6051">
        <w:rPr>
          <w:rFonts w:eastAsia="Times New Roman"/>
          <w:lang w:eastAsia="en-GB"/>
        </w:rPr>
        <w:t xml:space="preserve"> </w:t>
      </w:r>
      <w:sdt>
        <w:sdtPr>
          <w:rPr>
            <w:rFonts w:eastAsia="Times New Roman"/>
            <w:lang w:eastAsia="en-GB"/>
          </w:rPr>
          <w:id w:val="-1103871416"/>
          <w:citation/>
        </w:sdtPr>
        <w:sdtContent>
          <w:r w:rsidR="00E62582" w:rsidRPr="003E6051">
            <w:rPr>
              <w:rFonts w:eastAsia="Times New Roman"/>
              <w:lang w:eastAsia="en-GB"/>
            </w:rPr>
            <w:fldChar w:fldCharType="begin"/>
          </w:r>
          <w:r w:rsidR="00E62582" w:rsidRPr="003E6051">
            <w:rPr>
              <w:rFonts w:eastAsia="Times New Roman"/>
              <w:lang w:val="en-US" w:eastAsia="en-GB"/>
            </w:rPr>
            <w:instrText xml:space="preserve"> CITATION Het21 \l 1033 </w:instrText>
          </w:r>
          <w:r w:rsidR="00E62582" w:rsidRPr="003E6051">
            <w:rPr>
              <w:rFonts w:eastAsia="Times New Roman"/>
              <w:lang w:eastAsia="en-GB"/>
            </w:rPr>
            <w:fldChar w:fldCharType="separate"/>
          </w:r>
          <w:r w:rsidR="00E62582" w:rsidRPr="003E6051">
            <w:rPr>
              <w:rFonts w:eastAsia="Times New Roman"/>
              <w:noProof/>
              <w:lang w:val="en-US" w:eastAsia="en-GB"/>
            </w:rPr>
            <w:t>(Hetemi, 2021)</w:t>
          </w:r>
          <w:r w:rsidR="00E62582" w:rsidRPr="003E6051">
            <w:rPr>
              <w:rFonts w:eastAsia="Times New Roman"/>
              <w:lang w:eastAsia="en-GB"/>
            </w:rPr>
            <w:fldChar w:fldCharType="end"/>
          </w:r>
        </w:sdtContent>
      </w:sdt>
      <w:r w:rsidR="00203237" w:rsidRPr="003E6051">
        <w:rPr>
          <w:rFonts w:eastAsia="Times New Roman"/>
          <w:lang w:eastAsia="en-GB"/>
        </w:rPr>
        <w:t xml:space="preserve"> but also by the project's resilience in the face of uncertainty. Thus, understanding and improving the institutionali</w:t>
      </w:r>
      <w:r w:rsidRPr="003E6051">
        <w:rPr>
          <w:rFonts w:eastAsia="Times New Roman"/>
          <w:lang w:eastAsia="en-GB"/>
        </w:rPr>
        <w:t>s</w:t>
      </w:r>
      <w:r w:rsidR="00203237" w:rsidRPr="003E6051">
        <w:rPr>
          <w:rFonts w:eastAsia="Times New Roman"/>
          <w:lang w:eastAsia="en-GB"/>
        </w:rPr>
        <w:t>ation of risk assessment tools is not just about preventing failure, but about enabling adaptive and sustainable project execution in an increasingly uncertain global landscape.</w:t>
      </w:r>
    </w:p>
    <w:p w14:paraId="781A9067" w14:textId="77777777" w:rsidR="003F537D" w:rsidRPr="003E6051" w:rsidRDefault="003F537D" w:rsidP="007C1BEE">
      <w:pPr>
        <w:spacing w:after="0" w:line="360" w:lineRule="auto"/>
        <w:ind w:left="-576" w:right="-576"/>
        <w:jc w:val="both"/>
        <w:rPr>
          <w:rFonts w:eastAsia="Times New Roman"/>
          <w:lang w:eastAsia="en-GB"/>
        </w:rPr>
      </w:pPr>
    </w:p>
    <w:p w14:paraId="7F7A5F23" w14:textId="3314768B" w:rsidR="00E62582" w:rsidRPr="003E6051" w:rsidRDefault="00E62582" w:rsidP="007C1BEE">
      <w:pPr>
        <w:spacing w:after="0" w:line="360" w:lineRule="auto"/>
        <w:ind w:left="-576" w:right="-576"/>
        <w:jc w:val="both"/>
        <w:rPr>
          <w:rFonts w:eastAsia="Times New Roman"/>
          <w:color w:val="EE0000"/>
          <w:lang w:eastAsia="en-GB"/>
        </w:rPr>
      </w:pPr>
      <w:r w:rsidRPr="003E6051">
        <w:rPr>
          <w:rFonts w:eastAsia="Times New Roman"/>
          <w:color w:val="EE0000"/>
          <w:lang w:eastAsia="en-GB"/>
        </w:rPr>
        <w:t>41</w:t>
      </w:r>
      <w:r w:rsidR="001D60B3">
        <w:rPr>
          <w:rFonts w:eastAsia="Times New Roman"/>
          <w:color w:val="EE0000"/>
          <w:lang w:eastAsia="en-GB"/>
        </w:rPr>
        <w:t>5</w:t>
      </w:r>
    </w:p>
    <w:p w14:paraId="72B1E435" w14:textId="77777777" w:rsidR="00205101" w:rsidRPr="003E6051" w:rsidRDefault="00205101" w:rsidP="007C1BEE">
      <w:pPr>
        <w:spacing w:after="0"/>
        <w:rPr>
          <w:rFonts w:eastAsia="Times New Roman"/>
          <w:lang w:eastAsia="en-GB"/>
        </w:rPr>
      </w:pPr>
      <w:r w:rsidRPr="003E6051">
        <w:rPr>
          <w:rFonts w:eastAsia="Times New Roman"/>
          <w:lang w:eastAsia="en-GB"/>
        </w:rPr>
        <w:br w:type="page"/>
      </w:r>
    </w:p>
    <w:p w14:paraId="5B99E9E5" w14:textId="7508EE7B" w:rsidR="00203237" w:rsidRPr="003E6051" w:rsidRDefault="00203237" w:rsidP="007C1BEE">
      <w:pPr>
        <w:pStyle w:val="Heading2"/>
        <w:spacing w:before="0" w:line="360" w:lineRule="auto"/>
        <w:ind w:left="-576"/>
        <w:rPr>
          <w:rFonts w:eastAsia="Times New Roman" w:cs="Calibri Light"/>
          <w:sz w:val="22"/>
          <w:szCs w:val="22"/>
          <w:lang w:eastAsia="en-GB"/>
        </w:rPr>
      </w:pPr>
      <w:bookmarkStart w:id="5" w:name="_Toc219216463"/>
      <w:r w:rsidRPr="003E6051">
        <w:rPr>
          <w:rFonts w:eastAsia="Times New Roman" w:cs="Calibri Light"/>
          <w:sz w:val="22"/>
          <w:szCs w:val="22"/>
          <w:lang w:eastAsia="en-GB"/>
        </w:rPr>
        <w:lastRenderedPageBreak/>
        <w:t xml:space="preserve">5.1. </w:t>
      </w:r>
      <w:r w:rsidRPr="003E6051">
        <w:rPr>
          <w:rFonts w:eastAsia="Times New Roman" w:cs="Calibri Light"/>
          <w:sz w:val="22"/>
          <w:szCs w:val="22"/>
          <w:u w:val="single"/>
          <w:lang w:eastAsia="en-GB"/>
        </w:rPr>
        <w:t>Background and Context</w:t>
      </w:r>
      <w:r w:rsidRPr="003E6051">
        <w:rPr>
          <w:rFonts w:eastAsia="Times New Roman" w:cs="Calibri Light"/>
          <w:sz w:val="22"/>
          <w:szCs w:val="22"/>
          <w:lang w:eastAsia="en-GB"/>
        </w:rPr>
        <w:t>.</w:t>
      </w:r>
      <w:bookmarkEnd w:id="5"/>
    </w:p>
    <w:p w14:paraId="3AAEDE7E" w14:textId="77777777" w:rsidR="00203237" w:rsidRPr="003E6051" w:rsidRDefault="00203237" w:rsidP="007C1BEE">
      <w:pPr>
        <w:spacing w:after="0" w:line="360" w:lineRule="auto"/>
        <w:ind w:left="-576" w:right="-576"/>
        <w:jc w:val="both"/>
        <w:rPr>
          <w:rFonts w:eastAsia="Times New Roman"/>
          <w:lang w:eastAsia="en-GB"/>
        </w:rPr>
      </w:pPr>
    </w:p>
    <w:p w14:paraId="46DE5095" w14:textId="381CB1C6" w:rsidR="003F537D" w:rsidRPr="003E6051" w:rsidRDefault="003F537D" w:rsidP="007C1BEE">
      <w:pPr>
        <w:spacing w:after="0" w:line="360" w:lineRule="auto"/>
        <w:ind w:left="-576" w:right="-576"/>
        <w:jc w:val="both"/>
        <w:rPr>
          <w:rFonts w:eastAsia="Times New Roman"/>
          <w:lang w:eastAsia="en-GB"/>
        </w:rPr>
      </w:pPr>
      <w:r w:rsidRPr="003E6051">
        <w:rPr>
          <w:rFonts w:eastAsia="Times New Roman"/>
          <w:lang w:eastAsia="en-GB"/>
        </w:rPr>
        <w:t>Industrial project management has undergone significant maturation over the past few decades, transitioning from a focus on cost and schedule control to a more holistic, risk-informed paradigm</w:t>
      </w:r>
      <w:r w:rsidR="008A7E1D" w:rsidRPr="003E6051">
        <w:rPr>
          <w:rFonts w:eastAsia="Times New Roman"/>
          <w:lang w:eastAsia="en-GB"/>
        </w:rPr>
        <w:t xml:space="preserve"> </w:t>
      </w:r>
      <w:sdt>
        <w:sdtPr>
          <w:rPr>
            <w:rFonts w:eastAsia="Times New Roman"/>
            <w:lang w:eastAsia="en-GB"/>
          </w:rPr>
          <w:id w:val="1382445423"/>
          <w:citation/>
        </w:sdtPr>
        <w:sdtContent>
          <w:r w:rsidR="008A7E1D" w:rsidRPr="003E6051">
            <w:rPr>
              <w:rFonts w:eastAsia="Times New Roman"/>
              <w:lang w:eastAsia="en-GB"/>
            </w:rPr>
            <w:fldChar w:fldCharType="begin"/>
          </w:r>
          <w:r w:rsidR="008A7E1D" w:rsidRPr="003E6051">
            <w:rPr>
              <w:rFonts w:eastAsia="Times New Roman"/>
              <w:lang w:val="en-US" w:eastAsia="en-GB"/>
            </w:rPr>
            <w:instrText xml:space="preserve"> CITATION Enr12 \l 1033 </w:instrText>
          </w:r>
          <w:r w:rsidR="008A7E1D" w:rsidRPr="003E6051">
            <w:rPr>
              <w:rFonts w:eastAsia="Times New Roman"/>
              <w:lang w:eastAsia="en-GB"/>
            </w:rPr>
            <w:fldChar w:fldCharType="separate"/>
          </w:r>
          <w:r w:rsidR="008A7E1D" w:rsidRPr="003E6051">
            <w:rPr>
              <w:rFonts w:eastAsia="Times New Roman"/>
              <w:noProof/>
              <w:lang w:val="en-US" w:eastAsia="en-GB"/>
            </w:rPr>
            <w:t>(Enrico Zio, 2012)</w:t>
          </w:r>
          <w:r w:rsidR="008A7E1D" w:rsidRPr="003E6051">
            <w:rPr>
              <w:rFonts w:eastAsia="Times New Roman"/>
              <w:lang w:eastAsia="en-GB"/>
            </w:rPr>
            <w:fldChar w:fldCharType="end"/>
          </w:r>
        </w:sdtContent>
      </w:sdt>
      <w:r w:rsidRPr="003E6051">
        <w:rPr>
          <w:rFonts w:eastAsia="Times New Roman"/>
          <w:lang w:eastAsia="en-GB"/>
        </w:rPr>
        <w:t xml:space="preserve">. At the heart of this evolution are structured frameworks, risk management process and various risk matrix models, which have been instrumental in formalising the identification, analysis, and prioritisation of risks </w:t>
      </w:r>
      <w:sdt>
        <w:sdtPr>
          <w:rPr>
            <w:rFonts w:eastAsia="Times New Roman"/>
            <w:lang w:eastAsia="en-GB"/>
          </w:rPr>
          <w:id w:val="1816519198"/>
          <w:citation/>
        </w:sdtPr>
        <w:sdtContent>
          <w:r w:rsidR="00E11E47" w:rsidRPr="003E6051">
            <w:rPr>
              <w:rFonts w:eastAsia="Times New Roman"/>
              <w:lang w:eastAsia="en-GB"/>
            </w:rPr>
            <w:fldChar w:fldCharType="begin"/>
          </w:r>
          <w:r w:rsidR="00E11E47" w:rsidRPr="003E6051">
            <w:rPr>
              <w:rFonts w:eastAsia="Times New Roman"/>
              <w:lang w:val="en-US" w:eastAsia="en-GB"/>
            </w:rPr>
            <w:instrText xml:space="preserve"> CITATION Cri03 \l 1033 </w:instrText>
          </w:r>
          <w:r w:rsidR="00E11E47" w:rsidRPr="003E6051">
            <w:rPr>
              <w:rFonts w:eastAsia="Times New Roman"/>
              <w:lang w:eastAsia="en-GB"/>
            </w:rPr>
            <w:fldChar w:fldCharType="separate"/>
          </w:r>
          <w:r w:rsidR="00E11E47" w:rsidRPr="003E6051">
            <w:rPr>
              <w:rFonts w:eastAsia="Times New Roman"/>
              <w:noProof/>
              <w:lang w:val="en-US" w:eastAsia="en-GB"/>
            </w:rPr>
            <w:t>(Gusmão, 2003)</w:t>
          </w:r>
          <w:r w:rsidR="00E11E47" w:rsidRPr="003E6051">
            <w:rPr>
              <w:rFonts w:eastAsia="Times New Roman"/>
              <w:lang w:eastAsia="en-GB"/>
            </w:rPr>
            <w:fldChar w:fldCharType="end"/>
          </w:r>
        </w:sdtContent>
      </w:sdt>
      <w:r w:rsidRPr="003E6051">
        <w:rPr>
          <w:rFonts w:eastAsia="Times New Roman"/>
          <w:lang w:eastAsia="en-GB"/>
        </w:rPr>
        <w:t>. These tools offer a standardised vocabulary and methodology, empowering project teams to convert uncertainties into structured insights that inform tactical and strategic decisions</w:t>
      </w:r>
      <w:r w:rsidR="008A7E1D" w:rsidRPr="003E6051">
        <w:rPr>
          <w:rFonts w:eastAsia="Times New Roman"/>
          <w:lang w:eastAsia="en-GB"/>
        </w:rPr>
        <w:t xml:space="preserve"> </w:t>
      </w:r>
      <w:sdt>
        <w:sdtPr>
          <w:rPr>
            <w:rFonts w:eastAsia="Times New Roman"/>
            <w:lang w:eastAsia="en-GB"/>
          </w:rPr>
          <w:id w:val="1566990137"/>
          <w:citation/>
        </w:sdtPr>
        <w:sdtContent>
          <w:r w:rsidR="008A7E1D" w:rsidRPr="003E6051">
            <w:rPr>
              <w:rFonts w:eastAsia="Times New Roman"/>
              <w:lang w:eastAsia="en-GB"/>
            </w:rPr>
            <w:fldChar w:fldCharType="begin"/>
          </w:r>
          <w:r w:rsidR="008A7E1D" w:rsidRPr="003E6051">
            <w:rPr>
              <w:rFonts w:eastAsia="Times New Roman"/>
              <w:lang w:val="en-US" w:eastAsia="en-GB"/>
            </w:rPr>
            <w:instrText xml:space="preserve"> CITATION Dra20 \l 1033 </w:instrText>
          </w:r>
          <w:r w:rsidR="008A7E1D" w:rsidRPr="003E6051">
            <w:rPr>
              <w:rFonts w:eastAsia="Times New Roman"/>
              <w:lang w:eastAsia="en-GB"/>
            </w:rPr>
            <w:fldChar w:fldCharType="separate"/>
          </w:r>
          <w:r w:rsidR="008A7E1D" w:rsidRPr="003E6051">
            <w:rPr>
              <w:rFonts w:eastAsia="Times New Roman"/>
              <w:noProof/>
              <w:lang w:val="en-US" w:eastAsia="en-GB"/>
            </w:rPr>
            <w:t>(Dragan Komljenovic, 2020)</w:t>
          </w:r>
          <w:r w:rsidR="008A7E1D" w:rsidRPr="003E6051">
            <w:rPr>
              <w:rFonts w:eastAsia="Times New Roman"/>
              <w:lang w:eastAsia="en-GB"/>
            </w:rPr>
            <w:fldChar w:fldCharType="end"/>
          </w:r>
        </w:sdtContent>
      </w:sdt>
      <w:r w:rsidRPr="003E6051">
        <w:rPr>
          <w:rFonts w:eastAsia="Times New Roman"/>
          <w:lang w:eastAsia="en-GB"/>
        </w:rPr>
        <w:t>.</w:t>
      </w:r>
    </w:p>
    <w:p w14:paraId="59C64443" w14:textId="77777777" w:rsidR="003F537D" w:rsidRPr="003E6051" w:rsidRDefault="003F537D" w:rsidP="007C1BEE">
      <w:pPr>
        <w:spacing w:after="0" w:line="360" w:lineRule="auto"/>
        <w:ind w:left="-576" w:right="-576"/>
        <w:jc w:val="both"/>
        <w:rPr>
          <w:rFonts w:eastAsia="Times New Roman"/>
          <w:lang w:eastAsia="en-GB"/>
        </w:rPr>
      </w:pPr>
    </w:p>
    <w:p w14:paraId="263599E7" w14:textId="71214F9F" w:rsidR="003F537D" w:rsidRPr="003E6051" w:rsidRDefault="003F537D" w:rsidP="007C1BEE">
      <w:pPr>
        <w:spacing w:after="0" w:line="360" w:lineRule="auto"/>
        <w:ind w:left="-576" w:right="-576"/>
        <w:jc w:val="both"/>
        <w:rPr>
          <w:rFonts w:eastAsia="Times New Roman"/>
          <w:lang w:eastAsia="en-GB"/>
        </w:rPr>
      </w:pPr>
      <w:r w:rsidRPr="003E6051">
        <w:rPr>
          <w:rFonts w:eastAsia="Times New Roman"/>
          <w:lang w:eastAsia="en-GB"/>
        </w:rPr>
        <w:t>Theoretical contributions from systems thinking, complexity theory, and contingency planning have further reinforced the scientific rigor of risk management. Empirical studies have consistently shown that structured approaches, such as those embedded in PMBOK, PRINCE2, and ISO 31000, can significantly reduce project failure rates when appropriately applied</w:t>
      </w:r>
      <w:r w:rsidR="008A7E1D" w:rsidRPr="003E6051">
        <w:rPr>
          <w:rFonts w:eastAsia="Times New Roman"/>
          <w:lang w:eastAsia="en-GB"/>
        </w:rPr>
        <w:t xml:space="preserve"> </w:t>
      </w:r>
      <w:sdt>
        <w:sdtPr>
          <w:rPr>
            <w:rFonts w:eastAsia="Times New Roman"/>
            <w:lang w:eastAsia="en-GB"/>
          </w:rPr>
          <w:id w:val="914670417"/>
          <w:citation/>
        </w:sdtPr>
        <w:sdtContent>
          <w:r w:rsidR="008A7E1D" w:rsidRPr="003E6051">
            <w:rPr>
              <w:rFonts w:eastAsia="Times New Roman"/>
              <w:lang w:eastAsia="en-GB"/>
            </w:rPr>
            <w:fldChar w:fldCharType="begin"/>
          </w:r>
          <w:r w:rsidR="008A7E1D" w:rsidRPr="003E6051">
            <w:rPr>
              <w:rFonts w:eastAsia="Times New Roman"/>
              <w:lang w:val="en-US" w:eastAsia="en-GB"/>
            </w:rPr>
            <w:instrText xml:space="preserve"> CITATION Mer20 \l 1033 </w:instrText>
          </w:r>
          <w:r w:rsidR="008A7E1D" w:rsidRPr="003E6051">
            <w:rPr>
              <w:rFonts w:eastAsia="Times New Roman"/>
              <w:lang w:eastAsia="en-GB"/>
            </w:rPr>
            <w:fldChar w:fldCharType="separate"/>
          </w:r>
          <w:r w:rsidR="008A7E1D" w:rsidRPr="003E6051">
            <w:rPr>
              <w:rFonts w:eastAsia="Times New Roman"/>
              <w:noProof/>
              <w:lang w:val="en-US" w:eastAsia="en-GB"/>
            </w:rPr>
            <w:t>(Merkourios Papanikolaou, 2020)</w:t>
          </w:r>
          <w:r w:rsidR="008A7E1D" w:rsidRPr="003E6051">
            <w:rPr>
              <w:rFonts w:eastAsia="Times New Roman"/>
              <w:lang w:eastAsia="en-GB"/>
            </w:rPr>
            <w:fldChar w:fldCharType="end"/>
          </w:r>
        </w:sdtContent>
      </w:sdt>
      <w:r w:rsidRPr="003E6051">
        <w:rPr>
          <w:rFonts w:eastAsia="Times New Roman"/>
          <w:lang w:eastAsia="en-GB"/>
        </w:rPr>
        <w:t>. For instance, Monte Carlo simulations allow for probabilistic forecasting, while risk registers enable real-time tracking of risk evolution. These tools enhance transparency, foster accountability, and enable dynamic responses to emerging threats.</w:t>
      </w:r>
    </w:p>
    <w:p w14:paraId="715E0B68" w14:textId="77777777" w:rsidR="003F537D" w:rsidRPr="003E6051" w:rsidRDefault="003F537D" w:rsidP="007C1BEE">
      <w:pPr>
        <w:spacing w:after="0" w:line="360" w:lineRule="auto"/>
        <w:ind w:left="-576" w:right="-576"/>
        <w:jc w:val="both"/>
        <w:rPr>
          <w:rFonts w:eastAsia="Times New Roman"/>
          <w:lang w:eastAsia="en-GB"/>
        </w:rPr>
      </w:pPr>
    </w:p>
    <w:p w14:paraId="3FE8827A" w14:textId="2BF30E6C" w:rsidR="003F537D" w:rsidRPr="003E6051" w:rsidRDefault="003F537D" w:rsidP="007C1BEE">
      <w:pPr>
        <w:spacing w:after="0" w:line="360" w:lineRule="auto"/>
        <w:ind w:left="-576" w:right="-576"/>
        <w:jc w:val="both"/>
        <w:rPr>
          <w:rFonts w:eastAsia="Times New Roman"/>
          <w:lang w:eastAsia="en-GB"/>
        </w:rPr>
      </w:pPr>
      <w:r w:rsidRPr="003E6051">
        <w:rPr>
          <w:rFonts w:eastAsia="Times New Roman"/>
          <w:lang w:eastAsia="en-GB"/>
        </w:rPr>
        <w:t xml:space="preserve">However, as </w:t>
      </w:r>
      <w:sdt>
        <w:sdtPr>
          <w:rPr>
            <w:rFonts w:eastAsia="Times New Roman"/>
            <w:lang w:eastAsia="en-GB"/>
          </w:rPr>
          <w:id w:val="1904248972"/>
          <w:citation/>
        </w:sdtPr>
        <w:sdtContent>
          <w:r w:rsidR="00205101" w:rsidRPr="003E6051">
            <w:rPr>
              <w:rFonts w:eastAsia="Times New Roman"/>
              <w:lang w:eastAsia="en-GB"/>
            </w:rPr>
            <w:fldChar w:fldCharType="begin"/>
          </w:r>
          <w:r w:rsidR="00205101" w:rsidRPr="003E6051">
            <w:rPr>
              <w:rFonts w:eastAsia="Times New Roman"/>
              <w:lang w:val="en-US" w:eastAsia="en-GB"/>
            </w:rPr>
            <w:instrText xml:space="preserve"> CITATION Beh20 \l 1033 </w:instrText>
          </w:r>
          <w:r w:rsidR="00205101" w:rsidRPr="003E6051">
            <w:rPr>
              <w:rFonts w:eastAsia="Times New Roman"/>
              <w:lang w:eastAsia="en-GB"/>
            </w:rPr>
            <w:fldChar w:fldCharType="separate"/>
          </w:r>
          <w:r w:rsidR="00205101" w:rsidRPr="003E6051">
            <w:rPr>
              <w:rFonts w:eastAsia="Times New Roman"/>
              <w:noProof/>
              <w:lang w:val="en-US" w:eastAsia="en-GB"/>
            </w:rPr>
            <w:t>(Behrad Barghi, 2020)</w:t>
          </w:r>
          <w:r w:rsidR="00205101" w:rsidRPr="003E6051">
            <w:rPr>
              <w:rFonts w:eastAsia="Times New Roman"/>
              <w:lang w:eastAsia="en-GB"/>
            </w:rPr>
            <w:fldChar w:fldCharType="end"/>
          </w:r>
        </w:sdtContent>
      </w:sdt>
      <w:r w:rsidR="00205101" w:rsidRPr="003E6051">
        <w:rPr>
          <w:rFonts w:eastAsia="Times New Roman"/>
          <w:lang w:eastAsia="en-GB"/>
        </w:rPr>
        <w:t xml:space="preserve"> </w:t>
      </w:r>
      <w:r w:rsidRPr="003E6051">
        <w:rPr>
          <w:rFonts w:eastAsia="Times New Roman"/>
          <w:lang w:eastAsia="en-GB"/>
        </w:rPr>
        <w:t>rightly emphasises, the rapidly evolving and inherently complex nature of industrial projects, especially those involving interdisciplinary coordination, technological integration, and global supply chains, continues to outpace many traditional risk frameworks. Risks in such environments are not always predictable or linear; they are often emergent, shaped by a confluence of technical, organisational, and external factors. Thus, the static application of conventional tools may prove insufficient unless complemented by adaptive and learning-oriented strategies.</w:t>
      </w:r>
    </w:p>
    <w:p w14:paraId="55E25929" w14:textId="77777777" w:rsidR="003F537D" w:rsidRPr="003E6051" w:rsidRDefault="003F537D" w:rsidP="007C1BEE">
      <w:pPr>
        <w:spacing w:after="0" w:line="360" w:lineRule="auto"/>
        <w:ind w:left="-576" w:right="-576"/>
        <w:jc w:val="both"/>
        <w:rPr>
          <w:rFonts w:eastAsia="Times New Roman"/>
          <w:lang w:eastAsia="en-GB"/>
        </w:rPr>
      </w:pPr>
    </w:p>
    <w:p w14:paraId="678367BD" w14:textId="43C2B1D4" w:rsidR="003F537D" w:rsidRPr="003E6051" w:rsidRDefault="003F537D" w:rsidP="007C1BEE">
      <w:pPr>
        <w:spacing w:after="0" w:line="360" w:lineRule="auto"/>
        <w:ind w:left="-576" w:right="-576"/>
        <w:jc w:val="both"/>
        <w:rPr>
          <w:rFonts w:eastAsia="Times New Roman"/>
          <w:lang w:eastAsia="en-GB"/>
        </w:rPr>
      </w:pPr>
      <w:r w:rsidRPr="003E6051">
        <w:rPr>
          <w:rFonts w:eastAsia="Times New Roman"/>
          <w:lang w:eastAsia="en-GB"/>
        </w:rPr>
        <w:t>Historical evidence corroborates this critique. Iconic project failures, such as the Boston Big Dig, the Berlin Brandenburg Airport, and several large-scale oil and gas ventures, have demonstrated that overlooked or underestimated risks can lead to budget overruns in the billions and delays spanning decades</w:t>
      </w:r>
      <w:r w:rsidR="0044466B" w:rsidRPr="003E6051">
        <w:rPr>
          <w:rFonts w:eastAsia="Times New Roman"/>
          <w:lang w:eastAsia="en-GB"/>
        </w:rPr>
        <w:t xml:space="preserve"> </w:t>
      </w:r>
      <w:sdt>
        <w:sdtPr>
          <w:rPr>
            <w:rFonts w:eastAsia="Times New Roman"/>
            <w:lang w:eastAsia="en-GB"/>
          </w:rPr>
          <w:id w:val="-2016062385"/>
          <w:citation/>
        </w:sdtPr>
        <w:sdtContent>
          <w:r w:rsidR="0044466B" w:rsidRPr="003E6051">
            <w:rPr>
              <w:rFonts w:eastAsia="Times New Roman"/>
              <w:lang w:eastAsia="en-GB"/>
            </w:rPr>
            <w:fldChar w:fldCharType="begin"/>
          </w:r>
          <w:r w:rsidR="0044466B" w:rsidRPr="003E6051">
            <w:rPr>
              <w:rFonts w:eastAsia="Times New Roman"/>
              <w:lang w:val="en-US" w:eastAsia="en-GB"/>
            </w:rPr>
            <w:instrText xml:space="preserve"> CITATION Why21 \l 1033 </w:instrText>
          </w:r>
          <w:r w:rsidR="0044466B" w:rsidRPr="003E6051">
            <w:rPr>
              <w:rFonts w:eastAsia="Times New Roman"/>
              <w:lang w:eastAsia="en-GB"/>
            </w:rPr>
            <w:fldChar w:fldCharType="separate"/>
          </w:r>
          <w:r w:rsidR="0044466B" w:rsidRPr="003E6051">
            <w:rPr>
              <w:rFonts w:eastAsia="Times New Roman"/>
              <w:noProof/>
              <w:lang w:val="en-US" w:eastAsia="en-GB"/>
            </w:rPr>
            <w:t>(Whyte, 2021)</w:t>
          </w:r>
          <w:r w:rsidR="0044466B" w:rsidRPr="003E6051">
            <w:rPr>
              <w:rFonts w:eastAsia="Times New Roman"/>
              <w:lang w:eastAsia="en-GB"/>
            </w:rPr>
            <w:fldChar w:fldCharType="end"/>
          </w:r>
        </w:sdtContent>
      </w:sdt>
      <w:r w:rsidRPr="003E6051">
        <w:rPr>
          <w:rFonts w:eastAsia="Times New Roman"/>
          <w:lang w:eastAsia="en-GB"/>
        </w:rPr>
        <w:t>. These failures often stem not from a lack of risk tools, but from failure to embed risk thinking into the organisational culture and decision-making hierarchy. Risk was either assessed too late, ignored due to political or economic pressures, or addressed without sufficient stakeholder involvement.</w:t>
      </w:r>
    </w:p>
    <w:p w14:paraId="372FA271" w14:textId="77777777" w:rsidR="003F537D" w:rsidRPr="003E6051" w:rsidRDefault="003F537D" w:rsidP="007C1BEE">
      <w:pPr>
        <w:spacing w:after="0" w:line="360" w:lineRule="auto"/>
        <w:ind w:left="-576" w:right="-576"/>
        <w:jc w:val="both"/>
        <w:rPr>
          <w:rFonts w:eastAsia="Times New Roman"/>
          <w:lang w:eastAsia="en-GB"/>
        </w:rPr>
      </w:pPr>
    </w:p>
    <w:p w14:paraId="3977884A" w14:textId="6A62C90A" w:rsidR="003F537D" w:rsidRPr="003E6051" w:rsidRDefault="003F537D" w:rsidP="007C1BEE">
      <w:pPr>
        <w:spacing w:after="0" w:line="360" w:lineRule="auto"/>
        <w:ind w:left="-576" w:right="-576"/>
        <w:jc w:val="both"/>
        <w:rPr>
          <w:rFonts w:eastAsia="Times New Roman"/>
          <w:lang w:eastAsia="en-GB"/>
        </w:rPr>
      </w:pPr>
      <w:r w:rsidRPr="003E6051">
        <w:rPr>
          <w:rFonts w:eastAsia="Times New Roman"/>
          <w:lang w:eastAsia="en-GB"/>
        </w:rPr>
        <w:t xml:space="preserve">Contemporary case studies in the energy sector, particularly in offshore wind, nuclear, and </w:t>
      </w:r>
      <w:r w:rsidR="000030D9">
        <w:rPr>
          <w:rFonts w:eastAsia="Times New Roman"/>
          <w:lang w:eastAsia="en-GB"/>
        </w:rPr>
        <w:t>liqui</w:t>
      </w:r>
      <w:r w:rsidR="00F8399F">
        <w:rPr>
          <w:rFonts w:eastAsia="Times New Roman"/>
          <w:lang w:eastAsia="en-GB"/>
        </w:rPr>
        <w:t>fied</w:t>
      </w:r>
      <w:r w:rsidR="000030D9">
        <w:rPr>
          <w:rFonts w:eastAsia="Times New Roman"/>
          <w:lang w:eastAsia="en-GB"/>
        </w:rPr>
        <w:t xml:space="preserve"> natural gas</w:t>
      </w:r>
      <w:r w:rsidRPr="003E6051">
        <w:rPr>
          <w:rFonts w:eastAsia="Times New Roman"/>
          <w:lang w:eastAsia="en-GB"/>
        </w:rPr>
        <w:t xml:space="preserve"> infrastructure, highlight similar patterns. As </w:t>
      </w:r>
      <w:sdt>
        <w:sdtPr>
          <w:rPr>
            <w:rFonts w:eastAsia="Times New Roman"/>
            <w:lang w:eastAsia="en-GB"/>
          </w:rPr>
          <w:id w:val="-1613202468"/>
          <w:citation/>
        </w:sdtPr>
        <w:sdtContent>
          <w:r w:rsidR="00E11E47" w:rsidRPr="003E6051">
            <w:rPr>
              <w:rFonts w:eastAsia="Times New Roman"/>
              <w:lang w:eastAsia="en-GB"/>
            </w:rPr>
            <w:fldChar w:fldCharType="begin"/>
          </w:r>
          <w:r w:rsidR="00E11E47" w:rsidRPr="003E6051">
            <w:rPr>
              <w:rFonts w:eastAsia="Times New Roman"/>
              <w:lang w:val="en-US" w:eastAsia="en-GB"/>
            </w:rPr>
            <w:instrText xml:space="preserve">CITATION Drm \l 1033 </w:instrText>
          </w:r>
          <w:r w:rsidR="00E11E47" w:rsidRPr="003E6051">
            <w:rPr>
              <w:rFonts w:eastAsia="Times New Roman"/>
              <w:lang w:eastAsia="en-GB"/>
            </w:rPr>
            <w:fldChar w:fldCharType="separate"/>
          </w:r>
          <w:r w:rsidR="00E11E47" w:rsidRPr="003E6051">
            <w:rPr>
              <w:rFonts w:eastAsia="Times New Roman"/>
              <w:noProof/>
              <w:lang w:val="en-US" w:eastAsia="en-GB"/>
            </w:rPr>
            <w:t>(Dr Mohammad Taghipour, 2015)</w:t>
          </w:r>
          <w:r w:rsidR="00E11E47" w:rsidRPr="003E6051">
            <w:rPr>
              <w:rFonts w:eastAsia="Times New Roman"/>
              <w:lang w:eastAsia="en-GB"/>
            </w:rPr>
            <w:fldChar w:fldCharType="end"/>
          </w:r>
        </w:sdtContent>
      </w:sdt>
      <w:r w:rsidRPr="003E6051">
        <w:rPr>
          <w:rFonts w:eastAsia="Times New Roman"/>
          <w:lang w:eastAsia="en-GB"/>
        </w:rPr>
        <w:t xml:space="preserve"> notes, inadequate scenario planning, flawed risk quantification, and fragmented inter-organisational communication continue to hinder effective mitigation</w:t>
      </w:r>
      <w:r w:rsidR="008A7E1D" w:rsidRPr="003E6051">
        <w:rPr>
          <w:rFonts w:eastAsia="Times New Roman"/>
          <w:lang w:eastAsia="en-GB"/>
        </w:rPr>
        <w:t xml:space="preserve"> </w:t>
      </w:r>
      <w:sdt>
        <w:sdtPr>
          <w:rPr>
            <w:rFonts w:eastAsia="Times New Roman"/>
            <w:lang w:eastAsia="en-GB"/>
          </w:rPr>
          <w:id w:val="-885332326"/>
          <w:citation/>
        </w:sdtPr>
        <w:sdtContent>
          <w:r w:rsidR="008A7E1D" w:rsidRPr="003E6051">
            <w:rPr>
              <w:rFonts w:eastAsia="Times New Roman"/>
              <w:lang w:eastAsia="en-GB"/>
            </w:rPr>
            <w:fldChar w:fldCharType="begin"/>
          </w:r>
          <w:r w:rsidR="008A7E1D" w:rsidRPr="003E6051">
            <w:rPr>
              <w:rFonts w:eastAsia="Times New Roman"/>
              <w:lang w:val="en-US" w:eastAsia="en-GB"/>
            </w:rPr>
            <w:instrText xml:space="preserve"> CITATION Ash21 \l 1033 </w:instrText>
          </w:r>
          <w:r w:rsidR="008A7E1D" w:rsidRPr="003E6051">
            <w:rPr>
              <w:rFonts w:eastAsia="Times New Roman"/>
              <w:lang w:eastAsia="en-GB"/>
            </w:rPr>
            <w:fldChar w:fldCharType="separate"/>
          </w:r>
          <w:r w:rsidR="008A7E1D" w:rsidRPr="003E6051">
            <w:rPr>
              <w:rFonts w:eastAsia="Times New Roman"/>
              <w:noProof/>
              <w:lang w:val="en-US" w:eastAsia="en-GB"/>
            </w:rPr>
            <w:t>(Ashish Kumar Loomba, 2021)</w:t>
          </w:r>
          <w:r w:rsidR="008A7E1D" w:rsidRPr="003E6051">
            <w:rPr>
              <w:rFonts w:eastAsia="Times New Roman"/>
              <w:lang w:eastAsia="en-GB"/>
            </w:rPr>
            <w:fldChar w:fldCharType="end"/>
          </w:r>
        </w:sdtContent>
      </w:sdt>
      <w:r w:rsidRPr="003E6051">
        <w:rPr>
          <w:rFonts w:eastAsia="Times New Roman"/>
          <w:lang w:eastAsia="en-GB"/>
        </w:rPr>
        <w:t xml:space="preserve">. These shortcomings highlight the critical importance of integrating </w:t>
      </w:r>
      <w:r w:rsidRPr="003E6051">
        <w:rPr>
          <w:rFonts w:eastAsia="Times New Roman"/>
          <w:lang w:eastAsia="en-GB"/>
        </w:rPr>
        <w:lastRenderedPageBreak/>
        <w:t>systematic and continuous risk assessment into all phases of the project lifecycle, from feasibility and procurement to execution and closure.</w:t>
      </w:r>
    </w:p>
    <w:p w14:paraId="39B46469" w14:textId="77777777" w:rsidR="003F537D" w:rsidRPr="003E6051" w:rsidRDefault="003F537D" w:rsidP="007C1BEE">
      <w:pPr>
        <w:spacing w:after="0" w:line="360" w:lineRule="auto"/>
        <w:ind w:left="-576" w:right="-576"/>
        <w:jc w:val="both"/>
        <w:rPr>
          <w:rFonts w:eastAsia="Times New Roman"/>
          <w:lang w:eastAsia="en-GB"/>
        </w:rPr>
      </w:pPr>
    </w:p>
    <w:p w14:paraId="587CEEB4" w14:textId="461569E5" w:rsidR="003F537D" w:rsidRPr="003E6051" w:rsidRDefault="003F537D" w:rsidP="007C1BEE">
      <w:pPr>
        <w:spacing w:after="0" w:line="360" w:lineRule="auto"/>
        <w:ind w:left="-576" w:right="-576"/>
        <w:jc w:val="both"/>
        <w:rPr>
          <w:rFonts w:eastAsia="Times New Roman"/>
          <w:lang w:eastAsia="en-GB"/>
        </w:rPr>
      </w:pPr>
      <w:r w:rsidRPr="003E6051">
        <w:rPr>
          <w:rFonts w:eastAsia="Times New Roman"/>
          <w:lang w:eastAsia="en-GB"/>
        </w:rPr>
        <w:t>The increasing prevalence of digital transformation, cyber-physical systems, and sustainability pressures introduces new dimensions of risk, which demand more agile, real-time, and predictive risk management. Emerging tools powered by AI, machine learning, and data analytics are beginning to fill this gap by offering predictive capabilities and scenario modelling</w:t>
      </w:r>
      <w:r w:rsidR="0044466B" w:rsidRPr="003E6051">
        <w:rPr>
          <w:rFonts w:eastAsia="Times New Roman"/>
          <w:lang w:eastAsia="en-GB"/>
        </w:rPr>
        <w:t xml:space="preserve"> </w:t>
      </w:r>
      <w:sdt>
        <w:sdtPr>
          <w:rPr>
            <w:rFonts w:eastAsia="Times New Roman"/>
            <w:lang w:eastAsia="en-GB"/>
          </w:rPr>
          <w:id w:val="-1418556926"/>
          <w:citation/>
        </w:sdtPr>
        <w:sdtContent>
          <w:r w:rsidR="0044466B" w:rsidRPr="003E6051">
            <w:rPr>
              <w:rFonts w:eastAsia="Times New Roman"/>
              <w:lang w:eastAsia="en-GB"/>
            </w:rPr>
            <w:fldChar w:fldCharType="begin"/>
          </w:r>
          <w:r w:rsidR="0044466B" w:rsidRPr="003E6051">
            <w:rPr>
              <w:rFonts w:eastAsia="Times New Roman"/>
              <w:lang w:val="en-US" w:eastAsia="en-GB"/>
            </w:rPr>
            <w:instrText xml:space="preserve"> CITATION Roy241 \l 1033 </w:instrText>
          </w:r>
          <w:r w:rsidR="0044466B" w:rsidRPr="003E6051">
            <w:rPr>
              <w:rFonts w:eastAsia="Times New Roman"/>
              <w:lang w:eastAsia="en-GB"/>
            </w:rPr>
            <w:fldChar w:fldCharType="separate"/>
          </w:r>
          <w:r w:rsidR="0044466B" w:rsidRPr="003E6051">
            <w:rPr>
              <w:rFonts w:eastAsia="Times New Roman"/>
              <w:noProof/>
              <w:lang w:val="en-US" w:eastAsia="en-GB"/>
            </w:rPr>
            <w:t>(Roy, 2024)</w:t>
          </w:r>
          <w:r w:rsidR="0044466B" w:rsidRPr="003E6051">
            <w:rPr>
              <w:rFonts w:eastAsia="Times New Roman"/>
              <w:lang w:eastAsia="en-GB"/>
            </w:rPr>
            <w:fldChar w:fldCharType="end"/>
          </w:r>
        </w:sdtContent>
      </w:sdt>
      <w:r w:rsidRPr="003E6051">
        <w:rPr>
          <w:rFonts w:eastAsia="Times New Roman"/>
          <w:lang w:eastAsia="en-GB"/>
        </w:rPr>
        <w:t>. However, their efficacy remains contingent on organisational readiness, data quality, and managerial openness to change.</w:t>
      </w:r>
    </w:p>
    <w:p w14:paraId="4BDE5212" w14:textId="77777777" w:rsidR="003F537D" w:rsidRPr="003E6051" w:rsidRDefault="003F537D" w:rsidP="007C1BEE">
      <w:pPr>
        <w:spacing w:after="0" w:line="360" w:lineRule="auto"/>
        <w:ind w:left="-576" w:right="-576"/>
        <w:jc w:val="both"/>
        <w:rPr>
          <w:rFonts w:eastAsia="Times New Roman"/>
          <w:lang w:eastAsia="en-GB"/>
        </w:rPr>
      </w:pPr>
    </w:p>
    <w:p w14:paraId="79B9A00D" w14:textId="2EB15972" w:rsidR="00203237" w:rsidRPr="003E6051" w:rsidRDefault="003F537D" w:rsidP="007C1BEE">
      <w:pPr>
        <w:spacing w:after="0" w:line="360" w:lineRule="auto"/>
        <w:ind w:left="-576" w:right="-576"/>
        <w:jc w:val="both"/>
        <w:rPr>
          <w:rFonts w:eastAsia="Times New Roman"/>
          <w:lang w:eastAsia="en-GB"/>
        </w:rPr>
      </w:pPr>
      <w:r w:rsidRPr="003E6051">
        <w:rPr>
          <w:rFonts w:eastAsia="Times New Roman"/>
          <w:lang w:eastAsia="en-GB"/>
        </w:rPr>
        <w:t>While the formalisation of risk management through frameworks represent a substantial advance in industrial project governance, its success in practice hinges on continuous adaptation, leadership commitment, and cultural alignment. There is a pressing need to move from compliance-based application of risk tools to a more strategic and embedded model of risk governance, one that treats risk not merely as a constraint, but as a source of insight and opportunity</w:t>
      </w:r>
      <w:r w:rsidR="0044466B" w:rsidRPr="003E6051">
        <w:rPr>
          <w:rFonts w:eastAsia="Times New Roman"/>
          <w:lang w:eastAsia="en-GB"/>
        </w:rPr>
        <w:t xml:space="preserve"> </w:t>
      </w:r>
      <w:sdt>
        <w:sdtPr>
          <w:rPr>
            <w:rFonts w:eastAsia="Times New Roman"/>
            <w:lang w:eastAsia="en-GB"/>
          </w:rPr>
          <w:id w:val="1173378427"/>
          <w:citation/>
        </w:sdtPr>
        <w:sdtContent>
          <w:r w:rsidR="0044466B" w:rsidRPr="003E6051">
            <w:rPr>
              <w:rFonts w:eastAsia="Times New Roman"/>
              <w:lang w:eastAsia="en-GB"/>
            </w:rPr>
            <w:fldChar w:fldCharType="begin"/>
          </w:r>
          <w:r w:rsidR="0044466B" w:rsidRPr="003E6051">
            <w:rPr>
              <w:rFonts w:eastAsia="Times New Roman"/>
              <w:lang w:val="en-US" w:eastAsia="en-GB"/>
            </w:rPr>
            <w:instrText xml:space="preserve"> CITATION Cur20 \l 1033 </w:instrText>
          </w:r>
          <w:r w:rsidR="0044466B" w:rsidRPr="003E6051">
            <w:rPr>
              <w:rFonts w:eastAsia="Times New Roman"/>
              <w:lang w:eastAsia="en-GB"/>
            </w:rPr>
            <w:fldChar w:fldCharType="separate"/>
          </w:r>
          <w:r w:rsidR="0044466B" w:rsidRPr="003E6051">
            <w:rPr>
              <w:rFonts w:eastAsia="Times New Roman"/>
              <w:noProof/>
              <w:lang w:val="en-US" w:eastAsia="en-GB"/>
            </w:rPr>
            <w:t>(Smith, 2020)</w:t>
          </w:r>
          <w:r w:rsidR="0044466B" w:rsidRPr="003E6051">
            <w:rPr>
              <w:rFonts w:eastAsia="Times New Roman"/>
              <w:lang w:eastAsia="en-GB"/>
            </w:rPr>
            <w:fldChar w:fldCharType="end"/>
          </w:r>
        </w:sdtContent>
      </w:sdt>
      <w:r w:rsidRPr="003E6051">
        <w:rPr>
          <w:rFonts w:eastAsia="Times New Roman"/>
          <w:lang w:eastAsia="en-GB"/>
        </w:rPr>
        <w:t>.</w:t>
      </w:r>
    </w:p>
    <w:p w14:paraId="1F88B9AE" w14:textId="77777777" w:rsidR="003F537D" w:rsidRPr="003E6051" w:rsidRDefault="003F537D" w:rsidP="007C1BEE">
      <w:pPr>
        <w:spacing w:after="0" w:line="360" w:lineRule="auto"/>
        <w:ind w:left="-576" w:right="-576"/>
        <w:jc w:val="both"/>
        <w:rPr>
          <w:rFonts w:eastAsia="Times New Roman"/>
          <w:lang w:eastAsia="en-GB"/>
        </w:rPr>
      </w:pPr>
    </w:p>
    <w:p w14:paraId="080C178C" w14:textId="0AC34508" w:rsidR="00E11E47" w:rsidRPr="003E6051" w:rsidRDefault="00E11E47" w:rsidP="007C1BEE">
      <w:pPr>
        <w:spacing w:after="0" w:line="360" w:lineRule="auto"/>
        <w:ind w:left="-576" w:right="-576"/>
        <w:jc w:val="both"/>
        <w:rPr>
          <w:rFonts w:eastAsia="Times New Roman"/>
          <w:color w:val="EE0000"/>
          <w:lang w:eastAsia="en-GB"/>
        </w:rPr>
      </w:pPr>
      <w:r w:rsidRPr="003E6051">
        <w:rPr>
          <w:rFonts w:eastAsia="Times New Roman"/>
          <w:color w:val="EE0000"/>
          <w:lang w:eastAsia="en-GB"/>
        </w:rPr>
        <w:t>51</w:t>
      </w:r>
      <w:r w:rsidR="00D95C90">
        <w:rPr>
          <w:rFonts w:eastAsia="Times New Roman"/>
          <w:color w:val="EE0000"/>
          <w:lang w:eastAsia="en-GB"/>
        </w:rPr>
        <w:t>5</w:t>
      </w:r>
      <w:r w:rsidR="0044466B" w:rsidRPr="003E6051">
        <w:rPr>
          <w:rFonts w:eastAsia="Times New Roman"/>
          <w:color w:val="EE0000"/>
          <w:lang w:eastAsia="en-GB"/>
        </w:rPr>
        <w:t xml:space="preserve"> (9</w:t>
      </w:r>
      <w:r w:rsidR="00E43C43">
        <w:rPr>
          <w:rFonts w:eastAsia="Times New Roman"/>
          <w:color w:val="EE0000"/>
          <w:lang w:eastAsia="en-GB"/>
        </w:rPr>
        <w:t>30</w:t>
      </w:r>
      <w:r w:rsidR="0044466B" w:rsidRPr="003E6051">
        <w:rPr>
          <w:rFonts w:eastAsia="Times New Roman"/>
          <w:color w:val="EE0000"/>
          <w:lang w:eastAsia="en-GB"/>
        </w:rPr>
        <w:t>)</w:t>
      </w:r>
    </w:p>
    <w:p w14:paraId="3DE53D46" w14:textId="77777777" w:rsidR="00205101" w:rsidRPr="003E6051" w:rsidRDefault="00205101" w:rsidP="007C1BEE">
      <w:pPr>
        <w:spacing w:after="0"/>
        <w:rPr>
          <w:rFonts w:eastAsia="Times New Roman"/>
          <w:lang w:eastAsia="en-GB"/>
        </w:rPr>
      </w:pPr>
      <w:r w:rsidRPr="003E6051">
        <w:rPr>
          <w:rFonts w:eastAsia="Times New Roman"/>
          <w:lang w:eastAsia="en-GB"/>
        </w:rPr>
        <w:br w:type="page"/>
      </w:r>
    </w:p>
    <w:p w14:paraId="613E02E3" w14:textId="5FE70CDC" w:rsidR="00203237" w:rsidRPr="003E6051" w:rsidRDefault="00203237" w:rsidP="007C1BEE">
      <w:pPr>
        <w:pStyle w:val="Heading2"/>
        <w:spacing w:before="0" w:line="360" w:lineRule="auto"/>
        <w:ind w:left="-576"/>
        <w:jc w:val="both"/>
        <w:rPr>
          <w:rFonts w:eastAsia="Times New Roman" w:cs="Calibri Light"/>
          <w:lang w:eastAsia="en-GB"/>
        </w:rPr>
      </w:pPr>
      <w:bookmarkStart w:id="6" w:name="_Toc219216464"/>
      <w:r w:rsidRPr="003E6051">
        <w:rPr>
          <w:rFonts w:eastAsia="Times New Roman" w:cs="Calibri Light"/>
          <w:sz w:val="22"/>
          <w:szCs w:val="22"/>
          <w:lang w:eastAsia="en-GB"/>
        </w:rPr>
        <w:lastRenderedPageBreak/>
        <w:t xml:space="preserve">5.2. </w:t>
      </w:r>
      <w:r w:rsidRPr="003E6051">
        <w:rPr>
          <w:rFonts w:eastAsia="Times New Roman" w:cs="Calibri Light"/>
          <w:sz w:val="22"/>
          <w:szCs w:val="22"/>
          <w:u w:val="single"/>
          <w:lang w:eastAsia="en-GB"/>
        </w:rPr>
        <w:t>Aims and Objectives</w:t>
      </w:r>
      <w:r w:rsidRPr="003E6051">
        <w:rPr>
          <w:rFonts w:eastAsia="Times New Roman" w:cs="Calibri Light"/>
          <w:lang w:eastAsia="en-GB"/>
        </w:rPr>
        <w:t>.</w:t>
      </w:r>
      <w:bookmarkEnd w:id="6"/>
    </w:p>
    <w:p w14:paraId="2301BB86" w14:textId="77777777" w:rsidR="00203237" w:rsidRPr="003E6051" w:rsidRDefault="00203237" w:rsidP="007C1BEE">
      <w:pPr>
        <w:spacing w:after="0" w:line="360" w:lineRule="auto"/>
        <w:ind w:left="-576" w:right="-576"/>
        <w:jc w:val="both"/>
        <w:rPr>
          <w:rFonts w:eastAsia="Times New Roman"/>
          <w:lang w:eastAsia="en-GB"/>
        </w:rPr>
      </w:pPr>
    </w:p>
    <w:p w14:paraId="07358CC6" w14:textId="68891EC8" w:rsidR="003F537D" w:rsidRPr="003E6051" w:rsidRDefault="003F537D" w:rsidP="007C1BEE">
      <w:pPr>
        <w:spacing w:after="0" w:line="360" w:lineRule="auto"/>
        <w:ind w:left="-576" w:right="-576"/>
        <w:jc w:val="both"/>
        <w:rPr>
          <w:rFonts w:eastAsia="Times New Roman"/>
          <w:lang w:eastAsia="en-GB"/>
        </w:rPr>
      </w:pPr>
      <w:r w:rsidRPr="003E6051">
        <w:rPr>
          <w:rFonts w:eastAsia="Times New Roman"/>
          <w:lang w:eastAsia="en-GB"/>
        </w:rPr>
        <w:t>The primary aim of this research is to critically evaluate the effectiveness of established risk assessment tools within industrial project management and determine their appropriateness for enhancing project performance</w:t>
      </w:r>
      <w:r w:rsidR="00BA023B">
        <w:rPr>
          <w:rFonts w:eastAsia="Times New Roman"/>
          <w:lang w:eastAsia="en-GB"/>
        </w:rPr>
        <w:t xml:space="preserve">, </w:t>
      </w:r>
      <w:r w:rsidR="003134FF">
        <w:rPr>
          <w:rFonts w:eastAsia="Times New Roman"/>
          <w:lang w:eastAsia="en-GB"/>
        </w:rPr>
        <w:t xml:space="preserve">outcomes </w:t>
      </w:r>
      <w:r w:rsidR="003134FF" w:rsidRPr="003E6051">
        <w:rPr>
          <w:rFonts w:eastAsia="Times New Roman"/>
          <w:lang w:eastAsia="en-GB"/>
        </w:rPr>
        <w:t>and</w:t>
      </w:r>
      <w:r w:rsidRPr="003E6051">
        <w:rPr>
          <w:rFonts w:eastAsia="Times New Roman"/>
          <w:lang w:eastAsia="en-GB"/>
        </w:rPr>
        <w:t xml:space="preserve"> resilience. In an era marked by increasing complexity, globali</w:t>
      </w:r>
      <w:r w:rsidR="00CF2822" w:rsidRPr="003E6051">
        <w:rPr>
          <w:rFonts w:eastAsia="Times New Roman"/>
          <w:lang w:eastAsia="en-GB"/>
        </w:rPr>
        <w:t>s</w:t>
      </w:r>
      <w:r w:rsidRPr="003E6051">
        <w:rPr>
          <w:rFonts w:eastAsia="Times New Roman"/>
          <w:lang w:eastAsia="en-GB"/>
        </w:rPr>
        <w:t>ation, and technological acceleration, traditional risk tools are under growing scrutiny for their adaptability, predictive capacity, and real-world impact. This study does not merely investigate tool usage in isolation but rather situates it within the broader systemic and organi</w:t>
      </w:r>
      <w:r w:rsidR="00CF2822" w:rsidRPr="003E6051">
        <w:rPr>
          <w:rFonts w:eastAsia="Times New Roman"/>
          <w:lang w:eastAsia="en-GB"/>
        </w:rPr>
        <w:t>s</w:t>
      </w:r>
      <w:r w:rsidRPr="003E6051">
        <w:rPr>
          <w:rFonts w:eastAsia="Times New Roman"/>
          <w:lang w:eastAsia="en-GB"/>
        </w:rPr>
        <w:t>ational context that governs how risk is perceived, assessed, and managed.</w:t>
      </w:r>
    </w:p>
    <w:p w14:paraId="2C663E54" w14:textId="77777777" w:rsidR="003F537D" w:rsidRPr="003E6051" w:rsidRDefault="003F537D" w:rsidP="007C1BEE">
      <w:pPr>
        <w:spacing w:after="0" w:line="360" w:lineRule="auto"/>
        <w:ind w:left="-576" w:right="-576"/>
        <w:jc w:val="both"/>
        <w:rPr>
          <w:rFonts w:eastAsia="Times New Roman"/>
          <w:lang w:eastAsia="en-GB"/>
        </w:rPr>
      </w:pPr>
    </w:p>
    <w:p w14:paraId="1483BD3A" w14:textId="3990596C" w:rsidR="00203237" w:rsidRPr="003E6051" w:rsidRDefault="003F537D" w:rsidP="007C1BEE">
      <w:pPr>
        <w:spacing w:after="0" w:line="360" w:lineRule="auto"/>
        <w:ind w:left="-576" w:right="-576"/>
        <w:jc w:val="both"/>
        <w:rPr>
          <w:rFonts w:eastAsia="Times New Roman"/>
          <w:lang w:eastAsia="en-GB"/>
        </w:rPr>
      </w:pPr>
      <w:r w:rsidRPr="003E6051">
        <w:rPr>
          <w:rFonts w:eastAsia="Times New Roman"/>
          <w:lang w:eastAsia="en-GB"/>
        </w:rPr>
        <w:t>To achieve this aim, the research is structured around four interrelated objectives that address both diagnostic and prescriptive aspects of risk management</w:t>
      </w:r>
      <w:r w:rsidR="00203237" w:rsidRPr="003E6051">
        <w:rPr>
          <w:rFonts w:eastAsia="Times New Roman"/>
          <w:lang w:eastAsia="en-GB"/>
        </w:rPr>
        <w:t>:</w:t>
      </w:r>
    </w:p>
    <w:p w14:paraId="6EDD31FF" w14:textId="77777777" w:rsidR="00E11E47" w:rsidRPr="003E6051" w:rsidRDefault="00E11E47" w:rsidP="007C1BEE">
      <w:pPr>
        <w:spacing w:after="0" w:line="360" w:lineRule="auto"/>
        <w:ind w:left="-576" w:right="-576"/>
        <w:jc w:val="both"/>
        <w:rPr>
          <w:rFonts w:eastAsia="Times New Roman"/>
          <w:lang w:eastAsia="en-GB"/>
        </w:rPr>
      </w:pPr>
    </w:p>
    <w:p w14:paraId="1CFF20BB" w14:textId="6C95EBEA" w:rsidR="00203237" w:rsidRPr="003E6051" w:rsidRDefault="00203237" w:rsidP="007C1BEE">
      <w:pPr>
        <w:pStyle w:val="ListParagraph"/>
        <w:numPr>
          <w:ilvl w:val="0"/>
          <w:numId w:val="41"/>
        </w:numPr>
        <w:spacing w:after="0" w:line="360" w:lineRule="auto"/>
        <w:ind w:right="-576"/>
        <w:jc w:val="both"/>
        <w:rPr>
          <w:rFonts w:eastAsia="Times New Roman"/>
          <w:lang w:eastAsia="en-GB"/>
        </w:rPr>
      </w:pPr>
      <w:r w:rsidRPr="003E6051">
        <w:rPr>
          <w:rFonts w:eastAsia="Times New Roman"/>
          <w:lang w:eastAsia="en-GB"/>
        </w:rPr>
        <w:t>Identify and classify critical risks in industrial projects, including financial, technical, operational, environmental, and regulatory risks.</w:t>
      </w:r>
    </w:p>
    <w:p w14:paraId="0297646E" w14:textId="30A6221E" w:rsidR="00203237" w:rsidRPr="003E6051" w:rsidRDefault="00203237" w:rsidP="007C1BEE">
      <w:pPr>
        <w:pStyle w:val="ListParagraph"/>
        <w:numPr>
          <w:ilvl w:val="0"/>
          <w:numId w:val="41"/>
        </w:numPr>
        <w:spacing w:after="0" w:line="360" w:lineRule="auto"/>
        <w:ind w:right="-576"/>
        <w:jc w:val="both"/>
        <w:rPr>
          <w:rFonts w:eastAsia="Times New Roman"/>
          <w:lang w:eastAsia="en-GB"/>
        </w:rPr>
      </w:pPr>
      <w:r w:rsidRPr="003E6051">
        <w:rPr>
          <w:rFonts w:eastAsia="Times New Roman"/>
          <w:lang w:eastAsia="en-GB"/>
        </w:rPr>
        <w:t>Analyse the extent to which current risk assessment frameworks and tools are utilised in industrial project management.</w:t>
      </w:r>
    </w:p>
    <w:p w14:paraId="04F46FCF" w14:textId="0ABBB357" w:rsidR="00203237" w:rsidRPr="003E6051" w:rsidRDefault="00203237" w:rsidP="007C1BEE">
      <w:pPr>
        <w:pStyle w:val="ListParagraph"/>
        <w:numPr>
          <w:ilvl w:val="0"/>
          <w:numId w:val="41"/>
        </w:numPr>
        <w:spacing w:after="0" w:line="360" w:lineRule="auto"/>
        <w:ind w:right="-576"/>
        <w:jc w:val="both"/>
        <w:rPr>
          <w:rFonts w:eastAsia="Times New Roman"/>
          <w:lang w:eastAsia="en-GB"/>
        </w:rPr>
      </w:pPr>
      <w:r w:rsidRPr="003E6051">
        <w:rPr>
          <w:rFonts w:eastAsia="Times New Roman"/>
          <w:lang w:eastAsia="en-GB"/>
        </w:rPr>
        <w:t>Assess the impact in mitigating project risks.</w:t>
      </w:r>
    </w:p>
    <w:p w14:paraId="3072133F" w14:textId="2211F0D8" w:rsidR="00203237" w:rsidRPr="003E6051" w:rsidRDefault="00203237" w:rsidP="007C1BEE">
      <w:pPr>
        <w:pStyle w:val="ListParagraph"/>
        <w:numPr>
          <w:ilvl w:val="0"/>
          <w:numId w:val="41"/>
        </w:numPr>
        <w:spacing w:after="0" w:line="360" w:lineRule="auto"/>
        <w:ind w:right="-576"/>
        <w:jc w:val="both"/>
        <w:rPr>
          <w:rFonts w:eastAsia="Times New Roman"/>
          <w:lang w:eastAsia="en-GB"/>
        </w:rPr>
      </w:pPr>
      <w:r w:rsidRPr="003E6051">
        <w:rPr>
          <w:rFonts w:eastAsia="Times New Roman"/>
          <w:lang w:eastAsia="en-GB"/>
        </w:rPr>
        <w:t>Assess the need to develop a flexible and scalable risk management framework to bridge gaps and enhance risk preparedness.</w:t>
      </w:r>
    </w:p>
    <w:p w14:paraId="23592774" w14:textId="77777777" w:rsidR="00203237" w:rsidRPr="003E6051" w:rsidRDefault="00203237" w:rsidP="007C1BEE">
      <w:pPr>
        <w:spacing w:after="0" w:line="360" w:lineRule="auto"/>
        <w:ind w:left="-576" w:right="-576"/>
        <w:jc w:val="both"/>
        <w:rPr>
          <w:rFonts w:eastAsia="Times New Roman"/>
          <w:lang w:eastAsia="en-GB"/>
        </w:rPr>
      </w:pPr>
      <w:r w:rsidRPr="003E6051">
        <w:rPr>
          <w:rFonts w:eastAsia="Times New Roman"/>
          <w:lang w:eastAsia="en-GB"/>
        </w:rPr>
        <w:t> </w:t>
      </w:r>
    </w:p>
    <w:p w14:paraId="0A7CA047" w14:textId="160FED7A" w:rsidR="00E11E47" w:rsidRPr="003E6051" w:rsidRDefault="00E11E47" w:rsidP="007C1BEE">
      <w:pPr>
        <w:spacing w:after="0" w:line="360" w:lineRule="auto"/>
        <w:ind w:left="-576" w:right="-576"/>
        <w:jc w:val="both"/>
        <w:rPr>
          <w:rFonts w:eastAsia="Times New Roman"/>
          <w:color w:val="EE0000"/>
          <w:lang w:eastAsia="en-GB"/>
        </w:rPr>
      </w:pPr>
      <w:r w:rsidRPr="003E6051">
        <w:rPr>
          <w:rFonts w:eastAsia="Times New Roman"/>
          <w:color w:val="EE0000"/>
          <w:lang w:eastAsia="en-GB"/>
        </w:rPr>
        <w:t>17</w:t>
      </w:r>
      <w:r w:rsidR="00D95C90">
        <w:rPr>
          <w:rFonts w:eastAsia="Times New Roman"/>
          <w:color w:val="EE0000"/>
          <w:lang w:eastAsia="en-GB"/>
        </w:rPr>
        <w:t>3</w:t>
      </w:r>
      <w:r w:rsidR="0044466B" w:rsidRPr="003E6051">
        <w:rPr>
          <w:rFonts w:eastAsia="Times New Roman"/>
          <w:color w:val="EE0000"/>
          <w:lang w:eastAsia="en-GB"/>
        </w:rPr>
        <w:t xml:space="preserve"> (109</w:t>
      </w:r>
      <w:r w:rsidR="00E43C43">
        <w:rPr>
          <w:rFonts w:eastAsia="Times New Roman"/>
          <w:color w:val="EE0000"/>
          <w:lang w:eastAsia="en-GB"/>
        </w:rPr>
        <w:t>7</w:t>
      </w:r>
      <w:r w:rsidR="0044466B" w:rsidRPr="003E6051">
        <w:rPr>
          <w:rFonts w:eastAsia="Times New Roman"/>
          <w:color w:val="EE0000"/>
          <w:lang w:eastAsia="en-GB"/>
        </w:rPr>
        <w:t>)</w:t>
      </w:r>
    </w:p>
    <w:p w14:paraId="3FFB1159" w14:textId="77777777" w:rsidR="00205101" w:rsidRPr="003E6051" w:rsidRDefault="00205101" w:rsidP="007C1BEE">
      <w:pPr>
        <w:spacing w:after="0"/>
        <w:rPr>
          <w:rFonts w:eastAsia="Times New Roman"/>
          <w:lang w:eastAsia="en-GB"/>
        </w:rPr>
      </w:pPr>
      <w:r w:rsidRPr="003E6051">
        <w:rPr>
          <w:rFonts w:eastAsia="Times New Roman"/>
          <w:lang w:eastAsia="en-GB"/>
        </w:rPr>
        <w:br w:type="page"/>
      </w:r>
    </w:p>
    <w:p w14:paraId="2E4B53FD" w14:textId="1E6C68BE" w:rsidR="00203237" w:rsidRPr="003E6051" w:rsidRDefault="00203237" w:rsidP="007C1BEE">
      <w:pPr>
        <w:pStyle w:val="Heading2"/>
        <w:spacing w:before="0" w:line="360" w:lineRule="auto"/>
        <w:ind w:left="-576"/>
        <w:jc w:val="both"/>
        <w:rPr>
          <w:rFonts w:eastAsia="Times New Roman" w:cs="Calibri Light"/>
          <w:sz w:val="22"/>
          <w:szCs w:val="22"/>
          <w:lang w:eastAsia="en-GB"/>
        </w:rPr>
      </w:pPr>
      <w:bookmarkStart w:id="7" w:name="_Toc219216465"/>
      <w:r w:rsidRPr="003E6051">
        <w:rPr>
          <w:rFonts w:eastAsia="Times New Roman" w:cs="Calibri Light"/>
          <w:sz w:val="22"/>
          <w:szCs w:val="22"/>
          <w:lang w:eastAsia="en-GB"/>
        </w:rPr>
        <w:lastRenderedPageBreak/>
        <w:t xml:space="preserve">5.3. </w:t>
      </w:r>
      <w:r w:rsidRPr="003E6051">
        <w:rPr>
          <w:rFonts w:eastAsia="Times New Roman" w:cs="Calibri Light"/>
          <w:sz w:val="22"/>
          <w:szCs w:val="22"/>
          <w:u w:val="single"/>
          <w:lang w:eastAsia="en-GB"/>
        </w:rPr>
        <w:t>Significance of the Research</w:t>
      </w:r>
      <w:r w:rsidRPr="003E6051">
        <w:rPr>
          <w:rFonts w:eastAsia="Times New Roman" w:cs="Calibri Light"/>
          <w:sz w:val="22"/>
          <w:szCs w:val="22"/>
          <w:lang w:eastAsia="en-GB"/>
        </w:rPr>
        <w:t>.</w:t>
      </w:r>
      <w:bookmarkEnd w:id="7"/>
    </w:p>
    <w:p w14:paraId="1AE1CDA4" w14:textId="77777777" w:rsidR="00203237" w:rsidRPr="003E6051" w:rsidRDefault="00203237" w:rsidP="007C1BEE">
      <w:pPr>
        <w:spacing w:after="0" w:line="360" w:lineRule="auto"/>
        <w:ind w:left="-576" w:right="-576"/>
        <w:jc w:val="both"/>
        <w:rPr>
          <w:rFonts w:eastAsia="Times New Roman"/>
          <w:lang w:eastAsia="en-GB"/>
        </w:rPr>
      </w:pPr>
    </w:p>
    <w:p w14:paraId="1BF536B8" w14:textId="402017D0" w:rsidR="00CF2822" w:rsidRPr="003E6051" w:rsidRDefault="00CF2822" w:rsidP="007C1BEE">
      <w:pPr>
        <w:spacing w:after="0" w:line="360" w:lineRule="auto"/>
        <w:ind w:left="-576" w:right="-576"/>
        <w:jc w:val="both"/>
        <w:rPr>
          <w:rFonts w:eastAsia="Times New Roman"/>
          <w:lang w:eastAsia="en-GB"/>
        </w:rPr>
      </w:pPr>
      <w:r w:rsidRPr="003E6051">
        <w:rPr>
          <w:rFonts w:eastAsia="Times New Roman"/>
          <w:lang w:eastAsia="en-GB"/>
        </w:rPr>
        <w:t xml:space="preserve">This study is </w:t>
      </w:r>
      <w:r w:rsidR="009A4AED">
        <w:rPr>
          <w:rFonts w:eastAsia="Times New Roman"/>
          <w:lang w:eastAsia="en-GB"/>
        </w:rPr>
        <w:t>particularly</w:t>
      </w:r>
      <w:r w:rsidRPr="003E6051">
        <w:rPr>
          <w:rFonts w:eastAsia="Times New Roman"/>
          <w:lang w:eastAsia="en-GB"/>
        </w:rPr>
        <w:t xml:space="preserve"> relevant to industries where project complexity and uncertainty converge, such as energy, construction, and infrastructure development. These sectors routinely face interdependent risks, technical, financial, regulatory, yet evidence suggests that risk assessment tools are often inconsistently applied or poorly integrated into project workflows</w:t>
      </w:r>
      <w:r w:rsidR="00E11E47" w:rsidRPr="003E6051">
        <w:rPr>
          <w:rFonts w:eastAsia="Times New Roman"/>
          <w:lang w:eastAsia="en-GB"/>
        </w:rPr>
        <w:t xml:space="preserve"> </w:t>
      </w:r>
      <w:sdt>
        <w:sdtPr>
          <w:rPr>
            <w:rFonts w:eastAsia="Times New Roman"/>
            <w:lang w:eastAsia="en-GB"/>
          </w:rPr>
          <w:id w:val="-2100326264"/>
          <w:citation/>
        </w:sdtPr>
        <w:sdtContent>
          <w:r w:rsidR="00E11E47" w:rsidRPr="003E6051">
            <w:rPr>
              <w:rFonts w:eastAsia="Times New Roman"/>
              <w:lang w:eastAsia="en-GB"/>
            </w:rPr>
            <w:fldChar w:fldCharType="begin"/>
          </w:r>
          <w:r w:rsidR="00E11E47" w:rsidRPr="003E6051">
            <w:rPr>
              <w:rFonts w:eastAsia="Times New Roman"/>
              <w:lang w:val="en-US" w:eastAsia="en-GB"/>
            </w:rPr>
            <w:instrText xml:space="preserve"> CITATION Pau08 \l 1033 </w:instrText>
          </w:r>
          <w:r w:rsidR="00E11E47" w:rsidRPr="003E6051">
            <w:rPr>
              <w:rFonts w:eastAsia="Times New Roman"/>
              <w:lang w:eastAsia="en-GB"/>
            </w:rPr>
            <w:fldChar w:fldCharType="separate"/>
          </w:r>
          <w:r w:rsidR="00E11E47" w:rsidRPr="003E6051">
            <w:rPr>
              <w:rFonts w:eastAsia="Times New Roman"/>
              <w:noProof/>
              <w:lang w:val="en-US" w:eastAsia="en-GB"/>
            </w:rPr>
            <w:t>(Bannerman, 2008)</w:t>
          </w:r>
          <w:r w:rsidR="00E11E47" w:rsidRPr="003E6051">
            <w:rPr>
              <w:rFonts w:eastAsia="Times New Roman"/>
              <w:lang w:eastAsia="en-GB"/>
            </w:rPr>
            <w:fldChar w:fldCharType="end"/>
          </w:r>
        </w:sdtContent>
      </w:sdt>
      <w:r w:rsidRPr="003E6051">
        <w:rPr>
          <w:rFonts w:eastAsia="Times New Roman"/>
          <w:lang w:eastAsia="en-GB"/>
        </w:rPr>
        <w:t xml:space="preserve">. Investigating the routine use of these tools provides </w:t>
      </w:r>
      <w:r w:rsidR="004E4FC6">
        <w:rPr>
          <w:rFonts w:eastAsia="Times New Roman"/>
          <w:lang w:eastAsia="en-GB"/>
        </w:rPr>
        <w:t>valuable</w:t>
      </w:r>
      <w:r w:rsidRPr="003E6051">
        <w:rPr>
          <w:rFonts w:eastAsia="Times New Roman"/>
          <w:lang w:eastAsia="en-GB"/>
        </w:rPr>
        <w:t xml:space="preserve"> insights</w:t>
      </w:r>
      <w:r w:rsidR="008220C5">
        <w:rPr>
          <w:rFonts w:eastAsia="Times New Roman"/>
          <w:lang w:eastAsia="en-GB"/>
        </w:rPr>
        <w:t xml:space="preserve"> for project manager, policymakers, and researchers,</w:t>
      </w:r>
      <w:r w:rsidRPr="003E6051">
        <w:rPr>
          <w:rFonts w:eastAsia="Times New Roman"/>
          <w:lang w:eastAsia="en-GB"/>
        </w:rPr>
        <w:t xml:space="preserve"> into both organisational behaviour and systemic inefficiencies.</w:t>
      </w:r>
    </w:p>
    <w:p w14:paraId="2940FAA6" w14:textId="77777777" w:rsidR="00CF2822" w:rsidRPr="003E6051" w:rsidRDefault="00CF2822" w:rsidP="007C1BEE">
      <w:pPr>
        <w:spacing w:after="0" w:line="360" w:lineRule="auto"/>
        <w:ind w:left="-576" w:right="-576"/>
        <w:jc w:val="both"/>
        <w:rPr>
          <w:rFonts w:eastAsia="Times New Roman"/>
          <w:lang w:eastAsia="en-GB"/>
        </w:rPr>
      </w:pPr>
    </w:p>
    <w:p w14:paraId="3CDC88EC" w14:textId="6EED79B9" w:rsidR="00CF2822" w:rsidRPr="003E6051" w:rsidRDefault="00CF2822" w:rsidP="007C1BEE">
      <w:pPr>
        <w:spacing w:after="0" w:line="360" w:lineRule="auto"/>
        <w:ind w:left="-576" w:right="-576"/>
        <w:jc w:val="both"/>
        <w:rPr>
          <w:rFonts w:eastAsia="Times New Roman"/>
          <w:lang w:eastAsia="en-GB"/>
        </w:rPr>
      </w:pPr>
      <w:r w:rsidRPr="003E6051">
        <w:rPr>
          <w:rFonts w:eastAsia="Times New Roman"/>
          <w:lang w:eastAsia="en-GB"/>
        </w:rPr>
        <w:t>By bridging the divide between theor</w:t>
      </w:r>
      <w:r w:rsidR="00703C91">
        <w:rPr>
          <w:rFonts w:eastAsia="Times New Roman"/>
          <w:lang w:eastAsia="en-GB"/>
        </w:rPr>
        <w:t>etical principles</w:t>
      </w:r>
      <w:r w:rsidRPr="003E6051">
        <w:rPr>
          <w:rFonts w:eastAsia="Times New Roman"/>
          <w:lang w:eastAsia="en-GB"/>
        </w:rPr>
        <w:t xml:space="preserve"> and </w:t>
      </w:r>
      <w:r w:rsidR="00703C91">
        <w:rPr>
          <w:rFonts w:eastAsia="Times New Roman"/>
          <w:lang w:eastAsia="en-GB"/>
        </w:rPr>
        <w:t xml:space="preserve">real-world </w:t>
      </w:r>
      <w:r w:rsidRPr="003E6051">
        <w:rPr>
          <w:rFonts w:eastAsia="Times New Roman"/>
          <w:lang w:eastAsia="en-GB"/>
        </w:rPr>
        <w:t xml:space="preserve">practice, the research challenges the assumption that risk frameworks alone ensure project resilience. As </w:t>
      </w:r>
      <w:sdt>
        <w:sdtPr>
          <w:rPr>
            <w:rFonts w:eastAsia="Times New Roman"/>
            <w:lang w:eastAsia="en-GB"/>
          </w:rPr>
          <w:id w:val="-757368725"/>
          <w:citation/>
        </w:sdtPr>
        <w:sdtContent>
          <w:r w:rsidR="00E11E47" w:rsidRPr="003E6051">
            <w:rPr>
              <w:rFonts w:eastAsia="Times New Roman"/>
              <w:lang w:eastAsia="en-GB"/>
            </w:rPr>
            <w:fldChar w:fldCharType="begin"/>
          </w:r>
          <w:r w:rsidR="00E11E47" w:rsidRPr="003E6051">
            <w:rPr>
              <w:rFonts w:eastAsia="Times New Roman"/>
              <w:lang w:val="en-US" w:eastAsia="en-GB"/>
            </w:rPr>
            <w:instrText xml:space="preserve"> CITATION Beh20 \l 1033 </w:instrText>
          </w:r>
          <w:r w:rsidR="00E11E47" w:rsidRPr="003E6051">
            <w:rPr>
              <w:rFonts w:eastAsia="Times New Roman"/>
              <w:lang w:eastAsia="en-GB"/>
            </w:rPr>
            <w:fldChar w:fldCharType="separate"/>
          </w:r>
          <w:r w:rsidR="00E11E47" w:rsidRPr="003E6051">
            <w:rPr>
              <w:rFonts w:eastAsia="Times New Roman"/>
              <w:noProof/>
              <w:lang w:val="en-US" w:eastAsia="en-GB"/>
            </w:rPr>
            <w:t>(Behrad Barghi, 2020)</w:t>
          </w:r>
          <w:r w:rsidR="00E11E47" w:rsidRPr="003E6051">
            <w:rPr>
              <w:rFonts w:eastAsia="Times New Roman"/>
              <w:lang w:eastAsia="en-GB"/>
            </w:rPr>
            <w:fldChar w:fldCharType="end"/>
          </w:r>
        </w:sdtContent>
      </w:sdt>
      <w:r w:rsidRPr="003E6051">
        <w:rPr>
          <w:rFonts w:eastAsia="Times New Roman"/>
          <w:lang w:eastAsia="en-GB"/>
        </w:rPr>
        <w:t xml:space="preserve"> notes, effectiveness depends not on the availability of tools, but on context-aware, adaptive application. The study aims to expose how </w:t>
      </w:r>
      <w:r w:rsidR="0046192E" w:rsidRPr="003E6051">
        <w:rPr>
          <w:rFonts w:eastAsia="Times New Roman"/>
          <w:lang w:eastAsia="en-GB"/>
        </w:rPr>
        <w:t>embedded</w:t>
      </w:r>
      <w:r w:rsidRPr="003E6051">
        <w:rPr>
          <w:rFonts w:eastAsia="Times New Roman"/>
          <w:lang w:eastAsia="en-GB"/>
        </w:rPr>
        <w:t xml:space="preserve"> practices, tool fatigue, or managerial inertia can undermine risk mitigation, while also identifying high-impact interventions.</w:t>
      </w:r>
      <w:r w:rsidR="00F56B0B">
        <w:rPr>
          <w:rFonts w:eastAsia="Times New Roman"/>
          <w:lang w:eastAsia="en-GB"/>
        </w:rPr>
        <w:t xml:space="preserve"> </w:t>
      </w:r>
      <w:r w:rsidR="006D1DE1">
        <w:rPr>
          <w:rFonts w:eastAsia="Times New Roman"/>
          <w:lang w:eastAsia="en-GB"/>
        </w:rPr>
        <w:t>The f</w:t>
      </w:r>
      <w:r w:rsidR="00BC1B94">
        <w:rPr>
          <w:rFonts w:eastAsia="Times New Roman"/>
          <w:lang w:eastAsia="en-GB"/>
        </w:rPr>
        <w:t xml:space="preserve">indings aim </w:t>
      </w:r>
      <w:r w:rsidR="006D1DE1">
        <w:t>to improve methodologies, optimise risk mitigation strategies, and ultimately increase likelihood of project success</w:t>
      </w:r>
    </w:p>
    <w:p w14:paraId="737D9EAC" w14:textId="77777777" w:rsidR="00CF2822" w:rsidRPr="003E6051" w:rsidRDefault="00CF2822" w:rsidP="007C1BEE">
      <w:pPr>
        <w:spacing w:after="0" w:line="360" w:lineRule="auto"/>
        <w:ind w:left="-576" w:right="-576"/>
        <w:jc w:val="both"/>
        <w:rPr>
          <w:rFonts w:eastAsia="Times New Roman"/>
          <w:lang w:eastAsia="en-GB"/>
        </w:rPr>
      </w:pPr>
    </w:p>
    <w:p w14:paraId="353D1DA1" w14:textId="1DDB9DD8" w:rsidR="00CF2822" w:rsidRPr="003E6051" w:rsidRDefault="00CF2822" w:rsidP="007C1BEE">
      <w:pPr>
        <w:spacing w:after="0" w:line="360" w:lineRule="auto"/>
        <w:ind w:left="-576" w:right="-576"/>
        <w:jc w:val="both"/>
        <w:rPr>
          <w:rFonts w:eastAsia="Times New Roman"/>
          <w:lang w:eastAsia="en-GB"/>
        </w:rPr>
      </w:pPr>
      <w:r w:rsidRPr="003E6051">
        <w:rPr>
          <w:rFonts w:eastAsia="Times New Roman"/>
          <w:lang w:eastAsia="en-GB"/>
        </w:rPr>
        <w:t>Furthermore, the rise of AI, machine learning, and predictive analytics promises to redefine risk management through real-time forecasting and pattern recognition</w:t>
      </w:r>
      <w:r w:rsidR="00811262">
        <w:rPr>
          <w:rFonts w:eastAsia="Times New Roman"/>
          <w:lang w:eastAsia="en-GB"/>
        </w:rPr>
        <w:t>, revolutionising risk management practi</w:t>
      </w:r>
      <w:r w:rsidR="00D91A60">
        <w:rPr>
          <w:rFonts w:eastAsia="Times New Roman"/>
          <w:lang w:eastAsia="en-GB"/>
        </w:rPr>
        <w:t>c</w:t>
      </w:r>
      <w:r w:rsidR="00811262">
        <w:rPr>
          <w:rFonts w:eastAsia="Times New Roman"/>
          <w:lang w:eastAsia="en-GB"/>
        </w:rPr>
        <w:t>es</w:t>
      </w:r>
      <w:r w:rsidRPr="003E6051">
        <w:rPr>
          <w:rFonts w:eastAsia="Times New Roman"/>
          <w:lang w:eastAsia="en-GB"/>
        </w:rPr>
        <w:t xml:space="preserve">. However, these advancements are not without risks—namely, data bias, automation overconfidence, and loss of interpretability </w:t>
      </w:r>
      <w:sdt>
        <w:sdtPr>
          <w:rPr>
            <w:rFonts w:eastAsia="Times New Roman"/>
            <w:lang w:eastAsia="en-GB"/>
          </w:rPr>
          <w:id w:val="1736044879"/>
          <w:citation/>
        </w:sdtPr>
        <w:sdtContent>
          <w:r w:rsidR="00E11E47" w:rsidRPr="003E6051">
            <w:rPr>
              <w:rFonts w:eastAsia="Times New Roman"/>
              <w:lang w:eastAsia="en-GB"/>
            </w:rPr>
            <w:fldChar w:fldCharType="begin"/>
          </w:r>
          <w:r w:rsidR="00E11E47" w:rsidRPr="003E6051">
            <w:rPr>
              <w:rFonts w:eastAsia="Times New Roman"/>
              <w:lang w:val="en-US" w:eastAsia="en-GB"/>
            </w:rPr>
            <w:instrText xml:space="preserve"> CITATION Roy241 \l 1033 </w:instrText>
          </w:r>
          <w:r w:rsidR="00E11E47" w:rsidRPr="003E6051">
            <w:rPr>
              <w:rFonts w:eastAsia="Times New Roman"/>
              <w:lang w:eastAsia="en-GB"/>
            </w:rPr>
            <w:fldChar w:fldCharType="separate"/>
          </w:r>
          <w:r w:rsidR="00E11E47" w:rsidRPr="003E6051">
            <w:rPr>
              <w:rFonts w:eastAsia="Times New Roman"/>
              <w:noProof/>
              <w:lang w:val="en-US" w:eastAsia="en-GB"/>
            </w:rPr>
            <w:t>(Roy, 2024)</w:t>
          </w:r>
          <w:r w:rsidR="00E11E47" w:rsidRPr="003E6051">
            <w:rPr>
              <w:rFonts w:eastAsia="Times New Roman"/>
              <w:lang w:eastAsia="en-GB"/>
            </w:rPr>
            <w:fldChar w:fldCharType="end"/>
          </w:r>
        </w:sdtContent>
      </w:sdt>
      <w:r w:rsidRPr="003E6051">
        <w:rPr>
          <w:rFonts w:eastAsia="Times New Roman"/>
          <w:lang w:eastAsia="en-GB"/>
        </w:rPr>
        <w:t>. Without critical oversight, such tools could obscure rather than clarify risk exposure.</w:t>
      </w:r>
    </w:p>
    <w:p w14:paraId="04A667C2" w14:textId="77777777" w:rsidR="00CF2822" w:rsidRPr="003E6051" w:rsidRDefault="00CF2822" w:rsidP="007C1BEE">
      <w:pPr>
        <w:spacing w:after="0" w:line="360" w:lineRule="auto"/>
        <w:ind w:left="-576" w:right="-576"/>
        <w:jc w:val="both"/>
        <w:rPr>
          <w:rFonts w:eastAsia="Times New Roman"/>
          <w:lang w:eastAsia="en-GB"/>
        </w:rPr>
      </w:pPr>
    </w:p>
    <w:p w14:paraId="293FC3F7" w14:textId="7EE72EC7" w:rsidR="00CF2822" w:rsidRPr="003E6051" w:rsidRDefault="00CF2822" w:rsidP="007C1BEE">
      <w:pPr>
        <w:spacing w:after="0" w:line="360" w:lineRule="auto"/>
        <w:ind w:left="-576" w:right="-576"/>
        <w:jc w:val="both"/>
        <w:rPr>
          <w:rFonts w:eastAsia="Times New Roman"/>
          <w:lang w:eastAsia="en-GB"/>
        </w:rPr>
      </w:pPr>
      <w:r w:rsidRPr="003E6051">
        <w:rPr>
          <w:rFonts w:eastAsia="Times New Roman"/>
          <w:lang w:eastAsia="en-GB"/>
        </w:rPr>
        <w:t>Ultimately, this research contributes to both academic discourse and professional practice by evaluating not just whether risk tools work, but under what conditions they are effective, scalable, and ethically deployed.</w:t>
      </w:r>
    </w:p>
    <w:p w14:paraId="013143ED" w14:textId="77777777" w:rsidR="008F411D" w:rsidRPr="003E6051" w:rsidRDefault="008F411D" w:rsidP="007C1BEE">
      <w:pPr>
        <w:spacing w:after="0" w:line="360" w:lineRule="auto"/>
        <w:ind w:left="-576" w:right="-576"/>
        <w:jc w:val="both"/>
        <w:rPr>
          <w:rFonts w:eastAsia="Times New Roman"/>
          <w:color w:val="FF0000"/>
          <w:lang w:eastAsia="en-GB"/>
        </w:rPr>
      </w:pPr>
    </w:p>
    <w:p w14:paraId="0E64B638" w14:textId="5AB78ED4" w:rsidR="00AD197B" w:rsidRPr="003E6051" w:rsidRDefault="00D95C90" w:rsidP="007C1BEE">
      <w:pPr>
        <w:spacing w:after="0" w:line="360" w:lineRule="auto"/>
        <w:ind w:left="-576" w:right="-576"/>
        <w:jc w:val="both"/>
        <w:rPr>
          <w:rFonts w:eastAsia="Times New Roman"/>
          <w:lang w:eastAsia="en-GB"/>
        </w:rPr>
      </w:pPr>
      <w:r>
        <w:rPr>
          <w:rFonts w:eastAsia="Times New Roman"/>
          <w:color w:val="EE0000"/>
          <w:lang w:eastAsia="en-GB"/>
        </w:rPr>
        <w:t>228</w:t>
      </w:r>
      <w:r w:rsidR="0044466B" w:rsidRPr="003E6051">
        <w:rPr>
          <w:rFonts w:eastAsia="Times New Roman"/>
          <w:color w:val="EE0000"/>
          <w:lang w:eastAsia="en-GB"/>
        </w:rPr>
        <w:t xml:space="preserve"> (1</w:t>
      </w:r>
      <w:r>
        <w:rPr>
          <w:rFonts w:eastAsia="Times New Roman"/>
          <w:color w:val="EE0000"/>
          <w:lang w:eastAsia="en-GB"/>
        </w:rPr>
        <w:t>32</w:t>
      </w:r>
      <w:r w:rsidR="00E43C43">
        <w:rPr>
          <w:rFonts w:eastAsia="Times New Roman"/>
          <w:color w:val="EE0000"/>
          <w:lang w:eastAsia="en-GB"/>
        </w:rPr>
        <w:t>5</w:t>
      </w:r>
      <w:r w:rsidR="0044466B" w:rsidRPr="003E6051">
        <w:rPr>
          <w:rFonts w:eastAsia="Times New Roman"/>
          <w:color w:val="EE0000"/>
          <w:lang w:eastAsia="en-GB"/>
        </w:rPr>
        <w:t>)</w:t>
      </w:r>
      <w:r w:rsidR="00AD197B" w:rsidRPr="003E6051">
        <w:rPr>
          <w:rFonts w:eastAsia="Times New Roman"/>
          <w:lang w:eastAsia="en-GB"/>
        </w:rPr>
        <w:br w:type="page"/>
      </w:r>
    </w:p>
    <w:p w14:paraId="6ECED44D" w14:textId="356E205F" w:rsidR="005536D9" w:rsidRPr="003E6051" w:rsidRDefault="00CB48DF" w:rsidP="007C1BEE">
      <w:pPr>
        <w:pStyle w:val="Heading2"/>
        <w:spacing w:before="0" w:line="360" w:lineRule="auto"/>
        <w:ind w:left="-576" w:right="-576"/>
        <w:jc w:val="both"/>
        <w:rPr>
          <w:rFonts w:cs="Calibri Light"/>
          <w:sz w:val="22"/>
          <w:szCs w:val="22"/>
        </w:rPr>
      </w:pPr>
      <w:bookmarkStart w:id="8" w:name="_Toc219216466"/>
      <w:r w:rsidRPr="003E6051">
        <w:rPr>
          <w:rFonts w:cs="Calibri Light"/>
          <w:sz w:val="22"/>
          <w:szCs w:val="22"/>
        </w:rPr>
        <w:lastRenderedPageBreak/>
        <w:t>6</w:t>
      </w:r>
      <w:r w:rsidR="003E37A2" w:rsidRPr="003E6051">
        <w:rPr>
          <w:rFonts w:cs="Calibri Light"/>
          <w:sz w:val="22"/>
          <w:szCs w:val="22"/>
        </w:rPr>
        <w:t xml:space="preserve">. </w:t>
      </w:r>
      <w:r w:rsidR="001951B3" w:rsidRPr="003E6051">
        <w:rPr>
          <w:rFonts w:cs="Calibri Light"/>
          <w:sz w:val="22"/>
          <w:szCs w:val="22"/>
          <w:u w:val="single"/>
        </w:rPr>
        <w:t>Literature Review</w:t>
      </w:r>
      <w:bookmarkEnd w:id="8"/>
      <w:r w:rsidR="001951B3" w:rsidRPr="003E6051">
        <w:rPr>
          <w:rFonts w:cs="Calibri Light"/>
          <w:sz w:val="22"/>
          <w:szCs w:val="22"/>
          <w:u w:val="single"/>
        </w:rPr>
        <w:t xml:space="preserve"> </w:t>
      </w:r>
    </w:p>
    <w:p w14:paraId="7A917115" w14:textId="77777777" w:rsidR="0057746B" w:rsidRPr="003E6051" w:rsidRDefault="0057746B" w:rsidP="007C1BEE">
      <w:pPr>
        <w:spacing w:after="0" w:line="360" w:lineRule="auto"/>
        <w:ind w:left="-576" w:right="-576"/>
        <w:jc w:val="both"/>
      </w:pPr>
    </w:p>
    <w:p w14:paraId="4012F38B" w14:textId="797DE352" w:rsidR="0057746B" w:rsidRPr="003E6051" w:rsidRDefault="00F009CC" w:rsidP="007C1BEE">
      <w:pPr>
        <w:spacing w:after="0" w:line="360" w:lineRule="auto"/>
        <w:ind w:left="-576" w:right="-576"/>
        <w:jc w:val="both"/>
      </w:pPr>
      <w:r w:rsidRPr="003E6051">
        <w:t xml:space="preserve">Effective risk management is widely recognised as a cornerstone of successful project execution. However, despite the availability of numerous established risk assessment tools, many projects continue to encounter cost overruns, schedule delays, and compromised quality due to unforeseen risks </w:t>
      </w:r>
      <w:sdt>
        <w:sdtPr>
          <w:id w:val="1274204564"/>
          <w:citation/>
        </w:sdtPr>
        <w:sdtContent>
          <w:r w:rsidRPr="003E6051">
            <w:fldChar w:fldCharType="begin"/>
          </w:r>
          <w:r w:rsidRPr="003E6051">
            <w:rPr>
              <w:lang w:val="en-US"/>
            </w:rPr>
            <w:instrText xml:space="preserve"> CITATION TRa01 \l 1033 </w:instrText>
          </w:r>
          <w:r w:rsidRPr="003E6051">
            <w:fldChar w:fldCharType="separate"/>
          </w:r>
          <w:r w:rsidRPr="003E6051">
            <w:rPr>
              <w:noProof/>
              <w:lang w:val="en-US"/>
            </w:rPr>
            <w:t>(T. Raz, 2001)</w:t>
          </w:r>
          <w:r w:rsidRPr="003E6051">
            <w:fldChar w:fldCharType="end"/>
          </w:r>
        </w:sdtContent>
      </w:sdt>
      <w:r w:rsidRPr="003E6051">
        <w:t xml:space="preserve">. This persistent challenge raises a critical question, are current risk assessment tools being effectively utilised in practice, or is there a pressing need for a more customisable framework to enhance risk mitigation and improve project outcomes? As </w:t>
      </w:r>
      <w:sdt>
        <w:sdtPr>
          <w:id w:val="-188687475"/>
          <w:citation/>
        </w:sdtPr>
        <w:sdtContent>
          <w:r w:rsidRPr="003E6051">
            <w:fldChar w:fldCharType="begin"/>
          </w:r>
          <w:r w:rsidRPr="003E6051">
            <w:rPr>
              <w:lang w:val="en-US"/>
            </w:rPr>
            <w:instrText xml:space="preserve"> CITATION Ire04 \l 1033 </w:instrText>
          </w:r>
          <w:r w:rsidRPr="003E6051">
            <w:fldChar w:fldCharType="separate"/>
          </w:r>
          <w:r w:rsidRPr="003E6051">
            <w:rPr>
              <w:noProof/>
              <w:lang w:val="en-US"/>
            </w:rPr>
            <w:t>(Irem Dikmen, 2004)</w:t>
          </w:r>
          <w:r w:rsidRPr="003E6051">
            <w:fldChar w:fldCharType="end"/>
          </w:r>
        </w:sdtContent>
      </w:sdt>
      <w:r w:rsidRPr="003E6051">
        <w:t xml:space="preserve"> suggests, the limitations in existing approaches may stem not from a lack of tools but from their inadequate contextual application in complex project environments.</w:t>
      </w:r>
    </w:p>
    <w:p w14:paraId="72EBB71C" w14:textId="77777777" w:rsidR="00F009CC" w:rsidRPr="003E6051" w:rsidRDefault="00F009CC" w:rsidP="007C1BEE">
      <w:pPr>
        <w:spacing w:after="0" w:line="360" w:lineRule="auto"/>
        <w:ind w:left="-576" w:right="-576"/>
        <w:jc w:val="both"/>
      </w:pPr>
    </w:p>
    <w:p w14:paraId="3215E17B" w14:textId="7E254446" w:rsidR="0057746B" w:rsidRPr="003E6051" w:rsidRDefault="00205101" w:rsidP="007C1BEE">
      <w:pPr>
        <w:spacing w:after="0" w:line="360" w:lineRule="auto"/>
        <w:ind w:left="-576" w:right="-576"/>
        <w:jc w:val="both"/>
      </w:pPr>
      <w:r w:rsidRPr="003E6051">
        <w:t>This literature review aims to critically evaluate the effectiveness of current risk assessment tools in project management, with a particular focus on their practical implementation, strengths, and limitations. The study is structured around four key areas:</w:t>
      </w:r>
    </w:p>
    <w:p w14:paraId="0C77F830" w14:textId="77777777" w:rsidR="0057746B" w:rsidRPr="003E6051" w:rsidRDefault="0057746B" w:rsidP="007C1BEE">
      <w:pPr>
        <w:numPr>
          <w:ilvl w:val="0"/>
          <w:numId w:val="35"/>
        </w:numPr>
        <w:spacing w:after="0" w:line="360" w:lineRule="auto"/>
        <w:ind w:right="-576"/>
        <w:contextualSpacing/>
        <w:jc w:val="both"/>
      </w:pPr>
      <w:r w:rsidRPr="003E6051">
        <w:t>Identifying common risks in project management.</w:t>
      </w:r>
    </w:p>
    <w:p w14:paraId="71790E5E" w14:textId="77777777" w:rsidR="0057746B" w:rsidRPr="003E6051" w:rsidRDefault="0057746B" w:rsidP="007C1BEE">
      <w:pPr>
        <w:numPr>
          <w:ilvl w:val="0"/>
          <w:numId w:val="35"/>
        </w:numPr>
        <w:spacing w:after="0" w:line="360" w:lineRule="auto"/>
        <w:ind w:right="-576"/>
        <w:contextualSpacing/>
        <w:jc w:val="both"/>
      </w:pPr>
      <w:r w:rsidRPr="003E6051">
        <w:t>Assessing the variety of risk management tools available.</w:t>
      </w:r>
    </w:p>
    <w:p w14:paraId="4C29308C" w14:textId="77777777" w:rsidR="0057746B" w:rsidRPr="003E6051" w:rsidRDefault="0057746B" w:rsidP="007C1BEE">
      <w:pPr>
        <w:numPr>
          <w:ilvl w:val="0"/>
          <w:numId w:val="35"/>
        </w:numPr>
        <w:spacing w:after="0" w:line="360" w:lineRule="auto"/>
        <w:ind w:right="-576"/>
        <w:contextualSpacing/>
        <w:jc w:val="both"/>
      </w:pPr>
      <w:r w:rsidRPr="003E6051">
        <w:t>Examining cases where appropriate risk management tools have demonstrably improved project outcomes.</w:t>
      </w:r>
    </w:p>
    <w:p w14:paraId="63384333" w14:textId="77777777" w:rsidR="0057746B" w:rsidRPr="003E6051" w:rsidRDefault="0057746B" w:rsidP="007C1BEE">
      <w:pPr>
        <w:numPr>
          <w:ilvl w:val="0"/>
          <w:numId w:val="35"/>
        </w:numPr>
        <w:spacing w:after="0" w:line="360" w:lineRule="auto"/>
        <w:ind w:right="-576"/>
        <w:contextualSpacing/>
        <w:jc w:val="both"/>
      </w:pPr>
      <w:r w:rsidRPr="003E6051">
        <w:t>Exploring the argument that no single risk assessment tool is universally effective.</w:t>
      </w:r>
    </w:p>
    <w:p w14:paraId="0076DB4A" w14:textId="77777777" w:rsidR="0057746B" w:rsidRPr="003E6051" w:rsidRDefault="0057746B" w:rsidP="007C1BEE">
      <w:pPr>
        <w:spacing w:after="0" w:line="360" w:lineRule="auto"/>
        <w:ind w:left="-576" w:right="-576"/>
        <w:jc w:val="both"/>
      </w:pPr>
    </w:p>
    <w:p w14:paraId="7D85270A" w14:textId="62BF4C86" w:rsidR="0057746B" w:rsidRPr="003E6051" w:rsidRDefault="00205101" w:rsidP="007C1BEE">
      <w:pPr>
        <w:spacing w:after="0" w:line="360" w:lineRule="auto"/>
        <w:ind w:left="-576" w:right="-576"/>
        <w:jc w:val="both"/>
      </w:pPr>
      <w:r w:rsidRPr="003E6051">
        <w:t>The research builds upon the premise that while risk management frameworks offer structured methodologies, the inherently dynamic, complex, and multifaceted nature of industrial and infrastructure projects often renders these frameworks insufficient. Projects typically demand risk strategies that are adaptable, capable of being tailored to specific industry requirements, regulatory contexts, and varying project scales. Therefore, the review synthesises insights from academic literature, industry analyses, and practical case studies to evaluate whether a flexible and customisable risk assessment framework could address these deficiencies. Ultimately, the study aims to contribute meaningfully to ongoing discourse on improving project outcomes through enhanced risk management, offering insights that could support the development of more responsive, data-driven risk assessment methodologies.</w:t>
      </w:r>
    </w:p>
    <w:p w14:paraId="42FD7184" w14:textId="77777777" w:rsidR="00205101" w:rsidRPr="003E6051" w:rsidRDefault="00205101" w:rsidP="007C1BEE">
      <w:pPr>
        <w:spacing w:after="0" w:line="360" w:lineRule="auto"/>
        <w:ind w:left="-576" w:right="-576"/>
        <w:jc w:val="both"/>
      </w:pPr>
    </w:p>
    <w:p w14:paraId="094E74C1" w14:textId="0833AB41" w:rsidR="0057746B" w:rsidRPr="003E6051" w:rsidRDefault="0057746B" w:rsidP="007C1BEE">
      <w:pPr>
        <w:spacing w:after="0" w:line="360" w:lineRule="auto"/>
        <w:ind w:left="-576" w:right="-576"/>
        <w:jc w:val="both"/>
        <w:rPr>
          <w:rFonts w:eastAsiaTheme="majorEastAsia"/>
        </w:rPr>
      </w:pPr>
      <w:r w:rsidRPr="003E6051">
        <w:rPr>
          <w:color w:val="FF0000"/>
        </w:rPr>
        <w:t>2</w:t>
      </w:r>
      <w:r w:rsidR="00205101" w:rsidRPr="003E6051">
        <w:rPr>
          <w:color w:val="FF0000"/>
        </w:rPr>
        <w:t>8</w:t>
      </w:r>
      <w:r w:rsidR="00D95C90">
        <w:rPr>
          <w:color w:val="FF0000"/>
        </w:rPr>
        <w:t>7</w:t>
      </w:r>
      <w:r w:rsidR="00B6330C" w:rsidRPr="003E6051">
        <w:rPr>
          <w:color w:val="FF0000"/>
        </w:rPr>
        <w:t xml:space="preserve"> (1</w:t>
      </w:r>
      <w:r w:rsidR="00D95C90">
        <w:rPr>
          <w:color w:val="FF0000"/>
        </w:rPr>
        <w:t>6</w:t>
      </w:r>
      <w:r w:rsidR="00E43C43">
        <w:rPr>
          <w:color w:val="FF0000"/>
        </w:rPr>
        <w:t>12</w:t>
      </w:r>
      <w:r w:rsidR="00B6330C" w:rsidRPr="003E6051">
        <w:rPr>
          <w:color w:val="FF0000"/>
        </w:rPr>
        <w:t>)</w:t>
      </w:r>
      <w:r w:rsidRPr="003E6051">
        <w:br w:type="page"/>
      </w:r>
    </w:p>
    <w:p w14:paraId="21E1BDBF" w14:textId="78CDDE74" w:rsidR="0057746B" w:rsidRPr="003E6051" w:rsidRDefault="00E11E47" w:rsidP="007C1BEE">
      <w:pPr>
        <w:keepNext/>
        <w:keepLines/>
        <w:spacing w:after="0" w:line="360" w:lineRule="auto"/>
        <w:ind w:left="-578"/>
        <w:outlineLvl w:val="1"/>
        <w:rPr>
          <w:rFonts w:eastAsiaTheme="majorEastAsia"/>
        </w:rPr>
      </w:pPr>
      <w:bookmarkStart w:id="9" w:name="_Toc191138524"/>
      <w:bookmarkStart w:id="10" w:name="_Toc219216467"/>
      <w:bookmarkStart w:id="11" w:name="_Hlk190000879"/>
      <w:r w:rsidRPr="003E6051">
        <w:rPr>
          <w:rFonts w:eastAsiaTheme="majorEastAsia"/>
        </w:rPr>
        <w:lastRenderedPageBreak/>
        <w:t>6</w:t>
      </w:r>
      <w:r w:rsidR="0057746B" w:rsidRPr="003E6051">
        <w:rPr>
          <w:rFonts w:eastAsiaTheme="majorEastAsia"/>
        </w:rPr>
        <w:t xml:space="preserve">.1. </w:t>
      </w:r>
      <w:r w:rsidR="0057746B" w:rsidRPr="003E6051">
        <w:rPr>
          <w:rFonts w:eastAsiaTheme="majorEastAsia"/>
          <w:u w:val="single"/>
        </w:rPr>
        <w:t>Risks in Project Management</w:t>
      </w:r>
      <w:r w:rsidR="0057746B" w:rsidRPr="003E6051">
        <w:rPr>
          <w:rFonts w:eastAsiaTheme="majorEastAsia"/>
        </w:rPr>
        <w:t>.</w:t>
      </w:r>
      <w:bookmarkEnd w:id="9"/>
      <w:bookmarkEnd w:id="10"/>
    </w:p>
    <w:bookmarkEnd w:id="11"/>
    <w:p w14:paraId="6C39139D" w14:textId="77777777" w:rsidR="0057746B" w:rsidRPr="003E6051" w:rsidRDefault="0057746B" w:rsidP="007C1BEE">
      <w:pPr>
        <w:spacing w:after="0" w:line="360" w:lineRule="auto"/>
        <w:ind w:left="-578" w:right="-576"/>
        <w:jc w:val="both"/>
      </w:pPr>
    </w:p>
    <w:p w14:paraId="64B255F5" w14:textId="77777777" w:rsidR="0057746B" w:rsidRPr="003E6051" w:rsidRDefault="0057746B" w:rsidP="007C1BEE">
      <w:pPr>
        <w:spacing w:after="0" w:line="360" w:lineRule="auto"/>
        <w:ind w:left="-578" w:right="-576"/>
        <w:jc w:val="both"/>
      </w:pPr>
      <w:r w:rsidRPr="003E6051">
        <w:t xml:space="preserve">Risk management is undeniably vital for project success, yet its theory and practice face significant challenges </w:t>
      </w:r>
      <w:sdt>
        <w:sdtPr>
          <w:id w:val="-1075814455"/>
          <w:citation/>
        </w:sdtPr>
        <w:sdtContent>
          <w:r w:rsidRPr="003E6051">
            <w:fldChar w:fldCharType="begin"/>
          </w:r>
          <w:r w:rsidRPr="003E6051">
            <w:rPr>
              <w:lang w:val="en-US"/>
            </w:rPr>
            <w:instrText xml:space="preserve"> CITATION Pau08 \l 1033 </w:instrText>
          </w:r>
          <w:r w:rsidRPr="003E6051">
            <w:fldChar w:fldCharType="separate"/>
          </w:r>
          <w:r w:rsidRPr="003E6051">
            <w:rPr>
              <w:noProof/>
              <w:lang w:val="en-US"/>
            </w:rPr>
            <w:t>(Bannerman, 2008)</w:t>
          </w:r>
          <w:r w:rsidRPr="003E6051">
            <w:fldChar w:fldCharType="end"/>
          </w:r>
        </w:sdtContent>
      </w:sdt>
      <w:r w:rsidRPr="003E6051">
        <w:t xml:space="preserve"> </w:t>
      </w:r>
      <w:sdt>
        <w:sdtPr>
          <w:id w:val="1567380319"/>
          <w:citation/>
        </w:sdtPr>
        <w:sdtContent>
          <w:r w:rsidRPr="003E6051">
            <w:fldChar w:fldCharType="begin"/>
          </w:r>
          <w:r w:rsidRPr="003E6051">
            <w:rPr>
              <w:lang w:val="en-US"/>
            </w:rPr>
            <w:instrText xml:space="preserve"> CITATION Rog06 \l 1033 </w:instrText>
          </w:r>
          <w:r w:rsidRPr="003E6051">
            <w:fldChar w:fldCharType="separate"/>
          </w:r>
          <w:r w:rsidRPr="003E6051">
            <w:rPr>
              <w:noProof/>
              <w:lang w:val="en-US"/>
            </w:rPr>
            <w:t>(Roger Atkinson, 2006)</w:t>
          </w:r>
          <w:r w:rsidRPr="003E6051">
            <w:fldChar w:fldCharType="end"/>
          </w:r>
        </w:sdtContent>
      </w:sdt>
      <w:r w:rsidRPr="003E6051">
        <w:t xml:space="preserve">. While the literature emphasise the importance of managing risks, they also reveal gaps and limitations in how risk management is approached in research and practice </w:t>
      </w:r>
      <w:sdt>
        <w:sdtPr>
          <w:id w:val="374362959"/>
          <w:citation/>
        </w:sdtPr>
        <w:sdtContent>
          <w:r w:rsidRPr="003E6051">
            <w:fldChar w:fldCharType="begin"/>
          </w:r>
          <w:r w:rsidRPr="003E6051">
            <w:rPr>
              <w:lang w:val="en-US"/>
            </w:rPr>
            <w:instrText xml:space="preserve"> CITATION Pau08 \l 1033 </w:instrText>
          </w:r>
          <w:r w:rsidRPr="003E6051">
            <w:fldChar w:fldCharType="separate"/>
          </w:r>
          <w:r w:rsidRPr="003E6051">
            <w:rPr>
              <w:noProof/>
              <w:lang w:val="en-US"/>
            </w:rPr>
            <w:t>(Bannerman, 2008)</w:t>
          </w:r>
          <w:r w:rsidRPr="003E6051">
            <w:fldChar w:fldCharType="end"/>
          </w:r>
        </w:sdtContent>
      </w:sdt>
      <w:r w:rsidRPr="003E6051">
        <w:t xml:space="preserve"> </w:t>
      </w:r>
      <w:sdt>
        <w:sdtPr>
          <w:id w:val="53276812"/>
          <w:citation/>
        </w:sdtPr>
        <w:sdtContent>
          <w:r w:rsidRPr="003E6051">
            <w:fldChar w:fldCharType="begin"/>
          </w:r>
          <w:r w:rsidRPr="003E6051">
            <w:rPr>
              <w:lang w:val="en-US"/>
            </w:rPr>
            <w:instrText xml:space="preserve"> CITATION Rog06 \l 1033 </w:instrText>
          </w:r>
          <w:r w:rsidRPr="003E6051">
            <w:fldChar w:fldCharType="separate"/>
          </w:r>
          <w:r w:rsidRPr="003E6051">
            <w:rPr>
              <w:noProof/>
              <w:lang w:val="en-US"/>
            </w:rPr>
            <w:t>(Roger Atkinson, 2006)</w:t>
          </w:r>
          <w:r w:rsidRPr="003E6051">
            <w:fldChar w:fldCharType="end"/>
          </w:r>
        </w:sdtContent>
      </w:sdt>
      <w:r w:rsidRPr="003E6051">
        <w:t xml:space="preserve">. One major issue is the definition and conceptualisation of risk. The traditional view of risk as a probability-weighted impact, (R = P x I) is prevalent, but this approach has limitations </w:t>
      </w:r>
      <w:sdt>
        <w:sdtPr>
          <w:id w:val="1150942544"/>
          <w:citation/>
        </w:sdtPr>
        <w:sdtContent>
          <w:r w:rsidRPr="003E6051">
            <w:fldChar w:fldCharType="begin"/>
          </w:r>
          <w:r w:rsidRPr="003E6051">
            <w:rPr>
              <w:lang w:val="en-US"/>
            </w:rPr>
            <w:instrText xml:space="preserve"> CITATION Rog01 \l 1033 </w:instrText>
          </w:r>
          <w:r w:rsidRPr="003E6051">
            <w:fldChar w:fldCharType="separate"/>
          </w:r>
          <w:r w:rsidRPr="003E6051">
            <w:rPr>
              <w:noProof/>
              <w:lang w:val="en-US"/>
            </w:rPr>
            <w:t>(Roger Millera, 2001)</w:t>
          </w:r>
          <w:r w:rsidRPr="003E6051">
            <w:fldChar w:fldCharType="end"/>
          </w:r>
        </w:sdtContent>
      </w:sdt>
      <w:r w:rsidRPr="003E6051">
        <w:t xml:space="preserve">. Many critical risk factors cannot be easily quantified probabilistically, leading to qualitative assessments that may lack precision </w:t>
      </w:r>
      <w:sdt>
        <w:sdtPr>
          <w:id w:val="671382617"/>
          <w:citation/>
        </w:sdtPr>
        <w:sdtContent>
          <w:r w:rsidRPr="003E6051">
            <w:fldChar w:fldCharType="begin"/>
          </w:r>
          <w:r w:rsidRPr="003E6051">
            <w:rPr>
              <w:lang w:val="en-US"/>
            </w:rPr>
            <w:instrText xml:space="preserve"> CITATION Pau08 \l 1033 </w:instrText>
          </w:r>
          <w:r w:rsidRPr="003E6051">
            <w:fldChar w:fldCharType="separate"/>
          </w:r>
          <w:r w:rsidRPr="003E6051">
            <w:rPr>
              <w:noProof/>
              <w:lang w:val="en-US"/>
            </w:rPr>
            <w:t>(Bannerman, 2008)</w:t>
          </w:r>
          <w:r w:rsidRPr="003E6051">
            <w:fldChar w:fldCharType="end"/>
          </w:r>
        </w:sdtContent>
      </w:sdt>
      <w:r w:rsidRPr="003E6051">
        <w:t xml:space="preserve">. Furthermore, a narrow focus on foreseeable impacts neglects unforeseen threats, potentially undermining the comprehensiveness of risk management efforts </w:t>
      </w:r>
      <w:sdt>
        <w:sdtPr>
          <w:id w:val="-280345214"/>
          <w:citation/>
        </w:sdtPr>
        <w:sdtContent>
          <w:r w:rsidRPr="003E6051">
            <w:fldChar w:fldCharType="begin"/>
          </w:r>
          <w:r w:rsidRPr="003E6051">
            <w:rPr>
              <w:lang w:val="en-US"/>
            </w:rPr>
            <w:instrText xml:space="preserve"> CITATION Pau08 \l 1033 </w:instrText>
          </w:r>
          <w:r w:rsidRPr="003E6051">
            <w:fldChar w:fldCharType="separate"/>
          </w:r>
          <w:r w:rsidRPr="003E6051">
            <w:rPr>
              <w:noProof/>
              <w:lang w:val="en-US"/>
            </w:rPr>
            <w:t>(Bannerman, 2008)</w:t>
          </w:r>
          <w:r w:rsidRPr="003E6051">
            <w:fldChar w:fldCharType="end"/>
          </w:r>
        </w:sdtContent>
      </w:sdt>
      <w:r w:rsidRPr="003E6051">
        <w:t>.</w:t>
      </w:r>
    </w:p>
    <w:p w14:paraId="289895CF" w14:textId="77777777" w:rsidR="0057746B" w:rsidRPr="003E6051" w:rsidRDefault="0057746B" w:rsidP="007C1BEE">
      <w:pPr>
        <w:spacing w:after="0" w:line="360" w:lineRule="auto"/>
        <w:ind w:left="-578" w:right="-576"/>
        <w:jc w:val="both"/>
      </w:pPr>
    </w:p>
    <w:p w14:paraId="00B7FF12" w14:textId="77777777" w:rsidR="0057746B" w:rsidRPr="003E6051" w:rsidRDefault="0057746B" w:rsidP="007C1BEE">
      <w:pPr>
        <w:spacing w:after="0" w:line="360" w:lineRule="auto"/>
        <w:ind w:left="-578" w:right="-576"/>
        <w:jc w:val="both"/>
      </w:pPr>
      <w:r w:rsidRPr="003E6051">
        <w:t xml:space="preserve">The sources highlight several common risk factors that frequently contribute to project failures. Effective risk management in industrial projects necessitates a comprehensive, multi-layered strategy that integrates several risk categories. </w:t>
      </w:r>
      <w:sdt>
        <w:sdtPr>
          <w:id w:val="-289360015"/>
          <w:citation/>
        </w:sdtPr>
        <w:sdtContent>
          <w:r w:rsidRPr="003E6051">
            <w:fldChar w:fldCharType="begin"/>
          </w:r>
          <w:r w:rsidRPr="003E6051">
            <w:rPr>
              <w:lang w:val="en-US"/>
            </w:rPr>
            <w:instrText xml:space="preserve"> CITATION Kar10 \l 1033 </w:instrText>
          </w:r>
          <w:r w:rsidRPr="003E6051">
            <w:fldChar w:fldCharType="separate"/>
          </w:r>
          <w:r w:rsidRPr="003E6051">
            <w:rPr>
              <w:noProof/>
              <w:lang w:val="en-US"/>
            </w:rPr>
            <w:t>(Karel de Bakker, 2010)</w:t>
          </w:r>
          <w:r w:rsidRPr="003E6051">
            <w:fldChar w:fldCharType="end"/>
          </w:r>
        </w:sdtContent>
      </w:sdt>
      <w:r w:rsidRPr="003E6051">
        <w:t xml:space="preserve"> </w:t>
      </w:r>
      <w:sdt>
        <w:sdtPr>
          <w:id w:val="-630332422"/>
          <w:citation/>
        </w:sdtPr>
        <w:sdtContent>
          <w:r w:rsidRPr="003E6051">
            <w:fldChar w:fldCharType="begin"/>
          </w:r>
          <w:r w:rsidRPr="003E6051">
            <w:rPr>
              <w:lang w:val="en-US"/>
            </w:rPr>
            <w:instrText xml:space="preserve"> CITATION Lor09 \l 1033 </w:instrText>
          </w:r>
          <w:r w:rsidRPr="003E6051">
            <w:fldChar w:fldCharType="separate"/>
          </w:r>
          <w:r w:rsidRPr="003E6051">
            <w:rPr>
              <w:noProof/>
              <w:lang w:val="en-US"/>
            </w:rPr>
            <w:t>(Lore Criss power, 2009)</w:t>
          </w:r>
          <w:r w:rsidRPr="003E6051">
            <w:fldChar w:fldCharType="end"/>
          </w:r>
        </w:sdtContent>
      </w:sdt>
      <w:r w:rsidRPr="003E6051">
        <w:t xml:space="preserve">. However, beyond financial and technical concerns, organisational factors often play a more critical role in project failures </w:t>
      </w:r>
      <w:sdt>
        <w:sdtPr>
          <w:id w:val="580731380"/>
          <w:citation/>
        </w:sdtPr>
        <w:sdtContent>
          <w:r w:rsidRPr="003E6051">
            <w:fldChar w:fldCharType="begin"/>
          </w:r>
          <w:r w:rsidRPr="003E6051">
            <w:rPr>
              <w:lang w:val="en-US"/>
            </w:rPr>
            <w:instrText xml:space="preserve"> CITATION Kar10 \l 1033 </w:instrText>
          </w:r>
          <w:r w:rsidRPr="003E6051">
            <w:fldChar w:fldCharType="separate"/>
          </w:r>
          <w:r w:rsidRPr="003E6051">
            <w:rPr>
              <w:noProof/>
              <w:lang w:val="en-US"/>
            </w:rPr>
            <w:t>(Karel de Bakker, 2010)</w:t>
          </w:r>
          <w:r w:rsidRPr="003E6051">
            <w:fldChar w:fldCharType="end"/>
          </w:r>
        </w:sdtContent>
      </w:sdt>
      <w:r w:rsidRPr="003E6051">
        <w:t xml:space="preserve">. Issues such as insufficient top management commitment, lack of user engagement, and poorly defined or evolving project requirements frequently undermine success </w:t>
      </w:r>
      <w:sdt>
        <w:sdtPr>
          <w:id w:val="-146127263"/>
          <w:citation/>
        </w:sdtPr>
        <w:sdtContent>
          <w:r w:rsidRPr="003E6051">
            <w:fldChar w:fldCharType="begin"/>
          </w:r>
          <w:r w:rsidRPr="003E6051">
            <w:rPr>
              <w:lang w:val="en-US"/>
            </w:rPr>
            <w:instrText xml:space="preserve"> CITATION Lor09 \l 1033 </w:instrText>
          </w:r>
          <w:r w:rsidRPr="003E6051">
            <w:fldChar w:fldCharType="separate"/>
          </w:r>
          <w:r w:rsidRPr="003E6051">
            <w:rPr>
              <w:noProof/>
              <w:lang w:val="en-US"/>
            </w:rPr>
            <w:t>(Lore Criss power, 2009)</w:t>
          </w:r>
          <w:r w:rsidRPr="003E6051">
            <w:fldChar w:fldCharType="end"/>
          </w:r>
        </w:sdtContent>
      </w:sdt>
      <w:r w:rsidRPr="003E6051">
        <w:t xml:space="preserve">. Various risk categories are discussed, each with its potential impact and mitigation strategy </w:t>
      </w:r>
      <w:sdt>
        <w:sdtPr>
          <w:id w:val="-1619216181"/>
          <w:citation/>
        </w:sdtPr>
        <w:sdtContent>
          <w:r w:rsidRPr="003E6051">
            <w:fldChar w:fldCharType="begin"/>
          </w:r>
          <w:r w:rsidRPr="003E6051">
            <w:rPr>
              <w:lang w:val="en-US"/>
            </w:rPr>
            <w:instrText xml:space="preserve"> CITATION Kar10 \l 1033 </w:instrText>
          </w:r>
          <w:r w:rsidRPr="003E6051">
            <w:fldChar w:fldCharType="separate"/>
          </w:r>
          <w:r w:rsidRPr="003E6051">
            <w:rPr>
              <w:noProof/>
              <w:lang w:val="en-US"/>
            </w:rPr>
            <w:t>(Karel de Bakker, 2010)</w:t>
          </w:r>
          <w:r w:rsidRPr="003E6051">
            <w:fldChar w:fldCharType="end"/>
          </w:r>
        </w:sdtContent>
      </w:sdt>
      <w:r w:rsidRPr="003E6051">
        <w:t xml:space="preserve"> </w:t>
      </w:r>
      <w:sdt>
        <w:sdtPr>
          <w:id w:val="-1580978522"/>
          <w:citation/>
        </w:sdtPr>
        <w:sdtContent>
          <w:r w:rsidRPr="003E6051">
            <w:fldChar w:fldCharType="begin"/>
          </w:r>
          <w:r w:rsidRPr="003E6051">
            <w:rPr>
              <w:lang w:val="en-US"/>
            </w:rPr>
            <w:instrText xml:space="preserve"> CITATION Lor09 \l 1033 </w:instrText>
          </w:r>
          <w:r w:rsidRPr="003E6051">
            <w:fldChar w:fldCharType="separate"/>
          </w:r>
          <w:r w:rsidRPr="003E6051">
            <w:rPr>
              <w:noProof/>
              <w:lang w:val="en-US"/>
            </w:rPr>
            <w:t>(Lore Criss power, 2009)</w:t>
          </w:r>
          <w:r w:rsidRPr="003E6051">
            <w:fldChar w:fldCharType="end"/>
          </w:r>
        </w:sdtContent>
      </w:sdt>
      <w:r w:rsidRPr="003E6051">
        <w:t xml:space="preserve">.  </w:t>
      </w:r>
    </w:p>
    <w:p w14:paraId="2DC0F2FD" w14:textId="77777777" w:rsidR="0057746B" w:rsidRPr="003E6051" w:rsidRDefault="0057746B" w:rsidP="007C1BEE">
      <w:pPr>
        <w:spacing w:after="0" w:line="360" w:lineRule="auto"/>
        <w:ind w:left="-578" w:right="-576"/>
        <w:jc w:val="both"/>
      </w:pPr>
    </w:p>
    <w:tbl>
      <w:tblPr>
        <w:tblStyle w:val="TableGrid"/>
        <w:tblW w:w="10170" w:type="dxa"/>
        <w:tblInd w:w="-545" w:type="dxa"/>
        <w:tblLook w:val="04A0" w:firstRow="1" w:lastRow="0" w:firstColumn="1" w:lastColumn="0" w:noHBand="0" w:noVBand="1"/>
      </w:tblPr>
      <w:tblGrid>
        <w:gridCol w:w="1010"/>
        <w:gridCol w:w="2050"/>
        <w:gridCol w:w="3371"/>
        <w:gridCol w:w="3739"/>
      </w:tblGrid>
      <w:tr w:rsidR="0057746B" w:rsidRPr="003E6051" w14:paraId="6C627306" w14:textId="77777777" w:rsidTr="003F5E33">
        <w:trPr>
          <w:trHeight w:val="300"/>
        </w:trPr>
        <w:tc>
          <w:tcPr>
            <w:tcW w:w="1010" w:type="dxa"/>
            <w:shd w:val="clear" w:color="auto" w:fill="D9E2F3" w:themeFill="accent1" w:themeFillTint="33"/>
            <w:hideMark/>
          </w:tcPr>
          <w:p w14:paraId="5E369625"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t>Risk Category</w:t>
            </w:r>
          </w:p>
        </w:tc>
        <w:tc>
          <w:tcPr>
            <w:tcW w:w="2050" w:type="dxa"/>
            <w:shd w:val="clear" w:color="auto" w:fill="D9E2F3" w:themeFill="accent1" w:themeFillTint="33"/>
            <w:hideMark/>
          </w:tcPr>
          <w:p w14:paraId="6F2B04A9"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t>Specific Risk</w:t>
            </w:r>
          </w:p>
        </w:tc>
        <w:tc>
          <w:tcPr>
            <w:tcW w:w="3371" w:type="dxa"/>
            <w:shd w:val="clear" w:color="auto" w:fill="D9E2F3" w:themeFill="accent1" w:themeFillTint="33"/>
            <w:hideMark/>
          </w:tcPr>
          <w:p w14:paraId="605EA940"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t>Potential Impact</w:t>
            </w:r>
          </w:p>
        </w:tc>
        <w:tc>
          <w:tcPr>
            <w:tcW w:w="3739" w:type="dxa"/>
            <w:shd w:val="clear" w:color="auto" w:fill="D9E2F3" w:themeFill="accent1" w:themeFillTint="33"/>
            <w:hideMark/>
          </w:tcPr>
          <w:p w14:paraId="2A8FDEC8"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t>Mitigation Strategies</w:t>
            </w:r>
          </w:p>
        </w:tc>
      </w:tr>
      <w:tr w:rsidR="0057746B" w:rsidRPr="003E6051" w14:paraId="0878029D" w14:textId="77777777" w:rsidTr="003F5E33">
        <w:trPr>
          <w:trHeight w:val="600"/>
        </w:trPr>
        <w:tc>
          <w:tcPr>
            <w:tcW w:w="1010" w:type="dxa"/>
            <w:vMerge w:val="restart"/>
            <w:textDirection w:val="btLr"/>
            <w:hideMark/>
          </w:tcPr>
          <w:p w14:paraId="17E39B41"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t>Financial Risks</w:t>
            </w:r>
          </w:p>
        </w:tc>
        <w:tc>
          <w:tcPr>
            <w:tcW w:w="2050" w:type="dxa"/>
            <w:hideMark/>
          </w:tcPr>
          <w:p w14:paraId="11C7B9A6" w14:textId="77777777" w:rsidR="0057746B" w:rsidRPr="003E6051" w:rsidRDefault="0057746B" w:rsidP="007C1BEE">
            <w:pPr>
              <w:spacing w:line="276" w:lineRule="auto"/>
              <w:rPr>
                <w:rFonts w:eastAsia="Times New Roman"/>
                <w:lang w:eastAsia="en-GB"/>
              </w:rPr>
            </w:pPr>
            <w:r w:rsidRPr="003E6051">
              <w:rPr>
                <w:rFonts w:eastAsia="Times New Roman"/>
                <w:lang w:eastAsia="en-GB"/>
              </w:rPr>
              <w:t>Cost Overruns</w:t>
            </w:r>
          </w:p>
        </w:tc>
        <w:tc>
          <w:tcPr>
            <w:tcW w:w="3371" w:type="dxa"/>
            <w:hideMark/>
          </w:tcPr>
          <w:p w14:paraId="3629CF26" w14:textId="77777777" w:rsidR="0057746B" w:rsidRPr="003E6051" w:rsidRDefault="0057746B" w:rsidP="007C1BEE">
            <w:pPr>
              <w:spacing w:line="276" w:lineRule="auto"/>
              <w:rPr>
                <w:rFonts w:eastAsia="Times New Roman"/>
                <w:lang w:eastAsia="en-GB"/>
              </w:rPr>
            </w:pPr>
            <w:r w:rsidRPr="003E6051">
              <w:rPr>
                <w:rFonts w:eastAsia="Times New Roman"/>
                <w:lang w:eastAsia="en-GB"/>
              </w:rPr>
              <w:t>Increased project costs, budget deficits, need for additional funding.</w:t>
            </w:r>
          </w:p>
        </w:tc>
        <w:tc>
          <w:tcPr>
            <w:tcW w:w="3739" w:type="dxa"/>
            <w:hideMark/>
          </w:tcPr>
          <w:p w14:paraId="7CFCC755" w14:textId="77777777" w:rsidR="0057746B" w:rsidRPr="003E6051" w:rsidRDefault="0057746B" w:rsidP="007C1BEE">
            <w:pPr>
              <w:spacing w:line="276" w:lineRule="auto"/>
              <w:rPr>
                <w:rFonts w:eastAsia="Times New Roman"/>
                <w:lang w:eastAsia="en-GB"/>
              </w:rPr>
            </w:pPr>
            <w:r w:rsidRPr="003E6051">
              <w:rPr>
                <w:rFonts w:eastAsia="Times New Roman"/>
                <w:lang w:eastAsia="en-GB"/>
              </w:rPr>
              <w:t>Detailed cost estimation, contingency reserves, regular budget reviews.</w:t>
            </w:r>
          </w:p>
        </w:tc>
      </w:tr>
      <w:tr w:rsidR="0057746B" w:rsidRPr="003E6051" w14:paraId="72564ACB" w14:textId="77777777" w:rsidTr="003F5E33">
        <w:trPr>
          <w:trHeight w:val="710"/>
        </w:trPr>
        <w:tc>
          <w:tcPr>
            <w:tcW w:w="1010" w:type="dxa"/>
            <w:vMerge/>
            <w:hideMark/>
          </w:tcPr>
          <w:p w14:paraId="7F0908E3"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18A6F416" w14:textId="77777777" w:rsidR="0057746B" w:rsidRPr="003E6051" w:rsidRDefault="0057746B" w:rsidP="007C1BEE">
            <w:pPr>
              <w:spacing w:line="276" w:lineRule="auto"/>
              <w:rPr>
                <w:rFonts w:eastAsia="Times New Roman"/>
                <w:lang w:eastAsia="en-GB"/>
              </w:rPr>
            </w:pPr>
            <w:r w:rsidRPr="003E6051">
              <w:rPr>
                <w:rFonts w:eastAsia="Times New Roman"/>
                <w:lang w:eastAsia="en-GB"/>
              </w:rPr>
              <w:t>Funding Shortfalls</w:t>
            </w:r>
          </w:p>
        </w:tc>
        <w:tc>
          <w:tcPr>
            <w:tcW w:w="3371" w:type="dxa"/>
            <w:hideMark/>
          </w:tcPr>
          <w:p w14:paraId="57EEC123" w14:textId="77777777" w:rsidR="0057746B" w:rsidRPr="003E6051" w:rsidRDefault="0057746B" w:rsidP="007C1BEE">
            <w:pPr>
              <w:spacing w:line="276" w:lineRule="auto"/>
              <w:rPr>
                <w:rFonts w:eastAsia="Times New Roman"/>
                <w:lang w:eastAsia="en-GB"/>
              </w:rPr>
            </w:pPr>
            <w:r w:rsidRPr="003E6051">
              <w:rPr>
                <w:rFonts w:eastAsia="Times New Roman"/>
                <w:lang w:eastAsia="en-GB"/>
              </w:rPr>
              <w:t>Project delays, inability to complete phases, investor withdrawals.</w:t>
            </w:r>
          </w:p>
        </w:tc>
        <w:tc>
          <w:tcPr>
            <w:tcW w:w="3739" w:type="dxa"/>
            <w:hideMark/>
          </w:tcPr>
          <w:p w14:paraId="7D74510D" w14:textId="77777777" w:rsidR="0057746B" w:rsidRPr="003E6051" w:rsidRDefault="0057746B" w:rsidP="007C1BEE">
            <w:pPr>
              <w:spacing w:line="276" w:lineRule="auto"/>
              <w:rPr>
                <w:rFonts w:eastAsia="Times New Roman"/>
                <w:lang w:eastAsia="en-GB"/>
              </w:rPr>
            </w:pPr>
            <w:r w:rsidRPr="003E6051">
              <w:rPr>
                <w:rFonts w:eastAsia="Times New Roman"/>
                <w:lang w:eastAsia="en-GB"/>
              </w:rPr>
              <w:t>Diversified funding sources, early stakeholder engagement, financial stress testing.</w:t>
            </w:r>
          </w:p>
        </w:tc>
      </w:tr>
      <w:tr w:rsidR="0057746B" w:rsidRPr="003E6051" w14:paraId="3D68AD43" w14:textId="77777777" w:rsidTr="003F5E33">
        <w:trPr>
          <w:trHeight w:val="600"/>
        </w:trPr>
        <w:tc>
          <w:tcPr>
            <w:tcW w:w="1010" w:type="dxa"/>
            <w:vMerge/>
            <w:hideMark/>
          </w:tcPr>
          <w:p w14:paraId="73803D50"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19BD11BD" w14:textId="77777777" w:rsidR="0057746B" w:rsidRPr="003E6051" w:rsidRDefault="0057746B" w:rsidP="007C1BEE">
            <w:pPr>
              <w:spacing w:line="276" w:lineRule="auto"/>
              <w:rPr>
                <w:rFonts w:eastAsia="Times New Roman"/>
                <w:lang w:eastAsia="en-GB"/>
              </w:rPr>
            </w:pPr>
            <w:r w:rsidRPr="003E6051">
              <w:rPr>
                <w:rFonts w:eastAsia="Times New Roman"/>
                <w:lang w:eastAsia="en-GB"/>
              </w:rPr>
              <w:t>Currency Fluctuations</w:t>
            </w:r>
          </w:p>
        </w:tc>
        <w:tc>
          <w:tcPr>
            <w:tcW w:w="3371" w:type="dxa"/>
            <w:hideMark/>
          </w:tcPr>
          <w:p w14:paraId="234E25DA" w14:textId="77777777" w:rsidR="0057746B" w:rsidRDefault="0057746B" w:rsidP="007C1BEE">
            <w:pPr>
              <w:spacing w:line="276" w:lineRule="auto"/>
              <w:rPr>
                <w:rFonts w:eastAsia="Times New Roman"/>
                <w:lang w:eastAsia="en-GB"/>
              </w:rPr>
            </w:pPr>
            <w:r w:rsidRPr="003E6051">
              <w:rPr>
                <w:rFonts w:eastAsia="Times New Roman"/>
                <w:lang w:eastAsia="en-GB"/>
              </w:rPr>
              <w:t>Increased import costs, unpredictable financial planning.</w:t>
            </w:r>
          </w:p>
          <w:p w14:paraId="51F516D7" w14:textId="77777777" w:rsidR="00E80F2C" w:rsidRDefault="00E80F2C" w:rsidP="007C1BEE">
            <w:pPr>
              <w:spacing w:line="276" w:lineRule="auto"/>
              <w:rPr>
                <w:rFonts w:eastAsia="Times New Roman"/>
                <w:lang w:eastAsia="en-GB"/>
              </w:rPr>
            </w:pPr>
          </w:p>
          <w:p w14:paraId="055E33E4" w14:textId="77777777" w:rsidR="002D487F" w:rsidRPr="003E6051" w:rsidRDefault="002D487F" w:rsidP="007C1BEE">
            <w:pPr>
              <w:spacing w:line="276" w:lineRule="auto"/>
              <w:rPr>
                <w:rFonts w:eastAsia="Times New Roman"/>
                <w:lang w:eastAsia="en-GB"/>
              </w:rPr>
            </w:pPr>
          </w:p>
        </w:tc>
        <w:tc>
          <w:tcPr>
            <w:tcW w:w="3739" w:type="dxa"/>
            <w:hideMark/>
          </w:tcPr>
          <w:p w14:paraId="410F95B3" w14:textId="77777777" w:rsidR="0057746B" w:rsidRDefault="0057746B" w:rsidP="007C1BEE">
            <w:pPr>
              <w:spacing w:line="276" w:lineRule="auto"/>
              <w:rPr>
                <w:rFonts w:eastAsia="Times New Roman"/>
                <w:lang w:eastAsia="en-GB"/>
              </w:rPr>
            </w:pPr>
            <w:r w:rsidRPr="003E6051">
              <w:rPr>
                <w:rFonts w:eastAsia="Times New Roman"/>
                <w:lang w:eastAsia="en-GB"/>
              </w:rPr>
              <w:t>Hedging strategies, local sourcing of materials, flexible contracts.</w:t>
            </w:r>
          </w:p>
          <w:p w14:paraId="09F95619" w14:textId="77777777" w:rsidR="00B16E28" w:rsidRPr="003E6051" w:rsidRDefault="00B16E28" w:rsidP="007C1BEE">
            <w:pPr>
              <w:spacing w:line="276" w:lineRule="auto"/>
              <w:rPr>
                <w:rFonts w:eastAsia="Times New Roman"/>
                <w:lang w:eastAsia="en-GB"/>
              </w:rPr>
            </w:pPr>
          </w:p>
        </w:tc>
      </w:tr>
      <w:tr w:rsidR="0057746B" w:rsidRPr="003E6051" w14:paraId="65D55766" w14:textId="77777777" w:rsidTr="003F5E33">
        <w:trPr>
          <w:trHeight w:val="900"/>
        </w:trPr>
        <w:tc>
          <w:tcPr>
            <w:tcW w:w="1010" w:type="dxa"/>
            <w:vMerge/>
            <w:hideMark/>
          </w:tcPr>
          <w:p w14:paraId="73CBB54F"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68F78CF6" w14:textId="77777777" w:rsidR="0057746B" w:rsidRPr="003E6051" w:rsidRDefault="0057746B" w:rsidP="007C1BEE">
            <w:pPr>
              <w:spacing w:line="276" w:lineRule="auto"/>
              <w:rPr>
                <w:rFonts w:eastAsia="Times New Roman"/>
                <w:lang w:eastAsia="en-GB"/>
              </w:rPr>
            </w:pPr>
            <w:r w:rsidRPr="003E6051">
              <w:rPr>
                <w:rFonts w:eastAsia="Times New Roman"/>
                <w:lang w:eastAsia="en-GB"/>
              </w:rPr>
              <w:t>Market Volatility</w:t>
            </w:r>
          </w:p>
        </w:tc>
        <w:tc>
          <w:tcPr>
            <w:tcW w:w="3371" w:type="dxa"/>
            <w:hideMark/>
          </w:tcPr>
          <w:p w14:paraId="7BE79D8B" w14:textId="77777777" w:rsidR="0057746B" w:rsidRPr="003E6051" w:rsidRDefault="0057746B" w:rsidP="007C1BEE">
            <w:pPr>
              <w:spacing w:line="276" w:lineRule="auto"/>
              <w:rPr>
                <w:rFonts w:eastAsia="Times New Roman"/>
                <w:lang w:eastAsia="en-GB"/>
              </w:rPr>
            </w:pPr>
            <w:r w:rsidRPr="003E6051">
              <w:rPr>
                <w:rFonts w:eastAsia="Times New Roman"/>
                <w:lang w:eastAsia="en-GB"/>
              </w:rPr>
              <w:t>Higher raw material costs, inflation reducing purchasing power.</w:t>
            </w:r>
          </w:p>
        </w:tc>
        <w:tc>
          <w:tcPr>
            <w:tcW w:w="3739" w:type="dxa"/>
            <w:hideMark/>
          </w:tcPr>
          <w:p w14:paraId="1B1F34AA" w14:textId="77777777" w:rsidR="0057746B" w:rsidRPr="003E6051" w:rsidRDefault="0057746B" w:rsidP="007C1BEE">
            <w:pPr>
              <w:spacing w:line="276" w:lineRule="auto"/>
              <w:rPr>
                <w:rFonts w:eastAsia="Times New Roman"/>
                <w:lang w:eastAsia="en-GB"/>
              </w:rPr>
            </w:pPr>
            <w:r w:rsidRPr="003E6051">
              <w:rPr>
                <w:rFonts w:eastAsia="Times New Roman"/>
                <w:lang w:eastAsia="en-GB"/>
              </w:rPr>
              <w:t>Long-term supplier agreements, commodity price monitoring, financial forecasting.</w:t>
            </w:r>
          </w:p>
          <w:p w14:paraId="725365B1" w14:textId="77777777" w:rsidR="007C1BEE" w:rsidRPr="003E6051" w:rsidRDefault="007C1BEE" w:rsidP="007C1BEE">
            <w:pPr>
              <w:spacing w:line="276" w:lineRule="auto"/>
              <w:rPr>
                <w:rFonts w:eastAsia="Times New Roman"/>
                <w:lang w:eastAsia="en-GB"/>
              </w:rPr>
            </w:pPr>
          </w:p>
          <w:p w14:paraId="7F93D813" w14:textId="77777777" w:rsidR="00A93234" w:rsidRPr="003E6051" w:rsidRDefault="00A93234" w:rsidP="007C1BEE">
            <w:pPr>
              <w:spacing w:line="276" w:lineRule="auto"/>
              <w:rPr>
                <w:rFonts w:eastAsia="Times New Roman"/>
                <w:lang w:eastAsia="en-GB"/>
              </w:rPr>
            </w:pPr>
          </w:p>
        </w:tc>
      </w:tr>
      <w:tr w:rsidR="0057746B" w:rsidRPr="003E6051" w14:paraId="0EF0B604" w14:textId="77777777" w:rsidTr="003F5E33">
        <w:trPr>
          <w:trHeight w:val="900"/>
        </w:trPr>
        <w:tc>
          <w:tcPr>
            <w:tcW w:w="1010" w:type="dxa"/>
            <w:vMerge/>
            <w:hideMark/>
          </w:tcPr>
          <w:p w14:paraId="4486BFB1"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0074C8C3" w14:textId="77777777" w:rsidR="0057746B" w:rsidRPr="003E6051" w:rsidRDefault="0057746B" w:rsidP="007C1BEE">
            <w:pPr>
              <w:spacing w:line="276" w:lineRule="auto"/>
              <w:rPr>
                <w:rFonts w:eastAsia="Times New Roman"/>
                <w:lang w:eastAsia="en-GB"/>
              </w:rPr>
            </w:pPr>
            <w:r w:rsidRPr="003E6051">
              <w:rPr>
                <w:rFonts w:eastAsia="Times New Roman"/>
                <w:lang w:eastAsia="en-GB"/>
              </w:rPr>
              <w:t>Contractual Payment Risks</w:t>
            </w:r>
          </w:p>
        </w:tc>
        <w:tc>
          <w:tcPr>
            <w:tcW w:w="3371" w:type="dxa"/>
            <w:hideMark/>
          </w:tcPr>
          <w:p w14:paraId="1B46A40E" w14:textId="77777777" w:rsidR="0057746B" w:rsidRPr="003E6051" w:rsidRDefault="0057746B" w:rsidP="007C1BEE">
            <w:pPr>
              <w:spacing w:line="276" w:lineRule="auto"/>
              <w:rPr>
                <w:rFonts w:eastAsia="Times New Roman"/>
                <w:lang w:eastAsia="en-GB"/>
              </w:rPr>
            </w:pPr>
            <w:r w:rsidRPr="003E6051">
              <w:rPr>
                <w:rFonts w:eastAsia="Times New Roman"/>
                <w:lang w:eastAsia="en-GB"/>
              </w:rPr>
              <w:t>Cash flow problems, disputes with suppliers, legal actions.</w:t>
            </w:r>
          </w:p>
        </w:tc>
        <w:tc>
          <w:tcPr>
            <w:tcW w:w="3739" w:type="dxa"/>
            <w:hideMark/>
          </w:tcPr>
          <w:p w14:paraId="02AA8EDE" w14:textId="77777777" w:rsidR="0057746B" w:rsidRPr="003E6051" w:rsidRDefault="0057746B" w:rsidP="007C1BEE">
            <w:pPr>
              <w:spacing w:line="276" w:lineRule="auto"/>
              <w:rPr>
                <w:rFonts w:eastAsia="Times New Roman"/>
                <w:lang w:eastAsia="en-GB"/>
              </w:rPr>
            </w:pPr>
            <w:r w:rsidRPr="003E6051">
              <w:rPr>
                <w:rFonts w:eastAsia="Times New Roman"/>
                <w:lang w:eastAsia="en-GB"/>
              </w:rPr>
              <w:t>Clear contract terms, escrow payment mechanisms, milestone-based payments.</w:t>
            </w:r>
          </w:p>
          <w:p w14:paraId="0E625419" w14:textId="77777777" w:rsidR="007C1BEE" w:rsidRPr="003E6051" w:rsidRDefault="007C1BEE" w:rsidP="007C1BEE">
            <w:pPr>
              <w:spacing w:line="276" w:lineRule="auto"/>
              <w:rPr>
                <w:rFonts w:eastAsia="Times New Roman"/>
                <w:lang w:eastAsia="en-GB"/>
              </w:rPr>
            </w:pPr>
          </w:p>
          <w:p w14:paraId="00105DF2" w14:textId="77777777" w:rsidR="008C299E" w:rsidRPr="003E6051" w:rsidRDefault="008C299E" w:rsidP="007C1BEE">
            <w:pPr>
              <w:spacing w:line="276" w:lineRule="auto"/>
              <w:rPr>
                <w:rFonts w:eastAsia="Times New Roman"/>
                <w:lang w:eastAsia="en-GB"/>
              </w:rPr>
            </w:pPr>
          </w:p>
        </w:tc>
      </w:tr>
      <w:tr w:rsidR="0057746B" w:rsidRPr="003E6051" w14:paraId="10D20279" w14:textId="77777777" w:rsidTr="003F5E33">
        <w:trPr>
          <w:trHeight w:val="600"/>
        </w:trPr>
        <w:tc>
          <w:tcPr>
            <w:tcW w:w="1010" w:type="dxa"/>
            <w:vMerge w:val="restart"/>
            <w:textDirection w:val="btLr"/>
            <w:hideMark/>
          </w:tcPr>
          <w:p w14:paraId="43836FEA"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lastRenderedPageBreak/>
              <w:t>Technical Risks</w:t>
            </w:r>
          </w:p>
        </w:tc>
        <w:tc>
          <w:tcPr>
            <w:tcW w:w="2050" w:type="dxa"/>
            <w:hideMark/>
          </w:tcPr>
          <w:p w14:paraId="24693331" w14:textId="77777777" w:rsidR="0057746B" w:rsidRPr="003E6051" w:rsidRDefault="0057746B" w:rsidP="007C1BEE">
            <w:pPr>
              <w:spacing w:line="276" w:lineRule="auto"/>
              <w:rPr>
                <w:rFonts w:eastAsia="Times New Roman"/>
                <w:lang w:eastAsia="en-GB"/>
              </w:rPr>
            </w:pPr>
            <w:r w:rsidRPr="003E6051">
              <w:rPr>
                <w:rFonts w:eastAsia="Times New Roman"/>
                <w:lang w:eastAsia="en-GB"/>
              </w:rPr>
              <w:t>Design Flaws</w:t>
            </w:r>
          </w:p>
        </w:tc>
        <w:tc>
          <w:tcPr>
            <w:tcW w:w="3371" w:type="dxa"/>
            <w:hideMark/>
          </w:tcPr>
          <w:p w14:paraId="72DD99EB" w14:textId="77777777" w:rsidR="0057746B" w:rsidRPr="003E6051" w:rsidRDefault="0057746B" w:rsidP="007C1BEE">
            <w:pPr>
              <w:spacing w:line="276" w:lineRule="auto"/>
              <w:rPr>
                <w:rFonts w:eastAsia="Times New Roman"/>
                <w:lang w:eastAsia="en-GB"/>
              </w:rPr>
            </w:pPr>
            <w:r w:rsidRPr="003E6051">
              <w:rPr>
                <w:rFonts w:eastAsia="Times New Roman"/>
                <w:lang w:eastAsia="en-GB"/>
              </w:rPr>
              <w:t>Rework, structural failures, delays, increased costs.</w:t>
            </w:r>
          </w:p>
        </w:tc>
        <w:tc>
          <w:tcPr>
            <w:tcW w:w="3739" w:type="dxa"/>
            <w:hideMark/>
          </w:tcPr>
          <w:p w14:paraId="3A66B246" w14:textId="64377D57" w:rsidR="008C299E" w:rsidRPr="003E6051" w:rsidRDefault="0057746B" w:rsidP="007C1BEE">
            <w:pPr>
              <w:spacing w:line="276" w:lineRule="auto"/>
              <w:rPr>
                <w:rFonts w:eastAsia="Times New Roman"/>
                <w:lang w:eastAsia="en-GB"/>
              </w:rPr>
            </w:pPr>
            <w:r w:rsidRPr="003E6051">
              <w:rPr>
                <w:rFonts w:eastAsia="Times New Roman"/>
                <w:lang w:eastAsia="en-GB"/>
              </w:rPr>
              <w:t>Rigorous design reviews, simulation testing, peer evaluations.</w:t>
            </w:r>
          </w:p>
        </w:tc>
      </w:tr>
      <w:tr w:rsidR="0057746B" w:rsidRPr="003E6051" w14:paraId="10FFFC64" w14:textId="77777777" w:rsidTr="003F5E33">
        <w:trPr>
          <w:trHeight w:val="900"/>
        </w:trPr>
        <w:tc>
          <w:tcPr>
            <w:tcW w:w="1010" w:type="dxa"/>
            <w:vMerge/>
            <w:hideMark/>
          </w:tcPr>
          <w:p w14:paraId="63B583AB"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45891B4D" w14:textId="77777777" w:rsidR="0057746B" w:rsidRPr="003E6051" w:rsidRDefault="0057746B" w:rsidP="007C1BEE">
            <w:pPr>
              <w:spacing w:line="276" w:lineRule="auto"/>
              <w:rPr>
                <w:rFonts w:eastAsia="Times New Roman"/>
                <w:lang w:eastAsia="en-GB"/>
              </w:rPr>
            </w:pPr>
            <w:r w:rsidRPr="003E6051">
              <w:rPr>
                <w:rFonts w:eastAsia="Times New Roman"/>
                <w:lang w:eastAsia="en-GB"/>
              </w:rPr>
              <w:t>Unproven Technology</w:t>
            </w:r>
          </w:p>
        </w:tc>
        <w:tc>
          <w:tcPr>
            <w:tcW w:w="3371" w:type="dxa"/>
            <w:hideMark/>
          </w:tcPr>
          <w:p w14:paraId="37E92D31" w14:textId="77777777" w:rsidR="0057746B" w:rsidRPr="003E6051" w:rsidRDefault="0057746B" w:rsidP="007C1BEE">
            <w:pPr>
              <w:spacing w:line="276" w:lineRule="auto"/>
              <w:rPr>
                <w:rFonts w:eastAsia="Times New Roman"/>
                <w:lang w:eastAsia="en-GB"/>
              </w:rPr>
            </w:pPr>
            <w:r w:rsidRPr="003E6051">
              <w:rPr>
                <w:rFonts w:eastAsia="Times New Roman"/>
                <w:lang w:eastAsia="en-GB"/>
              </w:rPr>
              <w:t>Performance failures, increased maintenance, reputational damage.</w:t>
            </w:r>
          </w:p>
        </w:tc>
        <w:tc>
          <w:tcPr>
            <w:tcW w:w="3739" w:type="dxa"/>
            <w:hideMark/>
          </w:tcPr>
          <w:p w14:paraId="077790F0" w14:textId="77777777" w:rsidR="0057746B" w:rsidRPr="003E6051" w:rsidRDefault="0057746B" w:rsidP="007C1BEE">
            <w:pPr>
              <w:spacing w:line="276" w:lineRule="auto"/>
              <w:rPr>
                <w:rFonts w:eastAsia="Times New Roman"/>
                <w:lang w:eastAsia="en-GB"/>
              </w:rPr>
            </w:pPr>
            <w:r w:rsidRPr="003E6051">
              <w:rPr>
                <w:rFonts w:eastAsia="Times New Roman"/>
                <w:lang w:eastAsia="en-GB"/>
              </w:rPr>
              <w:t>Technology readiness assessments, phased implementation, pilot projects.</w:t>
            </w:r>
          </w:p>
        </w:tc>
      </w:tr>
      <w:tr w:rsidR="0057746B" w:rsidRPr="003E6051" w14:paraId="2127DF3D" w14:textId="77777777" w:rsidTr="003F5E33">
        <w:trPr>
          <w:trHeight w:val="530"/>
        </w:trPr>
        <w:tc>
          <w:tcPr>
            <w:tcW w:w="1010" w:type="dxa"/>
            <w:vMerge/>
            <w:hideMark/>
          </w:tcPr>
          <w:p w14:paraId="47823A74"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6A0961D5" w14:textId="77777777" w:rsidR="0057746B" w:rsidRPr="003E6051" w:rsidRDefault="0057746B" w:rsidP="007C1BEE">
            <w:pPr>
              <w:spacing w:line="276" w:lineRule="auto"/>
              <w:rPr>
                <w:rFonts w:eastAsia="Times New Roman"/>
                <w:lang w:eastAsia="en-GB"/>
              </w:rPr>
            </w:pPr>
            <w:r w:rsidRPr="003E6051">
              <w:rPr>
                <w:rFonts w:eastAsia="Times New Roman"/>
                <w:lang w:eastAsia="en-GB"/>
              </w:rPr>
              <w:t>Integration Issues</w:t>
            </w:r>
          </w:p>
        </w:tc>
        <w:tc>
          <w:tcPr>
            <w:tcW w:w="3371" w:type="dxa"/>
            <w:hideMark/>
          </w:tcPr>
          <w:p w14:paraId="04FB2597" w14:textId="77777777" w:rsidR="0057746B" w:rsidRPr="003E6051" w:rsidRDefault="0057746B" w:rsidP="007C1BEE">
            <w:pPr>
              <w:spacing w:line="276" w:lineRule="auto"/>
              <w:rPr>
                <w:rFonts w:eastAsia="Times New Roman"/>
                <w:lang w:eastAsia="en-GB"/>
              </w:rPr>
            </w:pPr>
            <w:r w:rsidRPr="003E6051">
              <w:rPr>
                <w:rFonts w:eastAsia="Times New Roman"/>
                <w:lang w:eastAsia="en-GB"/>
              </w:rPr>
              <w:t>Operational inefficiencies, system incompatibility, software failures.</w:t>
            </w:r>
          </w:p>
        </w:tc>
        <w:tc>
          <w:tcPr>
            <w:tcW w:w="3739" w:type="dxa"/>
            <w:hideMark/>
          </w:tcPr>
          <w:p w14:paraId="31DDB2FA" w14:textId="77777777" w:rsidR="0057746B" w:rsidRPr="003E6051" w:rsidRDefault="0057746B" w:rsidP="007C1BEE">
            <w:pPr>
              <w:spacing w:line="276" w:lineRule="auto"/>
              <w:rPr>
                <w:rFonts w:eastAsia="Times New Roman"/>
                <w:lang w:eastAsia="en-GB"/>
              </w:rPr>
            </w:pPr>
            <w:r w:rsidRPr="003E6051">
              <w:rPr>
                <w:rFonts w:eastAsia="Times New Roman"/>
                <w:lang w:eastAsia="en-GB"/>
              </w:rPr>
              <w:t>Standardised systems, cross-functional coordination, interoperability testing.</w:t>
            </w:r>
          </w:p>
        </w:tc>
      </w:tr>
      <w:tr w:rsidR="0057746B" w:rsidRPr="003E6051" w14:paraId="311D77B5" w14:textId="77777777" w:rsidTr="003F5E33">
        <w:trPr>
          <w:trHeight w:val="600"/>
        </w:trPr>
        <w:tc>
          <w:tcPr>
            <w:tcW w:w="1010" w:type="dxa"/>
            <w:vMerge/>
            <w:hideMark/>
          </w:tcPr>
          <w:p w14:paraId="11ABE667"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0AB2BC96" w14:textId="77777777" w:rsidR="0057746B" w:rsidRPr="003E6051" w:rsidRDefault="0057746B" w:rsidP="007C1BEE">
            <w:pPr>
              <w:spacing w:line="276" w:lineRule="auto"/>
              <w:rPr>
                <w:rFonts w:eastAsia="Times New Roman"/>
                <w:lang w:eastAsia="en-GB"/>
              </w:rPr>
            </w:pPr>
            <w:r w:rsidRPr="003E6051">
              <w:rPr>
                <w:rFonts w:eastAsia="Times New Roman"/>
                <w:lang w:eastAsia="en-GB"/>
              </w:rPr>
              <w:t>Equipment Failure</w:t>
            </w:r>
          </w:p>
        </w:tc>
        <w:tc>
          <w:tcPr>
            <w:tcW w:w="3371" w:type="dxa"/>
            <w:hideMark/>
          </w:tcPr>
          <w:p w14:paraId="05F97EB1" w14:textId="77777777" w:rsidR="0057746B" w:rsidRPr="003E6051" w:rsidRDefault="0057746B" w:rsidP="007C1BEE">
            <w:pPr>
              <w:spacing w:line="276" w:lineRule="auto"/>
              <w:rPr>
                <w:rFonts w:eastAsia="Times New Roman"/>
                <w:lang w:eastAsia="en-GB"/>
              </w:rPr>
            </w:pPr>
            <w:r w:rsidRPr="003E6051">
              <w:rPr>
                <w:rFonts w:eastAsia="Times New Roman"/>
                <w:lang w:eastAsia="en-GB"/>
              </w:rPr>
              <w:t>Downtime, production losses, higher maintenance costs.</w:t>
            </w:r>
          </w:p>
        </w:tc>
        <w:tc>
          <w:tcPr>
            <w:tcW w:w="3739" w:type="dxa"/>
            <w:hideMark/>
          </w:tcPr>
          <w:p w14:paraId="4F7E089E" w14:textId="77777777" w:rsidR="0057746B" w:rsidRPr="003E6051" w:rsidRDefault="0057746B" w:rsidP="007C1BEE">
            <w:pPr>
              <w:spacing w:line="276" w:lineRule="auto"/>
              <w:rPr>
                <w:rFonts w:eastAsia="Times New Roman"/>
                <w:lang w:eastAsia="en-GB"/>
              </w:rPr>
            </w:pPr>
            <w:r w:rsidRPr="003E6051">
              <w:rPr>
                <w:rFonts w:eastAsia="Times New Roman"/>
                <w:lang w:eastAsia="en-GB"/>
              </w:rPr>
              <w:t>Preventive maintenance, real-time monitoring, redundancy planning.</w:t>
            </w:r>
          </w:p>
        </w:tc>
      </w:tr>
      <w:tr w:rsidR="0057746B" w:rsidRPr="003E6051" w14:paraId="00E924C8" w14:textId="77777777" w:rsidTr="003F5E33">
        <w:trPr>
          <w:trHeight w:val="900"/>
        </w:trPr>
        <w:tc>
          <w:tcPr>
            <w:tcW w:w="1010" w:type="dxa"/>
            <w:vMerge/>
            <w:hideMark/>
          </w:tcPr>
          <w:p w14:paraId="52861A38"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7DA8AA69" w14:textId="77777777" w:rsidR="0057746B" w:rsidRPr="003E6051" w:rsidRDefault="0057746B" w:rsidP="007C1BEE">
            <w:pPr>
              <w:spacing w:line="276" w:lineRule="auto"/>
              <w:rPr>
                <w:rFonts w:eastAsia="Times New Roman"/>
                <w:lang w:eastAsia="en-GB"/>
              </w:rPr>
            </w:pPr>
            <w:r w:rsidRPr="003E6051">
              <w:rPr>
                <w:rFonts w:eastAsia="Times New Roman"/>
                <w:lang w:eastAsia="en-GB"/>
              </w:rPr>
              <w:t>Lack of Standardisation</w:t>
            </w:r>
          </w:p>
        </w:tc>
        <w:tc>
          <w:tcPr>
            <w:tcW w:w="3371" w:type="dxa"/>
            <w:hideMark/>
          </w:tcPr>
          <w:p w14:paraId="4A9E76B4" w14:textId="77777777" w:rsidR="0057746B" w:rsidRPr="003E6051" w:rsidRDefault="0057746B" w:rsidP="007C1BEE">
            <w:pPr>
              <w:spacing w:line="276" w:lineRule="auto"/>
              <w:rPr>
                <w:rFonts w:eastAsia="Times New Roman"/>
                <w:lang w:eastAsia="en-GB"/>
              </w:rPr>
            </w:pPr>
            <w:r w:rsidRPr="003E6051">
              <w:rPr>
                <w:rFonts w:eastAsia="Times New Roman"/>
                <w:lang w:eastAsia="en-GB"/>
              </w:rPr>
              <w:t>Compliance issues, need for costly redesigns, global market limitations.</w:t>
            </w:r>
          </w:p>
        </w:tc>
        <w:tc>
          <w:tcPr>
            <w:tcW w:w="3739" w:type="dxa"/>
            <w:hideMark/>
          </w:tcPr>
          <w:p w14:paraId="3C3CBB45" w14:textId="77777777" w:rsidR="0057746B" w:rsidRPr="003E6051" w:rsidRDefault="0057746B" w:rsidP="007C1BEE">
            <w:pPr>
              <w:spacing w:line="276" w:lineRule="auto"/>
              <w:rPr>
                <w:rFonts w:eastAsia="Times New Roman"/>
                <w:lang w:eastAsia="en-GB"/>
              </w:rPr>
            </w:pPr>
            <w:r w:rsidRPr="003E6051">
              <w:rPr>
                <w:rFonts w:eastAsia="Times New Roman"/>
                <w:lang w:eastAsia="en-GB"/>
              </w:rPr>
              <w:t>Adoption of international standards, early regulatory consultations, compliance audits.</w:t>
            </w:r>
          </w:p>
        </w:tc>
      </w:tr>
      <w:tr w:rsidR="0057746B" w:rsidRPr="003E6051" w14:paraId="0180A9CE" w14:textId="77777777" w:rsidTr="003F5E33">
        <w:trPr>
          <w:trHeight w:val="600"/>
        </w:trPr>
        <w:tc>
          <w:tcPr>
            <w:tcW w:w="1010" w:type="dxa"/>
            <w:vMerge w:val="restart"/>
            <w:textDirection w:val="btLr"/>
            <w:hideMark/>
          </w:tcPr>
          <w:p w14:paraId="0B34B08D"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t>Operational Risks</w:t>
            </w:r>
          </w:p>
        </w:tc>
        <w:tc>
          <w:tcPr>
            <w:tcW w:w="2050" w:type="dxa"/>
            <w:hideMark/>
          </w:tcPr>
          <w:p w14:paraId="7F65C4EC" w14:textId="77777777" w:rsidR="0057746B" w:rsidRPr="003E6051" w:rsidRDefault="0057746B" w:rsidP="007C1BEE">
            <w:pPr>
              <w:spacing w:line="276" w:lineRule="auto"/>
              <w:rPr>
                <w:rFonts w:eastAsia="Times New Roman"/>
                <w:lang w:eastAsia="en-GB"/>
              </w:rPr>
            </w:pPr>
            <w:r w:rsidRPr="003E6051">
              <w:rPr>
                <w:rFonts w:eastAsia="Times New Roman"/>
                <w:lang w:eastAsia="en-GB"/>
              </w:rPr>
              <w:t>Supply Chain Disruptions</w:t>
            </w:r>
          </w:p>
        </w:tc>
        <w:tc>
          <w:tcPr>
            <w:tcW w:w="3371" w:type="dxa"/>
            <w:hideMark/>
          </w:tcPr>
          <w:p w14:paraId="7E4083CF" w14:textId="77777777" w:rsidR="0057746B" w:rsidRPr="003E6051" w:rsidRDefault="0057746B" w:rsidP="007C1BEE">
            <w:pPr>
              <w:spacing w:line="276" w:lineRule="auto"/>
              <w:rPr>
                <w:rFonts w:eastAsia="Times New Roman"/>
                <w:lang w:eastAsia="en-GB"/>
              </w:rPr>
            </w:pPr>
            <w:r w:rsidRPr="003E6051">
              <w:rPr>
                <w:rFonts w:eastAsia="Times New Roman"/>
                <w:lang w:eastAsia="en-GB"/>
              </w:rPr>
              <w:t>Material shortages, increased costs, timeline extensions.</w:t>
            </w:r>
          </w:p>
        </w:tc>
        <w:tc>
          <w:tcPr>
            <w:tcW w:w="3739" w:type="dxa"/>
            <w:hideMark/>
          </w:tcPr>
          <w:p w14:paraId="0C0D9E5A" w14:textId="77777777" w:rsidR="0057746B" w:rsidRPr="003E6051" w:rsidRDefault="0057746B" w:rsidP="007C1BEE">
            <w:pPr>
              <w:spacing w:line="276" w:lineRule="auto"/>
              <w:rPr>
                <w:rFonts w:eastAsia="Times New Roman"/>
                <w:lang w:eastAsia="en-GB"/>
              </w:rPr>
            </w:pPr>
            <w:r w:rsidRPr="003E6051">
              <w:rPr>
                <w:rFonts w:eastAsia="Times New Roman"/>
                <w:lang w:eastAsia="en-GB"/>
              </w:rPr>
              <w:t>Multi-supplier strategies, real-time inventory tracking, local sourcing.</w:t>
            </w:r>
          </w:p>
        </w:tc>
      </w:tr>
      <w:tr w:rsidR="0057746B" w:rsidRPr="003E6051" w14:paraId="6E550E7F" w14:textId="77777777" w:rsidTr="003F5E33">
        <w:trPr>
          <w:trHeight w:val="845"/>
        </w:trPr>
        <w:tc>
          <w:tcPr>
            <w:tcW w:w="1010" w:type="dxa"/>
            <w:vMerge/>
            <w:hideMark/>
          </w:tcPr>
          <w:p w14:paraId="3FFF05C6"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358D50C7" w14:textId="77777777" w:rsidR="0057746B" w:rsidRPr="003E6051" w:rsidRDefault="0057746B" w:rsidP="007C1BEE">
            <w:pPr>
              <w:spacing w:line="276" w:lineRule="auto"/>
              <w:rPr>
                <w:rFonts w:eastAsia="Times New Roman"/>
                <w:lang w:eastAsia="en-GB"/>
              </w:rPr>
            </w:pPr>
            <w:r w:rsidRPr="003E6051">
              <w:rPr>
                <w:rFonts w:eastAsia="Times New Roman"/>
                <w:lang w:eastAsia="en-GB"/>
              </w:rPr>
              <w:t>Workforce Issues (strikes, skill shortages)</w:t>
            </w:r>
          </w:p>
        </w:tc>
        <w:tc>
          <w:tcPr>
            <w:tcW w:w="3371" w:type="dxa"/>
            <w:hideMark/>
          </w:tcPr>
          <w:p w14:paraId="0960AB0D" w14:textId="77777777" w:rsidR="0057746B" w:rsidRPr="003E6051" w:rsidRDefault="0057746B" w:rsidP="007C1BEE">
            <w:pPr>
              <w:spacing w:line="276" w:lineRule="auto"/>
              <w:rPr>
                <w:rFonts w:eastAsia="Times New Roman"/>
                <w:lang w:eastAsia="en-GB"/>
              </w:rPr>
            </w:pPr>
            <w:r w:rsidRPr="003E6051">
              <w:rPr>
                <w:rFonts w:eastAsia="Times New Roman"/>
                <w:lang w:eastAsia="en-GB"/>
              </w:rPr>
              <w:t>Productivity losses, training costs, project slowdowns.</w:t>
            </w:r>
          </w:p>
        </w:tc>
        <w:tc>
          <w:tcPr>
            <w:tcW w:w="3739" w:type="dxa"/>
            <w:hideMark/>
          </w:tcPr>
          <w:p w14:paraId="5C8ED382" w14:textId="77777777" w:rsidR="0057746B" w:rsidRPr="003E6051" w:rsidRDefault="0057746B" w:rsidP="007C1BEE">
            <w:pPr>
              <w:spacing w:line="276" w:lineRule="auto"/>
              <w:rPr>
                <w:rFonts w:eastAsia="Times New Roman"/>
                <w:lang w:eastAsia="en-GB"/>
              </w:rPr>
            </w:pPr>
            <w:r w:rsidRPr="003E6051">
              <w:rPr>
                <w:rFonts w:eastAsia="Times New Roman"/>
                <w:lang w:eastAsia="en-GB"/>
              </w:rPr>
              <w:t>Competitive wages, continuous training programs, labour relations management.</w:t>
            </w:r>
          </w:p>
        </w:tc>
      </w:tr>
      <w:tr w:rsidR="0057746B" w:rsidRPr="003E6051" w14:paraId="21F817BB" w14:textId="77777777" w:rsidTr="003F5E33">
        <w:trPr>
          <w:trHeight w:val="900"/>
        </w:trPr>
        <w:tc>
          <w:tcPr>
            <w:tcW w:w="1010" w:type="dxa"/>
            <w:vMerge/>
            <w:hideMark/>
          </w:tcPr>
          <w:p w14:paraId="501A0A08"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11FFC454" w14:textId="77777777" w:rsidR="0057746B" w:rsidRPr="003E6051" w:rsidRDefault="0057746B" w:rsidP="007C1BEE">
            <w:pPr>
              <w:spacing w:line="276" w:lineRule="auto"/>
              <w:rPr>
                <w:rFonts w:eastAsia="Times New Roman"/>
                <w:lang w:eastAsia="en-GB"/>
              </w:rPr>
            </w:pPr>
            <w:r w:rsidRPr="003E6051">
              <w:rPr>
                <w:rFonts w:eastAsia="Times New Roman"/>
                <w:lang w:eastAsia="en-GB"/>
              </w:rPr>
              <w:t>Project Delays</w:t>
            </w:r>
          </w:p>
        </w:tc>
        <w:tc>
          <w:tcPr>
            <w:tcW w:w="3371" w:type="dxa"/>
            <w:hideMark/>
          </w:tcPr>
          <w:p w14:paraId="1C1B81D1" w14:textId="77777777" w:rsidR="0057746B" w:rsidRPr="003E6051" w:rsidRDefault="0057746B" w:rsidP="007C1BEE">
            <w:pPr>
              <w:spacing w:line="276" w:lineRule="auto"/>
              <w:rPr>
                <w:rFonts w:eastAsia="Times New Roman"/>
                <w:lang w:eastAsia="en-GB"/>
              </w:rPr>
            </w:pPr>
            <w:r w:rsidRPr="003E6051">
              <w:rPr>
                <w:rFonts w:eastAsia="Times New Roman"/>
                <w:lang w:eastAsia="en-GB"/>
              </w:rPr>
              <w:t>Increased financing costs, contractual penalties, reduced investor confidence.</w:t>
            </w:r>
          </w:p>
        </w:tc>
        <w:tc>
          <w:tcPr>
            <w:tcW w:w="3739" w:type="dxa"/>
            <w:hideMark/>
          </w:tcPr>
          <w:p w14:paraId="664FE459" w14:textId="77777777" w:rsidR="0057746B" w:rsidRPr="003E6051" w:rsidRDefault="0057746B" w:rsidP="007C1BEE">
            <w:pPr>
              <w:spacing w:line="276" w:lineRule="auto"/>
              <w:rPr>
                <w:rFonts w:eastAsia="Times New Roman"/>
                <w:lang w:eastAsia="en-GB"/>
              </w:rPr>
            </w:pPr>
            <w:r w:rsidRPr="003E6051">
              <w:rPr>
                <w:rFonts w:eastAsia="Times New Roman"/>
                <w:lang w:eastAsia="en-GB"/>
              </w:rPr>
              <w:t>Agile project management, risk-adjusted scheduling, early issue identification.</w:t>
            </w:r>
          </w:p>
        </w:tc>
      </w:tr>
      <w:tr w:rsidR="0057746B" w:rsidRPr="003E6051" w14:paraId="45326F53" w14:textId="77777777" w:rsidTr="003F5E33">
        <w:trPr>
          <w:trHeight w:val="600"/>
        </w:trPr>
        <w:tc>
          <w:tcPr>
            <w:tcW w:w="1010" w:type="dxa"/>
            <w:vMerge/>
            <w:hideMark/>
          </w:tcPr>
          <w:p w14:paraId="45B31BE7"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034244E3" w14:textId="77777777" w:rsidR="0057746B" w:rsidRPr="003E6051" w:rsidRDefault="0057746B" w:rsidP="007C1BEE">
            <w:pPr>
              <w:spacing w:line="276" w:lineRule="auto"/>
              <w:rPr>
                <w:rFonts w:eastAsia="Times New Roman"/>
                <w:lang w:eastAsia="en-GB"/>
              </w:rPr>
            </w:pPr>
            <w:r w:rsidRPr="003E6051">
              <w:rPr>
                <w:rFonts w:eastAsia="Times New Roman"/>
                <w:lang w:eastAsia="en-GB"/>
              </w:rPr>
              <w:t>Cybersecurity Threats</w:t>
            </w:r>
          </w:p>
        </w:tc>
        <w:tc>
          <w:tcPr>
            <w:tcW w:w="3371" w:type="dxa"/>
            <w:hideMark/>
          </w:tcPr>
          <w:p w14:paraId="20597562" w14:textId="77777777" w:rsidR="0057746B" w:rsidRPr="003E6051" w:rsidRDefault="0057746B" w:rsidP="007C1BEE">
            <w:pPr>
              <w:spacing w:line="276" w:lineRule="auto"/>
              <w:rPr>
                <w:rFonts w:eastAsia="Times New Roman"/>
                <w:lang w:eastAsia="en-GB"/>
              </w:rPr>
            </w:pPr>
            <w:r w:rsidRPr="003E6051">
              <w:rPr>
                <w:rFonts w:eastAsia="Times New Roman"/>
                <w:lang w:eastAsia="en-GB"/>
              </w:rPr>
              <w:t>Data breaches, operational disruptions, intellectual property theft.</w:t>
            </w:r>
          </w:p>
        </w:tc>
        <w:tc>
          <w:tcPr>
            <w:tcW w:w="3739" w:type="dxa"/>
            <w:hideMark/>
          </w:tcPr>
          <w:p w14:paraId="22F8FDEF" w14:textId="77777777" w:rsidR="0057746B" w:rsidRPr="003E6051" w:rsidRDefault="0057746B" w:rsidP="007C1BEE">
            <w:pPr>
              <w:spacing w:line="276" w:lineRule="auto"/>
              <w:rPr>
                <w:rFonts w:eastAsia="Times New Roman"/>
                <w:lang w:eastAsia="en-GB"/>
              </w:rPr>
            </w:pPr>
            <w:r w:rsidRPr="003E6051">
              <w:rPr>
                <w:rFonts w:eastAsia="Times New Roman"/>
                <w:lang w:eastAsia="en-GB"/>
              </w:rPr>
              <w:t>Cybersecurity training, encryption, intrusion detection systems.</w:t>
            </w:r>
          </w:p>
        </w:tc>
      </w:tr>
      <w:tr w:rsidR="0057746B" w:rsidRPr="003E6051" w14:paraId="6F6EBFC3" w14:textId="77777777" w:rsidTr="003F5E33">
        <w:trPr>
          <w:trHeight w:val="900"/>
        </w:trPr>
        <w:tc>
          <w:tcPr>
            <w:tcW w:w="1010" w:type="dxa"/>
            <w:vMerge/>
            <w:hideMark/>
          </w:tcPr>
          <w:p w14:paraId="3AE59127"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13FE6262" w14:textId="77777777" w:rsidR="0057746B" w:rsidRPr="003E6051" w:rsidRDefault="0057746B" w:rsidP="007C1BEE">
            <w:pPr>
              <w:spacing w:line="276" w:lineRule="auto"/>
              <w:rPr>
                <w:rFonts w:eastAsia="Times New Roman"/>
                <w:lang w:eastAsia="en-GB"/>
              </w:rPr>
            </w:pPr>
            <w:r w:rsidRPr="003E6051">
              <w:rPr>
                <w:rFonts w:eastAsia="Times New Roman"/>
                <w:lang w:eastAsia="en-GB"/>
              </w:rPr>
              <w:t>Process Inefficiencies</w:t>
            </w:r>
          </w:p>
        </w:tc>
        <w:tc>
          <w:tcPr>
            <w:tcW w:w="3371" w:type="dxa"/>
            <w:hideMark/>
          </w:tcPr>
          <w:p w14:paraId="2110FB95" w14:textId="77777777" w:rsidR="0057746B" w:rsidRPr="003E6051" w:rsidRDefault="0057746B" w:rsidP="007C1BEE">
            <w:pPr>
              <w:spacing w:line="276" w:lineRule="auto"/>
              <w:rPr>
                <w:rFonts w:eastAsia="Times New Roman"/>
                <w:lang w:eastAsia="en-GB"/>
              </w:rPr>
            </w:pPr>
            <w:r w:rsidRPr="003E6051">
              <w:rPr>
                <w:rFonts w:eastAsia="Times New Roman"/>
                <w:lang w:eastAsia="en-GB"/>
              </w:rPr>
              <w:t>Waste of resources, increased operational costs, reduced output.</w:t>
            </w:r>
          </w:p>
        </w:tc>
        <w:tc>
          <w:tcPr>
            <w:tcW w:w="3739" w:type="dxa"/>
            <w:hideMark/>
          </w:tcPr>
          <w:p w14:paraId="23903C87" w14:textId="77777777" w:rsidR="0057746B" w:rsidRPr="003E6051" w:rsidRDefault="0057746B" w:rsidP="007C1BEE">
            <w:pPr>
              <w:spacing w:line="276" w:lineRule="auto"/>
              <w:rPr>
                <w:rFonts w:eastAsia="Times New Roman"/>
                <w:lang w:eastAsia="en-GB"/>
              </w:rPr>
            </w:pPr>
            <w:r w:rsidRPr="003E6051">
              <w:rPr>
                <w:rFonts w:eastAsia="Times New Roman"/>
                <w:lang w:eastAsia="en-GB"/>
              </w:rPr>
              <w:t>Lean management practices, process automation, continuous improvement initiatives.</w:t>
            </w:r>
          </w:p>
        </w:tc>
      </w:tr>
      <w:tr w:rsidR="0057746B" w:rsidRPr="003E6051" w14:paraId="2F3A5954" w14:textId="77777777" w:rsidTr="003F5E33">
        <w:trPr>
          <w:trHeight w:val="962"/>
        </w:trPr>
        <w:tc>
          <w:tcPr>
            <w:tcW w:w="1010" w:type="dxa"/>
            <w:vMerge w:val="restart"/>
            <w:textDirection w:val="btLr"/>
            <w:hideMark/>
          </w:tcPr>
          <w:p w14:paraId="06BF88F0"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t>Environmental Risks</w:t>
            </w:r>
          </w:p>
        </w:tc>
        <w:tc>
          <w:tcPr>
            <w:tcW w:w="2050" w:type="dxa"/>
            <w:hideMark/>
          </w:tcPr>
          <w:p w14:paraId="7CF524A5" w14:textId="77777777" w:rsidR="0057746B" w:rsidRPr="003E6051" w:rsidRDefault="0057746B" w:rsidP="007C1BEE">
            <w:pPr>
              <w:spacing w:line="276" w:lineRule="auto"/>
              <w:rPr>
                <w:rFonts w:eastAsia="Times New Roman"/>
                <w:lang w:eastAsia="en-GB"/>
              </w:rPr>
            </w:pPr>
            <w:r w:rsidRPr="003E6051">
              <w:rPr>
                <w:rFonts w:eastAsia="Times New Roman"/>
                <w:lang w:eastAsia="en-GB"/>
              </w:rPr>
              <w:t>Pollution &amp; Waste Management Issues</w:t>
            </w:r>
          </w:p>
        </w:tc>
        <w:tc>
          <w:tcPr>
            <w:tcW w:w="3371" w:type="dxa"/>
            <w:hideMark/>
          </w:tcPr>
          <w:p w14:paraId="638BB664" w14:textId="77777777" w:rsidR="0057746B" w:rsidRPr="003E6051" w:rsidRDefault="0057746B" w:rsidP="007C1BEE">
            <w:pPr>
              <w:spacing w:line="276" w:lineRule="auto"/>
              <w:rPr>
                <w:rFonts w:eastAsia="Times New Roman"/>
                <w:lang w:eastAsia="en-GB"/>
              </w:rPr>
            </w:pPr>
            <w:r w:rsidRPr="003E6051">
              <w:rPr>
                <w:rFonts w:eastAsia="Times New Roman"/>
                <w:lang w:eastAsia="en-GB"/>
              </w:rPr>
              <w:t>Regulatory fines, legal battles, negative public perception.</w:t>
            </w:r>
          </w:p>
        </w:tc>
        <w:tc>
          <w:tcPr>
            <w:tcW w:w="3739" w:type="dxa"/>
            <w:hideMark/>
          </w:tcPr>
          <w:p w14:paraId="01E0FC43" w14:textId="77777777" w:rsidR="0057746B" w:rsidRPr="003E6051" w:rsidRDefault="0057746B" w:rsidP="007C1BEE">
            <w:pPr>
              <w:spacing w:line="276" w:lineRule="auto"/>
              <w:rPr>
                <w:rFonts w:eastAsia="Times New Roman"/>
                <w:lang w:eastAsia="en-GB"/>
              </w:rPr>
            </w:pPr>
            <w:r w:rsidRPr="003E6051">
              <w:rPr>
                <w:rFonts w:eastAsia="Times New Roman"/>
                <w:lang w:eastAsia="en-GB"/>
              </w:rPr>
              <w:t>Sustainable waste disposal, strict compliance with regulations, green technologies.</w:t>
            </w:r>
          </w:p>
        </w:tc>
      </w:tr>
      <w:tr w:rsidR="0057746B" w:rsidRPr="003E6051" w14:paraId="0F107945" w14:textId="77777777" w:rsidTr="003F5E33">
        <w:trPr>
          <w:trHeight w:val="900"/>
        </w:trPr>
        <w:tc>
          <w:tcPr>
            <w:tcW w:w="1010" w:type="dxa"/>
            <w:vMerge/>
            <w:hideMark/>
          </w:tcPr>
          <w:p w14:paraId="6C81ADD4"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45F68557" w14:textId="77777777" w:rsidR="0057746B" w:rsidRPr="003E6051" w:rsidRDefault="0057746B" w:rsidP="007C1BEE">
            <w:pPr>
              <w:spacing w:line="276" w:lineRule="auto"/>
              <w:rPr>
                <w:rFonts w:eastAsia="Times New Roman"/>
                <w:lang w:eastAsia="en-GB"/>
              </w:rPr>
            </w:pPr>
            <w:r w:rsidRPr="003E6051">
              <w:rPr>
                <w:rFonts w:eastAsia="Times New Roman"/>
                <w:lang w:eastAsia="en-GB"/>
              </w:rPr>
              <w:t>Climate Change Impact</w:t>
            </w:r>
          </w:p>
        </w:tc>
        <w:tc>
          <w:tcPr>
            <w:tcW w:w="3371" w:type="dxa"/>
            <w:hideMark/>
          </w:tcPr>
          <w:p w14:paraId="1D664707" w14:textId="77777777" w:rsidR="0057746B" w:rsidRPr="003E6051" w:rsidRDefault="0057746B" w:rsidP="007C1BEE">
            <w:pPr>
              <w:spacing w:line="276" w:lineRule="auto"/>
              <w:rPr>
                <w:rFonts w:eastAsia="Times New Roman"/>
                <w:lang w:eastAsia="en-GB"/>
              </w:rPr>
            </w:pPr>
            <w:r w:rsidRPr="003E6051">
              <w:rPr>
                <w:rFonts w:eastAsia="Times New Roman"/>
                <w:lang w:eastAsia="en-GB"/>
              </w:rPr>
              <w:t>Weather-related delays, infrastructure damage, higher insurance costs.</w:t>
            </w:r>
          </w:p>
        </w:tc>
        <w:tc>
          <w:tcPr>
            <w:tcW w:w="3739" w:type="dxa"/>
            <w:hideMark/>
          </w:tcPr>
          <w:p w14:paraId="77BFAB03" w14:textId="77777777" w:rsidR="0057746B" w:rsidRPr="003E6051" w:rsidRDefault="0057746B" w:rsidP="007C1BEE">
            <w:pPr>
              <w:spacing w:line="276" w:lineRule="auto"/>
              <w:rPr>
                <w:rFonts w:eastAsia="Times New Roman"/>
                <w:lang w:eastAsia="en-GB"/>
              </w:rPr>
            </w:pPr>
            <w:r w:rsidRPr="003E6051">
              <w:rPr>
                <w:rFonts w:eastAsia="Times New Roman"/>
                <w:lang w:eastAsia="en-GB"/>
              </w:rPr>
              <w:t>Climate-resilient infrastructure, weather impact forecasting, risk-adjusted planning.</w:t>
            </w:r>
          </w:p>
        </w:tc>
      </w:tr>
      <w:tr w:rsidR="0057746B" w:rsidRPr="003E6051" w14:paraId="0652050F" w14:textId="77777777" w:rsidTr="003F5E33">
        <w:trPr>
          <w:trHeight w:val="800"/>
        </w:trPr>
        <w:tc>
          <w:tcPr>
            <w:tcW w:w="1010" w:type="dxa"/>
            <w:vMerge/>
            <w:hideMark/>
          </w:tcPr>
          <w:p w14:paraId="06090431"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22F28127" w14:textId="77777777" w:rsidR="0057746B" w:rsidRPr="003E6051" w:rsidRDefault="0057746B" w:rsidP="007C1BEE">
            <w:pPr>
              <w:spacing w:line="276" w:lineRule="auto"/>
              <w:rPr>
                <w:rFonts w:eastAsia="Times New Roman"/>
                <w:lang w:eastAsia="en-GB"/>
              </w:rPr>
            </w:pPr>
            <w:r w:rsidRPr="003E6051">
              <w:rPr>
                <w:rFonts w:eastAsia="Times New Roman"/>
                <w:lang w:eastAsia="en-GB"/>
              </w:rPr>
              <w:t>Natural Disasters (earthquakes, floods)</w:t>
            </w:r>
          </w:p>
        </w:tc>
        <w:tc>
          <w:tcPr>
            <w:tcW w:w="3371" w:type="dxa"/>
            <w:hideMark/>
          </w:tcPr>
          <w:p w14:paraId="4C51753B" w14:textId="77777777" w:rsidR="0057746B" w:rsidRPr="003E6051" w:rsidRDefault="0057746B" w:rsidP="007C1BEE">
            <w:pPr>
              <w:spacing w:line="276" w:lineRule="auto"/>
              <w:rPr>
                <w:rFonts w:eastAsia="Times New Roman"/>
                <w:lang w:eastAsia="en-GB"/>
              </w:rPr>
            </w:pPr>
            <w:r w:rsidRPr="003E6051">
              <w:rPr>
                <w:rFonts w:eastAsia="Times New Roman"/>
                <w:lang w:eastAsia="en-GB"/>
              </w:rPr>
              <w:t>Physical destruction, financial losses, safety risks.</w:t>
            </w:r>
          </w:p>
        </w:tc>
        <w:tc>
          <w:tcPr>
            <w:tcW w:w="3739" w:type="dxa"/>
            <w:hideMark/>
          </w:tcPr>
          <w:p w14:paraId="6C0B3DE2" w14:textId="77777777" w:rsidR="0057746B" w:rsidRPr="003E6051" w:rsidRDefault="0057746B" w:rsidP="007C1BEE">
            <w:pPr>
              <w:spacing w:line="276" w:lineRule="auto"/>
              <w:rPr>
                <w:rFonts w:eastAsia="Times New Roman"/>
                <w:lang w:eastAsia="en-GB"/>
              </w:rPr>
            </w:pPr>
            <w:r w:rsidRPr="003E6051">
              <w:rPr>
                <w:rFonts w:eastAsia="Times New Roman"/>
                <w:lang w:eastAsia="en-GB"/>
              </w:rPr>
              <w:t>Disaster response plans, resilient construction materials, insurance coverage.</w:t>
            </w:r>
          </w:p>
        </w:tc>
      </w:tr>
      <w:tr w:rsidR="0057746B" w:rsidRPr="003E6051" w14:paraId="44530064" w14:textId="77777777" w:rsidTr="003F5E33">
        <w:trPr>
          <w:trHeight w:val="935"/>
        </w:trPr>
        <w:tc>
          <w:tcPr>
            <w:tcW w:w="1010" w:type="dxa"/>
            <w:vMerge/>
            <w:hideMark/>
          </w:tcPr>
          <w:p w14:paraId="1398D0F7"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68955644" w14:textId="77777777" w:rsidR="0057746B" w:rsidRPr="003E6051" w:rsidRDefault="0057746B" w:rsidP="007C1BEE">
            <w:pPr>
              <w:spacing w:line="276" w:lineRule="auto"/>
              <w:rPr>
                <w:rFonts w:eastAsia="Times New Roman"/>
                <w:lang w:eastAsia="en-GB"/>
              </w:rPr>
            </w:pPr>
            <w:r w:rsidRPr="003E6051">
              <w:rPr>
                <w:rFonts w:eastAsia="Times New Roman"/>
                <w:lang w:eastAsia="en-GB"/>
              </w:rPr>
              <w:t>Environmental, Social, Governance (ESG) Compliance</w:t>
            </w:r>
          </w:p>
        </w:tc>
        <w:tc>
          <w:tcPr>
            <w:tcW w:w="3371" w:type="dxa"/>
            <w:hideMark/>
          </w:tcPr>
          <w:p w14:paraId="441B53EE" w14:textId="77777777" w:rsidR="0057746B" w:rsidRPr="003E6051" w:rsidRDefault="0057746B" w:rsidP="007C1BEE">
            <w:pPr>
              <w:spacing w:line="276" w:lineRule="auto"/>
              <w:rPr>
                <w:rFonts w:eastAsia="Times New Roman"/>
                <w:lang w:eastAsia="en-GB"/>
              </w:rPr>
            </w:pPr>
            <w:r w:rsidRPr="003E6051">
              <w:rPr>
                <w:rFonts w:eastAsia="Times New Roman"/>
                <w:lang w:eastAsia="en-GB"/>
              </w:rPr>
              <w:t>Loss of investors, brand reputation damage, project cancellations.</w:t>
            </w:r>
          </w:p>
        </w:tc>
        <w:tc>
          <w:tcPr>
            <w:tcW w:w="3739" w:type="dxa"/>
            <w:hideMark/>
          </w:tcPr>
          <w:p w14:paraId="24AC9BEC" w14:textId="77777777" w:rsidR="0057746B" w:rsidRPr="003E6051" w:rsidRDefault="0057746B" w:rsidP="007C1BEE">
            <w:pPr>
              <w:spacing w:line="276" w:lineRule="auto"/>
              <w:rPr>
                <w:rFonts w:eastAsia="Times New Roman"/>
                <w:lang w:eastAsia="en-GB"/>
              </w:rPr>
            </w:pPr>
            <w:r w:rsidRPr="003E6051">
              <w:rPr>
                <w:rFonts w:eastAsia="Times New Roman"/>
                <w:lang w:eastAsia="en-GB"/>
              </w:rPr>
              <w:t>Transparent ESG reporting, sustainability initiatives, stakeholder engagement.</w:t>
            </w:r>
          </w:p>
          <w:p w14:paraId="5F3C4F2D" w14:textId="77777777" w:rsidR="007C1BEE" w:rsidRPr="003E6051" w:rsidRDefault="007C1BEE" w:rsidP="007C1BEE">
            <w:pPr>
              <w:spacing w:line="276" w:lineRule="auto"/>
              <w:rPr>
                <w:rFonts w:eastAsia="Times New Roman"/>
                <w:lang w:eastAsia="en-GB"/>
              </w:rPr>
            </w:pPr>
          </w:p>
          <w:p w14:paraId="676FBA82" w14:textId="77777777" w:rsidR="00A93234" w:rsidRPr="003E6051" w:rsidRDefault="00A93234" w:rsidP="007C1BEE">
            <w:pPr>
              <w:spacing w:line="276" w:lineRule="auto"/>
              <w:rPr>
                <w:rFonts w:eastAsia="Times New Roman"/>
                <w:lang w:eastAsia="en-GB"/>
              </w:rPr>
            </w:pPr>
          </w:p>
        </w:tc>
      </w:tr>
      <w:tr w:rsidR="0057746B" w:rsidRPr="003E6051" w14:paraId="755EC91C" w14:textId="77777777" w:rsidTr="003F5E33">
        <w:trPr>
          <w:trHeight w:val="900"/>
        </w:trPr>
        <w:tc>
          <w:tcPr>
            <w:tcW w:w="1010" w:type="dxa"/>
            <w:vMerge/>
            <w:hideMark/>
          </w:tcPr>
          <w:p w14:paraId="3F42DD23"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032A5545" w14:textId="77777777" w:rsidR="0057746B" w:rsidRPr="003E6051" w:rsidRDefault="0057746B" w:rsidP="007C1BEE">
            <w:pPr>
              <w:spacing w:line="276" w:lineRule="auto"/>
              <w:rPr>
                <w:rFonts w:eastAsia="Times New Roman"/>
                <w:lang w:eastAsia="en-GB"/>
              </w:rPr>
            </w:pPr>
            <w:r w:rsidRPr="003E6051">
              <w:rPr>
                <w:rFonts w:eastAsia="Times New Roman"/>
                <w:lang w:eastAsia="en-GB"/>
              </w:rPr>
              <w:t>Biodiversity &amp; Land Use Conflicts</w:t>
            </w:r>
          </w:p>
        </w:tc>
        <w:tc>
          <w:tcPr>
            <w:tcW w:w="3371" w:type="dxa"/>
            <w:hideMark/>
          </w:tcPr>
          <w:p w14:paraId="0A15EB79" w14:textId="77777777" w:rsidR="0057746B" w:rsidRPr="003E6051" w:rsidRDefault="0057746B" w:rsidP="007C1BEE">
            <w:pPr>
              <w:spacing w:line="276" w:lineRule="auto"/>
              <w:rPr>
                <w:rFonts w:eastAsia="Times New Roman"/>
                <w:lang w:eastAsia="en-GB"/>
              </w:rPr>
            </w:pPr>
            <w:r w:rsidRPr="003E6051">
              <w:rPr>
                <w:rFonts w:eastAsia="Times New Roman"/>
                <w:lang w:eastAsia="en-GB"/>
              </w:rPr>
              <w:t>Legal disputes, restrictions on project development.</w:t>
            </w:r>
          </w:p>
        </w:tc>
        <w:tc>
          <w:tcPr>
            <w:tcW w:w="3739" w:type="dxa"/>
            <w:hideMark/>
          </w:tcPr>
          <w:p w14:paraId="35A4337F" w14:textId="77777777" w:rsidR="0057746B" w:rsidRPr="003E6051" w:rsidRDefault="0057746B" w:rsidP="007C1BEE">
            <w:pPr>
              <w:spacing w:line="276" w:lineRule="auto"/>
              <w:rPr>
                <w:rFonts w:eastAsia="Times New Roman"/>
                <w:lang w:eastAsia="en-GB"/>
              </w:rPr>
            </w:pPr>
            <w:r w:rsidRPr="003E6051">
              <w:rPr>
                <w:rFonts w:eastAsia="Times New Roman"/>
                <w:lang w:eastAsia="en-GB"/>
              </w:rPr>
              <w:t>Early environmental assessments, engagement with local communities, conservation efforts.</w:t>
            </w:r>
          </w:p>
          <w:p w14:paraId="071799DB" w14:textId="77777777" w:rsidR="007C1BEE" w:rsidRPr="003E6051" w:rsidRDefault="007C1BEE" w:rsidP="007C1BEE">
            <w:pPr>
              <w:spacing w:line="276" w:lineRule="auto"/>
              <w:rPr>
                <w:rFonts w:eastAsia="Times New Roman"/>
                <w:lang w:eastAsia="en-GB"/>
              </w:rPr>
            </w:pPr>
          </w:p>
          <w:p w14:paraId="05F7254E" w14:textId="77777777" w:rsidR="008C299E" w:rsidRPr="003E6051" w:rsidRDefault="008C299E" w:rsidP="007C1BEE">
            <w:pPr>
              <w:spacing w:line="276" w:lineRule="auto"/>
              <w:rPr>
                <w:rFonts w:eastAsia="Times New Roman"/>
                <w:lang w:eastAsia="en-GB"/>
              </w:rPr>
            </w:pPr>
          </w:p>
        </w:tc>
      </w:tr>
      <w:tr w:rsidR="0057746B" w:rsidRPr="003E6051" w14:paraId="2C280607" w14:textId="77777777" w:rsidTr="003F5E33">
        <w:trPr>
          <w:trHeight w:val="600"/>
        </w:trPr>
        <w:tc>
          <w:tcPr>
            <w:tcW w:w="1010" w:type="dxa"/>
            <w:vMerge w:val="restart"/>
            <w:textDirection w:val="btLr"/>
            <w:hideMark/>
          </w:tcPr>
          <w:p w14:paraId="5056396D"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lastRenderedPageBreak/>
              <w:t>Regulatory &amp; Legal Risks</w:t>
            </w:r>
          </w:p>
        </w:tc>
        <w:tc>
          <w:tcPr>
            <w:tcW w:w="2050" w:type="dxa"/>
            <w:hideMark/>
          </w:tcPr>
          <w:p w14:paraId="16E5E018" w14:textId="77777777" w:rsidR="0057746B" w:rsidRPr="003E6051" w:rsidRDefault="0057746B" w:rsidP="007C1BEE">
            <w:pPr>
              <w:spacing w:line="276" w:lineRule="auto"/>
              <w:rPr>
                <w:rFonts w:eastAsia="Times New Roman"/>
                <w:lang w:eastAsia="en-GB"/>
              </w:rPr>
            </w:pPr>
            <w:r w:rsidRPr="003E6051">
              <w:rPr>
                <w:rFonts w:eastAsia="Times New Roman"/>
                <w:lang w:eastAsia="en-GB"/>
              </w:rPr>
              <w:t>Policy &amp; Trade Law Changes</w:t>
            </w:r>
          </w:p>
        </w:tc>
        <w:tc>
          <w:tcPr>
            <w:tcW w:w="3371" w:type="dxa"/>
            <w:hideMark/>
          </w:tcPr>
          <w:p w14:paraId="0BD2B5DD" w14:textId="77777777" w:rsidR="0057746B" w:rsidRPr="003E6051" w:rsidRDefault="0057746B" w:rsidP="007C1BEE">
            <w:pPr>
              <w:spacing w:line="276" w:lineRule="auto"/>
              <w:rPr>
                <w:rFonts w:eastAsia="Times New Roman"/>
                <w:lang w:eastAsia="en-GB"/>
              </w:rPr>
            </w:pPr>
            <w:r w:rsidRPr="003E6051">
              <w:rPr>
                <w:rFonts w:eastAsia="Times New Roman"/>
                <w:lang w:eastAsia="en-GB"/>
              </w:rPr>
              <w:t>Tariffs, trade restrictions, increased compliance costs.</w:t>
            </w:r>
          </w:p>
        </w:tc>
        <w:tc>
          <w:tcPr>
            <w:tcW w:w="3739" w:type="dxa"/>
            <w:hideMark/>
          </w:tcPr>
          <w:p w14:paraId="2D979B28" w14:textId="77777777" w:rsidR="0057746B" w:rsidRPr="003E6051" w:rsidRDefault="0057746B" w:rsidP="007C1BEE">
            <w:pPr>
              <w:spacing w:line="276" w:lineRule="auto"/>
              <w:rPr>
                <w:rFonts w:eastAsia="Times New Roman"/>
                <w:lang w:eastAsia="en-GB"/>
              </w:rPr>
            </w:pPr>
            <w:r w:rsidRPr="003E6051">
              <w:rPr>
                <w:rFonts w:eastAsia="Times New Roman"/>
                <w:lang w:eastAsia="en-GB"/>
              </w:rPr>
              <w:t>Proactive policy monitoring, trade diversification, regulatory advocacy.</w:t>
            </w:r>
          </w:p>
        </w:tc>
      </w:tr>
      <w:tr w:rsidR="0057746B" w:rsidRPr="003E6051" w14:paraId="4341DE96" w14:textId="77777777" w:rsidTr="003F5E33">
        <w:trPr>
          <w:trHeight w:val="900"/>
        </w:trPr>
        <w:tc>
          <w:tcPr>
            <w:tcW w:w="1010" w:type="dxa"/>
            <w:vMerge/>
            <w:hideMark/>
          </w:tcPr>
          <w:p w14:paraId="167C12BD"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30E7881F" w14:textId="77777777" w:rsidR="0057746B" w:rsidRPr="003E6051" w:rsidRDefault="0057746B" w:rsidP="007C1BEE">
            <w:pPr>
              <w:spacing w:line="276" w:lineRule="auto"/>
              <w:rPr>
                <w:rFonts w:eastAsia="Times New Roman"/>
                <w:lang w:eastAsia="en-GB"/>
              </w:rPr>
            </w:pPr>
            <w:r w:rsidRPr="003E6051">
              <w:rPr>
                <w:rFonts w:eastAsia="Times New Roman"/>
                <w:lang w:eastAsia="en-GB"/>
              </w:rPr>
              <w:t>Permitting &amp; Licensing Delays</w:t>
            </w:r>
          </w:p>
        </w:tc>
        <w:tc>
          <w:tcPr>
            <w:tcW w:w="3371" w:type="dxa"/>
            <w:hideMark/>
          </w:tcPr>
          <w:p w14:paraId="3D5DCE3A" w14:textId="77777777" w:rsidR="0057746B" w:rsidRPr="003E6051" w:rsidRDefault="0057746B" w:rsidP="007C1BEE">
            <w:pPr>
              <w:spacing w:line="276" w:lineRule="auto"/>
              <w:rPr>
                <w:rFonts w:eastAsia="Times New Roman"/>
                <w:lang w:eastAsia="en-GB"/>
              </w:rPr>
            </w:pPr>
            <w:r w:rsidRPr="003E6051">
              <w:rPr>
                <w:rFonts w:eastAsia="Times New Roman"/>
                <w:lang w:eastAsia="en-GB"/>
              </w:rPr>
              <w:t>Project postponements, legal penalties, operational stoppages.</w:t>
            </w:r>
          </w:p>
        </w:tc>
        <w:tc>
          <w:tcPr>
            <w:tcW w:w="3739" w:type="dxa"/>
            <w:hideMark/>
          </w:tcPr>
          <w:p w14:paraId="52BD4D0D" w14:textId="77777777" w:rsidR="0057746B" w:rsidRPr="003E6051" w:rsidRDefault="0057746B" w:rsidP="007C1BEE">
            <w:pPr>
              <w:spacing w:line="276" w:lineRule="auto"/>
              <w:rPr>
                <w:rFonts w:eastAsia="Times New Roman"/>
                <w:lang w:eastAsia="en-GB"/>
              </w:rPr>
            </w:pPr>
            <w:r w:rsidRPr="003E6051">
              <w:rPr>
                <w:rFonts w:eastAsia="Times New Roman"/>
                <w:lang w:eastAsia="en-GB"/>
              </w:rPr>
              <w:t>Early engagement with regulators, compliance audits, efficient documentation.</w:t>
            </w:r>
          </w:p>
        </w:tc>
      </w:tr>
      <w:tr w:rsidR="0057746B" w:rsidRPr="003E6051" w14:paraId="3BA0E625" w14:textId="77777777" w:rsidTr="003F5E33">
        <w:trPr>
          <w:trHeight w:val="600"/>
        </w:trPr>
        <w:tc>
          <w:tcPr>
            <w:tcW w:w="1010" w:type="dxa"/>
            <w:vMerge/>
            <w:hideMark/>
          </w:tcPr>
          <w:p w14:paraId="51050BCA"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49A2226B" w14:textId="77777777" w:rsidR="0057746B" w:rsidRPr="003E6051" w:rsidRDefault="0057746B" w:rsidP="007C1BEE">
            <w:pPr>
              <w:spacing w:line="276" w:lineRule="auto"/>
              <w:rPr>
                <w:rFonts w:eastAsia="Times New Roman"/>
                <w:lang w:eastAsia="en-GB"/>
              </w:rPr>
            </w:pPr>
            <w:r w:rsidRPr="003E6051">
              <w:rPr>
                <w:rFonts w:eastAsia="Times New Roman"/>
                <w:lang w:eastAsia="en-GB"/>
              </w:rPr>
              <w:t>Intellectual Property Risks</w:t>
            </w:r>
          </w:p>
        </w:tc>
        <w:tc>
          <w:tcPr>
            <w:tcW w:w="3371" w:type="dxa"/>
            <w:hideMark/>
          </w:tcPr>
          <w:p w14:paraId="6C0F3B22" w14:textId="77777777" w:rsidR="0057746B" w:rsidRPr="003E6051" w:rsidRDefault="0057746B" w:rsidP="007C1BEE">
            <w:pPr>
              <w:spacing w:line="276" w:lineRule="auto"/>
              <w:rPr>
                <w:rFonts w:eastAsia="Times New Roman"/>
                <w:lang w:eastAsia="en-GB"/>
              </w:rPr>
            </w:pPr>
            <w:r w:rsidRPr="003E6051">
              <w:rPr>
                <w:rFonts w:eastAsia="Times New Roman"/>
                <w:lang w:eastAsia="en-GB"/>
              </w:rPr>
              <w:t>Patent violations, lawsuits, technology loss.</w:t>
            </w:r>
          </w:p>
        </w:tc>
        <w:tc>
          <w:tcPr>
            <w:tcW w:w="3739" w:type="dxa"/>
            <w:hideMark/>
          </w:tcPr>
          <w:p w14:paraId="1F5C8682" w14:textId="77777777" w:rsidR="0057746B" w:rsidRPr="003E6051" w:rsidRDefault="0057746B" w:rsidP="007C1BEE">
            <w:pPr>
              <w:spacing w:line="276" w:lineRule="auto"/>
              <w:rPr>
                <w:rFonts w:eastAsia="Times New Roman"/>
                <w:lang w:eastAsia="en-GB"/>
              </w:rPr>
            </w:pPr>
            <w:r w:rsidRPr="003E6051">
              <w:rPr>
                <w:rFonts w:eastAsia="Times New Roman"/>
                <w:lang w:eastAsia="en-GB"/>
              </w:rPr>
              <w:t>Strong IP protections, legal agreements, patent monitoring.</w:t>
            </w:r>
          </w:p>
        </w:tc>
      </w:tr>
      <w:tr w:rsidR="0057746B" w:rsidRPr="003E6051" w14:paraId="0C0965DC" w14:textId="77777777" w:rsidTr="003F5E33">
        <w:trPr>
          <w:trHeight w:val="890"/>
        </w:trPr>
        <w:tc>
          <w:tcPr>
            <w:tcW w:w="1010" w:type="dxa"/>
            <w:vMerge/>
            <w:hideMark/>
          </w:tcPr>
          <w:p w14:paraId="26A9E6C5"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5F06D86D" w14:textId="77777777" w:rsidR="0057746B" w:rsidRPr="003E6051" w:rsidRDefault="0057746B" w:rsidP="007C1BEE">
            <w:pPr>
              <w:spacing w:line="276" w:lineRule="auto"/>
              <w:rPr>
                <w:rFonts w:eastAsia="Times New Roman"/>
                <w:lang w:eastAsia="en-GB"/>
              </w:rPr>
            </w:pPr>
            <w:r w:rsidRPr="003E6051">
              <w:rPr>
                <w:rFonts w:eastAsia="Times New Roman"/>
                <w:lang w:eastAsia="en-GB"/>
              </w:rPr>
              <w:t>Corporate Social Responsibility (CSR) Compliance</w:t>
            </w:r>
          </w:p>
        </w:tc>
        <w:tc>
          <w:tcPr>
            <w:tcW w:w="3371" w:type="dxa"/>
            <w:hideMark/>
          </w:tcPr>
          <w:p w14:paraId="24A9A4AB" w14:textId="77777777" w:rsidR="0057746B" w:rsidRPr="003E6051" w:rsidRDefault="0057746B" w:rsidP="007C1BEE">
            <w:pPr>
              <w:spacing w:line="276" w:lineRule="auto"/>
              <w:rPr>
                <w:rFonts w:eastAsia="Times New Roman"/>
                <w:lang w:eastAsia="en-GB"/>
              </w:rPr>
            </w:pPr>
            <w:r w:rsidRPr="003E6051">
              <w:rPr>
                <w:rFonts w:eastAsia="Times New Roman"/>
                <w:lang w:eastAsia="en-GB"/>
              </w:rPr>
              <w:t>Public protests, legal challenges, investor withdrawals.</w:t>
            </w:r>
          </w:p>
        </w:tc>
        <w:tc>
          <w:tcPr>
            <w:tcW w:w="3739" w:type="dxa"/>
            <w:hideMark/>
          </w:tcPr>
          <w:p w14:paraId="1B1EEA26" w14:textId="77777777" w:rsidR="0057746B" w:rsidRPr="003E6051" w:rsidRDefault="0057746B" w:rsidP="007C1BEE">
            <w:pPr>
              <w:spacing w:line="276" w:lineRule="auto"/>
              <w:rPr>
                <w:rFonts w:eastAsia="Times New Roman"/>
                <w:lang w:eastAsia="en-GB"/>
              </w:rPr>
            </w:pPr>
            <w:r w:rsidRPr="003E6051">
              <w:rPr>
                <w:rFonts w:eastAsia="Times New Roman"/>
                <w:lang w:eastAsia="en-GB"/>
              </w:rPr>
              <w:t>Community engagement, ethical labour practices, transparent reporting.</w:t>
            </w:r>
          </w:p>
        </w:tc>
      </w:tr>
      <w:tr w:rsidR="0057746B" w:rsidRPr="003E6051" w14:paraId="05429272" w14:textId="77777777" w:rsidTr="003F5E33">
        <w:trPr>
          <w:trHeight w:val="900"/>
        </w:trPr>
        <w:tc>
          <w:tcPr>
            <w:tcW w:w="1010" w:type="dxa"/>
            <w:vMerge/>
            <w:hideMark/>
          </w:tcPr>
          <w:p w14:paraId="5F956949" w14:textId="77777777" w:rsidR="0057746B" w:rsidRPr="003E6051" w:rsidRDefault="0057746B" w:rsidP="007C1BEE">
            <w:pPr>
              <w:spacing w:line="276" w:lineRule="auto"/>
              <w:jc w:val="both"/>
              <w:rPr>
                <w:rFonts w:eastAsia="Times New Roman"/>
                <w:b/>
                <w:bCs/>
                <w:lang w:eastAsia="en-GB"/>
              </w:rPr>
            </w:pPr>
          </w:p>
        </w:tc>
        <w:tc>
          <w:tcPr>
            <w:tcW w:w="2050" w:type="dxa"/>
            <w:hideMark/>
          </w:tcPr>
          <w:p w14:paraId="01F4F07D" w14:textId="77777777" w:rsidR="0057746B" w:rsidRPr="003E6051" w:rsidRDefault="0057746B" w:rsidP="007C1BEE">
            <w:pPr>
              <w:spacing w:line="276" w:lineRule="auto"/>
              <w:rPr>
                <w:rFonts w:eastAsia="Times New Roman"/>
                <w:lang w:eastAsia="en-GB"/>
              </w:rPr>
            </w:pPr>
            <w:r w:rsidRPr="003E6051">
              <w:rPr>
                <w:rFonts w:eastAsia="Times New Roman"/>
                <w:lang w:eastAsia="en-GB"/>
              </w:rPr>
              <w:t>Liability &amp; Litigation</w:t>
            </w:r>
          </w:p>
        </w:tc>
        <w:tc>
          <w:tcPr>
            <w:tcW w:w="3371" w:type="dxa"/>
            <w:hideMark/>
          </w:tcPr>
          <w:p w14:paraId="2CBA8C28" w14:textId="77777777" w:rsidR="0057746B" w:rsidRPr="003E6051" w:rsidRDefault="0057746B" w:rsidP="007C1BEE">
            <w:pPr>
              <w:spacing w:line="276" w:lineRule="auto"/>
              <w:rPr>
                <w:rFonts w:eastAsia="Times New Roman"/>
                <w:lang w:eastAsia="en-GB"/>
              </w:rPr>
            </w:pPr>
            <w:r w:rsidRPr="003E6051">
              <w:rPr>
                <w:rFonts w:eastAsia="Times New Roman"/>
                <w:lang w:eastAsia="en-GB"/>
              </w:rPr>
              <w:t>Legal disputes, compensation claims, insurance premium hikes.</w:t>
            </w:r>
          </w:p>
        </w:tc>
        <w:tc>
          <w:tcPr>
            <w:tcW w:w="3739" w:type="dxa"/>
            <w:hideMark/>
          </w:tcPr>
          <w:p w14:paraId="0B9F9C79" w14:textId="77777777" w:rsidR="0057746B" w:rsidRPr="003E6051" w:rsidRDefault="0057746B" w:rsidP="007C1BEE">
            <w:pPr>
              <w:spacing w:line="276" w:lineRule="auto"/>
              <w:rPr>
                <w:rFonts w:eastAsia="Times New Roman"/>
                <w:lang w:eastAsia="en-GB"/>
              </w:rPr>
            </w:pPr>
            <w:r w:rsidRPr="003E6051">
              <w:rPr>
                <w:rFonts w:eastAsia="Times New Roman"/>
                <w:lang w:eastAsia="en-GB"/>
              </w:rPr>
              <w:t>Legal risk assessments, liability insurance, contract dispute resolution mechanisms.</w:t>
            </w:r>
          </w:p>
        </w:tc>
      </w:tr>
    </w:tbl>
    <w:p w14:paraId="65F8D3A3" w14:textId="4E82856F" w:rsidR="0057746B" w:rsidRPr="003E6051" w:rsidRDefault="0057746B" w:rsidP="007C1BEE">
      <w:pPr>
        <w:spacing w:after="0" w:line="240" w:lineRule="auto"/>
        <w:jc w:val="center"/>
        <w:rPr>
          <w:color w:val="44546A" w:themeColor="text2"/>
          <w:sz w:val="18"/>
          <w:szCs w:val="18"/>
        </w:rPr>
      </w:pPr>
      <w:bookmarkStart w:id="12" w:name="_Toc191138510"/>
      <w:bookmarkStart w:id="13" w:name="_Toc219216414"/>
      <w:r w:rsidRPr="003E6051">
        <w:rPr>
          <w:color w:val="44546A" w:themeColor="text2"/>
          <w:sz w:val="18"/>
          <w:szCs w:val="18"/>
        </w:rPr>
        <w:t xml:space="preserve">Table </w:t>
      </w:r>
      <w:r w:rsidR="00363FD9">
        <w:rPr>
          <w:color w:val="44546A" w:themeColor="text2"/>
          <w:sz w:val="18"/>
          <w:szCs w:val="18"/>
        </w:rPr>
        <w:fldChar w:fldCharType="begin"/>
      </w:r>
      <w:r w:rsidR="00363FD9">
        <w:rPr>
          <w:color w:val="44546A" w:themeColor="text2"/>
          <w:sz w:val="18"/>
          <w:szCs w:val="18"/>
        </w:rPr>
        <w:instrText xml:space="preserve"> SEQ Table \* ARABIC </w:instrText>
      </w:r>
      <w:r w:rsidR="00363FD9">
        <w:rPr>
          <w:color w:val="44546A" w:themeColor="text2"/>
          <w:sz w:val="18"/>
          <w:szCs w:val="18"/>
        </w:rPr>
        <w:fldChar w:fldCharType="separate"/>
      </w:r>
      <w:r w:rsidR="004239CB">
        <w:rPr>
          <w:noProof/>
          <w:color w:val="44546A" w:themeColor="text2"/>
          <w:sz w:val="18"/>
          <w:szCs w:val="18"/>
        </w:rPr>
        <w:t>1</w:t>
      </w:r>
      <w:r w:rsidR="00363FD9">
        <w:rPr>
          <w:color w:val="44546A" w:themeColor="text2"/>
          <w:sz w:val="18"/>
          <w:szCs w:val="18"/>
        </w:rPr>
        <w:fldChar w:fldCharType="end"/>
      </w:r>
      <w:r w:rsidRPr="003E6051">
        <w:rPr>
          <w:color w:val="44546A" w:themeColor="text2"/>
          <w:sz w:val="18"/>
          <w:szCs w:val="18"/>
        </w:rPr>
        <w:t xml:space="preserve"> - Various Critical Risks in Industrial Projects</w:t>
      </w:r>
      <w:bookmarkEnd w:id="12"/>
      <w:bookmarkEnd w:id="13"/>
    </w:p>
    <w:p w14:paraId="15DC0536" w14:textId="77777777" w:rsidR="0057746B" w:rsidRPr="003E6051" w:rsidRDefault="00000000" w:rsidP="007C1BEE">
      <w:pPr>
        <w:spacing w:after="0" w:line="360" w:lineRule="auto"/>
        <w:ind w:left="-578" w:right="-576"/>
        <w:jc w:val="center"/>
      </w:pPr>
      <w:sdt>
        <w:sdtPr>
          <w:id w:val="1534155416"/>
          <w:citation/>
        </w:sdtPr>
        <w:sdtContent>
          <w:r w:rsidR="0057746B" w:rsidRPr="003E6051">
            <w:fldChar w:fldCharType="begin"/>
          </w:r>
          <w:r w:rsidR="0057746B" w:rsidRPr="003E6051">
            <w:rPr>
              <w:lang w:val="en-US"/>
            </w:rPr>
            <w:instrText xml:space="preserve"> CITATION Pau08 \l 1033 </w:instrText>
          </w:r>
          <w:r w:rsidR="0057746B" w:rsidRPr="003E6051">
            <w:fldChar w:fldCharType="separate"/>
          </w:r>
          <w:r w:rsidR="0057746B" w:rsidRPr="003E6051">
            <w:rPr>
              <w:noProof/>
              <w:lang w:val="en-US"/>
            </w:rPr>
            <w:t>(Bannerman, 2008)</w:t>
          </w:r>
          <w:r w:rsidR="0057746B" w:rsidRPr="003E6051">
            <w:fldChar w:fldCharType="end"/>
          </w:r>
        </w:sdtContent>
      </w:sdt>
      <w:r w:rsidR="0057746B" w:rsidRPr="003E6051">
        <w:t xml:space="preserve"> </w:t>
      </w:r>
      <w:sdt>
        <w:sdtPr>
          <w:id w:val="316548636"/>
          <w:citation/>
        </w:sdtPr>
        <w:sdtContent>
          <w:r w:rsidR="0057746B" w:rsidRPr="003E6051">
            <w:fldChar w:fldCharType="begin"/>
          </w:r>
          <w:r w:rsidR="0057746B" w:rsidRPr="003E6051">
            <w:rPr>
              <w:lang w:val="en-US"/>
            </w:rPr>
            <w:instrText xml:space="preserve"> CITATION Mar10 \l 1033 </w:instrText>
          </w:r>
          <w:r w:rsidR="0057746B" w:rsidRPr="003E6051">
            <w:fldChar w:fldCharType="separate"/>
          </w:r>
          <w:r w:rsidR="0057746B" w:rsidRPr="003E6051">
            <w:rPr>
              <w:noProof/>
              <w:lang w:val="en-US"/>
            </w:rPr>
            <w:t>(Schieg, 2010)</w:t>
          </w:r>
          <w:r w:rsidR="0057746B" w:rsidRPr="003E6051">
            <w:fldChar w:fldCharType="end"/>
          </w:r>
        </w:sdtContent>
      </w:sdt>
      <w:r w:rsidR="0057746B" w:rsidRPr="003E6051">
        <w:t xml:space="preserve"> </w:t>
      </w:r>
      <w:sdt>
        <w:sdtPr>
          <w:id w:val="-229687408"/>
          <w:citation/>
        </w:sdtPr>
        <w:sdtContent>
          <w:r w:rsidR="0057746B" w:rsidRPr="003E6051">
            <w:fldChar w:fldCharType="begin"/>
          </w:r>
          <w:r w:rsidR="0057746B" w:rsidRPr="003E6051">
            <w:rPr>
              <w:lang w:val="en-US"/>
            </w:rPr>
            <w:instrText xml:space="preserve"> CITATION Kar10 \l 1033 </w:instrText>
          </w:r>
          <w:r w:rsidR="0057746B" w:rsidRPr="003E6051">
            <w:fldChar w:fldCharType="separate"/>
          </w:r>
          <w:r w:rsidR="0057746B" w:rsidRPr="003E6051">
            <w:rPr>
              <w:noProof/>
              <w:lang w:val="en-US"/>
            </w:rPr>
            <w:t>(Karel de Bakker, 2010)</w:t>
          </w:r>
          <w:r w:rsidR="0057746B" w:rsidRPr="003E6051">
            <w:fldChar w:fldCharType="end"/>
          </w:r>
        </w:sdtContent>
      </w:sdt>
      <w:r w:rsidR="0057746B" w:rsidRPr="003E6051">
        <w:t xml:space="preserve"> </w:t>
      </w:r>
      <w:sdt>
        <w:sdtPr>
          <w:id w:val="559831898"/>
          <w:citation/>
        </w:sdtPr>
        <w:sdtContent>
          <w:r w:rsidR="0057746B" w:rsidRPr="003E6051">
            <w:fldChar w:fldCharType="begin"/>
          </w:r>
          <w:r w:rsidR="0057746B" w:rsidRPr="003E6051">
            <w:rPr>
              <w:lang w:val="en-US"/>
            </w:rPr>
            <w:instrText xml:space="preserve"> CITATION Lor09 \l 1033 </w:instrText>
          </w:r>
          <w:r w:rsidR="0057746B" w:rsidRPr="003E6051">
            <w:fldChar w:fldCharType="separate"/>
          </w:r>
          <w:r w:rsidR="0057746B" w:rsidRPr="003E6051">
            <w:rPr>
              <w:noProof/>
              <w:lang w:val="en-US"/>
            </w:rPr>
            <w:t>(Lore Criss power, 2009)</w:t>
          </w:r>
          <w:r w:rsidR="0057746B" w:rsidRPr="003E6051">
            <w:fldChar w:fldCharType="end"/>
          </w:r>
        </w:sdtContent>
      </w:sdt>
      <w:r w:rsidR="0057746B" w:rsidRPr="003E6051">
        <w:t xml:space="preserve"> </w:t>
      </w:r>
      <w:sdt>
        <w:sdtPr>
          <w:id w:val="1423840614"/>
          <w:citation/>
        </w:sdtPr>
        <w:sdtContent>
          <w:r w:rsidR="0057746B" w:rsidRPr="003E6051">
            <w:fldChar w:fldCharType="begin"/>
          </w:r>
          <w:r w:rsidR="0057746B" w:rsidRPr="003E6051">
            <w:rPr>
              <w:lang w:val="en-US"/>
            </w:rPr>
            <w:instrText xml:space="preserve"> CITATION Rog06 \l 1033 </w:instrText>
          </w:r>
          <w:r w:rsidR="0057746B" w:rsidRPr="003E6051">
            <w:fldChar w:fldCharType="separate"/>
          </w:r>
          <w:r w:rsidR="0057746B" w:rsidRPr="003E6051">
            <w:rPr>
              <w:noProof/>
              <w:lang w:val="en-US"/>
            </w:rPr>
            <w:t>(Roger Atkinson, 2006)</w:t>
          </w:r>
          <w:r w:rsidR="0057746B" w:rsidRPr="003E6051">
            <w:fldChar w:fldCharType="end"/>
          </w:r>
        </w:sdtContent>
      </w:sdt>
      <w:r w:rsidR="0057746B" w:rsidRPr="003E6051">
        <w:t xml:space="preserve"> </w:t>
      </w:r>
      <w:sdt>
        <w:sdtPr>
          <w:id w:val="950055738"/>
          <w:citation/>
        </w:sdtPr>
        <w:sdtContent>
          <w:r w:rsidR="0057746B" w:rsidRPr="003E6051">
            <w:fldChar w:fldCharType="begin"/>
          </w:r>
          <w:r w:rsidR="0057746B" w:rsidRPr="003E6051">
            <w:rPr>
              <w:lang w:val="en-US"/>
            </w:rPr>
            <w:instrText xml:space="preserve"> CITATION Pol13 \l 1033 </w:instrText>
          </w:r>
          <w:r w:rsidR="0057746B" w:rsidRPr="003E6051">
            <w:fldChar w:fldCharType="separate"/>
          </w:r>
          <w:r w:rsidR="0057746B" w:rsidRPr="003E6051">
            <w:rPr>
              <w:noProof/>
              <w:lang w:val="en-US"/>
            </w:rPr>
            <w:t>(Pollyana Notargiacomo Mustaro, 2013)</w:t>
          </w:r>
          <w:r w:rsidR="0057746B" w:rsidRPr="003E6051">
            <w:fldChar w:fldCharType="end"/>
          </w:r>
        </w:sdtContent>
      </w:sdt>
    </w:p>
    <w:p w14:paraId="34C098CC" w14:textId="77777777" w:rsidR="0057746B" w:rsidRPr="003E6051" w:rsidRDefault="0057746B" w:rsidP="007C1BEE">
      <w:pPr>
        <w:spacing w:after="0" w:line="360" w:lineRule="auto"/>
        <w:ind w:left="-578" w:right="-576"/>
        <w:jc w:val="both"/>
      </w:pPr>
    </w:p>
    <w:p w14:paraId="2C7B9D0F" w14:textId="00830DF3" w:rsidR="003D4DEF" w:rsidRPr="003E6051" w:rsidRDefault="0057746B" w:rsidP="003D4DEF">
      <w:pPr>
        <w:spacing w:after="0" w:line="360" w:lineRule="auto"/>
        <w:ind w:left="-578" w:right="-576"/>
        <w:jc w:val="both"/>
      </w:pPr>
      <w:r w:rsidRPr="003E6051">
        <w:t>A key challenge lies in integrating risk management with broader project management practices</w:t>
      </w:r>
      <w:r w:rsidR="00200171">
        <w:t xml:space="preserve"> and governance </w:t>
      </w:r>
      <w:r w:rsidR="00200171" w:rsidRPr="003E6051">
        <w:t>(Karel de Bakker, 2010)</w:t>
      </w:r>
      <w:r w:rsidRPr="003E6051">
        <w:t xml:space="preserve">. Risk management is often treated as a separate process rather than an embedded component of project management </w:t>
      </w:r>
      <w:sdt>
        <w:sdtPr>
          <w:id w:val="495767025"/>
          <w:citation/>
        </w:sdtPr>
        <w:sdtContent>
          <w:r w:rsidRPr="003E6051">
            <w:fldChar w:fldCharType="begin"/>
          </w:r>
          <w:r w:rsidRPr="003E6051">
            <w:rPr>
              <w:lang w:val="en-US"/>
            </w:rPr>
            <w:instrText xml:space="preserve"> CITATION Pau08 \l 1033 </w:instrText>
          </w:r>
          <w:r w:rsidRPr="003E6051">
            <w:fldChar w:fldCharType="separate"/>
          </w:r>
          <w:r w:rsidRPr="003E6051">
            <w:rPr>
              <w:noProof/>
              <w:lang w:val="en-US"/>
            </w:rPr>
            <w:t>(Bannerman, 2008)</w:t>
          </w:r>
          <w:r w:rsidRPr="003E6051">
            <w:fldChar w:fldCharType="end"/>
          </w:r>
        </w:sdtContent>
      </w:sdt>
      <w:r w:rsidRPr="003E6051">
        <w:t xml:space="preserve"> </w:t>
      </w:r>
      <w:sdt>
        <w:sdtPr>
          <w:id w:val="1622723731"/>
          <w:citation/>
        </w:sdtPr>
        <w:sdtContent>
          <w:r w:rsidRPr="003E6051">
            <w:fldChar w:fldCharType="begin"/>
          </w:r>
          <w:r w:rsidRPr="003E6051">
            <w:rPr>
              <w:lang w:val="en-US"/>
            </w:rPr>
            <w:instrText xml:space="preserve"> CITATION Rog06 \l 1033 </w:instrText>
          </w:r>
          <w:r w:rsidRPr="003E6051">
            <w:fldChar w:fldCharType="separate"/>
          </w:r>
          <w:r w:rsidRPr="003E6051">
            <w:rPr>
              <w:noProof/>
              <w:lang w:val="en-US"/>
            </w:rPr>
            <w:t>(Roger Atkinson, 2006)</w:t>
          </w:r>
          <w:r w:rsidRPr="003E6051">
            <w:fldChar w:fldCharType="end"/>
          </w:r>
        </w:sdtContent>
      </w:sdt>
      <w:r w:rsidRPr="003E6051">
        <w:t xml:space="preserve">. This disconnect can lead to a lack of sustained risk monitoring and control throughout the project lifecycle </w:t>
      </w:r>
      <w:sdt>
        <w:sdtPr>
          <w:id w:val="-1052844713"/>
          <w:citation/>
        </w:sdtPr>
        <w:sdtContent>
          <w:r w:rsidRPr="003E6051">
            <w:fldChar w:fldCharType="begin"/>
          </w:r>
          <w:r w:rsidRPr="003E6051">
            <w:rPr>
              <w:lang w:val="en-US"/>
            </w:rPr>
            <w:instrText xml:space="preserve"> CITATION Kar10 \l 1033 </w:instrText>
          </w:r>
          <w:r w:rsidRPr="003E6051">
            <w:fldChar w:fldCharType="separate"/>
          </w:r>
          <w:r w:rsidRPr="003E6051">
            <w:rPr>
              <w:noProof/>
              <w:lang w:val="en-US"/>
            </w:rPr>
            <w:t>(Karel de Bakker, 2010)</w:t>
          </w:r>
          <w:r w:rsidRPr="003E6051">
            <w:fldChar w:fldCharType="end"/>
          </w:r>
        </w:sdtContent>
      </w:sdt>
      <w:r w:rsidRPr="003E6051">
        <w:t xml:space="preserve">. </w:t>
      </w:r>
      <w:r w:rsidR="000942E2" w:rsidRPr="003E6051">
        <w:t xml:space="preserve">Organisational factors such as insufficient top management commitment, lack of user engagement, and evolving project requirements frequently undermine project success </w:t>
      </w:r>
      <w:sdt>
        <w:sdtPr>
          <w:id w:val="-203718071"/>
          <w:citation/>
        </w:sdtPr>
        <w:sdtContent>
          <w:r w:rsidR="000942E2" w:rsidRPr="003E6051">
            <w:fldChar w:fldCharType="begin"/>
          </w:r>
          <w:r w:rsidR="000942E2" w:rsidRPr="003E6051">
            <w:rPr>
              <w:lang w:val="en-US"/>
            </w:rPr>
            <w:instrText xml:space="preserve"> CITATION Lor09 \l 1033 </w:instrText>
          </w:r>
          <w:r w:rsidR="000942E2" w:rsidRPr="003E6051">
            <w:fldChar w:fldCharType="separate"/>
          </w:r>
          <w:r w:rsidR="000942E2" w:rsidRPr="003E6051">
            <w:rPr>
              <w:noProof/>
              <w:lang w:val="en-US"/>
            </w:rPr>
            <w:t>(Lore Criss power, 2009)</w:t>
          </w:r>
          <w:r w:rsidR="000942E2" w:rsidRPr="003E6051">
            <w:fldChar w:fldCharType="end"/>
          </w:r>
        </w:sdtContent>
      </w:sdt>
      <w:r w:rsidR="000942E2" w:rsidRPr="003E6051">
        <w:t xml:space="preserve">. </w:t>
      </w:r>
      <w:r w:rsidRPr="003E6051">
        <w:t xml:space="preserve">Trust and communication play a vital role in managing risks and uncertainty. Open communication channels, collaboration among stakeholders, and a culture of trust can facilitate early risk identification and effective response strategies </w:t>
      </w:r>
      <w:sdt>
        <w:sdtPr>
          <w:id w:val="-1060018148"/>
          <w:citation/>
        </w:sdtPr>
        <w:sdtContent>
          <w:r w:rsidRPr="003E6051">
            <w:fldChar w:fldCharType="begin"/>
          </w:r>
          <w:r w:rsidRPr="003E6051">
            <w:rPr>
              <w:lang w:val="en-US"/>
            </w:rPr>
            <w:instrText xml:space="preserve"> CITATION Mar10 \l 1033 </w:instrText>
          </w:r>
          <w:r w:rsidRPr="003E6051">
            <w:fldChar w:fldCharType="separate"/>
          </w:r>
          <w:r w:rsidRPr="003E6051">
            <w:rPr>
              <w:noProof/>
              <w:lang w:val="en-US"/>
            </w:rPr>
            <w:t>(Schieg, 2010)</w:t>
          </w:r>
          <w:r w:rsidRPr="003E6051">
            <w:fldChar w:fldCharType="end"/>
          </w:r>
        </w:sdtContent>
      </w:sdt>
      <w:r w:rsidRPr="003E6051">
        <w:t xml:space="preserve">. However, balancing trust with necessary controls and governance mechanisms remains a challenge, particularly in complex projects </w:t>
      </w:r>
      <w:sdt>
        <w:sdtPr>
          <w:id w:val="1045871895"/>
          <w:citation/>
        </w:sdtPr>
        <w:sdtContent>
          <w:r w:rsidRPr="003E6051">
            <w:fldChar w:fldCharType="begin"/>
          </w:r>
          <w:r w:rsidRPr="003E6051">
            <w:rPr>
              <w:lang w:val="en-US"/>
            </w:rPr>
            <w:instrText xml:space="preserve"> CITATION Rog06 \l 1033 </w:instrText>
          </w:r>
          <w:r w:rsidRPr="003E6051">
            <w:fldChar w:fldCharType="separate"/>
          </w:r>
          <w:r w:rsidRPr="003E6051">
            <w:rPr>
              <w:noProof/>
              <w:lang w:val="en-US"/>
            </w:rPr>
            <w:t>(Roger Atkinson, 2006)</w:t>
          </w:r>
          <w:r w:rsidRPr="003E6051">
            <w:fldChar w:fldCharType="end"/>
          </w:r>
        </w:sdtContent>
      </w:sdt>
      <w:r w:rsidRPr="003E6051">
        <w:t xml:space="preserve"> </w:t>
      </w:r>
      <w:sdt>
        <w:sdtPr>
          <w:id w:val="1258253047"/>
          <w:citation/>
        </w:sdtPr>
        <w:sdtContent>
          <w:r w:rsidRPr="003E6051">
            <w:fldChar w:fldCharType="begin"/>
          </w:r>
          <w:r w:rsidRPr="003E6051">
            <w:rPr>
              <w:lang w:val="en-US"/>
            </w:rPr>
            <w:instrText xml:space="preserve"> CITATION HFr06 \l 1033 </w:instrText>
          </w:r>
          <w:r w:rsidRPr="003E6051">
            <w:fldChar w:fldCharType="separate"/>
          </w:r>
          <w:r w:rsidRPr="003E6051">
            <w:rPr>
              <w:noProof/>
              <w:lang w:val="en-US"/>
            </w:rPr>
            <w:t>(Cervone, 2006)</w:t>
          </w:r>
          <w:r w:rsidRPr="003E6051">
            <w:fldChar w:fldCharType="end"/>
          </w:r>
        </w:sdtContent>
      </w:sdt>
      <w:r w:rsidRPr="003E6051">
        <w:t>.</w:t>
      </w:r>
      <w:r w:rsidR="00DC353F">
        <w:t xml:space="preserve"> </w:t>
      </w:r>
      <w:r w:rsidR="003D4DEF" w:rsidRPr="003E6051">
        <w:t xml:space="preserve">While structured methodologies provide a strong foundation, their effectiveness depends on how well risk considerations are embedded in strategic decision-making, institutional learning, and stakeholder collaboration </w:t>
      </w:r>
      <w:sdt>
        <w:sdtPr>
          <w:id w:val="-1694302889"/>
          <w:citation/>
        </w:sdtPr>
        <w:sdtContent>
          <w:r w:rsidR="003D4DEF" w:rsidRPr="003E6051">
            <w:fldChar w:fldCharType="begin"/>
          </w:r>
          <w:r w:rsidR="003D4DEF" w:rsidRPr="003E6051">
            <w:rPr>
              <w:lang w:val="en-US"/>
            </w:rPr>
            <w:instrText xml:space="preserve"> CITATION Mar10 \l 1033 </w:instrText>
          </w:r>
          <w:r w:rsidR="003D4DEF" w:rsidRPr="003E6051">
            <w:fldChar w:fldCharType="separate"/>
          </w:r>
          <w:r w:rsidR="003D4DEF" w:rsidRPr="003E6051">
            <w:rPr>
              <w:noProof/>
              <w:lang w:val="en-US"/>
            </w:rPr>
            <w:t>(Schieg, 2010)</w:t>
          </w:r>
          <w:r w:rsidR="003D4DEF" w:rsidRPr="003E6051">
            <w:fldChar w:fldCharType="end"/>
          </w:r>
        </w:sdtContent>
      </w:sdt>
      <w:r w:rsidR="003D4DEF" w:rsidRPr="003E6051">
        <w:t>.</w:t>
      </w:r>
    </w:p>
    <w:p w14:paraId="3ACF9C33" w14:textId="77777777" w:rsidR="003D4DEF" w:rsidRDefault="003D4DEF" w:rsidP="007C1BEE">
      <w:pPr>
        <w:spacing w:after="0" w:line="360" w:lineRule="auto"/>
        <w:ind w:left="-578" w:right="-576"/>
        <w:jc w:val="both"/>
      </w:pPr>
    </w:p>
    <w:p w14:paraId="0E8D3F27" w14:textId="21378A39" w:rsidR="0057746B" w:rsidRPr="003E6051" w:rsidRDefault="0057746B" w:rsidP="007C1BEE">
      <w:pPr>
        <w:spacing w:after="0" w:line="360" w:lineRule="auto"/>
        <w:ind w:left="-578" w:right="-576"/>
        <w:jc w:val="both"/>
      </w:pPr>
      <w:r w:rsidRPr="003E6051">
        <w:t xml:space="preserve">Empirical evidence supporting the effectiveness of risk management is limited </w:t>
      </w:r>
      <w:sdt>
        <w:sdtPr>
          <w:id w:val="1271050854"/>
          <w:citation/>
        </w:sdtPr>
        <w:sdtContent>
          <w:r w:rsidRPr="003E6051">
            <w:fldChar w:fldCharType="begin"/>
          </w:r>
          <w:r w:rsidRPr="003E6051">
            <w:rPr>
              <w:lang w:val="en-US"/>
            </w:rPr>
            <w:instrText xml:space="preserve"> CITATION Kar10 \l 1033 </w:instrText>
          </w:r>
          <w:r w:rsidRPr="003E6051">
            <w:fldChar w:fldCharType="separate"/>
          </w:r>
          <w:r w:rsidRPr="003E6051">
            <w:rPr>
              <w:noProof/>
              <w:lang w:val="en-US"/>
            </w:rPr>
            <w:t>(Karel de Bakker, 2010)</w:t>
          </w:r>
          <w:r w:rsidRPr="003E6051">
            <w:fldChar w:fldCharType="end"/>
          </w:r>
        </w:sdtContent>
      </w:sdt>
      <w:r w:rsidRPr="003E6051">
        <w:t xml:space="preserve">. Some studies suggest that risk management practices often deviate from prescribed guidelines, and that knowledge of risks does not automatically translate into effective risk mitigation. The </w:t>
      </w:r>
      <w:r w:rsidR="00E338F5">
        <w:t>‘</w:t>
      </w:r>
      <w:r w:rsidRPr="003E6051">
        <w:t>evaluation approach</w:t>
      </w:r>
      <w:r w:rsidR="00E338F5">
        <w:t>’</w:t>
      </w:r>
      <w:r w:rsidRPr="003E6051">
        <w:t xml:space="preserve"> to risk management, which focuses on identifying risk factors, may not directly contribute to project success unless it is integrated with active risk management practices </w:t>
      </w:r>
      <w:sdt>
        <w:sdtPr>
          <w:id w:val="1783841907"/>
          <w:citation/>
        </w:sdtPr>
        <w:sdtContent>
          <w:r w:rsidRPr="003E6051">
            <w:fldChar w:fldCharType="begin"/>
          </w:r>
          <w:r w:rsidRPr="003E6051">
            <w:rPr>
              <w:lang w:val="en-US"/>
            </w:rPr>
            <w:instrText xml:space="preserve"> CITATION Pau08 \l 1033 </w:instrText>
          </w:r>
          <w:r w:rsidRPr="003E6051">
            <w:fldChar w:fldCharType="separate"/>
          </w:r>
          <w:r w:rsidRPr="003E6051">
            <w:rPr>
              <w:noProof/>
              <w:lang w:val="en-US"/>
            </w:rPr>
            <w:t>(Bannerman, 2008)</w:t>
          </w:r>
          <w:r w:rsidRPr="003E6051">
            <w:fldChar w:fldCharType="end"/>
          </w:r>
        </w:sdtContent>
      </w:sdt>
      <w:r w:rsidRPr="003E6051">
        <w:t xml:space="preserve"> </w:t>
      </w:r>
      <w:sdt>
        <w:sdtPr>
          <w:id w:val="-1622765081"/>
          <w:citation/>
        </w:sdtPr>
        <w:sdtContent>
          <w:r w:rsidRPr="003E6051">
            <w:fldChar w:fldCharType="begin"/>
          </w:r>
          <w:r w:rsidRPr="003E6051">
            <w:rPr>
              <w:lang w:val="en-US"/>
            </w:rPr>
            <w:instrText xml:space="preserve"> CITATION Pol13 \l 1033 </w:instrText>
          </w:r>
          <w:r w:rsidRPr="003E6051">
            <w:fldChar w:fldCharType="separate"/>
          </w:r>
          <w:r w:rsidRPr="003E6051">
            <w:rPr>
              <w:noProof/>
              <w:lang w:val="en-US"/>
            </w:rPr>
            <w:t>(Pollyana Notargiacomo Mustaro, 2013)</w:t>
          </w:r>
          <w:r w:rsidRPr="003E6051">
            <w:fldChar w:fldCharType="end"/>
          </w:r>
        </w:sdtContent>
      </w:sdt>
      <w:r w:rsidR="001B5616">
        <w:t xml:space="preserve">. However, structured mitigation strategies remain underutilised. That said, even where benefits from well-defined risk portfolios incorporating systematic assessment and response planning are evident, such as in industrial construction projects </w:t>
      </w:r>
      <w:sdt>
        <w:sdtPr>
          <w:id w:val="1356920959"/>
          <w:citation/>
        </w:sdtPr>
        <w:sdtContent>
          <w:r w:rsidR="001B5616">
            <w:fldChar w:fldCharType="begin"/>
          </w:r>
          <w:r w:rsidR="001B5616">
            <w:rPr>
              <w:lang w:val="en-US"/>
            </w:rPr>
            <w:instrText xml:space="preserve"> CITATION Mar10 \l 1033 </w:instrText>
          </w:r>
          <w:r w:rsidR="001B5616">
            <w:fldChar w:fldCharType="separate"/>
          </w:r>
          <w:r w:rsidR="001B5616" w:rsidRPr="000D7221">
            <w:rPr>
              <w:noProof/>
              <w:lang w:val="en-US"/>
            </w:rPr>
            <w:t>(Schieg, 2010)</w:t>
          </w:r>
          <w:r w:rsidR="001B5616">
            <w:fldChar w:fldCharType="end"/>
          </w:r>
        </w:sdtContent>
      </w:sdt>
      <w:r w:rsidR="001B5616">
        <w:t>, the ongoing debate between formal and informal risk management illustrates that while this offers a robust foundation, flexible and adaptive approaches remain critical in high-uncertainty environments.</w:t>
      </w:r>
    </w:p>
    <w:p w14:paraId="5BBC620E" w14:textId="77777777" w:rsidR="0057746B" w:rsidRPr="003E6051" w:rsidRDefault="0057746B" w:rsidP="007C1BEE">
      <w:pPr>
        <w:spacing w:after="0" w:line="360" w:lineRule="auto"/>
        <w:ind w:left="-578" w:right="-576"/>
        <w:jc w:val="both"/>
      </w:pPr>
    </w:p>
    <w:p w14:paraId="650A9757" w14:textId="77777777" w:rsidR="0057746B" w:rsidRPr="003E6051" w:rsidRDefault="0057746B" w:rsidP="007C1BEE">
      <w:pPr>
        <w:spacing w:after="0" w:line="360" w:lineRule="auto"/>
        <w:ind w:left="-578" w:right="-576"/>
        <w:jc w:val="both"/>
      </w:pPr>
      <w:r w:rsidRPr="003E6051">
        <w:t xml:space="preserve">While risk management is essential for project success, its effectiveness hinges on a comprehensive understanding of risk, the use of appropriate management approaches, integration with project practices, and a culture of trust and open communication. Further research is needed to explore the nuances of risk management in different project contexts and to develop more robust and practical approaches for managing both known and unforeseen threats </w:t>
      </w:r>
      <w:sdt>
        <w:sdtPr>
          <w:id w:val="991142418"/>
          <w:citation/>
        </w:sdtPr>
        <w:sdtContent>
          <w:r w:rsidRPr="003E6051">
            <w:fldChar w:fldCharType="begin"/>
          </w:r>
          <w:r w:rsidRPr="003E6051">
            <w:rPr>
              <w:lang w:val="en-US"/>
            </w:rPr>
            <w:instrText xml:space="preserve"> CITATION Pau08 \l 1033 </w:instrText>
          </w:r>
          <w:r w:rsidRPr="003E6051">
            <w:fldChar w:fldCharType="separate"/>
          </w:r>
          <w:r w:rsidRPr="003E6051">
            <w:rPr>
              <w:noProof/>
              <w:lang w:val="en-US"/>
            </w:rPr>
            <w:t>(Bannerman, 2008)</w:t>
          </w:r>
          <w:r w:rsidRPr="003E6051">
            <w:fldChar w:fldCharType="end"/>
          </w:r>
        </w:sdtContent>
      </w:sdt>
      <w:r w:rsidRPr="003E6051">
        <w:t>.</w:t>
      </w:r>
    </w:p>
    <w:p w14:paraId="625CBFCB" w14:textId="77777777" w:rsidR="0057746B" w:rsidRDefault="0057746B" w:rsidP="007C1BEE">
      <w:pPr>
        <w:spacing w:after="0" w:line="360" w:lineRule="auto"/>
        <w:ind w:left="-578" w:right="-576"/>
        <w:jc w:val="both"/>
      </w:pPr>
    </w:p>
    <w:p w14:paraId="4668E3FE" w14:textId="2524E6B4" w:rsidR="00D95C90" w:rsidRPr="00D95C90" w:rsidRDefault="00D95C90" w:rsidP="007C1BEE">
      <w:pPr>
        <w:spacing w:after="0" w:line="360" w:lineRule="auto"/>
        <w:ind w:left="-578" w:right="-576"/>
        <w:jc w:val="both"/>
        <w:rPr>
          <w:color w:val="FF0000"/>
        </w:rPr>
      </w:pPr>
      <w:r w:rsidRPr="00D95C90">
        <w:rPr>
          <w:color w:val="FF0000"/>
        </w:rPr>
        <w:t>514 (212</w:t>
      </w:r>
      <w:r w:rsidR="00E43C43">
        <w:rPr>
          <w:color w:val="FF0000"/>
        </w:rPr>
        <w:t>6</w:t>
      </w:r>
      <w:r w:rsidRPr="00D95C90">
        <w:rPr>
          <w:color w:val="FF0000"/>
        </w:rPr>
        <w:t>)</w:t>
      </w:r>
    </w:p>
    <w:p w14:paraId="11D5E198" w14:textId="7DD3CDA7" w:rsidR="0057746B" w:rsidRPr="003E6051" w:rsidRDefault="0057746B" w:rsidP="007C1BEE">
      <w:pPr>
        <w:spacing w:after="0"/>
        <w:rPr>
          <w:rFonts w:eastAsiaTheme="majorEastAsia"/>
        </w:rPr>
      </w:pPr>
    </w:p>
    <w:p w14:paraId="3AE8EFED" w14:textId="77777777" w:rsidR="00D95C90" w:rsidRDefault="00D95C90">
      <w:pPr>
        <w:rPr>
          <w:rFonts w:eastAsiaTheme="majorEastAsia"/>
        </w:rPr>
      </w:pPr>
      <w:bookmarkStart w:id="14" w:name="_Toc191138525"/>
      <w:bookmarkStart w:id="15" w:name="_Hlk190000774"/>
      <w:r>
        <w:rPr>
          <w:rFonts w:eastAsiaTheme="majorEastAsia"/>
        </w:rPr>
        <w:br w:type="page"/>
      </w:r>
    </w:p>
    <w:p w14:paraId="553C481A" w14:textId="41858916" w:rsidR="0057746B" w:rsidRPr="003E6051" w:rsidRDefault="00E11E47" w:rsidP="007C1BEE">
      <w:pPr>
        <w:keepNext/>
        <w:keepLines/>
        <w:spacing w:after="0" w:line="360" w:lineRule="auto"/>
        <w:ind w:left="-578"/>
        <w:outlineLvl w:val="1"/>
        <w:rPr>
          <w:rFonts w:eastAsiaTheme="majorEastAsia"/>
        </w:rPr>
      </w:pPr>
      <w:bookmarkStart w:id="16" w:name="_Toc219216468"/>
      <w:r w:rsidRPr="003E6051">
        <w:rPr>
          <w:rFonts w:eastAsiaTheme="majorEastAsia"/>
        </w:rPr>
        <w:lastRenderedPageBreak/>
        <w:t>6</w:t>
      </w:r>
      <w:r w:rsidR="0057746B" w:rsidRPr="003E6051">
        <w:rPr>
          <w:rFonts w:eastAsiaTheme="majorEastAsia"/>
        </w:rPr>
        <w:t xml:space="preserve">.2. </w:t>
      </w:r>
      <w:r w:rsidR="0057746B" w:rsidRPr="003E6051">
        <w:rPr>
          <w:rFonts w:eastAsiaTheme="majorEastAsia"/>
          <w:u w:val="single"/>
        </w:rPr>
        <w:t>Different Tools Available for Project Management Risks</w:t>
      </w:r>
      <w:r w:rsidR="0057746B" w:rsidRPr="003E6051">
        <w:rPr>
          <w:rFonts w:eastAsiaTheme="majorEastAsia"/>
        </w:rPr>
        <w:t>.</w:t>
      </w:r>
      <w:bookmarkEnd w:id="14"/>
      <w:bookmarkEnd w:id="16"/>
    </w:p>
    <w:bookmarkEnd w:id="15"/>
    <w:p w14:paraId="04A6FD04" w14:textId="77777777" w:rsidR="0057746B" w:rsidRPr="003E6051" w:rsidRDefault="0057746B" w:rsidP="007C1BEE">
      <w:pPr>
        <w:spacing w:after="0" w:line="360" w:lineRule="auto"/>
        <w:ind w:left="-578" w:right="-576"/>
        <w:jc w:val="both"/>
      </w:pPr>
    </w:p>
    <w:p w14:paraId="154547B1" w14:textId="4200FDF6" w:rsidR="0057746B" w:rsidRPr="003E6051" w:rsidRDefault="005E47F2" w:rsidP="007C1BEE">
      <w:pPr>
        <w:spacing w:after="0" w:line="360" w:lineRule="auto"/>
        <w:ind w:left="-578" w:right="-576"/>
        <w:jc w:val="both"/>
      </w:pPr>
      <w:r>
        <w:t>T</w:t>
      </w:r>
      <w:r w:rsidR="00DA4979">
        <w:t>o</w:t>
      </w:r>
      <w:r w:rsidR="0057746B" w:rsidRPr="003E6051">
        <w:t xml:space="preserve"> maximise the effectiveness of </w:t>
      </w:r>
      <w:r w:rsidR="007A3131">
        <w:t>project risk management</w:t>
      </w:r>
      <w:r w:rsidR="0057746B" w:rsidRPr="003E6051">
        <w:t xml:space="preserve"> (PRM) tools, a strategy is required that acknowledges their inherent constraints and capitalises on potential strengths</w:t>
      </w:r>
      <w:r w:rsidR="006F23D8">
        <w:t xml:space="preserve">. </w:t>
      </w:r>
      <w:r w:rsidR="004D505D">
        <w:t xml:space="preserve">The literature suggest that </w:t>
      </w:r>
      <w:r w:rsidR="0057746B" w:rsidRPr="003E6051">
        <w:t xml:space="preserve">tailoring for specific contexts, ensuring data reliability, fostering seamless integration, facilitating experience transfer, and standardising terminology </w:t>
      </w:r>
      <w:r w:rsidR="005F6A85">
        <w:t>surpasses</w:t>
      </w:r>
      <w:r w:rsidR="00262CD7">
        <w:t xml:space="preserve"> </w:t>
      </w:r>
      <w:r w:rsidR="003A2F05">
        <w:t>the theory and enhance</w:t>
      </w:r>
      <w:r w:rsidR="006B34EC">
        <w:t>s</w:t>
      </w:r>
      <w:r w:rsidR="0057746B" w:rsidRPr="003E6051">
        <w:t xml:space="preserve"> project results </w:t>
      </w:r>
      <w:sdt>
        <w:sdtPr>
          <w:id w:val="-1117753454"/>
          <w:citation/>
        </w:sdtPr>
        <w:sdtContent>
          <w:r w:rsidR="0057746B" w:rsidRPr="003E6051">
            <w:fldChar w:fldCharType="begin"/>
          </w:r>
          <w:r w:rsidR="0057746B" w:rsidRPr="003E6051">
            <w:rPr>
              <w:lang w:val="en-US"/>
            </w:rPr>
            <w:instrText xml:space="preserve"> CITATION Ire04 \l 1033 </w:instrText>
          </w:r>
          <w:r w:rsidR="0057746B" w:rsidRPr="003E6051">
            <w:fldChar w:fldCharType="separate"/>
          </w:r>
          <w:r w:rsidR="0057746B" w:rsidRPr="003E6051">
            <w:rPr>
              <w:noProof/>
              <w:lang w:val="en-US"/>
            </w:rPr>
            <w:t>(Irem Dikmen, 2004)</w:t>
          </w:r>
          <w:r w:rsidR="0057746B" w:rsidRPr="003E6051">
            <w:fldChar w:fldCharType="end"/>
          </w:r>
        </w:sdtContent>
      </w:sdt>
      <w:r w:rsidR="0057746B" w:rsidRPr="003E6051">
        <w:t xml:space="preserve"> </w:t>
      </w:r>
      <w:sdt>
        <w:sdtPr>
          <w:id w:val="-1892801177"/>
          <w:citation/>
        </w:sdtPr>
        <w:sdtContent>
          <w:r w:rsidR="0057746B" w:rsidRPr="003E6051">
            <w:fldChar w:fldCharType="begin"/>
          </w:r>
          <w:r w:rsidR="0057746B" w:rsidRPr="003E6051">
            <w:rPr>
              <w:lang w:val="en-US"/>
            </w:rPr>
            <w:instrText xml:space="preserve"> CITATION TRa01 \l 1033 </w:instrText>
          </w:r>
          <w:r w:rsidR="0057746B" w:rsidRPr="003E6051">
            <w:fldChar w:fldCharType="separate"/>
          </w:r>
          <w:r w:rsidR="0057746B" w:rsidRPr="003E6051">
            <w:rPr>
              <w:noProof/>
              <w:lang w:val="en-US"/>
            </w:rPr>
            <w:t>(T. Raz, 2001)</w:t>
          </w:r>
          <w:r w:rsidR="0057746B" w:rsidRPr="003E6051">
            <w:fldChar w:fldCharType="end"/>
          </w:r>
        </w:sdtContent>
      </w:sdt>
    </w:p>
    <w:p w14:paraId="1DDBFE7C" w14:textId="77777777" w:rsidR="0057746B" w:rsidRPr="003E6051" w:rsidRDefault="0057746B" w:rsidP="007C1BEE">
      <w:pPr>
        <w:spacing w:after="0" w:line="360" w:lineRule="auto"/>
        <w:ind w:left="-578" w:right="-576"/>
        <w:jc w:val="both"/>
      </w:pPr>
    </w:p>
    <w:p w14:paraId="621774C1" w14:textId="16439786" w:rsidR="00373AD1" w:rsidRDefault="006B34EC" w:rsidP="007C1BEE">
      <w:pPr>
        <w:spacing w:after="0" w:line="360" w:lineRule="auto"/>
        <w:ind w:left="-578" w:right="-576"/>
        <w:jc w:val="both"/>
      </w:pPr>
      <w:r>
        <w:t>A</w:t>
      </w:r>
      <w:r w:rsidR="0057746B" w:rsidRPr="003E6051">
        <w:t xml:space="preserve">daptability of risk management tools is </w:t>
      </w:r>
      <w:r>
        <w:t>essential to th</w:t>
      </w:r>
      <w:r w:rsidR="00C46BE9">
        <w:t>is</w:t>
      </w:r>
      <w:r w:rsidR="0057746B" w:rsidRPr="003E6051">
        <w:t>, demanding a shift from</w:t>
      </w:r>
      <w:r w:rsidR="00C46BE9">
        <w:t xml:space="preserve"> the current</w:t>
      </w:r>
      <w:r w:rsidR="0057746B" w:rsidRPr="003E6051">
        <w:t xml:space="preserve"> generic</w:t>
      </w:r>
      <w:r w:rsidR="00C46BE9">
        <w:t xml:space="preserve"> approach</w:t>
      </w:r>
      <w:r w:rsidR="0057746B" w:rsidRPr="003E6051">
        <w:t xml:space="preserve"> to bespoke solution</w:t>
      </w:r>
      <w:r w:rsidR="00564736">
        <w:t xml:space="preserve">s that meet the </w:t>
      </w:r>
      <w:r w:rsidR="0057746B" w:rsidRPr="003E6051">
        <w:t xml:space="preserve">complexities unique </w:t>
      </w:r>
      <w:r w:rsidR="00564736">
        <w:t xml:space="preserve">project </w:t>
      </w:r>
      <w:r w:rsidR="0057746B" w:rsidRPr="003E6051">
        <w:t>landscape</w:t>
      </w:r>
      <w:r w:rsidR="00564736">
        <w:t>s</w:t>
      </w:r>
      <w:r w:rsidR="0057746B" w:rsidRPr="003E6051">
        <w:t xml:space="preserve"> </w:t>
      </w:r>
      <w:sdt>
        <w:sdtPr>
          <w:id w:val="-1603805015"/>
          <w:citation/>
        </w:sdtPr>
        <w:sdtContent>
          <w:r w:rsidR="0057746B" w:rsidRPr="003E6051">
            <w:fldChar w:fldCharType="begin"/>
          </w:r>
          <w:r w:rsidR="0057746B" w:rsidRPr="003E6051">
            <w:rPr>
              <w:lang w:val="en-US"/>
            </w:rPr>
            <w:instrText xml:space="preserve"> CITATION Jac18 \l 1033 </w:instrText>
          </w:r>
          <w:r w:rsidR="0057746B" w:rsidRPr="003E6051">
            <w:fldChar w:fldCharType="separate"/>
          </w:r>
          <w:r w:rsidR="0057746B" w:rsidRPr="003E6051">
            <w:rPr>
              <w:noProof/>
              <w:lang w:val="en-US"/>
            </w:rPr>
            <w:t>(Jacqueline Jepson, 2018)</w:t>
          </w:r>
          <w:r w:rsidR="0057746B" w:rsidRPr="003E6051">
            <w:fldChar w:fldCharType="end"/>
          </w:r>
        </w:sdtContent>
      </w:sdt>
      <w:r w:rsidR="0057746B" w:rsidRPr="003E6051">
        <w:t>. The one-size-fits-all approach</w:t>
      </w:r>
      <w:r w:rsidR="00895157">
        <w:t xml:space="preserve"> </w:t>
      </w:r>
      <w:r w:rsidR="009302BC">
        <w:t xml:space="preserve">often fails as it </w:t>
      </w:r>
      <w:r w:rsidR="0057746B" w:rsidRPr="003E6051">
        <w:t xml:space="preserve">neglects the variability inherent in project types, </w:t>
      </w:r>
      <w:r w:rsidR="0098632B">
        <w:t>sectors</w:t>
      </w:r>
      <w:r w:rsidR="009302BC">
        <w:t xml:space="preserve"> and s</w:t>
      </w:r>
      <w:r w:rsidR="0057746B" w:rsidRPr="003E6051">
        <w:t xml:space="preserve">cales, </w:t>
      </w:r>
      <w:r w:rsidR="004D10CD">
        <w:t xml:space="preserve">using </w:t>
      </w:r>
      <w:r w:rsidR="0057746B" w:rsidRPr="003E6051">
        <w:t>tools ill-suited for specific scenarios.</w:t>
      </w:r>
      <w:r w:rsidR="00421D2E" w:rsidRPr="003E6051">
        <w:t xml:space="preserve"> </w:t>
      </w:r>
    </w:p>
    <w:p w14:paraId="12DA0B91" w14:textId="77777777" w:rsidR="00373AD1" w:rsidRDefault="00373AD1" w:rsidP="007C1BEE">
      <w:pPr>
        <w:spacing w:after="0" w:line="360" w:lineRule="auto"/>
        <w:ind w:left="-578" w:right="-576"/>
        <w:jc w:val="both"/>
      </w:pPr>
    </w:p>
    <w:p w14:paraId="6A5EDBAE" w14:textId="77777777" w:rsidR="003F35F0" w:rsidRDefault="00043409" w:rsidP="007C1BEE">
      <w:pPr>
        <w:spacing w:after="0" w:line="360" w:lineRule="auto"/>
        <w:ind w:left="-578" w:right="-576"/>
        <w:jc w:val="both"/>
      </w:pPr>
      <w:r w:rsidRPr="003E6051">
        <w:t xml:space="preserve">The distinction between "hard" and "soft" projects further complicates the application of risk management strategies </w:t>
      </w:r>
      <w:r w:rsidR="00421D2E" w:rsidRPr="003E6051">
        <w:t xml:space="preserve">Hard projects </w:t>
      </w:r>
      <w:r w:rsidR="00493C7A">
        <w:t xml:space="preserve">used in </w:t>
      </w:r>
      <w:r w:rsidR="00654D7E">
        <w:t>engineering for example</w:t>
      </w:r>
      <w:r w:rsidR="00184788">
        <w:t>,</w:t>
      </w:r>
      <w:r w:rsidR="00654D7E">
        <w:t xml:space="preserve"> </w:t>
      </w:r>
      <w:r w:rsidR="00421D2E" w:rsidRPr="003E6051">
        <w:t xml:space="preserve">benefit from structured risk frameworks where predefined methodologies enhance predictability and control. </w:t>
      </w:r>
      <w:r w:rsidR="00654D7E">
        <w:t xml:space="preserve">These result in </w:t>
      </w:r>
      <w:r w:rsidR="00421D2E" w:rsidRPr="003E6051">
        <w:t xml:space="preserve">significant economic benefits from rigorous risk analysis, portfolio management, and structured decision-making processes </w:t>
      </w:r>
      <w:sdt>
        <w:sdtPr>
          <w:id w:val="-397899890"/>
          <w:citation/>
        </w:sdtPr>
        <w:sdtContent>
          <w:r w:rsidR="00421D2E" w:rsidRPr="003E6051">
            <w:fldChar w:fldCharType="begin"/>
          </w:r>
          <w:r w:rsidR="00421D2E" w:rsidRPr="003E6051">
            <w:rPr>
              <w:lang w:val="en-US"/>
            </w:rPr>
            <w:instrText xml:space="preserve"> CITATION Mar10 \l 1033 </w:instrText>
          </w:r>
          <w:r w:rsidR="00421D2E" w:rsidRPr="003E6051">
            <w:fldChar w:fldCharType="separate"/>
          </w:r>
          <w:r w:rsidR="00421D2E" w:rsidRPr="003E6051">
            <w:rPr>
              <w:noProof/>
              <w:lang w:val="en-US"/>
            </w:rPr>
            <w:t>(Schieg, 2010)</w:t>
          </w:r>
          <w:r w:rsidR="00421D2E" w:rsidRPr="003E6051">
            <w:fldChar w:fldCharType="end"/>
          </w:r>
        </w:sdtContent>
      </w:sdt>
      <w:r w:rsidR="00421D2E" w:rsidRPr="003E6051">
        <w:t xml:space="preserve">. In contrast, soft projects, </w:t>
      </w:r>
      <w:r w:rsidR="00A31B78">
        <w:t xml:space="preserve">which </w:t>
      </w:r>
      <w:r w:rsidR="00421D2E" w:rsidRPr="003E6051">
        <w:t>operate in environments with higher uncertainty, requir</w:t>
      </w:r>
      <w:r w:rsidR="00A31B78">
        <w:t>e</w:t>
      </w:r>
      <w:r w:rsidR="00421D2E" w:rsidRPr="003E6051">
        <w:t xml:space="preserve"> </w:t>
      </w:r>
      <w:r w:rsidR="00A31B78">
        <w:t>more</w:t>
      </w:r>
      <w:r w:rsidR="00421D2E" w:rsidRPr="003E6051">
        <w:t xml:space="preserve"> adaptability, stakeholder trust, and responsiveness to ambiguity </w:t>
      </w:r>
      <w:sdt>
        <w:sdtPr>
          <w:id w:val="-253747784"/>
          <w:citation/>
        </w:sdtPr>
        <w:sdtContent>
          <w:r w:rsidR="00421D2E" w:rsidRPr="003E6051">
            <w:fldChar w:fldCharType="begin"/>
          </w:r>
          <w:r w:rsidR="00421D2E" w:rsidRPr="003E6051">
            <w:rPr>
              <w:lang w:val="en-US"/>
            </w:rPr>
            <w:instrText xml:space="preserve"> CITATION HFr06 \l 1033 </w:instrText>
          </w:r>
          <w:r w:rsidR="00421D2E" w:rsidRPr="003E6051">
            <w:fldChar w:fldCharType="separate"/>
          </w:r>
          <w:r w:rsidR="00421D2E" w:rsidRPr="003E6051">
            <w:rPr>
              <w:noProof/>
              <w:lang w:val="en-US"/>
            </w:rPr>
            <w:t>(Cervone, 2006)</w:t>
          </w:r>
          <w:r w:rsidR="00421D2E" w:rsidRPr="003E6051">
            <w:fldChar w:fldCharType="end"/>
          </w:r>
        </w:sdtContent>
      </w:sdt>
      <w:r w:rsidR="00421D2E" w:rsidRPr="003E6051">
        <w:t xml:space="preserve">. In such contexts, targeted risk resolution focusing on critical threats can improve project outcomes </w:t>
      </w:r>
      <w:bookmarkStart w:id="17" w:name="_Hlk199690734"/>
      <w:sdt>
        <w:sdtPr>
          <w:id w:val="-969288433"/>
          <w:citation/>
        </w:sdtPr>
        <w:sdtContent>
          <w:r w:rsidR="00421D2E" w:rsidRPr="003E6051">
            <w:fldChar w:fldCharType="begin"/>
          </w:r>
          <w:r w:rsidR="00421D2E" w:rsidRPr="003E6051">
            <w:rPr>
              <w:lang w:val="en-US"/>
            </w:rPr>
            <w:instrText xml:space="preserve"> CITATION Pol13 \l 1033 </w:instrText>
          </w:r>
          <w:r w:rsidR="00421D2E" w:rsidRPr="003E6051">
            <w:fldChar w:fldCharType="separate"/>
          </w:r>
          <w:r w:rsidR="00421D2E" w:rsidRPr="003E6051">
            <w:rPr>
              <w:noProof/>
              <w:lang w:val="en-US"/>
            </w:rPr>
            <w:t>(Pollyana Notargiacomo Mustaro, 2013)</w:t>
          </w:r>
          <w:r w:rsidR="00421D2E" w:rsidRPr="003E6051">
            <w:fldChar w:fldCharType="end"/>
          </w:r>
        </w:sdtContent>
      </w:sdt>
      <w:bookmarkEnd w:id="17"/>
      <w:r w:rsidR="00421D2E" w:rsidRPr="003E6051">
        <w:t>.</w:t>
      </w:r>
      <w:r w:rsidR="002A41D3">
        <w:t xml:space="preserve"> </w:t>
      </w:r>
    </w:p>
    <w:p w14:paraId="31056AD6" w14:textId="77777777" w:rsidR="003F35F0" w:rsidRDefault="003F35F0" w:rsidP="007C1BEE">
      <w:pPr>
        <w:spacing w:after="0" w:line="360" w:lineRule="auto"/>
        <w:ind w:left="-578" w:right="-576"/>
        <w:jc w:val="both"/>
      </w:pPr>
    </w:p>
    <w:p w14:paraId="1BBEA2D5" w14:textId="51E728D5" w:rsidR="0057746B" w:rsidRPr="003E6051" w:rsidRDefault="002A41D3" w:rsidP="007C1BEE">
      <w:pPr>
        <w:spacing w:after="0" w:line="360" w:lineRule="auto"/>
        <w:ind w:left="-578" w:right="-576"/>
        <w:jc w:val="both"/>
      </w:pPr>
      <w:r>
        <w:t>F</w:t>
      </w:r>
      <w:r w:rsidR="00421D2E" w:rsidRPr="003E6051">
        <w:t xml:space="preserve">ormal risk management methodologies often face resistance in academic and research-based projects </w:t>
      </w:r>
      <w:r w:rsidR="00A24CCE">
        <w:t>as</w:t>
      </w:r>
      <w:r w:rsidR="00421D2E" w:rsidRPr="003E6051">
        <w:t xml:space="preserve"> accountability structures </w:t>
      </w:r>
      <w:r w:rsidR="006B74D7">
        <w:t xml:space="preserve">are poorly defined </w:t>
      </w:r>
      <w:r w:rsidR="00421D2E" w:rsidRPr="003E6051">
        <w:t xml:space="preserve">and </w:t>
      </w:r>
      <w:r w:rsidR="006B74D7">
        <w:t xml:space="preserve">there is </w:t>
      </w:r>
      <w:r w:rsidR="00421D2E" w:rsidRPr="003E6051">
        <w:t xml:space="preserve">insufficient institutional support </w:t>
      </w:r>
      <w:bookmarkStart w:id="18" w:name="_Hlk199690802"/>
      <w:sdt>
        <w:sdtPr>
          <w:id w:val="-195392397"/>
          <w:citation/>
        </w:sdtPr>
        <w:sdtContent>
          <w:r w:rsidR="00421D2E" w:rsidRPr="003E6051">
            <w:fldChar w:fldCharType="begin"/>
          </w:r>
          <w:r w:rsidR="00421D2E" w:rsidRPr="003E6051">
            <w:rPr>
              <w:lang w:val="en-US"/>
            </w:rPr>
            <w:instrText xml:space="preserve"> CITATION Lor09 \l 1033 </w:instrText>
          </w:r>
          <w:r w:rsidR="00421D2E" w:rsidRPr="003E6051">
            <w:fldChar w:fldCharType="separate"/>
          </w:r>
          <w:r w:rsidR="00421D2E" w:rsidRPr="003E6051">
            <w:rPr>
              <w:noProof/>
              <w:lang w:val="en-US"/>
            </w:rPr>
            <w:t>(Lore Criss power, 2009)</w:t>
          </w:r>
          <w:r w:rsidR="00421D2E" w:rsidRPr="003E6051">
            <w:fldChar w:fldCharType="end"/>
          </w:r>
        </w:sdtContent>
      </w:sdt>
      <w:r w:rsidR="00421D2E" w:rsidRPr="003E6051">
        <w:t>.</w:t>
      </w:r>
      <w:bookmarkEnd w:id="18"/>
      <w:r w:rsidR="00421D2E">
        <w:t xml:space="preserve"> </w:t>
      </w:r>
      <w:r w:rsidR="0057746B" w:rsidRPr="003E6051">
        <w:t>Construction projects</w:t>
      </w:r>
      <w:r w:rsidR="003F35F0">
        <w:t xml:space="preserve"> </w:t>
      </w:r>
      <w:r w:rsidR="0057746B" w:rsidRPr="003E6051">
        <w:t xml:space="preserve">characterised by their singular nature and susceptibility to external factors, necessitate tools capable of accommodating fluid objective functions and a myriad of potential risk scenarios </w:t>
      </w:r>
      <w:sdt>
        <w:sdtPr>
          <w:id w:val="-235246842"/>
          <w:citation/>
        </w:sdtPr>
        <w:sdtContent>
          <w:r w:rsidR="0057746B" w:rsidRPr="003E6051">
            <w:fldChar w:fldCharType="begin"/>
          </w:r>
          <w:r w:rsidR="0057746B" w:rsidRPr="003E6051">
            <w:rPr>
              <w:lang w:val="en-US"/>
            </w:rPr>
            <w:instrText xml:space="preserve"> CITATION Jac18 \l 1033 </w:instrText>
          </w:r>
          <w:r w:rsidR="0057746B" w:rsidRPr="003E6051">
            <w:fldChar w:fldCharType="separate"/>
          </w:r>
          <w:r w:rsidR="0057746B" w:rsidRPr="003E6051">
            <w:rPr>
              <w:noProof/>
              <w:lang w:val="en-US"/>
            </w:rPr>
            <w:t>(Jacqueline Jepson, 2018)</w:t>
          </w:r>
          <w:r w:rsidR="0057746B" w:rsidRPr="003E6051">
            <w:fldChar w:fldCharType="end"/>
          </w:r>
        </w:sdtContent>
      </w:sdt>
      <w:r w:rsidR="0057746B" w:rsidRPr="003E6051">
        <w:t xml:space="preserve"> </w:t>
      </w:r>
      <w:sdt>
        <w:sdtPr>
          <w:id w:val="178701644"/>
          <w:citation/>
        </w:sdtPr>
        <w:sdtContent>
          <w:r w:rsidR="0057746B" w:rsidRPr="003E6051">
            <w:fldChar w:fldCharType="begin"/>
          </w:r>
          <w:r w:rsidR="0057746B" w:rsidRPr="003E6051">
            <w:rPr>
              <w:lang w:val="en-US"/>
            </w:rPr>
            <w:instrText xml:space="preserve"> CITATION Ire04 \l 1033 </w:instrText>
          </w:r>
          <w:r w:rsidR="0057746B" w:rsidRPr="003E6051">
            <w:fldChar w:fldCharType="separate"/>
          </w:r>
          <w:r w:rsidR="0057746B" w:rsidRPr="003E6051">
            <w:rPr>
              <w:noProof/>
              <w:lang w:val="en-US"/>
            </w:rPr>
            <w:t>(Irem Dikmen, 2004)</w:t>
          </w:r>
          <w:r w:rsidR="0057746B" w:rsidRPr="003E6051">
            <w:fldChar w:fldCharType="end"/>
          </w:r>
        </w:sdtContent>
      </w:sdt>
      <w:r w:rsidR="0057746B" w:rsidRPr="003E6051">
        <w:t>. Project managers must, therefore,</w:t>
      </w:r>
      <w:r w:rsidR="00A25E86">
        <w:t xml:space="preserve"> </w:t>
      </w:r>
      <w:r w:rsidR="0057746B" w:rsidRPr="003E6051">
        <w:t>leverag</w:t>
      </w:r>
      <w:r w:rsidR="00A25E86">
        <w:t>e</w:t>
      </w:r>
      <w:r w:rsidR="0057746B" w:rsidRPr="003E6051">
        <w:t xml:space="preserve"> their expertise to adapt and customise checklists and methodologies from previous </w:t>
      </w:r>
      <w:r w:rsidR="00A25E86">
        <w:t>experience</w:t>
      </w:r>
      <w:r w:rsidR="0057746B" w:rsidRPr="003E6051">
        <w:t xml:space="preserve">, ensuring their relevance to the </w:t>
      </w:r>
      <w:r w:rsidR="00A25E86">
        <w:t>current</w:t>
      </w:r>
      <w:r w:rsidR="0057746B" w:rsidRPr="003E6051">
        <w:t xml:space="preserve"> project's distinct risks and objectives </w:t>
      </w:r>
      <w:sdt>
        <w:sdtPr>
          <w:id w:val="-322043488"/>
          <w:citation/>
        </w:sdtPr>
        <w:sdtContent>
          <w:r w:rsidR="0057746B" w:rsidRPr="003E6051">
            <w:fldChar w:fldCharType="begin"/>
          </w:r>
          <w:r w:rsidR="0057746B" w:rsidRPr="003E6051">
            <w:rPr>
              <w:lang w:val="en-US"/>
            </w:rPr>
            <w:instrText xml:space="preserve">CITATION TRa01 \l 1033 </w:instrText>
          </w:r>
          <w:r w:rsidR="0057746B" w:rsidRPr="003E6051">
            <w:fldChar w:fldCharType="separate"/>
          </w:r>
          <w:r w:rsidR="0057746B" w:rsidRPr="003E6051">
            <w:rPr>
              <w:noProof/>
              <w:lang w:val="en-US"/>
            </w:rPr>
            <w:t>(T. Raz, 2001)</w:t>
          </w:r>
          <w:r w:rsidR="0057746B" w:rsidRPr="003E6051">
            <w:fldChar w:fldCharType="end"/>
          </w:r>
        </w:sdtContent>
      </w:sdt>
      <w:r w:rsidR="0057746B" w:rsidRPr="003E6051">
        <w:t>.</w:t>
      </w:r>
    </w:p>
    <w:p w14:paraId="7B79794D" w14:textId="77777777" w:rsidR="0057746B" w:rsidRPr="003E6051" w:rsidRDefault="0057746B" w:rsidP="007C1BEE">
      <w:pPr>
        <w:spacing w:after="0" w:line="360" w:lineRule="auto"/>
        <w:ind w:left="-578" w:right="-576"/>
        <w:jc w:val="both"/>
      </w:pPr>
    </w:p>
    <w:p w14:paraId="1A42912C" w14:textId="2A946F25" w:rsidR="0057746B" w:rsidRPr="003E6051" w:rsidRDefault="0057746B" w:rsidP="00F22A97">
      <w:pPr>
        <w:spacing w:after="0" w:line="360" w:lineRule="auto"/>
        <w:ind w:left="-578" w:right="-576"/>
        <w:jc w:val="both"/>
      </w:pPr>
      <w:r w:rsidRPr="003E6051">
        <w:t xml:space="preserve">The seamless integration of risk management activities into the broader project management ecosystem represents a critical </w:t>
      </w:r>
      <w:r w:rsidR="00F16673">
        <w:t>ask</w:t>
      </w:r>
      <w:r w:rsidR="00AB398D">
        <w:t xml:space="preserve">, </w:t>
      </w:r>
      <w:r w:rsidRPr="003E6051">
        <w:t>demand</w:t>
      </w:r>
      <w:r w:rsidR="00AB398D">
        <w:t>ing</w:t>
      </w:r>
      <w:r w:rsidR="00F22A97">
        <w:t xml:space="preserve"> </w:t>
      </w:r>
      <w:r w:rsidRPr="003E6051">
        <w:t>departure from siloed approaches towards holistic, interconnected frameworks</w:t>
      </w:r>
      <w:r w:rsidR="004213F3">
        <w:t xml:space="preserve">, linking </w:t>
      </w:r>
      <w:r w:rsidR="00BA75E8">
        <w:t xml:space="preserve">technical ability with </w:t>
      </w:r>
      <w:r w:rsidR="008728C0">
        <w:t xml:space="preserve">human factors and organisational </w:t>
      </w:r>
      <w:r w:rsidR="00AB398D">
        <w:t>needs</w:t>
      </w:r>
      <w:r w:rsidRPr="003E6051">
        <w:t xml:space="preserve"> </w:t>
      </w:r>
      <w:sdt>
        <w:sdtPr>
          <w:id w:val="-1132319236"/>
          <w:citation/>
        </w:sdtPr>
        <w:sdtContent>
          <w:r w:rsidRPr="003E6051">
            <w:fldChar w:fldCharType="begin"/>
          </w:r>
          <w:r w:rsidRPr="003E6051">
            <w:rPr>
              <w:lang w:val="en-US"/>
            </w:rPr>
            <w:instrText xml:space="preserve"> CITATION Rob18 \l 1033 </w:instrText>
          </w:r>
          <w:r w:rsidRPr="003E6051">
            <w:fldChar w:fldCharType="separate"/>
          </w:r>
          <w:r w:rsidRPr="003E6051">
            <w:rPr>
              <w:noProof/>
              <w:lang w:val="en-US"/>
            </w:rPr>
            <w:t>(Robert Pellerin, 2018)</w:t>
          </w:r>
          <w:r w:rsidRPr="003E6051">
            <w:fldChar w:fldCharType="end"/>
          </w:r>
        </w:sdtContent>
      </w:sdt>
      <w:r w:rsidRPr="003E6051">
        <w:t xml:space="preserve"> </w:t>
      </w:r>
      <w:sdt>
        <w:sdtPr>
          <w:id w:val="-945693661"/>
          <w:citation/>
        </w:sdtPr>
        <w:sdtContent>
          <w:r w:rsidRPr="003E6051">
            <w:fldChar w:fldCharType="begin"/>
          </w:r>
          <w:r w:rsidRPr="003E6051">
            <w:rPr>
              <w:lang w:val="en-US"/>
            </w:rPr>
            <w:instrText xml:space="preserve"> CITATION Ire04 \l 1033 </w:instrText>
          </w:r>
          <w:r w:rsidRPr="003E6051">
            <w:fldChar w:fldCharType="separate"/>
          </w:r>
          <w:r w:rsidRPr="003E6051">
            <w:rPr>
              <w:noProof/>
              <w:lang w:val="en-US"/>
            </w:rPr>
            <w:t>(Irem Dikmen, 2004)</w:t>
          </w:r>
          <w:r w:rsidRPr="003E6051">
            <w:fldChar w:fldCharType="end"/>
          </w:r>
        </w:sdtContent>
      </w:sdt>
      <w:r w:rsidRPr="003E6051">
        <w:t>. A fragmented landscape of</w:t>
      </w:r>
      <w:r w:rsidR="00BC42BA">
        <w:t xml:space="preserve"> </w:t>
      </w:r>
      <w:r w:rsidRPr="003E6051">
        <w:t xml:space="preserve">tools and methodologies, lacking interoperability and coherence, </w:t>
      </w:r>
      <w:r w:rsidR="00BC42BA">
        <w:t>stifles</w:t>
      </w:r>
      <w:r w:rsidR="003445DF">
        <w:t xml:space="preserve"> information flow and efficiency</w:t>
      </w:r>
      <w:r w:rsidRPr="003E6051">
        <w:t xml:space="preserve">, and increases the likelihood of overlooked risks </w:t>
      </w:r>
      <w:sdt>
        <w:sdtPr>
          <w:id w:val="2118093597"/>
          <w:citation/>
        </w:sdtPr>
        <w:sdtContent>
          <w:r w:rsidRPr="003E6051">
            <w:fldChar w:fldCharType="begin"/>
          </w:r>
          <w:r w:rsidRPr="003E6051">
            <w:rPr>
              <w:lang w:val="en-US"/>
            </w:rPr>
            <w:instrText xml:space="preserve"> CITATION Ire04 \l 1033 </w:instrText>
          </w:r>
          <w:r w:rsidRPr="003E6051">
            <w:fldChar w:fldCharType="separate"/>
          </w:r>
          <w:r w:rsidRPr="003E6051">
            <w:rPr>
              <w:noProof/>
              <w:lang w:val="en-US"/>
            </w:rPr>
            <w:t>(Irem Dikmen, 2004)</w:t>
          </w:r>
          <w:r w:rsidRPr="003E6051">
            <w:fldChar w:fldCharType="end"/>
          </w:r>
        </w:sdtContent>
      </w:sdt>
      <w:r w:rsidRPr="003E6051">
        <w:t xml:space="preserve">. </w:t>
      </w:r>
      <w:r w:rsidR="00AB398D">
        <w:t>Risk management should not operate in isolation</w:t>
      </w:r>
      <w:r w:rsidR="00C36B00">
        <w:t xml:space="preserve">, it should be </w:t>
      </w:r>
      <w:r w:rsidRPr="003E6051">
        <w:t>embedd</w:t>
      </w:r>
      <w:r w:rsidR="00C36B00">
        <w:t xml:space="preserve">ed </w:t>
      </w:r>
      <w:r w:rsidRPr="003E6051">
        <w:t xml:space="preserve">as an intrinsic element of the project lifecycle </w:t>
      </w:r>
      <w:sdt>
        <w:sdtPr>
          <w:id w:val="1918747695"/>
          <w:citation/>
        </w:sdtPr>
        <w:sdtContent>
          <w:r w:rsidRPr="003E6051">
            <w:fldChar w:fldCharType="begin"/>
          </w:r>
          <w:r w:rsidRPr="003E6051">
            <w:rPr>
              <w:lang w:val="en-US"/>
            </w:rPr>
            <w:instrText xml:space="preserve"> CITATION Rob18 \l 1033 </w:instrText>
          </w:r>
          <w:r w:rsidRPr="003E6051">
            <w:fldChar w:fldCharType="separate"/>
          </w:r>
          <w:r w:rsidRPr="003E6051">
            <w:rPr>
              <w:noProof/>
              <w:lang w:val="en-US"/>
            </w:rPr>
            <w:t>(Robert Pellerin, 2018)</w:t>
          </w:r>
          <w:r w:rsidRPr="003E6051">
            <w:fldChar w:fldCharType="end"/>
          </w:r>
        </w:sdtContent>
      </w:sdt>
      <w:r w:rsidRPr="003E6051">
        <w:t xml:space="preserve"> </w:t>
      </w:r>
      <w:sdt>
        <w:sdtPr>
          <w:id w:val="86739149"/>
          <w:citation/>
        </w:sdtPr>
        <w:sdtContent>
          <w:r w:rsidRPr="003E6051">
            <w:fldChar w:fldCharType="begin"/>
          </w:r>
          <w:r w:rsidRPr="003E6051">
            <w:rPr>
              <w:lang w:val="en-US"/>
            </w:rPr>
            <w:instrText xml:space="preserve"> CITATION Ant13 \l 1033 </w:instrText>
          </w:r>
          <w:r w:rsidRPr="003E6051">
            <w:fldChar w:fldCharType="separate"/>
          </w:r>
          <w:r w:rsidRPr="003E6051">
            <w:rPr>
              <w:noProof/>
              <w:lang w:val="en-US"/>
            </w:rPr>
            <w:t>(Antonio G. Sanjuana, 2013)</w:t>
          </w:r>
          <w:r w:rsidRPr="003E6051">
            <w:fldChar w:fldCharType="end"/>
          </w:r>
        </w:sdtContent>
      </w:sdt>
      <w:r w:rsidRPr="003E6051">
        <w:t>.</w:t>
      </w:r>
      <w:r w:rsidR="00550839">
        <w:t xml:space="preserve"> The table below summarises </w:t>
      </w:r>
      <w:r w:rsidR="00F34518">
        <w:t>widely used tools and their associated strengths and weaknesses.</w:t>
      </w:r>
    </w:p>
    <w:p w14:paraId="421A86F3" w14:textId="77777777" w:rsidR="0057746B" w:rsidRPr="003E6051" w:rsidRDefault="0057746B" w:rsidP="007C1BEE">
      <w:pPr>
        <w:spacing w:after="0" w:line="360" w:lineRule="auto"/>
        <w:ind w:left="-578" w:right="-576"/>
        <w:jc w:val="both"/>
      </w:pPr>
    </w:p>
    <w:tbl>
      <w:tblPr>
        <w:tblStyle w:val="TableGrid"/>
        <w:tblW w:w="10080" w:type="dxa"/>
        <w:tblInd w:w="-545" w:type="dxa"/>
        <w:tblLook w:val="04A0" w:firstRow="1" w:lastRow="0" w:firstColumn="1" w:lastColumn="0" w:noHBand="0" w:noVBand="1"/>
      </w:tblPr>
      <w:tblGrid>
        <w:gridCol w:w="2508"/>
        <w:gridCol w:w="3927"/>
        <w:gridCol w:w="3645"/>
      </w:tblGrid>
      <w:tr w:rsidR="0057746B" w:rsidRPr="003E6051" w14:paraId="4B7B2D86" w14:textId="77777777" w:rsidTr="003F5E33">
        <w:trPr>
          <w:trHeight w:val="300"/>
        </w:trPr>
        <w:tc>
          <w:tcPr>
            <w:tcW w:w="2508" w:type="dxa"/>
            <w:shd w:val="clear" w:color="auto" w:fill="D9E2F3" w:themeFill="accent1" w:themeFillTint="33"/>
            <w:hideMark/>
          </w:tcPr>
          <w:p w14:paraId="0EB800A8"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t>Tools/Technique</w:t>
            </w:r>
          </w:p>
        </w:tc>
        <w:tc>
          <w:tcPr>
            <w:tcW w:w="3927" w:type="dxa"/>
            <w:shd w:val="clear" w:color="auto" w:fill="D9E2F3" w:themeFill="accent1" w:themeFillTint="33"/>
            <w:hideMark/>
          </w:tcPr>
          <w:p w14:paraId="43FDE17B"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t>Strengths</w:t>
            </w:r>
          </w:p>
        </w:tc>
        <w:tc>
          <w:tcPr>
            <w:tcW w:w="3645" w:type="dxa"/>
            <w:shd w:val="clear" w:color="auto" w:fill="D9E2F3" w:themeFill="accent1" w:themeFillTint="33"/>
            <w:hideMark/>
          </w:tcPr>
          <w:p w14:paraId="7DC00B37" w14:textId="77777777" w:rsidR="0057746B" w:rsidRPr="003E6051" w:rsidRDefault="0057746B" w:rsidP="007C1BEE">
            <w:pPr>
              <w:spacing w:line="276" w:lineRule="auto"/>
              <w:jc w:val="center"/>
              <w:rPr>
                <w:rFonts w:eastAsia="Times New Roman"/>
                <w:b/>
                <w:bCs/>
                <w:lang w:eastAsia="en-GB"/>
              </w:rPr>
            </w:pPr>
            <w:r w:rsidRPr="003E6051">
              <w:rPr>
                <w:rFonts w:eastAsia="Times New Roman"/>
                <w:b/>
                <w:bCs/>
                <w:lang w:eastAsia="en-GB"/>
              </w:rPr>
              <w:t>Weaknesses</w:t>
            </w:r>
          </w:p>
        </w:tc>
      </w:tr>
      <w:tr w:rsidR="0057746B" w:rsidRPr="003E6051" w14:paraId="0ACAA529" w14:textId="77777777" w:rsidTr="003F5E33">
        <w:trPr>
          <w:trHeight w:val="2285"/>
        </w:trPr>
        <w:tc>
          <w:tcPr>
            <w:tcW w:w="2508" w:type="dxa"/>
            <w:hideMark/>
          </w:tcPr>
          <w:p w14:paraId="4F8E40ED" w14:textId="77777777" w:rsidR="0057746B" w:rsidRPr="003E6051" w:rsidRDefault="0057746B" w:rsidP="007C1BEE">
            <w:pPr>
              <w:spacing w:line="276" w:lineRule="auto"/>
              <w:rPr>
                <w:rFonts w:eastAsia="Times New Roman"/>
                <w:b/>
                <w:bCs/>
                <w:lang w:eastAsia="en-GB"/>
              </w:rPr>
            </w:pPr>
            <w:r w:rsidRPr="003E6051">
              <w:rPr>
                <w:rFonts w:eastAsia="Times New Roman"/>
                <w:b/>
                <w:bCs/>
                <w:lang w:eastAsia="en-GB"/>
              </w:rPr>
              <w:t>Look-up Methods (Checklists, Prompt Lists, Industry Knowledge Bases)</w:t>
            </w:r>
          </w:p>
        </w:tc>
        <w:tc>
          <w:tcPr>
            <w:tcW w:w="3927" w:type="dxa"/>
            <w:hideMark/>
          </w:tcPr>
          <w:p w14:paraId="1F5D965F"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Easy to implement and understand. </w:t>
            </w:r>
          </w:p>
          <w:p w14:paraId="645E7EEB"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Used consistently by project managers. Help ensure procedures and processes are appropriately covered. </w:t>
            </w:r>
          </w:p>
          <w:p w14:paraId="1837F75B"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Facilitate gathering information on potential risks from similar projects or professional networks. </w:t>
            </w:r>
          </w:p>
        </w:tc>
        <w:tc>
          <w:tcPr>
            <w:tcW w:w="3645" w:type="dxa"/>
            <w:hideMark/>
          </w:tcPr>
          <w:p w14:paraId="36192CCF"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Can be too generic if not tailored to the specific project. </w:t>
            </w:r>
          </w:p>
          <w:p w14:paraId="7ED8D75D" w14:textId="77777777" w:rsidR="0057746B" w:rsidRPr="003E6051" w:rsidRDefault="0057746B" w:rsidP="007C1BEE">
            <w:pPr>
              <w:spacing w:line="276" w:lineRule="auto"/>
              <w:rPr>
                <w:rFonts w:eastAsia="Times New Roman"/>
                <w:lang w:eastAsia="en-GB"/>
              </w:rPr>
            </w:pPr>
            <w:r w:rsidRPr="003E6051">
              <w:rPr>
                <w:rFonts w:eastAsia="Times New Roman"/>
                <w:lang w:eastAsia="en-GB"/>
              </w:rPr>
              <w:t>Reliance on existing knowledge may overlook novel risks.</w:t>
            </w:r>
          </w:p>
          <w:p w14:paraId="5FCB06A4" w14:textId="77777777" w:rsidR="0057746B" w:rsidRPr="003E6051" w:rsidRDefault="0057746B" w:rsidP="007C1BEE">
            <w:pPr>
              <w:spacing w:line="276" w:lineRule="auto"/>
              <w:rPr>
                <w:rFonts w:eastAsia="Times New Roman"/>
                <w:lang w:eastAsia="en-GB"/>
              </w:rPr>
            </w:pPr>
            <w:r w:rsidRPr="003E6051">
              <w:rPr>
                <w:rFonts w:eastAsia="Times New Roman"/>
                <w:lang w:eastAsia="en-GB"/>
              </w:rPr>
              <w:t>Effectiveness depends on the quality and relevance of the information in the knowledge base.</w:t>
            </w:r>
          </w:p>
        </w:tc>
      </w:tr>
      <w:tr w:rsidR="0057746B" w:rsidRPr="003E6051" w14:paraId="70C6FEF4" w14:textId="77777777" w:rsidTr="003F5E33">
        <w:trPr>
          <w:trHeight w:val="2330"/>
        </w:trPr>
        <w:tc>
          <w:tcPr>
            <w:tcW w:w="2508" w:type="dxa"/>
            <w:hideMark/>
          </w:tcPr>
          <w:p w14:paraId="1B2ED8BC" w14:textId="77777777" w:rsidR="0057746B" w:rsidRPr="003E6051" w:rsidRDefault="0057746B" w:rsidP="007C1BEE">
            <w:pPr>
              <w:spacing w:line="276" w:lineRule="auto"/>
              <w:rPr>
                <w:rFonts w:eastAsia="Times New Roman"/>
                <w:b/>
                <w:bCs/>
                <w:lang w:eastAsia="en-GB"/>
              </w:rPr>
            </w:pPr>
            <w:r w:rsidRPr="003E6051">
              <w:rPr>
                <w:rFonts w:eastAsia="Times New Roman"/>
                <w:b/>
                <w:bCs/>
                <w:lang w:eastAsia="en-GB"/>
              </w:rPr>
              <w:t>Supporting Methods (Brainstorming, Document Review, Lessons Learned)</w:t>
            </w:r>
          </w:p>
        </w:tc>
        <w:tc>
          <w:tcPr>
            <w:tcW w:w="3927" w:type="dxa"/>
            <w:hideMark/>
          </w:tcPr>
          <w:p w14:paraId="6F3D58AB"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Brainstorming: Rapidly implemented, encourages open discussion, and can be used with other techniques. </w:t>
            </w:r>
          </w:p>
          <w:p w14:paraId="1F7F970D"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Document Review: Helps identify risks embedded in project documentation. </w:t>
            </w:r>
          </w:p>
          <w:p w14:paraId="7CD29C2B"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Lessons Learned: Leverages past experiences to avoid repeating mistakes. </w:t>
            </w:r>
          </w:p>
        </w:tc>
        <w:tc>
          <w:tcPr>
            <w:tcW w:w="3645" w:type="dxa"/>
            <w:hideMark/>
          </w:tcPr>
          <w:p w14:paraId="36BE24A5"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Brainstorming: Can be unproductive without structure or focus. </w:t>
            </w:r>
          </w:p>
          <w:p w14:paraId="37908DB5" w14:textId="77777777" w:rsidR="0057746B" w:rsidRPr="003E6051" w:rsidRDefault="0057746B" w:rsidP="007C1BEE">
            <w:pPr>
              <w:spacing w:line="276" w:lineRule="auto"/>
              <w:rPr>
                <w:rFonts w:eastAsia="Times New Roman"/>
                <w:lang w:eastAsia="en-GB"/>
              </w:rPr>
            </w:pPr>
            <w:r w:rsidRPr="003E6051">
              <w:rPr>
                <w:rFonts w:eastAsia="Times New Roman"/>
                <w:lang w:eastAsia="en-GB"/>
              </w:rPr>
              <w:t>Document Review: Time-consuming, requires thoroughness.</w:t>
            </w:r>
          </w:p>
          <w:p w14:paraId="3F992255"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 Lessons Learned: Requires good systems for capturing and accessing data; may be poorly implemented in some organisations. </w:t>
            </w:r>
          </w:p>
        </w:tc>
      </w:tr>
      <w:tr w:rsidR="0057746B" w:rsidRPr="003E6051" w14:paraId="767375C7" w14:textId="77777777" w:rsidTr="003F5E33">
        <w:trPr>
          <w:trHeight w:val="2456"/>
        </w:trPr>
        <w:tc>
          <w:tcPr>
            <w:tcW w:w="2508" w:type="dxa"/>
            <w:hideMark/>
          </w:tcPr>
          <w:p w14:paraId="1D2FBBF2" w14:textId="77777777" w:rsidR="0057746B" w:rsidRPr="003E6051" w:rsidRDefault="0057746B" w:rsidP="007C1BEE">
            <w:pPr>
              <w:spacing w:line="276" w:lineRule="auto"/>
              <w:rPr>
                <w:rFonts w:eastAsia="Times New Roman"/>
                <w:b/>
                <w:bCs/>
                <w:lang w:eastAsia="en-GB"/>
              </w:rPr>
            </w:pPr>
            <w:r w:rsidRPr="003E6051">
              <w:rPr>
                <w:rFonts w:eastAsia="Times New Roman"/>
                <w:b/>
                <w:bCs/>
                <w:lang w:eastAsia="en-GB"/>
              </w:rPr>
              <w:t>Scenario Methods (Cause &amp; Consequence Analysis, What-If Analysis)</w:t>
            </w:r>
          </w:p>
        </w:tc>
        <w:tc>
          <w:tcPr>
            <w:tcW w:w="3927" w:type="dxa"/>
            <w:hideMark/>
          </w:tcPr>
          <w:p w14:paraId="4B49FC91" w14:textId="77777777" w:rsidR="0057746B" w:rsidRPr="003E6051" w:rsidRDefault="0057746B" w:rsidP="007C1BEE">
            <w:pPr>
              <w:spacing w:line="276" w:lineRule="auto"/>
              <w:rPr>
                <w:rFonts w:eastAsia="Times New Roman"/>
                <w:lang w:eastAsia="en-GB"/>
              </w:rPr>
            </w:pPr>
            <w:r w:rsidRPr="003E6051">
              <w:rPr>
                <w:rFonts w:eastAsia="Times New Roman"/>
                <w:lang w:eastAsia="en-GB"/>
              </w:rPr>
              <w:t>Help anticipate sequences of events and potential impacts.</w:t>
            </w:r>
          </w:p>
          <w:p w14:paraId="706B35B8"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Facilitate the development of mitigation strategies10. - "What-if" analysis is commonly used in discussions. </w:t>
            </w:r>
          </w:p>
        </w:tc>
        <w:tc>
          <w:tcPr>
            <w:tcW w:w="3645" w:type="dxa"/>
            <w:hideMark/>
          </w:tcPr>
          <w:p w14:paraId="5BF8B506"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Underutilised despite familiarity with the concept. </w:t>
            </w:r>
          </w:p>
          <w:p w14:paraId="6F4597A5" w14:textId="77777777" w:rsidR="0057746B" w:rsidRPr="003E6051" w:rsidRDefault="0057746B" w:rsidP="007C1BEE">
            <w:pPr>
              <w:spacing w:line="276" w:lineRule="auto"/>
              <w:rPr>
                <w:rFonts w:eastAsia="Times New Roman"/>
                <w:lang w:eastAsia="en-GB"/>
              </w:rPr>
            </w:pPr>
            <w:r w:rsidRPr="003E6051">
              <w:rPr>
                <w:rFonts w:eastAsia="Times New Roman"/>
                <w:lang w:eastAsia="en-GB"/>
              </w:rPr>
              <w:t>May be confused with other techniques (e.g., Cause &amp; Effect Analysis).</w:t>
            </w:r>
          </w:p>
          <w:p w14:paraId="5BD7876E"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 Effectiveness depends on the ability to envision a range of plausible scenarios. </w:t>
            </w:r>
          </w:p>
        </w:tc>
      </w:tr>
      <w:tr w:rsidR="0057746B" w:rsidRPr="003E6051" w14:paraId="11B80982" w14:textId="77777777" w:rsidTr="003F5E33">
        <w:trPr>
          <w:trHeight w:val="1862"/>
        </w:trPr>
        <w:tc>
          <w:tcPr>
            <w:tcW w:w="2508" w:type="dxa"/>
            <w:hideMark/>
          </w:tcPr>
          <w:p w14:paraId="467A45EF" w14:textId="77777777" w:rsidR="0057746B" w:rsidRPr="003E6051" w:rsidRDefault="0057746B" w:rsidP="007C1BEE">
            <w:pPr>
              <w:spacing w:line="276" w:lineRule="auto"/>
              <w:rPr>
                <w:rFonts w:eastAsia="Times New Roman"/>
                <w:b/>
                <w:bCs/>
                <w:lang w:eastAsia="en-GB"/>
              </w:rPr>
            </w:pPr>
            <w:r w:rsidRPr="003E6051">
              <w:rPr>
                <w:rFonts w:eastAsia="Times New Roman"/>
                <w:b/>
                <w:bCs/>
                <w:lang w:eastAsia="en-GB"/>
              </w:rPr>
              <w:t>Functional Analysis (HASOP)</w:t>
            </w:r>
          </w:p>
        </w:tc>
        <w:tc>
          <w:tcPr>
            <w:tcW w:w="3927" w:type="dxa"/>
            <w:hideMark/>
          </w:tcPr>
          <w:p w14:paraId="5BD9B85D"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Structured and systematic examination of potential hazards. </w:t>
            </w:r>
          </w:p>
          <w:p w14:paraId="4A82C01F"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Identifies risks to people, equipment, and organisational objectives. </w:t>
            </w:r>
          </w:p>
        </w:tc>
        <w:tc>
          <w:tcPr>
            <w:tcW w:w="3645" w:type="dxa"/>
            <w:hideMark/>
          </w:tcPr>
          <w:p w14:paraId="1511342A"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Not widely understood or applied. </w:t>
            </w:r>
          </w:p>
          <w:p w14:paraId="500AED00"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May be confused with hazard investigation processes. </w:t>
            </w:r>
          </w:p>
          <w:p w14:paraId="4E32E640"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May be primarily related to Occupational Health &amp; Safety rather than general risk management. </w:t>
            </w:r>
          </w:p>
        </w:tc>
      </w:tr>
      <w:tr w:rsidR="0057746B" w:rsidRPr="003E6051" w14:paraId="11C3179B" w14:textId="77777777" w:rsidTr="003F5E33">
        <w:trPr>
          <w:trHeight w:val="2580"/>
        </w:trPr>
        <w:tc>
          <w:tcPr>
            <w:tcW w:w="2508" w:type="dxa"/>
            <w:hideMark/>
          </w:tcPr>
          <w:p w14:paraId="5C51750D" w14:textId="77777777" w:rsidR="0057746B" w:rsidRPr="003E6051" w:rsidRDefault="0057746B" w:rsidP="007C1BEE">
            <w:pPr>
              <w:spacing w:line="276" w:lineRule="auto"/>
              <w:rPr>
                <w:rFonts w:eastAsia="Times New Roman"/>
                <w:b/>
                <w:bCs/>
                <w:lang w:eastAsia="en-GB"/>
              </w:rPr>
            </w:pPr>
            <w:r w:rsidRPr="003E6051">
              <w:rPr>
                <w:rFonts w:eastAsia="Times New Roman"/>
                <w:b/>
                <w:bCs/>
                <w:lang w:eastAsia="en-GB"/>
              </w:rPr>
              <w:t>Control Assessments (Bow Tie Analysis, Contingency Planning)</w:t>
            </w:r>
          </w:p>
        </w:tc>
        <w:tc>
          <w:tcPr>
            <w:tcW w:w="3927" w:type="dxa"/>
            <w:hideMark/>
          </w:tcPr>
          <w:p w14:paraId="3C044FBC"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Bow Tie Analysis: Diagrammatic method for understanding causes and consequences, shows preventative and mitigation controls. </w:t>
            </w:r>
          </w:p>
          <w:p w14:paraId="0C73BB3D"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Contingency reserves allow flexibility. </w:t>
            </w:r>
          </w:p>
        </w:tc>
        <w:tc>
          <w:tcPr>
            <w:tcW w:w="3645" w:type="dxa"/>
            <w:hideMark/>
          </w:tcPr>
          <w:p w14:paraId="4EE2C1C4"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Not widely known or used. </w:t>
            </w:r>
          </w:p>
          <w:p w14:paraId="6C30554A"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Bow Tie Analysis: May only be used on very high-impact risks. </w:t>
            </w:r>
          </w:p>
          <w:p w14:paraId="1544F6F7"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PERT may be misunderstood. </w:t>
            </w:r>
          </w:p>
        </w:tc>
      </w:tr>
      <w:tr w:rsidR="0057746B" w:rsidRPr="003E6051" w14:paraId="6A384D55" w14:textId="77777777" w:rsidTr="003F5E33">
        <w:trPr>
          <w:trHeight w:val="2240"/>
        </w:trPr>
        <w:tc>
          <w:tcPr>
            <w:tcW w:w="2508" w:type="dxa"/>
            <w:hideMark/>
          </w:tcPr>
          <w:p w14:paraId="046D5FCB" w14:textId="77777777" w:rsidR="0057746B" w:rsidRPr="003E6051" w:rsidRDefault="0057746B" w:rsidP="007C1BEE">
            <w:pPr>
              <w:spacing w:line="276" w:lineRule="auto"/>
              <w:rPr>
                <w:rFonts w:eastAsia="Times New Roman"/>
                <w:b/>
                <w:bCs/>
                <w:lang w:eastAsia="en-GB"/>
              </w:rPr>
            </w:pPr>
            <w:r w:rsidRPr="003E6051">
              <w:rPr>
                <w:rFonts w:eastAsia="Times New Roman"/>
                <w:b/>
                <w:bCs/>
                <w:lang w:eastAsia="en-GB"/>
              </w:rPr>
              <w:lastRenderedPageBreak/>
              <w:t>Evaluation Methods (Consequence/Probability Matrix, Cost-Benefit Analysis)</w:t>
            </w:r>
          </w:p>
        </w:tc>
        <w:tc>
          <w:tcPr>
            <w:tcW w:w="3927" w:type="dxa"/>
            <w:hideMark/>
          </w:tcPr>
          <w:p w14:paraId="730090FC" w14:textId="561EB52E" w:rsidR="0057746B" w:rsidRDefault="0057746B" w:rsidP="007C1BEE">
            <w:pPr>
              <w:spacing w:line="276" w:lineRule="auto"/>
              <w:rPr>
                <w:rFonts w:eastAsia="Times New Roman"/>
                <w:lang w:eastAsia="en-GB"/>
              </w:rPr>
            </w:pPr>
            <w:r w:rsidRPr="003E6051">
              <w:rPr>
                <w:rFonts w:eastAsia="Times New Roman"/>
                <w:lang w:eastAsia="en-GB"/>
              </w:rPr>
              <w:t xml:space="preserve">Consequence/Probability Matrix: Combines consequence and probability to </w:t>
            </w:r>
            <w:r w:rsidR="002A32E6">
              <w:rPr>
                <w:rFonts w:eastAsia="Times New Roman"/>
                <w:lang w:eastAsia="en-GB"/>
              </w:rPr>
              <w:t>calculate</w:t>
            </w:r>
            <w:r w:rsidRPr="003E6051">
              <w:rPr>
                <w:rFonts w:eastAsia="Times New Roman"/>
                <w:lang w:eastAsia="en-GB"/>
              </w:rPr>
              <w:t xml:space="preserve"> a risk level. </w:t>
            </w:r>
          </w:p>
          <w:p w14:paraId="77C7141F" w14:textId="117B3131" w:rsidR="0057746B" w:rsidRPr="003E6051" w:rsidRDefault="0057746B" w:rsidP="007C1BEE">
            <w:pPr>
              <w:spacing w:line="276" w:lineRule="auto"/>
              <w:rPr>
                <w:rFonts w:eastAsia="Times New Roman"/>
                <w:lang w:eastAsia="en-GB"/>
              </w:rPr>
            </w:pPr>
            <w:r w:rsidRPr="003E6051">
              <w:rPr>
                <w:rFonts w:eastAsia="Times New Roman"/>
                <w:lang w:eastAsia="en-GB"/>
              </w:rPr>
              <w:t xml:space="preserve">Cost-Benefit Analysis: </w:t>
            </w:r>
            <w:r w:rsidR="002A32E6">
              <w:rPr>
                <w:rFonts w:eastAsia="Times New Roman"/>
                <w:lang w:eastAsia="en-GB"/>
              </w:rPr>
              <w:t>D</w:t>
            </w:r>
            <w:r w:rsidRPr="003E6051">
              <w:rPr>
                <w:rFonts w:eastAsia="Times New Roman"/>
                <w:lang w:eastAsia="en-GB"/>
              </w:rPr>
              <w:t>etermine</w:t>
            </w:r>
            <w:r w:rsidR="002A32E6">
              <w:rPr>
                <w:rFonts w:eastAsia="Times New Roman"/>
                <w:lang w:eastAsia="en-GB"/>
              </w:rPr>
              <w:t>s</w:t>
            </w:r>
            <w:r w:rsidRPr="003E6051">
              <w:rPr>
                <w:rFonts w:eastAsia="Times New Roman"/>
                <w:lang w:eastAsia="en-GB"/>
              </w:rPr>
              <w:t xml:space="preserve"> whether a risk </w:t>
            </w:r>
            <w:r w:rsidR="006239D3">
              <w:rPr>
                <w:rFonts w:eastAsia="Times New Roman"/>
                <w:lang w:eastAsia="en-GB"/>
              </w:rPr>
              <w:t>action</w:t>
            </w:r>
            <w:r w:rsidRPr="003E6051">
              <w:rPr>
                <w:rFonts w:eastAsia="Times New Roman"/>
                <w:lang w:eastAsia="en-GB"/>
              </w:rPr>
              <w:t xml:space="preserve"> is worth </w:t>
            </w:r>
            <w:r w:rsidR="00457690">
              <w:rPr>
                <w:rFonts w:eastAsia="Times New Roman"/>
                <w:lang w:eastAsia="en-GB"/>
              </w:rPr>
              <w:t>the</w:t>
            </w:r>
            <w:r w:rsidRPr="003E6051">
              <w:rPr>
                <w:rFonts w:eastAsia="Times New Roman"/>
                <w:lang w:eastAsia="en-GB"/>
              </w:rPr>
              <w:t xml:space="preserve"> cost. </w:t>
            </w:r>
          </w:p>
        </w:tc>
        <w:tc>
          <w:tcPr>
            <w:tcW w:w="3645" w:type="dxa"/>
            <w:hideMark/>
          </w:tcPr>
          <w:p w14:paraId="2B5BDDC7" w14:textId="01C75D8C" w:rsidR="0057746B" w:rsidRPr="003E6051" w:rsidRDefault="004E0013" w:rsidP="007C1BEE">
            <w:pPr>
              <w:spacing w:line="276" w:lineRule="auto"/>
              <w:rPr>
                <w:rFonts w:eastAsia="Times New Roman"/>
                <w:lang w:eastAsia="en-GB"/>
              </w:rPr>
            </w:pPr>
            <w:r>
              <w:rPr>
                <w:rFonts w:eastAsia="Times New Roman"/>
                <w:lang w:eastAsia="en-GB"/>
              </w:rPr>
              <w:t>L</w:t>
            </w:r>
            <w:r w:rsidR="0057746B" w:rsidRPr="003E6051">
              <w:rPr>
                <w:rFonts w:eastAsia="Times New Roman"/>
                <w:lang w:eastAsia="en-GB"/>
              </w:rPr>
              <w:t>ack of time and data</w:t>
            </w:r>
            <w:r>
              <w:rPr>
                <w:rFonts w:eastAsia="Times New Roman"/>
                <w:lang w:eastAsia="en-GB"/>
              </w:rPr>
              <w:t xml:space="preserve"> doesn’t support quantitative </w:t>
            </w:r>
            <w:r w:rsidR="001D60B3">
              <w:rPr>
                <w:rFonts w:eastAsia="Times New Roman"/>
                <w:lang w:eastAsia="en-GB"/>
              </w:rPr>
              <w:t>analysis</w:t>
            </w:r>
            <w:r w:rsidR="0057746B" w:rsidRPr="003E6051">
              <w:rPr>
                <w:rFonts w:eastAsia="Times New Roman"/>
                <w:lang w:eastAsia="en-GB"/>
              </w:rPr>
              <w:t xml:space="preserve">. </w:t>
            </w:r>
          </w:p>
          <w:p w14:paraId="7E57E026" w14:textId="77777777" w:rsidR="0057746B" w:rsidRPr="003E6051" w:rsidRDefault="0057746B" w:rsidP="007C1BEE">
            <w:pPr>
              <w:spacing w:line="276" w:lineRule="auto"/>
              <w:rPr>
                <w:rFonts w:eastAsia="Times New Roman"/>
                <w:lang w:eastAsia="en-GB"/>
              </w:rPr>
            </w:pPr>
            <w:r w:rsidRPr="003E6051">
              <w:rPr>
                <w:rFonts w:eastAsia="Times New Roman"/>
                <w:lang w:eastAsia="en-GB"/>
              </w:rPr>
              <w:t>Informal application of Cost-Benefit Analysis.</w:t>
            </w:r>
          </w:p>
          <w:p w14:paraId="0C3F0F3D"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Experienced PMs use evaluation methods less. </w:t>
            </w:r>
          </w:p>
        </w:tc>
      </w:tr>
      <w:tr w:rsidR="0057746B" w:rsidRPr="003E6051" w14:paraId="5ACF1C0E" w14:textId="77777777" w:rsidTr="003F5E33">
        <w:trPr>
          <w:trHeight w:val="1185"/>
        </w:trPr>
        <w:tc>
          <w:tcPr>
            <w:tcW w:w="2508" w:type="dxa"/>
            <w:hideMark/>
          </w:tcPr>
          <w:p w14:paraId="0CFB9C3C" w14:textId="77777777" w:rsidR="0057746B" w:rsidRPr="003E6051" w:rsidRDefault="0057746B" w:rsidP="007C1BEE">
            <w:pPr>
              <w:spacing w:line="276" w:lineRule="auto"/>
              <w:rPr>
                <w:rFonts w:eastAsia="Times New Roman"/>
                <w:b/>
                <w:bCs/>
                <w:lang w:eastAsia="en-GB"/>
              </w:rPr>
            </w:pPr>
            <w:r w:rsidRPr="003E6051">
              <w:rPr>
                <w:rFonts w:eastAsia="Times New Roman"/>
                <w:b/>
                <w:bCs/>
                <w:lang w:eastAsia="en-GB"/>
              </w:rPr>
              <w:t>Multi-Criteria Analysis (AHP, etc.)</w:t>
            </w:r>
          </w:p>
        </w:tc>
        <w:tc>
          <w:tcPr>
            <w:tcW w:w="3927" w:type="dxa"/>
            <w:hideMark/>
          </w:tcPr>
          <w:p w14:paraId="2BA561EB"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A structured multi-attribute decision method for risky situations. </w:t>
            </w:r>
          </w:p>
        </w:tc>
        <w:tc>
          <w:tcPr>
            <w:tcW w:w="3645" w:type="dxa"/>
            <w:hideMark/>
          </w:tcPr>
          <w:p w14:paraId="02AA5016"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Reasonable understanding but little actual application. </w:t>
            </w:r>
          </w:p>
        </w:tc>
      </w:tr>
      <w:tr w:rsidR="0057746B" w:rsidRPr="003E6051" w14:paraId="71997DC7" w14:textId="77777777" w:rsidTr="003F5E33">
        <w:trPr>
          <w:trHeight w:val="2565"/>
        </w:trPr>
        <w:tc>
          <w:tcPr>
            <w:tcW w:w="2508" w:type="dxa"/>
            <w:hideMark/>
          </w:tcPr>
          <w:p w14:paraId="56742A8A" w14:textId="77777777" w:rsidR="0057746B" w:rsidRPr="003E6051" w:rsidRDefault="0057746B" w:rsidP="007C1BEE">
            <w:pPr>
              <w:spacing w:line="276" w:lineRule="auto"/>
              <w:rPr>
                <w:rFonts w:eastAsia="Times New Roman"/>
                <w:b/>
                <w:bCs/>
                <w:lang w:eastAsia="en-GB"/>
              </w:rPr>
            </w:pPr>
            <w:r w:rsidRPr="003E6051">
              <w:rPr>
                <w:rFonts w:eastAsia="Times New Roman"/>
                <w:b/>
                <w:bCs/>
                <w:lang w:eastAsia="en-GB"/>
              </w:rPr>
              <w:t>Statistical Methods (Monte Carlo Simulation)</w:t>
            </w:r>
          </w:p>
        </w:tc>
        <w:tc>
          <w:tcPr>
            <w:tcW w:w="3927" w:type="dxa"/>
            <w:hideMark/>
          </w:tcPr>
          <w:p w14:paraId="4190DEBA"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Provides quantitative risk analysis. </w:t>
            </w:r>
          </w:p>
        </w:tc>
        <w:tc>
          <w:tcPr>
            <w:tcW w:w="3645" w:type="dxa"/>
            <w:hideMark/>
          </w:tcPr>
          <w:p w14:paraId="6DBD634E" w14:textId="77777777" w:rsidR="0057746B" w:rsidRPr="003E6051" w:rsidRDefault="0057746B" w:rsidP="007C1BEE">
            <w:pPr>
              <w:spacing w:line="276" w:lineRule="auto"/>
              <w:rPr>
                <w:rFonts w:eastAsia="Times New Roman"/>
                <w:lang w:eastAsia="en-GB"/>
              </w:rPr>
            </w:pPr>
            <w:r w:rsidRPr="003E6051">
              <w:rPr>
                <w:rFonts w:eastAsia="Times New Roman"/>
                <w:lang w:eastAsia="en-GB"/>
              </w:rPr>
              <w:t xml:space="preserve">Requires high-quality data, which is often lacking. </w:t>
            </w:r>
          </w:p>
          <w:p w14:paraId="15978A18" w14:textId="4FD14243" w:rsidR="0057746B" w:rsidRPr="003E6051" w:rsidRDefault="00FD694D" w:rsidP="007C1BEE">
            <w:pPr>
              <w:spacing w:line="276" w:lineRule="auto"/>
              <w:rPr>
                <w:rFonts w:eastAsia="Times New Roman"/>
                <w:lang w:eastAsia="en-GB"/>
              </w:rPr>
            </w:pPr>
            <w:r>
              <w:rPr>
                <w:rFonts w:eastAsia="Times New Roman"/>
                <w:lang w:eastAsia="en-GB"/>
              </w:rPr>
              <w:t>Often t</w:t>
            </w:r>
            <w:r w:rsidR="0057746B" w:rsidRPr="003E6051">
              <w:rPr>
                <w:rFonts w:eastAsia="Times New Roman"/>
                <w:lang w:eastAsia="en-GB"/>
              </w:rPr>
              <w:t xml:space="preserve">ime-consuming and costly. Oversimplification of risk </w:t>
            </w:r>
            <w:r w:rsidR="00630962">
              <w:rPr>
                <w:rFonts w:eastAsia="Times New Roman"/>
                <w:lang w:eastAsia="en-GB"/>
              </w:rPr>
              <w:t>cross-</w:t>
            </w:r>
            <w:r w:rsidR="0057746B" w:rsidRPr="003E6051">
              <w:rPr>
                <w:rFonts w:eastAsia="Times New Roman"/>
                <w:lang w:eastAsia="en-GB"/>
              </w:rPr>
              <w:t xml:space="preserve">dependencies </w:t>
            </w:r>
            <w:r w:rsidR="003B00A0">
              <w:rPr>
                <w:rFonts w:eastAsia="Times New Roman"/>
                <w:lang w:eastAsia="en-GB"/>
              </w:rPr>
              <w:t xml:space="preserve">can mislead </w:t>
            </w:r>
            <w:r w:rsidR="0057746B" w:rsidRPr="003E6051">
              <w:rPr>
                <w:rFonts w:eastAsia="Times New Roman"/>
                <w:lang w:eastAsia="en-GB"/>
              </w:rPr>
              <w:t xml:space="preserve">results. </w:t>
            </w:r>
          </w:p>
        </w:tc>
      </w:tr>
    </w:tbl>
    <w:p w14:paraId="287B2AF0" w14:textId="07BBDCA4" w:rsidR="0057746B" w:rsidRPr="003E6051" w:rsidRDefault="0057746B" w:rsidP="007C1BEE">
      <w:pPr>
        <w:spacing w:after="0" w:line="240" w:lineRule="auto"/>
        <w:jc w:val="center"/>
        <w:rPr>
          <w:color w:val="44546A" w:themeColor="text2"/>
          <w:sz w:val="18"/>
          <w:szCs w:val="18"/>
        </w:rPr>
      </w:pPr>
      <w:bookmarkStart w:id="19" w:name="_Toc191138511"/>
      <w:bookmarkStart w:id="20" w:name="_Toc219216415"/>
      <w:r w:rsidRPr="003E6051">
        <w:rPr>
          <w:color w:val="44546A" w:themeColor="text2"/>
          <w:sz w:val="18"/>
          <w:szCs w:val="18"/>
        </w:rPr>
        <w:t xml:space="preserve">Table </w:t>
      </w:r>
      <w:r w:rsidR="00363FD9">
        <w:rPr>
          <w:color w:val="44546A" w:themeColor="text2"/>
          <w:sz w:val="18"/>
          <w:szCs w:val="18"/>
        </w:rPr>
        <w:fldChar w:fldCharType="begin"/>
      </w:r>
      <w:r w:rsidR="00363FD9">
        <w:rPr>
          <w:color w:val="44546A" w:themeColor="text2"/>
          <w:sz w:val="18"/>
          <w:szCs w:val="18"/>
        </w:rPr>
        <w:instrText xml:space="preserve"> SEQ Table \* ARABIC </w:instrText>
      </w:r>
      <w:r w:rsidR="00363FD9">
        <w:rPr>
          <w:color w:val="44546A" w:themeColor="text2"/>
          <w:sz w:val="18"/>
          <w:szCs w:val="18"/>
        </w:rPr>
        <w:fldChar w:fldCharType="separate"/>
      </w:r>
      <w:r w:rsidR="004239CB">
        <w:rPr>
          <w:noProof/>
          <w:color w:val="44546A" w:themeColor="text2"/>
          <w:sz w:val="18"/>
          <w:szCs w:val="18"/>
        </w:rPr>
        <w:t>2</w:t>
      </w:r>
      <w:r w:rsidR="00363FD9">
        <w:rPr>
          <w:color w:val="44546A" w:themeColor="text2"/>
          <w:sz w:val="18"/>
          <w:szCs w:val="18"/>
        </w:rPr>
        <w:fldChar w:fldCharType="end"/>
      </w:r>
      <w:r w:rsidRPr="003E6051">
        <w:rPr>
          <w:color w:val="44546A" w:themeColor="text2"/>
          <w:sz w:val="18"/>
          <w:szCs w:val="18"/>
        </w:rPr>
        <w:t xml:space="preserve"> - Comparison of Project Management Risk Analysis Tools</w:t>
      </w:r>
      <w:bookmarkEnd w:id="19"/>
      <w:bookmarkEnd w:id="20"/>
    </w:p>
    <w:p w14:paraId="182B058B" w14:textId="77777777" w:rsidR="0057746B" w:rsidRPr="003E6051" w:rsidRDefault="00000000" w:rsidP="007C1BEE">
      <w:pPr>
        <w:spacing w:after="0" w:line="360" w:lineRule="auto"/>
        <w:ind w:left="-578" w:right="-576"/>
        <w:jc w:val="center"/>
      </w:pPr>
      <w:sdt>
        <w:sdtPr>
          <w:id w:val="436639688"/>
          <w:citation/>
        </w:sdtPr>
        <w:sdtContent>
          <w:r w:rsidR="0057746B" w:rsidRPr="003E6051">
            <w:fldChar w:fldCharType="begin"/>
          </w:r>
          <w:r w:rsidR="0057746B" w:rsidRPr="003E6051">
            <w:rPr>
              <w:lang w:val="en-US"/>
            </w:rPr>
            <w:instrText xml:space="preserve"> CITATION Jac18 \l 1033 </w:instrText>
          </w:r>
          <w:r w:rsidR="0057746B" w:rsidRPr="003E6051">
            <w:fldChar w:fldCharType="separate"/>
          </w:r>
          <w:r w:rsidR="0057746B" w:rsidRPr="003E6051">
            <w:rPr>
              <w:noProof/>
              <w:lang w:val="en-US"/>
            </w:rPr>
            <w:t>(Jacqueline Jepson, 2018)</w:t>
          </w:r>
          <w:r w:rsidR="0057746B" w:rsidRPr="003E6051">
            <w:fldChar w:fldCharType="end"/>
          </w:r>
        </w:sdtContent>
      </w:sdt>
      <w:r w:rsidR="0057746B" w:rsidRPr="003E6051">
        <w:t xml:space="preserve"> </w:t>
      </w:r>
      <w:sdt>
        <w:sdtPr>
          <w:id w:val="-567801391"/>
          <w:citation/>
        </w:sdtPr>
        <w:sdtContent>
          <w:r w:rsidR="0057746B" w:rsidRPr="003E6051">
            <w:fldChar w:fldCharType="begin"/>
          </w:r>
          <w:r w:rsidR="0057746B" w:rsidRPr="003E6051">
            <w:rPr>
              <w:lang w:val="en-US"/>
            </w:rPr>
            <w:instrText xml:space="preserve"> CITATION Rob18 \l 1033 </w:instrText>
          </w:r>
          <w:r w:rsidR="0057746B" w:rsidRPr="003E6051">
            <w:fldChar w:fldCharType="separate"/>
          </w:r>
          <w:r w:rsidR="0057746B" w:rsidRPr="003E6051">
            <w:rPr>
              <w:noProof/>
              <w:lang w:val="en-US"/>
            </w:rPr>
            <w:t>(Robert Pellerin, 2018)</w:t>
          </w:r>
          <w:r w:rsidR="0057746B" w:rsidRPr="003E6051">
            <w:fldChar w:fldCharType="end"/>
          </w:r>
        </w:sdtContent>
      </w:sdt>
      <w:sdt>
        <w:sdtPr>
          <w:id w:val="1316222239"/>
          <w:citation/>
        </w:sdtPr>
        <w:sdtContent>
          <w:r w:rsidR="0057746B" w:rsidRPr="003E6051">
            <w:fldChar w:fldCharType="begin"/>
          </w:r>
          <w:r w:rsidR="0057746B" w:rsidRPr="003E6051">
            <w:rPr>
              <w:lang w:val="en-US"/>
            </w:rPr>
            <w:instrText xml:space="preserve"> CITATION Ire04 \l 1033 </w:instrText>
          </w:r>
          <w:r w:rsidR="0057746B" w:rsidRPr="003E6051">
            <w:fldChar w:fldCharType="separate"/>
          </w:r>
          <w:r w:rsidR="0057746B" w:rsidRPr="003E6051">
            <w:rPr>
              <w:noProof/>
              <w:lang w:val="en-US"/>
            </w:rPr>
            <w:t xml:space="preserve"> (Irem Dikmen, 2004)</w:t>
          </w:r>
          <w:r w:rsidR="0057746B" w:rsidRPr="003E6051">
            <w:fldChar w:fldCharType="end"/>
          </w:r>
        </w:sdtContent>
      </w:sdt>
      <w:r w:rsidR="0057746B" w:rsidRPr="003E6051">
        <w:t xml:space="preserve"> </w:t>
      </w:r>
      <w:sdt>
        <w:sdtPr>
          <w:id w:val="730281355"/>
          <w:citation/>
        </w:sdtPr>
        <w:sdtContent>
          <w:r w:rsidR="0057746B" w:rsidRPr="003E6051">
            <w:fldChar w:fldCharType="begin"/>
          </w:r>
          <w:r w:rsidR="0057746B" w:rsidRPr="003E6051">
            <w:rPr>
              <w:lang w:val="en-US"/>
            </w:rPr>
            <w:instrText xml:space="preserve"> CITATION Dia02 \l 1033 </w:instrText>
          </w:r>
          <w:r w:rsidR="0057746B" w:rsidRPr="003E6051">
            <w:fldChar w:fldCharType="separate"/>
          </w:r>
          <w:r w:rsidR="0057746B" w:rsidRPr="003E6051">
            <w:rPr>
              <w:noProof/>
              <w:lang w:val="en-US"/>
            </w:rPr>
            <w:t>(Diana White, 2002)</w:t>
          </w:r>
          <w:r w:rsidR="0057746B" w:rsidRPr="003E6051">
            <w:fldChar w:fldCharType="end"/>
          </w:r>
        </w:sdtContent>
      </w:sdt>
      <w:r w:rsidR="0057746B" w:rsidRPr="003E6051">
        <w:t xml:space="preserve"> </w:t>
      </w:r>
      <w:sdt>
        <w:sdtPr>
          <w:id w:val="993912690"/>
          <w:citation/>
        </w:sdtPr>
        <w:sdtContent>
          <w:r w:rsidR="0057746B" w:rsidRPr="003E6051">
            <w:fldChar w:fldCharType="begin"/>
          </w:r>
          <w:r w:rsidR="0057746B" w:rsidRPr="003E6051">
            <w:rPr>
              <w:lang w:val="en-US"/>
            </w:rPr>
            <w:instrText xml:space="preserve"> CITATION Ant13 \l 1033 </w:instrText>
          </w:r>
          <w:r w:rsidR="0057746B" w:rsidRPr="003E6051">
            <w:fldChar w:fldCharType="separate"/>
          </w:r>
          <w:r w:rsidR="0057746B" w:rsidRPr="003E6051">
            <w:rPr>
              <w:noProof/>
              <w:lang w:val="en-US"/>
            </w:rPr>
            <w:t>(Antonio G. Sanjuana, 2013)</w:t>
          </w:r>
          <w:r w:rsidR="0057746B" w:rsidRPr="003E6051">
            <w:fldChar w:fldCharType="end"/>
          </w:r>
        </w:sdtContent>
      </w:sdt>
      <w:r w:rsidR="0057746B" w:rsidRPr="003E6051">
        <w:t xml:space="preserve"> </w:t>
      </w:r>
      <w:sdt>
        <w:sdtPr>
          <w:id w:val="1468476319"/>
          <w:citation/>
        </w:sdtPr>
        <w:sdtContent>
          <w:r w:rsidR="0057746B" w:rsidRPr="003E6051">
            <w:fldChar w:fldCharType="begin"/>
          </w:r>
          <w:r w:rsidR="0057746B" w:rsidRPr="003E6051">
            <w:rPr>
              <w:lang w:val="en-US"/>
            </w:rPr>
            <w:instrText xml:space="preserve">CITATION TRa01 \l 1033 </w:instrText>
          </w:r>
          <w:r w:rsidR="0057746B" w:rsidRPr="003E6051">
            <w:fldChar w:fldCharType="separate"/>
          </w:r>
          <w:r w:rsidR="0057746B" w:rsidRPr="003E6051">
            <w:rPr>
              <w:noProof/>
              <w:lang w:val="en-US"/>
            </w:rPr>
            <w:t>(T. Raz, 2001)</w:t>
          </w:r>
          <w:r w:rsidR="0057746B" w:rsidRPr="003E6051">
            <w:fldChar w:fldCharType="end"/>
          </w:r>
        </w:sdtContent>
      </w:sdt>
    </w:p>
    <w:p w14:paraId="26FEAE3E" w14:textId="77777777" w:rsidR="0057746B" w:rsidRPr="003E6051" w:rsidRDefault="0057746B" w:rsidP="007C1BEE">
      <w:pPr>
        <w:spacing w:after="0" w:line="360" w:lineRule="auto"/>
        <w:ind w:left="-578" w:right="-576"/>
        <w:jc w:val="both"/>
      </w:pPr>
    </w:p>
    <w:p w14:paraId="136F39FF" w14:textId="2F0833A4" w:rsidR="0057746B" w:rsidRDefault="0057746B" w:rsidP="007C1BEE">
      <w:pPr>
        <w:spacing w:after="0" w:line="360" w:lineRule="auto"/>
        <w:ind w:left="-578" w:right="-576"/>
        <w:jc w:val="both"/>
      </w:pPr>
      <w:r w:rsidRPr="003E6051">
        <w:t>The inconsistent and often ambiguous terminology persistent</w:t>
      </w:r>
      <w:r w:rsidR="0053392C">
        <w:t>ly</w:t>
      </w:r>
      <w:r w:rsidRPr="003E6051">
        <w:t xml:space="preserve"> </w:t>
      </w:r>
      <w:r w:rsidR="0053392C">
        <w:t>impedes</w:t>
      </w:r>
      <w:r w:rsidRPr="003E6051">
        <w:t xml:space="preserve"> clear communication and shared understanding </w:t>
      </w:r>
      <w:sdt>
        <w:sdtPr>
          <w:id w:val="778844535"/>
          <w:citation/>
        </w:sdtPr>
        <w:sdtContent>
          <w:r w:rsidRPr="003E6051">
            <w:fldChar w:fldCharType="begin"/>
          </w:r>
          <w:r w:rsidRPr="003E6051">
            <w:rPr>
              <w:lang w:val="en-US"/>
            </w:rPr>
            <w:instrText xml:space="preserve"> CITATION Jac18 \l 1033 </w:instrText>
          </w:r>
          <w:r w:rsidRPr="003E6051">
            <w:fldChar w:fldCharType="separate"/>
          </w:r>
          <w:r w:rsidRPr="003E6051">
            <w:rPr>
              <w:noProof/>
              <w:lang w:val="en-US"/>
            </w:rPr>
            <w:t>(Jacqueline Jepson, 2018)</w:t>
          </w:r>
          <w:r w:rsidRPr="003E6051">
            <w:fldChar w:fldCharType="end"/>
          </w:r>
        </w:sdtContent>
      </w:sdt>
      <w:r w:rsidRPr="003E6051">
        <w:t xml:space="preserve">. The proliferation of definitions and overlapping concepts breeds confusion, hindering </w:t>
      </w:r>
      <w:r w:rsidR="00FD40E8">
        <w:t>the</w:t>
      </w:r>
      <w:r w:rsidRPr="003E6051">
        <w:t xml:space="preserve"> ability to effectively apply risk management principles and develop</w:t>
      </w:r>
      <w:r w:rsidR="00C96A1E">
        <w:t xml:space="preserve"> </w:t>
      </w:r>
      <w:r w:rsidRPr="003E6051">
        <w:t xml:space="preserve">standardised methodologies </w:t>
      </w:r>
      <w:sdt>
        <w:sdtPr>
          <w:id w:val="1149475228"/>
          <w:citation/>
        </w:sdtPr>
        <w:sdtContent>
          <w:r w:rsidRPr="003E6051">
            <w:fldChar w:fldCharType="begin"/>
          </w:r>
          <w:r w:rsidRPr="003E6051">
            <w:rPr>
              <w:lang w:val="en-US"/>
            </w:rPr>
            <w:instrText xml:space="preserve"> CITATION Rob18 \l 1033 </w:instrText>
          </w:r>
          <w:r w:rsidRPr="003E6051">
            <w:fldChar w:fldCharType="separate"/>
          </w:r>
          <w:r w:rsidRPr="003E6051">
            <w:rPr>
              <w:noProof/>
              <w:lang w:val="en-US"/>
            </w:rPr>
            <w:t>(Robert Pellerin, 2018)</w:t>
          </w:r>
          <w:r w:rsidRPr="003E6051">
            <w:fldChar w:fldCharType="end"/>
          </w:r>
        </w:sdtContent>
      </w:sdt>
      <w:r w:rsidRPr="003E6051">
        <w:t xml:space="preserve">. A concerted effort towards terminological harmonisation, coupled with the establishment of universally accepted definitions for key risk management constructs, is essential for fostering a common language and facilitating seamless collaboration across project teams and organisations </w:t>
      </w:r>
      <w:sdt>
        <w:sdtPr>
          <w:id w:val="-46541811"/>
          <w:citation/>
        </w:sdtPr>
        <w:sdtContent>
          <w:r w:rsidRPr="003E6051">
            <w:fldChar w:fldCharType="begin"/>
          </w:r>
          <w:r w:rsidRPr="003E6051">
            <w:rPr>
              <w:lang w:val="en-US"/>
            </w:rPr>
            <w:instrText xml:space="preserve"> CITATION Jac18 \l 1033 </w:instrText>
          </w:r>
          <w:r w:rsidRPr="003E6051">
            <w:fldChar w:fldCharType="separate"/>
          </w:r>
          <w:r w:rsidRPr="003E6051">
            <w:rPr>
              <w:noProof/>
              <w:lang w:val="en-US"/>
            </w:rPr>
            <w:t>(Jacqueline Jepson, 2018)</w:t>
          </w:r>
          <w:r w:rsidRPr="003E6051">
            <w:fldChar w:fldCharType="end"/>
          </w:r>
        </w:sdtContent>
      </w:sdt>
      <w:r w:rsidRPr="003E6051">
        <w:t>.</w:t>
      </w:r>
    </w:p>
    <w:p w14:paraId="19549819" w14:textId="77777777" w:rsidR="000F129A" w:rsidRDefault="000F129A" w:rsidP="007C1BEE">
      <w:pPr>
        <w:spacing w:after="0" w:line="360" w:lineRule="auto"/>
        <w:ind w:left="-578" w:right="-576"/>
        <w:jc w:val="both"/>
      </w:pPr>
    </w:p>
    <w:p w14:paraId="5244F832" w14:textId="31B03BF3" w:rsidR="005C62C0" w:rsidRDefault="0057746B" w:rsidP="007C1BEE">
      <w:pPr>
        <w:spacing w:after="0" w:line="360" w:lineRule="auto"/>
        <w:ind w:left="-578" w:right="-576"/>
        <w:jc w:val="both"/>
      </w:pPr>
      <w:r w:rsidRPr="003E6051">
        <w:t xml:space="preserve">The journey towards realising the full potential of </w:t>
      </w:r>
      <w:r w:rsidR="0078148C">
        <w:t>PRM</w:t>
      </w:r>
      <w:r w:rsidRPr="003E6051">
        <w:t xml:space="preserve"> tools demands a holistic and adaptive approach, one that transcends the limitations of theoretical models and embraces the complexities of real-world project environments </w:t>
      </w:r>
      <w:sdt>
        <w:sdtPr>
          <w:id w:val="204298759"/>
          <w:citation/>
        </w:sdtPr>
        <w:sdtContent>
          <w:r w:rsidRPr="003E6051">
            <w:fldChar w:fldCharType="begin"/>
          </w:r>
          <w:r w:rsidRPr="003E6051">
            <w:rPr>
              <w:lang w:val="en-US"/>
            </w:rPr>
            <w:instrText xml:space="preserve"> CITATION Jac18 \l 1033 </w:instrText>
          </w:r>
          <w:r w:rsidRPr="003E6051">
            <w:fldChar w:fldCharType="separate"/>
          </w:r>
          <w:r w:rsidRPr="003E6051">
            <w:rPr>
              <w:noProof/>
              <w:lang w:val="en-US"/>
            </w:rPr>
            <w:t>(Jacqueline Jepson, 2018)</w:t>
          </w:r>
          <w:r w:rsidRPr="003E6051">
            <w:fldChar w:fldCharType="end"/>
          </w:r>
        </w:sdtContent>
      </w:sdt>
      <w:r w:rsidRPr="003E6051">
        <w:t xml:space="preserve">. </w:t>
      </w:r>
      <w:r w:rsidR="000F01B6">
        <w:t xml:space="preserve">However, </w:t>
      </w:r>
      <w:r w:rsidR="005C62C0">
        <w:t>a</w:t>
      </w:r>
      <w:r w:rsidR="000F01B6" w:rsidRPr="003E6051">
        <w:t xml:space="preserve"> review of </w:t>
      </w:r>
      <w:r w:rsidR="0078148C">
        <w:t>PRM</w:t>
      </w:r>
      <w:r w:rsidR="000F01B6" w:rsidRPr="003E6051">
        <w:t xml:space="preserve"> tools and methodologies highlights persistent misalignment between theoretical frameworks and their practical application. While </w:t>
      </w:r>
      <w:r w:rsidR="007A7C2D">
        <w:t>the literature</w:t>
      </w:r>
      <w:r w:rsidR="000F01B6" w:rsidRPr="003E6051">
        <w:t xml:space="preserve"> </w:t>
      </w:r>
      <w:r w:rsidR="007A7C2D">
        <w:t>highlights the</w:t>
      </w:r>
      <w:r w:rsidR="000F01B6" w:rsidRPr="003E6051">
        <w:t xml:space="preserve"> importance of structured risk assessment and project control, they </w:t>
      </w:r>
      <w:r w:rsidR="007212C6">
        <w:t>also identify</w:t>
      </w:r>
      <w:r w:rsidR="000F01B6" w:rsidRPr="003E6051">
        <w:t xml:space="preserve"> significant </w:t>
      </w:r>
      <w:r w:rsidR="00CA5278">
        <w:t xml:space="preserve">variation in </w:t>
      </w:r>
      <w:r w:rsidR="000F01B6" w:rsidRPr="003E6051">
        <w:t>challenges and effectiveness across different sectors</w:t>
      </w:r>
      <w:r w:rsidR="00A01EC8">
        <w:t>,</w:t>
      </w:r>
      <w:r w:rsidR="005D17ED" w:rsidRPr="005D17ED">
        <w:t xml:space="preserve"> </w:t>
      </w:r>
      <w:r w:rsidR="005D17ED" w:rsidRPr="003E6051">
        <w:t xml:space="preserve">methodological limitations, and </w:t>
      </w:r>
      <w:r w:rsidR="00A01EC8">
        <w:t>an</w:t>
      </w:r>
      <w:r w:rsidR="005D17ED" w:rsidRPr="003E6051">
        <w:t xml:space="preserve"> </w:t>
      </w:r>
      <w:r w:rsidR="005D17ED">
        <w:t xml:space="preserve">associated </w:t>
      </w:r>
      <w:r w:rsidR="005D17ED" w:rsidRPr="003E6051">
        <w:t>underutilisation of advanced quantitative techniques</w:t>
      </w:r>
      <w:r w:rsidR="005D17ED">
        <w:t xml:space="preserve"> </w:t>
      </w:r>
      <w:r w:rsidR="004449B0">
        <w:t xml:space="preserve"> </w:t>
      </w:r>
      <w:sdt>
        <w:sdtPr>
          <w:id w:val="-228152188"/>
          <w:citation/>
        </w:sdtPr>
        <w:sdtContent>
          <w:r w:rsidR="004449B0" w:rsidRPr="003E6051">
            <w:fldChar w:fldCharType="begin"/>
          </w:r>
          <w:r w:rsidR="004449B0" w:rsidRPr="003E6051">
            <w:rPr>
              <w:lang w:val="en-US"/>
            </w:rPr>
            <w:instrText xml:space="preserve"> CITATION Rob18 \l 1033 </w:instrText>
          </w:r>
          <w:r w:rsidR="004449B0" w:rsidRPr="003E6051">
            <w:fldChar w:fldCharType="separate"/>
          </w:r>
          <w:r w:rsidR="004449B0" w:rsidRPr="003E6051">
            <w:rPr>
              <w:noProof/>
              <w:lang w:val="en-US"/>
            </w:rPr>
            <w:t>(Robert Pellerin, 2018)</w:t>
          </w:r>
          <w:r w:rsidR="004449B0" w:rsidRPr="003E6051">
            <w:fldChar w:fldCharType="end"/>
          </w:r>
        </w:sdtContent>
      </w:sdt>
      <w:r w:rsidR="005C62C0">
        <w:t>.</w:t>
      </w:r>
      <w:r w:rsidR="004449B0">
        <w:t xml:space="preserve"> </w:t>
      </w:r>
      <w:r w:rsidR="005C62C0">
        <w:t xml:space="preserve"> </w:t>
      </w:r>
    </w:p>
    <w:p w14:paraId="0412AD45" w14:textId="77777777" w:rsidR="005C62C0" w:rsidRDefault="005C62C0" w:rsidP="007C1BEE">
      <w:pPr>
        <w:spacing w:after="0" w:line="360" w:lineRule="auto"/>
        <w:ind w:left="-578" w:right="-576"/>
        <w:jc w:val="both"/>
      </w:pPr>
    </w:p>
    <w:p w14:paraId="666E0879" w14:textId="1F6DEC97" w:rsidR="0057746B" w:rsidRPr="003E6051" w:rsidRDefault="00000000" w:rsidP="007C1BEE">
      <w:pPr>
        <w:spacing w:after="0" w:line="360" w:lineRule="auto"/>
        <w:ind w:left="-578" w:right="-576"/>
        <w:jc w:val="both"/>
      </w:pPr>
      <w:sdt>
        <w:sdtPr>
          <w:id w:val="-887258223"/>
          <w:citation/>
        </w:sdtPr>
        <w:sdtContent>
          <w:r w:rsidR="0057746B" w:rsidRPr="003E6051">
            <w:fldChar w:fldCharType="begin"/>
          </w:r>
          <w:r w:rsidR="0057746B" w:rsidRPr="003E6051">
            <w:rPr>
              <w:lang w:val="en-US"/>
            </w:rPr>
            <w:instrText xml:space="preserve"> CITATION TRa01 \l 1033 </w:instrText>
          </w:r>
          <w:r w:rsidR="0057746B" w:rsidRPr="003E6051">
            <w:fldChar w:fldCharType="separate"/>
          </w:r>
          <w:r w:rsidR="0057746B" w:rsidRPr="003E6051">
            <w:rPr>
              <w:noProof/>
              <w:lang w:val="en-US"/>
            </w:rPr>
            <w:t>(T. Raz, 2001)</w:t>
          </w:r>
          <w:r w:rsidR="0057746B" w:rsidRPr="003E6051">
            <w:fldChar w:fldCharType="end"/>
          </w:r>
        </w:sdtContent>
      </w:sdt>
      <w:r w:rsidR="0057746B" w:rsidRPr="003E6051">
        <w:t xml:space="preserve"> stress</w:t>
      </w:r>
      <w:r w:rsidR="00797BCB">
        <w:t>es</w:t>
      </w:r>
      <w:r w:rsidR="0057746B" w:rsidRPr="003E6051">
        <w:t xml:space="preserve"> the necessity of organisation-wide investment in PRM processes, advocating a standardised, systematic approach to risk assessment that aligns with the decision-support methodologies proposed by </w:t>
      </w:r>
      <w:sdt>
        <w:sdtPr>
          <w:id w:val="-1030884531"/>
          <w:citation/>
        </w:sdtPr>
        <w:sdtContent>
          <w:r w:rsidR="0057746B" w:rsidRPr="003E6051">
            <w:fldChar w:fldCharType="begin"/>
          </w:r>
          <w:r w:rsidR="0057746B" w:rsidRPr="003E6051">
            <w:rPr>
              <w:lang w:val="en-US"/>
            </w:rPr>
            <w:instrText xml:space="preserve"> CITATION Van14 \l 1033 </w:instrText>
          </w:r>
          <w:r w:rsidR="0057746B" w:rsidRPr="003E6051">
            <w:fldChar w:fldCharType="separate"/>
          </w:r>
          <w:r w:rsidR="0057746B" w:rsidRPr="003E6051">
            <w:rPr>
              <w:noProof/>
              <w:lang w:val="en-US"/>
            </w:rPr>
            <w:t>(Vanessa Manotas Niño, 2014)</w:t>
          </w:r>
          <w:r w:rsidR="0057746B" w:rsidRPr="003E6051">
            <w:fldChar w:fldCharType="end"/>
          </w:r>
        </w:sdtContent>
      </w:sdt>
      <w:r w:rsidR="0057746B" w:rsidRPr="003E6051">
        <w:t xml:space="preserve">. However, despite emphasis on methodological standardisation, critical gaps remain in tool integration. </w:t>
      </w:r>
      <w:sdt>
        <w:sdtPr>
          <w:id w:val="281551229"/>
          <w:citation/>
        </w:sdtPr>
        <w:sdtContent>
          <w:r w:rsidR="0057746B" w:rsidRPr="003E6051">
            <w:fldChar w:fldCharType="begin"/>
          </w:r>
          <w:r w:rsidR="0057746B" w:rsidRPr="003E6051">
            <w:rPr>
              <w:lang w:val="en-US"/>
            </w:rPr>
            <w:instrText xml:space="preserve"> CITATION Ire04 \l 1033 </w:instrText>
          </w:r>
          <w:r w:rsidR="0057746B" w:rsidRPr="003E6051">
            <w:fldChar w:fldCharType="separate"/>
          </w:r>
          <w:r w:rsidR="0057746B" w:rsidRPr="003E6051">
            <w:rPr>
              <w:noProof/>
              <w:lang w:val="en-US"/>
            </w:rPr>
            <w:t xml:space="preserve"> (Irem Dikmen, 2004)</w:t>
          </w:r>
          <w:r w:rsidR="0057746B" w:rsidRPr="003E6051">
            <w:fldChar w:fldCharType="end"/>
          </w:r>
        </w:sdtContent>
      </w:sdt>
      <w:r w:rsidR="0057746B" w:rsidRPr="003E6051">
        <w:t xml:space="preserve"> critique</w:t>
      </w:r>
      <w:r w:rsidR="00C25AA4">
        <w:t>s</w:t>
      </w:r>
      <w:r w:rsidR="0057746B" w:rsidRPr="003E6051">
        <w:t xml:space="preserve"> existing PRM tools for their lack of interoperability, which limits their adaptability in dynamic project environments. Similarly, </w:t>
      </w:r>
      <w:sdt>
        <w:sdtPr>
          <w:id w:val="-1690375616"/>
          <w:citation/>
        </w:sdtPr>
        <w:sdtContent>
          <w:r w:rsidR="0057746B" w:rsidRPr="003E6051">
            <w:fldChar w:fldCharType="begin"/>
          </w:r>
          <w:r w:rsidR="0057746B" w:rsidRPr="003E6051">
            <w:rPr>
              <w:lang w:val="en-US"/>
            </w:rPr>
            <w:instrText xml:space="preserve"> CITATION Jac18 \l 1033 </w:instrText>
          </w:r>
          <w:r w:rsidR="0057746B" w:rsidRPr="003E6051">
            <w:fldChar w:fldCharType="separate"/>
          </w:r>
          <w:r w:rsidR="0057746B" w:rsidRPr="003E6051">
            <w:rPr>
              <w:noProof/>
              <w:lang w:val="en-US"/>
            </w:rPr>
            <w:t>(Jacqueline Jepson, 2018)</w:t>
          </w:r>
          <w:r w:rsidR="0057746B" w:rsidRPr="003E6051">
            <w:fldChar w:fldCharType="end"/>
          </w:r>
        </w:sdtContent>
      </w:sdt>
      <w:r w:rsidR="0057746B" w:rsidRPr="003E6051">
        <w:t>, observe that construction project managers often bypass statistical risk assessment methods due to the uniqueness of each project and time constraints, resulting in a reliance on intuitive, experience-based risk management strategies.</w:t>
      </w:r>
    </w:p>
    <w:p w14:paraId="6A3AA83F" w14:textId="77777777" w:rsidR="007246CC" w:rsidRPr="003E6051" w:rsidRDefault="007246CC" w:rsidP="007C1BEE">
      <w:pPr>
        <w:spacing w:after="0" w:line="360" w:lineRule="auto"/>
        <w:ind w:left="-578" w:right="-576"/>
        <w:jc w:val="both"/>
      </w:pPr>
    </w:p>
    <w:p w14:paraId="2F345832" w14:textId="77777777" w:rsidR="0057746B" w:rsidRPr="003E6051" w:rsidRDefault="0057746B" w:rsidP="007C1BEE">
      <w:pPr>
        <w:spacing w:after="0" w:line="360" w:lineRule="auto"/>
        <w:ind w:left="-578" w:right="-576"/>
        <w:jc w:val="both"/>
      </w:pPr>
      <w:r w:rsidRPr="003E6051">
        <w:t xml:space="preserve">A sector-specific perspective is provided by </w:t>
      </w:r>
      <w:sdt>
        <w:sdtPr>
          <w:id w:val="413976450"/>
          <w:citation/>
        </w:sdtPr>
        <w:sdtContent>
          <w:r w:rsidRPr="003E6051">
            <w:fldChar w:fldCharType="begin"/>
          </w:r>
          <w:r w:rsidRPr="003E6051">
            <w:rPr>
              <w:lang w:val="en-US"/>
            </w:rPr>
            <w:instrText xml:space="preserve"> CITATION Ant13 \l 1033 </w:instrText>
          </w:r>
          <w:r w:rsidRPr="003E6051">
            <w:fldChar w:fldCharType="separate"/>
          </w:r>
          <w:r w:rsidRPr="003E6051">
            <w:rPr>
              <w:noProof/>
              <w:lang w:val="en-US"/>
            </w:rPr>
            <w:t>(Antonio G. Sanjuana, 2013)</w:t>
          </w:r>
          <w:r w:rsidRPr="003E6051">
            <w:fldChar w:fldCharType="end"/>
          </w:r>
        </w:sdtContent>
      </w:sdt>
      <w:r w:rsidRPr="003E6051">
        <w:t xml:space="preserve">, who develop a project management (PM) assessment tool tailored for construction projects, integrating established standards to measure project success. This contrasts with the broader perspective of </w:t>
      </w:r>
      <w:sdt>
        <w:sdtPr>
          <w:id w:val="1083101277"/>
          <w:citation/>
        </w:sdtPr>
        <w:sdtContent>
          <w:r w:rsidRPr="003E6051">
            <w:fldChar w:fldCharType="begin"/>
          </w:r>
          <w:r w:rsidRPr="003E6051">
            <w:rPr>
              <w:lang w:val="en-US"/>
            </w:rPr>
            <w:instrText xml:space="preserve"> CITATION Rob18 \l 1033 </w:instrText>
          </w:r>
          <w:r w:rsidRPr="003E6051">
            <w:fldChar w:fldCharType="separate"/>
          </w:r>
          <w:r w:rsidRPr="003E6051">
            <w:rPr>
              <w:noProof/>
              <w:lang w:val="en-US"/>
            </w:rPr>
            <w:t>(Robert Pellerin, 2018)</w:t>
          </w:r>
          <w:r w:rsidRPr="003E6051">
            <w:fldChar w:fldCharType="end"/>
          </w:r>
        </w:sdtContent>
      </w:sdt>
      <w:r w:rsidRPr="003E6051">
        <w:t>, who advocate for adaptive decision-making and stochastic modelling to address uncertainties in complex projects. Their research suggests that AI-enhanced tools and probabilistic risk assessment methods could significantly improve risk prediction accuracy, thereby bridging the gap between theoretical methodologies and real-world applications.</w:t>
      </w:r>
    </w:p>
    <w:p w14:paraId="58890A41" w14:textId="77777777" w:rsidR="0057746B" w:rsidRPr="003E6051" w:rsidRDefault="0057746B" w:rsidP="00D76ACD">
      <w:pPr>
        <w:spacing w:after="0" w:line="360" w:lineRule="auto"/>
        <w:ind w:right="-576"/>
        <w:jc w:val="both"/>
      </w:pPr>
    </w:p>
    <w:p w14:paraId="1C5B539B" w14:textId="58260321" w:rsidR="0057746B" w:rsidRPr="003E6051" w:rsidRDefault="00886CEB" w:rsidP="007C1BEE">
      <w:pPr>
        <w:spacing w:after="0" w:line="360" w:lineRule="auto"/>
        <w:ind w:left="-578" w:right="-576"/>
        <w:jc w:val="both"/>
      </w:pPr>
      <w:r w:rsidRPr="006D0FAA">
        <w:t>The literature underscores that while risk management methodologies provide essential structure and guidance, their practical application is often constrained by organisational behaviour, stakeholder biases, and industry-specific challenges. Effective risk management requires more than just identifying risks, it demands integration into a dynamic, iterative process that fosters proactive engagement, empirical validation, and collaboration. Only through such an adaptive and context-sensitive approach can risk management meaningfully contribute to project success.</w:t>
      </w:r>
      <w:r>
        <w:t xml:space="preserve"> </w:t>
      </w:r>
      <w:r w:rsidR="006D0FAA">
        <w:t>There is</w:t>
      </w:r>
      <w:r w:rsidR="0057746B" w:rsidRPr="003E6051">
        <w:t xml:space="preserve"> a need for PRM frameworks that not only standardise risk assessment methodologies but also accommodate industry-specific challenges, foster knowledge-sharing mechanisms, and incorporate feedback loops for continuous improvement. The integration of AI-driven risk management tools, as suggested by </w:t>
      </w:r>
      <w:sdt>
        <w:sdtPr>
          <w:id w:val="-826820070"/>
          <w:citation/>
        </w:sdtPr>
        <w:sdtContent>
          <w:r w:rsidR="0057746B" w:rsidRPr="003E6051">
            <w:fldChar w:fldCharType="begin"/>
          </w:r>
          <w:r w:rsidR="0057746B" w:rsidRPr="003E6051">
            <w:rPr>
              <w:lang w:val="en-US"/>
            </w:rPr>
            <w:instrText xml:space="preserve"> CITATION Rob18 \l 1033 </w:instrText>
          </w:r>
          <w:r w:rsidR="0057746B" w:rsidRPr="003E6051">
            <w:fldChar w:fldCharType="separate"/>
          </w:r>
          <w:r w:rsidR="0057746B" w:rsidRPr="003E6051">
            <w:rPr>
              <w:noProof/>
              <w:lang w:val="en-US"/>
            </w:rPr>
            <w:t>(Robert Pellerin, 2018)</w:t>
          </w:r>
          <w:r w:rsidR="0057746B" w:rsidRPr="003E6051">
            <w:fldChar w:fldCharType="end"/>
          </w:r>
        </w:sdtContent>
      </w:sdt>
      <w:r w:rsidR="0057746B" w:rsidRPr="003E6051">
        <w:t>, offers a promising solution by enhancing predictive accuracy and decision-making efficiency. However, achieving widespread adoption will require overcoming key barriers, including organisational resistance, specialised training, and the challenge of balancing standardisation with flexibility for diverse project environments.</w:t>
      </w:r>
      <w:r w:rsidR="006372E1">
        <w:t xml:space="preserve"> </w:t>
      </w:r>
      <w:r w:rsidR="006D0FAA">
        <w:t>These more complex needs are explored further below.</w:t>
      </w:r>
    </w:p>
    <w:p w14:paraId="76A31BAD" w14:textId="77777777" w:rsidR="0057746B" w:rsidRPr="003E6051" w:rsidRDefault="0057746B" w:rsidP="007C1BEE">
      <w:pPr>
        <w:spacing w:after="0" w:line="360" w:lineRule="auto"/>
        <w:ind w:left="-578" w:right="-576"/>
        <w:jc w:val="both"/>
      </w:pPr>
    </w:p>
    <w:p w14:paraId="6A69A8CB" w14:textId="28DE7C50" w:rsidR="0057746B" w:rsidRPr="003E6051" w:rsidRDefault="00D95C90" w:rsidP="007C1BEE">
      <w:pPr>
        <w:spacing w:after="0" w:line="360" w:lineRule="auto"/>
        <w:ind w:left="-578" w:right="-576"/>
        <w:jc w:val="both"/>
        <w:rPr>
          <w:color w:val="FF0000"/>
        </w:rPr>
      </w:pPr>
      <w:r>
        <w:rPr>
          <w:color w:val="FF0000"/>
        </w:rPr>
        <w:t>8</w:t>
      </w:r>
      <w:r w:rsidR="00E43C43">
        <w:rPr>
          <w:color w:val="FF0000"/>
        </w:rPr>
        <w:t>20</w:t>
      </w:r>
      <w:r>
        <w:rPr>
          <w:color w:val="FF0000"/>
        </w:rPr>
        <w:t xml:space="preserve"> (29</w:t>
      </w:r>
      <w:r w:rsidR="00E43C43">
        <w:rPr>
          <w:color w:val="FF0000"/>
        </w:rPr>
        <w:t>46</w:t>
      </w:r>
      <w:r w:rsidR="00AB630D" w:rsidRPr="003E6051">
        <w:rPr>
          <w:color w:val="FF0000"/>
        </w:rPr>
        <w:t>)</w:t>
      </w:r>
    </w:p>
    <w:p w14:paraId="68AB0CDC" w14:textId="051931BC" w:rsidR="008C299E" w:rsidRPr="003E6051" w:rsidRDefault="008C299E" w:rsidP="007C1BEE">
      <w:pPr>
        <w:spacing w:after="0"/>
        <w:rPr>
          <w:color w:val="FF0000"/>
        </w:rPr>
      </w:pPr>
      <w:r w:rsidRPr="003E6051">
        <w:rPr>
          <w:color w:val="FF0000"/>
        </w:rPr>
        <w:br w:type="page"/>
      </w:r>
    </w:p>
    <w:p w14:paraId="3295BCA9" w14:textId="10402828" w:rsidR="008C299E" w:rsidRPr="003E6051" w:rsidRDefault="008C299E" w:rsidP="007C1BEE">
      <w:pPr>
        <w:pStyle w:val="Heading2"/>
        <w:spacing w:before="0" w:line="360" w:lineRule="auto"/>
        <w:ind w:left="-576" w:right="-576"/>
      </w:pPr>
      <w:bookmarkStart w:id="21" w:name="_Toc219216469"/>
      <w:r w:rsidRPr="003E6051">
        <w:rPr>
          <w:sz w:val="22"/>
          <w:szCs w:val="22"/>
        </w:rPr>
        <w:lastRenderedPageBreak/>
        <w:t xml:space="preserve">6.3. </w:t>
      </w:r>
      <w:r w:rsidRPr="003E6051">
        <w:rPr>
          <w:sz w:val="22"/>
          <w:szCs w:val="22"/>
          <w:u w:val="single"/>
        </w:rPr>
        <w:t>Perception of Risk and Risk Management Tools</w:t>
      </w:r>
      <w:r w:rsidRPr="003E6051">
        <w:rPr>
          <w:u w:val="single"/>
        </w:rPr>
        <w:t>.</w:t>
      </w:r>
      <w:bookmarkEnd w:id="21"/>
      <w:r w:rsidRPr="003E6051">
        <w:t xml:space="preserve"> </w:t>
      </w:r>
    </w:p>
    <w:p w14:paraId="7415751A" w14:textId="77777777" w:rsidR="008C299E" w:rsidRPr="003E6051" w:rsidRDefault="008C299E" w:rsidP="007C1BEE">
      <w:pPr>
        <w:spacing w:after="0" w:line="360" w:lineRule="auto"/>
        <w:ind w:left="-578" w:right="-576"/>
        <w:jc w:val="both"/>
      </w:pPr>
    </w:p>
    <w:p w14:paraId="354510E2" w14:textId="0FBEDF95" w:rsidR="008C299E" w:rsidRPr="003E6051" w:rsidRDefault="008C299E" w:rsidP="007C1BEE">
      <w:pPr>
        <w:spacing w:after="0" w:line="360" w:lineRule="auto"/>
        <w:ind w:left="-578" w:right="-576"/>
        <w:jc w:val="both"/>
      </w:pPr>
      <w:r w:rsidRPr="003E6051">
        <w:t xml:space="preserve">Understanding risk and risk assessments is </w:t>
      </w:r>
      <w:r w:rsidR="00D83243">
        <w:t>central to</w:t>
      </w:r>
      <w:r w:rsidRPr="003E6051">
        <w:t xml:space="preserve"> effective decision-making in complex and uncertain environments</w:t>
      </w:r>
      <w:r w:rsidR="00054421">
        <w:t xml:space="preserve"> </w:t>
      </w:r>
      <w:sdt>
        <w:sdtPr>
          <w:id w:val="232597663"/>
          <w:citation/>
        </w:sdtPr>
        <w:sdtContent>
          <w:r w:rsidR="00054421">
            <w:fldChar w:fldCharType="begin"/>
          </w:r>
          <w:r w:rsidR="00054421">
            <w:rPr>
              <w:lang w:val="en-US"/>
            </w:rPr>
            <w:instrText xml:space="preserve"> CITATION Mar18 \l 1033 </w:instrText>
          </w:r>
          <w:r w:rsidR="00054421">
            <w:fldChar w:fldCharType="separate"/>
          </w:r>
          <w:r w:rsidR="00054421" w:rsidRPr="00054421">
            <w:rPr>
              <w:noProof/>
              <w:lang w:val="en-US"/>
            </w:rPr>
            <w:t>(Kolios, 2018)</w:t>
          </w:r>
          <w:r w:rsidR="00054421">
            <w:fldChar w:fldCharType="end"/>
          </w:r>
        </w:sdtContent>
      </w:sdt>
      <w:sdt>
        <w:sdtPr>
          <w:id w:val="-1807852687"/>
          <w:citation/>
        </w:sdtPr>
        <w:sdtContent>
          <w:r w:rsidR="00054421">
            <w:fldChar w:fldCharType="begin"/>
          </w:r>
          <w:r w:rsidR="00054421">
            <w:rPr>
              <w:lang w:val="en-US"/>
            </w:rPr>
            <w:instrText xml:space="preserve"> CITATION Gul18 \l 1033 </w:instrText>
          </w:r>
          <w:r w:rsidR="00054421">
            <w:fldChar w:fldCharType="separate"/>
          </w:r>
          <w:r w:rsidR="00054421">
            <w:rPr>
              <w:noProof/>
              <w:lang w:val="en-US"/>
            </w:rPr>
            <w:t xml:space="preserve"> </w:t>
          </w:r>
          <w:r w:rsidR="00054421" w:rsidRPr="00054421">
            <w:rPr>
              <w:noProof/>
              <w:lang w:val="en-US"/>
            </w:rPr>
            <w:t>(Gul M, 2018)</w:t>
          </w:r>
          <w:r w:rsidR="00054421">
            <w:fldChar w:fldCharType="end"/>
          </w:r>
        </w:sdtContent>
      </w:sdt>
      <w:r w:rsidRPr="003E6051">
        <w:t>. The literature provides a broad and critical overview of the diverse methods used to identify, analyse, document, and control risks across multiple industries</w:t>
      </w:r>
      <w:r w:rsidR="008E6E04">
        <w:t xml:space="preserve"> </w:t>
      </w:r>
      <w:sdt>
        <w:sdtPr>
          <w:id w:val="-198010732"/>
          <w:citation/>
        </w:sdtPr>
        <w:sdtContent>
          <w:r w:rsidR="008E6E04">
            <w:fldChar w:fldCharType="begin"/>
          </w:r>
          <w:r w:rsidR="008E6E04">
            <w:rPr>
              <w:lang w:val="en-US"/>
            </w:rPr>
            <w:instrText xml:space="preserve"> CITATION Ime24 \l 1033 </w:instrText>
          </w:r>
          <w:r w:rsidR="008E6E04">
            <w:fldChar w:fldCharType="separate"/>
          </w:r>
          <w:r w:rsidR="008E6E04" w:rsidRPr="008E6E04">
            <w:rPr>
              <w:noProof/>
              <w:lang w:val="en-US"/>
            </w:rPr>
            <w:t>(Imene Mohammedi, 2024)</w:t>
          </w:r>
          <w:r w:rsidR="008E6E04">
            <w:fldChar w:fldCharType="end"/>
          </w:r>
        </w:sdtContent>
      </w:sdt>
      <w:r w:rsidRPr="003E6051">
        <w:t>. These methods, while varying in complexity and applicability, are unified under international standards such as ISO 31000 and ISO/IEC 31010</w:t>
      </w:r>
      <w:r w:rsidR="00667E16">
        <w:t xml:space="preserve"> </w:t>
      </w:r>
      <w:sdt>
        <w:sdtPr>
          <w:id w:val="410971268"/>
          <w:citation/>
        </w:sdtPr>
        <w:sdtContent>
          <w:r w:rsidR="00667E16">
            <w:fldChar w:fldCharType="begin"/>
          </w:r>
          <w:r w:rsidR="00667E16">
            <w:rPr>
              <w:lang w:val="en-US"/>
            </w:rPr>
            <w:instrText xml:space="preserve"> CITATION Muh18 \l 1033 </w:instrText>
          </w:r>
          <w:r w:rsidR="00667E16">
            <w:fldChar w:fldCharType="separate"/>
          </w:r>
          <w:r w:rsidR="00667E16" w:rsidRPr="00667E16">
            <w:rPr>
              <w:noProof/>
              <w:lang w:val="en-US"/>
            </w:rPr>
            <w:t>(Muhammet Gul, 2018)</w:t>
          </w:r>
          <w:r w:rsidR="00667E16">
            <w:fldChar w:fldCharType="end"/>
          </w:r>
        </w:sdtContent>
      </w:sdt>
      <w:r w:rsidR="007653DD">
        <w:t xml:space="preserve"> </w:t>
      </w:r>
      <w:sdt>
        <w:sdtPr>
          <w:id w:val="-692838014"/>
          <w:citation/>
        </w:sdtPr>
        <w:sdtContent>
          <w:r w:rsidR="007653DD">
            <w:fldChar w:fldCharType="begin"/>
          </w:r>
          <w:r w:rsidR="007653DD">
            <w:rPr>
              <w:lang w:val="en-US"/>
            </w:rPr>
            <w:instrText xml:space="preserve"> CITATION Whi \l 1033 </w:instrText>
          </w:r>
          <w:r w:rsidR="007653DD">
            <w:fldChar w:fldCharType="separate"/>
          </w:r>
          <w:r w:rsidR="007653DD" w:rsidRPr="007653DD">
            <w:rPr>
              <w:noProof/>
              <w:lang w:val="en-US"/>
            </w:rPr>
            <w:t>(Whiting, n.d.)</w:t>
          </w:r>
          <w:r w:rsidR="007653DD">
            <w:fldChar w:fldCharType="end"/>
          </w:r>
        </w:sdtContent>
      </w:sdt>
      <w:r w:rsidRPr="003E6051">
        <w:t xml:space="preserve">. </w:t>
      </w:r>
      <w:r w:rsidR="008E2F8D">
        <w:t>The</w:t>
      </w:r>
      <w:r w:rsidRPr="003E6051">
        <w:t xml:space="preserve"> tools are </w:t>
      </w:r>
      <w:r w:rsidR="000416BD">
        <w:t>grouped</w:t>
      </w:r>
      <w:r w:rsidRPr="003E6051">
        <w:t xml:space="preserve"> into five functional categories: Risk Identification Methods, Risk Analysis Tools (Qualitative &amp; Quantitative), Functional &amp; Failure Analysis Techniques, Risk Documentation &amp; Monitoring Tools, and Risk Control &amp; Visualisation Methods</w:t>
      </w:r>
      <w:r w:rsidR="007653DD">
        <w:t xml:space="preserve"> </w:t>
      </w:r>
      <w:sdt>
        <w:sdtPr>
          <w:id w:val="1225176868"/>
          <w:citation/>
        </w:sdtPr>
        <w:sdtContent>
          <w:r w:rsidR="007653DD">
            <w:fldChar w:fldCharType="begin"/>
          </w:r>
          <w:r w:rsidR="007653DD">
            <w:rPr>
              <w:lang w:val="en-US"/>
            </w:rPr>
            <w:instrText xml:space="preserve"> CITATION Whi \l 1033 </w:instrText>
          </w:r>
          <w:r w:rsidR="007653DD">
            <w:fldChar w:fldCharType="separate"/>
          </w:r>
          <w:r w:rsidR="007653DD" w:rsidRPr="007653DD">
            <w:rPr>
              <w:noProof/>
              <w:lang w:val="en-US"/>
            </w:rPr>
            <w:t>(Whiting, n.d.)</w:t>
          </w:r>
          <w:r w:rsidR="007653DD">
            <w:fldChar w:fldCharType="end"/>
          </w:r>
        </w:sdtContent>
      </w:sdt>
      <w:sdt>
        <w:sdtPr>
          <w:id w:val="1072934622"/>
          <w:citation/>
        </w:sdtPr>
        <w:sdtContent>
          <w:r w:rsidR="007653DD">
            <w:fldChar w:fldCharType="begin"/>
          </w:r>
          <w:r w:rsidR="007653DD">
            <w:rPr>
              <w:lang w:val="en-US"/>
            </w:rPr>
            <w:instrText xml:space="preserve"> CITATION Mar18 \l 1033 </w:instrText>
          </w:r>
          <w:r w:rsidR="007653DD">
            <w:fldChar w:fldCharType="separate"/>
          </w:r>
          <w:r w:rsidR="007653DD">
            <w:rPr>
              <w:noProof/>
              <w:lang w:val="en-US"/>
            </w:rPr>
            <w:t xml:space="preserve"> </w:t>
          </w:r>
          <w:r w:rsidR="007653DD" w:rsidRPr="007653DD">
            <w:rPr>
              <w:noProof/>
              <w:lang w:val="en-US"/>
            </w:rPr>
            <w:t>(Kolios, 2018)</w:t>
          </w:r>
          <w:r w:rsidR="007653DD">
            <w:fldChar w:fldCharType="end"/>
          </w:r>
        </w:sdtContent>
      </w:sdt>
      <w:r w:rsidRPr="003E6051">
        <w:t>. This categorisation not only highlights methodological diversity but also underscores sector-specific adaptations and common challenges in data availability, subjectivity, and communication</w:t>
      </w:r>
      <w:r w:rsidR="008E6E04">
        <w:t xml:space="preserve"> </w:t>
      </w:r>
      <w:sdt>
        <w:sdtPr>
          <w:id w:val="-1909685404"/>
          <w:citation/>
        </w:sdtPr>
        <w:sdtContent>
          <w:r w:rsidR="008E6E04">
            <w:fldChar w:fldCharType="begin"/>
          </w:r>
          <w:r w:rsidR="008E6E04">
            <w:rPr>
              <w:lang w:val="en-US"/>
            </w:rPr>
            <w:instrText xml:space="preserve"> CITATION Muh18 \l 1033 </w:instrText>
          </w:r>
          <w:r w:rsidR="008E6E04">
            <w:fldChar w:fldCharType="separate"/>
          </w:r>
          <w:r w:rsidR="008E6E04" w:rsidRPr="00667E16">
            <w:rPr>
              <w:noProof/>
              <w:lang w:val="en-US"/>
            </w:rPr>
            <w:t>(Muhammet Gul, 2018)</w:t>
          </w:r>
          <w:r w:rsidR="008E6E04">
            <w:fldChar w:fldCharType="end"/>
          </w:r>
        </w:sdtContent>
      </w:sdt>
      <w:r w:rsidRPr="003E6051">
        <w:t xml:space="preserve">. </w:t>
      </w:r>
    </w:p>
    <w:p w14:paraId="27EE5A95" w14:textId="77777777" w:rsidR="008C299E" w:rsidRPr="003E6051" w:rsidRDefault="008C299E" w:rsidP="007C1BEE">
      <w:pPr>
        <w:spacing w:after="0" w:line="360" w:lineRule="auto"/>
        <w:ind w:left="-578" w:right="-576"/>
        <w:jc w:val="both"/>
      </w:pPr>
    </w:p>
    <w:tbl>
      <w:tblPr>
        <w:tblW w:w="1017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2590"/>
        <w:gridCol w:w="3150"/>
        <w:gridCol w:w="3420"/>
      </w:tblGrid>
      <w:tr w:rsidR="007C1BEE" w:rsidRPr="003E6051" w14:paraId="7244D366" w14:textId="77777777" w:rsidTr="007C1BEE">
        <w:trPr>
          <w:trHeight w:val="300"/>
        </w:trPr>
        <w:tc>
          <w:tcPr>
            <w:tcW w:w="1010" w:type="dxa"/>
            <w:shd w:val="clear" w:color="000000" w:fill="DAE9F8"/>
            <w:vAlign w:val="center"/>
            <w:hideMark/>
          </w:tcPr>
          <w:p w14:paraId="10E4B3BB" w14:textId="77777777" w:rsidR="007C1BEE" w:rsidRPr="007C1BEE" w:rsidRDefault="007C1BEE" w:rsidP="007C1BEE">
            <w:pPr>
              <w:spacing w:after="0" w:line="276" w:lineRule="auto"/>
              <w:jc w:val="center"/>
              <w:rPr>
                <w:rFonts w:eastAsia="Times New Roman"/>
                <w:b/>
                <w:bCs/>
                <w:color w:val="000000"/>
                <w:lang w:eastAsia="en-GB"/>
              </w:rPr>
            </w:pPr>
            <w:r w:rsidRPr="007C1BEE">
              <w:rPr>
                <w:rFonts w:eastAsia="Times New Roman"/>
                <w:b/>
                <w:bCs/>
                <w:color w:val="000000"/>
                <w:lang w:eastAsia="en-GB"/>
              </w:rPr>
              <w:t>Category</w:t>
            </w:r>
          </w:p>
        </w:tc>
        <w:tc>
          <w:tcPr>
            <w:tcW w:w="2590" w:type="dxa"/>
            <w:shd w:val="clear" w:color="000000" w:fill="DAE9F8"/>
            <w:vAlign w:val="center"/>
            <w:hideMark/>
          </w:tcPr>
          <w:p w14:paraId="30CFB9AB" w14:textId="77777777" w:rsidR="007C1BEE" w:rsidRPr="007C1BEE" w:rsidRDefault="007C1BEE" w:rsidP="007C1BEE">
            <w:pPr>
              <w:spacing w:after="0" w:line="276" w:lineRule="auto"/>
              <w:jc w:val="center"/>
              <w:rPr>
                <w:rFonts w:eastAsia="Times New Roman"/>
                <w:b/>
                <w:bCs/>
                <w:color w:val="000000"/>
                <w:lang w:eastAsia="en-GB"/>
              </w:rPr>
            </w:pPr>
            <w:r w:rsidRPr="007C1BEE">
              <w:rPr>
                <w:rFonts w:eastAsia="Times New Roman"/>
                <w:b/>
                <w:bCs/>
                <w:color w:val="000000"/>
                <w:lang w:eastAsia="en-GB"/>
              </w:rPr>
              <w:t>Method</w:t>
            </w:r>
          </w:p>
        </w:tc>
        <w:tc>
          <w:tcPr>
            <w:tcW w:w="3150" w:type="dxa"/>
            <w:shd w:val="clear" w:color="000000" w:fill="DAE9F8"/>
            <w:vAlign w:val="center"/>
            <w:hideMark/>
          </w:tcPr>
          <w:p w14:paraId="2C129975" w14:textId="77777777" w:rsidR="007C1BEE" w:rsidRPr="007C1BEE" w:rsidRDefault="007C1BEE" w:rsidP="007C1BEE">
            <w:pPr>
              <w:spacing w:after="0" w:line="276" w:lineRule="auto"/>
              <w:jc w:val="center"/>
              <w:rPr>
                <w:rFonts w:eastAsia="Times New Roman"/>
                <w:b/>
                <w:bCs/>
                <w:color w:val="000000"/>
                <w:lang w:eastAsia="en-GB"/>
              </w:rPr>
            </w:pPr>
            <w:r w:rsidRPr="007C1BEE">
              <w:rPr>
                <w:rFonts w:eastAsia="Times New Roman"/>
                <w:b/>
                <w:bCs/>
                <w:color w:val="000000"/>
                <w:lang w:eastAsia="en-GB"/>
              </w:rPr>
              <w:t>Description</w:t>
            </w:r>
          </w:p>
        </w:tc>
        <w:tc>
          <w:tcPr>
            <w:tcW w:w="3420" w:type="dxa"/>
            <w:shd w:val="clear" w:color="000000" w:fill="DAE9F8"/>
            <w:vAlign w:val="center"/>
            <w:hideMark/>
          </w:tcPr>
          <w:p w14:paraId="6095EA27" w14:textId="77777777" w:rsidR="007C1BEE" w:rsidRPr="007C1BEE" w:rsidRDefault="007C1BEE" w:rsidP="007C1BEE">
            <w:pPr>
              <w:spacing w:after="0" w:line="276" w:lineRule="auto"/>
              <w:jc w:val="center"/>
              <w:rPr>
                <w:rFonts w:eastAsia="Times New Roman"/>
                <w:b/>
                <w:bCs/>
                <w:color w:val="000000"/>
                <w:lang w:eastAsia="en-GB"/>
              </w:rPr>
            </w:pPr>
            <w:r w:rsidRPr="007C1BEE">
              <w:rPr>
                <w:rFonts w:eastAsia="Times New Roman"/>
                <w:b/>
                <w:bCs/>
                <w:color w:val="000000"/>
                <w:lang w:eastAsia="en-GB"/>
              </w:rPr>
              <w:t>Best Applied To</w:t>
            </w:r>
          </w:p>
        </w:tc>
      </w:tr>
      <w:tr w:rsidR="007C1BEE" w:rsidRPr="007C1BEE" w14:paraId="792FE4DB" w14:textId="77777777" w:rsidTr="007C1BEE">
        <w:trPr>
          <w:trHeight w:val="900"/>
        </w:trPr>
        <w:tc>
          <w:tcPr>
            <w:tcW w:w="1010" w:type="dxa"/>
            <w:vMerge w:val="restart"/>
            <w:textDirection w:val="btLr"/>
            <w:vAlign w:val="center"/>
            <w:hideMark/>
          </w:tcPr>
          <w:p w14:paraId="556EEC36" w14:textId="77777777" w:rsidR="007C1BEE" w:rsidRPr="007C1BEE" w:rsidRDefault="007C1BEE" w:rsidP="007C1BEE">
            <w:pPr>
              <w:spacing w:after="0" w:line="240" w:lineRule="auto"/>
              <w:jc w:val="center"/>
              <w:rPr>
                <w:rFonts w:eastAsia="Times New Roman"/>
                <w:b/>
                <w:bCs/>
                <w:color w:val="000000"/>
                <w:lang w:eastAsia="en-GB"/>
              </w:rPr>
            </w:pPr>
            <w:r w:rsidRPr="007C1BEE">
              <w:rPr>
                <w:rFonts w:eastAsia="Times New Roman"/>
                <w:b/>
                <w:bCs/>
                <w:color w:val="000000"/>
                <w:lang w:eastAsia="en-GB"/>
              </w:rPr>
              <w:t>Risk Identification Methods</w:t>
            </w:r>
          </w:p>
        </w:tc>
        <w:tc>
          <w:tcPr>
            <w:tcW w:w="2590" w:type="dxa"/>
            <w:vAlign w:val="center"/>
            <w:hideMark/>
          </w:tcPr>
          <w:p w14:paraId="1B68ACB6"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Brainstorming (Supporting Methods)</w:t>
            </w:r>
          </w:p>
        </w:tc>
        <w:tc>
          <w:tcPr>
            <w:tcW w:w="3150" w:type="dxa"/>
            <w:vAlign w:val="center"/>
            <w:hideMark/>
          </w:tcPr>
          <w:p w14:paraId="4813A7EB" w14:textId="77777777" w:rsid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A collaborative approach that gathers insights from stakeholders to identify a broad range of risks.</w:t>
            </w:r>
          </w:p>
          <w:p w14:paraId="40778F26" w14:textId="77777777" w:rsidR="002D487F" w:rsidRPr="003E6051" w:rsidRDefault="002D487F" w:rsidP="007C1BEE">
            <w:pPr>
              <w:spacing w:after="0" w:line="276" w:lineRule="auto"/>
              <w:rPr>
                <w:rFonts w:eastAsia="Times New Roman"/>
                <w:color w:val="000000"/>
                <w:lang w:eastAsia="en-GB"/>
              </w:rPr>
            </w:pPr>
          </w:p>
          <w:p w14:paraId="19B67479" w14:textId="77777777" w:rsidR="003E6051" w:rsidRPr="007C1BEE" w:rsidRDefault="003E6051" w:rsidP="007C1BEE">
            <w:pPr>
              <w:spacing w:after="0" w:line="276" w:lineRule="auto"/>
              <w:rPr>
                <w:rFonts w:eastAsia="Times New Roman"/>
                <w:color w:val="000000"/>
                <w:lang w:eastAsia="en-GB"/>
              </w:rPr>
            </w:pPr>
          </w:p>
        </w:tc>
        <w:tc>
          <w:tcPr>
            <w:tcW w:w="3420" w:type="dxa"/>
            <w:vAlign w:val="center"/>
            <w:hideMark/>
          </w:tcPr>
          <w:p w14:paraId="079EFBD6"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Early-stage projects where diverse perspectives help uncover unforeseen or complex risks</w:t>
            </w:r>
          </w:p>
        </w:tc>
      </w:tr>
      <w:tr w:rsidR="003E6051" w:rsidRPr="007C1BEE" w14:paraId="0592E94F" w14:textId="77777777" w:rsidTr="007C1BEE">
        <w:trPr>
          <w:trHeight w:val="1448"/>
        </w:trPr>
        <w:tc>
          <w:tcPr>
            <w:tcW w:w="1010" w:type="dxa"/>
            <w:vMerge/>
            <w:vAlign w:val="center"/>
            <w:hideMark/>
          </w:tcPr>
          <w:p w14:paraId="3D6B9487" w14:textId="77777777" w:rsidR="007C1BEE" w:rsidRPr="007C1BEE" w:rsidRDefault="007C1BEE" w:rsidP="007C1BEE">
            <w:pPr>
              <w:spacing w:after="0" w:line="240" w:lineRule="auto"/>
              <w:rPr>
                <w:rFonts w:eastAsia="Times New Roman"/>
                <w:b/>
                <w:bCs/>
                <w:color w:val="000000"/>
                <w:lang w:eastAsia="en-GB"/>
              </w:rPr>
            </w:pPr>
          </w:p>
        </w:tc>
        <w:tc>
          <w:tcPr>
            <w:tcW w:w="2590" w:type="dxa"/>
            <w:vAlign w:val="center"/>
            <w:hideMark/>
          </w:tcPr>
          <w:p w14:paraId="632DD954"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Checklists (Look-up Methods)</w:t>
            </w:r>
          </w:p>
        </w:tc>
        <w:tc>
          <w:tcPr>
            <w:tcW w:w="3150" w:type="dxa"/>
            <w:vAlign w:val="center"/>
            <w:hideMark/>
          </w:tcPr>
          <w:p w14:paraId="4ECD6C2E" w14:textId="77777777" w:rsidR="007C1BEE" w:rsidRPr="003E6051" w:rsidRDefault="007C1BEE" w:rsidP="007C1BEE">
            <w:pPr>
              <w:spacing w:after="0" w:line="276" w:lineRule="auto"/>
              <w:rPr>
                <w:rFonts w:eastAsia="Times New Roman"/>
                <w:color w:val="000000"/>
                <w:lang w:eastAsia="en-GB"/>
              </w:rPr>
            </w:pPr>
            <w:r w:rsidRPr="007C1BEE">
              <w:rPr>
                <w:rFonts w:eastAsia="Times New Roman"/>
                <w:color w:val="000000"/>
                <w:lang w:eastAsia="en-GB"/>
              </w:rPr>
              <w:t>Use of pre-defined lists based on historical data and best practices to identify common or known risks.</w:t>
            </w:r>
          </w:p>
          <w:p w14:paraId="70F766FF" w14:textId="77777777" w:rsidR="003E6051" w:rsidRPr="007C1BEE" w:rsidRDefault="003E6051" w:rsidP="007C1BEE">
            <w:pPr>
              <w:spacing w:after="0" w:line="276" w:lineRule="auto"/>
              <w:rPr>
                <w:rFonts w:eastAsia="Times New Roman"/>
                <w:color w:val="000000"/>
                <w:lang w:eastAsia="en-GB"/>
              </w:rPr>
            </w:pPr>
          </w:p>
        </w:tc>
        <w:tc>
          <w:tcPr>
            <w:tcW w:w="3420" w:type="dxa"/>
            <w:vAlign w:val="center"/>
            <w:hideMark/>
          </w:tcPr>
          <w:p w14:paraId="5E372BA9"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Routine operations or compliance-based environments where recurring risks are likely</w:t>
            </w:r>
          </w:p>
        </w:tc>
      </w:tr>
      <w:tr w:rsidR="007C1BEE" w:rsidRPr="007C1BEE" w14:paraId="20645FDD" w14:textId="77777777" w:rsidTr="007C1BEE">
        <w:trPr>
          <w:trHeight w:val="900"/>
        </w:trPr>
        <w:tc>
          <w:tcPr>
            <w:tcW w:w="1010" w:type="dxa"/>
            <w:vMerge w:val="restart"/>
            <w:textDirection w:val="btLr"/>
            <w:vAlign w:val="center"/>
            <w:hideMark/>
          </w:tcPr>
          <w:p w14:paraId="46B7A785" w14:textId="77777777" w:rsidR="007C1BEE" w:rsidRPr="007C1BEE" w:rsidRDefault="007C1BEE" w:rsidP="007C1BEE">
            <w:pPr>
              <w:spacing w:after="0" w:line="240" w:lineRule="auto"/>
              <w:jc w:val="center"/>
              <w:rPr>
                <w:rFonts w:eastAsia="Times New Roman"/>
                <w:b/>
                <w:bCs/>
                <w:color w:val="000000"/>
                <w:lang w:eastAsia="en-GB"/>
              </w:rPr>
            </w:pPr>
            <w:r w:rsidRPr="007C1BEE">
              <w:rPr>
                <w:rFonts w:eastAsia="Times New Roman"/>
                <w:b/>
                <w:bCs/>
                <w:color w:val="000000"/>
                <w:lang w:eastAsia="en-GB"/>
              </w:rPr>
              <w:t>Risk Analysis Tools (Qualitative &amp; Quantitative)</w:t>
            </w:r>
          </w:p>
        </w:tc>
        <w:tc>
          <w:tcPr>
            <w:tcW w:w="2590" w:type="dxa"/>
            <w:vAlign w:val="center"/>
            <w:hideMark/>
          </w:tcPr>
          <w:p w14:paraId="0EA27ABA"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Qualitative Risk Matrices</w:t>
            </w:r>
          </w:p>
        </w:tc>
        <w:tc>
          <w:tcPr>
            <w:tcW w:w="3150" w:type="dxa"/>
            <w:vAlign w:val="center"/>
            <w:hideMark/>
          </w:tcPr>
          <w:p w14:paraId="7B8AA4C3" w14:textId="4D43765A" w:rsid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Categori</w:t>
            </w:r>
            <w:r w:rsidRPr="003E6051">
              <w:rPr>
                <w:rFonts w:eastAsia="Times New Roman"/>
                <w:color w:val="000000"/>
                <w:lang w:eastAsia="en-GB"/>
              </w:rPr>
              <w:t>s</w:t>
            </w:r>
            <w:r w:rsidRPr="007C1BEE">
              <w:rPr>
                <w:rFonts w:eastAsia="Times New Roman"/>
                <w:color w:val="000000"/>
                <w:lang w:eastAsia="en-GB"/>
              </w:rPr>
              <w:t xml:space="preserve">es risks </w:t>
            </w:r>
            <w:r w:rsidR="004062C2" w:rsidRPr="007C1BEE">
              <w:rPr>
                <w:rFonts w:eastAsia="Times New Roman"/>
                <w:color w:val="000000"/>
                <w:lang w:eastAsia="en-GB"/>
              </w:rPr>
              <w:t>(e.g., low/medium/high)</w:t>
            </w:r>
            <w:r w:rsidR="004062C2">
              <w:rPr>
                <w:rFonts w:eastAsia="Times New Roman"/>
                <w:color w:val="000000"/>
                <w:lang w:eastAsia="en-GB"/>
              </w:rPr>
              <w:t xml:space="preserve"> </w:t>
            </w:r>
            <w:r w:rsidRPr="007C1BEE">
              <w:rPr>
                <w:rFonts w:eastAsia="Times New Roman"/>
                <w:color w:val="000000"/>
                <w:lang w:eastAsia="en-GB"/>
              </w:rPr>
              <w:t xml:space="preserve">based on likelihood and impact using a color-coded matrix </w:t>
            </w:r>
            <w:r w:rsidR="004062C2">
              <w:rPr>
                <w:rFonts w:eastAsia="Times New Roman"/>
                <w:color w:val="000000"/>
                <w:lang w:eastAsia="en-GB"/>
              </w:rPr>
              <w:t>.</w:t>
            </w:r>
          </w:p>
          <w:p w14:paraId="45CB080B" w14:textId="77777777" w:rsidR="002D487F" w:rsidRPr="003E6051" w:rsidRDefault="002D487F" w:rsidP="007C1BEE">
            <w:pPr>
              <w:spacing w:after="0" w:line="276" w:lineRule="auto"/>
              <w:rPr>
                <w:rFonts w:eastAsia="Times New Roman"/>
                <w:color w:val="000000"/>
                <w:lang w:eastAsia="en-GB"/>
              </w:rPr>
            </w:pPr>
          </w:p>
          <w:p w14:paraId="0A4AEA25" w14:textId="31B4A2AA" w:rsidR="003E6051" w:rsidRPr="007C1BEE" w:rsidRDefault="003E6051" w:rsidP="007C1BEE">
            <w:pPr>
              <w:spacing w:after="0" w:line="276" w:lineRule="auto"/>
              <w:rPr>
                <w:rFonts w:eastAsia="Times New Roman"/>
                <w:color w:val="000000"/>
                <w:lang w:eastAsia="en-GB"/>
              </w:rPr>
            </w:pPr>
          </w:p>
        </w:tc>
        <w:tc>
          <w:tcPr>
            <w:tcW w:w="3420" w:type="dxa"/>
            <w:vAlign w:val="center"/>
            <w:hideMark/>
          </w:tcPr>
          <w:p w14:paraId="7705463C" w14:textId="635960E9"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Prioriti</w:t>
            </w:r>
            <w:r w:rsidRPr="003E6051">
              <w:rPr>
                <w:rFonts w:eastAsia="Times New Roman"/>
                <w:color w:val="000000"/>
                <w:lang w:eastAsia="en-GB"/>
              </w:rPr>
              <w:t>s</w:t>
            </w:r>
            <w:r w:rsidRPr="007C1BEE">
              <w:rPr>
                <w:rFonts w:eastAsia="Times New Roman"/>
                <w:color w:val="000000"/>
                <w:lang w:eastAsia="en-GB"/>
              </w:rPr>
              <w:t>ing risks when quantitative data is limited or subjective judgment is sufficient.</w:t>
            </w:r>
          </w:p>
        </w:tc>
      </w:tr>
      <w:tr w:rsidR="007C1BEE" w:rsidRPr="007C1BEE" w14:paraId="378E7188" w14:textId="77777777" w:rsidTr="007C1BEE">
        <w:trPr>
          <w:trHeight w:val="1200"/>
        </w:trPr>
        <w:tc>
          <w:tcPr>
            <w:tcW w:w="1010" w:type="dxa"/>
            <w:vMerge/>
            <w:vAlign w:val="center"/>
            <w:hideMark/>
          </w:tcPr>
          <w:p w14:paraId="45BE62B3" w14:textId="77777777" w:rsidR="007C1BEE" w:rsidRPr="007C1BEE" w:rsidRDefault="007C1BEE" w:rsidP="007C1BEE">
            <w:pPr>
              <w:spacing w:after="0" w:line="240" w:lineRule="auto"/>
              <w:rPr>
                <w:rFonts w:eastAsia="Times New Roman"/>
                <w:b/>
                <w:bCs/>
                <w:color w:val="000000"/>
                <w:lang w:eastAsia="en-GB"/>
              </w:rPr>
            </w:pPr>
          </w:p>
        </w:tc>
        <w:tc>
          <w:tcPr>
            <w:tcW w:w="2590" w:type="dxa"/>
            <w:vAlign w:val="center"/>
            <w:hideMark/>
          </w:tcPr>
          <w:p w14:paraId="33DD3675"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Monte Carlo Simulations</w:t>
            </w:r>
          </w:p>
        </w:tc>
        <w:tc>
          <w:tcPr>
            <w:tcW w:w="3150" w:type="dxa"/>
            <w:vAlign w:val="center"/>
            <w:hideMark/>
          </w:tcPr>
          <w:p w14:paraId="741A98B4" w14:textId="77777777" w:rsid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A quantitative method that uses repeated random sampling to predict risk impact based on probability distributions.</w:t>
            </w:r>
          </w:p>
          <w:p w14:paraId="3FD5CBD4" w14:textId="77777777" w:rsidR="002D487F" w:rsidRPr="003E6051" w:rsidRDefault="002D487F" w:rsidP="007C1BEE">
            <w:pPr>
              <w:spacing w:after="0" w:line="276" w:lineRule="auto"/>
              <w:rPr>
                <w:rFonts w:eastAsia="Times New Roman"/>
                <w:color w:val="000000"/>
                <w:lang w:eastAsia="en-GB"/>
              </w:rPr>
            </w:pPr>
          </w:p>
          <w:p w14:paraId="487F00A4" w14:textId="77777777" w:rsidR="003E6051" w:rsidRPr="007C1BEE" w:rsidRDefault="003E6051" w:rsidP="007C1BEE">
            <w:pPr>
              <w:spacing w:after="0" w:line="276" w:lineRule="auto"/>
              <w:rPr>
                <w:rFonts w:eastAsia="Times New Roman"/>
                <w:color w:val="000000"/>
                <w:lang w:eastAsia="en-GB"/>
              </w:rPr>
            </w:pPr>
          </w:p>
        </w:tc>
        <w:tc>
          <w:tcPr>
            <w:tcW w:w="3420" w:type="dxa"/>
            <w:vAlign w:val="center"/>
            <w:hideMark/>
          </w:tcPr>
          <w:p w14:paraId="4B48811F" w14:textId="7D022664"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 xml:space="preserve">Financial </w:t>
            </w:r>
            <w:r w:rsidRPr="003E6051">
              <w:rPr>
                <w:rFonts w:eastAsia="Times New Roman"/>
                <w:color w:val="000000"/>
                <w:lang w:eastAsia="en-GB"/>
              </w:rPr>
              <w:t>modelling</w:t>
            </w:r>
            <w:r w:rsidRPr="007C1BEE">
              <w:rPr>
                <w:rFonts w:eastAsia="Times New Roman"/>
                <w:color w:val="000000"/>
                <w:lang w:eastAsia="en-GB"/>
              </w:rPr>
              <w:t>, project timelines, or other scenarios with variable outcomes.</w:t>
            </w:r>
          </w:p>
        </w:tc>
      </w:tr>
      <w:tr w:rsidR="003E6051" w:rsidRPr="007C1BEE" w14:paraId="5BFE5A27" w14:textId="77777777" w:rsidTr="007C1BEE">
        <w:trPr>
          <w:trHeight w:val="1097"/>
        </w:trPr>
        <w:tc>
          <w:tcPr>
            <w:tcW w:w="1010" w:type="dxa"/>
            <w:vMerge/>
            <w:vAlign w:val="center"/>
            <w:hideMark/>
          </w:tcPr>
          <w:p w14:paraId="6EA63E21" w14:textId="77777777" w:rsidR="007C1BEE" w:rsidRPr="007C1BEE" w:rsidRDefault="007C1BEE" w:rsidP="007C1BEE">
            <w:pPr>
              <w:spacing w:after="0" w:line="240" w:lineRule="auto"/>
              <w:rPr>
                <w:rFonts w:eastAsia="Times New Roman"/>
                <w:b/>
                <w:bCs/>
                <w:color w:val="000000"/>
                <w:lang w:eastAsia="en-GB"/>
              </w:rPr>
            </w:pPr>
          </w:p>
        </w:tc>
        <w:tc>
          <w:tcPr>
            <w:tcW w:w="2590" w:type="dxa"/>
            <w:vAlign w:val="center"/>
            <w:hideMark/>
          </w:tcPr>
          <w:p w14:paraId="7AAA5C04"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Cost-Benefit Analysis (CBA)</w:t>
            </w:r>
          </w:p>
        </w:tc>
        <w:tc>
          <w:tcPr>
            <w:tcW w:w="3150" w:type="dxa"/>
            <w:vAlign w:val="center"/>
            <w:hideMark/>
          </w:tcPr>
          <w:p w14:paraId="1A2B8C61" w14:textId="77777777" w:rsidR="007C1BEE" w:rsidRPr="003E6051" w:rsidRDefault="007C1BEE" w:rsidP="007C1BEE">
            <w:pPr>
              <w:spacing w:after="0" w:line="276" w:lineRule="auto"/>
              <w:rPr>
                <w:rFonts w:eastAsia="Times New Roman"/>
                <w:color w:val="000000"/>
                <w:lang w:eastAsia="en-GB"/>
              </w:rPr>
            </w:pPr>
            <w:r w:rsidRPr="007C1BEE">
              <w:rPr>
                <w:rFonts w:eastAsia="Times New Roman"/>
                <w:color w:val="000000"/>
                <w:lang w:eastAsia="en-GB"/>
              </w:rPr>
              <w:t>Compares the cost of implementing risk controls with the expected benefits.</w:t>
            </w:r>
          </w:p>
          <w:p w14:paraId="7498F22C" w14:textId="77777777" w:rsidR="003E6051" w:rsidRPr="007C1BEE" w:rsidRDefault="003E6051" w:rsidP="007C1BEE">
            <w:pPr>
              <w:spacing w:after="0" w:line="276" w:lineRule="auto"/>
              <w:rPr>
                <w:rFonts w:eastAsia="Times New Roman"/>
                <w:color w:val="000000"/>
                <w:lang w:eastAsia="en-GB"/>
              </w:rPr>
            </w:pPr>
          </w:p>
        </w:tc>
        <w:tc>
          <w:tcPr>
            <w:tcW w:w="3420" w:type="dxa"/>
            <w:vAlign w:val="center"/>
            <w:hideMark/>
          </w:tcPr>
          <w:p w14:paraId="2A8F7168"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Justifying investment in mitigation strategies where financial data is available.</w:t>
            </w:r>
          </w:p>
        </w:tc>
      </w:tr>
      <w:tr w:rsidR="007C1BEE" w:rsidRPr="007C1BEE" w14:paraId="549ACA49" w14:textId="77777777" w:rsidTr="007C1BEE">
        <w:trPr>
          <w:trHeight w:val="1200"/>
        </w:trPr>
        <w:tc>
          <w:tcPr>
            <w:tcW w:w="1010" w:type="dxa"/>
            <w:vMerge w:val="restart"/>
            <w:textDirection w:val="btLr"/>
            <w:vAlign w:val="center"/>
            <w:hideMark/>
          </w:tcPr>
          <w:p w14:paraId="316EC56F" w14:textId="77777777" w:rsidR="007C1BEE" w:rsidRPr="007C1BEE" w:rsidRDefault="007C1BEE" w:rsidP="007C1BEE">
            <w:pPr>
              <w:spacing w:after="0" w:line="240" w:lineRule="auto"/>
              <w:jc w:val="center"/>
              <w:rPr>
                <w:rFonts w:eastAsia="Times New Roman"/>
                <w:b/>
                <w:bCs/>
                <w:color w:val="000000"/>
                <w:lang w:eastAsia="en-GB"/>
              </w:rPr>
            </w:pPr>
            <w:r w:rsidRPr="007C1BEE">
              <w:rPr>
                <w:rFonts w:eastAsia="Times New Roman"/>
                <w:b/>
                <w:bCs/>
                <w:color w:val="000000"/>
                <w:lang w:eastAsia="en-GB"/>
              </w:rPr>
              <w:t>Functional &amp; Failure Analysis Techniques</w:t>
            </w:r>
          </w:p>
        </w:tc>
        <w:tc>
          <w:tcPr>
            <w:tcW w:w="2590" w:type="dxa"/>
            <w:vAlign w:val="center"/>
            <w:hideMark/>
          </w:tcPr>
          <w:p w14:paraId="019907C6"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FMEA (Failure Mode and Effects Analysis)</w:t>
            </w:r>
          </w:p>
        </w:tc>
        <w:tc>
          <w:tcPr>
            <w:tcW w:w="3150" w:type="dxa"/>
            <w:vAlign w:val="center"/>
            <w:hideMark/>
          </w:tcPr>
          <w:p w14:paraId="66CBDF3D"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 xml:space="preserve">Identifies potential failure modes, their causes, and consequences, assigning </w:t>
            </w:r>
            <w:r w:rsidRPr="007C1BEE">
              <w:rPr>
                <w:rFonts w:eastAsia="Times New Roman"/>
                <w:color w:val="000000"/>
                <w:lang w:eastAsia="en-GB"/>
              </w:rPr>
              <w:lastRenderedPageBreak/>
              <w:t>severity, occurrence, and detection scores.</w:t>
            </w:r>
          </w:p>
        </w:tc>
        <w:tc>
          <w:tcPr>
            <w:tcW w:w="3420" w:type="dxa"/>
            <w:vAlign w:val="center"/>
            <w:hideMark/>
          </w:tcPr>
          <w:p w14:paraId="36401CBA"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lastRenderedPageBreak/>
              <w:t>Manufacturing, engineering, or system design to proactively address process or component failures</w:t>
            </w:r>
          </w:p>
        </w:tc>
      </w:tr>
      <w:tr w:rsidR="007C1BEE" w:rsidRPr="007C1BEE" w14:paraId="26FED715" w14:textId="77777777" w:rsidTr="007C1BEE">
        <w:trPr>
          <w:trHeight w:val="900"/>
        </w:trPr>
        <w:tc>
          <w:tcPr>
            <w:tcW w:w="1010" w:type="dxa"/>
            <w:vMerge/>
            <w:vAlign w:val="center"/>
            <w:hideMark/>
          </w:tcPr>
          <w:p w14:paraId="514F2DA2" w14:textId="77777777" w:rsidR="007C1BEE" w:rsidRPr="007C1BEE" w:rsidRDefault="007C1BEE" w:rsidP="007C1BEE">
            <w:pPr>
              <w:spacing w:after="0" w:line="240" w:lineRule="auto"/>
              <w:rPr>
                <w:rFonts w:eastAsia="Times New Roman"/>
                <w:color w:val="000000"/>
                <w:lang w:eastAsia="en-GB"/>
              </w:rPr>
            </w:pPr>
          </w:p>
        </w:tc>
        <w:tc>
          <w:tcPr>
            <w:tcW w:w="2590" w:type="dxa"/>
            <w:vAlign w:val="center"/>
            <w:hideMark/>
          </w:tcPr>
          <w:p w14:paraId="659674E5"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HAZOP (Hazard and Operability Study)</w:t>
            </w:r>
          </w:p>
        </w:tc>
        <w:tc>
          <w:tcPr>
            <w:tcW w:w="3150" w:type="dxa"/>
            <w:vAlign w:val="center"/>
            <w:hideMark/>
          </w:tcPr>
          <w:p w14:paraId="580F5540"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Systematic review of processes to identify deviations from normal operation and their hazards.</w:t>
            </w:r>
          </w:p>
        </w:tc>
        <w:tc>
          <w:tcPr>
            <w:tcW w:w="3420" w:type="dxa"/>
            <w:vAlign w:val="center"/>
            <w:hideMark/>
          </w:tcPr>
          <w:p w14:paraId="5F464CD8"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Chemical, industrial, or high-risk operational systems.</w:t>
            </w:r>
          </w:p>
        </w:tc>
      </w:tr>
      <w:tr w:rsidR="007C1BEE" w:rsidRPr="007C1BEE" w14:paraId="6EAD118C" w14:textId="77777777" w:rsidTr="007C1BEE">
        <w:trPr>
          <w:trHeight w:val="900"/>
        </w:trPr>
        <w:tc>
          <w:tcPr>
            <w:tcW w:w="1010" w:type="dxa"/>
            <w:vMerge/>
            <w:vAlign w:val="center"/>
            <w:hideMark/>
          </w:tcPr>
          <w:p w14:paraId="198E0797" w14:textId="77777777" w:rsidR="007C1BEE" w:rsidRPr="007C1BEE" w:rsidRDefault="007C1BEE" w:rsidP="007C1BEE">
            <w:pPr>
              <w:spacing w:after="0" w:line="240" w:lineRule="auto"/>
              <w:rPr>
                <w:rFonts w:eastAsia="Times New Roman"/>
                <w:color w:val="000000"/>
                <w:lang w:eastAsia="en-GB"/>
              </w:rPr>
            </w:pPr>
          </w:p>
        </w:tc>
        <w:tc>
          <w:tcPr>
            <w:tcW w:w="2590" w:type="dxa"/>
            <w:vAlign w:val="center"/>
            <w:hideMark/>
          </w:tcPr>
          <w:p w14:paraId="78C5DFDA"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Ishikawa (Fishbone) Diagrams</w:t>
            </w:r>
          </w:p>
        </w:tc>
        <w:tc>
          <w:tcPr>
            <w:tcW w:w="3150" w:type="dxa"/>
            <w:vAlign w:val="center"/>
            <w:hideMark/>
          </w:tcPr>
          <w:p w14:paraId="5A29B0A5" w14:textId="5BC5F2BF"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Visual tool for root cause analysis, categori</w:t>
            </w:r>
            <w:r w:rsidRPr="003E6051">
              <w:rPr>
                <w:rFonts w:eastAsia="Times New Roman"/>
                <w:color w:val="000000"/>
                <w:lang w:eastAsia="en-GB"/>
              </w:rPr>
              <w:t>s</w:t>
            </w:r>
            <w:r w:rsidRPr="007C1BEE">
              <w:rPr>
                <w:rFonts w:eastAsia="Times New Roman"/>
                <w:color w:val="000000"/>
                <w:lang w:eastAsia="en-GB"/>
              </w:rPr>
              <w:t>ing causes under factors like manpower, methods, materials, etc.</w:t>
            </w:r>
          </w:p>
        </w:tc>
        <w:tc>
          <w:tcPr>
            <w:tcW w:w="3420" w:type="dxa"/>
            <w:vAlign w:val="center"/>
            <w:hideMark/>
          </w:tcPr>
          <w:p w14:paraId="0C6A8CED"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Complex problems with multiple potential causes, especially in quality control or process improvement.</w:t>
            </w:r>
          </w:p>
        </w:tc>
      </w:tr>
      <w:tr w:rsidR="007C1BEE" w:rsidRPr="007C1BEE" w14:paraId="02081A79" w14:textId="77777777" w:rsidTr="007C1BEE">
        <w:trPr>
          <w:trHeight w:val="900"/>
        </w:trPr>
        <w:tc>
          <w:tcPr>
            <w:tcW w:w="1010" w:type="dxa"/>
            <w:vMerge w:val="restart"/>
            <w:textDirection w:val="btLr"/>
            <w:vAlign w:val="center"/>
            <w:hideMark/>
          </w:tcPr>
          <w:p w14:paraId="63F8DFDE" w14:textId="77777777" w:rsidR="007C1BEE" w:rsidRPr="007C1BEE" w:rsidRDefault="007C1BEE" w:rsidP="007C1BEE">
            <w:pPr>
              <w:spacing w:after="0" w:line="240" w:lineRule="auto"/>
              <w:jc w:val="center"/>
              <w:rPr>
                <w:rFonts w:eastAsia="Times New Roman"/>
                <w:b/>
                <w:bCs/>
                <w:color w:val="000000"/>
                <w:lang w:eastAsia="en-GB"/>
              </w:rPr>
            </w:pPr>
            <w:r w:rsidRPr="007C1BEE">
              <w:rPr>
                <w:rFonts w:eastAsia="Times New Roman"/>
                <w:b/>
                <w:bCs/>
                <w:color w:val="000000"/>
                <w:lang w:eastAsia="en-GB"/>
              </w:rPr>
              <w:t>Risk Documentation &amp; Monitoring Tools</w:t>
            </w:r>
          </w:p>
        </w:tc>
        <w:tc>
          <w:tcPr>
            <w:tcW w:w="2590" w:type="dxa"/>
            <w:vAlign w:val="center"/>
            <w:hideMark/>
          </w:tcPr>
          <w:p w14:paraId="5DB12D1A"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Risk Registers</w:t>
            </w:r>
          </w:p>
        </w:tc>
        <w:tc>
          <w:tcPr>
            <w:tcW w:w="3150" w:type="dxa"/>
            <w:vAlign w:val="center"/>
            <w:hideMark/>
          </w:tcPr>
          <w:p w14:paraId="711C1609"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A structured log of identified risks, their assessments, mitigation measures, and status updates.</w:t>
            </w:r>
          </w:p>
        </w:tc>
        <w:tc>
          <w:tcPr>
            <w:tcW w:w="3420" w:type="dxa"/>
            <w:vAlign w:val="center"/>
            <w:hideMark/>
          </w:tcPr>
          <w:p w14:paraId="5D863E12"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All projects requiring ongoing risk tracking, communication, and auditability.</w:t>
            </w:r>
          </w:p>
        </w:tc>
      </w:tr>
      <w:tr w:rsidR="003E6051" w:rsidRPr="007C1BEE" w14:paraId="070E9DE9" w14:textId="77777777" w:rsidTr="007C1BEE">
        <w:trPr>
          <w:trHeight w:val="1025"/>
        </w:trPr>
        <w:tc>
          <w:tcPr>
            <w:tcW w:w="1010" w:type="dxa"/>
            <w:vMerge/>
            <w:vAlign w:val="center"/>
            <w:hideMark/>
          </w:tcPr>
          <w:p w14:paraId="0BEC56F2" w14:textId="77777777" w:rsidR="007C1BEE" w:rsidRPr="007C1BEE" w:rsidRDefault="007C1BEE" w:rsidP="007C1BEE">
            <w:pPr>
              <w:spacing w:after="0" w:line="240" w:lineRule="auto"/>
              <w:rPr>
                <w:rFonts w:eastAsia="Times New Roman"/>
                <w:b/>
                <w:bCs/>
                <w:color w:val="000000"/>
                <w:lang w:eastAsia="en-GB"/>
              </w:rPr>
            </w:pPr>
          </w:p>
        </w:tc>
        <w:tc>
          <w:tcPr>
            <w:tcW w:w="2590" w:type="dxa"/>
            <w:vAlign w:val="center"/>
            <w:hideMark/>
          </w:tcPr>
          <w:p w14:paraId="04D0443B"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Lessons Learned Databases</w:t>
            </w:r>
          </w:p>
        </w:tc>
        <w:tc>
          <w:tcPr>
            <w:tcW w:w="3150" w:type="dxa"/>
            <w:vAlign w:val="center"/>
            <w:hideMark/>
          </w:tcPr>
          <w:p w14:paraId="44D64C63"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Repositories of past project experiences to inform future risk planning.</w:t>
            </w:r>
          </w:p>
        </w:tc>
        <w:tc>
          <w:tcPr>
            <w:tcW w:w="3420" w:type="dxa"/>
            <w:vAlign w:val="center"/>
            <w:hideMark/>
          </w:tcPr>
          <w:p w14:paraId="6C3D4F0D"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Projects or industries with recurring risk patterns or lessons from failures.</w:t>
            </w:r>
          </w:p>
        </w:tc>
      </w:tr>
      <w:tr w:rsidR="007C1BEE" w:rsidRPr="007C1BEE" w14:paraId="7F4D85F1" w14:textId="77777777" w:rsidTr="007C1BEE">
        <w:trPr>
          <w:trHeight w:val="1200"/>
        </w:trPr>
        <w:tc>
          <w:tcPr>
            <w:tcW w:w="1010" w:type="dxa"/>
            <w:vMerge w:val="restart"/>
            <w:textDirection w:val="btLr"/>
            <w:vAlign w:val="center"/>
            <w:hideMark/>
          </w:tcPr>
          <w:p w14:paraId="68891B88" w14:textId="199979AB" w:rsidR="007C1BEE" w:rsidRPr="007C1BEE" w:rsidRDefault="007C1BEE" w:rsidP="007C1BEE">
            <w:pPr>
              <w:spacing w:after="0" w:line="240" w:lineRule="auto"/>
              <w:jc w:val="center"/>
              <w:rPr>
                <w:rFonts w:eastAsia="Times New Roman"/>
                <w:b/>
                <w:bCs/>
                <w:color w:val="000000"/>
                <w:lang w:eastAsia="en-GB"/>
              </w:rPr>
            </w:pPr>
            <w:r w:rsidRPr="007C1BEE">
              <w:rPr>
                <w:rFonts w:eastAsia="Times New Roman"/>
                <w:b/>
                <w:bCs/>
                <w:color w:val="000000"/>
                <w:lang w:eastAsia="en-GB"/>
              </w:rPr>
              <w:t>Risk Control &amp; Visuali</w:t>
            </w:r>
            <w:r w:rsidRPr="003E6051">
              <w:rPr>
                <w:rFonts w:eastAsia="Times New Roman"/>
                <w:b/>
                <w:bCs/>
                <w:color w:val="000000"/>
                <w:lang w:eastAsia="en-GB"/>
              </w:rPr>
              <w:t>s</w:t>
            </w:r>
            <w:r w:rsidRPr="007C1BEE">
              <w:rPr>
                <w:rFonts w:eastAsia="Times New Roman"/>
                <w:b/>
                <w:bCs/>
                <w:color w:val="000000"/>
                <w:lang w:eastAsia="en-GB"/>
              </w:rPr>
              <w:t>ation Methods</w:t>
            </w:r>
          </w:p>
        </w:tc>
        <w:tc>
          <w:tcPr>
            <w:tcW w:w="2590" w:type="dxa"/>
            <w:vAlign w:val="center"/>
            <w:hideMark/>
          </w:tcPr>
          <w:p w14:paraId="6EF21BB3"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Bow Tie Analysis (Control Assessments)</w:t>
            </w:r>
          </w:p>
        </w:tc>
        <w:tc>
          <w:tcPr>
            <w:tcW w:w="3150" w:type="dxa"/>
            <w:vAlign w:val="center"/>
            <w:hideMark/>
          </w:tcPr>
          <w:p w14:paraId="591DA66D"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Visual tool that maps the pathway from risk causes to consequences, showing preventive and reactive controls.</w:t>
            </w:r>
          </w:p>
        </w:tc>
        <w:tc>
          <w:tcPr>
            <w:tcW w:w="3420" w:type="dxa"/>
            <w:vAlign w:val="center"/>
            <w:hideMark/>
          </w:tcPr>
          <w:p w14:paraId="61867BF0"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High-impact or safety-critical risks, where control measures must be clearly understood and communicated.</w:t>
            </w:r>
          </w:p>
        </w:tc>
      </w:tr>
      <w:tr w:rsidR="003E6051" w:rsidRPr="007C1BEE" w14:paraId="48BD954C" w14:textId="77777777" w:rsidTr="007C1BEE">
        <w:trPr>
          <w:trHeight w:val="998"/>
        </w:trPr>
        <w:tc>
          <w:tcPr>
            <w:tcW w:w="1010" w:type="dxa"/>
            <w:vMerge/>
            <w:vAlign w:val="center"/>
            <w:hideMark/>
          </w:tcPr>
          <w:p w14:paraId="5C1873FF" w14:textId="77777777" w:rsidR="007C1BEE" w:rsidRPr="007C1BEE" w:rsidRDefault="007C1BEE" w:rsidP="007C1BEE">
            <w:pPr>
              <w:spacing w:after="0" w:line="240" w:lineRule="auto"/>
              <w:rPr>
                <w:rFonts w:eastAsia="Times New Roman"/>
                <w:color w:val="000000"/>
                <w:lang w:eastAsia="en-GB"/>
              </w:rPr>
            </w:pPr>
          </w:p>
        </w:tc>
        <w:tc>
          <w:tcPr>
            <w:tcW w:w="2590" w:type="dxa"/>
            <w:vAlign w:val="center"/>
            <w:hideMark/>
          </w:tcPr>
          <w:p w14:paraId="3126EACF"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Workshops</w:t>
            </w:r>
          </w:p>
        </w:tc>
        <w:tc>
          <w:tcPr>
            <w:tcW w:w="3150" w:type="dxa"/>
            <w:vAlign w:val="center"/>
            <w:hideMark/>
          </w:tcPr>
          <w:p w14:paraId="3D0AD3A0"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Interactive sessions to co-create risk responses, plans, and controls.</w:t>
            </w:r>
          </w:p>
        </w:tc>
        <w:tc>
          <w:tcPr>
            <w:tcW w:w="3420" w:type="dxa"/>
            <w:vAlign w:val="center"/>
            <w:hideMark/>
          </w:tcPr>
          <w:p w14:paraId="63658574" w14:textId="77777777" w:rsidR="007C1BEE" w:rsidRPr="007C1BEE" w:rsidRDefault="007C1BEE" w:rsidP="007C1BEE">
            <w:pPr>
              <w:spacing w:after="0" w:line="276" w:lineRule="auto"/>
              <w:rPr>
                <w:rFonts w:eastAsia="Times New Roman"/>
                <w:color w:val="000000"/>
                <w:lang w:eastAsia="en-GB"/>
              </w:rPr>
            </w:pPr>
            <w:r w:rsidRPr="007C1BEE">
              <w:rPr>
                <w:rFonts w:eastAsia="Times New Roman"/>
                <w:color w:val="000000"/>
                <w:lang w:eastAsia="en-GB"/>
              </w:rPr>
              <w:t>Complex projects requiring cross-functional input or stakeholder buy-in.</w:t>
            </w:r>
          </w:p>
        </w:tc>
      </w:tr>
    </w:tbl>
    <w:p w14:paraId="2F8E78FB" w14:textId="10B1CA74" w:rsidR="007C1BEE" w:rsidRPr="003E6051" w:rsidRDefault="007C1BEE" w:rsidP="007C1BEE">
      <w:pPr>
        <w:pStyle w:val="Caption"/>
        <w:spacing w:after="0"/>
        <w:jc w:val="center"/>
        <w:rPr>
          <w:i w:val="0"/>
          <w:iCs w:val="0"/>
        </w:rPr>
      </w:pPr>
      <w:bookmarkStart w:id="22" w:name="_Toc219216416"/>
      <w:r w:rsidRPr="003E6051">
        <w:rPr>
          <w:i w:val="0"/>
          <w:iCs w:val="0"/>
        </w:rPr>
        <w:t xml:space="preserve">Table </w:t>
      </w:r>
      <w:r w:rsidR="00363FD9">
        <w:rPr>
          <w:i w:val="0"/>
          <w:iCs w:val="0"/>
        </w:rPr>
        <w:fldChar w:fldCharType="begin"/>
      </w:r>
      <w:r w:rsidR="00363FD9">
        <w:rPr>
          <w:i w:val="0"/>
          <w:iCs w:val="0"/>
        </w:rPr>
        <w:instrText xml:space="preserve"> SEQ Table \* ARABIC </w:instrText>
      </w:r>
      <w:r w:rsidR="00363FD9">
        <w:rPr>
          <w:i w:val="0"/>
          <w:iCs w:val="0"/>
        </w:rPr>
        <w:fldChar w:fldCharType="separate"/>
      </w:r>
      <w:r w:rsidR="004239CB">
        <w:rPr>
          <w:i w:val="0"/>
          <w:iCs w:val="0"/>
          <w:noProof/>
        </w:rPr>
        <w:t>3</w:t>
      </w:r>
      <w:r w:rsidR="00363FD9">
        <w:rPr>
          <w:i w:val="0"/>
          <w:iCs w:val="0"/>
        </w:rPr>
        <w:fldChar w:fldCharType="end"/>
      </w:r>
      <w:r w:rsidRPr="003E6051">
        <w:rPr>
          <w:i w:val="0"/>
          <w:iCs w:val="0"/>
        </w:rPr>
        <w:t xml:space="preserve"> - Risk Management Tool Application</w:t>
      </w:r>
      <w:bookmarkEnd w:id="22"/>
    </w:p>
    <w:p w14:paraId="7DF1D9DE" w14:textId="77777777" w:rsidR="007C1BEE" w:rsidRDefault="007C1BEE" w:rsidP="007C1BEE">
      <w:pPr>
        <w:spacing w:after="0" w:line="360" w:lineRule="auto"/>
        <w:ind w:left="-578" w:right="-576"/>
        <w:jc w:val="both"/>
      </w:pPr>
    </w:p>
    <w:p w14:paraId="3AA05E0B" w14:textId="13678C3F" w:rsidR="00054421" w:rsidRDefault="00000000" w:rsidP="007653DD">
      <w:pPr>
        <w:spacing w:after="0" w:line="360" w:lineRule="auto"/>
        <w:ind w:left="-578" w:right="-576"/>
        <w:jc w:val="center"/>
      </w:pPr>
      <w:sdt>
        <w:sdtPr>
          <w:id w:val="2036385161"/>
          <w:citation/>
        </w:sdtPr>
        <w:sdtContent>
          <w:r w:rsidR="007653DD">
            <w:fldChar w:fldCharType="begin"/>
          </w:r>
          <w:r w:rsidR="007653DD">
            <w:rPr>
              <w:lang w:val="en-US"/>
            </w:rPr>
            <w:instrText xml:space="preserve"> CITATION Mar18 \l 1033 </w:instrText>
          </w:r>
          <w:r w:rsidR="007653DD">
            <w:fldChar w:fldCharType="separate"/>
          </w:r>
          <w:r w:rsidR="007653DD" w:rsidRPr="007653DD">
            <w:rPr>
              <w:noProof/>
              <w:lang w:val="en-US"/>
            </w:rPr>
            <w:t>(Kolios, 2018)</w:t>
          </w:r>
          <w:r w:rsidR="007653DD">
            <w:fldChar w:fldCharType="end"/>
          </w:r>
        </w:sdtContent>
      </w:sdt>
      <w:r w:rsidR="007653DD">
        <w:t xml:space="preserve"> </w:t>
      </w:r>
      <w:sdt>
        <w:sdtPr>
          <w:id w:val="-524712651"/>
          <w:citation/>
        </w:sdtPr>
        <w:sdtContent>
          <w:r w:rsidR="007653DD">
            <w:fldChar w:fldCharType="begin"/>
          </w:r>
          <w:r w:rsidR="007653DD">
            <w:rPr>
              <w:lang w:val="en-US"/>
            </w:rPr>
            <w:instrText xml:space="preserve"> CITATION Pee15 \l 1033 </w:instrText>
          </w:r>
          <w:r w:rsidR="007653DD">
            <w:fldChar w:fldCharType="separate"/>
          </w:r>
          <w:r w:rsidR="007653DD" w:rsidRPr="007653DD">
            <w:rPr>
              <w:noProof/>
              <w:lang w:val="en-US"/>
            </w:rPr>
            <w:t>(Peeters, 2015)</w:t>
          </w:r>
          <w:r w:rsidR="007653DD">
            <w:fldChar w:fldCharType="end"/>
          </w:r>
        </w:sdtContent>
      </w:sdt>
      <w:r w:rsidR="007653DD">
        <w:t xml:space="preserve"> </w:t>
      </w:r>
      <w:sdt>
        <w:sdtPr>
          <w:id w:val="-788666681"/>
          <w:citation/>
        </w:sdtPr>
        <w:sdtContent>
          <w:r w:rsidR="007653DD">
            <w:fldChar w:fldCharType="begin"/>
          </w:r>
          <w:r w:rsidR="007653DD">
            <w:rPr>
              <w:lang w:val="en-US"/>
            </w:rPr>
            <w:instrText xml:space="preserve"> CITATION Whi \l 1033 </w:instrText>
          </w:r>
          <w:r w:rsidR="007653DD">
            <w:fldChar w:fldCharType="separate"/>
          </w:r>
          <w:r w:rsidR="007653DD" w:rsidRPr="007653DD">
            <w:rPr>
              <w:noProof/>
              <w:lang w:val="en-US"/>
            </w:rPr>
            <w:t>(Whiting, n.d.)</w:t>
          </w:r>
          <w:r w:rsidR="007653DD">
            <w:fldChar w:fldCharType="end"/>
          </w:r>
        </w:sdtContent>
      </w:sdt>
      <w:r w:rsidR="007653DD">
        <w:t xml:space="preserve"> </w:t>
      </w:r>
      <w:sdt>
        <w:sdtPr>
          <w:id w:val="177392475"/>
          <w:citation/>
        </w:sdtPr>
        <w:sdtContent>
          <w:r w:rsidR="007653DD">
            <w:fldChar w:fldCharType="begin"/>
          </w:r>
          <w:r w:rsidR="007653DD">
            <w:rPr>
              <w:lang w:val="en-US"/>
            </w:rPr>
            <w:instrText xml:space="preserve"> CITATION Gul18 \l 1033 </w:instrText>
          </w:r>
          <w:r w:rsidR="007653DD">
            <w:fldChar w:fldCharType="separate"/>
          </w:r>
          <w:r w:rsidR="007653DD" w:rsidRPr="007653DD">
            <w:rPr>
              <w:noProof/>
              <w:lang w:val="en-US"/>
            </w:rPr>
            <w:t>(Gul M, 2018)</w:t>
          </w:r>
          <w:r w:rsidR="007653DD">
            <w:fldChar w:fldCharType="end"/>
          </w:r>
        </w:sdtContent>
      </w:sdt>
      <w:r w:rsidR="008E6E04">
        <w:t xml:space="preserve"> </w:t>
      </w:r>
      <w:sdt>
        <w:sdtPr>
          <w:id w:val="-674803693"/>
          <w:citation/>
        </w:sdtPr>
        <w:sdtContent>
          <w:r w:rsidR="008E6E04">
            <w:fldChar w:fldCharType="begin"/>
          </w:r>
          <w:r w:rsidR="008E6E04">
            <w:rPr>
              <w:lang w:val="en-US"/>
            </w:rPr>
            <w:instrText xml:space="preserve"> CITATION Muh18 \l 1033 </w:instrText>
          </w:r>
          <w:r w:rsidR="008E6E04">
            <w:fldChar w:fldCharType="separate"/>
          </w:r>
          <w:r w:rsidR="008E6E04" w:rsidRPr="00667E16">
            <w:rPr>
              <w:noProof/>
              <w:lang w:val="en-US"/>
            </w:rPr>
            <w:t>(Muhammet Gul, 2018)</w:t>
          </w:r>
          <w:r w:rsidR="008E6E04">
            <w:fldChar w:fldCharType="end"/>
          </w:r>
        </w:sdtContent>
      </w:sdt>
      <w:r w:rsidR="008E6E04">
        <w:t xml:space="preserve"> </w:t>
      </w:r>
      <w:sdt>
        <w:sdtPr>
          <w:id w:val="27853784"/>
          <w:citation/>
        </w:sdtPr>
        <w:sdtContent>
          <w:r w:rsidR="008E6E04">
            <w:fldChar w:fldCharType="begin"/>
          </w:r>
          <w:r w:rsidR="008E6E04">
            <w:rPr>
              <w:lang w:val="en-US"/>
            </w:rPr>
            <w:instrText xml:space="preserve"> CITATION Ime24 \l 1033 </w:instrText>
          </w:r>
          <w:r w:rsidR="008E6E04">
            <w:fldChar w:fldCharType="separate"/>
          </w:r>
          <w:r w:rsidR="008E6E04" w:rsidRPr="008E6E04">
            <w:rPr>
              <w:noProof/>
              <w:lang w:val="en-US"/>
            </w:rPr>
            <w:t>(Imene Mohammedi, 2024)</w:t>
          </w:r>
          <w:r w:rsidR="008E6E04">
            <w:fldChar w:fldCharType="end"/>
          </w:r>
        </w:sdtContent>
      </w:sdt>
      <w:r w:rsidR="0067268A">
        <w:t xml:space="preserve"> </w:t>
      </w:r>
      <w:sdt>
        <w:sdtPr>
          <w:id w:val="1668280218"/>
          <w:citation/>
        </w:sdtPr>
        <w:sdtContent>
          <w:r w:rsidR="0067268A">
            <w:fldChar w:fldCharType="begin"/>
          </w:r>
          <w:r w:rsidR="0067268A">
            <w:rPr>
              <w:lang w:val="en-US"/>
            </w:rPr>
            <w:instrText xml:space="preserve"> CITATION Pee151 \l 1033 </w:instrText>
          </w:r>
          <w:r w:rsidR="0067268A">
            <w:fldChar w:fldCharType="separate"/>
          </w:r>
          <w:r w:rsidR="0067268A" w:rsidRPr="0067268A">
            <w:rPr>
              <w:noProof/>
              <w:lang w:val="en-US"/>
            </w:rPr>
            <w:t>(Peeters W, 2015)</w:t>
          </w:r>
          <w:r w:rsidR="0067268A">
            <w:fldChar w:fldCharType="end"/>
          </w:r>
        </w:sdtContent>
      </w:sdt>
      <w:r w:rsidR="004449B0">
        <w:t xml:space="preserve"> </w:t>
      </w:r>
      <w:sdt>
        <w:sdtPr>
          <w:id w:val="-1803531427"/>
          <w:citation/>
        </w:sdtPr>
        <w:sdtContent>
          <w:r w:rsidR="004449B0">
            <w:fldChar w:fldCharType="begin"/>
          </w:r>
          <w:r w:rsidR="004449B0">
            <w:rPr>
              <w:lang w:val="en-US"/>
            </w:rPr>
            <w:instrText xml:space="preserve"> CITATION Ade24 \l 1033 </w:instrText>
          </w:r>
          <w:r w:rsidR="004449B0">
            <w:fldChar w:fldCharType="separate"/>
          </w:r>
          <w:r w:rsidR="004449B0" w:rsidRPr="004449B0">
            <w:rPr>
              <w:noProof/>
              <w:lang w:val="en-US"/>
            </w:rPr>
            <w:t>(Temitope, 2024)</w:t>
          </w:r>
          <w:r w:rsidR="004449B0">
            <w:fldChar w:fldCharType="end"/>
          </w:r>
        </w:sdtContent>
      </w:sdt>
      <w:r w:rsidR="004449B0">
        <w:t xml:space="preserve"> </w:t>
      </w:r>
      <w:sdt>
        <w:sdtPr>
          <w:id w:val="-656300415"/>
          <w:citation/>
        </w:sdtPr>
        <w:sdtContent>
          <w:r w:rsidR="004449B0">
            <w:fldChar w:fldCharType="begin"/>
          </w:r>
          <w:r w:rsidR="004449B0">
            <w:rPr>
              <w:lang w:val="en-US"/>
            </w:rPr>
            <w:instrText xml:space="preserve"> CITATION Rui20 \l 1033 </w:instrText>
          </w:r>
          <w:r w:rsidR="004449B0">
            <w:fldChar w:fldCharType="separate"/>
          </w:r>
          <w:r w:rsidR="004449B0" w:rsidRPr="004449B0">
            <w:rPr>
              <w:noProof/>
              <w:lang w:val="en-US"/>
            </w:rPr>
            <w:t>(Ferro, 2020)</w:t>
          </w:r>
          <w:r w:rsidR="004449B0">
            <w:fldChar w:fldCharType="end"/>
          </w:r>
        </w:sdtContent>
      </w:sdt>
    </w:p>
    <w:p w14:paraId="171D11F7" w14:textId="77777777" w:rsidR="00054421" w:rsidRPr="003E6051" w:rsidRDefault="00054421" w:rsidP="007C1BEE">
      <w:pPr>
        <w:spacing w:after="0" w:line="360" w:lineRule="auto"/>
        <w:ind w:left="-578" w:right="-576"/>
        <w:jc w:val="both"/>
      </w:pPr>
    </w:p>
    <w:p w14:paraId="256F5F19" w14:textId="3F9BD371" w:rsidR="008C299E" w:rsidRPr="003E6051" w:rsidRDefault="00C24815" w:rsidP="00CB7E56">
      <w:pPr>
        <w:spacing w:after="0" w:line="360" w:lineRule="auto"/>
        <w:ind w:left="-578" w:right="-576"/>
        <w:jc w:val="both"/>
      </w:pPr>
      <w:r>
        <w:t>As described</w:t>
      </w:r>
      <w:r w:rsidR="005623D6">
        <w:t xml:space="preserve"> in </w:t>
      </w:r>
      <w:r w:rsidR="009C3DBD">
        <w:t>section 6.2</w:t>
      </w:r>
      <w:r>
        <w:t>, r</w:t>
      </w:r>
      <w:r w:rsidR="00C6383C" w:rsidRPr="003E6051">
        <w:t xml:space="preserve">isk identification </w:t>
      </w:r>
      <w:r w:rsidR="00B05C2B">
        <w:t xml:space="preserve">is the </w:t>
      </w:r>
      <w:r w:rsidR="0028129E">
        <w:t>initial</w:t>
      </w:r>
      <w:r w:rsidR="00C6383C" w:rsidRPr="003E6051">
        <w:t xml:space="preserve"> step of any comprehensive risk management framework</w:t>
      </w:r>
      <w:r w:rsidR="002A4541">
        <w:t>. This is</w:t>
      </w:r>
      <w:r w:rsidR="009C3DBD">
        <w:t xml:space="preserve"> </w:t>
      </w:r>
      <w:r w:rsidR="003D2DFD">
        <w:t>of particular importance</w:t>
      </w:r>
      <w:r w:rsidR="00C6383C" w:rsidRPr="003E6051">
        <w:t xml:space="preserve"> during conceptual and planning </w:t>
      </w:r>
      <w:r w:rsidR="003D2DFD">
        <w:t xml:space="preserve">project </w:t>
      </w:r>
      <w:r w:rsidR="00C6383C" w:rsidRPr="003E6051">
        <w:t>stages, when uncertainties are high and data</w:t>
      </w:r>
      <w:r w:rsidR="002A4541">
        <w:t xml:space="preserve"> </w:t>
      </w:r>
      <w:r w:rsidR="00C6383C" w:rsidRPr="003E6051">
        <w:t>limited</w:t>
      </w:r>
      <w:r w:rsidR="007653DD">
        <w:t xml:space="preserve"> </w:t>
      </w:r>
      <w:sdt>
        <w:sdtPr>
          <w:id w:val="-1853951047"/>
          <w:citation/>
        </w:sdtPr>
        <w:sdtContent>
          <w:r w:rsidR="007653DD">
            <w:fldChar w:fldCharType="begin"/>
          </w:r>
          <w:r w:rsidR="007653DD">
            <w:rPr>
              <w:lang w:val="en-US"/>
            </w:rPr>
            <w:instrText xml:space="preserve"> CITATION Pee15 \l 1033 </w:instrText>
          </w:r>
          <w:r w:rsidR="007653DD">
            <w:fldChar w:fldCharType="separate"/>
          </w:r>
          <w:r w:rsidR="007653DD" w:rsidRPr="007653DD">
            <w:rPr>
              <w:noProof/>
              <w:lang w:val="en-US"/>
            </w:rPr>
            <w:t>(Peeters, 2015)</w:t>
          </w:r>
          <w:r w:rsidR="007653DD">
            <w:fldChar w:fldCharType="end"/>
          </w:r>
        </w:sdtContent>
      </w:sdt>
      <w:r w:rsidR="00C6383C" w:rsidRPr="003E6051">
        <w:t xml:space="preserve">. </w:t>
      </w:r>
      <w:r w:rsidR="009C3DBD">
        <w:t xml:space="preserve">Use of </w:t>
      </w:r>
      <w:r w:rsidR="00EE0925">
        <w:t>techniques such as H</w:t>
      </w:r>
      <w:r w:rsidR="00A945E2">
        <w:t>azard Identification</w:t>
      </w:r>
      <w:r w:rsidR="006144A5">
        <w:t>, Delphi</w:t>
      </w:r>
      <w:r w:rsidR="004D6970">
        <w:t xml:space="preserve"> and Fishbone offer a </w:t>
      </w:r>
      <w:r w:rsidR="00246047">
        <w:t>defined</w:t>
      </w:r>
      <w:r w:rsidR="00ED00E1">
        <w:t xml:space="preserve"> approach to risk identificat</w:t>
      </w:r>
      <w:r w:rsidR="00246047">
        <w:t xml:space="preserve">ion, meaning </w:t>
      </w:r>
      <w:r w:rsidR="007F60E6">
        <w:t>potential risks are systematically addressed</w:t>
      </w:r>
      <w:r w:rsidR="008E6E04">
        <w:t xml:space="preserve"> </w:t>
      </w:r>
      <w:sdt>
        <w:sdtPr>
          <w:id w:val="129377537"/>
          <w:citation/>
        </w:sdtPr>
        <w:sdtContent>
          <w:r w:rsidR="008E6E04">
            <w:fldChar w:fldCharType="begin"/>
          </w:r>
          <w:r w:rsidR="008E6E04">
            <w:rPr>
              <w:lang w:val="en-US"/>
            </w:rPr>
            <w:instrText xml:space="preserve"> CITATION Ime24 \l 1033 </w:instrText>
          </w:r>
          <w:r w:rsidR="008E6E04">
            <w:fldChar w:fldCharType="separate"/>
          </w:r>
          <w:r w:rsidR="008E6E04" w:rsidRPr="008E6E04">
            <w:rPr>
              <w:noProof/>
              <w:lang w:val="en-US"/>
            </w:rPr>
            <w:t>(Imene Mohammedi, 2024)</w:t>
          </w:r>
          <w:r w:rsidR="008E6E04">
            <w:fldChar w:fldCharType="end"/>
          </w:r>
        </w:sdtContent>
      </w:sdt>
      <w:r w:rsidR="007F60E6">
        <w:t xml:space="preserve">. </w:t>
      </w:r>
      <w:r w:rsidR="00C6383C" w:rsidRPr="003E6051">
        <w:t xml:space="preserve">However, despite wide adoption, these techniques are constrained by their reliance on existing knowledge and expert judgment, which may lead to blind spots or the exclusion of risks </w:t>
      </w:r>
      <w:sdt>
        <w:sdtPr>
          <w:id w:val="-534581009"/>
          <w:citation/>
        </w:sdtPr>
        <w:sdtContent>
          <w:r w:rsidR="007653DD">
            <w:fldChar w:fldCharType="begin"/>
          </w:r>
          <w:r w:rsidR="007653DD">
            <w:rPr>
              <w:lang w:val="en-US"/>
            </w:rPr>
            <w:instrText xml:space="preserve"> CITATION Mar18 \l 1033 </w:instrText>
          </w:r>
          <w:r w:rsidR="007653DD">
            <w:fldChar w:fldCharType="separate"/>
          </w:r>
          <w:r w:rsidR="007653DD" w:rsidRPr="007653DD">
            <w:rPr>
              <w:noProof/>
              <w:lang w:val="en-US"/>
            </w:rPr>
            <w:t>(Kolios, 2018)</w:t>
          </w:r>
          <w:r w:rsidR="007653DD">
            <w:fldChar w:fldCharType="end"/>
          </w:r>
        </w:sdtContent>
      </w:sdt>
      <w:r w:rsidR="007653DD">
        <w:t xml:space="preserve"> </w:t>
      </w:r>
      <w:sdt>
        <w:sdtPr>
          <w:id w:val="1582570701"/>
          <w:citation/>
        </w:sdtPr>
        <w:sdtContent>
          <w:r w:rsidR="007653DD">
            <w:fldChar w:fldCharType="begin"/>
          </w:r>
          <w:r w:rsidR="007653DD">
            <w:rPr>
              <w:lang w:val="en-US"/>
            </w:rPr>
            <w:instrText xml:space="preserve"> CITATION Pee15 \l 1033 </w:instrText>
          </w:r>
          <w:r w:rsidR="007653DD">
            <w:fldChar w:fldCharType="separate"/>
          </w:r>
          <w:r w:rsidR="007653DD" w:rsidRPr="007653DD">
            <w:rPr>
              <w:noProof/>
              <w:lang w:val="en-US"/>
            </w:rPr>
            <w:t>(Peeters, 2015)</w:t>
          </w:r>
          <w:r w:rsidR="007653DD">
            <w:fldChar w:fldCharType="end"/>
          </w:r>
        </w:sdtContent>
      </w:sdt>
      <w:r w:rsidR="00C6383C" w:rsidRPr="003E6051">
        <w:t>.</w:t>
      </w:r>
    </w:p>
    <w:p w14:paraId="54FF19EE" w14:textId="77777777" w:rsidR="007246CC" w:rsidRPr="003E6051" w:rsidRDefault="007246CC" w:rsidP="007C1BEE">
      <w:pPr>
        <w:spacing w:after="0" w:line="360" w:lineRule="auto"/>
        <w:ind w:left="-578" w:right="-576"/>
        <w:jc w:val="both"/>
      </w:pPr>
    </w:p>
    <w:p w14:paraId="092F74DD" w14:textId="23BA60D6" w:rsidR="008B6F11" w:rsidRPr="003E6051" w:rsidRDefault="00DB6C39" w:rsidP="007C1BEE">
      <w:pPr>
        <w:spacing w:after="0" w:line="360" w:lineRule="auto"/>
        <w:ind w:left="-578" w:right="-576"/>
        <w:jc w:val="both"/>
      </w:pPr>
      <w:r>
        <w:lastRenderedPageBreak/>
        <w:t>R</w:t>
      </w:r>
      <w:r w:rsidR="008B6F11" w:rsidRPr="003E6051">
        <w:t xml:space="preserve">isk analysis </w:t>
      </w:r>
      <w:r>
        <w:t xml:space="preserve">follows, </w:t>
      </w:r>
      <w:r w:rsidR="008B6F11" w:rsidRPr="003E6051">
        <w:t>involv</w:t>
      </w:r>
      <w:r>
        <w:t>ing</w:t>
      </w:r>
      <w:r w:rsidR="008B6F11" w:rsidRPr="003E6051">
        <w:t xml:space="preserve"> the systematic evaluation of both likelihood and potential impact of identified risks. Analytical frameworks used for this purpose are typically classified as qualitative, quantitative, or hybrid models, each offering advantages and limitations depending on the context of application</w:t>
      </w:r>
      <w:r w:rsidR="007653DD">
        <w:t xml:space="preserve"> </w:t>
      </w:r>
      <w:sdt>
        <w:sdtPr>
          <w:id w:val="1271509627"/>
          <w:citation/>
        </w:sdtPr>
        <w:sdtContent>
          <w:r w:rsidR="007653DD">
            <w:fldChar w:fldCharType="begin"/>
          </w:r>
          <w:r w:rsidR="007653DD">
            <w:rPr>
              <w:lang w:val="en-US"/>
            </w:rPr>
            <w:instrText xml:space="preserve"> CITATION Pee15 \l 1033 </w:instrText>
          </w:r>
          <w:r w:rsidR="007653DD">
            <w:fldChar w:fldCharType="separate"/>
          </w:r>
          <w:r w:rsidR="007653DD" w:rsidRPr="007653DD">
            <w:rPr>
              <w:noProof/>
              <w:lang w:val="en-US"/>
            </w:rPr>
            <w:t>(Peeters, 2015)</w:t>
          </w:r>
          <w:r w:rsidR="007653DD">
            <w:fldChar w:fldCharType="end"/>
          </w:r>
        </w:sdtContent>
      </w:sdt>
      <w:r w:rsidR="008B6F11" w:rsidRPr="003E6051">
        <w:t>.</w:t>
      </w:r>
    </w:p>
    <w:p w14:paraId="7CA2FDED" w14:textId="77777777" w:rsidR="008B6F11" w:rsidRDefault="008B6F11" w:rsidP="007C1BEE">
      <w:pPr>
        <w:spacing w:after="0" w:line="360" w:lineRule="auto"/>
        <w:ind w:left="-578" w:right="-576"/>
        <w:jc w:val="both"/>
      </w:pPr>
    </w:p>
    <w:p w14:paraId="6EDC6155" w14:textId="76C80C12" w:rsidR="009E3D59" w:rsidRDefault="009E3D59" w:rsidP="009E3D59">
      <w:pPr>
        <w:spacing w:after="0" w:line="360" w:lineRule="auto"/>
        <w:ind w:left="-578" w:right="-576"/>
        <w:jc w:val="both"/>
      </w:pPr>
      <w:r w:rsidRPr="009E3D59">
        <w:t>A recurring theme is dominance of qualitative over quantitative methods due to data scarcity, project uniqueness, time and budget constraints</w:t>
      </w:r>
      <w:r w:rsidR="008E6E04">
        <w:t xml:space="preserve"> </w:t>
      </w:r>
      <w:sdt>
        <w:sdtPr>
          <w:id w:val="-59332504"/>
          <w:citation/>
        </w:sdtPr>
        <w:sdtContent>
          <w:r w:rsidR="008E6E04">
            <w:fldChar w:fldCharType="begin"/>
          </w:r>
          <w:r w:rsidR="008E6E04">
            <w:rPr>
              <w:lang w:val="en-US"/>
            </w:rPr>
            <w:instrText xml:space="preserve"> CITATION Muh18 \l 1033 </w:instrText>
          </w:r>
          <w:r w:rsidR="008E6E04">
            <w:fldChar w:fldCharType="separate"/>
          </w:r>
          <w:r w:rsidR="008E6E04" w:rsidRPr="00667E16">
            <w:rPr>
              <w:noProof/>
              <w:lang w:val="en-US"/>
            </w:rPr>
            <w:t>(Muhammet Gul, 2018)</w:t>
          </w:r>
          <w:r w:rsidR="008E6E04">
            <w:fldChar w:fldCharType="end"/>
          </w:r>
        </w:sdtContent>
      </w:sdt>
      <w:r w:rsidRPr="009E3D59">
        <w:t xml:space="preserve">. Data integrity and accessibility of data form the core of effective risk analysis, yet these are frequently undermined by the lack of reliable information and the prohibitive costs associated with its collection and scrutiny </w:t>
      </w:r>
      <w:sdt>
        <w:sdtPr>
          <w:id w:val="817003630"/>
          <w:citation/>
        </w:sdtPr>
        <w:sdtContent>
          <w:r w:rsidRPr="009E3D59">
            <w:fldChar w:fldCharType="begin"/>
          </w:r>
          <w:r w:rsidRPr="009E3D59">
            <w:rPr>
              <w:lang w:val="en-US"/>
            </w:rPr>
            <w:instrText xml:space="preserve"> CITATION Jac18 \l 1033 </w:instrText>
          </w:r>
          <w:r w:rsidRPr="009E3D59">
            <w:fldChar w:fldCharType="separate"/>
          </w:r>
          <w:r w:rsidRPr="009E3D59">
            <w:rPr>
              <w:lang w:val="en-US"/>
            </w:rPr>
            <w:t>(Jacqueline Jepson, 2018)</w:t>
          </w:r>
          <w:r w:rsidRPr="009E3D59">
            <w:fldChar w:fldCharType="end"/>
          </w:r>
        </w:sdtContent>
      </w:sdt>
      <w:r w:rsidRPr="009E3D59">
        <w:t>. Quantitative risk analysis, predicated on robust historical data, often falters in the face of incomplete or irrelevant datasets. Such risk methodologies are often structured, providing comprehensive guidelines for risk identification, assessment, and mitigation,</w:t>
      </w:r>
      <w:r w:rsidR="00E77137">
        <w:t xml:space="preserve"> but</w:t>
      </w:r>
      <w:r w:rsidRPr="009E3D59">
        <w:t xml:space="preserve"> empirical studies indicate that organisations often favour qualitative risk assessments driven by intuition and subjective judgment </w:t>
      </w:r>
      <w:bookmarkStart w:id="23" w:name="_Hlk199692690"/>
      <w:sdt>
        <w:sdtPr>
          <w:id w:val="-1057630187"/>
          <w:citation/>
        </w:sdtPr>
        <w:sdtContent>
          <w:r w:rsidRPr="009E3D59">
            <w:fldChar w:fldCharType="begin"/>
          </w:r>
          <w:r w:rsidRPr="009E3D59">
            <w:rPr>
              <w:lang w:val="en-US"/>
            </w:rPr>
            <w:instrText xml:space="preserve"> CITATION Rob18 \l 1033 </w:instrText>
          </w:r>
          <w:r w:rsidRPr="009E3D59">
            <w:fldChar w:fldCharType="separate"/>
          </w:r>
          <w:r w:rsidRPr="009E3D59">
            <w:rPr>
              <w:lang w:val="en-US"/>
            </w:rPr>
            <w:t>(Robert Pellerin, 2018)</w:t>
          </w:r>
          <w:r w:rsidRPr="009E3D59">
            <w:fldChar w:fldCharType="end"/>
          </w:r>
        </w:sdtContent>
      </w:sdt>
      <w:bookmarkEnd w:id="23"/>
      <w:r w:rsidRPr="009E3D59">
        <w:t xml:space="preserve">. This reliance on qualitative methods, while </w:t>
      </w:r>
      <w:r w:rsidR="00406CBE">
        <w:t>needed</w:t>
      </w:r>
      <w:r w:rsidRPr="009E3D59">
        <w:t xml:space="preserve">, can lead to inconsistencies and introduces the potential for bias and oversight of quantitative insights, compromising the accuracy and objectivity of risk evaluations </w:t>
      </w:r>
      <w:sdt>
        <w:sdtPr>
          <w:id w:val="865644668"/>
          <w:citation/>
        </w:sdtPr>
        <w:sdtContent>
          <w:r w:rsidRPr="009E3D59">
            <w:fldChar w:fldCharType="begin"/>
          </w:r>
          <w:r w:rsidRPr="009E3D59">
            <w:rPr>
              <w:lang w:val="en-US"/>
            </w:rPr>
            <w:instrText xml:space="preserve"> CITATION Jac18 \l 1033 </w:instrText>
          </w:r>
          <w:r w:rsidRPr="009E3D59">
            <w:fldChar w:fldCharType="separate"/>
          </w:r>
          <w:r w:rsidRPr="009E3D59">
            <w:rPr>
              <w:lang w:val="en-US"/>
            </w:rPr>
            <w:t>(Jacqueline Jepson, 2018)</w:t>
          </w:r>
          <w:r w:rsidRPr="009E3D59">
            <w:fldChar w:fldCharType="end"/>
          </w:r>
        </w:sdtContent>
      </w:sdt>
      <w:r w:rsidRPr="009E3D59">
        <w:t xml:space="preserve"> </w:t>
      </w:r>
      <w:sdt>
        <w:sdtPr>
          <w:id w:val="-1967188063"/>
          <w:citation/>
        </w:sdtPr>
        <w:sdtContent>
          <w:r w:rsidRPr="009E3D59">
            <w:fldChar w:fldCharType="begin"/>
          </w:r>
          <w:r w:rsidRPr="009E3D59">
            <w:rPr>
              <w:lang w:val="en-US"/>
            </w:rPr>
            <w:instrText xml:space="preserve"> CITATION Van14 \l 1033 </w:instrText>
          </w:r>
          <w:r w:rsidRPr="009E3D59">
            <w:fldChar w:fldCharType="separate"/>
          </w:r>
          <w:r w:rsidRPr="009E3D59">
            <w:rPr>
              <w:lang w:val="en-US"/>
            </w:rPr>
            <w:t>(Vanessa Manotas Niño, 2014)</w:t>
          </w:r>
          <w:r w:rsidRPr="009E3D59">
            <w:fldChar w:fldCharType="end"/>
          </w:r>
        </w:sdtContent>
      </w:sdt>
      <w:r w:rsidRPr="009E3D59">
        <w:t xml:space="preserve">. This </w:t>
      </w:r>
      <w:r w:rsidR="00D61C5E">
        <w:t xml:space="preserve">is </w:t>
      </w:r>
      <w:r w:rsidRPr="009E3D59">
        <w:t xml:space="preserve">of particular risk in industries where structured risk management is not deeply embedded in organisational culture </w:t>
      </w:r>
      <w:sdt>
        <w:sdtPr>
          <w:id w:val="-1092538262"/>
          <w:citation/>
        </w:sdtPr>
        <w:sdtContent>
          <w:r w:rsidRPr="009E3D59">
            <w:fldChar w:fldCharType="begin"/>
          </w:r>
          <w:r w:rsidRPr="009E3D59">
            <w:rPr>
              <w:lang w:val="en-US"/>
            </w:rPr>
            <w:instrText xml:space="preserve"> CITATION Pau08 \l 1033 </w:instrText>
          </w:r>
          <w:r w:rsidRPr="009E3D59">
            <w:fldChar w:fldCharType="separate"/>
          </w:r>
          <w:r w:rsidRPr="009E3D59">
            <w:rPr>
              <w:lang w:val="en-US"/>
            </w:rPr>
            <w:t>(Bannerman, 2008)</w:t>
          </w:r>
          <w:r w:rsidRPr="009E3D59">
            <w:fldChar w:fldCharType="end"/>
          </w:r>
        </w:sdtContent>
      </w:sdt>
      <w:r w:rsidRPr="009E3D59">
        <w:t xml:space="preserve"> </w:t>
      </w:r>
      <w:sdt>
        <w:sdtPr>
          <w:id w:val="-709022635"/>
          <w:citation/>
        </w:sdtPr>
        <w:sdtContent>
          <w:r w:rsidRPr="009E3D59">
            <w:fldChar w:fldCharType="begin"/>
          </w:r>
          <w:r w:rsidRPr="009E3D59">
            <w:rPr>
              <w:lang w:val="en-US"/>
            </w:rPr>
            <w:instrText xml:space="preserve"> CITATION Rog06 \l 1033 </w:instrText>
          </w:r>
          <w:r w:rsidRPr="009E3D59">
            <w:fldChar w:fldCharType="separate"/>
          </w:r>
          <w:r w:rsidRPr="009E3D59">
            <w:rPr>
              <w:lang w:val="en-US"/>
            </w:rPr>
            <w:t>(Roger Atkinson, 2006)</w:t>
          </w:r>
          <w:r w:rsidRPr="009E3D59">
            <w:fldChar w:fldCharType="end"/>
          </w:r>
        </w:sdtContent>
      </w:sdt>
      <w:r w:rsidRPr="009E3D59">
        <w:t xml:space="preserve">. Moreover, the traditional risk model (R = P × I) often falls short in capturing unforeseen risks, underscoring the need for more adaptable strategies </w:t>
      </w:r>
      <w:sdt>
        <w:sdtPr>
          <w:id w:val="-25020120"/>
          <w:citation/>
        </w:sdtPr>
        <w:sdtContent>
          <w:r w:rsidRPr="009E3D59">
            <w:fldChar w:fldCharType="begin"/>
          </w:r>
          <w:r w:rsidRPr="009E3D59">
            <w:rPr>
              <w:lang w:val="en-US"/>
            </w:rPr>
            <w:instrText xml:space="preserve"> CITATION Rog01 \l 1033 </w:instrText>
          </w:r>
          <w:r w:rsidRPr="009E3D59">
            <w:fldChar w:fldCharType="separate"/>
          </w:r>
          <w:r w:rsidRPr="009E3D59">
            <w:rPr>
              <w:lang w:val="en-US"/>
            </w:rPr>
            <w:t>(Roger Millera, 2001)</w:t>
          </w:r>
          <w:r w:rsidRPr="009E3D59">
            <w:fldChar w:fldCharType="end"/>
          </w:r>
        </w:sdtContent>
      </w:sdt>
      <w:r w:rsidRPr="009E3D59">
        <w:t xml:space="preserve">. Although structured frameworks such as PMBoK and ISO 9000 provide standardised approaches, their adoption remains inconsistent. Studies also reveal commonly used tools, such as requirements and subcontractor management, are highly effective, whereas risk control mechanisms tend to be </w:t>
      </w:r>
      <w:r w:rsidR="00C07CA6">
        <w:t>underused</w:t>
      </w:r>
      <w:r w:rsidRPr="009E3D59">
        <w:t xml:space="preserve">, </w:t>
      </w:r>
      <w:r w:rsidR="00C07CA6">
        <w:t>considered</w:t>
      </w:r>
      <w:r w:rsidRPr="009E3D59">
        <w:t xml:space="preserve"> inefficient or overly complex.</w:t>
      </w:r>
    </w:p>
    <w:p w14:paraId="0013B7F9" w14:textId="77777777" w:rsidR="009E3D59" w:rsidRDefault="009E3D59" w:rsidP="007C1BEE">
      <w:pPr>
        <w:spacing w:after="0" w:line="360" w:lineRule="auto"/>
        <w:ind w:left="-578" w:right="-576"/>
        <w:jc w:val="both"/>
      </w:pPr>
    </w:p>
    <w:p w14:paraId="13F45D6B" w14:textId="1D3A5D3F" w:rsidR="008B6F11" w:rsidRDefault="00C0541C" w:rsidP="007C1BEE">
      <w:pPr>
        <w:spacing w:after="0" w:line="360" w:lineRule="auto"/>
        <w:ind w:left="-578" w:right="-576"/>
        <w:jc w:val="both"/>
      </w:pPr>
      <w:r>
        <w:t>Of</w:t>
      </w:r>
      <w:r w:rsidR="008B6F11" w:rsidRPr="003E6051">
        <w:t xml:space="preserve"> qualitative methods, Risk Matrix remains widely adopted across industries due to its simplicity and ease of communication</w:t>
      </w:r>
      <w:r w:rsidR="007653DD">
        <w:t xml:space="preserve"> </w:t>
      </w:r>
      <w:sdt>
        <w:sdtPr>
          <w:id w:val="-370841253"/>
          <w:citation/>
        </w:sdtPr>
        <w:sdtContent>
          <w:r w:rsidR="007653DD">
            <w:fldChar w:fldCharType="begin"/>
          </w:r>
          <w:r w:rsidR="007653DD">
            <w:rPr>
              <w:lang w:val="en-US"/>
            </w:rPr>
            <w:instrText xml:space="preserve"> CITATION Pee15 \l 1033 </w:instrText>
          </w:r>
          <w:r w:rsidR="007653DD">
            <w:fldChar w:fldCharType="separate"/>
          </w:r>
          <w:r w:rsidR="007653DD" w:rsidRPr="007653DD">
            <w:rPr>
              <w:noProof/>
              <w:lang w:val="en-US"/>
            </w:rPr>
            <w:t>(Peeters, 2015)</w:t>
          </w:r>
          <w:r w:rsidR="007653DD">
            <w:fldChar w:fldCharType="end"/>
          </w:r>
        </w:sdtContent>
      </w:sdt>
      <w:r w:rsidR="008B6F11" w:rsidRPr="003E6051">
        <w:t>. It facilitates risk ranking based on predefined scales of likelihood and consequence. However, this approach is often undermined by its inherent subjectivity, lack of standardised terminology (e.g., varying interpretations of "likelihood" versus "probability"), and arbitrary categorisation of risk levels. These weaknesses can impair consistency and comparability across projects or organisations</w:t>
      </w:r>
      <w:r w:rsidR="004449B0">
        <w:t xml:space="preserve"> </w:t>
      </w:r>
      <w:sdt>
        <w:sdtPr>
          <w:id w:val="-1116207425"/>
          <w:citation/>
        </w:sdtPr>
        <w:sdtContent>
          <w:r w:rsidR="004449B0">
            <w:fldChar w:fldCharType="begin"/>
          </w:r>
          <w:r w:rsidR="004449B0">
            <w:rPr>
              <w:lang w:val="en-US"/>
            </w:rPr>
            <w:instrText xml:space="preserve"> CITATION Ade24 \l 1033 </w:instrText>
          </w:r>
          <w:r w:rsidR="004449B0">
            <w:fldChar w:fldCharType="separate"/>
          </w:r>
          <w:r w:rsidR="004449B0" w:rsidRPr="004449B0">
            <w:rPr>
              <w:noProof/>
              <w:lang w:val="en-US"/>
            </w:rPr>
            <w:t>(Temitope, 2024)</w:t>
          </w:r>
          <w:r w:rsidR="004449B0">
            <w:fldChar w:fldCharType="end"/>
          </w:r>
        </w:sdtContent>
      </w:sdt>
      <w:r w:rsidR="008B6F11" w:rsidRPr="003E6051">
        <w:t>.</w:t>
      </w:r>
    </w:p>
    <w:p w14:paraId="37C841CC" w14:textId="77777777" w:rsidR="00205E9B" w:rsidRDefault="00205E9B" w:rsidP="007C1BEE">
      <w:pPr>
        <w:spacing w:after="0" w:line="360" w:lineRule="auto"/>
        <w:ind w:left="-578" w:right="-576"/>
        <w:jc w:val="both"/>
      </w:pPr>
    </w:p>
    <w:p w14:paraId="30966662" w14:textId="529166F7" w:rsidR="008B6F11" w:rsidRPr="003E6051" w:rsidRDefault="008B6F11" w:rsidP="007C1BEE">
      <w:pPr>
        <w:spacing w:after="0" w:line="360" w:lineRule="auto"/>
        <w:ind w:left="-578" w:right="-576"/>
        <w:jc w:val="both"/>
      </w:pPr>
      <w:r w:rsidRPr="003E6051">
        <w:t>Quantitative methods offer a more robust framework for risk assessment through numerical modelling. Monte Carlo Simulation (MCS), for example, enables the generation of probabilistic risk profiles by simulating thousands of potential scenarios, capturing the variability and uncertainty in complex systems</w:t>
      </w:r>
      <w:r w:rsidR="00B552BC">
        <w:t xml:space="preserve"> </w:t>
      </w:r>
      <w:sdt>
        <w:sdtPr>
          <w:id w:val="-401682447"/>
          <w:citation/>
        </w:sdtPr>
        <w:sdtContent>
          <w:r w:rsidR="00B552BC">
            <w:fldChar w:fldCharType="begin"/>
          </w:r>
          <w:r w:rsidR="00B552BC">
            <w:rPr>
              <w:lang w:val="en-US"/>
            </w:rPr>
            <w:instrText xml:space="preserve"> CITATION Rui20 \l 1033 </w:instrText>
          </w:r>
          <w:r w:rsidR="00B552BC">
            <w:fldChar w:fldCharType="separate"/>
          </w:r>
          <w:r w:rsidR="00B552BC" w:rsidRPr="004449B0">
            <w:rPr>
              <w:noProof/>
              <w:lang w:val="en-US"/>
            </w:rPr>
            <w:t>(Ferro, 2020)</w:t>
          </w:r>
          <w:r w:rsidR="00B552BC">
            <w:fldChar w:fldCharType="end"/>
          </w:r>
        </w:sdtContent>
      </w:sdt>
      <w:r w:rsidR="004449B0">
        <w:t xml:space="preserve"> </w:t>
      </w:r>
      <w:sdt>
        <w:sdtPr>
          <w:id w:val="488826566"/>
          <w:citation/>
        </w:sdtPr>
        <w:sdtContent>
          <w:r w:rsidR="004449B0">
            <w:fldChar w:fldCharType="begin"/>
          </w:r>
          <w:r w:rsidR="004449B0">
            <w:rPr>
              <w:lang w:val="en-US"/>
            </w:rPr>
            <w:instrText xml:space="preserve"> CITATION Ade24 \l 1033 </w:instrText>
          </w:r>
          <w:r w:rsidR="004449B0">
            <w:fldChar w:fldCharType="separate"/>
          </w:r>
          <w:r w:rsidR="004449B0" w:rsidRPr="004449B0">
            <w:rPr>
              <w:noProof/>
              <w:lang w:val="en-US"/>
            </w:rPr>
            <w:t>(Temitope, 2024)</w:t>
          </w:r>
          <w:r w:rsidR="004449B0">
            <w:fldChar w:fldCharType="end"/>
          </w:r>
        </w:sdtContent>
      </w:sdt>
      <w:r w:rsidRPr="003E6051">
        <w:t xml:space="preserve">. This approach is particularly valuable in engineering, finance, and infrastructure projects where precise modelling is feasible. Cost-Benefit Analysis (CBA) serves as a complementary technique, especially in public-sector decision-making, weighing the economic efficiency of risk mitigation strategies against their expected benefits. While more </w:t>
      </w:r>
      <w:r w:rsidRPr="003E6051">
        <w:lastRenderedPageBreak/>
        <w:t>data-intensive, CBA helps to rationalise resource allocation by linking risk reduction efforts directly to economic outcomes</w:t>
      </w:r>
      <w:r w:rsidR="007653DD">
        <w:t xml:space="preserve"> </w:t>
      </w:r>
      <w:sdt>
        <w:sdtPr>
          <w:id w:val="1259416325"/>
          <w:citation/>
        </w:sdtPr>
        <w:sdtContent>
          <w:r w:rsidR="007653DD">
            <w:fldChar w:fldCharType="begin"/>
          </w:r>
          <w:r w:rsidR="007653DD">
            <w:rPr>
              <w:lang w:val="en-US"/>
            </w:rPr>
            <w:instrText xml:space="preserve"> CITATION Pee15 \l 1033 </w:instrText>
          </w:r>
          <w:r w:rsidR="007653DD">
            <w:fldChar w:fldCharType="separate"/>
          </w:r>
          <w:r w:rsidR="007653DD" w:rsidRPr="007653DD">
            <w:rPr>
              <w:noProof/>
              <w:lang w:val="en-US"/>
            </w:rPr>
            <w:t>(Peeters, 2015)</w:t>
          </w:r>
          <w:r w:rsidR="007653DD">
            <w:fldChar w:fldCharType="end"/>
          </w:r>
        </w:sdtContent>
      </w:sdt>
      <w:r w:rsidR="007653DD">
        <w:t xml:space="preserve"> </w:t>
      </w:r>
      <w:sdt>
        <w:sdtPr>
          <w:id w:val="-186450228"/>
          <w:citation/>
        </w:sdtPr>
        <w:sdtContent>
          <w:r w:rsidR="007653DD">
            <w:fldChar w:fldCharType="begin"/>
          </w:r>
          <w:r w:rsidR="007653DD">
            <w:rPr>
              <w:lang w:val="en-US"/>
            </w:rPr>
            <w:instrText xml:space="preserve"> CITATION Mar18 \l 1033 </w:instrText>
          </w:r>
          <w:r w:rsidR="007653DD">
            <w:fldChar w:fldCharType="separate"/>
          </w:r>
          <w:r w:rsidR="007653DD" w:rsidRPr="007653DD">
            <w:rPr>
              <w:noProof/>
              <w:lang w:val="en-US"/>
            </w:rPr>
            <w:t>(Kolios, 2018)</w:t>
          </w:r>
          <w:r w:rsidR="007653DD">
            <w:fldChar w:fldCharType="end"/>
          </w:r>
        </w:sdtContent>
      </w:sdt>
      <w:r w:rsidRPr="003E6051">
        <w:t>.</w:t>
      </w:r>
    </w:p>
    <w:p w14:paraId="14E28503" w14:textId="77777777" w:rsidR="008B6F11" w:rsidRPr="003E6051" w:rsidRDefault="008B6F11" w:rsidP="007C1BEE">
      <w:pPr>
        <w:spacing w:after="0" w:line="360" w:lineRule="auto"/>
        <w:ind w:left="-578" w:right="-576"/>
        <w:jc w:val="both"/>
      </w:pPr>
    </w:p>
    <w:p w14:paraId="156B194F" w14:textId="51CB2A85" w:rsidR="008B6F11" w:rsidRPr="003E6051" w:rsidRDefault="008B6F11" w:rsidP="007C1BEE">
      <w:pPr>
        <w:spacing w:after="0" w:line="360" w:lineRule="auto"/>
        <w:ind w:left="-578" w:right="-576"/>
        <w:jc w:val="both"/>
      </w:pPr>
      <w:r w:rsidRPr="003E6051">
        <w:t xml:space="preserve">Risk Scoring Models and Multi-Criteria Decision Analysis (MCDA) represent hybrid approaches that integrate both qualitative and quantitative </w:t>
      </w:r>
      <w:r w:rsidR="00756048">
        <w:t>tools</w:t>
      </w:r>
      <w:r w:rsidRPr="003E6051">
        <w:t>. These methods assign weighted scores to risks based on multiple evaluation criteria, such as severity, frequency, and detectability, and are useful for prioritising interventions when resources are constrained</w:t>
      </w:r>
      <w:r w:rsidR="008E6E04">
        <w:t xml:space="preserve"> </w:t>
      </w:r>
      <w:sdt>
        <w:sdtPr>
          <w:id w:val="1841808971"/>
          <w:citation/>
        </w:sdtPr>
        <w:sdtContent>
          <w:r w:rsidR="008E6E04">
            <w:fldChar w:fldCharType="begin"/>
          </w:r>
          <w:r w:rsidR="008E6E04">
            <w:rPr>
              <w:lang w:val="en-US"/>
            </w:rPr>
            <w:instrText xml:space="preserve"> CITATION Muh18 \l 1033 </w:instrText>
          </w:r>
          <w:r w:rsidR="008E6E04">
            <w:fldChar w:fldCharType="separate"/>
          </w:r>
          <w:r w:rsidR="008E6E04" w:rsidRPr="00667E16">
            <w:rPr>
              <w:noProof/>
              <w:lang w:val="en-US"/>
            </w:rPr>
            <w:t>(Muhammet Gul, 2018)</w:t>
          </w:r>
          <w:r w:rsidR="008E6E04">
            <w:fldChar w:fldCharType="end"/>
          </w:r>
        </w:sdtContent>
      </w:sdt>
      <w:r w:rsidRPr="003E6051">
        <w:t>. When extended with fuzzy logic, MCDA becomes particularly effective in scenarios characterised by incomplete or imprecise data, allowing for the structured incorporation of expert judgment. Nevertheless, the application of these techniques often demands specialised analytical expertise and reliable datasets, which may pose barriers for under-resourced organisations</w:t>
      </w:r>
      <w:r w:rsidR="007653DD">
        <w:t xml:space="preserve"> </w:t>
      </w:r>
      <w:sdt>
        <w:sdtPr>
          <w:id w:val="1531846184"/>
          <w:citation/>
        </w:sdtPr>
        <w:sdtContent>
          <w:r w:rsidR="007653DD">
            <w:fldChar w:fldCharType="begin"/>
          </w:r>
          <w:r w:rsidR="007653DD">
            <w:rPr>
              <w:lang w:val="en-US"/>
            </w:rPr>
            <w:instrText xml:space="preserve"> CITATION Pee15 \l 1033 </w:instrText>
          </w:r>
          <w:r w:rsidR="007653DD">
            <w:fldChar w:fldCharType="separate"/>
          </w:r>
          <w:r w:rsidR="007653DD" w:rsidRPr="007653DD">
            <w:rPr>
              <w:noProof/>
              <w:lang w:val="en-US"/>
            </w:rPr>
            <w:t>(Peeters, 2015)</w:t>
          </w:r>
          <w:r w:rsidR="007653DD">
            <w:fldChar w:fldCharType="end"/>
          </w:r>
        </w:sdtContent>
      </w:sdt>
      <w:r w:rsidR="007653DD">
        <w:t xml:space="preserve"> </w:t>
      </w:r>
      <w:sdt>
        <w:sdtPr>
          <w:id w:val="850922140"/>
          <w:citation/>
        </w:sdtPr>
        <w:sdtContent>
          <w:r w:rsidR="007653DD">
            <w:fldChar w:fldCharType="begin"/>
          </w:r>
          <w:r w:rsidR="007653DD">
            <w:rPr>
              <w:lang w:val="en-US"/>
            </w:rPr>
            <w:instrText xml:space="preserve"> CITATION Mar18 \l 1033 </w:instrText>
          </w:r>
          <w:r w:rsidR="007653DD">
            <w:fldChar w:fldCharType="separate"/>
          </w:r>
          <w:r w:rsidR="007653DD" w:rsidRPr="007653DD">
            <w:rPr>
              <w:noProof/>
              <w:lang w:val="en-US"/>
            </w:rPr>
            <w:t>(Kolios, 2018)</w:t>
          </w:r>
          <w:r w:rsidR="007653DD">
            <w:fldChar w:fldCharType="end"/>
          </w:r>
        </w:sdtContent>
      </w:sdt>
      <w:r w:rsidRPr="003E6051">
        <w:t>.</w:t>
      </w:r>
    </w:p>
    <w:p w14:paraId="189F333E" w14:textId="77777777" w:rsidR="008B6F11" w:rsidRPr="003E6051" w:rsidRDefault="008B6F11" w:rsidP="007C1BEE">
      <w:pPr>
        <w:spacing w:after="0" w:line="360" w:lineRule="auto"/>
        <w:ind w:left="-578" w:right="-576"/>
        <w:jc w:val="both"/>
      </w:pPr>
    </w:p>
    <w:p w14:paraId="1EC8608D" w14:textId="4CE667F2" w:rsidR="00F22FF4" w:rsidRPr="003E6051" w:rsidRDefault="00F22FF4" w:rsidP="00254EFB">
      <w:pPr>
        <w:spacing w:after="0" w:line="360" w:lineRule="auto"/>
        <w:ind w:left="-578" w:right="-576"/>
        <w:jc w:val="both"/>
      </w:pPr>
      <w:r w:rsidRPr="003E6051">
        <w:t>Functional and failure analysis methodologies provide essential insights into how systems may malfunction, as well as the potential consequences. Among the most established are Failure Mode and Effects Analysis (FMEA) and its more comprehensive extension, Failure Mode, Effects, and Criticality Analysis (FMECA).</w:t>
      </w:r>
      <w:r w:rsidR="00724A10">
        <w:t xml:space="preserve"> </w:t>
      </w:r>
      <w:r w:rsidRPr="003E6051">
        <w:t xml:space="preserve">These bottom-up approaches systematically assess failure modes at the component level, tracing their impact on higher-level system functions. </w:t>
      </w:r>
      <w:sdt>
        <w:sdtPr>
          <w:id w:val="1423454115"/>
          <w:citation/>
        </w:sdtPr>
        <w:sdtContent>
          <w:r w:rsidR="008E6E04">
            <w:fldChar w:fldCharType="begin"/>
          </w:r>
          <w:r w:rsidR="008E6E04">
            <w:rPr>
              <w:lang w:val="en-US"/>
            </w:rPr>
            <w:instrText xml:space="preserve"> CITATION Ime24 \l 1033 </w:instrText>
          </w:r>
          <w:r w:rsidR="008E6E04">
            <w:fldChar w:fldCharType="separate"/>
          </w:r>
          <w:r w:rsidR="008E6E04" w:rsidRPr="008E6E04">
            <w:rPr>
              <w:noProof/>
              <w:lang w:val="en-US"/>
            </w:rPr>
            <w:t>(Imene Mohammedi, 2024)</w:t>
          </w:r>
          <w:r w:rsidR="008E6E04">
            <w:fldChar w:fldCharType="end"/>
          </w:r>
        </w:sdtContent>
      </w:sdt>
      <w:r w:rsidR="008E6E04" w:rsidRPr="003E6051">
        <w:t xml:space="preserve"> </w:t>
      </w:r>
      <w:r w:rsidRPr="003E6051">
        <w:t>Despite widespread application in safety-critical industries, traditional FMEA has been subject to criticism due to its use of subjective scoring systems, particularly the Risk Priority Number (RPN), which lacks sensitivity and discriminative power</w:t>
      </w:r>
      <w:r w:rsidR="007653DD">
        <w:t xml:space="preserve"> </w:t>
      </w:r>
      <w:sdt>
        <w:sdtPr>
          <w:id w:val="2136523017"/>
          <w:citation/>
        </w:sdtPr>
        <w:sdtContent>
          <w:r w:rsidR="007653DD">
            <w:fldChar w:fldCharType="begin"/>
          </w:r>
          <w:r w:rsidR="007653DD">
            <w:rPr>
              <w:lang w:val="en-US"/>
            </w:rPr>
            <w:instrText xml:space="preserve"> CITATION Mar18 \l 1033 </w:instrText>
          </w:r>
          <w:r w:rsidR="007653DD">
            <w:fldChar w:fldCharType="separate"/>
          </w:r>
          <w:r w:rsidR="007653DD" w:rsidRPr="007653DD">
            <w:rPr>
              <w:noProof/>
              <w:lang w:val="en-US"/>
            </w:rPr>
            <w:t>(Kolios, 2018)</w:t>
          </w:r>
          <w:r w:rsidR="007653DD">
            <w:fldChar w:fldCharType="end"/>
          </w:r>
        </w:sdtContent>
      </w:sdt>
      <w:r w:rsidR="007653DD">
        <w:t xml:space="preserve"> </w:t>
      </w:r>
      <w:sdt>
        <w:sdtPr>
          <w:id w:val="-1409694759"/>
          <w:citation/>
        </w:sdtPr>
        <w:sdtContent>
          <w:r w:rsidR="007653DD">
            <w:fldChar w:fldCharType="begin"/>
          </w:r>
          <w:r w:rsidR="007653DD">
            <w:rPr>
              <w:lang w:val="en-US"/>
            </w:rPr>
            <w:instrText xml:space="preserve"> CITATION Whi \l 1033 </w:instrText>
          </w:r>
          <w:r w:rsidR="007653DD">
            <w:fldChar w:fldCharType="separate"/>
          </w:r>
          <w:r w:rsidR="007653DD" w:rsidRPr="007653DD">
            <w:rPr>
              <w:noProof/>
              <w:lang w:val="en-US"/>
            </w:rPr>
            <w:t>(Whiting, n.d.)</w:t>
          </w:r>
          <w:r w:rsidR="007653DD">
            <w:fldChar w:fldCharType="end"/>
          </w:r>
        </w:sdtContent>
      </w:sdt>
      <w:r w:rsidRPr="003E6051">
        <w:t>.</w:t>
      </w:r>
      <w:r w:rsidR="00254EFB">
        <w:t xml:space="preserve"> </w:t>
      </w:r>
      <w:r w:rsidRPr="003E6051">
        <w:t>In response, researchers have introduced enhancements such as the Cost Priority Number (CPN), which incorporates the financial consequences of failure, and Correlation-FMEA, which considers the interdependence of failure modes, addressing limitations of conventional models in capturing systemic risk behaviour</w:t>
      </w:r>
      <w:r w:rsidR="00830213">
        <w:t xml:space="preserve"> </w:t>
      </w:r>
      <w:sdt>
        <w:sdtPr>
          <w:id w:val="852996961"/>
          <w:citation/>
        </w:sdtPr>
        <w:sdtContent>
          <w:r w:rsidR="00830213">
            <w:fldChar w:fldCharType="begin"/>
          </w:r>
          <w:r w:rsidR="00830213">
            <w:rPr>
              <w:lang w:val="en-US"/>
            </w:rPr>
            <w:instrText xml:space="preserve"> CITATION Mar18 \l 1033 </w:instrText>
          </w:r>
          <w:r w:rsidR="00830213">
            <w:fldChar w:fldCharType="separate"/>
          </w:r>
          <w:r w:rsidR="00830213" w:rsidRPr="007653DD">
            <w:rPr>
              <w:noProof/>
              <w:lang w:val="en-US"/>
            </w:rPr>
            <w:t>(Kolios, 2018)</w:t>
          </w:r>
          <w:r w:rsidR="00830213">
            <w:fldChar w:fldCharType="end"/>
          </w:r>
        </w:sdtContent>
      </w:sdt>
      <w:r w:rsidR="00830213">
        <w:t xml:space="preserve"> </w:t>
      </w:r>
      <w:sdt>
        <w:sdtPr>
          <w:id w:val="1992743413"/>
          <w:citation/>
        </w:sdtPr>
        <w:sdtContent>
          <w:r w:rsidR="00830213">
            <w:fldChar w:fldCharType="begin"/>
          </w:r>
          <w:r w:rsidR="00830213">
            <w:rPr>
              <w:lang w:val="en-US"/>
            </w:rPr>
            <w:instrText xml:space="preserve"> CITATION Whi \l 1033 </w:instrText>
          </w:r>
          <w:r w:rsidR="00830213">
            <w:fldChar w:fldCharType="separate"/>
          </w:r>
          <w:r w:rsidR="00830213" w:rsidRPr="007653DD">
            <w:rPr>
              <w:noProof/>
              <w:lang w:val="en-US"/>
            </w:rPr>
            <w:t>(Whiting, n.d.)</w:t>
          </w:r>
          <w:r w:rsidR="00830213">
            <w:fldChar w:fldCharType="end"/>
          </w:r>
        </w:sdtContent>
      </w:sdt>
      <w:r w:rsidRPr="003E6051">
        <w:t>.</w:t>
      </w:r>
    </w:p>
    <w:p w14:paraId="082CBDEB" w14:textId="77777777" w:rsidR="00F22FF4" w:rsidRPr="003E6051" w:rsidRDefault="00F22FF4" w:rsidP="007C1BEE">
      <w:pPr>
        <w:spacing w:after="0" w:line="360" w:lineRule="auto"/>
        <w:ind w:left="-578" w:right="-576"/>
        <w:jc w:val="both"/>
      </w:pPr>
    </w:p>
    <w:p w14:paraId="556C2409" w14:textId="1988AC7E" w:rsidR="00F22FF4" w:rsidRPr="003E6051" w:rsidRDefault="00F22FF4" w:rsidP="007C1BEE">
      <w:pPr>
        <w:spacing w:after="0" w:line="360" w:lineRule="auto"/>
        <w:ind w:left="-578" w:right="-576"/>
        <w:jc w:val="both"/>
      </w:pPr>
      <w:r w:rsidRPr="003E6051">
        <w:t>Another pivotal methodology, the Hazard and Operability Study (HAZOP), utilises a structured, guide-word-based framework to identify process deviations and their underlying causes</w:t>
      </w:r>
      <w:r w:rsidR="008E6E04">
        <w:t xml:space="preserve"> </w:t>
      </w:r>
      <w:sdt>
        <w:sdtPr>
          <w:id w:val="-1481387865"/>
          <w:citation/>
        </w:sdtPr>
        <w:sdtContent>
          <w:r w:rsidR="008E6E04">
            <w:fldChar w:fldCharType="begin"/>
          </w:r>
          <w:r w:rsidR="008E6E04">
            <w:rPr>
              <w:lang w:val="en-US"/>
            </w:rPr>
            <w:instrText xml:space="preserve"> CITATION Ime24 \l 1033 </w:instrText>
          </w:r>
          <w:r w:rsidR="008E6E04">
            <w:fldChar w:fldCharType="separate"/>
          </w:r>
          <w:r w:rsidR="008E6E04" w:rsidRPr="008E6E04">
            <w:rPr>
              <w:noProof/>
              <w:lang w:val="en-US"/>
            </w:rPr>
            <w:t>(Imene Mohammedi, 2024)</w:t>
          </w:r>
          <w:r w:rsidR="008E6E04">
            <w:fldChar w:fldCharType="end"/>
          </w:r>
        </w:sdtContent>
      </w:sdt>
      <w:r w:rsidRPr="003E6051">
        <w:t xml:space="preserve">. This technique is especially valuable in high-risk process industries for uncovering hidden hazards during system design or modification. </w:t>
      </w:r>
      <w:r w:rsidR="006A5379">
        <w:t>R</w:t>
      </w:r>
      <w:r w:rsidRPr="003E6051">
        <w:t>oot cause analysis tools like the Cause-and-Effect Diagram (Fishbone or Ishikawa diagram)</w:t>
      </w:r>
      <w:r w:rsidR="00AD648A">
        <w:t xml:space="preserve"> complement these</w:t>
      </w:r>
      <w:r w:rsidRPr="003E6051">
        <w:t>, map</w:t>
      </w:r>
      <w:r w:rsidR="00AD648A">
        <w:t>ping</w:t>
      </w:r>
      <w:r w:rsidRPr="003E6051">
        <w:t xml:space="preserve"> the causal pathways </w:t>
      </w:r>
      <w:r w:rsidR="00AD648A">
        <w:t>for</w:t>
      </w:r>
      <w:r w:rsidRPr="003E6051">
        <w:t xml:space="preserve"> failure events. These visual tools support teams in identifying not just immediate triggers but also systemic weaknesses</w:t>
      </w:r>
      <w:r w:rsidR="003E59F4">
        <w:t xml:space="preserve"> </w:t>
      </w:r>
      <w:sdt>
        <w:sdtPr>
          <w:id w:val="-1292428589"/>
          <w:citation/>
        </w:sdtPr>
        <w:sdtContent>
          <w:r w:rsidR="003E59F4">
            <w:fldChar w:fldCharType="begin"/>
          </w:r>
          <w:r w:rsidR="003E59F4">
            <w:rPr>
              <w:lang w:val="en-US"/>
            </w:rPr>
            <w:instrText xml:space="preserve"> CITATION Ade24 \l 1033 </w:instrText>
          </w:r>
          <w:r w:rsidR="003E59F4">
            <w:fldChar w:fldCharType="separate"/>
          </w:r>
          <w:r w:rsidR="003E59F4" w:rsidRPr="004449B0">
            <w:rPr>
              <w:noProof/>
              <w:lang w:val="en-US"/>
            </w:rPr>
            <w:t>(Temitope, 2024)</w:t>
          </w:r>
          <w:r w:rsidR="003E59F4">
            <w:fldChar w:fldCharType="end"/>
          </w:r>
        </w:sdtContent>
      </w:sdt>
      <w:r w:rsidRPr="003E6051">
        <w:t>.</w:t>
      </w:r>
    </w:p>
    <w:p w14:paraId="30AF5439" w14:textId="77777777" w:rsidR="00F22FF4" w:rsidRPr="003E6051" w:rsidRDefault="00F22FF4" w:rsidP="007C1BEE">
      <w:pPr>
        <w:spacing w:after="0" w:line="360" w:lineRule="auto"/>
        <w:ind w:left="-578" w:right="-576"/>
        <w:jc w:val="both"/>
      </w:pPr>
    </w:p>
    <w:p w14:paraId="23828899" w14:textId="47626F1E" w:rsidR="008B6F11" w:rsidRPr="003E6051" w:rsidRDefault="00F22FF4" w:rsidP="007C1BEE">
      <w:pPr>
        <w:spacing w:after="0" w:line="360" w:lineRule="auto"/>
        <w:ind w:left="-578" w:right="-576"/>
        <w:jc w:val="both"/>
      </w:pPr>
      <w:r w:rsidRPr="003E6051">
        <w:t xml:space="preserve">While these methods </w:t>
      </w:r>
      <w:r w:rsidR="00946EA3">
        <w:t>support</w:t>
      </w:r>
      <w:r w:rsidRPr="003E6051">
        <w:t xml:space="preserve"> reliability, their effectiveness is strongly influenced by the expertise, collaboration, and interpretative consistency of the</w:t>
      </w:r>
      <w:r w:rsidR="00946EA3">
        <w:t xml:space="preserve"> </w:t>
      </w:r>
      <w:r w:rsidRPr="003E6051">
        <w:t xml:space="preserve">team. Misapplication or </w:t>
      </w:r>
      <w:r w:rsidR="00946EA3">
        <w:t>poor</w:t>
      </w:r>
      <w:r w:rsidRPr="003E6051">
        <w:t xml:space="preserve"> understanding can result in overlooked failure modes or underestimated consequences, emphasising the need for skilled </w:t>
      </w:r>
      <w:r w:rsidR="003E59F4">
        <w:t>input</w:t>
      </w:r>
      <w:r w:rsidRPr="003E6051">
        <w:t xml:space="preserve"> and rigorous application</w:t>
      </w:r>
      <w:r w:rsidR="00B46818">
        <w:t xml:space="preserve"> </w:t>
      </w:r>
      <w:sdt>
        <w:sdtPr>
          <w:id w:val="634999059"/>
          <w:citation/>
        </w:sdtPr>
        <w:sdtContent>
          <w:r w:rsidR="00B46818">
            <w:fldChar w:fldCharType="begin"/>
          </w:r>
          <w:r w:rsidR="00B46818">
            <w:rPr>
              <w:lang w:val="en-US"/>
            </w:rPr>
            <w:instrText xml:space="preserve"> CITATION Ime24 \l 1033 </w:instrText>
          </w:r>
          <w:r w:rsidR="00B46818">
            <w:fldChar w:fldCharType="separate"/>
          </w:r>
          <w:r w:rsidR="00B46818" w:rsidRPr="008E6E04">
            <w:rPr>
              <w:noProof/>
              <w:lang w:val="en-US"/>
            </w:rPr>
            <w:t>(Imene Mohammedi, 2024)</w:t>
          </w:r>
          <w:r w:rsidR="00B46818">
            <w:fldChar w:fldCharType="end"/>
          </w:r>
        </w:sdtContent>
      </w:sdt>
      <w:r w:rsidRPr="003E6051">
        <w:t>.</w:t>
      </w:r>
    </w:p>
    <w:p w14:paraId="666652A1" w14:textId="77777777" w:rsidR="00F22FF4" w:rsidRPr="003E6051" w:rsidRDefault="00F22FF4" w:rsidP="007C1BEE">
      <w:pPr>
        <w:spacing w:after="0" w:line="360" w:lineRule="auto"/>
        <w:ind w:left="-578" w:right="-576"/>
        <w:jc w:val="both"/>
      </w:pPr>
    </w:p>
    <w:p w14:paraId="3CF468DA" w14:textId="10B7B470" w:rsidR="00F22FF4" w:rsidRPr="003E6051" w:rsidRDefault="00F22FF4" w:rsidP="007C1BEE">
      <w:pPr>
        <w:spacing w:after="0" w:line="360" w:lineRule="auto"/>
        <w:ind w:left="-578" w:right="-576"/>
        <w:jc w:val="both"/>
      </w:pPr>
      <w:r w:rsidRPr="003E6051">
        <w:lastRenderedPageBreak/>
        <w:t>Systematic documentation and continuous monitoring of risks are essential for ensuring threats are not only identified but also actively tracked, re</w:t>
      </w:r>
      <w:r w:rsidR="0027630C">
        <w:t>-</w:t>
      </w:r>
      <w:r w:rsidRPr="003E6051">
        <w:t>assessed, and managed throughout the project life cycle. These practices underpin transparency, accountability, and adaptive decision-making in environments characterised by uncertainty and change</w:t>
      </w:r>
      <w:r w:rsidR="00B552BC">
        <w:t xml:space="preserve"> </w:t>
      </w:r>
      <w:sdt>
        <w:sdtPr>
          <w:id w:val="252792129"/>
          <w:citation/>
        </w:sdtPr>
        <w:sdtContent>
          <w:r w:rsidR="00B552BC">
            <w:fldChar w:fldCharType="begin"/>
          </w:r>
          <w:r w:rsidR="00B552BC">
            <w:rPr>
              <w:lang w:val="en-US"/>
            </w:rPr>
            <w:instrText xml:space="preserve"> CITATION Rui20 \l 1033 </w:instrText>
          </w:r>
          <w:r w:rsidR="00B552BC">
            <w:fldChar w:fldCharType="separate"/>
          </w:r>
          <w:r w:rsidR="00B552BC" w:rsidRPr="004449B0">
            <w:rPr>
              <w:noProof/>
              <w:lang w:val="en-US"/>
            </w:rPr>
            <w:t>(Ferro, 2020)</w:t>
          </w:r>
          <w:r w:rsidR="00B552BC">
            <w:fldChar w:fldCharType="end"/>
          </w:r>
        </w:sdtContent>
      </w:sdt>
      <w:r w:rsidR="004449B0">
        <w:t xml:space="preserve"> </w:t>
      </w:r>
      <w:sdt>
        <w:sdtPr>
          <w:id w:val="1832026508"/>
          <w:citation/>
        </w:sdtPr>
        <w:sdtContent>
          <w:r w:rsidR="004449B0">
            <w:fldChar w:fldCharType="begin"/>
          </w:r>
          <w:r w:rsidR="004449B0">
            <w:rPr>
              <w:lang w:val="en-US"/>
            </w:rPr>
            <w:instrText xml:space="preserve"> CITATION Ade24 \l 1033 </w:instrText>
          </w:r>
          <w:r w:rsidR="004449B0">
            <w:fldChar w:fldCharType="separate"/>
          </w:r>
          <w:r w:rsidR="004449B0" w:rsidRPr="004449B0">
            <w:rPr>
              <w:noProof/>
              <w:lang w:val="en-US"/>
            </w:rPr>
            <w:t>(Temitope, 2024)</w:t>
          </w:r>
          <w:r w:rsidR="004449B0">
            <w:fldChar w:fldCharType="end"/>
          </w:r>
        </w:sdtContent>
      </w:sdt>
      <w:r w:rsidRPr="003E6051">
        <w:t>.</w:t>
      </w:r>
      <w:r w:rsidR="007C1BEE" w:rsidRPr="003E6051">
        <w:t xml:space="preserve"> </w:t>
      </w:r>
      <w:r w:rsidR="0027630C">
        <w:t>Central to</w:t>
      </w:r>
      <w:r w:rsidRPr="003E6051">
        <w:t xml:space="preserve"> formal risk governance are risk registers and risk logs, which serve as repositories for cataloguing identified risks, their qualitative and quantitative assessments, mitigation strategies, ownership assignments, and review dates</w:t>
      </w:r>
      <w:r w:rsidR="008E6E04">
        <w:t xml:space="preserve"> </w:t>
      </w:r>
      <w:sdt>
        <w:sdtPr>
          <w:id w:val="-2094859793"/>
          <w:citation/>
        </w:sdtPr>
        <w:sdtContent>
          <w:r w:rsidR="008E6E04">
            <w:fldChar w:fldCharType="begin"/>
          </w:r>
          <w:r w:rsidR="008E6E04">
            <w:rPr>
              <w:lang w:val="en-US"/>
            </w:rPr>
            <w:instrText xml:space="preserve"> CITATION Ime24 \l 1033 </w:instrText>
          </w:r>
          <w:r w:rsidR="008E6E04">
            <w:fldChar w:fldCharType="separate"/>
          </w:r>
          <w:r w:rsidR="008E6E04" w:rsidRPr="008E6E04">
            <w:rPr>
              <w:noProof/>
              <w:lang w:val="en-US"/>
            </w:rPr>
            <w:t>(Imene Mohammedi, 2024)</w:t>
          </w:r>
          <w:r w:rsidR="008E6E04">
            <w:fldChar w:fldCharType="end"/>
          </w:r>
        </w:sdtContent>
      </w:sdt>
      <w:r w:rsidRPr="003E6051">
        <w:t xml:space="preserve">. When effectively maintained, these tools enable traceability and prioritisation of risk responses. </w:t>
      </w:r>
      <w:r w:rsidR="00295B95">
        <w:t xml:space="preserve">However, </w:t>
      </w:r>
      <w:r w:rsidR="00483B9A">
        <w:t>where</w:t>
      </w:r>
      <w:r w:rsidRPr="003E6051">
        <w:t xml:space="preserve"> historical precedent</w:t>
      </w:r>
      <w:r w:rsidR="00483B9A">
        <w:t xml:space="preserve"> is lacking</w:t>
      </w:r>
      <w:r w:rsidRPr="003E6051">
        <w:t>, practitioners may turn to analogous data sets or surrogate risk profiles derived from similar projects</w:t>
      </w:r>
      <w:r w:rsidR="004449B0">
        <w:t xml:space="preserve"> </w:t>
      </w:r>
      <w:sdt>
        <w:sdtPr>
          <w:id w:val="-750200375"/>
          <w:citation/>
        </w:sdtPr>
        <w:sdtContent>
          <w:r w:rsidR="004449B0">
            <w:fldChar w:fldCharType="begin"/>
          </w:r>
          <w:r w:rsidR="004449B0">
            <w:rPr>
              <w:lang w:val="en-US"/>
            </w:rPr>
            <w:instrText xml:space="preserve"> CITATION Ade24 \l 1033 </w:instrText>
          </w:r>
          <w:r w:rsidR="004449B0">
            <w:fldChar w:fldCharType="separate"/>
          </w:r>
          <w:r w:rsidR="004449B0" w:rsidRPr="004449B0">
            <w:rPr>
              <w:noProof/>
              <w:lang w:val="en-US"/>
            </w:rPr>
            <w:t>(Temitope, 2024)</w:t>
          </w:r>
          <w:r w:rsidR="004449B0">
            <w:fldChar w:fldCharType="end"/>
          </w:r>
        </w:sdtContent>
      </w:sdt>
      <w:r w:rsidRPr="003E6051">
        <w:t xml:space="preserve">. </w:t>
      </w:r>
      <w:r w:rsidR="004B1FB2">
        <w:t>This</w:t>
      </w:r>
      <w:r w:rsidRPr="003E6051">
        <w:t xml:space="preserve"> carries limitations due to context sensitivity and potential misalignment in relevance.</w:t>
      </w:r>
    </w:p>
    <w:p w14:paraId="0767494B" w14:textId="77777777" w:rsidR="00F22FF4" w:rsidRPr="003E6051" w:rsidRDefault="00F22FF4" w:rsidP="007C1BEE">
      <w:pPr>
        <w:spacing w:after="0" w:line="360" w:lineRule="auto"/>
        <w:ind w:left="-578" w:right="-576"/>
        <w:jc w:val="both"/>
      </w:pPr>
    </w:p>
    <w:p w14:paraId="20736A69" w14:textId="73E74A0E" w:rsidR="00F22FF4" w:rsidRDefault="00F22FF4" w:rsidP="007C1BEE">
      <w:pPr>
        <w:spacing w:after="0" w:line="360" w:lineRule="auto"/>
        <w:ind w:left="-578" w:right="-576"/>
        <w:jc w:val="both"/>
      </w:pPr>
      <w:r w:rsidRPr="003E6051">
        <w:t xml:space="preserve">To support learning and </w:t>
      </w:r>
      <w:r w:rsidR="007E334B">
        <w:t>organisational</w:t>
      </w:r>
      <w:r w:rsidRPr="003E6051">
        <w:t xml:space="preserve"> memory, lessons</w:t>
      </w:r>
      <w:r w:rsidR="007E334B">
        <w:t>-</w:t>
      </w:r>
      <w:r w:rsidRPr="003E6051">
        <w:t xml:space="preserve">learned databases are increasingly </w:t>
      </w:r>
      <w:r w:rsidR="007E334B">
        <w:t>useful</w:t>
      </w:r>
      <w:r w:rsidRPr="003E6051">
        <w:t>. These capture post-project insights on risk occurrences, control effectiveness, and response adequacy</w:t>
      </w:r>
      <w:r w:rsidR="00B552BC" w:rsidRPr="00B552BC">
        <w:t xml:space="preserve"> </w:t>
      </w:r>
      <w:sdt>
        <w:sdtPr>
          <w:id w:val="1464935103"/>
          <w:citation/>
        </w:sdtPr>
        <w:sdtContent>
          <w:r w:rsidR="00B552BC">
            <w:fldChar w:fldCharType="begin"/>
          </w:r>
          <w:r w:rsidR="00B552BC">
            <w:rPr>
              <w:lang w:val="en-US"/>
            </w:rPr>
            <w:instrText xml:space="preserve"> CITATION Rui20 \l 1033 </w:instrText>
          </w:r>
          <w:r w:rsidR="00B552BC">
            <w:fldChar w:fldCharType="separate"/>
          </w:r>
          <w:r w:rsidR="00B552BC" w:rsidRPr="004449B0">
            <w:rPr>
              <w:noProof/>
              <w:lang w:val="en-US"/>
            </w:rPr>
            <w:t>(Ferro, 2020)</w:t>
          </w:r>
          <w:r w:rsidR="00B552BC">
            <w:fldChar w:fldCharType="end"/>
          </w:r>
        </w:sdtContent>
      </w:sdt>
      <w:r w:rsidRPr="003E6051">
        <w:t>. When integrated with risk registers, they help prevent recurrence of avoidable risks and support knowledge transfer across project teams and organi</w:t>
      </w:r>
      <w:r w:rsidR="00A93234" w:rsidRPr="003E6051">
        <w:t>s</w:t>
      </w:r>
      <w:r w:rsidRPr="003E6051">
        <w:t>ational units</w:t>
      </w:r>
      <w:r w:rsidR="00C43CE9">
        <w:t xml:space="preserve">, meaning risk management </w:t>
      </w:r>
      <w:r w:rsidR="00FD1B3F">
        <w:t xml:space="preserve">processes </w:t>
      </w:r>
      <w:r w:rsidR="00C43CE9">
        <w:t xml:space="preserve">become </w:t>
      </w:r>
      <w:r w:rsidR="00FD1B3F">
        <w:t>more scientific and less influenced by perception</w:t>
      </w:r>
      <w:r w:rsidR="004449B0">
        <w:t xml:space="preserve"> </w:t>
      </w:r>
      <w:sdt>
        <w:sdtPr>
          <w:id w:val="1304043169"/>
          <w:citation/>
        </w:sdtPr>
        <w:sdtContent>
          <w:r w:rsidR="004449B0">
            <w:fldChar w:fldCharType="begin"/>
          </w:r>
          <w:r w:rsidR="004449B0">
            <w:rPr>
              <w:lang w:val="en-US"/>
            </w:rPr>
            <w:instrText xml:space="preserve"> CITATION Ade24 \l 1033 </w:instrText>
          </w:r>
          <w:r w:rsidR="004449B0">
            <w:fldChar w:fldCharType="separate"/>
          </w:r>
          <w:r w:rsidR="004449B0" w:rsidRPr="004449B0">
            <w:rPr>
              <w:noProof/>
              <w:lang w:val="en-US"/>
            </w:rPr>
            <w:t>(Temitope, 2024)</w:t>
          </w:r>
          <w:r w:rsidR="004449B0">
            <w:fldChar w:fldCharType="end"/>
          </w:r>
        </w:sdtContent>
      </w:sdt>
      <w:r w:rsidR="00FD1B3F">
        <w:t xml:space="preserve">. </w:t>
      </w:r>
    </w:p>
    <w:p w14:paraId="04B101B8" w14:textId="77777777" w:rsidR="00C43CE9" w:rsidRPr="003E6051" w:rsidRDefault="00C43CE9" w:rsidP="007C1BEE">
      <w:pPr>
        <w:spacing w:after="0" w:line="360" w:lineRule="auto"/>
        <w:ind w:left="-578" w:right="-576"/>
        <w:jc w:val="both"/>
      </w:pPr>
    </w:p>
    <w:p w14:paraId="07C96180" w14:textId="6BAB25E3" w:rsidR="00F22FF4" w:rsidRPr="003E6051" w:rsidRDefault="00F22FF4" w:rsidP="007C1BEE">
      <w:pPr>
        <w:spacing w:after="0" w:line="360" w:lineRule="auto"/>
        <w:ind w:left="-578" w:right="-576"/>
        <w:jc w:val="both"/>
      </w:pPr>
      <w:r w:rsidRPr="003E6051">
        <w:t xml:space="preserve">Advanced analytical methods such as Bayesian </w:t>
      </w:r>
      <w:r w:rsidR="0034134F">
        <w:t>U</w:t>
      </w:r>
      <w:r w:rsidRPr="003E6051">
        <w:t>pdating facilitate model refinement by incorporating newly observed data to update probability, ensuring risk assessments evolve with emerging evidence. Sensitivity analysis complements this by identifying key risk drivers and revealing how variations in input assumptions affect overall outcomes</w:t>
      </w:r>
      <w:r w:rsidR="004449B0">
        <w:t xml:space="preserve"> </w:t>
      </w:r>
      <w:sdt>
        <w:sdtPr>
          <w:id w:val="-239954772"/>
          <w:citation/>
        </w:sdtPr>
        <w:sdtContent>
          <w:r w:rsidR="004449B0">
            <w:fldChar w:fldCharType="begin"/>
          </w:r>
          <w:r w:rsidR="004449B0">
            <w:rPr>
              <w:lang w:val="en-US"/>
            </w:rPr>
            <w:instrText xml:space="preserve"> CITATION Ade24 \l 1033 </w:instrText>
          </w:r>
          <w:r w:rsidR="004449B0">
            <w:fldChar w:fldCharType="separate"/>
          </w:r>
          <w:r w:rsidR="004449B0" w:rsidRPr="004449B0">
            <w:rPr>
              <w:noProof/>
              <w:lang w:val="en-US"/>
            </w:rPr>
            <w:t>(Temitope, 2024)</w:t>
          </w:r>
          <w:r w:rsidR="004449B0">
            <w:fldChar w:fldCharType="end"/>
          </w:r>
        </w:sdtContent>
      </w:sdt>
      <w:r w:rsidRPr="003E6051">
        <w:t>. Despite their value, these tools often suffer from inconsistent implementation and low stakeholder engagement</w:t>
      </w:r>
      <w:r w:rsidR="001E7EE7">
        <w:t>, resulting in potential</w:t>
      </w:r>
      <w:r w:rsidR="00CE2D2B">
        <w:t xml:space="preserve"> for </w:t>
      </w:r>
      <w:r w:rsidR="00A502B5">
        <w:t xml:space="preserve">interpretation </w:t>
      </w:r>
      <w:r w:rsidR="00CE2D2B">
        <w:t>bias.</w:t>
      </w:r>
      <w:r w:rsidRPr="003E6051">
        <w:t xml:space="preserve"> Addressing this gap requires improved risk culture, cross-functional training, and institutional support </w:t>
      </w:r>
      <w:sdt>
        <w:sdtPr>
          <w:id w:val="761113096"/>
          <w:citation/>
        </w:sdtPr>
        <w:sdtContent>
          <w:r w:rsidR="00830213">
            <w:fldChar w:fldCharType="begin"/>
          </w:r>
          <w:r w:rsidR="00830213">
            <w:rPr>
              <w:lang w:val="en-US"/>
            </w:rPr>
            <w:instrText xml:space="preserve"> CITATION Mar18 \l 1033 </w:instrText>
          </w:r>
          <w:r w:rsidR="00830213">
            <w:fldChar w:fldCharType="separate"/>
          </w:r>
          <w:r w:rsidR="00830213" w:rsidRPr="007653DD">
            <w:rPr>
              <w:noProof/>
              <w:lang w:val="en-US"/>
            </w:rPr>
            <w:t>(Kolios, 2018)</w:t>
          </w:r>
          <w:r w:rsidR="00830213">
            <w:fldChar w:fldCharType="end"/>
          </w:r>
        </w:sdtContent>
      </w:sdt>
      <w:r w:rsidR="00830213">
        <w:t>.</w:t>
      </w:r>
    </w:p>
    <w:p w14:paraId="33F42CD5" w14:textId="77777777" w:rsidR="00A93234" w:rsidRPr="003E6051" w:rsidRDefault="00A93234" w:rsidP="007C1BEE">
      <w:pPr>
        <w:spacing w:after="0" w:line="360" w:lineRule="auto"/>
        <w:ind w:left="-578" w:right="-576"/>
        <w:jc w:val="both"/>
      </w:pPr>
    </w:p>
    <w:p w14:paraId="55EF17DF" w14:textId="412F297D" w:rsidR="00A93234" w:rsidRPr="003E6051" w:rsidRDefault="0013221F" w:rsidP="007C1BEE">
      <w:pPr>
        <w:spacing w:after="0" w:line="360" w:lineRule="auto"/>
        <w:ind w:left="-578" w:right="-576"/>
        <w:jc w:val="both"/>
      </w:pPr>
      <w:r w:rsidRPr="003E6051">
        <w:t>Bow-Tie Analysis (BTA)</w:t>
      </w:r>
      <w:r w:rsidR="00065C64">
        <w:t xml:space="preserve">, and </w:t>
      </w:r>
      <w:r w:rsidR="00065C64" w:rsidRPr="003E6051">
        <w:t xml:space="preserve">Fault </w:t>
      </w:r>
      <w:r w:rsidR="00065C64">
        <w:t xml:space="preserve">or Event </w:t>
      </w:r>
      <w:r w:rsidR="00065C64" w:rsidRPr="003E6051">
        <w:t>Tree Analysis</w:t>
      </w:r>
      <w:r>
        <w:t xml:space="preserve"> </w:t>
      </w:r>
      <w:r w:rsidR="00A93234" w:rsidRPr="003E6051">
        <w:t>for controlling, communicating, and visualising risks play a pivotal role in translating complex risk information into action</w:t>
      </w:r>
      <w:r w:rsidR="00885651">
        <w:t>s</w:t>
      </w:r>
      <w:r w:rsidR="00A93234" w:rsidRPr="003E6051">
        <w:t xml:space="preserve"> for decision-makers</w:t>
      </w:r>
      <w:r w:rsidR="00954BE2">
        <w:t>.</w:t>
      </w:r>
      <w:r w:rsidR="006951AB">
        <w:t xml:space="preserve"> Such tools</w:t>
      </w:r>
      <w:r w:rsidR="00945BCC">
        <w:t xml:space="preserve"> offer a </w:t>
      </w:r>
      <w:r w:rsidR="00945BCC" w:rsidRPr="003E6051">
        <w:t xml:space="preserve">clear, structured format </w:t>
      </w:r>
      <w:r w:rsidR="006951AB">
        <w:t xml:space="preserve">to </w:t>
      </w:r>
      <w:r w:rsidR="00945BCC" w:rsidRPr="003E6051">
        <w:t>support both diagnostic and predictive thinking</w:t>
      </w:r>
      <w:r w:rsidR="0067268A">
        <w:t xml:space="preserve"> </w:t>
      </w:r>
      <w:sdt>
        <w:sdtPr>
          <w:id w:val="-1633946660"/>
          <w:citation/>
        </w:sdtPr>
        <w:sdtContent>
          <w:r w:rsidR="0067268A">
            <w:fldChar w:fldCharType="begin"/>
          </w:r>
          <w:r w:rsidR="0067268A">
            <w:rPr>
              <w:lang w:val="en-US"/>
            </w:rPr>
            <w:instrText xml:space="preserve"> CITATION Ime24 \l 1033 </w:instrText>
          </w:r>
          <w:r w:rsidR="0067268A">
            <w:fldChar w:fldCharType="separate"/>
          </w:r>
          <w:r w:rsidR="0067268A" w:rsidRPr="008E6E04">
            <w:rPr>
              <w:noProof/>
              <w:lang w:val="en-US"/>
            </w:rPr>
            <w:t>(Imene Mohammedi, 2024)</w:t>
          </w:r>
          <w:r w:rsidR="0067268A">
            <w:fldChar w:fldCharType="end"/>
          </w:r>
        </w:sdtContent>
      </w:sdt>
      <w:r w:rsidR="00A93234" w:rsidRPr="003E6051">
        <w:t xml:space="preserve">. </w:t>
      </w:r>
      <w:r w:rsidR="00954BE2">
        <w:t>This</w:t>
      </w:r>
      <w:r w:rsidR="00A93234" w:rsidRPr="003E6051">
        <w:t xml:space="preserve"> not only enhance</w:t>
      </w:r>
      <w:r w:rsidR="00954BE2">
        <w:t>s</w:t>
      </w:r>
      <w:r w:rsidR="00A93234" w:rsidRPr="003E6051">
        <w:t xml:space="preserve"> strategic clarity but also operational responsiveness by aligning risk awareness across technical and non-technical stakeholders. Recent enhancements, such as the incorporation of Bayesian inference and fuzzy logic</w:t>
      </w:r>
      <w:r w:rsidR="00830213">
        <w:t xml:space="preserve"> </w:t>
      </w:r>
      <w:sdt>
        <w:sdtPr>
          <w:id w:val="942889934"/>
          <w:citation/>
        </w:sdtPr>
        <w:sdtContent>
          <w:r w:rsidR="00830213">
            <w:fldChar w:fldCharType="begin"/>
          </w:r>
          <w:r w:rsidR="00830213">
            <w:rPr>
              <w:lang w:val="en-US"/>
            </w:rPr>
            <w:instrText xml:space="preserve"> CITATION Mar18 \l 1033 </w:instrText>
          </w:r>
          <w:r w:rsidR="00830213">
            <w:fldChar w:fldCharType="separate"/>
          </w:r>
          <w:r w:rsidR="00830213" w:rsidRPr="007653DD">
            <w:rPr>
              <w:noProof/>
              <w:lang w:val="en-US"/>
            </w:rPr>
            <w:t>(Kolios, 2018)</w:t>
          </w:r>
          <w:r w:rsidR="00830213">
            <w:fldChar w:fldCharType="end"/>
          </w:r>
        </w:sdtContent>
      </w:sdt>
      <w:r w:rsidR="00830213">
        <w:t xml:space="preserve"> </w:t>
      </w:r>
      <w:sdt>
        <w:sdtPr>
          <w:id w:val="353157089"/>
          <w:citation/>
        </w:sdtPr>
        <w:sdtContent>
          <w:r w:rsidR="00830213">
            <w:fldChar w:fldCharType="begin"/>
          </w:r>
          <w:r w:rsidR="00830213">
            <w:rPr>
              <w:lang w:val="en-US"/>
            </w:rPr>
            <w:instrText xml:space="preserve"> CITATION Whi \l 1033 </w:instrText>
          </w:r>
          <w:r w:rsidR="00830213">
            <w:fldChar w:fldCharType="separate"/>
          </w:r>
          <w:r w:rsidR="00830213" w:rsidRPr="007653DD">
            <w:rPr>
              <w:noProof/>
              <w:lang w:val="en-US"/>
            </w:rPr>
            <w:t>(Whiting, n.d.)</w:t>
          </w:r>
          <w:r w:rsidR="00830213">
            <w:fldChar w:fldCharType="end"/>
          </w:r>
        </w:sdtContent>
      </w:sdt>
      <w:r w:rsidR="00A93234" w:rsidRPr="003E6051">
        <w:t xml:space="preserve">, have expanded BTA's </w:t>
      </w:r>
      <w:r w:rsidR="00F65648">
        <w:t>scope</w:t>
      </w:r>
      <w:r w:rsidR="00A93234" w:rsidRPr="003E6051">
        <w:t>, allowing it to support probabilistic risk assessment and handle uncertainty in a more rigorous, data-</w:t>
      </w:r>
      <w:r w:rsidR="008510FB">
        <w:t>driven</w:t>
      </w:r>
      <w:r w:rsidR="00A93234" w:rsidRPr="003E6051">
        <w:t xml:space="preserve"> manner</w:t>
      </w:r>
      <w:r w:rsidR="00BB0BBD">
        <w:t>. This</w:t>
      </w:r>
      <w:r w:rsidR="00F20404">
        <w:t xml:space="preserve"> minimis</w:t>
      </w:r>
      <w:r w:rsidR="00BB0BBD">
        <w:t>es</w:t>
      </w:r>
      <w:r w:rsidR="00E27B3C">
        <w:t xml:space="preserve"> introduction of perception bias. </w:t>
      </w:r>
    </w:p>
    <w:p w14:paraId="50739E47" w14:textId="77777777" w:rsidR="00A93234" w:rsidRPr="003E6051" w:rsidRDefault="00A93234" w:rsidP="007C1BEE">
      <w:pPr>
        <w:spacing w:after="0" w:line="360" w:lineRule="auto"/>
        <w:ind w:left="-578" w:right="-576"/>
        <w:jc w:val="both"/>
      </w:pPr>
    </w:p>
    <w:p w14:paraId="7E8BE294" w14:textId="3EC5F790" w:rsidR="00A93234" w:rsidRPr="003E6051" w:rsidRDefault="00A93234" w:rsidP="007C1BEE">
      <w:pPr>
        <w:spacing w:after="0" w:line="360" w:lineRule="auto"/>
        <w:ind w:left="-578" w:right="-576"/>
        <w:jc w:val="both"/>
      </w:pPr>
      <w:r w:rsidRPr="003E6051">
        <w:t>Complementary tools have emerged to support evaluation and communication. The Goal Tree framework</w:t>
      </w:r>
      <w:r w:rsidR="00E27B3C">
        <w:t>,</w:t>
      </w:r>
      <w:r w:rsidRPr="003E6051">
        <w:t xml:space="preserve"> link</w:t>
      </w:r>
      <w:r w:rsidR="00E27B3C">
        <w:t>ing</w:t>
      </w:r>
      <w:r w:rsidRPr="003E6051">
        <w:t xml:space="preserve"> high-level objectives to critical success factors and performance criteria, offer</w:t>
      </w:r>
      <w:r w:rsidR="00C22890">
        <w:t>s</w:t>
      </w:r>
      <w:r w:rsidRPr="003E6051">
        <w:t xml:space="preserve"> a structured </w:t>
      </w:r>
      <w:r w:rsidR="004C2485">
        <w:t>process</w:t>
      </w:r>
      <w:r w:rsidRPr="003E6051">
        <w:t xml:space="preserve"> for assessing adequacy and completeness of risk assessments.</w:t>
      </w:r>
      <w:r w:rsidR="002A37EC">
        <w:t xml:space="preserve"> </w:t>
      </w:r>
      <w:r w:rsidR="00D9684C">
        <w:t xml:space="preserve">Similarly, </w:t>
      </w:r>
      <w:r w:rsidR="001E4015">
        <w:t xml:space="preserve">The Risk Canvas offers a structured </w:t>
      </w:r>
      <w:r w:rsidR="00FF0A4C">
        <w:t xml:space="preserve">space for conducting, </w:t>
      </w:r>
      <w:r w:rsidR="00FF0A4C">
        <w:lastRenderedPageBreak/>
        <w:t xml:space="preserve">documenting and communicating risk assessments. These tools are </w:t>
      </w:r>
      <w:r w:rsidR="00D9684C">
        <w:t xml:space="preserve">especially </w:t>
      </w:r>
      <w:r w:rsidRPr="003E6051">
        <w:t xml:space="preserve">valuable for fostering </w:t>
      </w:r>
      <w:r w:rsidR="003B03E3" w:rsidRPr="003E6051">
        <w:t>consistenc</w:t>
      </w:r>
      <w:r w:rsidR="003B03E3">
        <w:t>y</w:t>
      </w:r>
      <w:r w:rsidR="004C2485">
        <w:t>,</w:t>
      </w:r>
      <w:r w:rsidR="003B03E3">
        <w:t xml:space="preserve"> particularly </w:t>
      </w:r>
      <w:r w:rsidRPr="003E6051">
        <w:t>in multidisciplinary teams</w:t>
      </w:r>
      <w:r w:rsidR="00830213">
        <w:t xml:space="preserve"> </w:t>
      </w:r>
      <w:sdt>
        <w:sdtPr>
          <w:id w:val="437732185"/>
          <w:citation/>
        </w:sdtPr>
        <w:sdtContent>
          <w:r w:rsidR="00830213">
            <w:fldChar w:fldCharType="begin"/>
          </w:r>
          <w:r w:rsidR="00830213">
            <w:rPr>
              <w:lang w:val="en-US"/>
            </w:rPr>
            <w:instrText xml:space="preserve"> CITATION Whi \l 1033 </w:instrText>
          </w:r>
          <w:r w:rsidR="00830213">
            <w:fldChar w:fldCharType="separate"/>
          </w:r>
          <w:r w:rsidR="00830213" w:rsidRPr="007653DD">
            <w:rPr>
              <w:noProof/>
              <w:lang w:val="en-US"/>
            </w:rPr>
            <w:t>(Whiting, n.d.)</w:t>
          </w:r>
          <w:r w:rsidR="00830213">
            <w:fldChar w:fldCharType="end"/>
          </w:r>
        </w:sdtContent>
      </w:sdt>
      <w:r w:rsidRPr="003E6051">
        <w:t>.</w:t>
      </w:r>
    </w:p>
    <w:p w14:paraId="57805155" w14:textId="77777777" w:rsidR="00A93234" w:rsidRPr="003E6051" w:rsidRDefault="00A93234" w:rsidP="007C1BEE">
      <w:pPr>
        <w:spacing w:after="0" w:line="360" w:lineRule="auto"/>
        <w:ind w:left="-578" w:right="-576"/>
        <w:jc w:val="both"/>
      </w:pPr>
    </w:p>
    <w:p w14:paraId="47B48A2D" w14:textId="346EDC4B" w:rsidR="009422C4" w:rsidRPr="003E6051" w:rsidRDefault="00985DCD" w:rsidP="009422C4">
      <w:pPr>
        <w:spacing w:after="0" w:line="360" w:lineRule="auto"/>
        <w:ind w:left="-578" w:right="-576"/>
        <w:jc w:val="both"/>
      </w:pPr>
      <w:r>
        <w:t>S</w:t>
      </w:r>
      <w:r w:rsidR="00A93234" w:rsidRPr="003E6051">
        <w:t xml:space="preserve">tandardisation </w:t>
      </w:r>
      <w:r w:rsidR="009737E0">
        <w:t>of visual risk tools</w:t>
      </w:r>
      <w:r>
        <w:t>,</w:t>
      </w:r>
      <w:r w:rsidR="009737E0">
        <w:t xml:space="preserve"> </w:t>
      </w:r>
      <w:r w:rsidRPr="003E6051">
        <w:t xml:space="preserve">particularly risk matrices used in cross-sectoral projects </w:t>
      </w:r>
      <w:r w:rsidR="00A93234" w:rsidRPr="003E6051">
        <w:t>helps facilitate comparability and collaboration across organisational and cultural boundaries</w:t>
      </w:r>
      <w:r w:rsidR="002729B7">
        <w:t>, improving risk communication</w:t>
      </w:r>
      <w:r w:rsidR="004449B0">
        <w:t xml:space="preserve"> </w:t>
      </w:r>
      <w:sdt>
        <w:sdtPr>
          <w:id w:val="648328699"/>
          <w:citation/>
        </w:sdtPr>
        <w:sdtContent>
          <w:r w:rsidR="004449B0" w:rsidRPr="006629F6">
            <w:fldChar w:fldCharType="begin"/>
          </w:r>
          <w:r w:rsidR="004449B0" w:rsidRPr="006629F6">
            <w:rPr>
              <w:lang w:val="en-US"/>
            </w:rPr>
            <w:instrText xml:space="preserve"> CITATION Van14 \l 1033 </w:instrText>
          </w:r>
          <w:r w:rsidR="004449B0" w:rsidRPr="006629F6">
            <w:fldChar w:fldCharType="separate"/>
          </w:r>
          <w:r w:rsidR="004449B0" w:rsidRPr="006629F6">
            <w:rPr>
              <w:noProof/>
              <w:lang w:val="en-US"/>
            </w:rPr>
            <w:t>(Vanessa Manotas Niño, 2014)</w:t>
          </w:r>
          <w:r w:rsidR="004449B0" w:rsidRPr="006629F6">
            <w:fldChar w:fldCharType="end"/>
          </w:r>
        </w:sdtContent>
      </w:sdt>
      <w:r w:rsidR="00A93234" w:rsidRPr="003E6051">
        <w:t>. However, the effectiveness is frequently hampered by ambiguous terminology, inconsistent formatting, and poor visual design, which can obscure key insights or mislead stakeholders. Addressing these limitations requires greater emphasis on design clarity, terminological precision, and user-centred communication strategies.</w:t>
      </w:r>
      <w:r w:rsidR="007C1BEE" w:rsidRPr="003E6051">
        <w:t xml:space="preserve"> </w:t>
      </w:r>
      <w:r w:rsidR="009422C4" w:rsidRPr="006629F6">
        <w:t xml:space="preserve">By prioritising customisation, data quality, integration, experience transfer, and standardised terminology, project managers </w:t>
      </w:r>
      <w:r w:rsidR="00831120">
        <w:t xml:space="preserve">can be </w:t>
      </w:r>
      <w:r w:rsidR="00771ED0">
        <w:t xml:space="preserve">supported </w:t>
      </w:r>
      <w:r w:rsidR="009422C4" w:rsidRPr="006629F6">
        <w:t xml:space="preserve">to navigate uncertainty with greater confidence </w:t>
      </w:r>
      <w:r w:rsidR="006629F6">
        <w:t>and consistency</w:t>
      </w:r>
      <w:r w:rsidR="00831120">
        <w:t xml:space="preserve">. This </w:t>
      </w:r>
      <w:r w:rsidR="00352046">
        <w:t xml:space="preserve">should translate into </w:t>
      </w:r>
      <w:r w:rsidR="009422C4" w:rsidRPr="006629F6">
        <w:t xml:space="preserve">consistently superior outcomes </w:t>
      </w:r>
      <w:sdt>
        <w:sdtPr>
          <w:id w:val="1006183441"/>
          <w:citation/>
        </w:sdtPr>
        <w:sdtContent>
          <w:r w:rsidR="009422C4" w:rsidRPr="006629F6">
            <w:fldChar w:fldCharType="begin"/>
          </w:r>
          <w:r w:rsidR="009422C4" w:rsidRPr="006629F6">
            <w:rPr>
              <w:lang w:val="en-US"/>
            </w:rPr>
            <w:instrText xml:space="preserve"> CITATION Van14 \l 1033 </w:instrText>
          </w:r>
          <w:r w:rsidR="009422C4" w:rsidRPr="006629F6">
            <w:fldChar w:fldCharType="separate"/>
          </w:r>
          <w:r w:rsidR="009422C4" w:rsidRPr="006629F6">
            <w:rPr>
              <w:noProof/>
              <w:lang w:val="en-US"/>
            </w:rPr>
            <w:t>(Vanessa Manotas Niño, 2014)</w:t>
          </w:r>
          <w:r w:rsidR="009422C4" w:rsidRPr="006629F6">
            <w:fldChar w:fldCharType="end"/>
          </w:r>
        </w:sdtContent>
      </w:sdt>
      <w:r w:rsidR="009422C4" w:rsidRPr="006629F6">
        <w:t xml:space="preserve"> </w:t>
      </w:r>
      <w:sdt>
        <w:sdtPr>
          <w:id w:val="902487305"/>
          <w:citation/>
        </w:sdtPr>
        <w:sdtContent>
          <w:r w:rsidR="009422C4" w:rsidRPr="006629F6">
            <w:fldChar w:fldCharType="begin"/>
          </w:r>
          <w:r w:rsidR="009422C4" w:rsidRPr="006629F6">
            <w:rPr>
              <w:lang w:val="en-US"/>
            </w:rPr>
            <w:instrText xml:space="preserve"> CITATION TRa01 \l 1033 </w:instrText>
          </w:r>
          <w:r w:rsidR="009422C4" w:rsidRPr="006629F6">
            <w:fldChar w:fldCharType="separate"/>
          </w:r>
          <w:r w:rsidR="009422C4" w:rsidRPr="006629F6">
            <w:rPr>
              <w:noProof/>
              <w:lang w:val="en-US"/>
            </w:rPr>
            <w:t>(T. Raz, 2001)</w:t>
          </w:r>
          <w:r w:rsidR="009422C4" w:rsidRPr="006629F6">
            <w:fldChar w:fldCharType="end"/>
          </w:r>
        </w:sdtContent>
      </w:sdt>
    </w:p>
    <w:p w14:paraId="2E069BC4" w14:textId="77777777" w:rsidR="00CB577C" w:rsidRPr="003E6051" w:rsidRDefault="00CB577C" w:rsidP="00D95C90">
      <w:pPr>
        <w:spacing w:after="0" w:line="360" w:lineRule="auto"/>
        <w:ind w:right="-576"/>
        <w:jc w:val="both"/>
      </w:pPr>
    </w:p>
    <w:p w14:paraId="206FA1A1" w14:textId="13863F9E" w:rsidR="00CA46F0" w:rsidRPr="003E6051" w:rsidRDefault="00CA46F0" w:rsidP="00CA46F0">
      <w:pPr>
        <w:spacing w:after="0" w:line="360" w:lineRule="auto"/>
        <w:ind w:left="-576" w:right="-576"/>
        <w:jc w:val="both"/>
      </w:pPr>
      <w:r w:rsidRPr="00CA46F0">
        <w:t xml:space="preserve">In addition, the role of human factors, such as project managers' personality traits and risk propensity, significantly influences risk perception and decision-making </w:t>
      </w:r>
      <w:sdt>
        <w:sdtPr>
          <w:id w:val="1675529744"/>
          <w:citation/>
        </w:sdtPr>
        <w:sdtContent>
          <w:r w:rsidRPr="00CA46F0">
            <w:fldChar w:fldCharType="begin"/>
          </w:r>
          <w:r w:rsidRPr="00CA46F0">
            <w:rPr>
              <w:lang w:val="en-US"/>
            </w:rPr>
            <w:instrText xml:space="preserve"> CITATION Chu16 \l 1033 </w:instrText>
          </w:r>
          <w:r w:rsidRPr="00CA46F0">
            <w:fldChar w:fldCharType="separate"/>
          </w:r>
          <w:r w:rsidRPr="00CA46F0">
            <w:rPr>
              <w:noProof/>
              <w:lang w:val="en-US"/>
            </w:rPr>
            <w:t>(Chun Mei Wang, 2016)</w:t>
          </w:r>
          <w:r w:rsidRPr="00CA46F0">
            <w:fldChar w:fldCharType="end"/>
          </w:r>
        </w:sdtContent>
      </w:sdt>
      <w:r w:rsidRPr="00CA46F0">
        <w:t>. Studies have shown that personality traits like extraversion, agreeableness, and conscientiousness can</w:t>
      </w:r>
      <w:r w:rsidR="001D22A1">
        <w:t xml:space="preserve"> </w:t>
      </w:r>
      <w:r w:rsidRPr="00CA46F0">
        <w:t>influence risk perception. This highlights the importance of considering individual characteristics in risk assessment</w:t>
      </w:r>
      <w:r w:rsidR="001E500C">
        <w:t>,</w:t>
      </w:r>
      <w:r w:rsidRPr="00CA46F0">
        <w:t xml:space="preserve"> and tailoring risk management strategies accordingly </w:t>
      </w:r>
      <w:sdt>
        <w:sdtPr>
          <w:id w:val="-1770855836"/>
          <w:citation/>
        </w:sdtPr>
        <w:sdtContent>
          <w:r w:rsidRPr="00CA46F0">
            <w:fldChar w:fldCharType="begin"/>
          </w:r>
          <w:r w:rsidRPr="00CA46F0">
            <w:rPr>
              <w:lang w:val="en-US"/>
            </w:rPr>
            <w:instrText xml:space="preserve"> CITATION Chu16 \l 1033 </w:instrText>
          </w:r>
          <w:r w:rsidRPr="00CA46F0">
            <w:fldChar w:fldCharType="separate"/>
          </w:r>
          <w:r w:rsidRPr="00CA46F0">
            <w:rPr>
              <w:noProof/>
              <w:lang w:val="en-US"/>
            </w:rPr>
            <w:t>(Chun Mei Wang, 2016)</w:t>
          </w:r>
          <w:r w:rsidRPr="00CA46F0">
            <w:fldChar w:fldCharType="end"/>
          </w:r>
        </w:sdtContent>
      </w:sdt>
      <w:r w:rsidRPr="00CA46F0">
        <w:t>.</w:t>
      </w:r>
    </w:p>
    <w:p w14:paraId="751C35FD" w14:textId="77777777" w:rsidR="00CA46F0" w:rsidRDefault="00CA46F0" w:rsidP="00122B3B">
      <w:pPr>
        <w:spacing w:after="0" w:line="360" w:lineRule="auto"/>
        <w:ind w:left="-578" w:right="-576"/>
        <w:jc w:val="both"/>
      </w:pPr>
    </w:p>
    <w:p w14:paraId="527E196E" w14:textId="131F855F" w:rsidR="00122B3B" w:rsidRDefault="00122B3B" w:rsidP="00122B3B">
      <w:pPr>
        <w:spacing w:after="0" w:line="360" w:lineRule="auto"/>
        <w:ind w:left="-578" w:right="-576"/>
        <w:jc w:val="both"/>
      </w:pPr>
      <w:r w:rsidRPr="003E6051">
        <w:t xml:space="preserve">The implied knowledge and accumulated insight </w:t>
      </w:r>
      <w:r w:rsidR="00732BFA">
        <w:t>of</w:t>
      </w:r>
      <w:r w:rsidRPr="003E6051">
        <w:t xml:space="preserve"> experienced project managers constitute an invaluable asset, yet </w:t>
      </w:r>
      <w:r w:rsidR="00732BFA">
        <w:t xml:space="preserve">this is not well disseminated or employed </w:t>
      </w:r>
      <w:sdt>
        <w:sdtPr>
          <w:id w:val="641314689"/>
          <w:citation/>
        </w:sdtPr>
        <w:sdtContent>
          <w:r w:rsidRPr="003E6051">
            <w:fldChar w:fldCharType="begin"/>
          </w:r>
          <w:r w:rsidRPr="003E6051">
            <w:rPr>
              <w:lang w:val="en-US"/>
            </w:rPr>
            <w:instrText xml:space="preserve"> CITATION Jac18 \l 1033 </w:instrText>
          </w:r>
          <w:r w:rsidRPr="003E6051">
            <w:fldChar w:fldCharType="separate"/>
          </w:r>
          <w:r w:rsidRPr="003E6051">
            <w:rPr>
              <w:noProof/>
              <w:lang w:val="en-US"/>
            </w:rPr>
            <w:t>(Jacqueline Jepson, 2018)</w:t>
          </w:r>
          <w:r w:rsidRPr="003E6051">
            <w:fldChar w:fldCharType="end"/>
          </w:r>
        </w:sdtContent>
      </w:sdt>
      <w:r w:rsidRPr="003E6051">
        <w:t xml:space="preserve">. While seasoned practitioners rely on their past experiences and professional networks to navigate complex risk landscapes, this dependence on individual expertise can inadvertently perpetuate blind spots and </w:t>
      </w:r>
      <w:r w:rsidR="00CC69C5">
        <w:t>block</w:t>
      </w:r>
      <w:r w:rsidRPr="003E6051">
        <w:t xml:space="preserve"> innovation </w:t>
      </w:r>
      <w:sdt>
        <w:sdtPr>
          <w:id w:val="-2114589325"/>
          <w:citation/>
        </w:sdtPr>
        <w:sdtContent>
          <w:r w:rsidRPr="003E6051">
            <w:fldChar w:fldCharType="begin"/>
          </w:r>
          <w:r w:rsidRPr="003E6051">
            <w:rPr>
              <w:lang w:val="en-US"/>
            </w:rPr>
            <w:instrText xml:space="preserve"> CITATION Jac18 \l 1033 </w:instrText>
          </w:r>
          <w:r w:rsidRPr="003E6051">
            <w:fldChar w:fldCharType="separate"/>
          </w:r>
          <w:r w:rsidRPr="003E6051">
            <w:rPr>
              <w:noProof/>
              <w:lang w:val="en-US"/>
            </w:rPr>
            <w:t>(Jacqueline Jepson, 2018)</w:t>
          </w:r>
          <w:r w:rsidRPr="003E6051">
            <w:fldChar w:fldCharType="end"/>
          </w:r>
        </w:sdtContent>
      </w:sdt>
      <w:r w:rsidRPr="003E6051">
        <w:t xml:space="preserve"> </w:t>
      </w:r>
      <w:bookmarkStart w:id="24" w:name="_Hlk199692981"/>
      <w:sdt>
        <w:sdtPr>
          <w:id w:val="-715578124"/>
          <w:citation/>
        </w:sdtPr>
        <w:sdtContent>
          <w:r w:rsidRPr="003E6051">
            <w:fldChar w:fldCharType="begin"/>
          </w:r>
          <w:r w:rsidRPr="003E6051">
            <w:rPr>
              <w:lang w:val="en-US"/>
            </w:rPr>
            <w:instrText xml:space="preserve"> CITATION Van14 \l 1033 </w:instrText>
          </w:r>
          <w:r w:rsidRPr="003E6051">
            <w:fldChar w:fldCharType="separate"/>
          </w:r>
          <w:r w:rsidRPr="003E6051">
            <w:rPr>
              <w:noProof/>
              <w:lang w:val="en-US"/>
            </w:rPr>
            <w:t>(Vanessa Manotas Niño, 2014)</w:t>
          </w:r>
          <w:r w:rsidRPr="003E6051">
            <w:fldChar w:fldCharType="end"/>
          </w:r>
        </w:sdtContent>
      </w:sdt>
      <w:r w:rsidRPr="003E6051">
        <w:t xml:space="preserve">. </w:t>
      </w:r>
      <w:bookmarkEnd w:id="24"/>
      <w:r w:rsidRPr="003E6051">
        <w:t xml:space="preserve">Establishing robust mechanisms for knowledge transfer and experience sharing, such as comprehensive corporate risk/response repositories, empowers project teams to </w:t>
      </w:r>
      <w:r w:rsidR="004D4F1D">
        <w:t>collate</w:t>
      </w:r>
      <w:r w:rsidRPr="003E6051">
        <w:t xml:space="preserve"> intelligence, mitigate recurring risks, and cultivate a culture of continuous learning and improvement </w:t>
      </w:r>
      <w:sdt>
        <w:sdtPr>
          <w:id w:val="-1674412990"/>
          <w:citation/>
        </w:sdtPr>
        <w:sdtContent>
          <w:r w:rsidRPr="003E6051">
            <w:fldChar w:fldCharType="begin"/>
          </w:r>
          <w:r w:rsidRPr="003E6051">
            <w:rPr>
              <w:lang w:val="en-US"/>
            </w:rPr>
            <w:instrText xml:space="preserve"> CITATION Jac18 \l 1033 </w:instrText>
          </w:r>
          <w:r w:rsidRPr="003E6051">
            <w:fldChar w:fldCharType="separate"/>
          </w:r>
          <w:r w:rsidRPr="003E6051">
            <w:rPr>
              <w:noProof/>
              <w:lang w:val="en-US"/>
            </w:rPr>
            <w:t>(Jacqueline Jepson, 2018)</w:t>
          </w:r>
          <w:r w:rsidRPr="003E6051">
            <w:fldChar w:fldCharType="end"/>
          </w:r>
        </w:sdtContent>
      </w:sdt>
      <w:r w:rsidRPr="003E6051">
        <w:t>.</w:t>
      </w:r>
    </w:p>
    <w:p w14:paraId="44EDDDED" w14:textId="77777777" w:rsidR="00B15C8E" w:rsidRDefault="00B15C8E" w:rsidP="00122B3B">
      <w:pPr>
        <w:spacing w:after="0" w:line="360" w:lineRule="auto"/>
        <w:ind w:left="-578" w:right="-576"/>
        <w:jc w:val="both"/>
      </w:pPr>
    </w:p>
    <w:p w14:paraId="2DA08E47" w14:textId="3F93A7A8" w:rsidR="00B15C8E" w:rsidRPr="00903BC0" w:rsidRDefault="00A149C9" w:rsidP="00B15C8E">
      <w:pPr>
        <w:spacing w:after="0" w:line="360" w:lineRule="auto"/>
        <w:ind w:left="-578" w:right="-576"/>
        <w:jc w:val="both"/>
      </w:pPr>
      <w:r w:rsidRPr="001268AD">
        <w:t>Bridging theory and practice is a central theme in the literature</w:t>
      </w:r>
      <w:r w:rsidR="006E6CA5" w:rsidRPr="001268AD">
        <w:t>. T</w:t>
      </w:r>
      <w:r w:rsidR="00B15C8E" w:rsidRPr="001268AD">
        <w:t>he integration of industry professionals into academic project management programs offers</w:t>
      </w:r>
      <w:r w:rsidR="0028687B" w:rsidRPr="001268AD">
        <w:t xml:space="preserve"> a solution to this</w:t>
      </w:r>
      <w:r w:rsidR="00724FD5" w:rsidRPr="001268AD">
        <w:t xml:space="preserve"> gap</w:t>
      </w:r>
      <w:r w:rsidR="006E6CA5" w:rsidRPr="001268AD">
        <w:t>,</w:t>
      </w:r>
      <w:r w:rsidR="00B15C8E" w:rsidRPr="001268AD">
        <w:t xml:space="preserve"> </w:t>
      </w:r>
      <w:r w:rsidR="006E6CA5" w:rsidRPr="001268AD">
        <w:t xml:space="preserve">a study by </w:t>
      </w:r>
      <w:sdt>
        <w:sdtPr>
          <w:id w:val="-528412339"/>
          <w:citation/>
        </w:sdtPr>
        <w:sdtContent>
          <w:r w:rsidR="00B15C8E" w:rsidRPr="001268AD">
            <w:fldChar w:fldCharType="begin"/>
          </w:r>
          <w:r w:rsidR="00B15C8E" w:rsidRPr="001268AD">
            <w:rPr>
              <w:lang w:val="en-US"/>
            </w:rPr>
            <w:instrText xml:space="preserve">CITATION Des11 \l 1033 </w:instrText>
          </w:r>
          <w:r w:rsidR="00B15C8E" w:rsidRPr="001268AD">
            <w:fldChar w:fldCharType="separate"/>
          </w:r>
          <w:r w:rsidR="00B15C8E" w:rsidRPr="001268AD">
            <w:rPr>
              <w:noProof/>
              <w:lang w:val="en-US"/>
            </w:rPr>
            <w:t>(Robin S. Poston, 2011)</w:t>
          </w:r>
          <w:r w:rsidR="00B15C8E" w:rsidRPr="001268AD">
            <w:fldChar w:fldCharType="end"/>
          </w:r>
        </w:sdtContent>
      </w:sdt>
      <w:r w:rsidR="006E1848" w:rsidRPr="001268AD">
        <w:t xml:space="preserve"> on academic project management programs underscor</w:t>
      </w:r>
      <w:r w:rsidR="001268AD" w:rsidRPr="001268AD">
        <w:t>ing</w:t>
      </w:r>
      <w:r w:rsidR="006E1848" w:rsidRPr="001268AD">
        <w:t xml:space="preserve"> the importance of industry collaboration in education</w:t>
      </w:r>
      <w:r w:rsidR="001268AD">
        <w:t>.</w:t>
      </w:r>
      <w:r w:rsidR="00B15C8E" w:rsidRPr="00903BC0">
        <w:t xml:space="preserve"> By involving practitioners in curriculum development and classroom activities, academia can ensure programs align with industry demands and provide students with real-world experiences </w:t>
      </w:r>
      <w:sdt>
        <w:sdtPr>
          <w:id w:val="-301617310"/>
          <w:citation/>
        </w:sdtPr>
        <w:sdtContent>
          <w:r w:rsidR="00B15C8E" w:rsidRPr="00903BC0">
            <w:fldChar w:fldCharType="begin"/>
          </w:r>
          <w:r w:rsidR="00B15C8E" w:rsidRPr="00903BC0">
            <w:rPr>
              <w:lang w:val="en-US"/>
            </w:rPr>
            <w:instrText xml:space="preserve"> CITATION Vas20 \l 1033 </w:instrText>
          </w:r>
          <w:r w:rsidR="00B15C8E" w:rsidRPr="00903BC0">
            <w:fldChar w:fldCharType="separate"/>
          </w:r>
          <w:r w:rsidR="00B15C8E" w:rsidRPr="00903BC0">
            <w:rPr>
              <w:noProof/>
              <w:lang w:val="en-US"/>
            </w:rPr>
            <w:t>(Vasilis Gkogkidis, 2020)</w:t>
          </w:r>
          <w:r w:rsidR="00B15C8E" w:rsidRPr="00903BC0">
            <w:fldChar w:fldCharType="end"/>
          </w:r>
        </w:sdtContent>
      </w:sdt>
      <w:r w:rsidR="00B15C8E" w:rsidRPr="00903BC0">
        <w:t xml:space="preserve">. </w:t>
      </w:r>
      <w:r w:rsidR="00C42B18">
        <w:t xml:space="preserve">This collaboration </w:t>
      </w:r>
      <w:r w:rsidR="00C42B18" w:rsidRPr="003A0A74">
        <w:t>is essential for developing project managers capable of navigating evolving industry challenges</w:t>
      </w:r>
      <w:r w:rsidR="003A0A74" w:rsidRPr="003A0A74">
        <w:t xml:space="preserve"> with</w:t>
      </w:r>
      <w:r w:rsidR="003A0A74">
        <w:t xml:space="preserve"> a consistent, evidence-based approach. </w:t>
      </w:r>
      <w:r w:rsidR="00C42B18" w:rsidRPr="00903BC0">
        <w:t xml:space="preserve"> </w:t>
      </w:r>
      <w:r w:rsidR="00B15C8E" w:rsidRPr="00903BC0">
        <w:t>Mentorship programs, case studies, and pos</w:t>
      </w:r>
      <w:r w:rsidR="004476E6">
        <w:t>t-</w:t>
      </w:r>
      <w:r w:rsidR="00B15C8E" w:rsidRPr="00903BC0">
        <w:t xml:space="preserve">analyses of actual projects further </w:t>
      </w:r>
      <w:r w:rsidR="004476E6">
        <w:t>enhance</w:t>
      </w:r>
      <w:r w:rsidR="00B15C8E" w:rsidRPr="00903BC0">
        <w:t xml:space="preserve"> learning </w:t>
      </w:r>
      <w:r w:rsidR="00B15C8E" w:rsidRPr="00903BC0">
        <w:lastRenderedPageBreak/>
        <w:t xml:space="preserve">and enable students to develop critical thinking and problem-solving skills </w:t>
      </w:r>
      <w:sdt>
        <w:sdtPr>
          <w:id w:val="1925680743"/>
          <w:citation/>
        </w:sdtPr>
        <w:sdtContent>
          <w:r w:rsidR="00B15C8E" w:rsidRPr="00903BC0">
            <w:fldChar w:fldCharType="begin"/>
          </w:r>
          <w:r w:rsidR="00B15C8E" w:rsidRPr="00903BC0">
            <w:rPr>
              <w:lang w:val="en-US"/>
            </w:rPr>
            <w:instrText xml:space="preserve"> CITATION Des11 \l 1033 </w:instrText>
          </w:r>
          <w:r w:rsidR="00B15C8E" w:rsidRPr="00903BC0">
            <w:fldChar w:fldCharType="separate"/>
          </w:r>
          <w:r w:rsidR="00B15C8E" w:rsidRPr="00903BC0">
            <w:rPr>
              <w:noProof/>
              <w:lang w:val="en-US"/>
            </w:rPr>
            <w:t>(Robin S. Poston, 2011)</w:t>
          </w:r>
          <w:r w:rsidR="00B15C8E" w:rsidRPr="00903BC0">
            <w:fldChar w:fldCharType="end"/>
          </w:r>
        </w:sdtContent>
      </w:sdt>
      <w:r w:rsidR="004476E6">
        <w:t xml:space="preserve">. These </w:t>
      </w:r>
      <w:r w:rsidR="0092286C" w:rsidRPr="00903BC0">
        <w:t xml:space="preserve"> all </w:t>
      </w:r>
      <w:r w:rsidR="004476E6">
        <w:t>promote</w:t>
      </w:r>
      <w:r w:rsidR="0092286C" w:rsidRPr="00903BC0">
        <w:t xml:space="preserve"> better understanding of risk management tools and</w:t>
      </w:r>
      <w:r w:rsidR="001E7557" w:rsidRPr="00903BC0">
        <w:t xml:space="preserve"> less perception bias.</w:t>
      </w:r>
    </w:p>
    <w:p w14:paraId="486D8BFF" w14:textId="77777777" w:rsidR="00B15C8E" w:rsidRPr="003E6051" w:rsidRDefault="00B15C8E" w:rsidP="00122B3B">
      <w:pPr>
        <w:spacing w:after="0" w:line="360" w:lineRule="auto"/>
        <w:ind w:left="-578" w:right="-576"/>
        <w:jc w:val="both"/>
      </w:pPr>
    </w:p>
    <w:p w14:paraId="56BB861A" w14:textId="7D8F1224" w:rsidR="00A93234" w:rsidRPr="003E6051" w:rsidRDefault="00A93234" w:rsidP="007C1BEE">
      <w:pPr>
        <w:spacing w:after="0" w:line="360" w:lineRule="auto"/>
        <w:ind w:left="-578" w:right="-576"/>
        <w:jc w:val="both"/>
        <w:rPr>
          <w:color w:val="EE0000"/>
        </w:rPr>
      </w:pPr>
      <w:r w:rsidRPr="003E6051">
        <w:rPr>
          <w:color w:val="EE0000"/>
        </w:rPr>
        <w:t>1</w:t>
      </w:r>
      <w:r w:rsidR="00E43C43">
        <w:rPr>
          <w:color w:val="EE0000"/>
        </w:rPr>
        <w:t>733</w:t>
      </w:r>
      <w:r w:rsidRPr="003E6051">
        <w:rPr>
          <w:color w:val="EE0000"/>
        </w:rPr>
        <w:t xml:space="preserve"> (</w:t>
      </w:r>
      <w:r w:rsidR="00D95C90">
        <w:rPr>
          <w:color w:val="EE0000"/>
        </w:rPr>
        <w:t>4</w:t>
      </w:r>
      <w:r w:rsidR="00E43C43">
        <w:rPr>
          <w:color w:val="EE0000"/>
        </w:rPr>
        <w:t>679</w:t>
      </w:r>
      <w:r w:rsidR="007C1BEE" w:rsidRPr="003E6051">
        <w:rPr>
          <w:color w:val="EE0000"/>
        </w:rPr>
        <w:t>)</w:t>
      </w:r>
    </w:p>
    <w:p w14:paraId="4CB73DEC" w14:textId="7D075A4C" w:rsidR="0057746B" w:rsidRPr="003E6051" w:rsidRDefault="008C299E" w:rsidP="008B1FE7">
      <w:pPr>
        <w:pStyle w:val="Heading2"/>
        <w:ind w:left="-576"/>
      </w:pPr>
      <w:bookmarkStart w:id="25" w:name="_Toc191138526"/>
      <w:r w:rsidRPr="003E6051">
        <w:br w:type="page"/>
      </w:r>
      <w:bookmarkStart w:id="26" w:name="_Toc219216470"/>
      <w:r w:rsidR="00E11E47" w:rsidRPr="008B1FE7">
        <w:rPr>
          <w:sz w:val="22"/>
          <w:szCs w:val="22"/>
        </w:rPr>
        <w:lastRenderedPageBreak/>
        <w:t>6</w:t>
      </w:r>
      <w:r w:rsidR="0057746B" w:rsidRPr="008B1FE7">
        <w:rPr>
          <w:sz w:val="22"/>
          <w:szCs w:val="22"/>
        </w:rPr>
        <w:t>.</w:t>
      </w:r>
      <w:r w:rsidRPr="008B1FE7">
        <w:rPr>
          <w:sz w:val="22"/>
          <w:szCs w:val="22"/>
        </w:rPr>
        <w:t>4</w:t>
      </w:r>
      <w:r w:rsidR="0057746B" w:rsidRPr="008B1FE7">
        <w:rPr>
          <w:sz w:val="22"/>
          <w:szCs w:val="22"/>
        </w:rPr>
        <w:t xml:space="preserve">. </w:t>
      </w:r>
      <w:r w:rsidR="00B076F5" w:rsidRPr="008B1FE7">
        <w:rPr>
          <w:sz w:val="22"/>
          <w:szCs w:val="22"/>
          <w:u w:val="single"/>
        </w:rPr>
        <w:t>Risk Management and its Impact on Project Outcomes.</w:t>
      </w:r>
      <w:bookmarkEnd w:id="25"/>
      <w:bookmarkEnd w:id="26"/>
    </w:p>
    <w:p w14:paraId="2CCF5FAD" w14:textId="77777777" w:rsidR="0057746B" w:rsidRPr="003E6051" w:rsidRDefault="0057746B" w:rsidP="007C1BEE">
      <w:pPr>
        <w:spacing w:after="0" w:line="360" w:lineRule="auto"/>
        <w:ind w:left="-578" w:right="-576"/>
        <w:jc w:val="both"/>
      </w:pPr>
    </w:p>
    <w:p w14:paraId="2A963AA1" w14:textId="1A4467FE" w:rsidR="0057746B" w:rsidRPr="003E6051" w:rsidRDefault="00226C6E" w:rsidP="007C1BEE">
      <w:pPr>
        <w:spacing w:after="0" w:line="360" w:lineRule="auto"/>
        <w:ind w:left="-578" w:right="-576"/>
        <w:jc w:val="both"/>
      </w:pPr>
      <w:r>
        <w:t xml:space="preserve">Highlighted across multiple </w:t>
      </w:r>
      <w:r w:rsidR="00EE07B5">
        <w:t>sources, a</w:t>
      </w:r>
      <w:r w:rsidR="0057746B" w:rsidRPr="003E6051">
        <w:t>ssessing project management effectiveness involves a multifaceted approach</w:t>
      </w:r>
      <w:r w:rsidR="00EE07B5">
        <w:t xml:space="preserve">. It </w:t>
      </w:r>
      <w:r w:rsidR="0057746B" w:rsidRPr="003E6051">
        <w:t>necessitat</w:t>
      </w:r>
      <w:r w:rsidR="00EE07B5">
        <w:t>es</w:t>
      </w:r>
      <w:r w:rsidR="0057746B" w:rsidRPr="003E6051">
        <w:t xml:space="preserve"> a move beyond simplistic metrics to </w:t>
      </w:r>
      <w:r w:rsidR="00EE07B5">
        <w:t xml:space="preserve">one </w:t>
      </w:r>
      <w:r w:rsidR="0057746B" w:rsidRPr="003E6051">
        <w:t>incorporat</w:t>
      </w:r>
      <w:r w:rsidR="00EE07B5">
        <w:t>ing</w:t>
      </w:r>
      <w:r w:rsidR="0057746B" w:rsidRPr="003E6051">
        <w:t xml:space="preserve"> both tangible and intangible factors influencing project outcomes </w:t>
      </w:r>
      <w:bookmarkStart w:id="27" w:name="_Hlk199694847"/>
      <w:sdt>
        <w:sdtPr>
          <w:id w:val="155659493"/>
          <w:citation/>
        </w:sdtPr>
        <w:sdtContent>
          <w:r w:rsidR="0057746B" w:rsidRPr="003E6051">
            <w:fldChar w:fldCharType="begin"/>
          </w:r>
          <w:r w:rsidR="0057746B" w:rsidRPr="003E6051">
            <w:rPr>
              <w:lang w:val="en-US"/>
            </w:rPr>
            <w:instrText xml:space="preserve"> CITATION Abd21 \l 1033 </w:instrText>
          </w:r>
          <w:r w:rsidR="0057746B" w:rsidRPr="003E6051">
            <w:fldChar w:fldCharType="separate"/>
          </w:r>
          <w:r w:rsidR="0057746B" w:rsidRPr="003E6051">
            <w:rPr>
              <w:noProof/>
              <w:lang w:val="en-US"/>
            </w:rPr>
            <w:t>(Abdurrahman Abubaker Gasemagha, 2021)</w:t>
          </w:r>
          <w:r w:rsidR="0057746B" w:rsidRPr="003E6051">
            <w:fldChar w:fldCharType="end"/>
          </w:r>
        </w:sdtContent>
      </w:sdt>
      <w:r w:rsidR="0057746B" w:rsidRPr="003E6051">
        <w:t xml:space="preserve"> </w:t>
      </w:r>
      <w:sdt>
        <w:sdtPr>
          <w:id w:val="-469832811"/>
          <w:citation/>
        </w:sdtPr>
        <w:sdtContent>
          <w:r w:rsidR="0057746B" w:rsidRPr="003E6051">
            <w:fldChar w:fldCharType="begin"/>
          </w:r>
          <w:r w:rsidR="0057746B" w:rsidRPr="003E6051">
            <w:rPr>
              <w:lang w:val="en-US"/>
            </w:rPr>
            <w:instrText xml:space="preserve">CITATION Maj211 \l 1033 </w:instrText>
          </w:r>
          <w:r w:rsidR="0057746B" w:rsidRPr="003E6051">
            <w:fldChar w:fldCharType="separate"/>
          </w:r>
          <w:r w:rsidR="0057746B" w:rsidRPr="003E6051">
            <w:rPr>
              <w:noProof/>
              <w:lang w:val="en-US"/>
            </w:rPr>
            <w:t>(Majid Al-Nabae, 2021)</w:t>
          </w:r>
          <w:r w:rsidR="0057746B" w:rsidRPr="003E6051">
            <w:fldChar w:fldCharType="end"/>
          </w:r>
        </w:sdtContent>
      </w:sdt>
      <w:bookmarkEnd w:id="27"/>
      <w:r w:rsidR="0057746B" w:rsidRPr="003E6051">
        <w:t xml:space="preserve">. The traditional </w:t>
      </w:r>
      <w:r w:rsidR="00E27942">
        <w:t xml:space="preserve">focus on the </w:t>
      </w:r>
      <w:r w:rsidR="0057746B" w:rsidRPr="003E6051">
        <w:t xml:space="preserve">"iron triangle" of time, cost, and quality remains </w:t>
      </w:r>
      <w:r w:rsidR="00E27942">
        <w:t>important</w:t>
      </w:r>
      <w:r w:rsidR="0057746B" w:rsidRPr="003E6051">
        <w:t xml:space="preserve">, but a comprehensive understanding requires additional </w:t>
      </w:r>
      <w:r w:rsidR="0097516D">
        <w:t>considerations</w:t>
      </w:r>
      <w:r w:rsidR="0057746B" w:rsidRPr="003E6051">
        <w:t xml:space="preserve"> such as client satisfaction, team dynamics, risk management, and the broader organisational context </w:t>
      </w:r>
      <w:sdt>
        <w:sdtPr>
          <w:id w:val="1574228623"/>
          <w:citation/>
        </w:sdtPr>
        <w:sdtContent>
          <w:r w:rsidR="0057746B" w:rsidRPr="003E6051">
            <w:fldChar w:fldCharType="begin"/>
          </w:r>
          <w:r w:rsidR="0057746B" w:rsidRPr="003E6051">
            <w:rPr>
              <w:lang w:val="en-US"/>
            </w:rPr>
            <w:instrText xml:space="preserve"> CITATION Maj211 \l 1033 </w:instrText>
          </w:r>
          <w:r w:rsidR="0057746B" w:rsidRPr="003E6051">
            <w:fldChar w:fldCharType="separate"/>
          </w:r>
          <w:r w:rsidR="0057746B" w:rsidRPr="003E6051">
            <w:rPr>
              <w:noProof/>
              <w:lang w:val="en-US"/>
            </w:rPr>
            <w:t>(Majid Al-Nabae, 2021)</w:t>
          </w:r>
          <w:r w:rsidR="0057746B" w:rsidRPr="003E6051">
            <w:fldChar w:fldCharType="end"/>
          </w:r>
        </w:sdtContent>
      </w:sdt>
      <w:r w:rsidR="0057746B" w:rsidRPr="003E6051">
        <w:t>.</w:t>
      </w:r>
    </w:p>
    <w:p w14:paraId="6053F09A" w14:textId="77777777" w:rsidR="0057746B" w:rsidRPr="003E6051" w:rsidRDefault="0057746B" w:rsidP="007C1BEE">
      <w:pPr>
        <w:spacing w:after="0" w:line="360" w:lineRule="auto"/>
        <w:ind w:left="-578" w:right="-576"/>
        <w:jc w:val="both"/>
      </w:pPr>
    </w:p>
    <w:p w14:paraId="0C57B002" w14:textId="19C9F010" w:rsidR="00B15C8E" w:rsidRDefault="00A30C09" w:rsidP="00B15C8E">
      <w:pPr>
        <w:spacing w:after="0" w:line="360" w:lineRule="auto"/>
        <w:ind w:left="-578" w:right="-576"/>
        <w:jc w:val="both"/>
      </w:pPr>
      <w:r>
        <w:t>Effective r</w:t>
      </w:r>
      <w:r w:rsidRPr="003E6051">
        <w:t>isk management requir</w:t>
      </w:r>
      <w:r>
        <w:t>es</w:t>
      </w:r>
      <w:r w:rsidRPr="003E6051">
        <w:t xml:space="preserve"> a proactive approach to identifying, assessing, and mitigating potential threats </w:t>
      </w:r>
      <w:sdt>
        <w:sdtPr>
          <w:id w:val="613326321"/>
          <w:citation/>
        </w:sdtPr>
        <w:sdtContent>
          <w:r w:rsidRPr="003E6051">
            <w:fldChar w:fldCharType="begin"/>
          </w:r>
          <w:r w:rsidRPr="003E6051">
            <w:rPr>
              <w:lang w:val="en-US"/>
            </w:rPr>
            <w:instrText xml:space="preserve">CITATION Jam07 \l 1033 </w:instrText>
          </w:r>
          <w:r w:rsidRPr="003E6051">
            <w:fldChar w:fldCharType="separate"/>
          </w:r>
          <w:r w:rsidRPr="003E6051">
            <w:rPr>
              <w:noProof/>
              <w:lang w:val="en-US"/>
            </w:rPr>
            <w:t>(James M. Lyneis, 2007)</w:t>
          </w:r>
          <w:r w:rsidRPr="003E6051">
            <w:fldChar w:fldCharType="end"/>
          </w:r>
        </w:sdtContent>
      </w:sdt>
      <w:r w:rsidRPr="00106E3D">
        <w:t xml:space="preserve"> </w:t>
      </w:r>
      <w:r w:rsidR="00B15C8E" w:rsidRPr="00106E3D">
        <w:t>System dynamics offer</w:t>
      </w:r>
      <w:r w:rsidR="004F04B2">
        <w:t xml:space="preserve"> </w:t>
      </w:r>
      <w:r w:rsidR="00B15C8E" w:rsidRPr="00106E3D">
        <w:t>a powerful methodology for understanding complex interactions</w:t>
      </w:r>
      <w:r w:rsidR="009123E7">
        <w:t xml:space="preserve">, using </w:t>
      </w:r>
      <w:r w:rsidRPr="003E6051">
        <w:t>models to simulate the impact of various risks on project performance and to evaluate the effectiveness of different risk management strategie</w:t>
      </w:r>
      <w:r w:rsidR="009123E7">
        <w:t>s</w:t>
      </w:r>
      <w:r w:rsidR="00B15C8E" w:rsidRPr="00106E3D">
        <w:t xml:space="preserve"> </w:t>
      </w:r>
      <w:sdt>
        <w:sdtPr>
          <w:id w:val="455837944"/>
          <w:citation/>
        </w:sdtPr>
        <w:sdtContent>
          <w:r w:rsidR="00B15C8E" w:rsidRPr="00106E3D">
            <w:fldChar w:fldCharType="begin"/>
          </w:r>
          <w:r w:rsidR="00B15C8E" w:rsidRPr="00106E3D">
            <w:rPr>
              <w:lang w:val="en-US"/>
            </w:rPr>
            <w:instrText xml:space="preserve"> CITATION Des11 \l 1033 </w:instrText>
          </w:r>
          <w:r w:rsidR="00B15C8E" w:rsidRPr="00106E3D">
            <w:fldChar w:fldCharType="separate"/>
          </w:r>
          <w:r w:rsidR="00B15C8E" w:rsidRPr="00106E3D">
            <w:rPr>
              <w:noProof/>
              <w:lang w:val="en-US"/>
            </w:rPr>
            <w:t>(Robin S. Poston, 2011)</w:t>
          </w:r>
          <w:r w:rsidR="00B15C8E" w:rsidRPr="00106E3D">
            <w:fldChar w:fldCharType="end"/>
          </w:r>
        </w:sdtContent>
      </w:sdt>
      <w:r w:rsidR="00B15C8E" w:rsidRPr="00106E3D">
        <w:t>. By modelling feedback loops, nonlinear relationships, and the accumulation of project progress and resources, system dynamics can reveal the underlying drivers of cost and schedule overruns. This approach facilitates post-mortem assessments, risk assessments, and the development of effective change management strategies</w:t>
      </w:r>
      <w:r w:rsidR="00B71F7D">
        <w:t>.</w:t>
      </w:r>
      <w:r w:rsidR="00B15C8E" w:rsidRPr="00106E3D">
        <w:t xml:space="preserve"> </w:t>
      </w:r>
      <w:r w:rsidR="00B71F7D" w:rsidRPr="003E6051">
        <w:t xml:space="preserve">Additionally, fostering managerial flexibility and incorporating real options theory can enhance project robustness and resilience in the face of uncertainty </w:t>
      </w:r>
      <w:sdt>
        <w:sdtPr>
          <w:id w:val="-914165678"/>
          <w:citation/>
        </w:sdtPr>
        <w:sdtContent>
          <w:r w:rsidR="00B15C8E" w:rsidRPr="00106E3D">
            <w:fldChar w:fldCharType="begin"/>
          </w:r>
          <w:r w:rsidR="00B15C8E" w:rsidRPr="00106E3D">
            <w:rPr>
              <w:lang w:val="en-US"/>
            </w:rPr>
            <w:instrText xml:space="preserve">CITATION Jam07 \l 1033 </w:instrText>
          </w:r>
          <w:r w:rsidR="00B15C8E" w:rsidRPr="00106E3D">
            <w:fldChar w:fldCharType="separate"/>
          </w:r>
          <w:r w:rsidR="00B15C8E" w:rsidRPr="00106E3D">
            <w:rPr>
              <w:noProof/>
              <w:lang w:val="en-US"/>
            </w:rPr>
            <w:t>(James M. Lyneis, 2007)</w:t>
          </w:r>
          <w:r w:rsidR="00B15C8E" w:rsidRPr="00106E3D">
            <w:fldChar w:fldCharType="end"/>
          </w:r>
        </w:sdtContent>
      </w:sdt>
      <w:r w:rsidR="00B15C8E" w:rsidRPr="00106E3D">
        <w:t>.</w:t>
      </w:r>
    </w:p>
    <w:p w14:paraId="397EF2CB" w14:textId="77777777" w:rsidR="0057746B" w:rsidRPr="003E6051" w:rsidRDefault="0057746B" w:rsidP="00B71F7D">
      <w:pPr>
        <w:spacing w:after="0" w:line="360" w:lineRule="auto"/>
        <w:ind w:right="-576"/>
        <w:jc w:val="both"/>
      </w:pPr>
    </w:p>
    <w:p w14:paraId="5635379A" w14:textId="53181A24" w:rsidR="0057746B" w:rsidRDefault="0057746B" w:rsidP="009E28FD">
      <w:pPr>
        <w:spacing w:after="0" w:line="360" w:lineRule="auto"/>
        <w:ind w:left="-578" w:right="-576"/>
        <w:jc w:val="both"/>
      </w:pPr>
      <w:r w:rsidRPr="003E6051">
        <w:t xml:space="preserve">Human factors </w:t>
      </w:r>
      <w:r w:rsidR="00B55EA8">
        <w:t xml:space="preserve">also </w:t>
      </w:r>
      <w:r w:rsidRPr="003E6051">
        <w:t>play a pivotal role</w:t>
      </w:r>
      <w:r w:rsidR="00B55EA8">
        <w:t xml:space="preserve"> in project outcome</w:t>
      </w:r>
      <w:r w:rsidRPr="003E6051">
        <w:t xml:space="preserve">, underscoring the importance of leadership, communication, and team collaboration </w:t>
      </w:r>
      <w:sdt>
        <w:sdtPr>
          <w:id w:val="-496727967"/>
          <w:citation/>
        </w:sdtPr>
        <w:sdtContent>
          <w:r w:rsidRPr="003E6051">
            <w:fldChar w:fldCharType="begin"/>
          </w:r>
          <w:r w:rsidRPr="003E6051">
            <w:rPr>
              <w:lang w:val="en-US"/>
            </w:rPr>
            <w:instrText xml:space="preserve"> CITATION Des11 \l 1033 </w:instrText>
          </w:r>
          <w:r w:rsidRPr="003E6051">
            <w:fldChar w:fldCharType="separate"/>
          </w:r>
          <w:r w:rsidRPr="003E6051">
            <w:rPr>
              <w:noProof/>
              <w:lang w:val="en-US"/>
            </w:rPr>
            <w:t>(Robin S. Poston, 2011)</w:t>
          </w:r>
          <w:r w:rsidRPr="003E6051">
            <w:fldChar w:fldCharType="end"/>
          </w:r>
        </w:sdtContent>
      </w:sdt>
      <w:r w:rsidRPr="003E6051">
        <w:t xml:space="preserve"> </w:t>
      </w:r>
      <w:sdt>
        <w:sdtPr>
          <w:id w:val="-1176100255"/>
          <w:citation/>
        </w:sdtPr>
        <w:sdtContent>
          <w:r w:rsidRPr="003E6051">
            <w:fldChar w:fldCharType="begin"/>
          </w:r>
          <w:r w:rsidRPr="003E6051">
            <w:rPr>
              <w:lang w:val="en-US"/>
            </w:rPr>
            <w:instrText xml:space="preserve"> CITATION Vas20 \l 1033 </w:instrText>
          </w:r>
          <w:r w:rsidRPr="003E6051">
            <w:fldChar w:fldCharType="separate"/>
          </w:r>
          <w:r w:rsidRPr="003E6051">
            <w:rPr>
              <w:noProof/>
              <w:lang w:val="en-US"/>
            </w:rPr>
            <w:t>(Vasilis Gkogkidis, 2020)</w:t>
          </w:r>
          <w:r w:rsidRPr="003E6051">
            <w:fldChar w:fldCharType="end"/>
          </w:r>
        </w:sdtContent>
      </w:sdt>
      <w:r w:rsidRPr="003E6051">
        <w:t xml:space="preserve">. </w:t>
      </w:r>
      <w:r w:rsidR="00F21E97" w:rsidRPr="009E28FD">
        <w:t xml:space="preserve">The evolving role of the project manager extends beyond traditional responsibilities of managing time, budget, and quality to include navigating complexity, leading teams, and implementing </w:t>
      </w:r>
      <w:r w:rsidR="00FD0195">
        <w:t>adaptive</w:t>
      </w:r>
      <w:r w:rsidR="00F21E97" w:rsidRPr="009E28FD">
        <w:t xml:space="preserve"> decision-making. </w:t>
      </w:r>
      <w:r w:rsidRPr="009E28FD">
        <w:t xml:space="preserve">Effective project managers blend technical expertise </w:t>
      </w:r>
      <w:r w:rsidR="00FD0195">
        <w:t>with the</w:t>
      </w:r>
      <w:r w:rsidRPr="009E28FD">
        <w:t xml:space="preserve"> soft skills to </w:t>
      </w:r>
      <w:r w:rsidR="00FD0195">
        <w:t xml:space="preserve">support </w:t>
      </w:r>
      <w:r w:rsidR="001336ED" w:rsidRPr="009E28FD">
        <w:t>motivat</w:t>
      </w:r>
      <w:r w:rsidR="001336ED">
        <w:t>ion,</w:t>
      </w:r>
      <w:r w:rsidRPr="009E28FD">
        <w:t xml:space="preserve"> conflict</w:t>
      </w:r>
      <w:r w:rsidR="001336ED">
        <w:t xml:space="preserve"> management</w:t>
      </w:r>
      <w:r w:rsidR="00A979B4">
        <w:t xml:space="preserve">, </w:t>
      </w:r>
      <w:r w:rsidR="001336ED">
        <w:t>f</w:t>
      </w:r>
      <w:r w:rsidRPr="009E28FD">
        <w:t>oster</w:t>
      </w:r>
      <w:r w:rsidR="001336ED">
        <w:t>ing of</w:t>
      </w:r>
      <w:r w:rsidRPr="009E28FD">
        <w:t xml:space="preserve"> a collaborative environment</w:t>
      </w:r>
      <w:r w:rsidR="00FB0C3A" w:rsidRPr="009E28FD">
        <w:t>, and respon</w:t>
      </w:r>
      <w:r w:rsidR="00A979B4">
        <w:t>se</w:t>
      </w:r>
      <w:r w:rsidR="00FB0C3A" w:rsidRPr="009E28FD">
        <w:t xml:space="preserve"> to uncertainty</w:t>
      </w:r>
      <w:r w:rsidRPr="009E28FD">
        <w:t xml:space="preserve"> </w:t>
      </w:r>
      <w:sdt>
        <w:sdtPr>
          <w:id w:val="-861197091"/>
          <w:citation/>
        </w:sdtPr>
        <w:sdtContent>
          <w:r w:rsidRPr="009E28FD">
            <w:fldChar w:fldCharType="begin"/>
          </w:r>
          <w:r w:rsidRPr="009E28FD">
            <w:rPr>
              <w:lang w:val="en-US"/>
            </w:rPr>
            <w:instrText xml:space="preserve"> CITATION Abd21 \l 1033 </w:instrText>
          </w:r>
          <w:r w:rsidRPr="009E28FD">
            <w:fldChar w:fldCharType="separate"/>
          </w:r>
          <w:r w:rsidRPr="009E28FD">
            <w:rPr>
              <w:noProof/>
              <w:lang w:val="en-US"/>
            </w:rPr>
            <w:t>(Abdurrahman Abubaker Gasemagha, 2021)</w:t>
          </w:r>
          <w:r w:rsidRPr="009E28FD">
            <w:fldChar w:fldCharType="end"/>
          </w:r>
        </w:sdtContent>
      </w:sdt>
      <w:r w:rsidRPr="009E28FD">
        <w:t xml:space="preserve"> </w:t>
      </w:r>
      <w:sdt>
        <w:sdtPr>
          <w:id w:val="-1733996840"/>
          <w:citation/>
        </w:sdtPr>
        <w:sdtContent>
          <w:r w:rsidRPr="009E28FD">
            <w:fldChar w:fldCharType="begin"/>
          </w:r>
          <w:r w:rsidRPr="009E28FD">
            <w:rPr>
              <w:lang w:val="en-US"/>
            </w:rPr>
            <w:instrText xml:space="preserve"> CITATION Des11 \l 1033 </w:instrText>
          </w:r>
          <w:r w:rsidRPr="009E28FD">
            <w:fldChar w:fldCharType="separate"/>
          </w:r>
          <w:r w:rsidRPr="009E28FD">
            <w:rPr>
              <w:noProof/>
              <w:lang w:val="en-US"/>
            </w:rPr>
            <w:t>(Robin S. Poston, 2011)</w:t>
          </w:r>
          <w:r w:rsidRPr="009E28FD">
            <w:fldChar w:fldCharType="end"/>
          </w:r>
        </w:sdtContent>
      </w:sdt>
      <w:r w:rsidRPr="009E28FD">
        <w:t>. Furthermore</w:t>
      </w:r>
      <w:r w:rsidRPr="003E6051">
        <w:t xml:space="preserve">, recognising and addressing cultural and political factors within the project team and the broader organisation can significantly impact project performance </w:t>
      </w:r>
      <w:sdt>
        <w:sdtPr>
          <w:id w:val="-204105374"/>
          <w:citation/>
        </w:sdtPr>
        <w:sdtContent>
          <w:r w:rsidRPr="003E6051">
            <w:fldChar w:fldCharType="begin"/>
          </w:r>
          <w:r w:rsidRPr="003E6051">
            <w:rPr>
              <w:lang w:val="en-US"/>
            </w:rPr>
            <w:instrText xml:space="preserve"> CITATION Maj211 \l 1033 </w:instrText>
          </w:r>
          <w:r w:rsidRPr="003E6051">
            <w:fldChar w:fldCharType="separate"/>
          </w:r>
          <w:r w:rsidRPr="003E6051">
            <w:rPr>
              <w:noProof/>
              <w:lang w:val="en-US"/>
            </w:rPr>
            <w:t>(Majid Al-Nabae, 2021)</w:t>
          </w:r>
          <w:r w:rsidRPr="003E6051">
            <w:fldChar w:fldCharType="end"/>
          </w:r>
        </w:sdtContent>
      </w:sdt>
      <w:r w:rsidRPr="003E6051">
        <w:t xml:space="preserve"> </w:t>
      </w:r>
      <w:sdt>
        <w:sdtPr>
          <w:id w:val="1758632218"/>
          <w:citation/>
        </w:sdtPr>
        <w:sdtContent>
          <w:r w:rsidRPr="003E6051">
            <w:fldChar w:fldCharType="begin"/>
          </w:r>
          <w:r w:rsidRPr="003E6051">
            <w:rPr>
              <w:lang w:val="en-US"/>
            </w:rPr>
            <w:instrText xml:space="preserve"> CITATION Abd21 \l 1033 </w:instrText>
          </w:r>
          <w:r w:rsidRPr="003E6051">
            <w:fldChar w:fldCharType="separate"/>
          </w:r>
          <w:r w:rsidRPr="003E6051">
            <w:rPr>
              <w:noProof/>
              <w:lang w:val="en-US"/>
            </w:rPr>
            <w:t>(Abdurrahman Abubaker Gasemagha, 2021)</w:t>
          </w:r>
          <w:r w:rsidRPr="003E6051">
            <w:fldChar w:fldCharType="end"/>
          </w:r>
        </w:sdtContent>
      </w:sdt>
      <w:r w:rsidRPr="003E6051">
        <w:t>.</w:t>
      </w:r>
    </w:p>
    <w:p w14:paraId="3D097E87" w14:textId="77777777" w:rsidR="00100E5A" w:rsidRDefault="00100E5A" w:rsidP="009E28FD">
      <w:pPr>
        <w:spacing w:after="0" w:line="360" w:lineRule="auto"/>
        <w:ind w:left="-578" w:right="-576"/>
        <w:jc w:val="both"/>
      </w:pPr>
    </w:p>
    <w:p w14:paraId="351376BC" w14:textId="5A0C14DD" w:rsidR="00100E5A" w:rsidRPr="003E6051" w:rsidRDefault="008407D6" w:rsidP="00100E5A">
      <w:pPr>
        <w:spacing w:after="0" w:line="360" w:lineRule="auto"/>
        <w:ind w:left="-578" w:right="-576"/>
        <w:jc w:val="both"/>
      </w:pPr>
      <w:r>
        <w:t xml:space="preserve">Organisational maturity in project </w:t>
      </w:r>
      <w:r w:rsidR="004A0727">
        <w:t xml:space="preserve">management can be supported by structured frameworks such as </w:t>
      </w:r>
      <w:r w:rsidR="004A0727" w:rsidRPr="007F2BA3">
        <w:t>Project Management Maturity Models (PMMM)</w:t>
      </w:r>
      <w:r w:rsidR="004A0727">
        <w:t xml:space="preserve">, which help organisations, </w:t>
      </w:r>
      <w:r w:rsidR="004A0727" w:rsidRPr="007F2BA3">
        <w:t xml:space="preserve">including educational institutions, to gauge their capabilities in project management and identify areas for improvement </w:t>
      </w:r>
      <w:sdt>
        <w:sdtPr>
          <w:id w:val="-24405450"/>
          <w:citation/>
        </w:sdtPr>
        <w:sdtContent>
          <w:r w:rsidR="004A0727" w:rsidRPr="007F2BA3">
            <w:fldChar w:fldCharType="begin"/>
          </w:r>
          <w:r w:rsidR="004A0727" w:rsidRPr="007F2BA3">
            <w:rPr>
              <w:lang w:val="en-US"/>
            </w:rPr>
            <w:instrText xml:space="preserve"> CITATION CDe10 \l 1033 </w:instrText>
          </w:r>
          <w:r w:rsidR="004A0727" w:rsidRPr="007F2BA3">
            <w:fldChar w:fldCharType="separate"/>
          </w:r>
          <w:r w:rsidR="004A0727" w:rsidRPr="007F2BA3">
            <w:rPr>
              <w:noProof/>
              <w:lang w:val="en-US"/>
            </w:rPr>
            <w:t>(C. Demira, 2010)</w:t>
          </w:r>
          <w:r w:rsidR="004A0727" w:rsidRPr="007F2BA3">
            <w:fldChar w:fldCharType="end"/>
          </w:r>
        </w:sdtContent>
      </w:sdt>
      <w:r w:rsidR="004A0727" w:rsidRPr="007F2BA3">
        <w:t xml:space="preserve">. These models offer a roadmap for enhancing project delivery, but their successful implementation hinges on tailoring them to the specific needs and organisational constraints </w:t>
      </w:r>
      <w:sdt>
        <w:sdtPr>
          <w:id w:val="473100726"/>
          <w:citation/>
        </w:sdtPr>
        <w:sdtContent>
          <w:r w:rsidR="004A0727" w:rsidRPr="007F2BA3">
            <w:fldChar w:fldCharType="begin"/>
          </w:r>
          <w:r w:rsidR="004A0727" w:rsidRPr="007F2BA3">
            <w:rPr>
              <w:lang w:val="en-US"/>
            </w:rPr>
            <w:instrText xml:space="preserve"> CITATION CDe10 \l 1033 </w:instrText>
          </w:r>
          <w:r w:rsidR="004A0727" w:rsidRPr="007F2BA3">
            <w:fldChar w:fldCharType="separate"/>
          </w:r>
          <w:r w:rsidR="004A0727" w:rsidRPr="007F2BA3">
            <w:rPr>
              <w:noProof/>
              <w:lang w:val="en-US"/>
            </w:rPr>
            <w:t>(C. Demira, 2010)</w:t>
          </w:r>
          <w:r w:rsidR="004A0727" w:rsidRPr="007F2BA3">
            <w:fldChar w:fldCharType="end"/>
          </w:r>
        </w:sdtContent>
      </w:sdt>
      <w:r w:rsidR="004A0727" w:rsidRPr="007F2BA3">
        <w:t>. By leveraging frameworks, incorporating industry expertise into academic programs, and utilising methodologies such as system dynamics, organisations can enhance their project management capabilities and achieve sustainable success</w:t>
      </w:r>
      <w:r w:rsidR="004A0727">
        <w:t xml:space="preserve"> </w:t>
      </w:r>
      <w:sdt>
        <w:sdtPr>
          <w:id w:val="855079867"/>
          <w:citation/>
        </w:sdtPr>
        <w:sdtContent>
          <w:r w:rsidR="004A0727" w:rsidRPr="007F2BA3">
            <w:fldChar w:fldCharType="begin"/>
          </w:r>
          <w:r w:rsidR="004A0727" w:rsidRPr="007F2BA3">
            <w:rPr>
              <w:lang w:val="en-US"/>
            </w:rPr>
            <w:instrText xml:space="preserve"> CITATION CDe10 \l 1033 </w:instrText>
          </w:r>
          <w:r w:rsidR="004A0727" w:rsidRPr="007F2BA3">
            <w:fldChar w:fldCharType="separate"/>
          </w:r>
          <w:r w:rsidR="004A0727" w:rsidRPr="007F2BA3">
            <w:rPr>
              <w:noProof/>
              <w:lang w:val="en-US"/>
            </w:rPr>
            <w:t>(C. Demira, 2010)</w:t>
          </w:r>
          <w:r w:rsidR="004A0727" w:rsidRPr="007F2BA3">
            <w:fldChar w:fldCharType="end"/>
          </w:r>
        </w:sdtContent>
      </w:sdt>
      <w:r w:rsidR="004A0727" w:rsidRPr="007F2BA3">
        <w:t xml:space="preserve">. Furthermore, emphasising </w:t>
      </w:r>
      <w:r w:rsidR="004A0727" w:rsidRPr="007F2BA3">
        <w:lastRenderedPageBreak/>
        <w:t>knowledge management, continuous learning, and a focus on both tangible and intangible performance indicators can foster a culture of excellence and drive continuous improvement in project outcomes.</w:t>
      </w:r>
      <w:r w:rsidR="00015386">
        <w:t xml:space="preserve"> </w:t>
      </w:r>
      <w:r w:rsidR="00161DAA">
        <w:t xml:space="preserve">For </w:t>
      </w:r>
      <w:r w:rsidR="0031238B">
        <w:t>example,</w:t>
      </w:r>
      <w:r w:rsidR="00161DAA">
        <w:t xml:space="preserve"> </w:t>
      </w:r>
      <w:r w:rsidR="00DF2B2A">
        <w:t>b</w:t>
      </w:r>
      <w:r w:rsidR="00DF2B2A" w:rsidRPr="003E6051">
        <w:t>y capturing and disseminating lessons learned from past projects</w:t>
      </w:r>
      <w:r w:rsidR="0031238B">
        <w:t xml:space="preserve">, driving </w:t>
      </w:r>
      <w:r w:rsidR="00100E5A" w:rsidRPr="003E6051">
        <w:t>knowledge and continuous learning</w:t>
      </w:r>
      <w:r w:rsidR="001C1ED7">
        <w:t>,</w:t>
      </w:r>
      <w:r w:rsidR="00100E5A" w:rsidRPr="003E6051">
        <w:t xml:space="preserve"> organisations can improve their project management practices and enhance future performance. Post-mortem analyses, knowledge sharing platforms, and training programs can facilitate this process </w:t>
      </w:r>
      <w:r w:rsidR="001C1ED7">
        <w:t>further</w:t>
      </w:r>
      <w:r w:rsidR="00100E5A" w:rsidRPr="003E6051">
        <w:t xml:space="preserve"> </w:t>
      </w:r>
      <w:sdt>
        <w:sdtPr>
          <w:id w:val="674540421"/>
          <w:citation/>
        </w:sdtPr>
        <w:sdtContent>
          <w:r w:rsidR="0031238B" w:rsidRPr="003E6051">
            <w:fldChar w:fldCharType="begin"/>
          </w:r>
          <w:r w:rsidR="0031238B" w:rsidRPr="003E6051">
            <w:rPr>
              <w:lang w:val="en-US"/>
            </w:rPr>
            <w:instrText xml:space="preserve"> CITATION Maj211 \l 1033 </w:instrText>
          </w:r>
          <w:r w:rsidR="0031238B" w:rsidRPr="003E6051">
            <w:fldChar w:fldCharType="separate"/>
          </w:r>
          <w:r w:rsidR="0031238B" w:rsidRPr="003E6051">
            <w:rPr>
              <w:noProof/>
              <w:lang w:val="en-US"/>
            </w:rPr>
            <w:t>(Majid Al-Nabae, 2021)</w:t>
          </w:r>
          <w:r w:rsidR="0031238B" w:rsidRPr="003E6051">
            <w:fldChar w:fldCharType="end"/>
          </w:r>
        </w:sdtContent>
      </w:sdt>
      <w:r w:rsidR="0031238B">
        <w:t xml:space="preserve"> </w:t>
      </w:r>
      <w:sdt>
        <w:sdtPr>
          <w:id w:val="912362407"/>
          <w:citation/>
        </w:sdtPr>
        <w:sdtContent>
          <w:r w:rsidR="00100E5A" w:rsidRPr="003E6051">
            <w:fldChar w:fldCharType="begin"/>
          </w:r>
          <w:r w:rsidR="00100E5A" w:rsidRPr="003E6051">
            <w:rPr>
              <w:lang w:val="en-US"/>
            </w:rPr>
            <w:instrText xml:space="preserve"> CITATION Des11 \l 1033 </w:instrText>
          </w:r>
          <w:r w:rsidR="00100E5A" w:rsidRPr="003E6051">
            <w:fldChar w:fldCharType="separate"/>
          </w:r>
          <w:r w:rsidR="00100E5A" w:rsidRPr="003E6051">
            <w:rPr>
              <w:noProof/>
              <w:lang w:val="en-US"/>
            </w:rPr>
            <w:t>(Robin S. Poston, 2011)</w:t>
          </w:r>
          <w:r w:rsidR="00100E5A" w:rsidRPr="003E6051">
            <w:fldChar w:fldCharType="end"/>
          </w:r>
        </w:sdtContent>
      </w:sdt>
      <w:r w:rsidR="00100E5A" w:rsidRPr="003E6051">
        <w:t>.</w:t>
      </w:r>
    </w:p>
    <w:p w14:paraId="4D579C49" w14:textId="77777777" w:rsidR="00100E5A" w:rsidRPr="003E6051" w:rsidRDefault="00100E5A" w:rsidP="009E28FD">
      <w:pPr>
        <w:spacing w:after="0" w:line="360" w:lineRule="auto"/>
        <w:ind w:left="-578" w:right="-576"/>
        <w:jc w:val="both"/>
      </w:pPr>
    </w:p>
    <w:p w14:paraId="5010E9F3" w14:textId="592C7F45" w:rsidR="0057746B" w:rsidRPr="003E6051" w:rsidRDefault="00375763" w:rsidP="007C1BEE">
      <w:pPr>
        <w:spacing w:after="0" w:line="360" w:lineRule="auto"/>
        <w:ind w:left="-578" w:right="-576"/>
        <w:jc w:val="both"/>
      </w:pPr>
      <w:r>
        <w:t>To support continuous learning across project lifecycles, p</w:t>
      </w:r>
      <w:r w:rsidR="0057746B" w:rsidRPr="003E6051">
        <w:t>erformance measurement should</w:t>
      </w:r>
      <w:r>
        <w:t xml:space="preserve"> therefore</w:t>
      </w:r>
      <w:r w:rsidR="0057746B" w:rsidRPr="003E6051">
        <w:t xml:space="preserve"> extend beyond traditional financial indicators to encompass non-financial aspects such as employee satisfaction, innovation, and stakeholder engagement. Key Performance Indicators (KPIs) provide a means of quantifying progress towards project goals and identifying areas for improvement </w:t>
      </w:r>
      <w:sdt>
        <w:sdtPr>
          <w:id w:val="922764982"/>
          <w:citation/>
        </w:sdtPr>
        <w:sdtContent>
          <w:r w:rsidR="0057746B" w:rsidRPr="003E6051">
            <w:fldChar w:fldCharType="begin"/>
          </w:r>
          <w:r w:rsidR="0057746B" w:rsidRPr="003E6051">
            <w:rPr>
              <w:lang w:val="en-US"/>
            </w:rPr>
            <w:instrText xml:space="preserve"> CITATION Maj211 \l 1033 </w:instrText>
          </w:r>
          <w:r w:rsidR="0057746B" w:rsidRPr="003E6051">
            <w:fldChar w:fldCharType="separate"/>
          </w:r>
          <w:r w:rsidR="0057746B" w:rsidRPr="003E6051">
            <w:rPr>
              <w:noProof/>
              <w:lang w:val="en-US"/>
            </w:rPr>
            <w:t>(Majid Al-Nabae, 2021)</w:t>
          </w:r>
          <w:r w:rsidR="0057746B" w:rsidRPr="003E6051">
            <w:fldChar w:fldCharType="end"/>
          </w:r>
        </w:sdtContent>
      </w:sdt>
      <w:r w:rsidR="0057746B" w:rsidRPr="003E6051">
        <w:t xml:space="preserve"> </w:t>
      </w:r>
      <w:sdt>
        <w:sdtPr>
          <w:id w:val="1462994146"/>
          <w:citation/>
        </w:sdtPr>
        <w:sdtContent>
          <w:r w:rsidR="0057746B" w:rsidRPr="003E6051">
            <w:fldChar w:fldCharType="begin"/>
          </w:r>
          <w:r w:rsidR="0057746B" w:rsidRPr="003E6051">
            <w:rPr>
              <w:lang w:val="en-US"/>
            </w:rPr>
            <w:instrText xml:space="preserve"> CITATION Abd21 \l 1033 </w:instrText>
          </w:r>
          <w:r w:rsidR="0057746B" w:rsidRPr="003E6051">
            <w:fldChar w:fldCharType="separate"/>
          </w:r>
          <w:r w:rsidR="0057746B" w:rsidRPr="003E6051">
            <w:rPr>
              <w:noProof/>
              <w:lang w:val="en-US"/>
            </w:rPr>
            <w:t>(Abdurrahman Abubaker Gasemagha, 2021)</w:t>
          </w:r>
          <w:r w:rsidR="0057746B" w:rsidRPr="003E6051">
            <w:fldChar w:fldCharType="end"/>
          </w:r>
        </w:sdtContent>
      </w:sdt>
      <w:r w:rsidR="0057746B" w:rsidRPr="003E6051">
        <w:t xml:space="preserve">. However, </w:t>
      </w:r>
      <w:r w:rsidR="00960A6D">
        <w:t>these</w:t>
      </w:r>
      <w:r w:rsidR="0057746B" w:rsidRPr="003E6051">
        <w:t xml:space="preserve"> should be aligned with the project's objectives and the organisation's strategic priorities</w:t>
      </w:r>
      <w:r w:rsidR="00960A6D">
        <w:t xml:space="preserve">, rather than focus on compliance alone </w:t>
      </w:r>
      <w:sdt>
        <w:sdtPr>
          <w:id w:val="31930757"/>
          <w:citation/>
        </w:sdtPr>
        <w:sdtContent>
          <w:r w:rsidR="0057746B" w:rsidRPr="003E6051">
            <w:fldChar w:fldCharType="begin"/>
          </w:r>
          <w:r w:rsidR="0057746B" w:rsidRPr="003E6051">
            <w:rPr>
              <w:lang w:val="en-US"/>
            </w:rPr>
            <w:instrText xml:space="preserve"> CITATION Abd21 \l 1033 </w:instrText>
          </w:r>
          <w:r w:rsidR="0057746B" w:rsidRPr="003E6051">
            <w:fldChar w:fldCharType="separate"/>
          </w:r>
          <w:r w:rsidR="0057746B" w:rsidRPr="003E6051">
            <w:rPr>
              <w:noProof/>
              <w:lang w:val="en-US"/>
            </w:rPr>
            <w:t>(Abdurrahman Abubaker Gasemagha, 2021)</w:t>
          </w:r>
          <w:r w:rsidR="0057746B" w:rsidRPr="003E6051">
            <w:fldChar w:fldCharType="end"/>
          </w:r>
        </w:sdtContent>
      </w:sdt>
      <w:r w:rsidR="0057746B" w:rsidRPr="003E6051">
        <w:t>.</w:t>
      </w:r>
    </w:p>
    <w:p w14:paraId="33EBDF3A" w14:textId="77777777" w:rsidR="0057746B" w:rsidRPr="003E6051" w:rsidRDefault="0057746B" w:rsidP="007C1BEE">
      <w:pPr>
        <w:spacing w:after="0" w:line="360" w:lineRule="auto"/>
        <w:ind w:left="-578" w:right="-576"/>
        <w:jc w:val="both"/>
      </w:pPr>
    </w:p>
    <w:p w14:paraId="57E797E4" w14:textId="4601BC23" w:rsidR="0057746B" w:rsidRPr="003E6051" w:rsidRDefault="0057746B" w:rsidP="007C1BEE">
      <w:pPr>
        <w:spacing w:after="0" w:line="360" w:lineRule="auto"/>
        <w:ind w:left="-578" w:right="-576"/>
        <w:jc w:val="both"/>
      </w:pPr>
      <w:r w:rsidRPr="003E6051">
        <w:t xml:space="preserve">The literature on project management underscores the need for a multidimensional approach that integrates structured evaluation, experiential learning, and system dynamics to enhance adaptability, efficiency, and long-term project success. Maturity models, as endorsed by </w:t>
      </w:r>
      <w:sdt>
        <w:sdtPr>
          <w:id w:val="-1059166579"/>
          <w:citation/>
        </w:sdtPr>
        <w:sdtContent>
          <w:r w:rsidRPr="003E6051">
            <w:fldChar w:fldCharType="begin"/>
          </w:r>
          <w:r w:rsidRPr="003E6051">
            <w:rPr>
              <w:lang w:val="en-US"/>
            </w:rPr>
            <w:instrText xml:space="preserve"> CITATION Maj211 \l 1033 </w:instrText>
          </w:r>
          <w:r w:rsidRPr="003E6051">
            <w:fldChar w:fldCharType="separate"/>
          </w:r>
          <w:r w:rsidRPr="003E6051">
            <w:rPr>
              <w:noProof/>
              <w:lang w:val="en-US"/>
            </w:rPr>
            <w:t>(Majid Al-Nabae, 2021)</w:t>
          </w:r>
          <w:r w:rsidRPr="003E6051">
            <w:fldChar w:fldCharType="end"/>
          </w:r>
        </w:sdtContent>
      </w:sdt>
      <w:r w:rsidRPr="003E6051">
        <w:t xml:space="preserve">, provide a systematic framework for assessing an organisation’s project management capabilities, facilitating continuous performance improvement and informed decision-making. However, </w:t>
      </w:r>
      <w:sdt>
        <w:sdtPr>
          <w:id w:val="-1533184082"/>
          <w:citation/>
        </w:sdtPr>
        <w:sdtContent>
          <w:r w:rsidRPr="003E6051">
            <w:fldChar w:fldCharType="begin"/>
          </w:r>
          <w:r w:rsidRPr="003E6051">
            <w:rPr>
              <w:lang w:val="en-US"/>
            </w:rPr>
            <w:instrText xml:space="preserve">CITATION Jam07 \l 1033 </w:instrText>
          </w:r>
          <w:r w:rsidRPr="003E6051">
            <w:fldChar w:fldCharType="separate"/>
          </w:r>
          <w:r w:rsidRPr="003E6051">
            <w:rPr>
              <w:noProof/>
              <w:lang w:val="en-US"/>
            </w:rPr>
            <w:t>(James M. Lyneis, 2007)</w:t>
          </w:r>
          <w:r w:rsidRPr="003E6051">
            <w:fldChar w:fldCharType="end"/>
          </w:r>
        </w:sdtContent>
      </w:sdt>
      <w:r w:rsidRPr="003E6051">
        <w:t xml:space="preserve"> critique the static nature of these models, arguing that project environments are inherently dynamic and require continuous feedback mechanisms to effectively manage complexity and uncertainty. Consequently, system dynamics emerges as a vital tool for understanding how project variables interact over time, enabling managers to anticipate challenges and refine strategies accordingly</w:t>
      </w:r>
      <w:r w:rsidR="00443B6E">
        <w:t xml:space="preserve"> to positively impact project outcomes</w:t>
      </w:r>
      <w:r w:rsidR="004449B0">
        <w:t xml:space="preserve"> </w:t>
      </w:r>
      <w:sdt>
        <w:sdtPr>
          <w:id w:val="962079839"/>
          <w:citation/>
        </w:sdtPr>
        <w:sdtContent>
          <w:r w:rsidR="004449B0" w:rsidRPr="003E6051">
            <w:fldChar w:fldCharType="begin"/>
          </w:r>
          <w:r w:rsidR="004449B0" w:rsidRPr="003E6051">
            <w:rPr>
              <w:lang w:val="en-US"/>
            </w:rPr>
            <w:instrText xml:space="preserve">CITATION Jam07 \l 1033 </w:instrText>
          </w:r>
          <w:r w:rsidR="004449B0" w:rsidRPr="003E6051">
            <w:fldChar w:fldCharType="separate"/>
          </w:r>
          <w:r w:rsidR="004449B0" w:rsidRPr="003E6051">
            <w:rPr>
              <w:noProof/>
              <w:lang w:val="en-US"/>
            </w:rPr>
            <w:t>(James M. Lyneis, 2007)</w:t>
          </w:r>
          <w:r w:rsidR="004449B0" w:rsidRPr="003E6051">
            <w:fldChar w:fldCharType="end"/>
          </w:r>
        </w:sdtContent>
      </w:sdt>
      <w:r w:rsidRPr="003E6051">
        <w:t>.</w:t>
      </w:r>
    </w:p>
    <w:p w14:paraId="6ABAE040" w14:textId="77777777" w:rsidR="0057746B" w:rsidRPr="003E6051" w:rsidRDefault="0057746B" w:rsidP="007C1BEE">
      <w:pPr>
        <w:spacing w:after="0" w:line="360" w:lineRule="auto"/>
        <w:ind w:left="-578" w:right="-576"/>
        <w:jc w:val="both"/>
      </w:pPr>
    </w:p>
    <w:p w14:paraId="3C98049E" w14:textId="22ED11CF" w:rsidR="001C78C5" w:rsidRDefault="001C78C5" w:rsidP="001C78C5">
      <w:pPr>
        <w:spacing w:after="0" w:line="360" w:lineRule="auto"/>
        <w:ind w:left="-578" w:right="-576"/>
        <w:jc w:val="both"/>
      </w:pPr>
      <w:r>
        <w:t xml:space="preserve">Risk management emerges as a critical theme for positive outcomes, with academics advocating contrasting approaches. Project outcomes are influenced by both technical competencies and human and organisational factors, including stakeholder engagement, knowledge management, and training in risk management. </w:t>
      </w:r>
      <w:sdt>
        <w:sdtPr>
          <w:id w:val="783776446"/>
          <w:citation/>
        </w:sdtPr>
        <w:sdtContent>
          <w:r>
            <w:fldChar w:fldCharType="begin"/>
          </w:r>
          <w:r>
            <w:rPr>
              <w:lang w:val="en-US"/>
            </w:rPr>
            <w:instrText xml:space="preserve"> CITATION Maj211 \l 1033 </w:instrText>
          </w:r>
          <w:r>
            <w:fldChar w:fldCharType="separate"/>
          </w:r>
          <w:r w:rsidRPr="00973B3F">
            <w:rPr>
              <w:noProof/>
              <w:lang w:val="en-US"/>
            </w:rPr>
            <w:t>(Majid Al-Nabae, 2021)</w:t>
          </w:r>
          <w:r>
            <w:fldChar w:fldCharType="end"/>
          </w:r>
        </w:sdtContent>
      </w:sdt>
      <w:r>
        <w:t xml:space="preserve">, </w:t>
      </w:r>
      <w:sdt>
        <w:sdtPr>
          <w:id w:val="-1640106240"/>
          <w:citation/>
        </w:sdtPr>
        <w:sdtContent>
          <w:r>
            <w:fldChar w:fldCharType="begin"/>
          </w:r>
          <w:r>
            <w:rPr>
              <w:lang w:val="en-US"/>
            </w:rPr>
            <w:instrText xml:space="preserve">CITATION Jam07 \l 1033 </w:instrText>
          </w:r>
          <w:r>
            <w:fldChar w:fldCharType="separate"/>
          </w:r>
          <w:r w:rsidRPr="00100D9E">
            <w:rPr>
              <w:noProof/>
              <w:lang w:val="en-US"/>
            </w:rPr>
            <w:t>(James M. Lyneis, 2007)</w:t>
          </w:r>
          <w:r>
            <w:fldChar w:fldCharType="end"/>
          </w:r>
        </w:sdtContent>
      </w:sdt>
      <w:r>
        <w:t xml:space="preserve"> </w:t>
      </w:r>
      <w:sdt>
        <w:sdtPr>
          <w:id w:val="-2202120"/>
          <w:citation/>
        </w:sdtPr>
        <w:sdtContent>
          <w:r>
            <w:fldChar w:fldCharType="begin"/>
          </w:r>
          <w:r>
            <w:rPr>
              <w:lang w:val="en-US"/>
            </w:rPr>
            <w:instrText xml:space="preserve"> CITATION Abd21 \l 1033 </w:instrText>
          </w:r>
          <w:r>
            <w:fldChar w:fldCharType="separate"/>
          </w:r>
          <w:r w:rsidRPr="00973B3F">
            <w:rPr>
              <w:noProof/>
              <w:lang w:val="en-US"/>
            </w:rPr>
            <w:t>(Abdurrahman Abubaker Gasemagha, 2021)</w:t>
          </w:r>
          <w:r>
            <w:fldChar w:fldCharType="end"/>
          </w:r>
        </w:sdtContent>
      </w:sdt>
      <w:r>
        <w:t xml:space="preserve"> collectively highlight successful outcomes depend on effective management of both tangible and intangible resources. </w:t>
      </w:r>
      <w:sdt>
        <w:sdtPr>
          <w:id w:val="567232961"/>
          <w:citation/>
        </w:sdtPr>
        <w:sdtContent>
          <w:r>
            <w:fldChar w:fldCharType="begin"/>
          </w:r>
          <w:r>
            <w:rPr>
              <w:lang w:val="en-US"/>
            </w:rPr>
            <w:instrText xml:space="preserve">CITATION Jam07 \l 1033 </w:instrText>
          </w:r>
          <w:r>
            <w:fldChar w:fldCharType="separate"/>
          </w:r>
          <w:r w:rsidRPr="00100D9E">
            <w:rPr>
              <w:noProof/>
              <w:lang w:val="en-US"/>
            </w:rPr>
            <w:t>(James M. Lyneis, 2007)</w:t>
          </w:r>
          <w:r>
            <w:fldChar w:fldCharType="end"/>
          </w:r>
        </w:sdtContent>
      </w:sdt>
      <w:r>
        <w:t>, in particular, explores the compounding effects of execution errors, demonstrating how minor inefficiencies can escalate into major risk challenges when feedback loops are poorly managed. The findings suggest leveraging system dynamics can mitigate such risks, providing a predictive framework to anticipate unintended consequences and optimise strategies in response to changing conditions in real-time.</w:t>
      </w:r>
      <w:r w:rsidRPr="00F80D5E">
        <w:t xml:space="preserve"> </w:t>
      </w:r>
      <w:r>
        <w:t xml:space="preserve">In contrast, </w:t>
      </w:r>
      <w:sdt>
        <w:sdtPr>
          <w:id w:val="575403629"/>
          <w:citation/>
        </w:sdtPr>
        <w:sdtContent>
          <w:r>
            <w:fldChar w:fldCharType="begin"/>
          </w:r>
          <w:r>
            <w:rPr>
              <w:lang w:val="en-US"/>
            </w:rPr>
            <w:instrText xml:space="preserve"> CITATION Maj211 \l 1033 </w:instrText>
          </w:r>
          <w:r>
            <w:fldChar w:fldCharType="separate"/>
          </w:r>
          <w:r w:rsidRPr="00973B3F">
            <w:rPr>
              <w:noProof/>
              <w:lang w:val="en-US"/>
            </w:rPr>
            <w:t>(Majid Al-Nabae, 2021)</w:t>
          </w:r>
          <w:r>
            <w:fldChar w:fldCharType="end"/>
          </w:r>
        </w:sdtContent>
      </w:sdt>
      <w:r>
        <w:t xml:space="preserve"> advocates a structured approach to risk mitigation, emphasising pre-emptive planning and strategic controls. Th</w:t>
      </w:r>
      <w:r w:rsidR="00FF7D19">
        <w:t>ese</w:t>
      </w:r>
      <w:r>
        <w:t xml:space="preserve"> </w:t>
      </w:r>
      <w:r w:rsidR="00FF7D19">
        <w:t xml:space="preserve">contrasting </w:t>
      </w:r>
      <w:r w:rsidR="00FF7D19">
        <w:lastRenderedPageBreak/>
        <w:t>view</w:t>
      </w:r>
      <w:r>
        <w:t xml:space="preserve"> reflect a broader debate in project management: whether traditional risk frameworks, focused on predefined mitigation strategies, remain sufficient in today’s rapidly evolving project landscapes or whether adaptive, feedback-driven methods offer greater resilience.</w:t>
      </w:r>
    </w:p>
    <w:p w14:paraId="28E955EB" w14:textId="77777777" w:rsidR="0057746B" w:rsidRPr="003E6051" w:rsidRDefault="0057746B" w:rsidP="007C1BEE">
      <w:pPr>
        <w:spacing w:after="0" w:line="360" w:lineRule="auto"/>
        <w:ind w:left="-578" w:right="-576"/>
        <w:jc w:val="both"/>
      </w:pPr>
    </w:p>
    <w:p w14:paraId="724538EF" w14:textId="5222F55A" w:rsidR="00DD5ABD" w:rsidRPr="003E6051" w:rsidRDefault="00DD5ABD" w:rsidP="00DD5ABD">
      <w:pPr>
        <w:spacing w:after="0" w:line="360" w:lineRule="auto"/>
        <w:ind w:left="-578" w:right="-576"/>
        <w:jc w:val="both"/>
      </w:pPr>
      <w:r w:rsidRPr="003E6051">
        <w:t xml:space="preserve">Despite these challenges, improving project outcomes through effective risk management remains a priority. Success depends not only on selecting the appropriate methodologies but also on integrating rapid response capabilities, institutional learning, and a balanced approach to both anticipated and emergent risks. </w:t>
      </w:r>
      <w:sdt>
        <w:sdtPr>
          <w:id w:val="-237399736"/>
          <w:citation/>
        </w:sdtPr>
        <w:sdtContent>
          <w:r w:rsidRPr="003E6051">
            <w:fldChar w:fldCharType="begin"/>
          </w:r>
          <w:r w:rsidRPr="003E6051">
            <w:rPr>
              <w:lang w:val="en-US"/>
            </w:rPr>
            <w:instrText xml:space="preserve"> CITATION Rog01 \l 1033 </w:instrText>
          </w:r>
          <w:r w:rsidRPr="003E6051">
            <w:fldChar w:fldCharType="separate"/>
          </w:r>
          <w:r w:rsidRPr="003E6051">
            <w:rPr>
              <w:noProof/>
              <w:lang w:val="en-US"/>
            </w:rPr>
            <w:t>(Roger Millera, 2001)</w:t>
          </w:r>
          <w:r w:rsidRPr="003E6051">
            <w:fldChar w:fldCharType="end"/>
          </w:r>
        </w:sdtContent>
      </w:sdt>
      <w:r w:rsidRPr="003E6051">
        <w:t xml:space="preserve"> advocate for "real options" as a proactive risk-shaping strategy, emphasising the importance of flexibility in risk resolution. Additionally, </w:t>
      </w:r>
      <w:sdt>
        <w:sdtPr>
          <w:id w:val="528454493"/>
          <w:citation/>
        </w:sdtPr>
        <w:sdtContent>
          <w:r w:rsidRPr="003E6051">
            <w:fldChar w:fldCharType="begin"/>
          </w:r>
          <w:r w:rsidRPr="003E6051">
            <w:rPr>
              <w:lang w:val="en-US"/>
            </w:rPr>
            <w:instrText xml:space="preserve"> CITATION Rog06 \l 1033 </w:instrText>
          </w:r>
          <w:r w:rsidRPr="003E6051">
            <w:fldChar w:fldCharType="separate"/>
          </w:r>
          <w:r w:rsidRPr="003E6051">
            <w:rPr>
              <w:noProof/>
              <w:lang w:val="en-US"/>
            </w:rPr>
            <w:t>(Roger Atkinson, 2006)</w:t>
          </w:r>
          <w:r w:rsidRPr="003E6051">
            <w:fldChar w:fldCharType="end"/>
          </w:r>
        </w:sdtContent>
      </w:sdt>
      <w:r w:rsidRPr="003E6051">
        <w:t xml:space="preserve"> argue that while traditional success metrics focus on time and budget constraints, modern perspectives increasingly highlight stakeholder satisfaction and strategic impact as critical indicators of effective risk management. This shift suggests that rather than rigid adherence to predefined risk frameworks, organisations should adopt a context-driven approach that </w:t>
      </w:r>
      <w:r w:rsidR="00F80E4E">
        <w:t>provides the ability to deliver</w:t>
      </w:r>
      <w:r w:rsidR="004E00B6">
        <w:t xml:space="preserve"> a project the meets its objectives and can withstand uncertainty.</w:t>
      </w:r>
    </w:p>
    <w:p w14:paraId="08710122" w14:textId="77777777" w:rsidR="00DD5ABD" w:rsidRDefault="00DD5ABD" w:rsidP="0063416D">
      <w:pPr>
        <w:spacing w:after="0" w:line="360" w:lineRule="auto"/>
        <w:ind w:right="-576"/>
        <w:jc w:val="both"/>
      </w:pPr>
    </w:p>
    <w:p w14:paraId="604B7382" w14:textId="77777777" w:rsidR="00373AD1" w:rsidRDefault="00373AD1" w:rsidP="007C1BEE">
      <w:pPr>
        <w:spacing w:after="0" w:line="360" w:lineRule="auto"/>
        <w:ind w:left="-578" w:right="-576"/>
        <w:jc w:val="both"/>
      </w:pPr>
    </w:p>
    <w:p w14:paraId="42AB9E4C" w14:textId="300C119A" w:rsidR="0057746B" w:rsidRPr="003E6051" w:rsidRDefault="00E43C43" w:rsidP="007C1BEE">
      <w:pPr>
        <w:spacing w:after="0" w:line="360" w:lineRule="auto"/>
        <w:ind w:left="-578" w:right="-576"/>
        <w:jc w:val="both"/>
        <w:rPr>
          <w:color w:val="FF0000"/>
        </w:rPr>
      </w:pPr>
      <w:r>
        <w:rPr>
          <w:color w:val="FF0000"/>
        </w:rPr>
        <w:t>870</w:t>
      </w:r>
      <w:r w:rsidR="00AB630D" w:rsidRPr="003E6051">
        <w:rPr>
          <w:color w:val="FF0000"/>
        </w:rPr>
        <w:t xml:space="preserve"> (</w:t>
      </w:r>
      <w:r w:rsidR="00373AD1">
        <w:rPr>
          <w:color w:val="FF0000"/>
        </w:rPr>
        <w:t>5</w:t>
      </w:r>
      <w:r w:rsidR="00653F71">
        <w:rPr>
          <w:color w:val="FF0000"/>
        </w:rPr>
        <w:t>549</w:t>
      </w:r>
      <w:r w:rsidR="00AB630D" w:rsidRPr="003E6051">
        <w:rPr>
          <w:color w:val="FF0000"/>
        </w:rPr>
        <w:t>)</w:t>
      </w:r>
    </w:p>
    <w:p w14:paraId="4CE4A35F" w14:textId="77777777" w:rsidR="0057746B" w:rsidRPr="003E6051" w:rsidRDefault="0057746B" w:rsidP="007C1BEE">
      <w:pPr>
        <w:spacing w:after="0"/>
        <w:rPr>
          <w:rFonts w:eastAsiaTheme="majorEastAsia"/>
        </w:rPr>
      </w:pPr>
      <w:r w:rsidRPr="003E6051">
        <w:br w:type="page"/>
      </w:r>
    </w:p>
    <w:p w14:paraId="7A5C6493" w14:textId="1F3377AA" w:rsidR="0057746B" w:rsidRPr="003E6051" w:rsidRDefault="00E11E47" w:rsidP="007C1BEE">
      <w:pPr>
        <w:keepNext/>
        <w:keepLines/>
        <w:spacing w:after="0" w:line="360" w:lineRule="auto"/>
        <w:ind w:left="-578"/>
        <w:outlineLvl w:val="1"/>
        <w:rPr>
          <w:rFonts w:eastAsiaTheme="majorEastAsia"/>
        </w:rPr>
      </w:pPr>
      <w:bookmarkStart w:id="28" w:name="_Toc191138527"/>
      <w:bookmarkStart w:id="29" w:name="_Toc219216471"/>
      <w:r w:rsidRPr="003E6051">
        <w:rPr>
          <w:rFonts w:eastAsiaTheme="majorEastAsia"/>
        </w:rPr>
        <w:lastRenderedPageBreak/>
        <w:t>6</w:t>
      </w:r>
      <w:r w:rsidR="0057746B" w:rsidRPr="003E6051">
        <w:rPr>
          <w:rFonts w:eastAsiaTheme="majorEastAsia"/>
        </w:rPr>
        <w:t>.</w:t>
      </w:r>
      <w:r w:rsidR="008C299E" w:rsidRPr="003E6051">
        <w:rPr>
          <w:rFonts w:eastAsiaTheme="majorEastAsia"/>
        </w:rPr>
        <w:t>5</w:t>
      </w:r>
      <w:r w:rsidR="0057746B" w:rsidRPr="003E6051">
        <w:rPr>
          <w:rFonts w:eastAsiaTheme="majorEastAsia"/>
        </w:rPr>
        <w:t xml:space="preserve">. </w:t>
      </w:r>
      <w:bookmarkStart w:id="30" w:name="_Hlk190000274"/>
      <w:bookmarkEnd w:id="28"/>
      <w:r w:rsidR="00F56550">
        <w:rPr>
          <w:u w:val="single"/>
        </w:rPr>
        <w:t>Is There a</w:t>
      </w:r>
      <w:r w:rsidR="00F56550" w:rsidRPr="006F12E5">
        <w:rPr>
          <w:u w:val="single"/>
        </w:rPr>
        <w:t xml:space="preserve"> </w:t>
      </w:r>
      <w:r w:rsidR="00F56550">
        <w:rPr>
          <w:u w:val="single"/>
        </w:rPr>
        <w:t>‘Universal</w:t>
      </w:r>
      <w:r w:rsidR="00F56550" w:rsidRPr="006F12E5">
        <w:rPr>
          <w:u w:val="single"/>
        </w:rPr>
        <w:t xml:space="preserve"> </w:t>
      </w:r>
      <w:r w:rsidR="00F56550">
        <w:rPr>
          <w:u w:val="single"/>
        </w:rPr>
        <w:t xml:space="preserve">Fit’ Risk </w:t>
      </w:r>
      <w:r w:rsidR="00F56550" w:rsidRPr="006F12E5">
        <w:rPr>
          <w:u w:val="single"/>
        </w:rPr>
        <w:t>Management Tool</w:t>
      </w:r>
      <w:bookmarkEnd w:id="30"/>
      <w:r w:rsidR="00F56550">
        <w:t>?</w:t>
      </w:r>
      <w:bookmarkEnd w:id="29"/>
    </w:p>
    <w:p w14:paraId="458B5F47" w14:textId="77777777" w:rsidR="0057746B" w:rsidRPr="003E6051" w:rsidRDefault="0057746B" w:rsidP="007C1BEE">
      <w:pPr>
        <w:spacing w:after="0" w:line="360" w:lineRule="auto"/>
        <w:ind w:left="-576" w:right="-576"/>
        <w:jc w:val="both"/>
      </w:pPr>
    </w:p>
    <w:p w14:paraId="0ED2F4A6" w14:textId="286A51AC" w:rsidR="0057746B" w:rsidRPr="003E6051" w:rsidRDefault="00501E2B" w:rsidP="007C1BEE">
      <w:pPr>
        <w:spacing w:after="0" w:line="360" w:lineRule="auto"/>
        <w:ind w:left="-576" w:right="-576"/>
        <w:jc w:val="both"/>
      </w:pPr>
      <w:r>
        <w:t>Industrial</w:t>
      </w:r>
      <w:r w:rsidR="0057746B" w:rsidRPr="003E6051">
        <w:t xml:space="preserve"> risk management is a multifaceted domain characterised by theoretical advancements and practical challenges. A significant theme is the evolution of risk perception, transitioning from a variance in cost or duration estimations to its recognition as an inherent project attribute </w:t>
      </w:r>
      <w:sdt>
        <w:sdtPr>
          <w:id w:val="-1286035879"/>
          <w:citation/>
        </w:sdtPr>
        <w:sdtContent>
          <w:r w:rsidR="0057746B" w:rsidRPr="003E6051">
            <w:fldChar w:fldCharType="begin"/>
          </w:r>
          <w:r w:rsidR="0057746B" w:rsidRPr="003E6051">
            <w:rPr>
              <w:lang w:val="en-US"/>
            </w:rPr>
            <w:instrText xml:space="preserve"> CITATION Abd14 \l 1033 </w:instrText>
          </w:r>
          <w:r w:rsidR="0057746B" w:rsidRPr="003E6051">
            <w:fldChar w:fldCharType="separate"/>
          </w:r>
          <w:r w:rsidR="0057746B" w:rsidRPr="003E6051">
            <w:rPr>
              <w:noProof/>
              <w:lang w:val="en-US"/>
            </w:rPr>
            <w:t>(Taroun, 2014)</w:t>
          </w:r>
          <w:r w:rsidR="0057746B" w:rsidRPr="003E6051">
            <w:fldChar w:fldCharType="end"/>
          </w:r>
        </w:sdtContent>
      </w:sdt>
      <w:r w:rsidR="0057746B" w:rsidRPr="003E6051">
        <w:t>. This shift has spurred the development of various risk modelling techniques, with the Probability-Impact (P-I) model being the most prevalent</w:t>
      </w:r>
      <w:r w:rsidR="0009370D">
        <w:t xml:space="preserve">. </w:t>
      </w:r>
      <w:r w:rsidR="00820A65">
        <w:t>However,</w:t>
      </w:r>
      <w:r w:rsidR="0057746B" w:rsidRPr="003E6051">
        <w:t xml:space="preserve"> researchers have </w:t>
      </w:r>
      <w:r w:rsidR="009E13BD">
        <w:t xml:space="preserve">highlighted limitations </w:t>
      </w:r>
      <w:r w:rsidR="00C66C7C">
        <w:t xml:space="preserve">with its ability to manage </w:t>
      </w:r>
      <w:r w:rsidR="0057746B" w:rsidRPr="003E6051">
        <w:t>project complexity and interdependenc</w:t>
      </w:r>
      <w:r w:rsidR="00C66C7C">
        <w:t>y</w:t>
      </w:r>
      <w:r w:rsidR="0057746B" w:rsidRPr="003E6051">
        <w:t xml:space="preserve"> of risks </w:t>
      </w:r>
      <w:sdt>
        <w:sdtPr>
          <w:id w:val="-1946228777"/>
          <w:citation/>
        </w:sdtPr>
        <w:sdtContent>
          <w:r w:rsidR="0057746B" w:rsidRPr="003E6051">
            <w:fldChar w:fldCharType="begin"/>
          </w:r>
          <w:r w:rsidR="0057746B" w:rsidRPr="003E6051">
            <w:rPr>
              <w:lang w:val="en-US"/>
            </w:rPr>
            <w:instrText xml:space="preserve"> CITATION Abd14 \l 1033 </w:instrText>
          </w:r>
          <w:r w:rsidR="0057746B" w:rsidRPr="003E6051">
            <w:fldChar w:fldCharType="separate"/>
          </w:r>
          <w:r w:rsidR="0057746B" w:rsidRPr="003E6051">
            <w:rPr>
              <w:noProof/>
              <w:lang w:val="en-US"/>
            </w:rPr>
            <w:t>(Taroun, 2014)</w:t>
          </w:r>
          <w:r w:rsidR="0057746B" w:rsidRPr="003E6051">
            <w:fldChar w:fldCharType="end"/>
          </w:r>
        </w:sdtContent>
      </w:sdt>
      <w:r w:rsidR="0057746B" w:rsidRPr="003E6051">
        <w:t>.</w:t>
      </w:r>
      <w:r w:rsidR="00820A65">
        <w:t xml:space="preserve"> T</w:t>
      </w:r>
      <w:r w:rsidR="0057746B" w:rsidRPr="003E6051">
        <w:t xml:space="preserve">he practical application of these sophisticated models lags behind theoretical progress, with professionals often relying on experience and simpler tools </w:t>
      </w:r>
      <w:sdt>
        <w:sdtPr>
          <w:id w:val="1428700374"/>
          <w:citation/>
        </w:sdtPr>
        <w:sdtContent>
          <w:r w:rsidR="0057746B" w:rsidRPr="003E6051">
            <w:fldChar w:fldCharType="begin"/>
          </w:r>
          <w:r w:rsidR="0057746B" w:rsidRPr="003E6051">
            <w:rPr>
              <w:lang w:val="en-US"/>
            </w:rPr>
            <w:instrText xml:space="preserve"> CITATION Abd14 \l 1033 </w:instrText>
          </w:r>
          <w:r w:rsidR="0057746B" w:rsidRPr="003E6051">
            <w:fldChar w:fldCharType="separate"/>
          </w:r>
          <w:r w:rsidR="0057746B" w:rsidRPr="003E6051">
            <w:rPr>
              <w:noProof/>
              <w:lang w:val="en-US"/>
            </w:rPr>
            <w:t>(Taroun, 2014)</w:t>
          </w:r>
          <w:r w:rsidR="0057746B" w:rsidRPr="003E6051">
            <w:fldChar w:fldCharType="end"/>
          </w:r>
        </w:sdtContent>
      </w:sdt>
      <w:r w:rsidR="0057746B" w:rsidRPr="003E6051">
        <w:t>.</w:t>
      </w:r>
    </w:p>
    <w:p w14:paraId="4E002D37" w14:textId="77777777" w:rsidR="0057746B" w:rsidRPr="003E6051" w:rsidRDefault="0057746B" w:rsidP="007C1BEE">
      <w:pPr>
        <w:spacing w:after="0" w:line="360" w:lineRule="auto"/>
        <w:ind w:left="-576" w:right="-576"/>
        <w:jc w:val="both"/>
      </w:pPr>
    </w:p>
    <w:p w14:paraId="77D3778F" w14:textId="6D73BE1C" w:rsidR="0057746B" w:rsidRPr="003E6051" w:rsidRDefault="00820A65" w:rsidP="007C1BEE">
      <w:pPr>
        <w:spacing w:after="0" w:line="360" w:lineRule="auto"/>
        <w:ind w:left="-576" w:right="-576"/>
        <w:jc w:val="both"/>
      </w:pPr>
      <w:r>
        <w:t>A</w:t>
      </w:r>
      <w:r w:rsidR="0057746B" w:rsidRPr="003E6051">
        <w:t xml:space="preserve"> key gaps identified in the literature is the absence of a comprehensive risk assessment approach that captures risk impact across different project objectives </w:t>
      </w:r>
      <w:sdt>
        <w:sdtPr>
          <w:id w:val="-1111585231"/>
          <w:citation/>
        </w:sdtPr>
        <w:sdtContent>
          <w:r w:rsidR="0057746B" w:rsidRPr="003E6051">
            <w:fldChar w:fldCharType="begin"/>
          </w:r>
          <w:r w:rsidR="0057746B" w:rsidRPr="003E6051">
            <w:rPr>
              <w:lang w:val="en-US"/>
            </w:rPr>
            <w:instrText xml:space="preserve"> CITATION Abd14 \l 1033 </w:instrText>
          </w:r>
          <w:r w:rsidR="0057746B" w:rsidRPr="003E6051">
            <w:fldChar w:fldCharType="separate"/>
          </w:r>
          <w:r w:rsidR="0057746B" w:rsidRPr="003E6051">
            <w:rPr>
              <w:noProof/>
              <w:lang w:val="en-US"/>
            </w:rPr>
            <w:t>(Taroun, 2014)</w:t>
          </w:r>
          <w:r w:rsidR="0057746B" w:rsidRPr="003E6051">
            <w:fldChar w:fldCharType="end"/>
          </w:r>
        </w:sdtContent>
      </w:sdt>
      <w:r w:rsidR="0057746B" w:rsidRPr="003E6051">
        <w:t xml:space="preserve"> </w:t>
      </w:r>
      <w:sdt>
        <w:sdtPr>
          <w:id w:val="-956865520"/>
          <w:citation/>
        </w:sdtPr>
        <w:sdtContent>
          <w:r w:rsidR="0057746B" w:rsidRPr="003E6051">
            <w:fldChar w:fldCharType="begin"/>
          </w:r>
          <w:r w:rsidR="0057746B" w:rsidRPr="003E6051">
            <w:rPr>
              <w:lang w:val="en-US"/>
            </w:rPr>
            <w:instrText xml:space="preserve"> CITATION Ali19 \l 1033 </w:instrText>
          </w:r>
          <w:r w:rsidR="0057746B" w:rsidRPr="003E6051">
            <w:fldChar w:fldCharType="separate"/>
          </w:r>
          <w:r w:rsidR="0057746B" w:rsidRPr="003E6051">
            <w:rPr>
              <w:noProof/>
              <w:lang w:val="en-US"/>
            </w:rPr>
            <w:t>(Ali Akbari Ahmadabadi, 2019)</w:t>
          </w:r>
          <w:r w:rsidR="0057746B" w:rsidRPr="003E6051">
            <w:fldChar w:fldCharType="end"/>
          </w:r>
        </w:sdtContent>
      </w:sdt>
      <w:r w:rsidR="0057746B" w:rsidRPr="003E6051">
        <w:t xml:space="preserve">. While some studies advocate the use of "risk cost" as a common scale to assess financial impacts, there is a need for models that integrate financial, safety, and environmental aspects. </w:t>
      </w:r>
      <w:r w:rsidR="004D4EAC">
        <w:t>Furthermore</w:t>
      </w:r>
      <w:r w:rsidR="0057746B" w:rsidRPr="003E6051">
        <w:t xml:space="preserve">, the subjectivity inherent in risk assessment has led to the application of Fuzzy Set Theory (FST) and Analytical Hierarchy Process (AHP) to handle uncertainty and complexity. These methods, however, are not without limitations, and their combined use does not automatically overcome individual shortcomings </w:t>
      </w:r>
      <w:sdt>
        <w:sdtPr>
          <w:id w:val="63390216"/>
          <w:citation/>
        </w:sdtPr>
        <w:sdtContent>
          <w:r w:rsidR="0057746B" w:rsidRPr="003E6051">
            <w:fldChar w:fldCharType="begin"/>
          </w:r>
          <w:r w:rsidR="0057746B" w:rsidRPr="003E6051">
            <w:rPr>
              <w:lang w:val="en-US"/>
            </w:rPr>
            <w:instrText xml:space="preserve"> CITATION Abd14 \l 1033 </w:instrText>
          </w:r>
          <w:r w:rsidR="0057746B" w:rsidRPr="003E6051">
            <w:fldChar w:fldCharType="separate"/>
          </w:r>
          <w:r w:rsidR="0057746B" w:rsidRPr="003E6051">
            <w:rPr>
              <w:noProof/>
              <w:lang w:val="en-US"/>
            </w:rPr>
            <w:t>(Taroun, 2014)</w:t>
          </w:r>
          <w:r w:rsidR="0057746B" w:rsidRPr="003E6051">
            <w:fldChar w:fldCharType="end"/>
          </w:r>
        </w:sdtContent>
      </w:sdt>
      <w:r w:rsidR="0057746B" w:rsidRPr="003E6051">
        <w:t>.</w:t>
      </w:r>
    </w:p>
    <w:p w14:paraId="069EAE53" w14:textId="77777777" w:rsidR="0057746B" w:rsidRPr="003E6051" w:rsidRDefault="0057746B" w:rsidP="007C1BEE">
      <w:pPr>
        <w:spacing w:after="0" w:line="360" w:lineRule="auto"/>
        <w:ind w:left="-576" w:right="-576"/>
        <w:jc w:val="both"/>
      </w:pPr>
    </w:p>
    <w:p w14:paraId="109265EB" w14:textId="42C7DF17" w:rsidR="0057746B" w:rsidRPr="003E6051" w:rsidRDefault="0057746B" w:rsidP="007C1BEE">
      <w:pPr>
        <w:spacing w:after="0" w:line="360" w:lineRule="auto"/>
        <w:ind w:left="-576" w:right="-576"/>
        <w:jc w:val="both"/>
      </w:pPr>
      <w:r w:rsidRPr="003E6051">
        <w:t xml:space="preserve">Decision Support Systems (DSS) are increasingly recognised as essential tools for project planning and control, particularly in managing portfolios of projects in rapidly changing environments </w:t>
      </w:r>
      <w:sdt>
        <w:sdtPr>
          <w:id w:val="-1753271632"/>
          <w:citation/>
        </w:sdtPr>
        <w:sdtContent>
          <w:r w:rsidRPr="003E6051">
            <w:fldChar w:fldCharType="begin"/>
          </w:r>
          <w:r w:rsidRPr="003E6051">
            <w:rPr>
              <w:lang w:val="en-US"/>
            </w:rPr>
            <w:instrText xml:space="preserve"> CITATION Önc14 \l 1033 </w:instrText>
          </w:r>
          <w:r w:rsidRPr="003E6051">
            <w:fldChar w:fldCharType="separate"/>
          </w:r>
          <w:r w:rsidRPr="003E6051">
            <w:rPr>
              <w:noProof/>
              <w:lang w:val="en-US"/>
            </w:rPr>
            <w:t>(Hazır, 2014)</w:t>
          </w:r>
          <w:r w:rsidRPr="003E6051">
            <w:fldChar w:fldCharType="end"/>
          </w:r>
        </w:sdtContent>
      </w:sdt>
      <w:r w:rsidRPr="003E6051">
        <w:t xml:space="preserve"> </w:t>
      </w:r>
      <w:sdt>
        <w:sdtPr>
          <w:id w:val="1714996447"/>
          <w:citation/>
        </w:sdtPr>
        <w:sdtContent>
          <w:r w:rsidRPr="003E6051">
            <w:fldChar w:fldCharType="begin"/>
          </w:r>
          <w:r w:rsidRPr="003E6051">
            <w:rPr>
              <w:lang w:val="en-US"/>
            </w:rPr>
            <w:instrText xml:space="preserve"> CITATION Abd14 \l 1033 </w:instrText>
          </w:r>
          <w:r w:rsidRPr="003E6051">
            <w:fldChar w:fldCharType="separate"/>
          </w:r>
          <w:r w:rsidRPr="003E6051">
            <w:rPr>
              <w:noProof/>
              <w:lang w:val="en-US"/>
            </w:rPr>
            <w:t>(Taroun, 2014)</w:t>
          </w:r>
          <w:r w:rsidRPr="003E6051">
            <w:fldChar w:fldCharType="end"/>
          </w:r>
        </w:sdtContent>
      </w:sdt>
      <w:r w:rsidRPr="003E6051">
        <w:t xml:space="preserve">. </w:t>
      </w:r>
      <w:r w:rsidR="00D25866">
        <w:t xml:space="preserve">They </w:t>
      </w:r>
      <w:r w:rsidRPr="003E6051">
        <w:t xml:space="preserve">combine data analysis with analytical models to support decision-making, offering potential for early warnings and effective corrective actions </w:t>
      </w:r>
      <w:sdt>
        <w:sdtPr>
          <w:id w:val="12125684"/>
          <w:citation/>
        </w:sdtPr>
        <w:sdtContent>
          <w:r w:rsidRPr="003E6051">
            <w:fldChar w:fldCharType="begin"/>
          </w:r>
          <w:r w:rsidRPr="003E6051">
            <w:rPr>
              <w:lang w:val="en-US"/>
            </w:rPr>
            <w:instrText xml:space="preserve"> CITATION Önc14 \l 1033 </w:instrText>
          </w:r>
          <w:r w:rsidRPr="003E6051">
            <w:fldChar w:fldCharType="separate"/>
          </w:r>
          <w:r w:rsidRPr="003E6051">
            <w:rPr>
              <w:noProof/>
              <w:lang w:val="en-US"/>
            </w:rPr>
            <w:t>(Hazır, 2014)</w:t>
          </w:r>
          <w:r w:rsidRPr="003E6051">
            <w:fldChar w:fldCharType="end"/>
          </w:r>
        </w:sdtContent>
      </w:sdt>
      <w:r w:rsidRPr="003E6051">
        <w:t>. However, successful implementation</w:t>
      </w:r>
      <w:r w:rsidR="00800348">
        <w:t xml:space="preserve"> </w:t>
      </w:r>
      <w:r w:rsidRPr="003E6051">
        <w:t>requires careful consideration of the models used and their integration with project management software</w:t>
      </w:r>
      <w:r w:rsidR="00800348">
        <w:t xml:space="preserve"> </w:t>
      </w:r>
      <w:sdt>
        <w:sdtPr>
          <w:id w:val="-321501605"/>
          <w:citation/>
        </w:sdtPr>
        <w:sdtContent>
          <w:r w:rsidRPr="003E6051">
            <w:fldChar w:fldCharType="begin"/>
          </w:r>
          <w:r w:rsidRPr="003E6051">
            <w:rPr>
              <w:lang w:val="en-US"/>
            </w:rPr>
            <w:instrText xml:space="preserve"> CITATION Önc14 \l 1033 </w:instrText>
          </w:r>
          <w:r w:rsidRPr="003E6051">
            <w:fldChar w:fldCharType="separate"/>
          </w:r>
          <w:r w:rsidRPr="003E6051">
            <w:rPr>
              <w:noProof/>
              <w:lang w:val="en-US"/>
            </w:rPr>
            <w:t>(Hazır, 2014)</w:t>
          </w:r>
          <w:r w:rsidRPr="003E6051">
            <w:fldChar w:fldCharType="end"/>
          </w:r>
        </w:sdtContent>
      </w:sdt>
      <w:r w:rsidRPr="003E6051">
        <w:t>.</w:t>
      </w:r>
      <w:r w:rsidR="00C96771">
        <w:t xml:space="preserve"> </w:t>
      </w:r>
    </w:p>
    <w:p w14:paraId="5B5CB1F3" w14:textId="77777777" w:rsidR="0057746B" w:rsidRDefault="0057746B" w:rsidP="007C1BEE">
      <w:pPr>
        <w:spacing w:after="0" w:line="360" w:lineRule="auto"/>
        <w:ind w:left="-576" w:right="-576"/>
        <w:jc w:val="both"/>
      </w:pPr>
    </w:p>
    <w:p w14:paraId="5C9ECE49" w14:textId="7DAA2993" w:rsidR="00E83ED8" w:rsidRPr="003E6051" w:rsidRDefault="00C96771" w:rsidP="00E83ED8">
      <w:pPr>
        <w:spacing w:after="0" w:line="360" w:lineRule="auto"/>
        <w:ind w:left="-578" w:right="-576"/>
        <w:jc w:val="both"/>
      </w:pPr>
      <w:r>
        <w:t xml:space="preserve">Despite </w:t>
      </w:r>
      <w:r w:rsidR="00E83ED8" w:rsidRPr="003E6051">
        <w:t>evidence suggest</w:t>
      </w:r>
      <w:r>
        <w:t>ing</w:t>
      </w:r>
      <w:r w:rsidR="00E83ED8" w:rsidRPr="003E6051">
        <w:t xml:space="preserve"> that extensive tool adoption correlates positively with improved project performance</w:t>
      </w:r>
      <w:r>
        <w:t xml:space="preserve">, </w:t>
      </w:r>
      <w:r w:rsidR="00F21A3F">
        <w:t xml:space="preserve">simple traditional </w:t>
      </w:r>
      <w:r w:rsidR="00E83ED8" w:rsidRPr="003E6051">
        <w:t>software solutions</w:t>
      </w:r>
      <w:r w:rsidR="00F21A3F">
        <w:t xml:space="preserve">, </w:t>
      </w:r>
      <w:r w:rsidR="00F21A3F" w:rsidRPr="003E6051">
        <w:t>such as Excel and Microsoft Project</w:t>
      </w:r>
      <w:r w:rsidR="00F21A3F">
        <w:t>, are still frequently used</w:t>
      </w:r>
      <w:r w:rsidR="00DA14A4">
        <w:t>, likely due to ease-of-use and familiarity. D</w:t>
      </w:r>
      <w:r w:rsidR="00E83ED8" w:rsidRPr="003E6051">
        <w:t xml:space="preserve">espite their widespread use, </w:t>
      </w:r>
      <w:r w:rsidR="00DA14A4">
        <w:t>these</w:t>
      </w:r>
      <w:r w:rsidR="00E61563">
        <w:t xml:space="preserve"> lack the sophistication </w:t>
      </w:r>
      <w:r w:rsidR="00E83ED8" w:rsidRPr="003E6051">
        <w:t>to address the nuanced requirements of comprehensive risk management. This underscores the need for more integrated, user-friendly tools that enhance decision-making while minimising complexity for project managers.</w:t>
      </w:r>
    </w:p>
    <w:p w14:paraId="0AA08393" w14:textId="77777777" w:rsidR="00E83ED8" w:rsidRDefault="00E83ED8" w:rsidP="007C1BEE">
      <w:pPr>
        <w:spacing w:after="0" w:line="360" w:lineRule="auto"/>
        <w:ind w:left="-576" w:right="-576"/>
        <w:jc w:val="both"/>
      </w:pPr>
    </w:p>
    <w:p w14:paraId="0E239F5B" w14:textId="33999AB7" w:rsidR="0057746B" w:rsidRPr="003E6051" w:rsidRDefault="00833830" w:rsidP="007C1BEE">
      <w:pPr>
        <w:spacing w:after="0" w:line="360" w:lineRule="auto"/>
        <w:ind w:left="-576" w:right="-576"/>
        <w:jc w:val="both"/>
      </w:pPr>
      <w:r>
        <w:t>The literature also emphasises</w:t>
      </w:r>
      <w:r w:rsidR="0093321A">
        <w:t xml:space="preserve"> the importance of l</w:t>
      </w:r>
      <w:r w:rsidR="0057746B" w:rsidRPr="003E6051">
        <w:t xml:space="preserve">earning from past projects through the creation of risk event histories and lessons-learned databases </w:t>
      </w:r>
      <w:sdt>
        <w:sdtPr>
          <w:id w:val="137006420"/>
          <w:citation/>
        </w:sdtPr>
        <w:sdtContent>
          <w:r w:rsidR="0057746B" w:rsidRPr="003E6051">
            <w:fldChar w:fldCharType="begin"/>
          </w:r>
          <w:r w:rsidR="0057746B" w:rsidRPr="003E6051">
            <w:rPr>
              <w:lang w:val="en-US"/>
            </w:rPr>
            <w:instrText xml:space="preserve"> CITATION IDi08 \l 1033 </w:instrText>
          </w:r>
          <w:r w:rsidR="0057746B" w:rsidRPr="003E6051">
            <w:fldChar w:fldCharType="separate"/>
          </w:r>
          <w:r w:rsidR="0057746B" w:rsidRPr="003E6051">
            <w:rPr>
              <w:noProof/>
              <w:lang w:val="en-US"/>
            </w:rPr>
            <w:t>(I. Dikmena, 2008)</w:t>
          </w:r>
          <w:r w:rsidR="0057746B" w:rsidRPr="003E6051">
            <w:fldChar w:fldCharType="end"/>
          </w:r>
        </w:sdtContent>
      </w:sdt>
      <w:r w:rsidR="0057746B" w:rsidRPr="003E6051">
        <w:t xml:space="preserve">. These repositories should include both tangible and intangible risk factors, as well as the links between risk sources and outcomes, to assess project vulnerability. </w:t>
      </w:r>
      <w:r w:rsidR="0057746B" w:rsidRPr="003E6051">
        <w:lastRenderedPageBreak/>
        <w:t xml:space="preserve">However, the effectiveness of these databases depends on capturing not just "what was done" but also the reasons "why" and "how," along with generic lessons that can improve performance in future projects </w:t>
      </w:r>
      <w:sdt>
        <w:sdtPr>
          <w:id w:val="1035239445"/>
          <w:citation/>
        </w:sdtPr>
        <w:sdtContent>
          <w:r w:rsidR="0057746B" w:rsidRPr="003E6051">
            <w:fldChar w:fldCharType="begin"/>
          </w:r>
          <w:r w:rsidR="0057746B" w:rsidRPr="003E6051">
            <w:rPr>
              <w:lang w:val="en-US"/>
            </w:rPr>
            <w:instrText xml:space="preserve"> CITATION IDi08 \l 1033 </w:instrText>
          </w:r>
          <w:r w:rsidR="0057746B" w:rsidRPr="003E6051">
            <w:fldChar w:fldCharType="separate"/>
          </w:r>
          <w:r w:rsidR="0057746B" w:rsidRPr="003E6051">
            <w:rPr>
              <w:noProof/>
              <w:lang w:val="en-US"/>
            </w:rPr>
            <w:t>(I. Dikmena, 2008)</w:t>
          </w:r>
          <w:r w:rsidR="0057746B" w:rsidRPr="003E6051">
            <w:fldChar w:fldCharType="end"/>
          </w:r>
        </w:sdtContent>
      </w:sdt>
      <w:r w:rsidR="0057746B" w:rsidRPr="003E6051">
        <w:t>.</w:t>
      </w:r>
    </w:p>
    <w:p w14:paraId="5C9C07B6" w14:textId="77777777" w:rsidR="0057746B" w:rsidRPr="003E6051" w:rsidRDefault="0057746B" w:rsidP="00A449B7">
      <w:pPr>
        <w:spacing w:after="0" w:line="360" w:lineRule="auto"/>
        <w:ind w:right="-576"/>
        <w:jc w:val="both"/>
      </w:pPr>
    </w:p>
    <w:p w14:paraId="68E0B24C" w14:textId="71BFA99C" w:rsidR="0057746B" w:rsidRPr="003E6051" w:rsidRDefault="0057746B" w:rsidP="007C1BEE">
      <w:pPr>
        <w:spacing w:after="0" w:line="360" w:lineRule="auto"/>
        <w:ind w:left="-576" w:right="-576"/>
        <w:jc w:val="both"/>
      </w:pPr>
      <w:r w:rsidRPr="003E6051">
        <w:t xml:space="preserve">Emerging trends include the use of multi-objective optimisation (MOO) techniques to address complex project management challenges </w:t>
      </w:r>
      <w:sdt>
        <w:sdtPr>
          <w:id w:val="687563419"/>
          <w:citation/>
        </w:sdtPr>
        <w:sdtContent>
          <w:r w:rsidRPr="003E6051">
            <w:fldChar w:fldCharType="begin"/>
          </w:r>
          <w:r w:rsidRPr="003E6051">
            <w:rPr>
              <w:lang w:val="en-US"/>
            </w:rPr>
            <w:instrText xml:space="preserve"> CITATION Kai22 \l 1033 </w:instrText>
          </w:r>
          <w:r w:rsidRPr="003E6051">
            <w:fldChar w:fldCharType="separate"/>
          </w:r>
          <w:r w:rsidRPr="003E6051">
            <w:rPr>
              <w:noProof/>
              <w:lang w:val="en-US"/>
            </w:rPr>
            <w:t>(Kai Guo, 2022)</w:t>
          </w:r>
          <w:r w:rsidRPr="003E6051">
            <w:fldChar w:fldCharType="end"/>
          </w:r>
        </w:sdtContent>
      </w:sdt>
      <w:r w:rsidRPr="003E6051">
        <w:t xml:space="preserve">. MOO allows for the simultaneous consideration of multiple objectives, such as cost, time, quality, and safety, which is particularly relevant in areas like structural health monitoring and emergency management </w:t>
      </w:r>
      <w:sdt>
        <w:sdtPr>
          <w:id w:val="-2103242129"/>
          <w:citation/>
        </w:sdtPr>
        <w:sdtContent>
          <w:r w:rsidRPr="003E6051">
            <w:fldChar w:fldCharType="begin"/>
          </w:r>
          <w:r w:rsidRPr="003E6051">
            <w:rPr>
              <w:lang w:val="en-US"/>
            </w:rPr>
            <w:instrText xml:space="preserve"> CITATION Chu16 \l 1033 </w:instrText>
          </w:r>
          <w:r w:rsidRPr="003E6051">
            <w:fldChar w:fldCharType="separate"/>
          </w:r>
          <w:r w:rsidRPr="003E6051">
            <w:rPr>
              <w:noProof/>
              <w:lang w:val="en-US"/>
            </w:rPr>
            <w:t>(Chun Mei Wang, 2016)</w:t>
          </w:r>
          <w:r w:rsidRPr="003E6051">
            <w:fldChar w:fldCharType="end"/>
          </w:r>
        </w:sdtContent>
      </w:sdt>
      <w:r w:rsidRPr="003E6051">
        <w:t xml:space="preserve"> </w:t>
      </w:r>
      <w:sdt>
        <w:sdtPr>
          <w:id w:val="1638531913"/>
          <w:citation/>
        </w:sdtPr>
        <w:sdtContent>
          <w:r w:rsidRPr="003E6051">
            <w:fldChar w:fldCharType="begin"/>
          </w:r>
          <w:r w:rsidRPr="003E6051">
            <w:rPr>
              <w:lang w:val="en-US"/>
            </w:rPr>
            <w:instrText xml:space="preserve"> CITATION Kai22 \l 1033 </w:instrText>
          </w:r>
          <w:r w:rsidRPr="003E6051">
            <w:fldChar w:fldCharType="separate"/>
          </w:r>
          <w:r w:rsidRPr="003E6051">
            <w:rPr>
              <w:noProof/>
              <w:lang w:val="en-US"/>
            </w:rPr>
            <w:t>(Kai Guo, 2022)</w:t>
          </w:r>
          <w:r w:rsidRPr="003E6051">
            <w:fldChar w:fldCharType="end"/>
          </w:r>
        </w:sdtContent>
      </w:sdt>
      <w:r w:rsidRPr="003E6051">
        <w:t xml:space="preserve">. Another trend is the focus on risk interaction and the development of risk path models to improve risk response strategies </w:t>
      </w:r>
      <w:sdt>
        <w:sdtPr>
          <w:id w:val="1458069135"/>
          <w:citation/>
        </w:sdtPr>
        <w:sdtContent>
          <w:r w:rsidRPr="003E6051">
            <w:fldChar w:fldCharType="begin"/>
          </w:r>
          <w:r w:rsidRPr="003E6051">
            <w:rPr>
              <w:lang w:val="en-US"/>
            </w:rPr>
            <w:instrText xml:space="preserve"> CITATION Abd14 \l 1033 </w:instrText>
          </w:r>
          <w:r w:rsidRPr="003E6051">
            <w:fldChar w:fldCharType="separate"/>
          </w:r>
          <w:r w:rsidRPr="003E6051">
            <w:rPr>
              <w:noProof/>
              <w:lang w:val="en-US"/>
            </w:rPr>
            <w:t>(Taroun, 2014)</w:t>
          </w:r>
          <w:r w:rsidRPr="003E6051">
            <w:fldChar w:fldCharType="end"/>
          </w:r>
        </w:sdtContent>
      </w:sdt>
      <w:r w:rsidRPr="003E6051">
        <w:t xml:space="preserve"> </w:t>
      </w:r>
      <w:sdt>
        <w:sdtPr>
          <w:id w:val="714699510"/>
          <w:citation/>
        </w:sdtPr>
        <w:sdtContent>
          <w:r w:rsidRPr="003E6051">
            <w:fldChar w:fldCharType="begin"/>
          </w:r>
          <w:r w:rsidRPr="003E6051">
            <w:rPr>
              <w:lang w:val="en-US"/>
            </w:rPr>
            <w:instrText xml:space="preserve"> CITATION Ali19 \l 1033 </w:instrText>
          </w:r>
          <w:r w:rsidRPr="003E6051">
            <w:fldChar w:fldCharType="separate"/>
          </w:r>
          <w:r w:rsidRPr="003E6051">
            <w:rPr>
              <w:noProof/>
              <w:lang w:val="en-US"/>
            </w:rPr>
            <w:t>(Ali Akbari Ahmadabadi, 2019)</w:t>
          </w:r>
          <w:r w:rsidRPr="003E6051">
            <w:fldChar w:fldCharType="end"/>
          </w:r>
        </w:sdtContent>
      </w:sdt>
      <w:r w:rsidRPr="003E6051">
        <w:t xml:space="preserve">. These models use techniques like Structural Equation Modelling (SEM) to assess risks, their interactions, and their impact on project success </w:t>
      </w:r>
      <w:sdt>
        <w:sdtPr>
          <w:id w:val="-921259051"/>
          <w:citation/>
        </w:sdtPr>
        <w:sdtContent>
          <w:r w:rsidRPr="003E6051">
            <w:fldChar w:fldCharType="begin"/>
          </w:r>
          <w:r w:rsidRPr="003E6051">
            <w:rPr>
              <w:lang w:val="en-US"/>
            </w:rPr>
            <w:instrText xml:space="preserve"> CITATION Ali19 \l 1033 </w:instrText>
          </w:r>
          <w:r w:rsidRPr="003E6051">
            <w:fldChar w:fldCharType="separate"/>
          </w:r>
          <w:r w:rsidRPr="003E6051">
            <w:rPr>
              <w:noProof/>
              <w:lang w:val="en-US"/>
            </w:rPr>
            <w:t>(Ali Akbari Ahmadabadi, 2019)</w:t>
          </w:r>
          <w:r w:rsidRPr="003E6051">
            <w:fldChar w:fldCharType="end"/>
          </w:r>
        </w:sdtContent>
      </w:sdt>
      <w:r w:rsidRPr="003E6051">
        <w:t>.</w:t>
      </w:r>
    </w:p>
    <w:p w14:paraId="0F24FE01" w14:textId="77777777" w:rsidR="0057746B" w:rsidRPr="003E6051" w:rsidRDefault="0057746B" w:rsidP="007C1BEE">
      <w:pPr>
        <w:spacing w:after="0" w:line="360" w:lineRule="auto"/>
        <w:ind w:left="-576" w:right="-576"/>
        <w:jc w:val="both"/>
      </w:pPr>
    </w:p>
    <w:p w14:paraId="19313186" w14:textId="7030F9EF" w:rsidR="0057746B" w:rsidRPr="003E6051" w:rsidRDefault="0057746B" w:rsidP="007C1BEE">
      <w:pPr>
        <w:spacing w:after="0" w:line="360" w:lineRule="auto"/>
        <w:ind w:left="-576" w:right="-576"/>
        <w:jc w:val="both"/>
      </w:pPr>
      <w:r w:rsidRPr="003E6051">
        <w:t>Despite advancements in risk modelling and assessment, several challenges remain</w:t>
      </w:r>
      <w:r w:rsidR="00D72E40">
        <w:t xml:space="preserve"> in translating these </w:t>
      </w:r>
      <w:r w:rsidR="00D72E40" w:rsidRPr="003E6051">
        <w:t>theoretical developments into practice</w:t>
      </w:r>
      <w:r w:rsidRPr="003E6051">
        <w:t>. These include subjectivity of risk ratings, difficulty of capturing and transferring knowledge,</w:t>
      </w:r>
      <w:r w:rsidR="00623440">
        <w:t xml:space="preserve"> and</w:t>
      </w:r>
      <w:r w:rsidR="006C5C1A">
        <w:t xml:space="preserve"> </w:t>
      </w:r>
      <w:r w:rsidRPr="003E6051">
        <w:t>limited adoption of sophisticated tools</w:t>
      </w:r>
      <w:r w:rsidR="006C5C1A">
        <w:t xml:space="preserve"> </w:t>
      </w:r>
      <w:sdt>
        <w:sdtPr>
          <w:id w:val="-709646240"/>
          <w:citation/>
        </w:sdtPr>
        <w:sdtContent>
          <w:r w:rsidRPr="003E6051">
            <w:fldChar w:fldCharType="begin"/>
          </w:r>
          <w:r w:rsidRPr="003E6051">
            <w:rPr>
              <w:lang w:val="en-US"/>
            </w:rPr>
            <w:instrText xml:space="preserve"> CITATION Abd14 \l 1033 </w:instrText>
          </w:r>
          <w:r w:rsidRPr="003E6051">
            <w:fldChar w:fldCharType="separate"/>
          </w:r>
          <w:r w:rsidRPr="003E6051">
            <w:rPr>
              <w:noProof/>
              <w:lang w:val="en-US"/>
            </w:rPr>
            <w:t>(Taroun, 2014)</w:t>
          </w:r>
          <w:r w:rsidRPr="003E6051">
            <w:fldChar w:fldCharType="end"/>
          </w:r>
        </w:sdtContent>
      </w:sdt>
      <w:r w:rsidRPr="003E6051">
        <w:t xml:space="preserve"> </w:t>
      </w:r>
      <w:sdt>
        <w:sdtPr>
          <w:id w:val="-113214327"/>
          <w:citation/>
        </w:sdtPr>
        <w:sdtContent>
          <w:r w:rsidRPr="003E6051">
            <w:fldChar w:fldCharType="begin"/>
          </w:r>
          <w:r w:rsidRPr="003E6051">
            <w:rPr>
              <w:lang w:val="en-US"/>
            </w:rPr>
            <w:instrText xml:space="preserve"> CITATION IDi08 \l 1033 </w:instrText>
          </w:r>
          <w:r w:rsidRPr="003E6051">
            <w:fldChar w:fldCharType="separate"/>
          </w:r>
          <w:r w:rsidRPr="003E6051">
            <w:rPr>
              <w:noProof/>
              <w:lang w:val="en-US"/>
            </w:rPr>
            <w:t>(I. Dikmena, 2008)</w:t>
          </w:r>
          <w:r w:rsidRPr="003E6051">
            <w:fldChar w:fldCharType="end"/>
          </w:r>
        </w:sdtContent>
      </w:sdt>
      <w:r w:rsidRPr="003E6051">
        <w:t xml:space="preserve">. </w:t>
      </w:r>
      <w:r w:rsidR="001661CA">
        <w:t xml:space="preserve">Professionals often prefer intuitive, experience-based decision-making over analytical models, citing concerns about data availability, methodological complexity, and the time-intensive nature of quantitative risk assessments. DSS, which have the potential to streamline risk analysis and integrate it with project management functions, are underutilised. This reluctance is further exacerbated by scepticism toward statistical models and the absence of a unified framework that effectively integrates diverse project objectives and stakeholder concerns. </w:t>
      </w:r>
      <w:r w:rsidRPr="003E6051">
        <w:t xml:space="preserve">Future </w:t>
      </w:r>
      <w:r w:rsidR="009B713D">
        <w:t>work</w:t>
      </w:r>
      <w:r w:rsidRPr="003E6051">
        <w:t xml:space="preserve"> should focus on developing more comprehensive and user-friendly tools that integrate various risk factors, consider stakeholder perceptions, promote organisational learning</w:t>
      </w:r>
      <w:r w:rsidR="00997213">
        <w:t xml:space="preserve"> and integrate quantitative rigor with practical usability</w:t>
      </w:r>
      <w:r w:rsidRPr="003E6051">
        <w:t xml:space="preserve"> </w:t>
      </w:r>
      <w:sdt>
        <w:sdtPr>
          <w:id w:val="1674375224"/>
          <w:citation/>
        </w:sdtPr>
        <w:sdtContent>
          <w:r w:rsidRPr="003E6051">
            <w:fldChar w:fldCharType="begin"/>
          </w:r>
          <w:r w:rsidRPr="003E6051">
            <w:rPr>
              <w:lang w:val="en-US"/>
            </w:rPr>
            <w:instrText xml:space="preserve"> CITATION Abd14 \l 1033 </w:instrText>
          </w:r>
          <w:r w:rsidRPr="003E6051">
            <w:fldChar w:fldCharType="separate"/>
          </w:r>
          <w:r w:rsidRPr="003E6051">
            <w:rPr>
              <w:noProof/>
              <w:lang w:val="en-US"/>
            </w:rPr>
            <w:t>(Taroun, 2014)</w:t>
          </w:r>
          <w:r w:rsidRPr="003E6051">
            <w:fldChar w:fldCharType="end"/>
          </w:r>
        </w:sdtContent>
      </w:sdt>
      <w:r w:rsidRPr="003E6051">
        <w:t xml:space="preserve"> </w:t>
      </w:r>
      <w:sdt>
        <w:sdtPr>
          <w:id w:val="1837648480"/>
          <w:citation/>
        </w:sdtPr>
        <w:sdtContent>
          <w:r w:rsidRPr="003E6051">
            <w:fldChar w:fldCharType="begin"/>
          </w:r>
          <w:r w:rsidRPr="003E6051">
            <w:rPr>
              <w:lang w:val="en-US"/>
            </w:rPr>
            <w:instrText xml:space="preserve"> CITATION Don16 \l 1033 </w:instrText>
          </w:r>
          <w:r w:rsidRPr="003E6051">
            <w:fldChar w:fldCharType="separate"/>
          </w:r>
          <w:r w:rsidRPr="003E6051">
            <w:rPr>
              <w:noProof/>
              <w:lang w:val="en-US"/>
            </w:rPr>
            <w:t>(Dong Zhao, 2016)</w:t>
          </w:r>
          <w:r w:rsidRPr="003E6051">
            <w:fldChar w:fldCharType="end"/>
          </w:r>
        </w:sdtContent>
      </w:sdt>
      <w:r w:rsidRPr="003E6051">
        <w:t>.</w:t>
      </w:r>
    </w:p>
    <w:p w14:paraId="0F45AE42" w14:textId="77777777" w:rsidR="0057746B" w:rsidRPr="003E6051" w:rsidRDefault="0057746B" w:rsidP="007C1BEE">
      <w:pPr>
        <w:spacing w:after="0" w:line="360" w:lineRule="auto"/>
        <w:ind w:left="-576" w:right="-576"/>
        <w:jc w:val="both"/>
      </w:pPr>
    </w:p>
    <w:p w14:paraId="7DEAB09E" w14:textId="77777777" w:rsidR="00A7604E" w:rsidRDefault="00A7604E" w:rsidP="00A7604E">
      <w:pPr>
        <w:spacing w:after="0" w:line="360" w:lineRule="auto"/>
        <w:ind w:left="-576" w:right="-576"/>
        <w:jc w:val="both"/>
      </w:pPr>
      <w:r>
        <w:t>As mentioned, the literature also underscores the critical role of human factors in shaping risk assessments. Traditional models often overlook the social and psychological dimensions of decision-making, yet these play a crucial role in determining risk response strategies. Addressing these gaps requires not only improved risk assessment methodologies but also enhanced training and knowledge-sharing mechanisms to foster organisational learning and more effective risk management practices</w:t>
      </w:r>
      <w:r w:rsidRPr="00015B55">
        <w:t xml:space="preserve"> </w:t>
      </w:r>
      <w:sdt>
        <w:sdtPr>
          <w:id w:val="-225533534"/>
          <w:citation/>
        </w:sdtPr>
        <w:sdtContent>
          <w:r>
            <w:fldChar w:fldCharType="begin"/>
          </w:r>
          <w:r>
            <w:rPr>
              <w:lang w:val="en-US"/>
            </w:rPr>
            <w:instrText xml:space="preserve"> CITATION Chu16 \l 1033 </w:instrText>
          </w:r>
          <w:r>
            <w:fldChar w:fldCharType="separate"/>
          </w:r>
          <w:r w:rsidRPr="00B40E54">
            <w:rPr>
              <w:noProof/>
              <w:lang w:val="en-US"/>
            </w:rPr>
            <w:t>(Chun Mei Wang, 2016)</w:t>
          </w:r>
          <w:r>
            <w:fldChar w:fldCharType="end"/>
          </w:r>
        </w:sdtContent>
      </w:sdt>
      <w:r>
        <w:t>.</w:t>
      </w:r>
    </w:p>
    <w:p w14:paraId="2F86A35F" w14:textId="77777777" w:rsidR="00A7604E" w:rsidRDefault="00A7604E" w:rsidP="00A7604E">
      <w:pPr>
        <w:spacing w:after="0" w:line="360" w:lineRule="auto"/>
        <w:ind w:left="-576" w:right="-576"/>
        <w:jc w:val="both"/>
      </w:pPr>
    </w:p>
    <w:p w14:paraId="5B3644A8" w14:textId="3D981E47" w:rsidR="00A7604E" w:rsidRDefault="00CD2BB8" w:rsidP="00A7604E">
      <w:pPr>
        <w:spacing w:after="0" w:line="360" w:lineRule="auto"/>
        <w:ind w:left="-576" w:right="-576"/>
        <w:jc w:val="both"/>
      </w:pPr>
      <w:r>
        <w:t>Future</w:t>
      </w:r>
      <w:r w:rsidR="00A7604E">
        <w:t xml:space="preserve"> tools should bridge the gap between academic advancements and industry needs by enhancing accessibility, improving stakeholder engagement, and fostering a more comprehensive understanding of risk interactions within industrial projects. The integration of AI-driven risk management tools, as suggested by </w:t>
      </w:r>
      <w:sdt>
        <w:sdtPr>
          <w:id w:val="1406957831"/>
          <w:citation/>
        </w:sdtPr>
        <w:sdtContent>
          <w:r w:rsidR="00A7604E">
            <w:fldChar w:fldCharType="begin"/>
          </w:r>
          <w:r w:rsidR="00A7604E">
            <w:rPr>
              <w:lang w:val="en-US"/>
            </w:rPr>
            <w:instrText xml:space="preserve"> CITATION Rob18 \l 1033 </w:instrText>
          </w:r>
          <w:r w:rsidR="00A7604E">
            <w:fldChar w:fldCharType="separate"/>
          </w:r>
          <w:r w:rsidR="00A7604E" w:rsidRPr="00841C29">
            <w:rPr>
              <w:noProof/>
              <w:lang w:val="en-US"/>
            </w:rPr>
            <w:t>(Robert Pellerin, 2018)</w:t>
          </w:r>
          <w:r w:rsidR="00A7604E">
            <w:fldChar w:fldCharType="end"/>
          </w:r>
        </w:sdtContent>
      </w:sdt>
      <w:r w:rsidR="00A7604E">
        <w:t xml:space="preserve">, offers a promising solution by enhancing predictive accuracy and decision-making efficiency. However, achieving </w:t>
      </w:r>
      <w:r w:rsidR="00A7604E">
        <w:lastRenderedPageBreak/>
        <w:t>widespread adoption will require overcoming key barriers, including organisational resistance, need for specialised training, and challenge of balancing standardisation with flexibility required for diverse project environments.</w:t>
      </w:r>
    </w:p>
    <w:p w14:paraId="7F20475D" w14:textId="77777777" w:rsidR="00421349" w:rsidRPr="003E6051" w:rsidRDefault="00421349" w:rsidP="007C1BEE">
      <w:pPr>
        <w:spacing w:after="0" w:line="360" w:lineRule="auto"/>
        <w:ind w:left="-576" w:right="-576"/>
        <w:jc w:val="both"/>
      </w:pPr>
    </w:p>
    <w:p w14:paraId="1032B95B" w14:textId="0B240B0C" w:rsidR="00421349" w:rsidRPr="003E6051" w:rsidRDefault="00653F71" w:rsidP="007C1BEE">
      <w:pPr>
        <w:spacing w:after="0" w:line="360" w:lineRule="auto"/>
        <w:ind w:left="-576" w:right="-576"/>
        <w:jc w:val="both"/>
        <w:rPr>
          <w:color w:val="FF0000"/>
        </w:rPr>
      </w:pPr>
      <w:r>
        <w:rPr>
          <w:color w:val="FF0000"/>
        </w:rPr>
        <w:t>761</w:t>
      </w:r>
      <w:r w:rsidR="0029609E" w:rsidRPr="003E6051">
        <w:rPr>
          <w:color w:val="FF0000"/>
        </w:rPr>
        <w:t xml:space="preserve"> (</w:t>
      </w:r>
      <w:r w:rsidR="00373AD1">
        <w:rPr>
          <w:color w:val="FF0000"/>
        </w:rPr>
        <w:t>6</w:t>
      </w:r>
      <w:r>
        <w:rPr>
          <w:color w:val="FF0000"/>
        </w:rPr>
        <w:t>310</w:t>
      </w:r>
      <w:r w:rsidR="0029609E" w:rsidRPr="003E6051">
        <w:rPr>
          <w:color w:val="FF0000"/>
        </w:rPr>
        <w:t>)</w:t>
      </w:r>
    </w:p>
    <w:p w14:paraId="08B65800" w14:textId="77777777" w:rsidR="00421349" w:rsidRPr="003E6051" w:rsidRDefault="00421349" w:rsidP="007C1BEE">
      <w:pPr>
        <w:spacing w:after="0" w:line="360" w:lineRule="auto"/>
        <w:ind w:left="-576" w:right="-576"/>
        <w:jc w:val="both"/>
      </w:pPr>
    </w:p>
    <w:p w14:paraId="0C830818" w14:textId="77777777" w:rsidR="00421349" w:rsidRPr="003E6051" w:rsidRDefault="00421349" w:rsidP="007C1BEE">
      <w:pPr>
        <w:spacing w:after="0" w:line="360" w:lineRule="auto"/>
        <w:ind w:left="-576" w:right="-576"/>
        <w:jc w:val="both"/>
      </w:pPr>
    </w:p>
    <w:p w14:paraId="62FD14BD" w14:textId="77777777" w:rsidR="00421349" w:rsidRPr="003E6051" w:rsidRDefault="00421349" w:rsidP="007C1BEE">
      <w:pPr>
        <w:spacing w:after="0" w:line="360" w:lineRule="auto"/>
        <w:ind w:left="-576" w:right="-576"/>
        <w:jc w:val="both"/>
      </w:pPr>
    </w:p>
    <w:p w14:paraId="16571F29" w14:textId="77777777" w:rsidR="00421349" w:rsidRPr="003E6051" w:rsidRDefault="00421349" w:rsidP="007C1BEE">
      <w:pPr>
        <w:spacing w:after="0" w:line="360" w:lineRule="auto"/>
        <w:ind w:left="-576" w:right="-576"/>
        <w:jc w:val="both"/>
      </w:pPr>
    </w:p>
    <w:p w14:paraId="3BE32AF3" w14:textId="77777777" w:rsidR="00421349" w:rsidRPr="003E6051" w:rsidRDefault="00421349" w:rsidP="007C1BEE">
      <w:pPr>
        <w:spacing w:after="0" w:line="360" w:lineRule="auto"/>
        <w:ind w:left="-576" w:right="-576"/>
        <w:jc w:val="both"/>
      </w:pPr>
    </w:p>
    <w:p w14:paraId="5F91479A" w14:textId="7D433425" w:rsidR="004F140F" w:rsidRPr="003E6051" w:rsidRDefault="004F140F" w:rsidP="007C1BEE">
      <w:pPr>
        <w:spacing w:after="0" w:line="360" w:lineRule="auto"/>
        <w:ind w:left="-576" w:right="-576"/>
        <w:jc w:val="both"/>
      </w:pPr>
      <w:r w:rsidRPr="003E6051">
        <w:br w:type="page"/>
      </w:r>
    </w:p>
    <w:p w14:paraId="74FB99FE" w14:textId="77777777" w:rsidR="00373AD1" w:rsidRDefault="00373AD1" w:rsidP="00373AD1">
      <w:pPr>
        <w:pStyle w:val="Heading2"/>
        <w:ind w:left="-576" w:right="-576"/>
      </w:pPr>
      <w:bookmarkStart w:id="31" w:name="_Toc205129707"/>
      <w:bookmarkStart w:id="32" w:name="_Toc219216472"/>
      <w:r>
        <w:rPr>
          <w:sz w:val="22"/>
          <w:szCs w:val="22"/>
        </w:rPr>
        <w:lastRenderedPageBreak/>
        <w:t>7</w:t>
      </w:r>
      <w:r w:rsidRPr="0085746F">
        <w:rPr>
          <w:sz w:val="22"/>
          <w:szCs w:val="22"/>
        </w:rPr>
        <w:t xml:space="preserve">. </w:t>
      </w:r>
      <w:r w:rsidRPr="0085746F">
        <w:rPr>
          <w:sz w:val="22"/>
          <w:szCs w:val="22"/>
          <w:u w:val="single"/>
        </w:rPr>
        <w:t>Methodology</w:t>
      </w:r>
      <w:r w:rsidRPr="0085746F">
        <w:rPr>
          <w:sz w:val="24"/>
          <w:szCs w:val="24"/>
          <w:u w:val="single"/>
        </w:rPr>
        <w:t>.</w:t>
      </w:r>
      <w:bookmarkEnd w:id="31"/>
      <w:bookmarkEnd w:id="32"/>
      <w:r>
        <w:t xml:space="preserve"> </w:t>
      </w:r>
    </w:p>
    <w:p w14:paraId="734FA71F" w14:textId="77777777" w:rsidR="00373AD1" w:rsidRDefault="00373AD1" w:rsidP="00373AD1">
      <w:pPr>
        <w:spacing w:after="0" w:line="360" w:lineRule="auto"/>
        <w:ind w:left="-576" w:right="-576"/>
        <w:jc w:val="both"/>
      </w:pPr>
    </w:p>
    <w:p w14:paraId="51CB4839" w14:textId="77777777" w:rsidR="00373AD1" w:rsidRDefault="00373AD1" w:rsidP="00373AD1">
      <w:pPr>
        <w:spacing w:after="0" w:line="360" w:lineRule="auto"/>
        <w:ind w:left="-576" w:right="-576"/>
        <w:jc w:val="both"/>
      </w:pPr>
      <w:r>
        <w:t xml:space="preserve">Research methodology provides a structured framework for the systematic collection, analysis, and interpretation of data </w:t>
      </w:r>
      <w:sdt>
        <w:sdtPr>
          <w:id w:val="-1703316492"/>
          <w:citation/>
        </w:sdtPr>
        <w:sdtContent>
          <w:r>
            <w:fldChar w:fldCharType="begin"/>
          </w:r>
          <w:r>
            <w:rPr>
              <w:lang w:val="en-US"/>
            </w:rPr>
            <w:instrText xml:space="preserve"> CITATION Kha08 \l 1033 </w:instrText>
          </w:r>
          <w:r>
            <w:fldChar w:fldCharType="separate"/>
          </w:r>
          <w:r w:rsidRPr="00D352B8">
            <w:rPr>
              <w:noProof/>
              <w:lang w:val="en-US"/>
            </w:rPr>
            <w:t>(Khairul Baharein, 2008)</w:t>
          </w:r>
          <w:r>
            <w:fldChar w:fldCharType="end"/>
          </w:r>
        </w:sdtContent>
      </w:sdt>
      <w:r>
        <w:t xml:space="preserve">. It ensures that research is conducted in a logical, reproducible, and objective manner, facilitating the development of reliable and valid conclusions </w:t>
      </w:r>
      <w:sdt>
        <w:sdtPr>
          <w:id w:val="-899681004"/>
          <w:citation/>
        </w:sdtPr>
        <w:sdtContent>
          <w:r>
            <w:fldChar w:fldCharType="begin"/>
          </w:r>
          <w:r>
            <w:rPr>
              <w:lang w:val="en-US"/>
            </w:rPr>
            <w:instrText xml:space="preserve"> CITATION APi93 \l 1033 </w:instrText>
          </w:r>
          <w:r>
            <w:fldChar w:fldCharType="separate"/>
          </w:r>
          <w:r w:rsidRPr="00D352B8">
            <w:rPr>
              <w:noProof/>
              <w:lang w:val="en-US"/>
            </w:rPr>
            <w:t>(Pinsonneault, 1993)</w:t>
          </w:r>
          <w:r>
            <w:fldChar w:fldCharType="end"/>
          </w:r>
        </w:sdtContent>
      </w:sdt>
      <w:r>
        <w:t>.</w:t>
      </w:r>
    </w:p>
    <w:p w14:paraId="7E9E8533" w14:textId="77777777" w:rsidR="00373AD1" w:rsidRDefault="00373AD1" w:rsidP="00373AD1">
      <w:pPr>
        <w:spacing w:after="0" w:line="360" w:lineRule="auto"/>
        <w:ind w:left="-576" w:right="-576"/>
        <w:jc w:val="both"/>
      </w:pPr>
    </w:p>
    <w:p w14:paraId="2268F535" w14:textId="4E397410" w:rsidR="00373AD1" w:rsidRDefault="00373AD1" w:rsidP="00373AD1">
      <w:pPr>
        <w:spacing w:after="0" w:line="360" w:lineRule="auto"/>
        <w:ind w:left="-576" w:right="-576"/>
        <w:jc w:val="both"/>
      </w:pPr>
      <w:r>
        <w:t>Methodologies are broadly categorised into quantitative, qualitative, and mixed methods approaches. Quantitative research emphasises numerical data and statistical analysis, offering measurable and valid findings, qualitati</w:t>
      </w:r>
      <w:r w:rsidR="00027820">
        <w:t>ve</w:t>
      </w:r>
      <w:r>
        <w:t xml:space="preserve"> in contrast, explores deeper insights by focusing on context, meaning, and subjective experiences </w:t>
      </w:r>
      <w:sdt>
        <w:sdtPr>
          <w:id w:val="158358523"/>
          <w:citation/>
        </w:sdtPr>
        <w:sdtContent>
          <w:r>
            <w:fldChar w:fldCharType="begin"/>
          </w:r>
          <w:r>
            <w:rPr>
              <w:lang w:val="en-US"/>
            </w:rPr>
            <w:instrText xml:space="preserve"> CITATION Ham20 \l 1033 </w:instrText>
          </w:r>
          <w:r>
            <w:fldChar w:fldCharType="separate"/>
          </w:r>
          <w:r w:rsidRPr="00D352B8">
            <w:rPr>
              <w:noProof/>
              <w:lang w:val="en-US"/>
            </w:rPr>
            <w:t>(Taherdoost, 2020)</w:t>
          </w:r>
          <w:r>
            <w:fldChar w:fldCharType="end"/>
          </w:r>
        </w:sdtContent>
      </w:sdt>
      <w:r>
        <w:t xml:space="preserve">. Mixed methods integrates both approaches, providing a comprehensive understanding,  combining statistical rigor with contextual depth </w:t>
      </w:r>
      <w:sdt>
        <w:sdtPr>
          <w:id w:val="-1345093044"/>
          <w:citation/>
        </w:sdtPr>
        <w:sdtContent>
          <w:r>
            <w:fldChar w:fldCharType="begin"/>
          </w:r>
          <w:r>
            <w:rPr>
              <w:lang w:val="en-US"/>
            </w:rPr>
            <w:instrText xml:space="preserve"> CITATION Mic08 \l 1033 </w:instrText>
          </w:r>
          <w:r>
            <w:fldChar w:fldCharType="separate"/>
          </w:r>
          <w:r w:rsidRPr="00D352B8">
            <w:rPr>
              <w:noProof/>
              <w:lang w:val="en-US"/>
            </w:rPr>
            <w:t>(Battaglia, 2008)</w:t>
          </w:r>
          <w:r>
            <w:fldChar w:fldCharType="end"/>
          </w:r>
        </w:sdtContent>
      </w:sdt>
      <w:r>
        <w:t>.</w:t>
      </w:r>
    </w:p>
    <w:p w14:paraId="2F93B983" w14:textId="77777777" w:rsidR="00373AD1" w:rsidRDefault="00373AD1" w:rsidP="00373AD1">
      <w:pPr>
        <w:spacing w:after="0" w:line="360" w:lineRule="auto"/>
        <w:ind w:left="-576" w:right="-576"/>
        <w:jc w:val="both"/>
      </w:pPr>
    </w:p>
    <w:p w14:paraId="5140A676" w14:textId="4AB31FDC" w:rsidR="00373AD1" w:rsidRDefault="00373AD1" w:rsidP="00373AD1">
      <w:pPr>
        <w:spacing w:after="0" w:line="360" w:lineRule="auto"/>
        <w:ind w:left="-576" w:right="-576"/>
        <w:jc w:val="both"/>
      </w:pPr>
      <w:r>
        <w:t>Interviews gain comprehensive insights while also capturing non-verbal cues such as body language</w:t>
      </w:r>
      <w:r w:rsidR="001D5E0B">
        <w:t xml:space="preserve"> </w:t>
      </w:r>
      <w:sdt>
        <w:sdtPr>
          <w:id w:val="1925074188"/>
          <w:citation/>
        </w:sdtPr>
        <w:sdtContent>
          <w:r>
            <w:fldChar w:fldCharType="begin"/>
          </w:r>
          <w:r>
            <w:rPr>
              <w:lang w:val="en-US"/>
            </w:rPr>
            <w:instrText xml:space="preserve"> CITATION AFi17 \l 1033 </w:instrText>
          </w:r>
          <w:r>
            <w:fldChar w:fldCharType="separate"/>
          </w:r>
          <w:r w:rsidRPr="00D352B8">
            <w:rPr>
              <w:noProof/>
              <w:lang w:val="en-US"/>
            </w:rPr>
            <w:t>(Fink, 2017)</w:t>
          </w:r>
          <w:r>
            <w:fldChar w:fldCharType="end"/>
          </w:r>
        </w:sdtContent>
      </w:sdt>
      <w:r>
        <w:t xml:space="preserve">, particularly valuable for exploring complex issues. However, skilled interviewers are required and can be time-intensive for both participants and researchers. While group interviews may optimise resources, they can also inhibit full disclosure of  behaviours </w:t>
      </w:r>
      <w:sdt>
        <w:sdtPr>
          <w:id w:val="-1845540627"/>
          <w:citation/>
        </w:sdtPr>
        <w:sdtContent>
          <w:r>
            <w:fldChar w:fldCharType="begin"/>
          </w:r>
          <w:r>
            <w:rPr>
              <w:lang w:val="en-US"/>
            </w:rPr>
            <w:instrText xml:space="preserve"> CITATION AFi17 \l 1033 </w:instrText>
          </w:r>
          <w:r>
            <w:fldChar w:fldCharType="separate"/>
          </w:r>
          <w:r w:rsidRPr="00D352B8">
            <w:rPr>
              <w:noProof/>
              <w:lang w:val="en-US"/>
            </w:rPr>
            <w:t>(Fink, 2017)</w:t>
          </w:r>
          <w:r>
            <w:fldChar w:fldCharType="end"/>
          </w:r>
        </w:sdtContent>
      </w:sdt>
      <w:r>
        <w:t xml:space="preserve"> </w:t>
      </w:r>
      <w:sdt>
        <w:sdtPr>
          <w:id w:val="2066222271"/>
          <w:citation/>
        </w:sdtPr>
        <w:sdtContent>
          <w:r>
            <w:fldChar w:fldCharType="begin"/>
          </w:r>
          <w:r>
            <w:rPr>
              <w:lang w:val="en-US"/>
            </w:rPr>
            <w:instrText xml:space="preserve"> CITATION Ham20 \l 1033 </w:instrText>
          </w:r>
          <w:r>
            <w:fldChar w:fldCharType="separate"/>
          </w:r>
          <w:r w:rsidRPr="00D352B8">
            <w:rPr>
              <w:noProof/>
              <w:lang w:val="en-US"/>
            </w:rPr>
            <w:t>(Taherdoost, 2020)</w:t>
          </w:r>
          <w:r>
            <w:fldChar w:fldCharType="end"/>
          </w:r>
        </w:sdtContent>
      </w:sdt>
      <w:r>
        <w:t xml:space="preserve">. Direct observations are impractical for industrial projects, as their extended timelines make data collection challenging </w:t>
      </w:r>
      <w:sdt>
        <w:sdtPr>
          <w:id w:val="-1749719825"/>
          <w:citation/>
        </w:sdtPr>
        <w:sdtContent>
          <w:r>
            <w:fldChar w:fldCharType="begin"/>
          </w:r>
          <w:r>
            <w:rPr>
              <w:lang w:val="en-US"/>
            </w:rPr>
            <w:instrText xml:space="preserve"> CITATION Ham20 \l 1033 </w:instrText>
          </w:r>
          <w:r>
            <w:fldChar w:fldCharType="separate"/>
          </w:r>
          <w:r w:rsidRPr="00D352B8">
            <w:rPr>
              <w:noProof/>
              <w:lang w:val="en-US"/>
            </w:rPr>
            <w:t>(Taherdoost, 2020)</w:t>
          </w:r>
          <w:r>
            <w:fldChar w:fldCharType="end"/>
          </w:r>
        </w:sdtContent>
      </w:sdt>
      <w:r>
        <w:t xml:space="preserve">. </w:t>
      </w:r>
    </w:p>
    <w:p w14:paraId="383EEED5" w14:textId="77777777" w:rsidR="00373AD1" w:rsidRDefault="00373AD1" w:rsidP="00373AD1">
      <w:pPr>
        <w:spacing w:after="0" w:line="360" w:lineRule="auto"/>
        <w:ind w:left="-576" w:right="-576"/>
        <w:jc w:val="both"/>
      </w:pPr>
    </w:p>
    <w:p w14:paraId="615D45C8" w14:textId="77777777" w:rsidR="00373AD1" w:rsidRDefault="00373AD1" w:rsidP="00373AD1">
      <w:pPr>
        <w:spacing w:after="0" w:line="360" w:lineRule="auto"/>
        <w:ind w:left="-576" w:right="-576"/>
        <w:jc w:val="both"/>
      </w:pPr>
      <w:r>
        <w:t xml:space="preserve">A well-structured methodology encompasses research design, sampling techniques, data collection methods, and analysis strategies. It also considers ethical guidelines, reliability, and validity to ensure research integrity. Additionally, challenges such as bias, data limitations, and methodological constraints must be acknowledged and addressed to enhance study credibility and robustness </w:t>
      </w:r>
      <w:sdt>
        <w:sdtPr>
          <w:id w:val="-1417782016"/>
          <w:citation/>
        </w:sdtPr>
        <w:sdtContent>
          <w:r>
            <w:fldChar w:fldCharType="begin"/>
          </w:r>
          <w:r>
            <w:rPr>
              <w:lang w:val="en-US"/>
            </w:rPr>
            <w:instrText xml:space="preserve"> CITATION AFi17 \l 1033 </w:instrText>
          </w:r>
          <w:r>
            <w:fldChar w:fldCharType="separate"/>
          </w:r>
          <w:r w:rsidRPr="00D352B8">
            <w:rPr>
              <w:noProof/>
              <w:lang w:val="en-US"/>
            </w:rPr>
            <w:t>(Fink, 2017)</w:t>
          </w:r>
          <w:r>
            <w:fldChar w:fldCharType="end"/>
          </w:r>
        </w:sdtContent>
      </w:sdt>
      <w:r>
        <w:t>.</w:t>
      </w:r>
    </w:p>
    <w:p w14:paraId="524AF2C8" w14:textId="77777777" w:rsidR="00373AD1" w:rsidRDefault="00373AD1" w:rsidP="00373AD1">
      <w:pPr>
        <w:spacing w:after="0" w:line="360" w:lineRule="auto"/>
        <w:ind w:left="-576" w:right="-576"/>
        <w:jc w:val="both"/>
      </w:pPr>
    </w:p>
    <w:p w14:paraId="2050B66E" w14:textId="397B617A" w:rsidR="00373AD1" w:rsidRPr="00D352B8" w:rsidRDefault="00373AD1" w:rsidP="00373AD1">
      <w:pPr>
        <w:spacing w:after="0" w:line="360" w:lineRule="auto"/>
        <w:ind w:left="-576" w:right="-576"/>
        <w:jc w:val="both"/>
        <w:rPr>
          <w:color w:val="EE0000"/>
        </w:rPr>
      </w:pPr>
      <w:r w:rsidRPr="00D352B8">
        <w:rPr>
          <w:color w:val="EE0000"/>
        </w:rPr>
        <w:t>19</w:t>
      </w:r>
      <w:r w:rsidR="00653F71">
        <w:rPr>
          <w:color w:val="EE0000"/>
        </w:rPr>
        <w:t>8</w:t>
      </w:r>
      <w:r>
        <w:rPr>
          <w:color w:val="EE0000"/>
        </w:rPr>
        <w:t xml:space="preserve"> (</w:t>
      </w:r>
      <w:r w:rsidR="00653F71">
        <w:rPr>
          <w:color w:val="EE0000"/>
        </w:rPr>
        <w:t>6508)</w:t>
      </w:r>
    </w:p>
    <w:p w14:paraId="53735048" w14:textId="77777777" w:rsidR="00373AD1" w:rsidRDefault="00373AD1" w:rsidP="00373AD1">
      <w:r>
        <w:br w:type="page"/>
      </w:r>
    </w:p>
    <w:p w14:paraId="09DBCE73" w14:textId="77777777" w:rsidR="00373AD1" w:rsidRPr="0085746F" w:rsidRDefault="00373AD1" w:rsidP="00373AD1">
      <w:pPr>
        <w:pStyle w:val="Heading2"/>
        <w:ind w:left="-576" w:right="-576"/>
        <w:rPr>
          <w:sz w:val="22"/>
          <w:szCs w:val="22"/>
        </w:rPr>
      </w:pPr>
      <w:bookmarkStart w:id="33" w:name="_Toc205129708"/>
      <w:bookmarkStart w:id="34" w:name="_Toc219216473"/>
      <w:r w:rsidRPr="0085746F">
        <w:rPr>
          <w:sz w:val="22"/>
          <w:szCs w:val="22"/>
        </w:rPr>
        <w:lastRenderedPageBreak/>
        <w:t xml:space="preserve">7.1. </w:t>
      </w:r>
      <w:r w:rsidRPr="0085746F">
        <w:rPr>
          <w:sz w:val="22"/>
          <w:szCs w:val="22"/>
          <w:u w:val="single"/>
        </w:rPr>
        <w:t>Methodology Choice.</w:t>
      </w:r>
      <w:bookmarkEnd w:id="33"/>
      <w:bookmarkEnd w:id="34"/>
    </w:p>
    <w:p w14:paraId="508BC1A8" w14:textId="77777777" w:rsidR="00373AD1" w:rsidRDefault="00373AD1" w:rsidP="00373AD1">
      <w:pPr>
        <w:spacing w:after="0" w:line="360" w:lineRule="auto"/>
        <w:ind w:left="-576" w:right="-576"/>
        <w:jc w:val="both"/>
        <w:rPr>
          <w:rFonts w:eastAsia="Times New Roman"/>
          <w:lang w:eastAsia="en-GB"/>
        </w:rPr>
      </w:pPr>
    </w:p>
    <w:p w14:paraId="1C91267F" w14:textId="77777777" w:rsidR="00373AD1" w:rsidRPr="00B0080E" w:rsidRDefault="00373AD1" w:rsidP="00373AD1">
      <w:pPr>
        <w:spacing w:after="0" w:line="360" w:lineRule="auto"/>
        <w:ind w:left="-576" w:right="-576"/>
        <w:jc w:val="both"/>
        <w:rPr>
          <w:rFonts w:eastAsia="Times New Roman"/>
          <w:lang w:eastAsia="en-GB"/>
        </w:rPr>
      </w:pPr>
      <w:r w:rsidRPr="00B0080E">
        <w:rPr>
          <w:rFonts w:eastAsia="Times New Roman"/>
          <w:lang w:eastAsia="en-GB"/>
        </w:rPr>
        <w:t xml:space="preserve">An anonymous descriptive research survey methodology was </w:t>
      </w:r>
      <w:r>
        <w:rPr>
          <w:rFonts w:eastAsia="Times New Roman"/>
          <w:lang w:eastAsia="en-GB"/>
        </w:rPr>
        <w:t>deemed the most suitable</w:t>
      </w:r>
      <w:r w:rsidRPr="00B0080E">
        <w:rPr>
          <w:rFonts w:eastAsia="Times New Roman"/>
          <w:lang w:eastAsia="en-GB"/>
        </w:rPr>
        <w:t xml:space="preserve"> for this study</w:t>
      </w:r>
      <w:r>
        <w:rPr>
          <w:rFonts w:eastAsia="Times New Roman"/>
          <w:lang w:eastAsia="en-GB"/>
        </w:rPr>
        <w:t>.</w:t>
      </w:r>
      <w:r w:rsidRPr="00B0080E">
        <w:rPr>
          <w:rFonts w:eastAsia="Times New Roman"/>
          <w:lang w:eastAsia="en-GB"/>
        </w:rPr>
        <w:t xml:space="preserve"> </w:t>
      </w:r>
      <w:r>
        <w:rPr>
          <w:rFonts w:eastAsia="Times New Roman"/>
          <w:lang w:eastAsia="en-GB"/>
        </w:rPr>
        <w:t>It</w:t>
      </w:r>
      <w:r w:rsidRPr="00B0080E">
        <w:rPr>
          <w:rFonts w:eastAsia="Times New Roman"/>
          <w:lang w:eastAsia="en-GB"/>
        </w:rPr>
        <w:t xml:space="preserve"> allows for collection of objective, quantifiable, and experience-based data from a diverse group of professionals, ensuring a well-rounded understanding of the subject</w:t>
      </w:r>
      <w:r>
        <w:rPr>
          <w:rFonts w:eastAsia="Times New Roman"/>
          <w:lang w:eastAsia="en-GB"/>
        </w:rPr>
        <w:t xml:space="preserve"> </w:t>
      </w:r>
      <w:sdt>
        <w:sdtPr>
          <w:rPr>
            <w:rFonts w:eastAsia="Times New Roman"/>
            <w:lang w:eastAsia="en-GB"/>
          </w:rPr>
          <w:id w:val="458917565"/>
          <w:citation/>
        </w:sdtPr>
        <w:sdtContent>
          <w:r>
            <w:rPr>
              <w:rFonts w:eastAsia="Times New Roman"/>
              <w:lang w:eastAsia="en-GB"/>
            </w:rPr>
            <w:fldChar w:fldCharType="begin"/>
          </w:r>
          <w:r>
            <w:rPr>
              <w:rFonts w:eastAsia="Times New Roman"/>
              <w:lang w:val="en-US" w:eastAsia="en-GB"/>
            </w:rPr>
            <w:instrText xml:space="preserve"> CITATION AFi17 \l 1033 </w:instrText>
          </w:r>
          <w:r>
            <w:rPr>
              <w:rFonts w:eastAsia="Times New Roman"/>
              <w:lang w:eastAsia="en-GB"/>
            </w:rPr>
            <w:fldChar w:fldCharType="separate"/>
          </w:r>
          <w:r w:rsidRPr="00C83279">
            <w:rPr>
              <w:rFonts w:eastAsia="Times New Roman"/>
              <w:noProof/>
              <w:lang w:val="en-US" w:eastAsia="en-GB"/>
            </w:rPr>
            <w:t>(Fink, 2017)</w:t>
          </w:r>
          <w:r>
            <w:rPr>
              <w:rFonts w:eastAsia="Times New Roman"/>
              <w:lang w:eastAsia="en-GB"/>
            </w:rPr>
            <w:fldChar w:fldCharType="end"/>
          </w:r>
        </w:sdtContent>
      </w:sdt>
      <w:r w:rsidRPr="00B0080E">
        <w:rPr>
          <w:rFonts w:eastAsia="Times New Roman"/>
          <w:lang w:eastAsia="en-GB"/>
        </w:rPr>
        <w:t>.</w:t>
      </w:r>
    </w:p>
    <w:p w14:paraId="077E8F29" w14:textId="77777777" w:rsidR="00373AD1" w:rsidRDefault="00373AD1" w:rsidP="00373AD1">
      <w:pPr>
        <w:spacing w:after="0" w:line="360" w:lineRule="auto"/>
        <w:ind w:left="-576" w:right="-576"/>
        <w:jc w:val="both"/>
        <w:rPr>
          <w:rFonts w:eastAsia="Times New Roman"/>
          <w:lang w:eastAsia="en-GB"/>
        </w:rPr>
      </w:pPr>
    </w:p>
    <w:tbl>
      <w:tblPr>
        <w:tblStyle w:val="TableGrid"/>
        <w:tblW w:w="10111" w:type="dxa"/>
        <w:tblInd w:w="-576" w:type="dxa"/>
        <w:tblLayout w:type="fixed"/>
        <w:tblLook w:val="04A0" w:firstRow="1" w:lastRow="0" w:firstColumn="1" w:lastColumn="0" w:noHBand="0" w:noVBand="1"/>
      </w:tblPr>
      <w:tblGrid>
        <w:gridCol w:w="1741"/>
        <w:gridCol w:w="4140"/>
        <w:gridCol w:w="4230"/>
      </w:tblGrid>
      <w:tr w:rsidR="00373AD1" w14:paraId="4C9F142E" w14:textId="77777777" w:rsidTr="00444CE1">
        <w:tc>
          <w:tcPr>
            <w:tcW w:w="1741" w:type="dxa"/>
            <w:shd w:val="clear" w:color="auto" w:fill="D9E2F3" w:themeFill="accent1" w:themeFillTint="33"/>
          </w:tcPr>
          <w:p w14:paraId="1D46D424" w14:textId="77777777" w:rsidR="00373AD1" w:rsidRPr="007C7B38" w:rsidRDefault="00373AD1" w:rsidP="00444CE1">
            <w:pPr>
              <w:spacing w:line="276" w:lineRule="auto"/>
              <w:jc w:val="center"/>
              <w:rPr>
                <w:rFonts w:eastAsia="Times New Roman"/>
                <w:b/>
                <w:bCs/>
                <w:lang w:eastAsia="en-GB"/>
              </w:rPr>
            </w:pPr>
            <w:bookmarkStart w:id="35" w:name="_Hlk190882608"/>
            <w:r w:rsidRPr="007C7B38">
              <w:rPr>
                <w:rFonts w:eastAsia="Times New Roman"/>
                <w:b/>
                <w:bCs/>
                <w:lang w:eastAsia="en-GB"/>
              </w:rPr>
              <w:t>Topic:</w:t>
            </w:r>
          </w:p>
        </w:tc>
        <w:tc>
          <w:tcPr>
            <w:tcW w:w="4140" w:type="dxa"/>
            <w:shd w:val="clear" w:color="auto" w:fill="D9E2F3" w:themeFill="accent1" w:themeFillTint="33"/>
          </w:tcPr>
          <w:p w14:paraId="41451E0D" w14:textId="77777777" w:rsidR="00373AD1" w:rsidRPr="007C7B38" w:rsidRDefault="00373AD1" w:rsidP="00444CE1">
            <w:pPr>
              <w:spacing w:line="276" w:lineRule="auto"/>
              <w:jc w:val="center"/>
              <w:rPr>
                <w:rFonts w:eastAsia="Times New Roman"/>
                <w:b/>
                <w:bCs/>
                <w:lang w:eastAsia="en-GB"/>
              </w:rPr>
            </w:pPr>
            <w:r w:rsidRPr="007C7B38">
              <w:rPr>
                <w:rFonts w:eastAsia="Times New Roman"/>
                <w:b/>
                <w:bCs/>
                <w:lang w:eastAsia="en-GB"/>
              </w:rPr>
              <w:t>Strengths:</w:t>
            </w:r>
          </w:p>
        </w:tc>
        <w:tc>
          <w:tcPr>
            <w:tcW w:w="4230" w:type="dxa"/>
            <w:shd w:val="clear" w:color="auto" w:fill="D9E2F3" w:themeFill="accent1" w:themeFillTint="33"/>
          </w:tcPr>
          <w:p w14:paraId="139EC2AD" w14:textId="77777777" w:rsidR="00373AD1" w:rsidRPr="007C7B38" w:rsidRDefault="00373AD1" w:rsidP="00444CE1">
            <w:pPr>
              <w:spacing w:line="276" w:lineRule="auto"/>
              <w:jc w:val="center"/>
              <w:rPr>
                <w:rFonts w:eastAsia="Times New Roman"/>
                <w:b/>
                <w:bCs/>
                <w:lang w:eastAsia="en-GB"/>
              </w:rPr>
            </w:pPr>
            <w:r w:rsidRPr="007C7B38">
              <w:rPr>
                <w:rFonts w:eastAsia="Times New Roman"/>
                <w:b/>
                <w:bCs/>
                <w:lang w:eastAsia="en-GB"/>
              </w:rPr>
              <w:t>Limitation:</w:t>
            </w:r>
          </w:p>
        </w:tc>
      </w:tr>
      <w:tr w:rsidR="00373AD1" w14:paraId="4E2B3534" w14:textId="77777777" w:rsidTr="00444CE1">
        <w:tc>
          <w:tcPr>
            <w:tcW w:w="1741" w:type="dxa"/>
          </w:tcPr>
          <w:p w14:paraId="0DD5FE6F" w14:textId="77777777" w:rsidR="00373AD1" w:rsidRDefault="00373AD1" w:rsidP="00444CE1">
            <w:pPr>
              <w:spacing w:line="276" w:lineRule="auto"/>
              <w:rPr>
                <w:rFonts w:eastAsia="Times New Roman"/>
                <w:lang w:eastAsia="en-GB"/>
              </w:rPr>
            </w:pPr>
            <w:r w:rsidRPr="0088758E">
              <w:rPr>
                <w:rFonts w:eastAsia="Times New Roman"/>
                <w:lang w:eastAsia="en-GB"/>
              </w:rPr>
              <w:t xml:space="preserve">Anonymity for Honest </w:t>
            </w:r>
            <w:r>
              <w:rPr>
                <w:rFonts w:eastAsia="Times New Roman"/>
                <w:lang w:eastAsia="en-GB"/>
              </w:rPr>
              <w:t xml:space="preserve">&amp; </w:t>
            </w:r>
            <w:r w:rsidRPr="0088758E">
              <w:rPr>
                <w:rFonts w:eastAsia="Times New Roman"/>
                <w:lang w:eastAsia="en-GB"/>
              </w:rPr>
              <w:t>Unbiased Responses</w:t>
            </w:r>
            <w:r>
              <w:rPr>
                <w:rFonts w:eastAsia="Times New Roman"/>
                <w:lang w:eastAsia="en-GB"/>
              </w:rPr>
              <w:t>.</w:t>
            </w:r>
          </w:p>
        </w:tc>
        <w:tc>
          <w:tcPr>
            <w:tcW w:w="4140" w:type="dxa"/>
          </w:tcPr>
          <w:p w14:paraId="658E9401" w14:textId="77777777" w:rsidR="00373AD1" w:rsidRDefault="00373AD1" w:rsidP="00444CE1">
            <w:pPr>
              <w:spacing w:line="276" w:lineRule="auto"/>
              <w:rPr>
                <w:rFonts w:eastAsia="Times New Roman"/>
                <w:lang w:eastAsia="en-GB"/>
              </w:rPr>
            </w:pPr>
            <w:r w:rsidRPr="0088758E">
              <w:rPr>
                <w:rFonts w:eastAsia="Times New Roman"/>
                <w:lang w:eastAsia="en-GB"/>
              </w:rPr>
              <w:t xml:space="preserve">Risk management is a critical and sensitive aspect of project management. By ensuring anonymity, participants are more likely to provide honest insights into the effectiveness of risk assessment tools without fear of professional repercussions. </w:t>
            </w:r>
            <w:r>
              <w:rPr>
                <w:rFonts w:eastAsia="Times New Roman"/>
                <w:lang w:eastAsia="en-GB"/>
              </w:rPr>
              <w:t xml:space="preserve">Helping </w:t>
            </w:r>
            <w:r w:rsidRPr="0088758E">
              <w:rPr>
                <w:rFonts w:eastAsia="Times New Roman"/>
                <w:lang w:eastAsia="en-GB"/>
              </w:rPr>
              <w:t>uncover genuine challenges, gaps, and potential improvements in risk management practices.</w:t>
            </w:r>
          </w:p>
        </w:tc>
        <w:tc>
          <w:tcPr>
            <w:tcW w:w="4230" w:type="dxa"/>
          </w:tcPr>
          <w:p w14:paraId="29D0E699" w14:textId="77777777" w:rsidR="00373AD1" w:rsidRPr="0088758E" w:rsidRDefault="00373AD1" w:rsidP="00444CE1">
            <w:pPr>
              <w:spacing w:line="276" w:lineRule="auto"/>
              <w:rPr>
                <w:rFonts w:eastAsia="Times New Roman"/>
                <w:lang w:eastAsia="en-GB"/>
              </w:rPr>
            </w:pPr>
            <w:r w:rsidRPr="0088758E">
              <w:rPr>
                <w:rFonts w:eastAsia="Times New Roman"/>
                <w:lang w:eastAsia="en-GB"/>
              </w:rPr>
              <w:t>While anonymity promotes honesty, it can also limit the depth of data collected. Participants might avoid providing detailed or identifying information, which could be valuable for a more nuanced understanding of the issues.</w:t>
            </w:r>
          </w:p>
        </w:tc>
      </w:tr>
      <w:tr w:rsidR="00373AD1" w14:paraId="4269BF34" w14:textId="77777777" w:rsidTr="00444CE1">
        <w:tc>
          <w:tcPr>
            <w:tcW w:w="1741" w:type="dxa"/>
          </w:tcPr>
          <w:p w14:paraId="6AA4D984" w14:textId="77777777" w:rsidR="00373AD1" w:rsidRDefault="00373AD1" w:rsidP="00444CE1">
            <w:pPr>
              <w:spacing w:line="276" w:lineRule="auto"/>
              <w:rPr>
                <w:rFonts w:eastAsia="Times New Roman"/>
                <w:lang w:eastAsia="en-GB"/>
              </w:rPr>
            </w:pPr>
            <w:r w:rsidRPr="0088758E">
              <w:rPr>
                <w:rFonts w:eastAsia="Times New Roman"/>
                <w:lang w:eastAsia="en-GB"/>
              </w:rPr>
              <w:t>Descriptive Research</w:t>
            </w:r>
            <w:r>
              <w:rPr>
                <w:rFonts w:eastAsia="Times New Roman"/>
                <w:lang w:eastAsia="en-GB"/>
              </w:rPr>
              <w:t>.</w:t>
            </w:r>
          </w:p>
        </w:tc>
        <w:tc>
          <w:tcPr>
            <w:tcW w:w="4140" w:type="dxa"/>
          </w:tcPr>
          <w:p w14:paraId="51397DAF" w14:textId="77777777" w:rsidR="00373AD1" w:rsidRDefault="00373AD1" w:rsidP="00444CE1">
            <w:pPr>
              <w:spacing w:line="276" w:lineRule="auto"/>
              <w:rPr>
                <w:rFonts w:eastAsia="Times New Roman"/>
                <w:lang w:eastAsia="en-GB"/>
              </w:rPr>
            </w:pPr>
            <w:r w:rsidRPr="0088758E">
              <w:rPr>
                <w:rFonts w:eastAsia="Times New Roman"/>
                <w:lang w:eastAsia="en-GB"/>
              </w:rPr>
              <w:t xml:space="preserve">A descriptive research survey is </w:t>
            </w:r>
            <w:r>
              <w:rPr>
                <w:rFonts w:eastAsia="Times New Roman"/>
                <w:lang w:eastAsia="en-GB"/>
              </w:rPr>
              <w:t>most suitable</w:t>
            </w:r>
            <w:r w:rsidRPr="0088758E">
              <w:rPr>
                <w:rFonts w:eastAsia="Times New Roman"/>
                <w:lang w:eastAsia="en-GB"/>
              </w:rPr>
              <w:t xml:space="preserve"> as it allows for the systematic collection and analysis of data regarding how risk assessment tools are used across different industries and project environments. </w:t>
            </w:r>
            <w:r>
              <w:rPr>
                <w:rFonts w:eastAsia="Times New Roman"/>
                <w:lang w:eastAsia="en-GB"/>
              </w:rPr>
              <w:t xml:space="preserve">Helps </w:t>
            </w:r>
            <w:r w:rsidRPr="0088758E">
              <w:rPr>
                <w:rFonts w:eastAsia="Times New Roman"/>
                <w:lang w:eastAsia="en-GB"/>
              </w:rPr>
              <w:t>to identify patterns, trends, and gaps without manipulating variables, making it suitable for understanding the current state of risk management practices.</w:t>
            </w:r>
          </w:p>
        </w:tc>
        <w:tc>
          <w:tcPr>
            <w:tcW w:w="4230" w:type="dxa"/>
          </w:tcPr>
          <w:p w14:paraId="25978F86" w14:textId="77777777" w:rsidR="00373AD1" w:rsidRPr="0088758E" w:rsidRDefault="00373AD1" w:rsidP="00444CE1">
            <w:pPr>
              <w:spacing w:line="276" w:lineRule="auto"/>
              <w:rPr>
                <w:rFonts w:eastAsia="Times New Roman"/>
                <w:lang w:eastAsia="en-GB"/>
              </w:rPr>
            </w:pPr>
            <w:r w:rsidRPr="00CA4A1B">
              <w:rPr>
                <w:rFonts w:eastAsia="Times New Roman"/>
                <w:lang w:eastAsia="en-GB"/>
              </w:rPr>
              <w:t>A key limitation of descriptive research is its inability to establish cause-and-effect relationships. Surveys can reveal associations or correlations, but they cannot definitively explain why certain risk management practices are more effective than others.</w:t>
            </w:r>
          </w:p>
        </w:tc>
      </w:tr>
      <w:tr w:rsidR="00373AD1" w14:paraId="01E38028" w14:textId="77777777" w:rsidTr="00444CE1">
        <w:tc>
          <w:tcPr>
            <w:tcW w:w="1741" w:type="dxa"/>
          </w:tcPr>
          <w:p w14:paraId="6DD8F838" w14:textId="77777777" w:rsidR="00373AD1" w:rsidRDefault="00373AD1" w:rsidP="00444CE1">
            <w:pPr>
              <w:spacing w:line="276" w:lineRule="auto"/>
              <w:rPr>
                <w:rFonts w:eastAsia="Times New Roman"/>
                <w:lang w:eastAsia="en-GB"/>
              </w:rPr>
            </w:pPr>
            <w:r w:rsidRPr="0088758E">
              <w:rPr>
                <w:rFonts w:eastAsia="Times New Roman"/>
                <w:lang w:eastAsia="en-GB"/>
              </w:rPr>
              <w:t xml:space="preserve">Broad </w:t>
            </w:r>
            <w:r>
              <w:rPr>
                <w:rFonts w:eastAsia="Times New Roman"/>
                <w:lang w:eastAsia="en-GB"/>
              </w:rPr>
              <w:t xml:space="preserve">&amp; </w:t>
            </w:r>
            <w:r w:rsidRPr="0088758E">
              <w:rPr>
                <w:rFonts w:eastAsia="Times New Roman"/>
                <w:lang w:eastAsia="en-GB"/>
              </w:rPr>
              <w:t>Representative Data Collection</w:t>
            </w:r>
            <w:r>
              <w:rPr>
                <w:rFonts w:eastAsia="Times New Roman"/>
                <w:lang w:eastAsia="en-GB"/>
              </w:rPr>
              <w:t>.</w:t>
            </w:r>
          </w:p>
        </w:tc>
        <w:tc>
          <w:tcPr>
            <w:tcW w:w="4140" w:type="dxa"/>
          </w:tcPr>
          <w:p w14:paraId="37B75D60" w14:textId="77777777" w:rsidR="00373AD1" w:rsidRDefault="00373AD1" w:rsidP="00444CE1">
            <w:pPr>
              <w:spacing w:line="276" w:lineRule="auto"/>
              <w:rPr>
                <w:rFonts w:eastAsia="Times New Roman"/>
                <w:lang w:eastAsia="en-GB"/>
              </w:rPr>
            </w:pPr>
            <w:r w:rsidRPr="0088758E">
              <w:rPr>
                <w:rFonts w:eastAsia="Times New Roman"/>
                <w:lang w:eastAsia="en-GB"/>
              </w:rPr>
              <w:t xml:space="preserve">Surveys enable data collection from a large and diverse sample, ensuring that insights are </w:t>
            </w:r>
            <w:r>
              <w:rPr>
                <w:rFonts w:eastAsia="Times New Roman"/>
                <w:lang w:eastAsia="en-GB"/>
              </w:rPr>
              <w:t>relevant</w:t>
            </w:r>
            <w:r w:rsidRPr="0088758E">
              <w:rPr>
                <w:rFonts w:eastAsia="Times New Roman"/>
                <w:lang w:eastAsia="en-GB"/>
              </w:rPr>
              <w:t xml:space="preserve"> to different industries and project types. This broad perspective helps assess whether the need for a customi</w:t>
            </w:r>
            <w:r>
              <w:rPr>
                <w:rFonts w:eastAsia="Times New Roman"/>
                <w:lang w:eastAsia="en-GB"/>
              </w:rPr>
              <w:t>s</w:t>
            </w:r>
            <w:r w:rsidRPr="0088758E">
              <w:rPr>
                <w:rFonts w:eastAsia="Times New Roman"/>
                <w:lang w:eastAsia="en-GB"/>
              </w:rPr>
              <w:t>able framework is industry-specific or universally applicable.</w:t>
            </w:r>
          </w:p>
        </w:tc>
        <w:tc>
          <w:tcPr>
            <w:tcW w:w="4230" w:type="dxa"/>
          </w:tcPr>
          <w:p w14:paraId="10860E69" w14:textId="77777777" w:rsidR="00373AD1" w:rsidRPr="0088758E" w:rsidRDefault="00373AD1" w:rsidP="00444CE1">
            <w:pPr>
              <w:spacing w:line="276" w:lineRule="auto"/>
              <w:rPr>
                <w:rFonts w:eastAsia="Times New Roman"/>
                <w:lang w:eastAsia="en-GB"/>
              </w:rPr>
            </w:pPr>
            <w:r w:rsidRPr="00CA4A1B">
              <w:rPr>
                <w:rFonts w:eastAsia="Times New Roman"/>
                <w:lang w:eastAsia="en-GB"/>
              </w:rPr>
              <w:t>Ensuring a truly representative sample can be challenging and costly. Bias in sample selection can limit the validity of the findings. For example, if certain industries are over-represented in the sample, the conclusions may not accurately reflect the experiences of all industries.</w:t>
            </w:r>
          </w:p>
        </w:tc>
      </w:tr>
      <w:tr w:rsidR="00373AD1" w14:paraId="7D795577" w14:textId="77777777" w:rsidTr="00444CE1">
        <w:tc>
          <w:tcPr>
            <w:tcW w:w="1741" w:type="dxa"/>
          </w:tcPr>
          <w:p w14:paraId="0FB81FE1" w14:textId="77777777" w:rsidR="00373AD1" w:rsidRDefault="00373AD1" w:rsidP="00444CE1">
            <w:pPr>
              <w:spacing w:line="276" w:lineRule="auto"/>
              <w:rPr>
                <w:rFonts w:eastAsia="Times New Roman"/>
                <w:lang w:eastAsia="en-GB"/>
              </w:rPr>
            </w:pPr>
            <w:r w:rsidRPr="0088758E">
              <w:rPr>
                <w:rFonts w:eastAsia="Times New Roman"/>
                <w:lang w:eastAsia="en-GB"/>
              </w:rPr>
              <w:t xml:space="preserve">Practical </w:t>
            </w:r>
            <w:r>
              <w:rPr>
                <w:rFonts w:eastAsia="Times New Roman"/>
                <w:lang w:eastAsia="en-GB"/>
              </w:rPr>
              <w:t xml:space="preserve">&amp; </w:t>
            </w:r>
            <w:r w:rsidRPr="0088758E">
              <w:rPr>
                <w:rFonts w:eastAsia="Times New Roman"/>
                <w:lang w:eastAsia="en-GB"/>
              </w:rPr>
              <w:t>Efficient Approach</w:t>
            </w:r>
            <w:r>
              <w:rPr>
                <w:rFonts w:eastAsia="Times New Roman"/>
                <w:lang w:eastAsia="en-GB"/>
              </w:rPr>
              <w:t>.</w:t>
            </w:r>
          </w:p>
        </w:tc>
        <w:tc>
          <w:tcPr>
            <w:tcW w:w="4140" w:type="dxa"/>
          </w:tcPr>
          <w:p w14:paraId="25ABA7B3" w14:textId="77777777" w:rsidR="00373AD1" w:rsidRDefault="00373AD1" w:rsidP="00444CE1">
            <w:pPr>
              <w:spacing w:line="276" w:lineRule="auto"/>
              <w:rPr>
                <w:rFonts w:eastAsia="Times New Roman"/>
                <w:lang w:eastAsia="en-GB"/>
              </w:rPr>
            </w:pPr>
            <w:r w:rsidRPr="0088758E">
              <w:rPr>
                <w:rFonts w:eastAsia="Times New Roman"/>
                <w:lang w:eastAsia="en-GB"/>
              </w:rPr>
              <w:t>Surveys are cost-effective and time-efficient, allowing for the collection of significant amounts of data within a short period. The structured nature of the questionnaire ensures that responses can be quantified and analysed effectively, leading to clear, evidence-based conclusions.</w:t>
            </w:r>
          </w:p>
          <w:p w14:paraId="454D47E8" w14:textId="77777777" w:rsidR="00373AD1" w:rsidRDefault="00373AD1" w:rsidP="00444CE1">
            <w:pPr>
              <w:spacing w:line="276" w:lineRule="auto"/>
              <w:rPr>
                <w:rFonts w:eastAsia="Times New Roman"/>
                <w:lang w:eastAsia="en-GB"/>
              </w:rPr>
            </w:pPr>
          </w:p>
        </w:tc>
        <w:tc>
          <w:tcPr>
            <w:tcW w:w="4230" w:type="dxa"/>
          </w:tcPr>
          <w:p w14:paraId="40CC6CDE" w14:textId="77777777" w:rsidR="00373AD1" w:rsidRPr="0088758E" w:rsidRDefault="00373AD1" w:rsidP="00444CE1">
            <w:pPr>
              <w:spacing w:line="276" w:lineRule="auto"/>
              <w:rPr>
                <w:rFonts w:eastAsia="Times New Roman"/>
                <w:lang w:eastAsia="en-GB"/>
              </w:rPr>
            </w:pPr>
            <w:r w:rsidRPr="00CA4A1B">
              <w:rPr>
                <w:rFonts w:eastAsia="Times New Roman"/>
                <w:lang w:eastAsia="en-GB"/>
              </w:rPr>
              <w:t>The structured nature of questionnaires may restrict the richness and complexity of the data collected. While closed-ended questions are easy to quantify, they may not capture the full range of participants' experiences or perspectives. Open-ended questions can provide more detailed insights, but they can also be challenging to analyse systematically</w:t>
            </w:r>
          </w:p>
        </w:tc>
      </w:tr>
      <w:tr w:rsidR="00373AD1" w14:paraId="5C1D85EA" w14:textId="77777777" w:rsidTr="00444CE1">
        <w:tc>
          <w:tcPr>
            <w:tcW w:w="1741" w:type="dxa"/>
          </w:tcPr>
          <w:p w14:paraId="32D0A7BF" w14:textId="77777777" w:rsidR="00373AD1" w:rsidRPr="0088758E" w:rsidRDefault="00373AD1" w:rsidP="00444CE1">
            <w:pPr>
              <w:spacing w:line="276" w:lineRule="auto"/>
              <w:rPr>
                <w:rFonts w:eastAsia="Times New Roman"/>
                <w:lang w:eastAsia="en-GB"/>
              </w:rPr>
            </w:pPr>
            <w:r w:rsidRPr="00B94BB1">
              <w:rPr>
                <w:rFonts w:eastAsia="Times New Roman"/>
                <w:lang w:eastAsia="en-GB"/>
              </w:rPr>
              <w:lastRenderedPageBreak/>
              <w:t>Ethical Consideration</w:t>
            </w:r>
            <w:r>
              <w:rPr>
                <w:rFonts w:eastAsia="Times New Roman"/>
                <w:lang w:eastAsia="en-GB"/>
              </w:rPr>
              <w:t>s</w:t>
            </w:r>
          </w:p>
        </w:tc>
        <w:tc>
          <w:tcPr>
            <w:tcW w:w="4140" w:type="dxa"/>
          </w:tcPr>
          <w:p w14:paraId="09C02B6C" w14:textId="77777777" w:rsidR="00373AD1" w:rsidRPr="0088758E" w:rsidRDefault="00373AD1" w:rsidP="00444CE1">
            <w:pPr>
              <w:spacing w:line="276" w:lineRule="auto"/>
              <w:rPr>
                <w:rFonts w:eastAsia="Times New Roman"/>
                <w:lang w:eastAsia="en-GB"/>
              </w:rPr>
            </w:pPr>
            <w:r>
              <w:rPr>
                <w:rFonts w:eastAsia="Times New Roman"/>
                <w:lang w:eastAsia="en-GB"/>
              </w:rPr>
              <w:t>S</w:t>
            </w:r>
            <w:r w:rsidRPr="0090775A">
              <w:rPr>
                <w:rFonts w:eastAsia="Times New Roman"/>
                <w:lang w:eastAsia="en-GB"/>
              </w:rPr>
              <w:t>urveys, when properly designed, can protect the privacy and confidentiality of participants. Informed consent can be obtained, and data can be an</w:t>
            </w:r>
            <w:r>
              <w:rPr>
                <w:rFonts w:eastAsia="Times New Roman"/>
                <w:lang w:eastAsia="en-GB"/>
              </w:rPr>
              <w:t>onymous</w:t>
            </w:r>
            <w:r w:rsidRPr="0090775A">
              <w:rPr>
                <w:rFonts w:eastAsia="Times New Roman"/>
                <w:lang w:eastAsia="en-GB"/>
              </w:rPr>
              <w:t xml:space="preserve"> to prevent identification of individuals.</w:t>
            </w:r>
          </w:p>
        </w:tc>
        <w:tc>
          <w:tcPr>
            <w:tcW w:w="4230" w:type="dxa"/>
          </w:tcPr>
          <w:p w14:paraId="2C4E8A54" w14:textId="77777777" w:rsidR="00373AD1" w:rsidRPr="00CA4A1B" w:rsidRDefault="00373AD1" w:rsidP="00444CE1">
            <w:pPr>
              <w:spacing w:line="276" w:lineRule="auto"/>
              <w:rPr>
                <w:rFonts w:eastAsia="Times New Roman"/>
                <w:lang w:eastAsia="en-GB"/>
              </w:rPr>
            </w:pPr>
            <w:r w:rsidRPr="00B94BB1">
              <w:rPr>
                <w:rFonts w:eastAsia="Times New Roman"/>
                <w:lang w:eastAsia="en-GB"/>
              </w:rPr>
              <w:t>Despite efforts to protect participant data, there are still risks of breaches or unintended disclosures. The reliance on self-reporting may also introduce biases if participants are not fully truthful due to social desirability or other factors.</w:t>
            </w:r>
          </w:p>
        </w:tc>
      </w:tr>
      <w:tr w:rsidR="00373AD1" w14:paraId="6EF2A0AE" w14:textId="77777777" w:rsidTr="00444CE1">
        <w:tc>
          <w:tcPr>
            <w:tcW w:w="1741" w:type="dxa"/>
          </w:tcPr>
          <w:p w14:paraId="73A75432" w14:textId="77777777" w:rsidR="00373AD1" w:rsidRPr="0088758E" w:rsidRDefault="00373AD1" w:rsidP="00444CE1">
            <w:pPr>
              <w:spacing w:line="276" w:lineRule="auto"/>
              <w:rPr>
                <w:rFonts w:eastAsia="Times New Roman"/>
                <w:lang w:eastAsia="en-GB"/>
              </w:rPr>
            </w:pPr>
            <w:r w:rsidRPr="00B94BB1">
              <w:rPr>
                <w:rFonts w:eastAsia="Times New Roman"/>
                <w:lang w:eastAsia="en-GB"/>
              </w:rPr>
              <w:t>Data Analysis</w:t>
            </w:r>
            <w:r>
              <w:rPr>
                <w:rFonts w:eastAsia="Times New Roman"/>
                <w:lang w:eastAsia="en-GB"/>
              </w:rPr>
              <w:t xml:space="preserve"> &amp; </w:t>
            </w:r>
            <w:r w:rsidRPr="00B94BB1">
              <w:rPr>
                <w:rFonts w:eastAsia="Times New Roman"/>
                <w:lang w:eastAsia="en-GB"/>
              </w:rPr>
              <w:t>Interpretation</w:t>
            </w:r>
            <w:r>
              <w:rPr>
                <w:rFonts w:eastAsia="Times New Roman"/>
                <w:lang w:eastAsia="en-GB"/>
              </w:rPr>
              <w:t>.</w:t>
            </w:r>
          </w:p>
        </w:tc>
        <w:tc>
          <w:tcPr>
            <w:tcW w:w="4140" w:type="dxa"/>
          </w:tcPr>
          <w:p w14:paraId="7555FB78" w14:textId="77777777" w:rsidR="00373AD1" w:rsidRPr="0088758E" w:rsidRDefault="00373AD1" w:rsidP="00444CE1">
            <w:pPr>
              <w:spacing w:line="276" w:lineRule="auto"/>
              <w:rPr>
                <w:rFonts w:eastAsia="Times New Roman"/>
                <w:lang w:eastAsia="en-GB"/>
              </w:rPr>
            </w:pPr>
            <w:r w:rsidRPr="00B94BB1">
              <w:rPr>
                <w:rFonts w:eastAsia="Times New Roman"/>
                <w:lang w:eastAsia="en-GB"/>
              </w:rPr>
              <w:t>Quantitative data obtained through surveys can be analysed using statistical methods to identify significant relationships and trends</w:t>
            </w:r>
            <w:r>
              <w:rPr>
                <w:rFonts w:eastAsia="Times New Roman"/>
                <w:lang w:eastAsia="en-GB"/>
              </w:rPr>
              <w:t>.</w:t>
            </w:r>
            <w:r w:rsidRPr="00B94BB1">
              <w:rPr>
                <w:rFonts w:eastAsia="Times New Roman"/>
                <w:lang w:eastAsia="en-GB"/>
              </w:rPr>
              <w:t xml:space="preserve"> </w:t>
            </w:r>
            <w:r>
              <w:rPr>
                <w:rFonts w:eastAsia="Times New Roman"/>
                <w:lang w:eastAsia="en-GB"/>
              </w:rPr>
              <w:t>Allowing</w:t>
            </w:r>
            <w:r w:rsidRPr="00B94BB1">
              <w:rPr>
                <w:rFonts w:eastAsia="Times New Roman"/>
                <w:lang w:eastAsia="en-GB"/>
              </w:rPr>
              <w:t xml:space="preserve"> researchers to draw evidence-based conclusions and make projections.</w:t>
            </w:r>
          </w:p>
        </w:tc>
        <w:tc>
          <w:tcPr>
            <w:tcW w:w="4230" w:type="dxa"/>
          </w:tcPr>
          <w:p w14:paraId="7E9D2DCA" w14:textId="77777777" w:rsidR="00373AD1" w:rsidRPr="00CA4A1B" w:rsidRDefault="00373AD1" w:rsidP="00444CE1">
            <w:pPr>
              <w:spacing w:line="276" w:lineRule="auto"/>
              <w:rPr>
                <w:rFonts w:eastAsia="Times New Roman"/>
                <w:lang w:eastAsia="en-GB"/>
              </w:rPr>
            </w:pPr>
            <w:r>
              <w:rPr>
                <w:rFonts w:eastAsia="Times New Roman"/>
                <w:lang w:eastAsia="en-GB"/>
              </w:rPr>
              <w:t>T</w:t>
            </w:r>
            <w:r w:rsidRPr="00B94BB1">
              <w:rPr>
                <w:rFonts w:eastAsia="Times New Roman"/>
                <w:lang w:eastAsia="en-GB"/>
              </w:rPr>
              <w:t>he interpretation of survey data can be subjective, and researchers' biases may influence the conclusions drawn. Additionally, correlations identified in the data do not necessarily imply causation, which can lead to misinterpretations.</w:t>
            </w:r>
          </w:p>
        </w:tc>
      </w:tr>
      <w:tr w:rsidR="00373AD1" w14:paraId="2B234975" w14:textId="77777777" w:rsidTr="00444CE1">
        <w:tc>
          <w:tcPr>
            <w:tcW w:w="1741" w:type="dxa"/>
          </w:tcPr>
          <w:p w14:paraId="6D0B2E9E" w14:textId="77777777" w:rsidR="00373AD1" w:rsidRPr="0088758E" w:rsidRDefault="00373AD1" w:rsidP="00444CE1">
            <w:pPr>
              <w:spacing w:line="276" w:lineRule="auto"/>
              <w:rPr>
                <w:rFonts w:eastAsia="Times New Roman"/>
                <w:lang w:eastAsia="en-GB"/>
              </w:rPr>
            </w:pPr>
            <w:r w:rsidRPr="00B94BB1">
              <w:rPr>
                <w:rFonts w:eastAsia="Times New Roman"/>
                <w:lang w:eastAsia="en-GB"/>
              </w:rPr>
              <w:t xml:space="preserve">Survey Design </w:t>
            </w:r>
            <w:r>
              <w:rPr>
                <w:rFonts w:eastAsia="Times New Roman"/>
                <w:lang w:eastAsia="en-GB"/>
              </w:rPr>
              <w:t xml:space="preserve">&amp; </w:t>
            </w:r>
            <w:r w:rsidRPr="00B94BB1">
              <w:rPr>
                <w:rFonts w:eastAsia="Times New Roman"/>
                <w:lang w:eastAsia="en-GB"/>
              </w:rPr>
              <w:t>Implementation</w:t>
            </w:r>
            <w:r>
              <w:rPr>
                <w:rFonts w:eastAsia="Times New Roman"/>
                <w:lang w:eastAsia="en-GB"/>
              </w:rPr>
              <w:t>.</w:t>
            </w:r>
          </w:p>
        </w:tc>
        <w:tc>
          <w:tcPr>
            <w:tcW w:w="4140" w:type="dxa"/>
          </w:tcPr>
          <w:p w14:paraId="61084388" w14:textId="77777777" w:rsidR="00373AD1" w:rsidRPr="0088758E" w:rsidRDefault="00373AD1" w:rsidP="00444CE1">
            <w:pPr>
              <w:spacing w:line="276" w:lineRule="auto"/>
              <w:rPr>
                <w:rFonts w:eastAsia="Times New Roman"/>
                <w:lang w:eastAsia="en-GB"/>
              </w:rPr>
            </w:pPr>
            <w:r w:rsidRPr="00B94BB1">
              <w:rPr>
                <w:rFonts w:eastAsia="Times New Roman"/>
                <w:lang w:eastAsia="en-GB"/>
              </w:rPr>
              <w:t>A well-designed survey can efficiently collect data from a large sample, providing a broad overview of the population of interest. Standardi</w:t>
            </w:r>
            <w:r>
              <w:rPr>
                <w:rFonts w:eastAsia="Times New Roman"/>
                <w:lang w:eastAsia="en-GB"/>
              </w:rPr>
              <w:t>s</w:t>
            </w:r>
            <w:r w:rsidRPr="00B94BB1">
              <w:rPr>
                <w:rFonts w:eastAsia="Times New Roman"/>
                <w:lang w:eastAsia="en-GB"/>
              </w:rPr>
              <w:t>ed questions ensure that data is consistent and comparable across participants.</w:t>
            </w:r>
          </w:p>
        </w:tc>
        <w:tc>
          <w:tcPr>
            <w:tcW w:w="4230" w:type="dxa"/>
          </w:tcPr>
          <w:p w14:paraId="1513940C" w14:textId="77777777" w:rsidR="00373AD1" w:rsidRPr="00CA4A1B" w:rsidRDefault="00373AD1" w:rsidP="00444CE1">
            <w:pPr>
              <w:spacing w:line="276" w:lineRule="auto"/>
              <w:rPr>
                <w:rFonts w:eastAsia="Times New Roman"/>
                <w:lang w:eastAsia="en-GB"/>
              </w:rPr>
            </w:pPr>
            <w:r>
              <w:rPr>
                <w:rFonts w:eastAsia="Times New Roman"/>
                <w:lang w:eastAsia="en-GB"/>
              </w:rPr>
              <w:t>D</w:t>
            </w:r>
            <w:r w:rsidRPr="00B94BB1">
              <w:rPr>
                <w:rFonts w:eastAsia="Times New Roman"/>
                <w:lang w:eastAsia="en-GB"/>
              </w:rPr>
              <w:t>esigning an effective survey requires expertise in questionnaire development, sampling techniques, and data analysis. Poorly worded questions, biased samples, or low response rates can compromise the validity and reliability of the findings.</w:t>
            </w:r>
          </w:p>
        </w:tc>
      </w:tr>
      <w:tr w:rsidR="00373AD1" w14:paraId="6F48E315" w14:textId="77777777" w:rsidTr="00444CE1">
        <w:tc>
          <w:tcPr>
            <w:tcW w:w="1741" w:type="dxa"/>
          </w:tcPr>
          <w:p w14:paraId="03C5D0B8" w14:textId="77777777" w:rsidR="00373AD1" w:rsidRDefault="00373AD1" w:rsidP="00444CE1">
            <w:pPr>
              <w:spacing w:line="276" w:lineRule="auto"/>
              <w:rPr>
                <w:rFonts w:eastAsia="Times New Roman"/>
                <w:lang w:eastAsia="en-GB"/>
              </w:rPr>
            </w:pPr>
            <w:r w:rsidRPr="00B94BB1">
              <w:rPr>
                <w:rFonts w:eastAsia="Times New Roman"/>
                <w:lang w:eastAsia="en-GB"/>
              </w:rPr>
              <w:t>Longitudinal Analysis</w:t>
            </w:r>
            <w:r>
              <w:rPr>
                <w:rFonts w:eastAsia="Times New Roman"/>
                <w:lang w:eastAsia="en-GB"/>
              </w:rPr>
              <w:t>.</w:t>
            </w:r>
          </w:p>
        </w:tc>
        <w:tc>
          <w:tcPr>
            <w:tcW w:w="4140" w:type="dxa"/>
          </w:tcPr>
          <w:p w14:paraId="56E4D3B2" w14:textId="77777777" w:rsidR="00373AD1" w:rsidRDefault="00373AD1" w:rsidP="00444CE1">
            <w:pPr>
              <w:spacing w:line="276" w:lineRule="auto"/>
              <w:rPr>
                <w:rFonts w:eastAsia="Times New Roman"/>
                <w:lang w:eastAsia="en-GB"/>
              </w:rPr>
            </w:pPr>
            <w:r w:rsidRPr="00B94BB1">
              <w:rPr>
                <w:rFonts w:eastAsia="Times New Roman"/>
                <w:lang w:eastAsia="en-GB"/>
              </w:rPr>
              <w:t>Surveys can be administered repeatedly over time to track changes in attitudes, behaviours, or outcomes. Longitudinal studies can provide valuable insights into trends and patterns of change.</w:t>
            </w:r>
          </w:p>
        </w:tc>
        <w:tc>
          <w:tcPr>
            <w:tcW w:w="4230" w:type="dxa"/>
          </w:tcPr>
          <w:p w14:paraId="239A3DFD" w14:textId="77777777" w:rsidR="00373AD1" w:rsidRDefault="00373AD1" w:rsidP="00444CE1">
            <w:pPr>
              <w:spacing w:line="276" w:lineRule="auto"/>
              <w:rPr>
                <w:rFonts w:eastAsia="Times New Roman"/>
                <w:lang w:eastAsia="en-GB"/>
              </w:rPr>
            </w:pPr>
            <w:r w:rsidRPr="00B94BB1">
              <w:rPr>
                <w:rFonts w:eastAsia="Times New Roman"/>
                <w:lang w:eastAsia="en-GB"/>
              </w:rPr>
              <w:t xml:space="preserve">Longitudinal surveys can be expensive and time-consuming to conduct. Participant attrition (loss of participants over time) can also introduce bias and affect the </w:t>
            </w:r>
            <w:r>
              <w:rPr>
                <w:rFonts w:eastAsia="Times New Roman"/>
                <w:lang w:eastAsia="en-GB"/>
              </w:rPr>
              <w:t xml:space="preserve">validity </w:t>
            </w:r>
            <w:r w:rsidRPr="00B94BB1">
              <w:rPr>
                <w:rFonts w:eastAsia="Times New Roman"/>
                <w:lang w:eastAsia="en-GB"/>
              </w:rPr>
              <w:t>of the findings.</w:t>
            </w:r>
          </w:p>
        </w:tc>
      </w:tr>
    </w:tbl>
    <w:p w14:paraId="5A3C841B" w14:textId="74BBF8C8" w:rsidR="00373AD1" w:rsidRDefault="00373AD1" w:rsidP="00373AD1">
      <w:pPr>
        <w:pStyle w:val="Caption"/>
        <w:jc w:val="center"/>
        <w:rPr>
          <w:rFonts w:eastAsia="Times New Roman"/>
          <w:lang w:eastAsia="en-GB"/>
        </w:rPr>
      </w:pPr>
      <w:bookmarkStart w:id="36" w:name="_Toc191138512"/>
      <w:bookmarkStart w:id="37" w:name="_Toc205120605"/>
      <w:bookmarkStart w:id="38" w:name="_Toc219216417"/>
      <w:bookmarkEnd w:id="35"/>
      <w:r>
        <w:t xml:space="preserve">Table </w:t>
      </w:r>
      <w:fldSimple w:instr=" SEQ Table \* ARABIC ">
        <w:r w:rsidR="004239CB">
          <w:rPr>
            <w:noProof/>
          </w:rPr>
          <w:t>4</w:t>
        </w:r>
      </w:fldSimple>
      <w:r>
        <w:t xml:space="preserve"> - </w:t>
      </w:r>
      <w:r w:rsidRPr="00A058A2">
        <w:t>Survey Methodology</w:t>
      </w:r>
      <w:r>
        <w:t xml:space="preserve"> Analysis</w:t>
      </w:r>
      <w:bookmarkEnd w:id="36"/>
      <w:bookmarkEnd w:id="37"/>
      <w:bookmarkEnd w:id="38"/>
    </w:p>
    <w:p w14:paraId="5EA4D3CD" w14:textId="77777777" w:rsidR="00373AD1" w:rsidRDefault="00000000" w:rsidP="00373AD1">
      <w:pPr>
        <w:spacing w:after="0" w:line="360" w:lineRule="auto"/>
        <w:ind w:left="-576" w:right="-576"/>
        <w:jc w:val="center"/>
        <w:rPr>
          <w:rFonts w:eastAsia="Times New Roman"/>
          <w:lang w:eastAsia="en-GB"/>
        </w:rPr>
      </w:pPr>
      <w:sdt>
        <w:sdtPr>
          <w:rPr>
            <w:rFonts w:eastAsia="Times New Roman"/>
            <w:lang w:eastAsia="en-GB"/>
          </w:rPr>
          <w:id w:val="-1310849846"/>
          <w:citation/>
        </w:sdtPr>
        <w:sdtContent>
          <w:r w:rsidR="00373AD1">
            <w:rPr>
              <w:rFonts w:eastAsia="Times New Roman"/>
              <w:lang w:eastAsia="en-GB"/>
            </w:rPr>
            <w:fldChar w:fldCharType="begin"/>
          </w:r>
          <w:r w:rsidR="00373AD1">
            <w:rPr>
              <w:rFonts w:eastAsia="Times New Roman"/>
              <w:lang w:val="en-US" w:eastAsia="en-GB"/>
            </w:rPr>
            <w:instrText xml:space="preserve"> CITATION Ham20 \l 1033 </w:instrText>
          </w:r>
          <w:r w:rsidR="00373AD1">
            <w:rPr>
              <w:rFonts w:eastAsia="Times New Roman"/>
              <w:lang w:eastAsia="en-GB"/>
            </w:rPr>
            <w:fldChar w:fldCharType="separate"/>
          </w:r>
          <w:r w:rsidR="00373AD1" w:rsidRPr="00C83279">
            <w:rPr>
              <w:rFonts w:eastAsia="Times New Roman"/>
              <w:noProof/>
              <w:lang w:val="en-US" w:eastAsia="en-GB"/>
            </w:rPr>
            <w:t>(Taherdoost, 2020)</w:t>
          </w:r>
          <w:r w:rsidR="00373AD1">
            <w:rPr>
              <w:rFonts w:eastAsia="Times New Roman"/>
              <w:lang w:eastAsia="en-GB"/>
            </w:rPr>
            <w:fldChar w:fldCharType="end"/>
          </w:r>
        </w:sdtContent>
      </w:sdt>
      <w:r w:rsidR="00373AD1">
        <w:rPr>
          <w:rFonts w:eastAsia="Times New Roman"/>
          <w:lang w:eastAsia="en-GB"/>
        </w:rPr>
        <w:t xml:space="preserve"> </w:t>
      </w:r>
      <w:sdt>
        <w:sdtPr>
          <w:rPr>
            <w:rFonts w:eastAsia="Times New Roman"/>
            <w:lang w:eastAsia="en-GB"/>
          </w:rPr>
          <w:id w:val="-329067320"/>
          <w:citation/>
        </w:sdtPr>
        <w:sdtContent>
          <w:r w:rsidR="00373AD1">
            <w:rPr>
              <w:rFonts w:eastAsia="Times New Roman"/>
              <w:lang w:eastAsia="en-GB"/>
            </w:rPr>
            <w:fldChar w:fldCharType="begin"/>
          </w:r>
          <w:r w:rsidR="00373AD1">
            <w:rPr>
              <w:rFonts w:eastAsia="Times New Roman"/>
              <w:lang w:val="en-US" w:eastAsia="en-GB"/>
            </w:rPr>
            <w:instrText xml:space="preserve"> CITATION AFi17 \l 1033 </w:instrText>
          </w:r>
          <w:r w:rsidR="00373AD1">
            <w:rPr>
              <w:rFonts w:eastAsia="Times New Roman"/>
              <w:lang w:eastAsia="en-GB"/>
            </w:rPr>
            <w:fldChar w:fldCharType="separate"/>
          </w:r>
          <w:r w:rsidR="00373AD1" w:rsidRPr="00C83279">
            <w:rPr>
              <w:rFonts w:eastAsia="Times New Roman"/>
              <w:noProof/>
              <w:lang w:val="en-US" w:eastAsia="en-GB"/>
            </w:rPr>
            <w:t>(Fink, 2017)</w:t>
          </w:r>
          <w:r w:rsidR="00373AD1">
            <w:rPr>
              <w:rFonts w:eastAsia="Times New Roman"/>
              <w:lang w:eastAsia="en-GB"/>
            </w:rPr>
            <w:fldChar w:fldCharType="end"/>
          </w:r>
        </w:sdtContent>
      </w:sdt>
      <w:sdt>
        <w:sdtPr>
          <w:rPr>
            <w:rFonts w:eastAsia="Times New Roman"/>
            <w:lang w:eastAsia="en-GB"/>
          </w:rPr>
          <w:id w:val="1963692217"/>
          <w:citation/>
        </w:sdtPr>
        <w:sdtContent>
          <w:r w:rsidR="00373AD1">
            <w:rPr>
              <w:rFonts w:eastAsia="Times New Roman"/>
              <w:lang w:eastAsia="en-GB"/>
            </w:rPr>
            <w:fldChar w:fldCharType="begin"/>
          </w:r>
          <w:r w:rsidR="00373AD1">
            <w:rPr>
              <w:rFonts w:eastAsia="Times New Roman"/>
              <w:lang w:val="en-US" w:eastAsia="en-GB"/>
            </w:rPr>
            <w:instrText xml:space="preserve"> CITATION APi93 \l 1033 </w:instrText>
          </w:r>
          <w:r w:rsidR="00373AD1">
            <w:rPr>
              <w:rFonts w:eastAsia="Times New Roman"/>
              <w:lang w:eastAsia="en-GB"/>
            </w:rPr>
            <w:fldChar w:fldCharType="separate"/>
          </w:r>
          <w:r w:rsidR="00373AD1">
            <w:rPr>
              <w:rFonts w:eastAsia="Times New Roman"/>
              <w:noProof/>
              <w:lang w:val="en-US" w:eastAsia="en-GB"/>
            </w:rPr>
            <w:t xml:space="preserve"> </w:t>
          </w:r>
          <w:r w:rsidR="00373AD1" w:rsidRPr="00C83279">
            <w:rPr>
              <w:rFonts w:eastAsia="Times New Roman"/>
              <w:noProof/>
              <w:lang w:val="en-US" w:eastAsia="en-GB"/>
            </w:rPr>
            <w:t>(Pinsonneault, 1993)</w:t>
          </w:r>
          <w:r w:rsidR="00373AD1">
            <w:rPr>
              <w:rFonts w:eastAsia="Times New Roman"/>
              <w:lang w:eastAsia="en-GB"/>
            </w:rPr>
            <w:fldChar w:fldCharType="end"/>
          </w:r>
        </w:sdtContent>
      </w:sdt>
      <w:sdt>
        <w:sdtPr>
          <w:rPr>
            <w:rFonts w:eastAsia="Times New Roman"/>
            <w:lang w:eastAsia="en-GB"/>
          </w:rPr>
          <w:id w:val="318002480"/>
          <w:citation/>
        </w:sdtPr>
        <w:sdtContent>
          <w:r w:rsidR="00373AD1">
            <w:rPr>
              <w:rFonts w:eastAsia="Times New Roman"/>
              <w:lang w:eastAsia="en-GB"/>
            </w:rPr>
            <w:fldChar w:fldCharType="begin"/>
          </w:r>
          <w:r w:rsidR="00373AD1">
            <w:rPr>
              <w:rFonts w:eastAsia="Times New Roman"/>
              <w:lang w:val="en-US" w:eastAsia="en-GB"/>
            </w:rPr>
            <w:instrText xml:space="preserve"> CITATION Kha08 \l 1033 </w:instrText>
          </w:r>
          <w:r w:rsidR="00373AD1">
            <w:rPr>
              <w:rFonts w:eastAsia="Times New Roman"/>
              <w:lang w:eastAsia="en-GB"/>
            </w:rPr>
            <w:fldChar w:fldCharType="separate"/>
          </w:r>
          <w:r w:rsidR="00373AD1">
            <w:rPr>
              <w:rFonts w:eastAsia="Times New Roman"/>
              <w:noProof/>
              <w:lang w:val="en-US" w:eastAsia="en-GB"/>
            </w:rPr>
            <w:t xml:space="preserve"> </w:t>
          </w:r>
          <w:r w:rsidR="00373AD1" w:rsidRPr="00C83279">
            <w:rPr>
              <w:rFonts w:eastAsia="Times New Roman"/>
              <w:noProof/>
              <w:lang w:val="en-US" w:eastAsia="en-GB"/>
            </w:rPr>
            <w:t>(Khairul Baharein, 2008)</w:t>
          </w:r>
          <w:r w:rsidR="00373AD1">
            <w:rPr>
              <w:rFonts w:eastAsia="Times New Roman"/>
              <w:lang w:eastAsia="en-GB"/>
            </w:rPr>
            <w:fldChar w:fldCharType="end"/>
          </w:r>
        </w:sdtContent>
      </w:sdt>
      <w:r w:rsidR="00373AD1">
        <w:rPr>
          <w:rFonts w:eastAsia="Times New Roman"/>
          <w:lang w:eastAsia="en-GB"/>
        </w:rPr>
        <w:t xml:space="preserve"> </w:t>
      </w:r>
      <w:sdt>
        <w:sdtPr>
          <w:rPr>
            <w:rFonts w:eastAsia="Times New Roman"/>
            <w:lang w:eastAsia="en-GB"/>
          </w:rPr>
          <w:id w:val="-1666550806"/>
          <w:citation/>
        </w:sdtPr>
        <w:sdtContent>
          <w:r w:rsidR="00373AD1">
            <w:rPr>
              <w:rFonts w:eastAsia="Times New Roman"/>
              <w:lang w:eastAsia="en-GB"/>
            </w:rPr>
            <w:fldChar w:fldCharType="begin"/>
          </w:r>
          <w:r w:rsidR="00373AD1">
            <w:rPr>
              <w:rFonts w:eastAsia="Times New Roman"/>
              <w:lang w:val="en-US" w:eastAsia="en-GB"/>
            </w:rPr>
            <w:instrText xml:space="preserve"> CITATION Mic08 \l 1033 </w:instrText>
          </w:r>
          <w:r w:rsidR="00373AD1">
            <w:rPr>
              <w:rFonts w:eastAsia="Times New Roman"/>
              <w:lang w:eastAsia="en-GB"/>
            </w:rPr>
            <w:fldChar w:fldCharType="separate"/>
          </w:r>
          <w:r w:rsidR="00373AD1" w:rsidRPr="00C83279">
            <w:rPr>
              <w:rFonts w:eastAsia="Times New Roman"/>
              <w:noProof/>
              <w:lang w:val="en-US" w:eastAsia="en-GB"/>
            </w:rPr>
            <w:t>(Battaglia, 2008)</w:t>
          </w:r>
          <w:r w:rsidR="00373AD1">
            <w:rPr>
              <w:rFonts w:eastAsia="Times New Roman"/>
              <w:lang w:eastAsia="en-GB"/>
            </w:rPr>
            <w:fldChar w:fldCharType="end"/>
          </w:r>
        </w:sdtContent>
      </w:sdt>
    </w:p>
    <w:p w14:paraId="745E5110" w14:textId="77777777" w:rsidR="00373AD1" w:rsidRDefault="00373AD1" w:rsidP="00373AD1">
      <w:pPr>
        <w:spacing w:after="0" w:line="360" w:lineRule="auto"/>
        <w:ind w:left="-576" w:right="-576"/>
        <w:jc w:val="both"/>
        <w:rPr>
          <w:rFonts w:eastAsia="Times New Roman"/>
          <w:lang w:eastAsia="en-GB"/>
        </w:rPr>
      </w:pPr>
    </w:p>
    <w:p w14:paraId="6158BABD" w14:textId="77777777" w:rsidR="00373AD1" w:rsidRDefault="00373AD1" w:rsidP="00373AD1">
      <w:pPr>
        <w:spacing w:after="0" w:line="360" w:lineRule="auto"/>
        <w:ind w:left="-576" w:right="-576"/>
        <w:jc w:val="both"/>
        <w:rPr>
          <w:rFonts w:eastAsia="Times New Roman"/>
          <w:lang w:eastAsia="en-GB"/>
        </w:rPr>
      </w:pPr>
      <w:r w:rsidRPr="007C7B38">
        <w:rPr>
          <w:rFonts w:eastAsia="Times New Roman"/>
          <w:lang w:eastAsia="en-GB"/>
        </w:rPr>
        <w:t>Survey methodology is a multifaceted approach with notable strengths and limitations that must be carefully considered in research design</w:t>
      </w:r>
      <w:r>
        <w:rPr>
          <w:rFonts w:eastAsia="Times New Roman"/>
          <w:lang w:eastAsia="en-GB"/>
        </w:rPr>
        <w:t xml:space="preserve"> </w:t>
      </w:r>
      <w:sdt>
        <w:sdtPr>
          <w:rPr>
            <w:rFonts w:eastAsia="Times New Roman"/>
            <w:lang w:eastAsia="en-GB"/>
          </w:rPr>
          <w:id w:val="-1385401887"/>
          <w:citation/>
        </w:sdtPr>
        <w:sdtContent>
          <w:r>
            <w:rPr>
              <w:rFonts w:eastAsia="Times New Roman"/>
              <w:lang w:eastAsia="en-GB"/>
            </w:rPr>
            <w:fldChar w:fldCharType="begin"/>
          </w:r>
          <w:r>
            <w:rPr>
              <w:rFonts w:eastAsia="Times New Roman"/>
              <w:lang w:val="en-US" w:eastAsia="en-GB"/>
            </w:rPr>
            <w:instrText xml:space="preserve"> CITATION AFi17 \l 1033 </w:instrText>
          </w:r>
          <w:r>
            <w:rPr>
              <w:rFonts w:eastAsia="Times New Roman"/>
              <w:lang w:eastAsia="en-GB"/>
            </w:rPr>
            <w:fldChar w:fldCharType="separate"/>
          </w:r>
          <w:r w:rsidRPr="00C83279">
            <w:rPr>
              <w:rFonts w:eastAsia="Times New Roman"/>
              <w:noProof/>
              <w:lang w:val="en-US" w:eastAsia="en-GB"/>
            </w:rPr>
            <w:t>(Fink, 2017)</w:t>
          </w:r>
          <w:r>
            <w:rPr>
              <w:rFonts w:eastAsia="Times New Roman"/>
              <w:lang w:eastAsia="en-GB"/>
            </w:rPr>
            <w:fldChar w:fldCharType="end"/>
          </w:r>
        </w:sdtContent>
      </w:sdt>
      <w:r w:rsidRPr="007C7B38">
        <w:rPr>
          <w:rFonts w:eastAsia="Times New Roman"/>
          <w:lang w:eastAsia="en-GB"/>
        </w:rPr>
        <w:t xml:space="preserve">. While valuable for gathering broad data and identifying trends, </w:t>
      </w:r>
      <w:r>
        <w:rPr>
          <w:rFonts w:eastAsia="Times New Roman"/>
          <w:lang w:eastAsia="en-GB"/>
        </w:rPr>
        <w:t>survey</w:t>
      </w:r>
      <w:r w:rsidRPr="007C7B38">
        <w:rPr>
          <w:rFonts w:eastAsia="Times New Roman"/>
          <w:lang w:eastAsia="en-GB"/>
        </w:rPr>
        <w:t xml:space="preserve"> effectiveness depends on addressing potential biases, ensuring ethical practices, and acknowledging limitations of descriptive research. </w:t>
      </w:r>
      <w:r>
        <w:rPr>
          <w:rFonts w:eastAsia="Times New Roman"/>
          <w:lang w:eastAsia="en-GB"/>
        </w:rPr>
        <w:t>B</w:t>
      </w:r>
      <w:r w:rsidRPr="007C7B38">
        <w:rPr>
          <w:rFonts w:eastAsia="Times New Roman"/>
          <w:lang w:eastAsia="en-GB"/>
        </w:rPr>
        <w:t xml:space="preserve">enefits of anonymity </w:t>
      </w:r>
      <w:r>
        <w:rPr>
          <w:rFonts w:eastAsia="Times New Roman"/>
          <w:lang w:eastAsia="en-GB"/>
        </w:rPr>
        <w:t xml:space="preserve">must be weighed </w:t>
      </w:r>
      <w:r w:rsidRPr="007C7B38">
        <w:rPr>
          <w:rFonts w:eastAsia="Times New Roman"/>
          <w:lang w:eastAsia="en-GB"/>
        </w:rPr>
        <w:t>against need for detailed insights and recogni</w:t>
      </w:r>
      <w:r>
        <w:rPr>
          <w:rFonts w:eastAsia="Times New Roman"/>
          <w:lang w:eastAsia="en-GB"/>
        </w:rPr>
        <w:t>s</w:t>
      </w:r>
      <w:r w:rsidRPr="007C7B38">
        <w:rPr>
          <w:rFonts w:eastAsia="Times New Roman"/>
          <w:lang w:eastAsia="en-GB"/>
        </w:rPr>
        <w:t>e correlations do not confirm causation.</w:t>
      </w:r>
      <w:r>
        <w:rPr>
          <w:rFonts w:eastAsia="Times New Roman"/>
          <w:lang w:eastAsia="en-GB"/>
        </w:rPr>
        <w:t xml:space="preserve"> </w:t>
      </w:r>
      <w:sdt>
        <w:sdtPr>
          <w:rPr>
            <w:rFonts w:eastAsia="Times New Roman"/>
            <w:lang w:eastAsia="en-GB"/>
          </w:rPr>
          <w:id w:val="788014284"/>
          <w:citation/>
        </w:sdtPr>
        <w:sdtContent>
          <w:r>
            <w:rPr>
              <w:rFonts w:eastAsia="Times New Roman"/>
              <w:lang w:eastAsia="en-GB"/>
            </w:rPr>
            <w:fldChar w:fldCharType="begin"/>
          </w:r>
          <w:r>
            <w:rPr>
              <w:rFonts w:eastAsia="Times New Roman"/>
              <w:lang w:val="en-US" w:eastAsia="en-GB"/>
            </w:rPr>
            <w:instrText xml:space="preserve"> CITATION Ham20 \l 1033 </w:instrText>
          </w:r>
          <w:r>
            <w:rPr>
              <w:rFonts w:eastAsia="Times New Roman"/>
              <w:lang w:eastAsia="en-GB"/>
            </w:rPr>
            <w:fldChar w:fldCharType="separate"/>
          </w:r>
          <w:r w:rsidRPr="00C83279">
            <w:rPr>
              <w:rFonts w:eastAsia="Times New Roman"/>
              <w:noProof/>
              <w:lang w:val="en-US" w:eastAsia="en-GB"/>
            </w:rPr>
            <w:t>(Taherdoost, 2020)</w:t>
          </w:r>
          <w:r>
            <w:rPr>
              <w:rFonts w:eastAsia="Times New Roman"/>
              <w:lang w:eastAsia="en-GB"/>
            </w:rPr>
            <w:fldChar w:fldCharType="end"/>
          </w:r>
        </w:sdtContent>
      </w:sdt>
    </w:p>
    <w:p w14:paraId="2400BC1A" w14:textId="77777777" w:rsidR="00373AD1" w:rsidRPr="007C7B38" w:rsidRDefault="00373AD1" w:rsidP="00373AD1">
      <w:pPr>
        <w:spacing w:after="0" w:line="360" w:lineRule="auto"/>
        <w:ind w:left="-576" w:right="-576"/>
        <w:jc w:val="both"/>
        <w:rPr>
          <w:rFonts w:eastAsia="Times New Roman"/>
          <w:lang w:eastAsia="en-GB"/>
        </w:rPr>
      </w:pPr>
    </w:p>
    <w:p w14:paraId="4B3D0A4F" w14:textId="77777777" w:rsidR="00373AD1" w:rsidRDefault="00373AD1" w:rsidP="00373AD1">
      <w:pPr>
        <w:spacing w:after="0" w:line="360" w:lineRule="auto"/>
        <w:ind w:left="-576" w:right="-576"/>
        <w:jc w:val="both"/>
        <w:rPr>
          <w:rFonts w:eastAsia="Times New Roman"/>
          <w:lang w:eastAsia="en-GB"/>
        </w:rPr>
      </w:pPr>
      <w:r>
        <w:rPr>
          <w:rFonts w:eastAsia="Times New Roman"/>
          <w:lang w:eastAsia="en-GB"/>
        </w:rPr>
        <w:t>P</w:t>
      </w:r>
      <w:r w:rsidRPr="007C7B38">
        <w:rPr>
          <w:rFonts w:eastAsia="Times New Roman"/>
          <w:lang w:eastAsia="en-GB"/>
        </w:rPr>
        <w:t xml:space="preserve">ractical efficiency and broad reach make </w:t>
      </w:r>
      <w:r>
        <w:rPr>
          <w:rFonts w:eastAsia="Times New Roman"/>
          <w:lang w:eastAsia="en-GB"/>
        </w:rPr>
        <w:t>surveys</w:t>
      </w:r>
      <w:r w:rsidRPr="007C7B38">
        <w:rPr>
          <w:rFonts w:eastAsia="Times New Roman"/>
          <w:lang w:eastAsia="en-GB"/>
        </w:rPr>
        <w:t xml:space="preserve"> attractive, but the structured nature of questionnaires can restrict depth of response. Longitudinal studies offer insights into changes over time but are resource-intensive and prone to participant attrition</w:t>
      </w:r>
      <w:r>
        <w:rPr>
          <w:rFonts w:eastAsia="Times New Roman"/>
          <w:lang w:eastAsia="en-GB"/>
        </w:rPr>
        <w:t xml:space="preserve"> </w:t>
      </w:r>
      <w:sdt>
        <w:sdtPr>
          <w:rPr>
            <w:rFonts w:eastAsia="Times New Roman"/>
            <w:lang w:eastAsia="en-GB"/>
          </w:rPr>
          <w:id w:val="-715820010"/>
          <w:citation/>
        </w:sdtPr>
        <w:sdtContent>
          <w:r>
            <w:rPr>
              <w:rFonts w:eastAsia="Times New Roman"/>
              <w:lang w:eastAsia="en-GB"/>
            </w:rPr>
            <w:fldChar w:fldCharType="begin"/>
          </w:r>
          <w:r>
            <w:rPr>
              <w:rFonts w:eastAsia="Times New Roman"/>
              <w:lang w:val="en-US" w:eastAsia="en-GB"/>
            </w:rPr>
            <w:instrText xml:space="preserve"> CITATION Sta23 \l 1033 </w:instrText>
          </w:r>
          <w:r>
            <w:rPr>
              <w:rFonts w:eastAsia="Times New Roman"/>
              <w:lang w:eastAsia="en-GB"/>
            </w:rPr>
            <w:fldChar w:fldCharType="separate"/>
          </w:r>
          <w:r w:rsidRPr="00C83279">
            <w:rPr>
              <w:rFonts w:eastAsia="Times New Roman"/>
              <w:noProof/>
              <w:lang w:val="en-US" w:eastAsia="en-GB"/>
            </w:rPr>
            <w:t>(Stanfcheva, 2023)</w:t>
          </w:r>
          <w:r>
            <w:rPr>
              <w:rFonts w:eastAsia="Times New Roman"/>
              <w:lang w:eastAsia="en-GB"/>
            </w:rPr>
            <w:fldChar w:fldCharType="end"/>
          </w:r>
        </w:sdtContent>
      </w:sdt>
      <w:r w:rsidRPr="007C7B38">
        <w:rPr>
          <w:rFonts w:eastAsia="Times New Roman"/>
          <w:lang w:eastAsia="en-GB"/>
        </w:rPr>
        <w:t>. By understanding and mitigating these limitations, researchers can leverage the strengths to obtain meaningful and reliable results</w:t>
      </w:r>
      <w:r>
        <w:rPr>
          <w:rFonts w:eastAsia="Times New Roman"/>
          <w:lang w:eastAsia="en-GB"/>
        </w:rPr>
        <w:t xml:space="preserve"> </w:t>
      </w:r>
      <w:sdt>
        <w:sdtPr>
          <w:rPr>
            <w:rFonts w:eastAsia="Times New Roman"/>
            <w:lang w:eastAsia="en-GB"/>
          </w:rPr>
          <w:id w:val="-390262971"/>
          <w:citation/>
        </w:sdtPr>
        <w:sdtContent>
          <w:r>
            <w:rPr>
              <w:rFonts w:eastAsia="Times New Roman"/>
              <w:lang w:eastAsia="en-GB"/>
            </w:rPr>
            <w:fldChar w:fldCharType="begin"/>
          </w:r>
          <w:r>
            <w:rPr>
              <w:rFonts w:eastAsia="Times New Roman"/>
              <w:lang w:val="en-US" w:eastAsia="en-GB"/>
            </w:rPr>
            <w:instrText xml:space="preserve"> CITATION AFi17 \l 1033 </w:instrText>
          </w:r>
          <w:r>
            <w:rPr>
              <w:rFonts w:eastAsia="Times New Roman"/>
              <w:lang w:eastAsia="en-GB"/>
            </w:rPr>
            <w:fldChar w:fldCharType="separate"/>
          </w:r>
          <w:r w:rsidRPr="00C83279">
            <w:rPr>
              <w:rFonts w:eastAsia="Times New Roman"/>
              <w:noProof/>
              <w:lang w:val="en-US" w:eastAsia="en-GB"/>
            </w:rPr>
            <w:t>(Fink, 2017)</w:t>
          </w:r>
          <w:r>
            <w:rPr>
              <w:rFonts w:eastAsia="Times New Roman"/>
              <w:lang w:eastAsia="en-GB"/>
            </w:rPr>
            <w:fldChar w:fldCharType="end"/>
          </w:r>
        </w:sdtContent>
      </w:sdt>
      <w:r w:rsidRPr="007C7B38">
        <w:rPr>
          <w:rFonts w:eastAsia="Times New Roman"/>
          <w:lang w:eastAsia="en-GB"/>
        </w:rPr>
        <w:t>. Ultimately, a balanced approach acknowledg</w:t>
      </w:r>
      <w:r>
        <w:rPr>
          <w:rFonts w:eastAsia="Times New Roman"/>
          <w:lang w:eastAsia="en-GB"/>
        </w:rPr>
        <w:t>ing</w:t>
      </w:r>
      <w:r w:rsidRPr="007C7B38">
        <w:rPr>
          <w:rFonts w:eastAsia="Times New Roman"/>
          <w:lang w:eastAsia="en-GB"/>
        </w:rPr>
        <w:t xml:space="preserve"> both advantages and disadvantages of surveys will lead to more robust and insightful outcomes</w:t>
      </w:r>
      <w:r>
        <w:rPr>
          <w:rFonts w:eastAsia="Times New Roman"/>
          <w:lang w:eastAsia="en-GB"/>
        </w:rPr>
        <w:t xml:space="preserve"> </w:t>
      </w:r>
      <w:sdt>
        <w:sdtPr>
          <w:rPr>
            <w:rFonts w:eastAsia="Times New Roman"/>
            <w:lang w:eastAsia="en-GB"/>
          </w:rPr>
          <w:id w:val="-469907357"/>
          <w:citation/>
        </w:sdtPr>
        <w:sdtContent>
          <w:r>
            <w:rPr>
              <w:rFonts w:eastAsia="Times New Roman"/>
              <w:lang w:eastAsia="en-GB"/>
            </w:rPr>
            <w:fldChar w:fldCharType="begin"/>
          </w:r>
          <w:r>
            <w:rPr>
              <w:rFonts w:eastAsia="Times New Roman"/>
              <w:lang w:val="en-US" w:eastAsia="en-GB"/>
            </w:rPr>
            <w:instrText xml:space="preserve"> CITATION Ham20 \l 1033 </w:instrText>
          </w:r>
          <w:r>
            <w:rPr>
              <w:rFonts w:eastAsia="Times New Roman"/>
              <w:lang w:eastAsia="en-GB"/>
            </w:rPr>
            <w:fldChar w:fldCharType="separate"/>
          </w:r>
          <w:r w:rsidRPr="00C83279">
            <w:rPr>
              <w:rFonts w:eastAsia="Times New Roman"/>
              <w:noProof/>
              <w:lang w:val="en-US" w:eastAsia="en-GB"/>
            </w:rPr>
            <w:t>(Taherdoost, 2020)</w:t>
          </w:r>
          <w:r>
            <w:rPr>
              <w:rFonts w:eastAsia="Times New Roman"/>
              <w:lang w:eastAsia="en-GB"/>
            </w:rPr>
            <w:fldChar w:fldCharType="end"/>
          </w:r>
        </w:sdtContent>
      </w:sdt>
      <w:r w:rsidRPr="007C7B38">
        <w:rPr>
          <w:rFonts w:eastAsia="Times New Roman"/>
          <w:lang w:eastAsia="en-GB"/>
        </w:rPr>
        <w:t>.</w:t>
      </w:r>
      <w:r>
        <w:rPr>
          <w:rFonts w:eastAsia="Times New Roman"/>
          <w:lang w:eastAsia="en-GB"/>
        </w:rPr>
        <w:t xml:space="preserve"> </w:t>
      </w:r>
    </w:p>
    <w:p w14:paraId="7FC162DE" w14:textId="680D8112" w:rsidR="00373AD1" w:rsidRDefault="00373AD1" w:rsidP="00373AD1">
      <w:pPr>
        <w:spacing w:after="0" w:line="360" w:lineRule="auto"/>
        <w:ind w:left="-576" w:right="-576"/>
        <w:jc w:val="both"/>
        <w:rPr>
          <w:color w:val="EE0000"/>
        </w:rPr>
      </w:pPr>
      <w:r w:rsidRPr="00144014">
        <w:rPr>
          <w:color w:val="EE0000"/>
        </w:rPr>
        <w:t>170</w:t>
      </w:r>
      <w:r>
        <w:rPr>
          <w:color w:val="EE0000"/>
        </w:rPr>
        <w:t xml:space="preserve"> (</w:t>
      </w:r>
      <w:r w:rsidR="00653F71">
        <w:rPr>
          <w:color w:val="EE0000"/>
        </w:rPr>
        <w:t>6678</w:t>
      </w:r>
      <w:r>
        <w:rPr>
          <w:color w:val="EE0000"/>
        </w:rPr>
        <w:t>)</w:t>
      </w:r>
    </w:p>
    <w:p w14:paraId="38FAED9D" w14:textId="77777777" w:rsidR="00373AD1" w:rsidRDefault="00373AD1" w:rsidP="00373AD1">
      <w:pPr>
        <w:pStyle w:val="Heading2"/>
        <w:ind w:left="-576" w:right="-576"/>
      </w:pPr>
      <w:bookmarkStart w:id="39" w:name="_Toc205129709"/>
      <w:bookmarkStart w:id="40" w:name="_Toc219216474"/>
      <w:r w:rsidRPr="0085746F">
        <w:rPr>
          <w:sz w:val="22"/>
          <w:szCs w:val="22"/>
        </w:rPr>
        <w:lastRenderedPageBreak/>
        <w:t xml:space="preserve">7.2. </w:t>
      </w:r>
      <w:r w:rsidRPr="0085746F">
        <w:rPr>
          <w:sz w:val="22"/>
          <w:szCs w:val="22"/>
          <w:u w:val="single"/>
        </w:rPr>
        <w:t>Question Design.</w:t>
      </w:r>
      <w:bookmarkEnd w:id="39"/>
      <w:bookmarkEnd w:id="40"/>
    </w:p>
    <w:p w14:paraId="0D7A6965" w14:textId="77777777" w:rsidR="00373AD1" w:rsidRDefault="00373AD1" w:rsidP="00373AD1">
      <w:pPr>
        <w:spacing w:after="0" w:line="360" w:lineRule="auto"/>
        <w:ind w:left="-576" w:right="-576"/>
        <w:jc w:val="both"/>
      </w:pPr>
    </w:p>
    <w:p w14:paraId="2C29F480" w14:textId="77777777" w:rsidR="00373AD1" w:rsidRPr="00811BB1" w:rsidRDefault="00373AD1" w:rsidP="00373AD1">
      <w:pPr>
        <w:spacing w:after="0" w:line="360" w:lineRule="auto"/>
        <w:ind w:left="-576" w:right="-576"/>
        <w:jc w:val="both"/>
        <w:rPr>
          <w:rFonts w:eastAsia="Times New Roman"/>
          <w:lang w:eastAsia="en-GB"/>
        </w:rPr>
      </w:pPr>
      <w:r w:rsidRPr="00811BB1">
        <w:rPr>
          <w:rFonts w:eastAsia="Times New Roman"/>
          <w:lang w:eastAsia="en-GB"/>
        </w:rPr>
        <w:t>The design of effective research questions</w:t>
      </w:r>
      <w:r>
        <w:rPr>
          <w:rFonts w:eastAsia="Times New Roman"/>
          <w:lang w:eastAsia="en-GB"/>
        </w:rPr>
        <w:t xml:space="preserve"> and a well-structured questionnaire</w:t>
      </w:r>
      <w:r w:rsidRPr="00811BB1">
        <w:rPr>
          <w:rFonts w:eastAsia="Times New Roman"/>
          <w:lang w:eastAsia="en-GB"/>
        </w:rPr>
        <w:t xml:space="preserve"> is essential </w:t>
      </w:r>
      <w:r>
        <w:rPr>
          <w:rFonts w:eastAsia="Times New Roman"/>
          <w:lang w:eastAsia="en-GB"/>
        </w:rPr>
        <w:t xml:space="preserve">to </w:t>
      </w:r>
      <w:r w:rsidRPr="00811BB1">
        <w:rPr>
          <w:rFonts w:eastAsia="Times New Roman"/>
          <w:lang w:eastAsia="en-GB"/>
        </w:rPr>
        <w:t>facilitate the collection of meaningful data</w:t>
      </w:r>
      <w:r>
        <w:rPr>
          <w:rFonts w:eastAsia="Times New Roman"/>
          <w:lang w:eastAsia="en-GB"/>
        </w:rPr>
        <w:t xml:space="preserve"> </w:t>
      </w:r>
      <w:sdt>
        <w:sdtPr>
          <w:rPr>
            <w:rFonts w:eastAsia="Times New Roman"/>
            <w:lang w:eastAsia="en-GB"/>
          </w:rPr>
          <w:id w:val="-632482596"/>
          <w:citation/>
        </w:sdtPr>
        <w:sdtContent>
          <w:r>
            <w:rPr>
              <w:rFonts w:eastAsia="Times New Roman"/>
              <w:lang w:eastAsia="en-GB"/>
            </w:rPr>
            <w:fldChar w:fldCharType="begin"/>
          </w:r>
          <w:r>
            <w:rPr>
              <w:rFonts w:eastAsia="Times New Roman"/>
              <w:lang w:val="en-US" w:eastAsia="en-GB"/>
            </w:rPr>
            <w:instrText xml:space="preserve"> CITATION AFi17 \l 1033 </w:instrText>
          </w:r>
          <w:r>
            <w:rPr>
              <w:rFonts w:eastAsia="Times New Roman"/>
              <w:lang w:eastAsia="en-GB"/>
            </w:rPr>
            <w:fldChar w:fldCharType="separate"/>
          </w:r>
          <w:r w:rsidRPr="00C83279">
            <w:rPr>
              <w:rFonts w:eastAsia="Times New Roman"/>
              <w:noProof/>
              <w:lang w:val="en-US" w:eastAsia="en-GB"/>
            </w:rPr>
            <w:t>(Fink, 2017)</w:t>
          </w:r>
          <w:r>
            <w:rPr>
              <w:rFonts w:eastAsia="Times New Roman"/>
              <w:lang w:eastAsia="en-GB"/>
            </w:rPr>
            <w:fldChar w:fldCharType="end"/>
          </w:r>
        </w:sdtContent>
      </w:sdt>
      <w:r>
        <w:rPr>
          <w:rFonts w:eastAsia="Times New Roman"/>
          <w:lang w:eastAsia="en-GB"/>
        </w:rPr>
        <w:t xml:space="preserve">. </w:t>
      </w:r>
      <w:r w:rsidRPr="00811BB1">
        <w:rPr>
          <w:rFonts w:eastAsia="Times New Roman"/>
          <w:lang w:eastAsia="en-GB"/>
        </w:rPr>
        <w:t xml:space="preserve">Given the diverse nature of industries and project environments, questions </w:t>
      </w:r>
      <w:r>
        <w:rPr>
          <w:rFonts w:eastAsia="Times New Roman"/>
          <w:lang w:eastAsia="en-GB"/>
        </w:rPr>
        <w:t xml:space="preserve">must </w:t>
      </w:r>
      <w:r w:rsidRPr="00811BB1">
        <w:rPr>
          <w:rFonts w:eastAsia="Times New Roman"/>
          <w:lang w:eastAsia="en-GB"/>
        </w:rPr>
        <w:t xml:space="preserve">ensure </w:t>
      </w:r>
      <w:r>
        <w:rPr>
          <w:rFonts w:eastAsia="Times New Roman"/>
          <w:lang w:eastAsia="en-GB"/>
        </w:rPr>
        <w:t xml:space="preserve">the </w:t>
      </w:r>
      <w:r w:rsidRPr="00811BB1">
        <w:rPr>
          <w:rFonts w:eastAsia="Times New Roman"/>
          <w:lang w:eastAsia="en-GB"/>
        </w:rPr>
        <w:t>research captures a broad spectrum of experiences and perspectives</w:t>
      </w:r>
      <w:r>
        <w:rPr>
          <w:rFonts w:eastAsia="Times New Roman"/>
          <w:lang w:eastAsia="en-GB"/>
        </w:rPr>
        <w:t xml:space="preserve"> </w:t>
      </w:r>
      <w:sdt>
        <w:sdtPr>
          <w:rPr>
            <w:rFonts w:eastAsia="Times New Roman"/>
            <w:lang w:eastAsia="en-GB"/>
          </w:rPr>
          <w:id w:val="-1938050797"/>
          <w:citation/>
        </w:sdtPr>
        <w:sdtContent>
          <w:r>
            <w:rPr>
              <w:rFonts w:eastAsia="Times New Roman"/>
              <w:lang w:eastAsia="en-GB"/>
            </w:rPr>
            <w:fldChar w:fldCharType="begin"/>
          </w:r>
          <w:r>
            <w:rPr>
              <w:rFonts w:eastAsia="Times New Roman"/>
              <w:lang w:val="en-US" w:eastAsia="en-GB"/>
            </w:rPr>
            <w:instrText xml:space="preserve"> CITATION Sta23 \l 1033 </w:instrText>
          </w:r>
          <w:r>
            <w:rPr>
              <w:rFonts w:eastAsia="Times New Roman"/>
              <w:lang w:eastAsia="en-GB"/>
            </w:rPr>
            <w:fldChar w:fldCharType="separate"/>
          </w:r>
          <w:r w:rsidRPr="00C83279">
            <w:rPr>
              <w:rFonts w:eastAsia="Times New Roman"/>
              <w:noProof/>
              <w:lang w:val="en-US" w:eastAsia="en-GB"/>
            </w:rPr>
            <w:t>(Stanfcheva, 2023)</w:t>
          </w:r>
          <w:r>
            <w:rPr>
              <w:rFonts w:eastAsia="Times New Roman"/>
              <w:lang w:eastAsia="en-GB"/>
            </w:rPr>
            <w:fldChar w:fldCharType="end"/>
          </w:r>
        </w:sdtContent>
      </w:sdt>
      <w:r w:rsidRPr="00811BB1">
        <w:rPr>
          <w:rFonts w:eastAsia="Times New Roman"/>
          <w:lang w:eastAsia="en-GB"/>
        </w:rPr>
        <w:t>.</w:t>
      </w:r>
      <w:r>
        <w:rPr>
          <w:rFonts w:eastAsia="Times New Roman"/>
          <w:lang w:eastAsia="en-GB"/>
        </w:rPr>
        <w:t xml:space="preserve"> </w:t>
      </w:r>
      <w:r w:rsidRPr="00811BB1">
        <w:rPr>
          <w:rFonts w:eastAsia="Times New Roman"/>
          <w:lang w:eastAsia="en-GB"/>
        </w:rPr>
        <w:t>The questionnaire consists of closed questions</w:t>
      </w:r>
      <w:r>
        <w:rPr>
          <w:rFonts w:eastAsia="Times New Roman"/>
          <w:lang w:eastAsia="en-GB"/>
        </w:rPr>
        <w:t xml:space="preserve"> (</w:t>
      </w:r>
      <w:r w:rsidRPr="00C848A6">
        <w:rPr>
          <w:rFonts w:eastAsia="Times New Roman"/>
          <w:lang w:eastAsia="en-GB"/>
        </w:rPr>
        <w:t>quantitative</w:t>
      </w:r>
      <w:r>
        <w:rPr>
          <w:rFonts w:eastAsia="Times New Roman"/>
          <w:lang w:eastAsia="en-GB"/>
        </w:rPr>
        <w:t xml:space="preserve"> data)</w:t>
      </w:r>
      <w:r w:rsidRPr="00811BB1">
        <w:rPr>
          <w:rFonts w:eastAsia="Times New Roman"/>
          <w:lang w:eastAsia="en-GB"/>
        </w:rPr>
        <w:t>, which measure trends, frequencies, and effectiveness, alongside open-ended questions</w:t>
      </w:r>
      <w:r>
        <w:rPr>
          <w:rFonts w:eastAsia="Times New Roman"/>
          <w:lang w:eastAsia="en-GB"/>
        </w:rPr>
        <w:t xml:space="preserve"> (</w:t>
      </w:r>
      <w:r w:rsidRPr="00811BB1">
        <w:rPr>
          <w:rFonts w:eastAsia="Times New Roman"/>
          <w:lang w:eastAsia="en-GB"/>
        </w:rPr>
        <w:t>qualitative data</w:t>
      </w:r>
      <w:r>
        <w:rPr>
          <w:rFonts w:eastAsia="Times New Roman"/>
          <w:lang w:eastAsia="en-GB"/>
        </w:rPr>
        <w:t>)</w:t>
      </w:r>
      <w:r w:rsidRPr="00811BB1">
        <w:rPr>
          <w:rFonts w:eastAsia="Times New Roman"/>
          <w:lang w:eastAsia="en-GB"/>
        </w:rPr>
        <w:t>, which capture deeper insights into the challenges and perceptions in project management</w:t>
      </w:r>
      <w:r>
        <w:rPr>
          <w:rFonts w:eastAsia="Times New Roman"/>
          <w:lang w:eastAsia="en-GB"/>
        </w:rPr>
        <w:t xml:space="preserve"> </w:t>
      </w:r>
      <w:sdt>
        <w:sdtPr>
          <w:rPr>
            <w:rFonts w:eastAsia="Times New Roman"/>
            <w:lang w:eastAsia="en-GB"/>
          </w:rPr>
          <w:id w:val="1104076602"/>
          <w:citation/>
        </w:sdtPr>
        <w:sdtContent>
          <w:r>
            <w:rPr>
              <w:rFonts w:eastAsia="Times New Roman"/>
              <w:lang w:eastAsia="en-GB"/>
            </w:rPr>
            <w:fldChar w:fldCharType="begin"/>
          </w:r>
          <w:r>
            <w:rPr>
              <w:rFonts w:eastAsia="Times New Roman"/>
              <w:lang w:val="en-US" w:eastAsia="en-GB"/>
            </w:rPr>
            <w:instrText xml:space="preserve"> CITATION AFi17 \l 1033 </w:instrText>
          </w:r>
          <w:r>
            <w:rPr>
              <w:rFonts w:eastAsia="Times New Roman"/>
              <w:lang w:eastAsia="en-GB"/>
            </w:rPr>
            <w:fldChar w:fldCharType="separate"/>
          </w:r>
          <w:r w:rsidRPr="00C83279">
            <w:rPr>
              <w:rFonts w:eastAsia="Times New Roman"/>
              <w:noProof/>
              <w:lang w:val="en-US" w:eastAsia="en-GB"/>
            </w:rPr>
            <w:t>(Fink, 2017)</w:t>
          </w:r>
          <w:r>
            <w:rPr>
              <w:rFonts w:eastAsia="Times New Roman"/>
              <w:lang w:eastAsia="en-GB"/>
            </w:rPr>
            <w:fldChar w:fldCharType="end"/>
          </w:r>
        </w:sdtContent>
      </w:sdt>
      <w:r w:rsidRPr="00811BB1">
        <w:rPr>
          <w:rFonts w:eastAsia="Times New Roman"/>
          <w:lang w:eastAsia="en-GB"/>
        </w:rPr>
        <w:t>. The question design includes demographic segmentation to identify variations across industries and experience levels, as well as targeted inquiries on risk assessment tool usage, effectiveness, and limitations</w:t>
      </w:r>
      <w:r>
        <w:rPr>
          <w:rFonts w:eastAsia="Times New Roman"/>
          <w:lang w:eastAsia="en-GB"/>
        </w:rPr>
        <w:t xml:space="preserve"> </w:t>
      </w:r>
      <w:sdt>
        <w:sdtPr>
          <w:rPr>
            <w:rFonts w:eastAsia="Times New Roman"/>
            <w:lang w:eastAsia="en-GB"/>
          </w:rPr>
          <w:id w:val="100236309"/>
          <w:citation/>
        </w:sdtPr>
        <w:sdtContent>
          <w:r>
            <w:rPr>
              <w:rFonts w:eastAsia="Times New Roman"/>
              <w:lang w:eastAsia="en-GB"/>
            </w:rPr>
            <w:fldChar w:fldCharType="begin"/>
          </w:r>
          <w:r>
            <w:rPr>
              <w:rFonts w:eastAsia="Times New Roman"/>
              <w:lang w:val="en-US" w:eastAsia="en-GB"/>
            </w:rPr>
            <w:instrText xml:space="preserve"> CITATION Sta23 \l 1033 </w:instrText>
          </w:r>
          <w:r>
            <w:rPr>
              <w:rFonts w:eastAsia="Times New Roman"/>
              <w:lang w:eastAsia="en-GB"/>
            </w:rPr>
            <w:fldChar w:fldCharType="separate"/>
          </w:r>
          <w:r w:rsidRPr="009C473F">
            <w:rPr>
              <w:rFonts w:eastAsia="Times New Roman"/>
              <w:noProof/>
              <w:lang w:val="en-US" w:eastAsia="en-GB"/>
            </w:rPr>
            <w:t>(Stanfcheva, 2023)</w:t>
          </w:r>
          <w:r>
            <w:rPr>
              <w:rFonts w:eastAsia="Times New Roman"/>
              <w:lang w:eastAsia="en-GB"/>
            </w:rPr>
            <w:fldChar w:fldCharType="end"/>
          </w:r>
        </w:sdtContent>
      </w:sdt>
      <w:r w:rsidRPr="00811BB1">
        <w:rPr>
          <w:rFonts w:eastAsia="Times New Roman"/>
          <w:lang w:eastAsia="en-GB"/>
        </w:rPr>
        <w:t>.</w:t>
      </w:r>
    </w:p>
    <w:p w14:paraId="60959DCD" w14:textId="77777777" w:rsidR="00373AD1" w:rsidRDefault="00373AD1" w:rsidP="00373AD1">
      <w:pPr>
        <w:spacing w:after="0" w:line="360" w:lineRule="auto"/>
        <w:ind w:left="-576" w:right="-576"/>
        <w:jc w:val="both"/>
        <w:rPr>
          <w:rFonts w:eastAsia="Times New Roman"/>
          <w:lang w:eastAsia="en-GB"/>
        </w:rPr>
      </w:pPr>
    </w:p>
    <w:tbl>
      <w:tblPr>
        <w:tblStyle w:val="TableGrid"/>
        <w:tblW w:w="10110" w:type="dxa"/>
        <w:tblInd w:w="-545" w:type="dxa"/>
        <w:tblLook w:val="04A0" w:firstRow="1" w:lastRow="0" w:firstColumn="1" w:lastColumn="0" w:noHBand="0" w:noVBand="1"/>
      </w:tblPr>
      <w:tblGrid>
        <w:gridCol w:w="869"/>
        <w:gridCol w:w="2371"/>
        <w:gridCol w:w="2160"/>
        <w:gridCol w:w="2250"/>
        <w:gridCol w:w="2460"/>
      </w:tblGrid>
      <w:tr w:rsidR="00373AD1" w:rsidRPr="00867FA6" w14:paraId="0F1FB1B4" w14:textId="77777777" w:rsidTr="00444CE1">
        <w:trPr>
          <w:trHeight w:val="300"/>
        </w:trPr>
        <w:tc>
          <w:tcPr>
            <w:tcW w:w="869" w:type="dxa"/>
            <w:shd w:val="clear" w:color="auto" w:fill="D9E2F3" w:themeFill="accent1" w:themeFillTint="33"/>
            <w:hideMark/>
          </w:tcPr>
          <w:p w14:paraId="66D3B05D" w14:textId="77777777" w:rsidR="00373AD1" w:rsidRPr="00867FA6" w:rsidRDefault="00373AD1" w:rsidP="00444CE1">
            <w:pPr>
              <w:spacing w:line="276" w:lineRule="auto"/>
              <w:jc w:val="center"/>
              <w:rPr>
                <w:rFonts w:eastAsia="Times New Roman"/>
                <w:b/>
                <w:bCs/>
                <w:lang w:eastAsia="en-GB"/>
              </w:rPr>
            </w:pPr>
            <w:r w:rsidRPr="00867FA6">
              <w:rPr>
                <w:rFonts w:eastAsia="Times New Roman"/>
                <w:b/>
                <w:bCs/>
                <w:lang w:eastAsia="en-GB"/>
              </w:rPr>
              <w:t>Section</w:t>
            </w:r>
          </w:p>
        </w:tc>
        <w:tc>
          <w:tcPr>
            <w:tcW w:w="2371" w:type="dxa"/>
            <w:shd w:val="clear" w:color="auto" w:fill="D9E2F3" w:themeFill="accent1" w:themeFillTint="33"/>
            <w:hideMark/>
          </w:tcPr>
          <w:p w14:paraId="6221D964" w14:textId="77777777" w:rsidR="00373AD1" w:rsidRPr="00867FA6" w:rsidRDefault="00373AD1" w:rsidP="00444CE1">
            <w:pPr>
              <w:spacing w:line="276" w:lineRule="auto"/>
              <w:jc w:val="center"/>
              <w:rPr>
                <w:rFonts w:eastAsia="Times New Roman"/>
                <w:b/>
                <w:bCs/>
                <w:lang w:eastAsia="en-GB"/>
              </w:rPr>
            </w:pPr>
            <w:r w:rsidRPr="00867FA6">
              <w:rPr>
                <w:rFonts w:eastAsia="Times New Roman"/>
                <w:b/>
                <w:bCs/>
                <w:lang w:eastAsia="en-GB"/>
              </w:rPr>
              <w:t>Question</w:t>
            </w:r>
          </w:p>
        </w:tc>
        <w:tc>
          <w:tcPr>
            <w:tcW w:w="2160" w:type="dxa"/>
            <w:shd w:val="clear" w:color="auto" w:fill="D9E2F3" w:themeFill="accent1" w:themeFillTint="33"/>
            <w:hideMark/>
          </w:tcPr>
          <w:p w14:paraId="479DC9F6" w14:textId="77777777" w:rsidR="00373AD1" w:rsidRPr="00867FA6" w:rsidRDefault="00373AD1" w:rsidP="00444CE1">
            <w:pPr>
              <w:spacing w:line="276" w:lineRule="auto"/>
              <w:jc w:val="center"/>
              <w:rPr>
                <w:rFonts w:eastAsia="Times New Roman"/>
                <w:b/>
                <w:bCs/>
                <w:lang w:eastAsia="en-GB"/>
              </w:rPr>
            </w:pPr>
            <w:r w:rsidRPr="00867FA6">
              <w:rPr>
                <w:rFonts w:eastAsia="Times New Roman"/>
                <w:b/>
                <w:bCs/>
                <w:lang w:eastAsia="en-GB"/>
              </w:rPr>
              <w:t>Type</w:t>
            </w:r>
          </w:p>
        </w:tc>
        <w:tc>
          <w:tcPr>
            <w:tcW w:w="4710" w:type="dxa"/>
            <w:gridSpan w:val="2"/>
            <w:shd w:val="clear" w:color="auto" w:fill="D9E2F3" w:themeFill="accent1" w:themeFillTint="33"/>
            <w:hideMark/>
          </w:tcPr>
          <w:p w14:paraId="0B59CD25" w14:textId="77777777" w:rsidR="00373AD1" w:rsidRPr="00867FA6" w:rsidRDefault="00373AD1" w:rsidP="00444CE1">
            <w:pPr>
              <w:spacing w:line="276" w:lineRule="auto"/>
              <w:jc w:val="center"/>
              <w:rPr>
                <w:rFonts w:eastAsia="Times New Roman"/>
                <w:b/>
                <w:bCs/>
                <w:lang w:eastAsia="en-GB"/>
              </w:rPr>
            </w:pPr>
            <w:r w:rsidRPr="00867FA6">
              <w:rPr>
                <w:rFonts w:eastAsia="Times New Roman"/>
                <w:b/>
                <w:bCs/>
                <w:lang w:eastAsia="en-GB"/>
              </w:rPr>
              <w:t>Response Options</w:t>
            </w:r>
          </w:p>
        </w:tc>
      </w:tr>
      <w:tr w:rsidR="00373AD1" w:rsidRPr="00867FA6" w14:paraId="5C5C1C54" w14:textId="77777777" w:rsidTr="00444CE1">
        <w:trPr>
          <w:trHeight w:val="600"/>
        </w:trPr>
        <w:tc>
          <w:tcPr>
            <w:tcW w:w="869" w:type="dxa"/>
            <w:vMerge w:val="restart"/>
            <w:textDirection w:val="btLr"/>
            <w:hideMark/>
          </w:tcPr>
          <w:p w14:paraId="4DF0EEC7" w14:textId="77777777" w:rsidR="00373AD1" w:rsidRPr="00867FA6" w:rsidRDefault="00373AD1" w:rsidP="00444CE1">
            <w:pPr>
              <w:spacing w:before="160" w:line="276" w:lineRule="auto"/>
              <w:jc w:val="center"/>
              <w:rPr>
                <w:rFonts w:eastAsia="Times New Roman"/>
                <w:b/>
                <w:bCs/>
                <w:lang w:eastAsia="en-GB"/>
              </w:rPr>
            </w:pPr>
            <w:bookmarkStart w:id="41" w:name="_Hlk205129363"/>
            <w:r w:rsidRPr="00867FA6">
              <w:rPr>
                <w:rFonts w:eastAsia="Times New Roman"/>
                <w:b/>
                <w:bCs/>
                <w:lang w:eastAsia="en-GB"/>
              </w:rPr>
              <w:t>Participant Demographics</w:t>
            </w:r>
            <w:bookmarkEnd w:id="41"/>
          </w:p>
        </w:tc>
        <w:tc>
          <w:tcPr>
            <w:tcW w:w="2371" w:type="dxa"/>
            <w:hideMark/>
          </w:tcPr>
          <w:p w14:paraId="2F051E76"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 </w:t>
            </w:r>
            <w:r w:rsidRPr="00867FA6">
              <w:rPr>
                <w:rFonts w:eastAsia="Times New Roman"/>
                <w:lang w:eastAsia="en-GB"/>
              </w:rPr>
              <w:t>What is your job title?</w:t>
            </w:r>
          </w:p>
        </w:tc>
        <w:tc>
          <w:tcPr>
            <w:tcW w:w="2160" w:type="dxa"/>
            <w:hideMark/>
          </w:tcPr>
          <w:p w14:paraId="726E6A5C" w14:textId="77777777" w:rsidR="00373AD1" w:rsidRPr="00867FA6" w:rsidRDefault="00373AD1" w:rsidP="00444CE1">
            <w:pPr>
              <w:spacing w:line="276" w:lineRule="auto"/>
              <w:rPr>
                <w:rFonts w:eastAsia="Times New Roman"/>
                <w:lang w:eastAsia="en-GB"/>
              </w:rPr>
            </w:pPr>
            <w:r w:rsidRPr="00867FA6">
              <w:rPr>
                <w:rFonts w:eastAsia="Times New Roman"/>
                <w:lang w:eastAsia="en-GB"/>
              </w:rPr>
              <w:t>Open-ended</w:t>
            </w:r>
            <w:r>
              <w:rPr>
                <w:rFonts w:eastAsia="Times New Roman"/>
                <w:lang w:eastAsia="en-GB"/>
              </w:rPr>
              <w:t>.</w:t>
            </w:r>
          </w:p>
        </w:tc>
        <w:tc>
          <w:tcPr>
            <w:tcW w:w="4710" w:type="dxa"/>
            <w:gridSpan w:val="2"/>
            <w:hideMark/>
          </w:tcPr>
          <w:p w14:paraId="10F32EEE" w14:textId="77777777" w:rsidR="00373AD1" w:rsidRPr="00867FA6" w:rsidRDefault="00373AD1" w:rsidP="00444CE1">
            <w:pPr>
              <w:spacing w:line="276" w:lineRule="auto"/>
              <w:rPr>
                <w:rFonts w:eastAsia="Times New Roman"/>
                <w:lang w:eastAsia="en-GB"/>
              </w:rPr>
            </w:pPr>
            <w:r>
              <w:rPr>
                <w:rFonts w:eastAsia="Times New Roman"/>
                <w:lang w:eastAsia="en-GB"/>
              </w:rPr>
              <w:t>--</w:t>
            </w:r>
          </w:p>
        </w:tc>
      </w:tr>
      <w:tr w:rsidR="00373AD1" w:rsidRPr="00867FA6" w14:paraId="69026641" w14:textId="77777777" w:rsidTr="00444CE1">
        <w:trPr>
          <w:trHeight w:val="600"/>
        </w:trPr>
        <w:tc>
          <w:tcPr>
            <w:tcW w:w="869" w:type="dxa"/>
            <w:vMerge/>
            <w:hideMark/>
          </w:tcPr>
          <w:p w14:paraId="54B7A160" w14:textId="77777777" w:rsidR="00373AD1" w:rsidRPr="00867FA6" w:rsidRDefault="00373AD1" w:rsidP="00444CE1">
            <w:pPr>
              <w:spacing w:before="160" w:line="276" w:lineRule="auto"/>
              <w:rPr>
                <w:rFonts w:eastAsia="Times New Roman"/>
                <w:lang w:eastAsia="en-GB"/>
              </w:rPr>
            </w:pPr>
          </w:p>
        </w:tc>
        <w:tc>
          <w:tcPr>
            <w:tcW w:w="2371" w:type="dxa"/>
            <w:hideMark/>
          </w:tcPr>
          <w:p w14:paraId="23B6B811" w14:textId="77777777" w:rsidR="00373AD1" w:rsidRPr="00867FA6" w:rsidRDefault="00373AD1" w:rsidP="00444CE1">
            <w:pPr>
              <w:spacing w:line="276" w:lineRule="auto"/>
              <w:rPr>
                <w:rFonts w:eastAsia="Times New Roman"/>
                <w:lang w:eastAsia="en-GB"/>
              </w:rPr>
            </w:pPr>
            <w:r>
              <w:rPr>
                <w:rFonts w:eastAsia="Times New Roman"/>
                <w:lang w:eastAsia="en-GB"/>
              </w:rPr>
              <w:t xml:space="preserve">Q2. </w:t>
            </w:r>
            <w:r w:rsidRPr="00867FA6">
              <w:rPr>
                <w:rFonts w:eastAsia="Times New Roman"/>
                <w:lang w:eastAsia="en-GB"/>
              </w:rPr>
              <w:t xml:space="preserve">What </w:t>
            </w:r>
            <w:r>
              <w:rPr>
                <w:rFonts w:eastAsia="Times New Roman"/>
                <w:lang w:eastAsia="en-GB"/>
              </w:rPr>
              <w:t>sector</w:t>
            </w:r>
            <w:r w:rsidRPr="00867FA6">
              <w:rPr>
                <w:rFonts w:eastAsia="Times New Roman"/>
                <w:lang w:eastAsia="en-GB"/>
              </w:rPr>
              <w:t xml:space="preserve"> do you primarily work in?</w:t>
            </w:r>
          </w:p>
        </w:tc>
        <w:tc>
          <w:tcPr>
            <w:tcW w:w="2160" w:type="dxa"/>
            <w:hideMark/>
          </w:tcPr>
          <w:p w14:paraId="33C03600" w14:textId="77777777" w:rsidR="00373AD1" w:rsidRPr="00867FA6" w:rsidRDefault="00373AD1" w:rsidP="00444CE1">
            <w:pPr>
              <w:spacing w:line="276" w:lineRule="auto"/>
              <w:rPr>
                <w:rFonts w:eastAsia="Times New Roman"/>
                <w:lang w:eastAsia="en-GB"/>
              </w:rPr>
            </w:pPr>
            <w:r w:rsidRPr="00867FA6">
              <w:rPr>
                <w:rFonts w:eastAsia="Times New Roman"/>
                <w:lang w:eastAsia="en-GB"/>
              </w:rPr>
              <w:t>Multiple choice</w:t>
            </w:r>
            <w:r>
              <w:rPr>
                <w:rFonts w:eastAsia="Times New Roman"/>
                <w:lang w:eastAsia="en-GB"/>
              </w:rPr>
              <w:t>.</w:t>
            </w:r>
          </w:p>
        </w:tc>
        <w:tc>
          <w:tcPr>
            <w:tcW w:w="4710" w:type="dxa"/>
            <w:gridSpan w:val="2"/>
            <w:hideMark/>
          </w:tcPr>
          <w:p w14:paraId="6FE45EF6" w14:textId="77777777" w:rsidR="00373AD1" w:rsidRDefault="00373AD1" w:rsidP="00444CE1">
            <w:pPr>
              <w:spacing w:line="276" w:lineRule="auto"/>
              <w:rPr>
                <w:rFonts w:eastAsia="Times New Roman"/>
                <w:lang w:eastAsia="en-GB"/>
              </w:rPr>
            </w:pPr>
            <w:r w:rsidRPr="00867FA6">
              <w:rPr>
                <w:rFonts w:eastAsia="Times New Roman"/>
                <w:lang w:eastAsia="en-GB"/>
              </w:rPr>
              <w:t>Construction</w:t>
            </w:r>
            <w:r>
              <w:rPr>
                <w:rFonts w:eastAsia="Times New Roman"/>
                <w:lang w:eastAsia="en-GB"/>
              </w:rPr>
              <w:t>.</w:t>
            </w:r>
          </w:p>
          <w:p w14:paraId="271BEFB7" w14:textId="77777777" w:rsidR="00373AD1" w:rsidRDefault="00373AD1" w:rsidP="00444CE1">
            <w:pPr>
              <w:spacing w:line="276" w:lineRule="auto"/>
              <w:rPr>
                <w:rFonts w:eastAsia="Times New Roman"/>
                <w:lang w:eastAsia="en-GB"/>
              </w:rPr>
            </w:pPr>
            <w:r w:rsidRPr="00867FA6">
              <w:rPr>
                <w:rFonts w:eastAsia="Times New Roman"/>
                <w:lang w:eastAsia="en-GB"/>
              </w:rPr>
              <w:t>Engineering</w:t>
            </w:r>
            <w:r>
              <w:rPr>
                <w:rFonts w:eastAsia="Times New Roman"/>
                <w:lang w:eastAsia="en-GB"/>
              </w:rPr>
              <w:t>.</w:t>
            </w:r>
          </w:p>
          <w:p w14:paraId="75C80C21" w14:textId="77777777" w:rsidR="00373AD1" w:rsidRDefault="00373AD1" w:rsidP="00444CE1">
            <w:pPr>
              <w:spacing w:line="276" w:lineRule="auto"/>
              <w:rPr>
                <w:rFonts w:eastAsia="Times New Roman"/>
                <w:lang w:eastAsia="en-GB"/>
              </w:rPr>
            </w:pPr>
            <w:r w:rsidRPr="00867FA6">
              <w:rPr>
                <w:rFonts w:eastAsia="Times New Roman"/>
                <w:lang w:eastAsia="en-GB"/>
              </w:rPr>
              <w:t>IT &amp; Software</w:t>
            </w:r>
            <w:r>
              <w:rPr>
                <w:rFonts w:eastAsia="Times New Roman"/>
                <w:lang w:eastAsia="en-GB"/>
              </w:rPr>
              <w:t>.</w:t>
            </w:r>
          </w:p>
          <w:p w14:paraId="1686473A" w14:textId="77777777" w:rsidR="00373AD1" w:rsidRDefault="00373AD1" w:rsidP="00444CE1">
            <w:pPr>
              <w:spacing w:line="276" w:lineRule="auto"/>
              <w:rPr>
                <w:rFonts w:eastAsia="Times New Roman"/>
                <w:lang w:eastAsia="en-GB"/>
              </w:rPr>
            </w:pPr>
            <w:r>
              <w:rPr>
                <w:rFonts w:eastAsia="Times New Roman"/>
                <w:lang w:eastAsia="en-GB"/>
              </w:rPr>
              <w:t>Project Team.</w:t>
            </w:r>
          </w:p>
          <w:p w14:paraId="38672BA7" w14:textId="77777777" w:rsidR="00373AD1" w:rsidRPr="00867FA6" w:rsidRDefault="00373AD1" w:rsidP="00444CE1">
            <w:pPr>
              <w:spacing w:line="276" w:lineRule="auto"/>
              <w:rPr>
                <w:rFonts w:eastAsia="Times New Roman"/>
                <w:lang w:eastAsia="en-GB"/>
              </w:rPr>
            </w:pPr>
            <w:r w:rsidRPr="00867FA6">
              <w:rPr>
                <w:rFonts w:eastAsia="Times New Roman"/>
                <w:lang w:eastAsia="en-GB"/>
              </w:rPr>
              <w:t>Other (</w:t>
            </w:r>
            <w:r>
              <w:rPr>
                <w:rFonts w:eastAsia="Times New Roman"/>
                <w:lang w:eastAsia="en-GB"/>
              </w:rPr>
              <w:t>P</w:t>
            </w:r>
            <w:r w:rsidRPr="00867FA6">
              <w:rPr>
                <w:rFonts w:eastAsia="Times New Roman"/>
                <w:lang w:eastAsia="en-GB"/>
              </w:rPr>
              <w:t>lease specify)</w:t>
            </w:r>
          </w:p>
        </w:tc>
      </w:tr>
      <w:tr w:rsidR="00373AD1" w:rsidRPr="00867FA6" w14:paraId="459A4F00" w14:textId="77777777" w:rsidTr="00444CE1">
        <w:trPr>
          <w:trHeight w:val="900"/>
        </w:trPr>
        <w:tc>
          <w:tcPr>
            <w:tcW w:w="869" w:type="dxa"/>
            <w:vMerge/>
            <w:hideMark/>
          </w:tcPr>
          <w:p w14:paraId="1C19BB7C" w14:textId="77777777" w:rsidR="00373AD1" w:rsidRPr="00867FA6" w:rsidRDefault="00373AD1" w:rsidP="00444CE1">
            <w:pPr>
              <w:spacing w:before="160" w:line="276" w:lineRule="auto"/>
              <w:rPr>
                <w:rFonts w:eastAsia="Times New Roman"/>
                <w:lang w:eastAsia="en-GB"/>
              </w:rPr>
            </w:pPr>
          </w:p>
        </w:tc>
        <w:tc>
          <w:tcPr>
            <w:tcW w:w="2371" w:type="dxa"/>
            <w:hideMark/>
          </w:tcPr>
          <w:p w14:paraId="223A3ECB" w14:textId="77777777" w:rsidR="00373AD1" w:rsidRPr="00867FA6" w:rsidRDefault="00373AD1" w:rsidP="00444CE1">
            <w:pPr>
              <w:spacing w:line="276" w:lineRule="auto"/>
              <w:rPr>
                <w:rFonts w:eastAsia="Times New Roman"/>
                <w:lang w:eastAsia="en-GB"/>
              </w:rPr>
            </w:pPr>
            <w:r>
              <w:rPr>
                <w:rFonts w:eastAsia="Times New Roman"/>
                <w:lang w:eastAsia="en-GB"/>
              </w:rPr>
              <w:t xml:space="preserve">Q3. </w:t>
            </w:r>
            <w:r w:rsidRPr="00867FA6">
              <w:rPr>
                <w:rFonts w:eastAsia="Times New Roman"/>
                <w:lang w:eastAsia="en-GB"/>
              </w:rPr>
              <w:t>How many years of experience do you have in project management?</w:t>
            </w:r>
          </w:p>
        </w:tc>
        <w:tc>
          <w:tcPr>
            <w:tcW w:w="2160" w:type="dxa"/>
            <w:hideMark/>
          </w:tcPr>
          <w:p w14:paraId="2F87B4CF" w14:textId="77777777" w:rsidR="00373AD1" w:rsidRPr="00867FA6" w:rsidRDefault="00373AD1" w:rsidP="00444CE1">
            <w:pPr>
              <w:spacing w:line="276" w:lineRule="auto"/>
              <w:rPr>
                <w:rFonts w:eastAsia="Times New Roman"/>
                <w:lang w:eastAsia="en-GB"/>
              </w:rPr>
            </w:pPr>
            <w:r w:rsidRPr="00867FA6">
              <w:rPr>
                <w:rFonts w:eastAsia="Times New Roman"/>
                <w:lang w:eastAsia="en-GB"/>
              </w:rPr>
              <w:t>Multiple choice</w:t>
            </w:r>
            <w:r>
              <w:rPr>
                <w:rFonts w:eastAsia="Times New Roman"/>
                <w:lang w:eastAsia="en-GB"/>
              </w:rPr>
              <w:t>.</w:t>
            </w:r>
          </w:p>
        </w:tc>
        <w:tc>
          <w:tcPr>
            <w:tcW w:w="4710" w:type="dxa"/>
            <w:gridSpan w:val="2"/>
            <w:hideMark/>
          </w:tcPr>
          <w:p w14:paraId="0430327C" w14:textId="77777777" w:rsidR="00373AD1" w:rsidRDefault="00373AD1" w:rsidP="00444CE1">
            <w:pPr>
              <w:spacing w:line="276" w:lineRule="auto"/>
              <w:rPr>
                <w:rFonts w:eastAsia="Times New Roman"/>
                <w:lang w:eastAsia="en-GB"/>
              </w:rPr>
            </w:pPr>
            <w:r w:rsidRPr="00867FA6">
              <w:rPr>
                <w:rFonts w:eastAsia="Times New Roman"/>
                <w:lang w:eastAsia="en-GB"/>
              </w:rPr>
              <w:t>0</w:t>
            </w:r>
            <w:r>
              <w:rPr>
                <w:rFonts w:eastAsia="Times New Roman"/>
                <w:lang w:eastAsia="en-GB"/>
              </w:rPr>
              <w:t xml:space="preserve"> - </w:t>
            </w:r>
            <w:r w:rsidRPr="00867FA6">
              <w:rPr>
                <w:rFonts w:eastAsia="Times New Roman"/>
                <w:lang w:eastAsia="en-GB"/>
              </w:rPr>
              <w:t>2 years</w:t>
            </w:r>
            <w:r>
              <w:rPr>
                <w:rFonts w:eastAsia="Times New Roman"/>
                <w:lang w:eastAsia="en-GB"/>
              </w:rPr>
              <w:t>.</w:t>
            </w:r>
          </w:p>
          <w:p w14:paraId="480D64E3" w14:textId="0CD9BD60" w:rsidR="00373AD1" w:rsidRDefault="00B552BC" w:rsidP="00444CE1">
            <w:pPr>
              <w:spacing w:line="276" w:lineRule="auto"/>
              <w:rPr>
                <w:rFonts w:eastAsia="Times New Roman"/>
                <w:lang w:eastAsia="en-GB"/>
              </w:rPr>
            </w:pPr>
            <w:r>
              <w:rPr>
                <w:rFonts w:eastAsia="Times New Roman"/>
                <w:lang w:eastAsia="en-GB"/>
              </w:rPr>
              <w:t>2</w:t>
            </w:r>
            <w:r w:rsidR="00373AD1">
              <w:rPr>
                <w:rFonts w:eastAsia="Times New Roman"/>
                <w:lang w:eastAsia="en-GB"/>
              </w:rPr>
              <w:t xml:space="preserve"> - </w:t>
            </w:r>
            <w:r w:rsidR="00373AD1" w:rsidRPr="00867FA6">
              <w:rPr>
                <w:rFonts w:eastAsia="Times New Roman"/>
                <w:lang w:eastAsia="en-GB"/>
              </w:rPr>
              <w:t>5 years</w:t>
            </w:r>
            <w:r w:rsidR="00373AD1">
              <w:rPr>
                <w:rFonts w:eastAsia="Times New Roman"/>
                <w:lang w:eastAsia="en-GB"/>
              </w:rPr>
              <w:t>.</w:t>
            </w:r>
          </w:p>
          <w:p w14:paraId="44E427E4" w14:textId="51832A96" w:rsidR="00373AD1" w:rsidRDefault="00B552BC" w:rsidP="00444CE1">
            <w:pPr>
              <w:spacing w:line="276" w:lineRule="auto"/>
              <w:rPr>
                <w:rFonts w:eastAsia="Times New Roman"/>
                <w:lang w:eastAsia="en-GB"/>
              </w:rPr>
            </w:pPr>
            <w:r>
              <w:rPr>
                <w:rFonts w:eastAsia="Times New Roman"/>
                <w:lang w:eastAsia="en-GB"/>
              </w:rPr>
              <w:t>5</w:t>
            </w:r>
            <w:r w:rsidR="00373AD1">
              <w:rPr>
                <w:rFonts w:eastAsia="Times New Roman"/>
                <w:lang w:eastAsia="en-GB"/>
              </w:rPr>
              <w:t xml:space="preserve"> - </w:t>
            </w:r>
            <w:r w:rsidR="00373AD1" w:rsidRPr="00867FA6">
              <w:rPr>
                <w:rFonts w:eastAsia="Times New Roman"/>
                <w:lang w:eastAsia="en-GB"/>
              </w:rPr>
              <w:t>10 years</w:t>
            </w:r>
            <w:r w:rsidR="00373AD1">
              <w:rPr>
                <w:rFonts w:eastAsia="Times New Roman"/>
                <w:lang w:eastAsia="en-GB"/>
              </w:rPr>
              <w:t>.</w:t>
            </w:r>
          </w:p>
          <w:p w14:paraId="7FDB1DFB" w14:textId="77777777" w:rsidR="00373AD1" w:rsidRDefault="00373AD1" w:rsidP="00444CE1">
            <w:pPr>
              <w:spacing w:line="276" w:lineRule="auto"/>
              <w:rPr>
                <w:rFonts w:eastAsia="Times New Roman"/>
                <w:lang w:eastAsia="en-GB"/>
              </w:rPr>
            </w:pPr>
            <w:r>
              <w:rPr>
                <w:rFonts w:eastAsia="Times New Roman"/>
                <w:lang w:eastAsia="en-GB"/>
              </w:rPr>
              <w:t>10-15 years.</w:t>
            </w:r>
          </w:p>
          <w:p w14:paraId="141A2351" w14:textId="77777777" w:rsidR="00373AD1" w:rsidRDefault="00373AD1" w:rsidP="00444CE1">
            <w:pPr>
              <w:spacing w:line="276" w:lineRule="auto"/>
              <w:rPr>
                <w:rFonts w:eastAsia="Times New Roman"/>
                <w:lang w:eastAsia="en-GB"/>
              </w:rPr>
            </w:pPr>
            <w:r>
              <w:rPr>
                <w:rFonts w:eastAsia="Times New Roman"/>
                <w:lang w:eastAsia="en-GB"/>
              </w:rPr>
              <w:t>15-20 years.</w:t>
            </w:r>
          </w:p>
          <w:p w14:paraId="49C99B17" w14:textId="77777777" w:rsidR="00373AD1" w:rsidRDefault="00373AD1" w:rsidP="00444CE1">
            <w:pPr>
              <w:spacing w:line="276" w:lineRule="auto"/>
              <w:rPr>
                <w:rFonts w:eastAsia="Times New Roman"/>
                <w:lang w:eastAsia="en-GB"/>
              </w:rPr>
            </w:pPr>
            <w:r>
              <w:rPr>
                <w:rFonts w:eastAsia="Times New Roman"/>
                <w:lang w:eastAsia="en-GB"/>
              </w:rPr>
              <w:t>20</w:t>
            </w:r>
            <w:r w:rsidRPr="00867FA6">
              <w:rPr>
                <w:rFonts w:eastAsia="Times New Roman"/>
                <w:lang w:eastAsia="en-GB"/>
              </w:rPr>
              <w:t>+ years</w:t>
            </w:r>
            <w:r>
              <w:rPr>
                <w:rFonts w:eastAsia="Times New Roman"/>
                <w:lang w:eastAsia="en-GB"/>
              </w:rPr>
              <w:t>.</w:t>
            </w:r>
          </w:p>
          <w:p w14:paraId="564F91D4" w14:textId="77777777" w:rsidR="00373AD1" w:rsidRPr="00867FA6" w:rsidRDefault="00373AD1" w:rsidP="00444CE1">
            <w:pPr>
              <w:spacing w:line="276" w:lineRule="auto"/>
              <w:rPr>
                <w:rFonts w:eastAsia="Times New Roman"/>
                <w:lang w:eastAsia="en-GB"/>
              </w:rPr>
            </w:pPr>
          </w:p>
        </w:tc>
      </w:tr>
      <w:tr w:rsidR="00373AD1" w:rsidRPr="00867FA6" w14:paraId="133DB265" w14:textId="77777777" w:rsidTr="00444CE1">
        <w:trPr>
          <w:trHeight w:val="900"/>
        </w:trPr>
        <w:tc>
          <w:tcPr>
            <w:tcW w:w="869" w:type="dxa"/>
            <w:vMerge/>
            <w:hideMark/>
          </w:tcPr>
          <w:p w14:paraId="4BD59CCC" w14:textId="77777777" w:rsidR="00373AD1" w:rsidRPr="00867FA6" w:rsidRDefault="00373AD1" w:rsidP="00444CE1">
            <w:pPr>
              <w:spacing w:before="160" w:line="276" w:lineRule="auto"/>
              <w:rPr>
                <w:rFonts w:eastAsia="Times New Roman"/>
                <w:lang w:eastAsia="en-GB"/>
              </w:rPr>
            </w:pPr>
          </w:p>
        </w:tc>
        <w:tc>
          <w:tcPr>
            <w:tcW w:w="2371" w:type="dxa"/>
            <w:hideMark/>
          </w:tcPr>
          <w:p w14:paraId="5CED2A3B" w14:textId="77777777" w:rsidR="00373AD1" w:rsidRPr="00867FA6" w:rsidRDefault="00373AD1" w:rsidP="00444CE1">
            <w:pPr>
              <w:spacing w:line="276" w:lineRule="auto"/>
              <w:rPr>
                <w:rFonts w:eastAsia="Times New Roman"/>
                <w:lang w:eastAsia="en-GB"/>
              </w:rPr>
            </w:pPr>
            <w:r>
              <w:rPr>
                <w:rFonts w:eastAsia="Times New Roman"/>
                <w:lang w:eastAsia="en-GB"/>
              </w:rPr>
              <w:t xml:space="preserve">Q4. </w:t>
            </w:r>
            <w:r w:rsidRPr="00867FA6">
              <w:rPr>
                <w:rFonts w:eastAsia="Times New Roman"/>
                <w:lang w:eastAsia="en-GB"/>
              </w:rPr>
              <w:t>What size</w:t>
            </w:r>
            <w:r>
              <w:rPr>
                <w:rFonts w:eastAsia="Times New Roman"/>
                <w:lang w:eastAsia="en-GB"/>
              </w:rPr>
              <w:t>/scale</w:t>
            </w:r>
            <w:r w:rsidRPr="00867FA6">
              <w:rPr>
                <w:rFonts w:eastAsia="Times New Roman"/>
                <w:lang w:eastAsia="en-GB"/>
              </w:rPr>
              <w:t xml:space="preserve"> of the projects you typically manage?</w:t>
            </w:r>
          </w:p>
        </w:tc>
        <w:tc>
          <w:tcPr>
            <w:tcW w:w="2160" w:type="dxa"/>
            <w:hideMark/>
          </w:tcPr>
          <w:p w14:paraId="1179F766" w14:textId="77777777" w:rsidR="00373AD1" w:rsidRPr="00867FA6" w:rsidRDefault="00373AD1" w:rsidP="00444CE1">
            <w:pPr>
              <w:spacing w:line="276" w:lineRule="auto"/>
              <w:rPr>
                <w:rFonts w:eastAsia="Times New Roman"/>
                <w:lang w:eastAsia="en-GB"/>
              </w:rPr>
            </w:pPr>
            <w:r w:rsidRPr="00867FA6">
              <w:rPr>
                <w:rFonts w:eastAsia="Times New Roman"/>
                <w:lang w:eastAsia="en-GB"/>
              </w:rPr>
              <w:t>Multiple choice</w:t>
            </w:r>
            <w:r>
              <w:rPr>
                <w:rFonts w:eastAsia="Times New Roman"/>
                <w:lang w:eastAsia="en-GB"/>
              </w:rPr>
              <w:t>.</w:t>
            </w:r>
          </w:p>
        </w:tc>
        <w:tc>
          <w:tcPr>
            <w:tcW w:w="4710" w:type="dxa"/>
            <w:gridSpan w:val="2"/>
            <w:hideMark/>
          </w:tcPr>
          <w:p w14:paraId="0F14AEFE" w14:textId="77777777" w:rsidR="00373AD1" w:rsidRDefault="00373AD1" w:rsidP="00444CE1">
            <w:pPr>
              <w:spacing w:line="276" w:lineRule="auto"/>
              <w:rPr>
                <w:rFonts w:eastAsia="Times New Roman"/>
                <w:lang w:eastAsia="en-GB"/>
              </w:rPr>
            </w:pPr>
            <w:r w:rsidRPr="00867FA6">
              <w:rPr>
                <w:rFonts w:eastAsia="Times New Roman"/>
                <w:lang w:eastAsia="en-GB"/>
              </w:rPr>
              <w:t>Small</w:t>
            </w:r>
            <w:r>
              <w:rPr>
                <w:rFonts w:eastAsia="Times New Roman"/>
                <w:lang w:eastAsia="en-GB"/>
              </w:rPr>
              <w:t xml:space="preserve"> -</w:t>
            </w:r>
            <w:r w:rsidRPr="00867FA6">
              <w:rPr>
                <w:rFonts w:eastAsia="Times New Roman"/>
                <w:lang w:eastAsia="en-GB"/>
              </w:rPr>
              <w:t xml:space="preserve"> &lt; </w:t>
            </w:r>
            <w:r>
              <w:rPr>
                <w:rFonts w:eastAsia="Times New Roman"/>
                <w:lang w:eastAsia="en-GB"/>
              </w:rPr>
              <w:t>£5</w:t>
            </w:r>
            <w:r w:rsidRPr="00867FA6">
              <w:rPr>
                <w:rFonts w:eastAsia="Times New Roman"/>
                <w:lang w:eastAsia="en-GB"/>
              </w:rPr>
              <w:t>0,000</w:t>
            </w:r>
            <w:r>
              <w:rPr>
                <w:rFonts w:eastAsia="Times New Roman"/>
                <w:lang w:eastAsia="en-GB"/>
              </w:rPr>
              <w:t>.</w:t>
            </w:r>
          </w:p>
          <w:p w14:paraId="2789FCD3" w14:textId="77777777" w:rsidR="00373AD1" w:rsidRDefault="00373AD1" w:rsidP="00444CE1">
            <w:pPr>
              <w:spacing w:line="276" w:lineRule="auto"/>
              <w:rPr>
                <w:rFonts w:eastAsia="Times New Roman"/>
                <w:lang w:eastAsia="en-GB"/>
              </w:rPr>
            </w:pPr>
            <w:r>
              <w:rPr>
                <w:rFonts w:eastAsia="Times New Roman"/>
                <w:lang w:eastAsia="en-GB"/>
              </w:rPr>
              <w:t>Small to Medium - £50,000 - £100,000.</w:t>
            </w:r>
          </w:p>
          <w:p w14:paraId="73B4E71E" w14:textId="77777777" w:rsidR="00373AD1" w:rsidRDefault="00373AD1" w:rsidP="00444CE1">
            <w:pPr>
              <w:spacing w:line="276" w:lineRule="auto"/>
              <w:rPr>
                <w:rFonts w:eastAsia="Times New Roman"/>
                <w:lang w:eastAsia="en-GB"/>
              </w:rPr>
            </w:pPr>
            <w:r w:rsidRPr="00867FA6">
              <w:rPr>
                <w:rFonts w:eastAsia="Times New Roman"/>
                <w:lang w:eastAsia="en-GB"/>
              </w:rPr>
              <w:t xml:space="preserve">Medium </w:t>
            </w:r>
            <w:r>
              <w:rPr>
                <w:rFonts w:eastAsia="Times New Roman"/>
                <w:lang w:eastAsia="en-GB"/>
              </w:rPr>
              <w:t>- £1</w:t>
            </w:r>
            <w:r w:rsidRPr="00867FA6">
              <w:rPr>
                <w:rFonts w:eastAsia="Times New Roman"/>
                <w:lang w:eastAsia="en-GB"/>
              </w:rPr>
              <w:t>00,000</w:t>
            </w:r>
            <w:r>
              <w:rPr>
                <w:rFonts w:eastAsia="Times New Roman"/>
                <w:lang w:eastAsia="en-GB"/>
              </w:rPr>
              <w:t>- £250,000.</w:t>
            </w:r>
          </w:p>
          <w:p w14:paraId="7E135A23" w14:textId="77777777" w:rsidR="00373AD1" w:rsidRDefault="00373AD1" w:rsidP="00444CE1">
            <w:pPr>
              <w:spacing w:line="276" w:lineRule="auto"/>
              <w:rPr>
                <w:rFonts w:eastAsia="Times New Roman"/>
                <w:lang w:eastAsia="en-GB"/>
              </w:rPr>
            </w:pPr>
            <w:r>
              <w:rPr>
                <w:rFonts w:eastAsia="Times New Roman"/>
                <w:lang w:eastAsia="en-GB"/>
              </w:rPr>
              <w:t>Medium to Large - £250,000 - £500,000.</w:t>
            </w:r>
          </w:p>
          <w:p w14:paraId="4775F4D0" w14:textId="77777777" w:rsidR="00373AD1" w:rsidRPr="00867FA6" w:rsidRDefault="00373AD1" w:rsidP="00444CE1">
            <w:pPr>
              <w:spacing w:line="276" w:lineRule="auto"/>
              <w:rPr>
                <w:rFonts w:eastAsia="Times New Roman"/>
                <w:lang w:eastAsia="en-GB"/>
              </w:rPr>
            </w:pPr>
            <w:r w:rsidRPr="00867FA6">
              <w:rPr>
                <w:rFonts w:eastAsia="Times New Roman"/>
                <w:lang w:eastAsia="en-GB"/>
              </w:rPr>
              <w:t xml:space="preserve">Large </w:t>
            </w:r>
            <w:r>
              <w:rPr>
                <w:rFonts w:eastAsia="Times New Roman"/>
                <w:lang w:eastAsia="en-GB"/>
              </w:rPr>
              <w:t>- &gt;£500,000.</w:t>
            </w:r>
          </w:p>
        </w:tc>
      </w:tr>
      <w:tr w:rsidR="00373AD1" w:rsidRPr="00867FA6" w14:paraId="6EB955D6" w14:textId="77777777" w:rsidTr="00444CE1">
        <w:trPr>
          <w:trHeight w:val="900"/>
        </w:trPr>
        <w:tc>
          <w:tcPr>
            <w:tcW w:w="869" w:type="dxa"/>
            <w:vMerge w:val="restart"/>
            <w:textDirection w:val="btLr"/>
            <w:hideMark/>
          </w:tcPr>
          <w:p w14:paraId="40F19692" w14:textId="77777777" w:rsidR="00373AD1" w:rsidRPr="00867FA6" w:rsidRDefault="00373AD1" w:rsidP="00444CE1">
            <w:pPr>
              <w:spacing w:before="160" w:line="276" w:lineRule="auto"/>
              <w:jc w:val="center"/>
              <w:rPr>
                <w:rFonts w:eastAsia="Times New Roman"/>
                <w:b/>
                <w:bCs/>
                <w:lang w:eastAsia="en-GB"/>
              </w:rPr>
            </w:pPr>
            <w:r w:rsidRPr="00867FA6">
              <w:rPr>
                <w:rFonts w:eastAsia="Times New Roman"/>
                <w:b/>
                <w:bCs/>
                <w:lang w:eastAsia="en-GB"/>
              </w:rPr>
              <w:t>Current Use of Risk Assessment Tools</w:t>
            </w:r>
          </w:p>
        </w:tc>
        <w:tc>
          <w:tcPr>
            <w:tcW w:w="2371" w:type="dxa"/>
            <w:hideMark/>
          </w:tcPr>
          <w:p w14:paraId="0F2A3CA1" w14:textId="77777777" w:rsidR="00373AD1" w:rsidRPr="00867FA6" w:rsidRDefault="00373AD1" w:rsidP="00444CE1">
            <w:pPr>
              <w:spacing w:line="276" w:lineRule="auto"/>
              <w:rPr>
                <w:rFonts w:eastAsia="Times New Roman"/>
                <w:lang w:eastAsia="en-GB"/>
              </w:rPr>
            </w:pPr>
            <w:r>
              <w:rPr>
                <w:rFonts w:eastAsia="Times New Roman"/>
                <w:lang w:eastAsia="en-GB"/>
              </w:rPr>
              <w:t xml:space="preserve">Q5. </w:t>
            </w:r>
            <w:r w:rsidRPr="00867FA6">
              <w:rPr>
                <w:rFonts w:eastAsia="Times New Roman"/>
                <w:lang w:eastAsia="en-GB"/>
              </w:rPr>
              <w:t>Do you currently use risk assessment tools in your project management process?</w:t>
            </w:r>
          </w:p>
        </w:tc>
        <w:tc>
          <w:tcPr>
            <w:tcW w:w="2160" w:type="dxa"/>
            <w:hideMark/>
          </w:tcPr>
          <w:p w14:paraId="62649AF1" w14:textId="77777777" w:rsidR="00373AD1" w:rsidRPr="00867FA6" w:rsidRDefault="00373AD1" w:rsidP="00444CE1">
            <w:pPr>
              <w:spacing w:line="276" w:lineRule="auto"/>
              <w:rPr>
                <w:rFonts w:eastAsia="Times New Roman"/>
                <w:lang w:eastAsia="en-GB"/>
              </w:rPr>
            </w:pPr>
            <w:r w:rsidRPr="00867FA6">
              <w:rPr>
                <w:rFonts w:eastAsia="Times New Roman"/>
                <w:lang w:eastAsia="en-GB"/>
              </w:rPr>
              <w:t>Yes/No</w:t>
            </w:r>
            <w:r>
              <w:rPr>
                <w:rFonts w:eastAsia="Times New Roman"/>
                <w:lang w:eastAsia="en-GB"/>
              </w:rPr>
              <w:t>.</w:t>
            </w:r>
          </w:p>
        </w:tc>
        <w:tc>
          <w:tcPr>
            <w:tcW w:w="4710" w:type="dxa"/>
            <w:gridSpan w:val="2"/>
            <w:hideMark/>
          </w:tcPr>
          <w:p w14:paraId="48990111" w14:textId="77777777" w:rsidR="00373AD1" w:rsidRDefault="00373AD1" w:rsidP="00444CE1">
            <w:pPr>
              <w:spacing w:line="276" w:lineRule="auto"/>
              <w:rPr>
                <w:rFonts w:eastAsia="Times New Roman"/>
                <w:lang w:eastAsia="en-GB"/>
              </w:rPr>
            </w:pPr>
            <w:r w:rsidRPr="00867FA6">
              <w:rPr>
                <w:rFonts w:eastAsia="Times New Roman"/>
                <w:lang w:eastAsia="en-GB"/>
              </w:rPr>
              <w:t>Yes</w:t>
            </w:r>
            <w:r>
              <w:rPr>
                <w:rFonts w:eastAsia="Times New Roman"/>
                <w:lang w:eastAsia="en-GB"/>
              </w:rPr>
              <w:t>.</w:t>
            </w:r>
          </w:p>
          <w:p w14:paraId="30CACA22" w14:textId="77777777" w:rsidR="00373AD1" w:rsidRPr="00867FA6" w:rsidRDefault="00373AD1" w:rsidP="00444CE1">
            <w:pPr>
              <w:spacing w:line="276" w:lineRule="auto"/>
              <w:rPr>
                <w:rFonts w:eastAsia="Times New Roman"/>
                <w:lang w:eastAsia="en-GB"/>
              </w:rPr>
            </w:pPr>
            <w:r w:rsidRPr="00867FA6">
              <w:rPr>
                <w:rFonts w:eastAsia="Times New Roman"/>
                <w:lang w:eastAsia="en-GB"/>
              </w:rPr>
              <w:t>No</w:t>
            </w:r>
            <w:r>
              <w:rPr>
                <w:rFonts w:eastAsia="Times New Roman"/>
                <w:lang w:eastAsia="en-GB"/>
              </w:rPr>
              <w:t>.</w:t>
            </w:r>
          </w:p>
        </w:tc>
      </w:tr>
      <w:tr w:rsidR="00373AD1" w:rsidRPr="00867FA6" w14:paraId="040DFE21" w14:textId="77777777" w:rsidTr="00444CE1">
        <w:trPr>
          <w:trHeight w:val="611"/>
        </w:trPr>
        <w:tc>
          <w:tcPr>
            <w:tcW w:w="869" w:type="dxa"/>
            <w:vMerge/>
            <w:hideMark/>
          </w:tcPr>
          <w:p w14:paraId="571EEAA0" w14:textId="77777777" w:rsidR="00373AD1" w:rsidRPr="00867FA6" w:rsidRDefault="00373AD1" w:rsidP="00444CE1">
            <w:pPr>
              <w:spacing w:line="276" w:lineRule="auto"/>
              <w:rPr>
                <w:rFonts w:eastAsia="Times New Roman"/>
                <w:lang w:eastAsia="en-GB"/>
              </w:rPr>
            </w:pPr>
          </w:p>
        </w:tc>
        <w:tc>
          <w:tcPr>
            <w:tcW w:w="2371" w:type="dxa"/>
            <w:hideMark/>
          </w:tcPr>
          <w:p w14:paraId="581BEDF1" w14:textId="77777777" w:rsidR="00373AD1" w:rsidRPr="00867FA6" w:rsidRDefault="00373AD1" w:rsidP="00444CE1">
            <w:pPr>
              <w:spacing w:line="276" w:lineRule="auto"/>
              <w:rPr>
                <w:rFonts w:eastAsia="Times New Roman"/>
                <w:lang w:eastAsia="en-GB"/>
              </w:rPr>
            </w:pPr>
            <w:r>
              <w:rPr>
                <w:rFonts w:eastAsia="Times New Roman"/>
                <w:lang w:eastAsia="en-GB"/>
              </w:rPr>
              <w:t xml:space="preserve">Q6. </w:t>
            </w:r>
            <w:r w:rsidRPr="00867FA6">
              <w:rPr>
                <w:rFonts w:eastAsia="Times New Roman"/>
                <w:lang w:eastAsia="en-GB"/>
              </w:rPr>
              <w:t>Which risk assessment tools do you use?</w:t>
            </w:r>
          </w:p>
        </w:tc>
        <w:tc>
          <w:tcPr>
            <w:tcW w:w="2160" w:type="dxa"/>
            <w:hideMark/>
          </w:tcPr>
          <w:p w14:paraId="42840D05" w14:textId="77777777" w:rsidR="00373AD1" w:rsidRPr="00867FA6" w:rsidRDefault="00373AD1" w:rsidP="00444CE1">
            <w:pPr>
              <w:spacing w:line="276" w:lineRule="auto"/>
              <w:rPr>
                <w:rFonts w:eastAsia="Times New Roman"/>
                <w:lang w:eastAsia="en-GB"/>
              </w:rPr>
            </w:pPr>
            <w:r w:rsidRPr="00867FA6">
              <w:rPr>
                <w:rFonts w:eastAsia="Times New Roman"/>
                <w:lang w:eastAsia="en-GB"/>
              </w:rPr>
              <w:t>Multiple choice</w:t>
            </w:r>
            <w:r>
              <w:rPr>
                <w:rFonts w:eastAsia="Times New Roman"/>
                <w:lang w:eastAsia="en-GB"/>
              </w:rPr>
              <w:t>.</w:t>
            </w:r>
            <w:r w:rsidRPr="00867FA6">
              <w:rPr>
                <w:rFonts w:eastAsia="Times New Roman"/>
                <w:lang w:eastAsia="en-GB"/>
              </w:rPr>
              <w:t xml:space="preserve"> (select all that apply)</w:t>
            </w:r>
          </w:p>
        </w:tc>
        <w:tc>
          <w:tcPr>
            <w:tcW w:w="4710" w:type="dxa"/>
            <w:gridSpan w:val="2"/>
            <w:hideMark/>
          </w:tcPr>
          <w:p w14:paraId="5EF443D1" w14:textId="77777777" w:rsidR="00373AD1" w:rsidRDefault="00373AD1" w:rsidP="00444CE1">
            <w:pPr>
              <w:spacing w:line="276" w:lineRule="auto"/>
              <w:rPr>
                <w:rFonts w:eastAsia="Times New Roman"/>
                <w:lang w:eastAsia="en-GB"/>
              </w:rPr>
            </w:pPr>
            <w:r w:rsidRPr="00867FA6">
              <w:rPr>
                <w:rFonts w:eastAsia="Times New Roman"/>
                <w:lang w:eastAsia="en-GB"/>
              </w:rPr>
              <w:t>Qualitative risk matrices</w:t>
            </w:r>
            <w:r>
              <w:rPr>
                <w:rFonts w:eastAsia="Times New Roman"/>
                <w:lang w:eastAsia="en-GB"/>
              </w:rPr>
              <w:t>.</w:t>
            </w:r>
          </w:p>
          <w:p w14:paraId="5BDAA24F" w14:textId="77777777" w:rsidR="00373AD1" w:rsidRDefault="00373AD1" w:rsidP="00444CE1">
            <w:pPr>
              <w:spacing w:line="276" w:lineRule="auto"/>
              <w:rPr>
                <w:rFonts w:eastAsia="Times New Roman"/>
                <w:lang w:eastAsia="en-GB"/>
              </w:rPr>
            </w:pPr>
            <w:r w:rsidRPr="00867FA6">
              <w:rPr>
                <w:rFonts w:eastAsia="Times New Roman"/>
                <w:lang w:eastAsia="en-GB"/>
              </w:rPr>
              <w:t>Monte Carlo simulations</w:t>
            </w:r>
            <w:r>
              <w:rPr>
                <w:rFonts w:eastAsia="Times New Roman"/>
                <w:lang w:eastAsia="en-GB"/>
              </w:rPr>
              <w:t>.</w:t>
            </w:r>
          </w:p>
          <w:p w14:paraId="6D91946D" w14:textId="77777777" w:rsidR="00373AD1" w:rsidRDefault="00373AD1" w:rsidP="00444CE1">
            <w:pPr>
              <w:spacing w:line="276" w:lineRule="auto"/>
              <w:rPr>
                <w:rFonts w:eastAsia="Times New Roman"/>
                <w:lang w:eastAsia="en-GB"/>
              </w:rPr>
            </w:pPr>
            <w:r w:rsidRPr="00867FA6">
              <w:rPr>
                <w:rFonts w:eastAsia="Times New Roman"/>
                <w:lang w:eastAsia="en-GB"/>
              </w:rPr>
              <w:t>FMEA</w:t>
            </w:r>
            <w:r>
              <w:rPr>
                <w:rFonts w:eastAsia="Times New Roman"/>
                <w:lang w:eastAsia="en-GB"/>
              </w:rPr>
              <w:t>.</w:t>
            </w:r>
          </w:p>
          <w:p w14:paraId="04F810BD" w14:textId="77777777" w:rsidR="00373AD1" w:rsidRDefault="00373AD1" w:rsidP="00444CE1">
            <w:pPr>
              <w:spacing w:line="276" w:lineRule="auto"/>
              <w:rPr>
                <w:rFonts w:eastAsia="Times New Roman"/>
                <w:lang w:eastAsia="en-GB"/>
              </w:rPr>
            </w:pPr>
            <w:r w:rsidRPr="00867FA6">
              <w:rPr>
                <w:rFonts w:eastAsia="Times New Roman"/>
                <w:lang w:eastAsia="en-GB"/>
              </w:rPr>
              <w:t>Risk registers</w:t>
            </w:r>
            <w:r>
              <w:rPr>
                <w:rFonts w:eastAsia="Times New Roman"/>
                <w:lang w:eastAsia="en-GB"/>
              </w:rPr>
              <w:t>.</w:t>
            </w:r>
          </w:p>
          <w:p w14:paraId="3BA6CEF2" w14:textId="77777777" w:rsidR="00373AD1" w:rsidRDefault="00373AD1" w:rsidP="00444CE1">
            <w:pPr>
              <w:spacing w:line="276" w:lineRule="auto"/>
              <w:rPr>
                <w:rFonts w:eastAsia="Times New Roman"/>
                <w:lang w:eastAsia="en-GB"/>
              </w:rPr>
            </w:pPr>
            <w:r w:rsidRPr="00450837">
              <w:rPr>
                <w:rFonts w:eastAsia="Times New Roman"/>
                <w:lang w:eastAsia="en-GB"/>
              </w:rPr>
              <w:t>Functional Analysis</w:t>
            </w:r>
            <w:r>
              <w:rPr>
                <w:rFonts w:eastAsia="Times New Roman"/>
                <w:lang w:eastAsia="en-GB"/>
              </w:rPr>
              <w:t>. (HASOP).</w:t>
            </w:r>
          </w:p>
          <w:p w14:paraId="095DDACE" w14:textId="77777777" w:rsidR="00373AD1" w:rsidRDefault="00373AD1" w:rsidP="00444CE1">
            <w:pPr>
              <w:spacing w:line="276" w:lineRule="auto"/>
              <w:rPr>
                <w:rFonts w:eastAsia="Times New Roman"/>
                <w:lang w:eastAsia="en-GB"/>
              </w:rPr>
            </w:pPr>
            <w:r w:rsidRPr="00450837">
              <w:rPr>
                <w:rFonts w:eastAsia="Times New Roman"/>
                <w:lang w:eastAsia="en-GB"/>
              </w:rPr>
              <w:t>Supporting Methods (Brainstorming</w:t>
            </w:r>
            <w:r>
              <w:rPr>
                <w:rFonts w:eastAsia="Times New Roman"/>
                <w:lang w:eastAsia="en-GB"/>
              </w:rPr>
              <w:t>).</w:t>
            </w:r>
          </w:p>
          <w:p w14:paraId="709FCFD9" w14:textId="77777777" w:rsidR="00373AD1" w:rsidRDefault="00373AD1" w:rsidP="00444CE1">
            <w:pPr>
              <w:spacing w:line="276" w:lineRule="auto"/>
              <w:rPr>
                <w:rFonts w:eastAsia="Times New Roman"/>
                <w:lang w:eastAsia="en-GB"/>
              </w:rPr>
            </w:pPr>
            <w:r>
              <w:rPr>
                <w:rFonts w:eastAsia="Times New Roman"/>
                <w:lang w:eastAsia="en-GB"/>
              </w:rPr>
              <w:t>Control Assessments (Bow Tie Analysis).</w:t>
            </w:r>
          </w:p>
          <w:p w14:paraId="3DF5AED2" w14:textId="77777777" w:rsidR="00373AD1" w:rsidRDefault="00373AD1" w:rsidP="00444CE1">
            <w:pPr>
              <w:spacing w:line="276" w:lineRule="auto"/>
              <w:rPr>
                <w:rFonts w:eastAsia="Times New Roman"/>
                <w:lang w:eastAsia="en-GB"/>
              </w:rPr>
            </w:pPr>
            <w:r>
              <w:rPr>
                <w:rFonts w:eastAsia="Times New Roman"/>
                <w:lang w:eastAsia="en-GB"/>
              </w:rPr>
              <w:lastRenderedPageBreak/>
              <w:t>Look up Methods (Check Lists).</w:t>
            </w:r>
          </w:p>
          <w:p w14:paraId="154072DA" w14:textId="77777777" w:rsidR="00373AD1" w:rsidRDefault="00373AD1" w:rsidP="00444CE1">
            <w:pPr>
              <w:spacing w:line="276" w:lineRule="auto"/>
              <w:rPr>
                <w:rFonts w:eastAsia="Times New Roman"/>
                <w:lang w:eastAsia="en-GB"/>
              </w:rPr>
            </w:pPr>
            <w:r w:rsidRPr="00867FA6">
              <w:rPr>
                <w:rFonts w:eastAsia="Times New Roman"/>
                <w:lang w:eastAsia="en-GB"/>
              </w:rPr>
              <w:t>Custom-built tools</w:t>
            </w:r>
            <w:r>
              <w:rPr>
                <w:rFonts w:eastAsia="Times New Roman"/>
                <w:lang w:eastAsia="en-GB"/>
              </w:rPr>
              <w:t>.</w:t>
            </w:r>
          </w:p>
          <w:p w14:paraId="6482D063" w14:textId="77777777" w:rsidR="00373AD1" w:rsidRDefault="00373AD1" w:rsidP="00444CE1">
            <w:pPr>
              <w:spacing w:line="276" w:lineRule="auto"/>
              <w:rPr>
                <w:rFonts w:eastAsia="Times New Roman"/>
                <w:lang w:eastAsia="en-GB"/>
              </w:rPr>
            </w:pPr>
            <w:r>
              <w:rPr>
                <w:rFonts w:eastAsia="Times New Roman"/>
                <w:lang w:eastAsia="en-GB"/>
              </w:rPr>
              <w:t>Cost Benefit Analysis (CBA).</w:t>
            </w:r>
          </w:p>
          <w:p w14:paraId="098152D7" w14:textId="77777777" w:rsidR="00373AD1" w:rsidRDefault="00373AD1" w:rsidP="00444CE1">
            <w:pPr>
              <w:spacing w:line="276" w:lineRule="auto"/>
              <w:rPr>
                <w:rFonts w:eastAsia="Times New Roman"/>
                <w:lang w:eastAsia="en-GB"/>
              </w:rPr>
            </w:pPr>
            <w:r>
              <w:rPr>
                <w:rFonts w:eastAsia="Times New Roman"/>
                <w:lang w:eastAsia="en-GB"/>
              </w:rPr>
              <w:t>Ishikawa (Fishbone) Diagrams.</w:t>
            </w:r>
          </w:p>
          <w:p w14:paraId="4153B2A9" w14:textId="77777777" w:rsidR="00373AD1" w:rsidRDefault="00373AD1" w:rsidP="00444CE1">
            <w:pPr>
              <w:spacing w:line="276" w:lineRule="auto"/>
              <w:rPr>
                <w:rFonts w:eastAsia="Times New Roman"/>
                <w:lang w:eastAsia="en-GB"/>
              </w:rPr>
            </w:pPr>
            <w:r>
              <w:rPr>
                <w:rFonts w:eastAsia="Times New Roman"/>
                <w:lang w:eastAsia="en-GB"/>
              </w:rPr>
              <w:t>None.</w:t>
            </w:r>
          </w:p>
          <w:p w14:paraId="42F9CBD8" w14:textId="77777777" w:rsidR="00373AD1" w:rsidRPr="00867FA6" w:rsidRDefault="00373AD1" w:rsidP="00444CE1">
            <w:pPr>
              <w:spacing w:line="276" w:lineRule="auto"/>
              <w:rPr>
                <w:rFonts w:eastAsia="Times New Roman"/>
                <w:lang w:eastAsia="en-GB"/>
              </w:rPr>
            </w:pPr>
            <w:r w:rsidRPr="00867FA6">
              <w:rPr>
                <w:rFonts w:eastAsia="Times New Roman"/>
                <w:lang w:eastAsia="en-GB"/>
              </w:rPr>
              <w:t>Other (please specify)</w:t>
            </w:r>
            <w:r>
              <w:rPr>
                <w:rFonts w:eastAsia="Times New Roman"/>
                <w:lang w:eastAsia="en-GB"/>
              </w:rPr>
              <w:t>.</w:t>
            </w:r>
          </w:p>
        </w:tc>
      </w:tr>
      <w:tr w:rsidR="00373AD1" w:rsidRPr="00867FA6" w14:paraId="658DADA9" w14:textId="77777777" w:rsidTr="00444CE1">
        <w:trPr>
          <w:trHeight w:val="1500"/>
        </w:trPr>
        <w:tc>
          <w:tcPr>
            <w:tcW w:w="869" w:type="dxa"/>
            <w:vMerge/>
            <w:hideMark/>
          </w:tcPr>
          <w:p w14:paraId="27DAF79B" w14:textId="77777777" w:rsidR="00373AD1" w:rsidRPr="00867FA6" w:rsidRDefault="00373AD1" w:rsidP="00444CE1">
            <w:pPr>
              <w:spacing w:line="276" w:lineRule="auto"/>
              <w:rPr>
                <w:rFonts w:eastAsia="Times New Roman"/>
                <w:lang w:eastAsia="en-GB"/>
              </w:rPr>
            </w:pPr>
          </w:p>
        </w:tc>
        <w:tc>
          <w:tcPr>
            <w:tcW w:w="2371" w:type="dxa"/>
            <w:hideMark/>
          </w:tcPr>
          <w:p w14:paraId="1659B0F4" w14:textId="77777777" w:rsidR="00373AD1" w:rsidRPr="00867FA6" w:rsidRDefault="00373AD1" w:rsidP="00444CE1">
            <w:pPr>
              <w:spacing w:line="276" w:lineRule="auto"/>
              <w:rPr>
                <w:rFonts w:eastAsia="Times New Roman"/>
                <w:lang w:eastAsia="en-GB"/>
              </w:rPr>
            </w:pPr>
            <w:r>
              <w:rPr>
                <w:rFonts w:eastAsia="Times New Roman"/>
                <w:lang w:eastAsia="en-GB"/>
              </w:rPr>
              <w:t xml:space="preserve">Q7. </w:t>
            </w:r>
            <w:r w:rsidRPr="00867FA6">
              <w:rPr>
                <w:rFonts w:eastAsia="Times New Roman"/>
                <w:lang w:eastAsia="en-GB"/>
              </w:rPr>
              <w:t>How frequently do you conduct formal risk assessments in your projects?</w:t>
            </w:r>
          </w:p>
        </w:tc>
        <w:tc>
          <w:tcPr>
            <w:tcW w:w="2160" w:type="dxa"/>
            <w:hideMark/>
          </w:tcPr>
          <w:p w14:paraId="09E64A99" w14:textId="77777777" w:rsidR="00373AD1" w:rsidRPr="00867FA6" w:rsidRDefault="00373AD1" w:rsidP="00444CE1">
            <w:pPr>
              <w:spacing w:line="276" w:lineRule="auto"/>
              <w:rPr>
                <w:rFonts w:eastAsia="Times New Roman"/>
                <w:lang w:eastAsia="en-GB"/>
              </w:rPr>
            </w:pPr>
            <w:r w:rsidRPr="00867FA6">
              <w:rPr>
                <w:rFonts w:eastAsia="Times New Roman"/>
                <w:lang w:eastAsia="en-GB"/>
              </w:rPr>
              <w:t>Multiple choice</w:t>
            </w:r>
            <w:r>
              <w:rPr>
                <w:rFonts w:eastAsia="Times New Roman"/>
                <w:lang w:eastAsia="en-GB"/>
              </w:rPr>
              <w:t>.</w:t>
            </w:r>
          </w:p>
        </w:tc>
        <w:tc>
          <w:tcPr>
            <w:tcW w:w="4710" w:type="dxa"/>
            <w:gridSpan w:val="2"/>
            <w:hideMark/>
          </w:tcPr>
          <w:p w14:paraId="62C88DC5" w14:textId="77777777" w:rsidR="00373AD1" w:rsidRDefault="00373AD1" w:rsidP="00444CE1">
            <w:pPr>
              <w:spacing w:line="276" w:lineRule="auto"/>
              <w:rPr>
                <w:rFonts w:eastAsia="Times New Roman"/>
                <w:lang w:eastAsia="en-GB"/>
              </w:rPr>
            </w:pPr>
            <w:r w:rsidRPr="00867FA6">
              <w:rPr>
                <w:rFonts w:eastAsia="Times New Roman"/>
                <w:lang w:eastAsia="en-GB"/>
              </w:rPr>
              <w:t>Never</w:t>
            </w:r>
            <w:r>
              <w:rPr>
                <w:rFonts w:eastAsia="Times New Roman"/>
                <w:lang w:eastAsia="en-GB"/>
              </w:rPr>
              <w:t>.</w:t>
            </w:r>
          </w:p>
          <w:p w14:paraId="42F3B5A1" w14:textId="77777777" w:rsidR="00373AD1" w:rsidRDefault="00373AD1" w:rsidP="00444CE1">
            <w:pPr>
              <w:spacing w:line="276" w:lineRule="auto"/>
              <w:rPr>
                <w:rFonts w:eastAsia="Times New Roman"/>
                <w:lang w:eastAsia="en-GB"/>
              </w:rPr>
            </w:pPr>
            <w:r w:rsidRPr="00867FA6">
              <w:rPr>
                <w:rFonts w:eastAsia="Times New Roman"/>
                <w:lang w:eastAsia="en-GB"/>
              </w:rPr>
              <w:t>Only at the project initiation stage</w:t>
            </w:r>
            <w:r>
              <w:rPr>
                <w:rFonts w:eastAsia="Times New Roman"/>
                <w:lang w:eastAsia="en-GB"/>
              </w:rPr>
              <w:t>.</w:t>
            </w:r>
            <w:r w:rsidRPr="00867FA6">
              <w:rPr>
                <w:rFonts w:eastAsia="Times New Roman"/>
                <w:lang w:eastAsia="en-GB"/>
              </w:rPr>
              <w:t xml:space="preserve"> </w:t>
            </w:r>
          </w:p>
          <w:p w14:paraId="1A8BAD05" w14:textId="77777777" w:rsidR="00373AD1" w:rsidRDefault="00373AD1" w:rsidP="00444CE1">
            <w:pPr>
              <w:spacing w:line="276" w:lineRule="auto"/>
              <w:rPr>
                <w:rFonts w:eastAsia="Times New Roman"/>
                <w:lang w:eastAsia="en-GB"/>
              </w:rPr>
            </w:pPr>
            <w:r>
              <w:rPr>
                <w:rFonts w:eastAsia="Times New Roman"/>
                <w:lang w:eastAsia="en-GB"/>
              </w:rPr>
              <w:t>O</w:t>
            </w:r>
            <w:r w:rsidRPr="00867FA6">
              <w:rPr>
                <w:rFonts w:eastAsia="Times New Roman"/>
                <w:lang w:eastAsia="en-GB"/>
              </w:rPr>
              <w:t>ccasionally (</w:t>
            </w:r>
            <w:r>
              <w:rPr>
                <w:rFonts w:eastAsia="Times New Roman"/>
                <w:lang w:eastAsia="en-GB"/>
              </w:rPr>
              <w:t>A</w:t>
            </w:r>
            <w:r w:rsidRPr="00867FA6">
              <w:rPr>
                <w:rFonts w:eastAsia="Times New Roman"/>
                <w:lang w:eastAsia="en-GB"/>
              </w:rPr>
              <w:t>s risks arise)</w:t>
            </w:r>
            <w:r>
              <w:rPr>
                <w:rFonts w:eastAsia="Times New Roman"/>
                <w:lang w:eastAsia="en-GB"/>
              </w:rPr>
              <w:t>.</w:t>
            </w:r>
          </w:p>
          <w:p w14:paraId="7B794FE3" w14:textId="77777777" w:rsidR="00373AD1" w:rsidRDefault="00373AD1" w:rsidP="00444CE1">
            <w:pPr>
              <w:spacing w:line="276" w:lineRule="auto"/>
              <w:rPr>
                <w:rFonts w:eastAsia="Times New Roman"/>
                <w:lang w:eastAsia="en-GB"/>
              </w:rPr>
            </w:pPr>
            <w:r w:rsidRPr="00867FA6">
              <w:rPr>
                <w:rFonts w:eastAsia="Times New Roman"/>
                <w:lang w:eastAsia="en-GB"/>
              </w:rPr>
              <w:t>Regularly (</w:t>
            </w:r>
            <w:r>
              <w:rPr>
                <w:rFonts w:eastAsia="Times New Roman"/>
                <w:lang w:eastAsia="en-GB"/>
              </w:rPr>
              <w:t>P</w:t>
            </w:r>
            <w:r w:rsidRPr="00867FA6">
              <w:rPr>
                <w:rFonts w:eastAsia="Times New Roman"/>
                <w:lang w:eastAsia="en-GB"/>
              </w:rPr>
              <w:t>redefined intervals)</w:t>
            </w:r>
            <w:r>
              <w:rPr>
                <w:rFonts w:eastAsia="Times New Roman"/>
                <w:lang w:eastAsia="en-GB"/>
              </w:rPr>
              <w:t>.</w:t>
            </w:r>
          </w:p>
          <w:p w14:paraId="77FAA4B5" w14:textId="77777777" w:rsidR="00373AD1" w:rsidRPr="00867FA6" w:rsidRDefault="00373AD1" w:rsidP="00444CE1">
            <w:pPr>
              <w:spacing w:line="276" w:lineRule="auto"/>
              <w:rPr>
                <w:rFonts w:eastAsia="Times New Roman"/>
                <w:lang w:eastAsia="en-GB"/>
              </w:rPr>
            </w:pPr>
            <w:r w:rsidRPr="00867FA6">
              <w:rPr>
                <w:rFonts w:eastAsia="Times New Roman"/>
                <w:lang w:eastAsia="en-GB"/>
              </w:rPr>
              <w:t>Continuously (</w:t>
            </w:r>
            <w:r>
              <w:rPr>
                <w:rFonts w:eastAsia="Times New Roman"/>
                <w:lang w:eastAsia="en-GB"/>
              </w:rPr>
              <w:t>T</w:t>
            </w:r>
            <w:r w:rsidRPr="00867FA6">
              <w:rPr>
                <w:rFonts w:eastAsia="Times New Roman"/>
                <w:lang w:eastAsia="en-GB"/>
              </w:rPr>
              <w:t>hroughout the project lifecycle)</w:t>
            </w:r>
            <w:r>
              <w:rPr>
                <w:rFonts w:eastAsia="Times New Roman"/>
                <w:lang w:eastAsia="en-GB"/>
              </w:rPr>
              <w:t>.</w:t>
            </w:r>
          </w:p>
        </w:tc>
      </w:tr>
      <w:tr w:rsidR="00373AD1" w:rsidRPr="00867FA6" w14:paraId="490E4149" w14:textId="77777777" w:rsidTr="00444CE1">
        <w:trPr>
          <w:trHeight w:val="900"/>
        </w:trPr>
        <w:tc>
          <w:tcPr>
            <w:tcW w:w="869" w:type="dxa"/>
            <w:vMerge/>
            <w:hideMark/>
          </w:tcPr>
          <w:p w14:paraId="074C1A9E" w14:textId="77777777" w:rsidR="00373AD1" w:rsidRPr="00867FA6" w:rsidRDefault="00373AD1" w:rsidP="00444CE1">
            <w:pPr>
              <w:spacing w:line="276" w:lineRule="auto"/>
              <w:rPr>
                <w:rFonts w:eastAsia="Times New Roman"/>
                <w:lang w:eastAsia="en-GB"/>
              </w:rPr>
            </w:pPr>
          </w:p>
        </w:tc>
        <w:tc>
          <w:tcPr>
            <w:tcW w:w="2371" w:type="dxa"/>
            <w:hideMark/>
          </w:tcPr>
          <w:p w14:paraId="0DA5DA4C" w14:textId="77777777" w:rsidR="00373AD1" w:rsidRPr="00867FA6" w:rsidRDefault="00373AD1" w:rsidP="00444CE1">
            <w:pPr>
              <w:spacing w:line="276" w:lineRule="auto"/>
              <w:rPr>
                <w:rFonts w:eastAsia="Times New Roman"/>
                <w:lang w:eastAsia="en-GB"/>
              </w:rPr>
            </w:pPr>
            <w:r>
              <w:rPr>
                <w:rFonts w:eastAsia="Times New Roman"/>
                <w:lang w:eastAsia="en-GB"/>
              </w:rPr>
              <w:t xml:space="preserve">Q8. </w:t>
            </w:r>
            <w:r w:rsidRPr="00867FA6">
              <w:rPr>
                <w:rFonts w:eastAsia="Times New Roman"/>
                <w:lang w:eastAsia="en-GB"/>
              </w:rPr>
              <w:t>How effective do you find the current risk assessment tools you use?</w:t>
            </w:r>
          </w:p>
        </w:tc>
        <w:tc>
          <w:tcPr>
            <w:tcW w:w="2160" w:type="dxa"/>
            <w:hideMark/>
          </w:tcPr>
          <w:p w14:paraId="2EB4403F" w14:textId="77777777" w:rsidR="00373AD1" w:rsidRPr="00867FA6" w:rsidRDefault="00373AD1" w:rsidP="00444CE1">
            <w:pPr>
              <w:spacing w:line="276" w:lineRule="auto"/>
              <w:rPr>
                <w:rFonts w:eastAsia="Times New Roman"/>
                <w:lang w:eastAsia="en-GB"/>
              </w:rPr>
            </w:pPr>
            <w:r w:rsidRPr="00867FA6">
              <w:rPr>
                <w:rFonts w:eastAsia="Times New Roman"/>
                <w:lang w:eastAsia="en-GB"/>
              </w:rPr>
              <w:t>Likert Scale</w:t>
            </w:r>
            <w:r>
              <w:rPr>
                <w:rFonts w:eastAsia="Times New Roman"/>
                <w:lang w:eastAsia="en-GB"/>
              </w:rPr>
              <w:t>.</w:t>
            </w:r>
          </w:p>
        </w:tc>
        <w:tc>
          <w:tcPr>
            <w:tcW w:w="4710" w:type="dxa"/>
            <w:gridSpan w:val="2"/>
            <w:hideMark/>
          </w:tcPr>
          <w:p w14:paraId="541171EC" w14:textId="77777777" w:rsidR="00373AD1" w:rsidRDefault="00373AD1" w:rsidP="00444CE1">
            <w:pPr>
              <w:spacing w:line="276" w:lineRule="auto"/>
              <w:rPr>
                <w:rFonts w:eastAsia="Times New Roman"/>
                <w:lang w:eastAsia="en-GB"/>
              </w:rPr>
            </w:pPr>
            <w:r w:rsidRPr="00867FA6">
              <w:rPr>
                <w:rFonts w:eastAsia="Times New Roman"/>
                <w:lang w:eastAsia="en-GB"/>
              </w:rPr>
              <w:t>Not effective</w:t>
            </w:r>
            <w:r>
              <w:rPr>
                <w:rFonts w:eastAsia="Times New Roman"/>
                <w:lang w:eastAsia="en-GB"/>
              </w:rPr>
              <w:t>.</w:t>
            </w:r>
          </w:p>
          <w:p w14:paraId="3C4C5E0D" w14:textId="77777777" w:rsidR="00373AD1" w:rsidRDefault="00373AD1" w:rsidP="00444CE1">
            <w:pPr>
              <w:spacing w:line="276" w:lineRule="auto"/>
              <w:rPr>
                <w:rFonts w:eastAsia="Times New Roman"/>
                <w:lang w:eastAsia="en-GB"/>
              </w:rPr>
            </w:pPr>
            <w:r w:rsidRPr="00867FA6">
              <w:rPr>
                <w:rFonts w:eastAsia="Times New Roman"/>
                <w:lang w:eastAsia="en-GB"/>
              </w:rPr>
              <w:t>Somewhat effective</w:t>
            </w:r>
            <w:r>
              <w:rPr>
                <w:rFonts w:eastAsia="Times New Roman"/>
                <w:lang w:eastAsia="en-GB"/>
              </w:rPr>
              <w:t>.</w:t>
            </w:r>
          </w:p>
          <w:p w14:paraId="58C0E11A" w14:textId="77777777" w:rsidR="00373AD1" w:rsidRDefault="00373AD1" w:rsidP="00444CE1">
            <w:pPr>
              <w:spacing w:line="276" w:lineRule="auto"/>
              <w:rPr>
                <w:rFonts w:eastAsia="Times New Roman"/>
                <w:lang w:eastAsia="en-GB"/>
              </w:rPr>
            </w:pPr>
            <w:r w:rsidRPr="00867FA6">
              <w:rPr>
                <w:rFonts w:eastAsia="Times New Roman"/>
                <w:lang w:eastAsia="en-GB"/>
              </w:rPr>
              <w:t>Moderately effective</w:t>
            </w:r>
            <w:r>
              <w:rPr>
                <w:rFonts w:eastAsia="Times New Roman"/>
                <w:lang w:eastAsia="en-GB"/>
              </w:rPr>
              <w:t>.</w:t>
            </w:r>
          </w:p>
          <w:p w14:paraId="7A888E1D" w14:textId="77777777" w:rsidR="00373AD1" w:rsidRDefault="00373AD1" w:rsidP="00444CE1">
            <w:pPr>
              <w:spacing w:line="276" w:lineRule="auto"/>
              <w:rPr>
                <w:rFonts w:eastAsia="Times New Roman"/>
                <w:lang w:eastAsia="en-GB"/>
              </w:rPr>
            </w:pPr>
            <w:r>
              <w:rPr>
                <w:rFonts w:eastAsia="Times New Roman"/>
                <w:lang w:eastAsia="en-GB"/>
              </w:rPr>
              <w:t>Effective.</w:t>
            </w:r>
          </w:p>
          <w:p w14:paraId="63C0EF69" w14:textId="77777777" w:rsidR="00373AD1" w:rsidRDefault="00373AD1" w:rsidP="00444CE1">
            <w:pPr>
              <w:spacing w:line="276" w:lineRule="auto"/>
              <w:rPr>
                <w:rFonts w:eastAsia="Times New Roman"/>
                <w:lang w:eastAsia="en-GB"/>
              </w:rPr>
            </w:pPr>
            <w:r w:rsidRPr="00867FA6">
              <w:rPr>
                <w:rFonts w:eastAsia="Times New Roman"/>
                <w:lang w:eastAsia="en-GB"/>
              </w:rPr>
              <w:t>Very effective</w:t>
            </w:r>
            <w:r>
              <w:rPr>
                <w:rFonts w:eastAsia="Times New Roman"/>
                <w:lang w:eastAsia="en-GB"/>
              </w:rPr>
              <w:t>.</w:t>
            </w:r>
          </w:p>
          <w:p w14:paraId="7BAD792A" w14:textId="77777777" w:rsidR="00373AD1" w:rsidRPr="00867FA6" w:rsidRDefault="00373AD1" w:rsidP="00444CE1">
            <w:pPr>
              <w:spacing w:line="276" w:lineRule="auto"/>
              <w:rPr>
                <w:rFonts w:eastAsia="Times New Roman"/>
                <w:lang w:eastAsia="en-GB"/>
              </w:rPr>
            </w:pPr>
            <w:r>
              <w:rPr>
                <w:rFonts w:eastAsia="Times New Roman"/>
                <w:lang w:eastAsia="en-GB"/>
              </w:rPr>
              <w:t>N/A.</w:t>
            </w:r>
          </w:p>
        </w:tc>
      </w:tr>
      <w:tr w:rsidR="00373AD1" w:rsidRPr="00867FA6" w14:paraId="6B73FFB1" w14:textId="77777777" w:rsidTr="00444CE1">
        <w:trPr>
          <w:trHeight w:val="1800"/>
        </w:trPr>
        <w:tc>
          <w:tcPr>
            <w:tcW w:w="869" w:type="dxa"/>
            <w:vMerge/>
            <w:hideMark/>
          </w:tcPr>
          <w:p w14:paraId="42EB5F44" w14:textId="77777777" w:rsidR="00373AD1" w:rsidRPr="00867FA6" w:rsidRDefault="00373AD1" w:rsidP="00444CE1">
            <w:pPr>
              <w:spacing w:line="276" w:lineRule="auto"/>
              <w:rPr>
                <w:rFonts w:eastAsia="Times New Roman"/>
                <w:lang w:eastAsia="en-GB"/>
              </w:rPr>
            </w:pPr>
          </w:p>
        </w:tc>
        <w:tc>
          <w:tcPr>
            <w:tcW w:w="2371" w:type="dxa"/>
            <w:hideMark/>
          </w:tcPr>
          <w:p w14:paraId="5AB2940F" w14:textId="77777777" w:rsidR="00373AD1" w:rsidRPr="00867FA6" w:rsidRDefault="00373AD1" w:rsidP="00444CE1">
            <w:pPr>
              <w:spacing w:line="276" w:lineRule="auto"/>
              <w:rPr>
                <w:rFonts w:eastAsia="Times New Roman"/>
                <w:lang w:eastAsia="en-GB"/>
              </w:rPr>
            </w:pPr>
            <w:r>
              <w:rPr>
                <w:rFonts w:eastAsia="Times New Roman"/>
                <w:lang w:eastAsia="en-GB"/>
              </w:rPr>
              <w:t xml:space="preserve">Q9. </w:t>
            </w:r>
            <w:r w:rsidRPr="00867FA6">
              <w:rPr>
                <w:rFonts w:eastAsia="Times New Roman"/>
                <w:lang w:eastAsia="en-GB"/>
              </w:rPr>
              <w:t>What are the biggest challenges in using these tools?</w:t>
            </w:r>
          </w:p>
        </w:tc>
        <w:tc>
          <w:tcPr>
            <w:tcW w:w="2160" w:type="dxa"/>
            <w:hideMark/>
          </w:tcPr>
          <w:p w14:paraId="0FE6F3EB" w14:textId="77777777" w:rsidR="00373AD1" w:rsidRPr="00867FA6" w:rsidRDefault="00373AD1" w:rsidP="00444CE1">
            <w:pPr>
              <w:spacing w:line="276" w:lineRule="auto"/>
              <w:rPr>
                <w:rFonts w:eastAsia="Times New Roman"/>
                <w:lang w:eastAsia="en-GB"/>
              </w:rPr>
            </w:pPr>
            <w:r w:rsidRPr="00867FA6">
              <w:rPr>
                <w:rFonts w:eastAsia="Times New Roman"/>
                <w:lang w:eastAsia="en-GB"/>
              </w:rPr>
              <w:t>Multiple choice</w:t>
            </w:r>
            <w:r>
              <w:rPr>
                <w:rFonts w:eastAsia="Times New Roman"/>
                <w:lang w:eastAsia="en-GB"/>
              </w:rPr>
              <w:t>.</w:t>
            </w:r>
            <w:r w:rsidRPr="00867FA6">
              <w:rPr>
                <w:rFonts w:eastAsia="Times New Roman"/>
                <w:lang w:eastAsia="en-GB"/>
              </w:rPr>
              <w:t xml:space="preserve"> (select all that apply)</w:t>
            </w:r>
          </w:p>
        </w:tc>
        <w:tc>
          <w:tcPr>
            <w:tcW w:w="4710" w:type="dxa"/>
            <w:gridSpan w:val="2"/>
            <w:hideMark/>
          </w:tcPr>
          <w:p w14:paraId="2A284A80" w14:textId="77777777" w:rsidR="00373AD1" w:rsidRDefault="00373AD1" w:rsidP="00444CE1">
            <w:pPr>
              <w:spacing w:line="276" w:lineRule="auto"/>
              <w:rPr>
                <w:rFonts w:eastAsia="Times New Roman"/>
                <w:lang w:eastAsia="en-GB"/>
              </w:rPr>
            </w:pPr>
            <w:r w:rsidRPr="00867FA6">
              <w:rPr>
                <w:rFonts w:eastAsia="Times New Roman"/>
                <w:lang w:eastAsia="en-GB"/>
              </w:rPr>
              <w:t>Too complex/difficult to use</w:t>
            </w:r>
            <w:r>
              <w:rPr>
                <w:rFonts w:eastAsia="Times New Roman"/>
                <w:lang w:eastAsia="en-GB"/>
              </w:rPr>
              <w:t>.</w:t>
            </w:r>
          </w:p>
          <w:p w14:paraId="66BED8F4" w14:textId="77777777" w:rsidR="00373AD1" w:rsidRDefault="00373AD1" w:rsidP="00444CE1">
            <w:pPr>
              <w:spacing w:line="276" w:lineRule="auto"/>
              <w:rPr>
                <w:rFonts w:eastAsia="Times New Roman"/>
                <w:lang w:eastAsia="en-GB"/>
              </w:rPr>
            </w:pPr>
            <w:r w:rsidRPr="00867FA6">
              <w:rPr>
                <w:rFonts w:eastAsia="Times New Roman"/>
                <w:lang w:eastAsia="en-GB"/>
              </w:rPr>
              <w:t>Requires too much time and effort</w:t>
            </w:r>
            <w:r>
              <w:rPr>
                <w:rFonts w:eastAsia="Times New Roman"/>
                <w:lang w:eastAsia="en-GB"/>
              </w:rPr>
              <w:t>.</w:t>
            </w:r>
          </w:p>
          <w:p w14:paraId="4295FB48" w14:textId="77777777" w:rsidR="00373AD1" w:rsidRDefault="00373AD1" w:rsidP="00444CE1">
            <w:pPr>
              <w:spacing w:line="276" w:lineRule="auto"/>
              <w:rPr>
                <w:rFonts w:eastAsia="Times New Roman"/>
                <w:lang w:eastAsia="en-GB"/>
              </w:rPr>
            </w:pPr>
            <w:r w:rsidRPr="00867FA6">
              <w:rPr>
                <w:rFonts w:eastAsia="Times New Roman"/>
                <w:lang w:eastAsia="en-GB"/>
              </w:rPr>
              <w:t>Not aligned with project needs</w:t>
            </w:r>
            <w:r>
              <w:rPr>
                <w:rFonts w:eastAsia="Times New Roman"/>
                <w:lang w:eastAsia="en-GB"/>
              </w:rPr>
              <w:t>.</w:t>
            </w:r>
          </w:p>
          <w:p w14:paraId="0ED5CF8D" w14:textId="77777777" w:rsidR="00373AD1" w:rsidRDefault="00373AD1" w:rsidP="00444CE1">
            <w:pPr>
              <w:spacing w:line="276" w:lineRule="auto"/>
              <w:rPr>
                <w:rFonts w:eastAsia="Times New Roman"/>
                <w:lang w:eastAsia="en-GB"/>
              </w:rPr>
            </w:pPr>
            <w:r w:rsidRPr="00867FA6">
              <w:rPr>
                <w:rFonts w:eastAsia="Times New Roman"/>
                <w:lang w:eastAsia="en-GB"/>
              </w:rPr>
              <w:t xml:space="preserve">Lack of </w:t>
            </w:r>
            <w:r>
              <w:rPr>
                <w:rFonts w:eastAsia="Times New Roman"/>
                <w:lang w:eastAsia="en-GB"/>
              </w:rPr>
              <w:t xml:space="preserve">tool </w:t>
            </w:r>
            <w:r w:rsidRPr="00867FA6">
              <w:rPr>
                <w:rFonts w:eastAsia="Times New Roman"/>
                <w:lang w:eastAsia="en-GB"/>
              </w:rPr>
              <w:t>training</w:t>
            </w:r>
            <w:r>
              <w:rPr>
                <w:rFonts w:eastAsia="Times New Roman"/>
                <w:lang w:eastAsia="en-GB"/>
              </w:rPr>
              <w:t xml:space="preserve">. </w:t>
            </w:r>
          </w:p>
          <w:p w14:paraId="3B881842" w14:textId="77777777" w:rsidR="00373AD1" w:rsidRDefault="00373AD1" w:rsidP="00444CE1">
            <w:pPr>
              <w:spacing w:line="276" w:lineRule="auto"/>
              <w:rPr>
                <w:rFonts w:eastAsia="Times New Roman"/>
                <w:lang w:eastAsia="en-GB"/>
              </w:rPr>
            </w:pPr>
            <w:r>
              <w:rPr>
                <w:rFonts w:eastAsia="Times New Roman"/>
                <w:lang w:eastAsia="en-GB"/>
              </w:rPr>
              <w:t>Lack of risk knowledge/understanding.</w:t>
            </w:r>
          </w:p>
          <w:p w14:paraId="6F17731E" w14:textId="77777777" w:rsidR="00373AD1" w:rsidRDefault="00373AD1" w:rsidP="00444CE1">
            <w:pPr>
              <w:spacing w:line="276" w:lineRule="auto"/>
              <w:rPr>
                <w:rFonts w:eastAsia="Times New Roman"/>
                <w:lang w:eastAsia="en-GB"/>
              </w:rPr>
            </w:pPr>
            <w:r>
              <w:rPr>
                <w:rFonts w:eastAsia="Times New Roman"/>
                <w:lang w:eastAsia="en-GB"/>
              </w:rPr>
              <w:t>Lack of tool awareness.</w:t>
            </w:r>
          </w:p>
          <w:p w14:paraId="71A82940" w14:textId="77777777" w:rsidR="00373AD1" w:rsidRDefault="00373AD1" w:rsidP="00444CE1">
            <w:pPr>
              <w:spacing w:line="276" w:lineRule="auto"/>
              <w:rPr>
                <w:rFonts w:eastAsia="Times New Roman"/>
                <w:lang w:eastAsia="en-GB"/>
              </w:rPr>
            </w:pPr>
            <w:r>
              <w:rPr>
                <w:rFonts w:eastAsia="Times New Roman"/>
                <w:lang w:eastAsia="en-GB"/>
              </w:rPr>
              <w:t>Lack of tool flexibility.</w:t>
            </w:r>
          </w:p>
          <w:p w14:paraId="5B43770E" w14:textId="77777777" w:rsidR="00373AD1" w:rsidRDefault="00373AD1" w:rsidP="00444CE1">
            <w:pPr>
              <w:spacing w:line="276" w:lineRule="auto"/>
              <w:rPr>
                <w:rFonts w:eastAsia="Times New Roman"/>
                <w:lang w:eastAsia="en-GB"/>
              </w:rPr>
            </w:pPr>
            <w:r w:rsidRPr="00867FA6">
              <w:rPr>
                <w:rFonts w:eastAsia="Times New Roman"/>
                <w:lang w:eastAsia="en-GB"/>
              </w:rPr>
              <w:t>Lack of stakeholder engagement</w:t>
            </w:r>
            <w:r>
              <w:rPr>
                <w:rFonts w:eastAsia="Times New Roman"/>
                <w:lang w:eastAsia="en-GB"/>
              </w:rPr>
              <w:t>.</w:t>
            </w:r>
          </w:p>
          <w:p w14:paraId="463B4933" w14:textId="77777777" w:rsidR="00373AD1" w:rsidRPr="00867FA6" w:rsidRDefault="00373AD1" w:rsidP="00444CE1">
            <w:pPr>
              <w:spacing w:line="276" w:lineRule="auto"/>
              <w:rPr>
                <w:rFonts w:eastAsia="Times New Roman"/>
                <w:lang w:eastAsia="en-GB"/>
              </w:rPr>
            </w:pPr>
            <w:r w:rsidRPr="00867FA6">
              <w:rPr>
                <w:rFonts w:eastAsia="Times New Roman"/>
                <w:lang w:eastAsia="en-GB"/>
              </w:rPr>
              <w:t>Other (</w:t>
            </w:r>
            <w:r>
              <w:rPr>
                <w:rFonts w:eastAsia="Times New Roman"/>
                <w:lang w:eastAsia="en-GB"/>
              </w:rPr>
              <w:t>P</w:t>
            </w:r>
            <w:r w:rsidRPr="00867FA6">
              <w:rPr>
                <w:rFonts w:eastAsia="Times New Roman"/>
                <w:lang w:eastAsia="en-GB"/>
              </w:rPr>
              <w:t>lease specify)</w:t>
            </w:r>
            <w:r>
              <w:rPr>
                <w:rFonts w:eastAsia="Times New Roman"/>
                <w:lang w:eastAsia="en-GB"/>
              </w:rPr>
              <w:t>.</w:t>
            </w:r>
          </w:p>
        </w:tc>
      </w:tr>
      <w:tr w:rsidR="00373AD1" w:rsidRPr="00867FA6" w14:paraId="57C3C2E3" w14:textId="77777777" w:rsidTr="00444CE1">
        <w:trPr>
          <w:trHeight w:val="900"/>
        </w:trPr>
        <w:tc>
          <w:tcPr>
            <w:tcW w:w="869" w:type="dxa"/>
            <w:vMerge w:val="restart"/>
            <w:textDirection w:val="btLr"/>
            <w:hideMark/>
          </w:tcPr>
          <w:p w14:paraId="5C252528" w14:textId="77777777" w:rsidR="00373AD1" w:rsidRPr="00867FA6" w:rsidRDefault="00373AD1" w:rsidP="00444CE1">
            <w:pPr>
              <w:spacing w:before="160" w:line="276" w:lineRule="auto"/>
              <w:jc w:val="center"/>
              <w:rPr>
                <w:rFonts w:eastAsia="Times New Roman"/>
                <w:b/>
                <w:bCs/>
                <w:lang w:eastAsia="en-GB"/>
              </w:rPr>
            </w:pPr>
            <w:r w:rsidRPr="00867FA6">
              <w:rPr>
                <w:rFonts w:eastAsia="Times New Roman"/>
                <w:b/>
                <w:bCs/>
                <w:lang w:eastAsia="en-GB"/>
              </w:rPr>
              <w:t>Effectiveness of Risk Management</w:t>
            </w:r>
          </w:p>
        </w:tc>
        <w:tc>
          <w:tcPr>
            <w:tcW w:w="2371" w:type="dxa"/>
            <w:hideMark/>
          </w:tcPr>
          <w:p w14:paraId="180F531D"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Q10. </w:t>
            </w:r>
            <w:r w:rsidRPr="00867FA6">
              <w:rPr>
                <w:rFonts w:eastAsia="Times New Roman"/>
                <w:lang w:eastAsia="en-GB"/>
              </w:rPr>
              <w:t>How often do you believe risk assessment has led to improved project outcomes?</w:t>
            </w:r>
          </w:p>
        </w:tc>
        <w:tc>
          <w:tcPr>
            <w:tcW w:w="2160" w:type="dxa"/>
            <w:hideMark/>
          </w:tcPr>
          <w:p w14:paraId="1EF44260" w14:textId="77777777" w:rsidR="00373AD1" w:rsidRPr="00867FA6" w:rsidRDefault="00373AD1" w:rsidP="00444CE1">
            <w:pPr>
              <w:spacing w:line="276" w:lineRule="auto"/>
              <w:rPr>
                <w:rFonts w:eastAsia="Times New Roman"/>
                <w:lang w:eastAsia="en-GB"/>
              </w:rPr>
            </w:pPr>
            <w:r w:rsidRPr="00867FA6">
              <w:rPr>
                <w:rFonts w:eastAsia="Times New Roman"/>
                <w:lang w:eastAsia="en-GB"/>
              </w:rPr>
              <w:t>Likert Scale</w:t>
            </w:r>
            <w:r>
              <w:rPr>
                <w:rFonts w:eastAsia="Times New Roman"/>
                <w:lang w:eastAsia="en-GB"/>
              </w:rPr>
              <w:t>.</w:t>
            </w:r>
          </w:p>
        </w:tc>
        <w:tc>
          <w:tcPr>
            <w:tcW w:w="4710" w:type="dxa"/>
            <w:gridSpan w:val="2"/>
            <w:hideMark/>
          </w:tcPr>
          <w:p w14:paraId="1BA31141" w14:textId="77777777" w:rsidR="00373AD1" w:rsidRDefault="00373AD1" w:rsidP="00444CE1">
            <w:pPr>
              <w:spacing w:line="276" w:lineRule="auto"/>
              <w:rPr>
                <w:rFonts w:eastAsia="Times New Roman"/>
                <w:lang w:eastAsia="en-GB"/>
              </w:rPr>
            </w:pPr>
            <w:r w:rsidRPr="00867FA6">
              <w:rPr>
                <w:rFonts w:eastAsia="Times New Roman"/>
                <w:lang w:eastAsia="en-GB"/>
              </w:rPr>
              <w:t>Never</w:t>
            </w:r>
            <w:r>
              <w:rPr>
                <w:rFonts w:eastAsia="Times New Roman"/>
                <w:lang w:eastAsia="en-GB"/>
              </w:rPr>
              <w:t>.</w:t>
            </w:r>
          </w:p>
          <w:p w14:paraId="59D99CD0" w14:textId="77777777" w:rsidR="00373AD1" w:rsidRDefault="00373AD1" w:rsidP="00444CE1">
            <w:pPr>
              <w:spacing w:line="276" w:lineRule="auto"/>
              <w:rPr>
                <w:rFonts w:eastAsia="Times New Roman"/>
                <w:lang w:eastAsia="en-GB"/>
              </w:rPr>
            </w:pPr>
            <w:r w:rsidRPr="00867FA6">
              <w:rPr>
                <w:rFonts w:eastAsia="Times New Roman"/>
                <w:lang w:eastAsia="en-GB"/>
              </w:rPr>
              <w:t>Rarely</w:t>
            </w:r>
            <w:r>
              <w:rPr>
                <w:rFonts w:eastAsia="Times New Roman"/>
                <w:lang w:eastAsia="en-GB"/>
              </w:rPr>
              <w:t>.</w:t>
            </w:r>
          </w:p>
          <w:p w14:paraId="0C61CC3B" w14:textId="77777777" w:rsidR="00373AD1" w:rsidRDefault="00373AD1" w:rsidP="00444CE1">
            <w:pPr>
              <w:spacing w:line="276" w:lineRule="auto"/>
              <w:rPr>
                <w:rFonts w:eastAsia="Times New Roman"/>
                <w:lang w:eastAsia="en-GB"/>
              </w:rPr>
            </w:pPr>
            <w:r w:rsidRPr="00867FA6">
              <w:rPr>
                <w:rFonts w:eastAsia="Times New Roman"/>
                <w:lang w:eastAsia="en-GB"/>
              </w:rPr>
              <w:t>Sometimes</w:t>
            </w:r>
            <w:r>
              <w:rPr>
                <w:rFonts w:eastAsia="Times New Roman"/>
                <w:lang w:eastAsia="en-GB"/>
              </w:rPr>
              <w:t>.</w:t>
            </w:r>
          </w:p>
          <w:p w14:paraId="1EE49FCB" w14:textId="77777777" w:rsidR="00373AD1" w:rsidRDefault="00373AD1" w:rsidP="00444CE1">
            <w:pPr>
              <w:spacing w:line="276" w:lineRule="auto"/>
              <w:rPr>
                <w:rFonts w:eastAsia="Times New Roman"/>
                <w:lang w:eastAsia="en-GB"/>
              </w:rPr>
            </w:pPr>
            <w:r w:rsidRPr="00867FA6">
              <w:rPr>
                <w:rFonts w:eastAsia="Times New Roman"/>
                <w:lang w:eastAsia="en-GB"/>
              </w:rPr>
              <w:t>Often</w:t>
            </w:r>
            <w:r>
              <w:rPr>
                <w:rFonts w:eastAsia="Times New Roman"/>
                <w:lang w:eastAsia="en-GB"/>
              </w:rPr>
              <w:t>.</w:t>
            </w:r>
          </w:p>
          <w:p w14:paraId="43D2F69A" w14:textId="77777777" w:rsidR="00373AD1" w:rsidRDefault="00373AD1" w:rsidP="00444CE1">
            <w:pPr>
              <w:spacing w:line="276" w:lineRule="auto"/>
              <w:rPr>
                <w:rFonts w:eastAsia="Times New Roman"/>
                <w:lang w:eastAsia="en-GB"/>
              </w:rPr>
            </w:pPr>
            <w:r w:rsidRPr="00867FA6">
              <w:rPr>
                <w:rFonts w:eastAsia="Times New Roman"/>
                <w:lang w:eastAsia="en-GB"/>
              </w:rPr>
              <w:t>Always</w:t>
            </w:r>
            <w:r>
              <w:rPr>
                <w:rFonts w:eastAsia="Times New Roman"/>
                <w:lang w:eastAsia="en-GB"/>
              </w:rPr>
              <w:t>.</w:t>
            </w:r>
          </w:p>
          <w:p w14:paraId="0F4B5335" w14:textId="77777777" w:rsidR="00373AD1" w:rsidRPr="00867FA6" w:rsidRDefault="00373AD1" w:rsidP="00444CE1">
            <w:pPr>
              <w:spacing w:line="276" w:lineRule="auto"/>
              <w:rPr>
                <w:rFonts w:eastAsia="Times New Roman"/>
                <w:lang w:eastAsia="en-GB"/>
              </w:rPr>
            </w:pPr>
            <w:r>
              <w:rPr>
                <w:rFonts w:eastAsia="Times New Roman"/>
                <w:lang w:eastAsia="en-GB"/>
              </w:rPr>
              <w:t>N/A.</w:t>
            </w:r>
          </w:p>
        </w:tc>
      </w:tr>
      <w:tr w:rsidR="00373AD1" w:rsidRPr="00867FA6" w14:paraId="5FFCA283" w14:textId="77777777" w:rsidTr="00444CE1">
        <w:trPr>
          <w:trHeight w:val="900"/>
        </w:trPr>
        <w:tc>
          <w:tcPr>
            <w:tcW w:w="869" w:type="dxa"/>
            <w:vMerge/>
            <w:hideMark/>
          </w:tcPr>
          <w:p w14:paraId="0C1865DF" w14:textId="77777777" w:rsidR="00373AD1" w:rsidRPr="00867FA6" w:rsidRDefault="00373AD1" w:rsidP="00444CE1">
            <w:pPr>
              <w:spacing w:before="160" w:line="276" w:lineRule="auto"/>
              <w:rPr>
                <w:rFonts w:eastAsia="Times New Roman"/>
                <w:lang w:eastAsia="en-GB"/>
              </w:rPr>
            </w:pPr>
          </w:p>
        </w:tc>
        <w:tc>
          <w:tcPr>
            <w:tcW w:w="2371" w:type="dxa"/>
            <w:hideMark/>
          </w:tcPr>
          <w:p w14:paraId="1F08C29A"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Q11. </w:t>
            </w:r>
            <w:r w:rsidRPr="00867FA6">
              <w:rPr>
                <w:rFonts w:eastAsia="Times New Roman"/>
                <w:lang w:eastAsia="en-GB"/>
              </w:rPr>
              <w:t>Have risk assessments in your projects successfully prevented major risks from materiali</w:t>
            </w:r>
            <w:r>
              <w:rPr>
                <w:rFonts w:eastAsia="Times New Roman"/>
                <w:lang w:eastAsia="en-GB"/>
              </w:rPr>
              <w:t>s</w:t>
            </w:r>
            <w:r w:rsidRPr="00867FA6">
              <w:rPr>
                <w:rFonts w:eastAsia="Times New Roman"/>
                <w:lang w:eastAsia="en-GB"/>
              </w:rPr>
              <w:t>ing?</w:t>
            </w:r>
          </w:p>
        </w:tc>
        <w:tc>
          <w:tcPr>
            <w:tcW w:w="2160" w:type="dxa"/>
            <w:hideMark/>
          </w:tcPr>
          <w:p w14:paraId="2E1E5654" w14:textId="77777777" w:rsidR="00373AD1" w:rsidRPr="00867FA6" w:rsidRDefault="00373AD1" w:rsidP="00444CE1">
            <w:pPr>
              <w:spacing w:line="276" w:lineRule="auto"/>
              <w:rPr>
                <w:rFonts w:eastAsia="Times New Roman"/>
                <w:lang w:eastAsia="en-GB"/>
              </w:rPr>
            </w:pPr>
            <w:r w:rsidRPr="00867FA6">
              <w:rPr>
                <w:rFonts w:eastAsia="Times New Roman"/>
                <w:lang w:eastAsia="en-GB"/>
              </w:rPr>
              <w:t>Multiple choice</w:t>
            </w:r>
            <w:r>
              <w:rPr>
                <w:rFonts w:eastAsia="Times New Roman"/>
                <w:lang w:eastAsia="en-GB"/>
              </w:rPr>
              <w:t>.</w:t>
            </w:r>
          </w:p>
        </w:tc>
        <w:tc>
          <w:tcPr>
            <w:tcW w:w="4710" w:type="dxa"/>
            <w:gridSpan w:val="2"/>
            <w:hideMark/>
          </w:tcPr>
          <w:p w14:paraId="5CE299D3" w14:textId="77777777" w:rsidR="00373AD1" w:rsidRDefault="00373AD1" w:rsidP="00444CE1">
            <w:pPr>
              <w:spacing w:line="276" w:lineRule="auto"/>
              <w:rPr>
                <w:rFonts w:eastAsia="Times New Roman"/>
                <w:lang w:eastAsia="en-GB"/>
              </w:rPr>
            </w:pPr>
            <w:r>
              <w:rPr>
                <w:rFonts w:eastAsia="Times New Roman"/>
                <w:lang w:eastAsia="en-GB"/>
              </w:rPr>
              <w:t>Always (Every time).</w:t>
            </w:r>
          </w:p>
          <w:p w14:paraId="7C340E2A" w14:textId="77777777" w:rsidR="00373AD1" w:rsidRDefault="00373AD1" w:rsidP="00444CE1">
            <w:pPr>
              <w:spacing w:line="276" w:lineRule="auto"/>
              <w:rPr>
                <w:rFonts w:eastAsia="Times New Roman"/>
                <w:lang w:eastAsia="en-GB"/>
              </w:rPr>
            </w:pPr>
            <w:r w:rsidRPr="00867FA6">
              <w:rPr>
                <w:rFonts w:eastAsia="Times New Roman"/>
                <w:lang w:eastAsia="en-GB"/>
              </w:rPr>
              <w:t>Yes (</w:t>
            </w:r>
            <w:r>
              <w:rPr>
                <w:rFonts w:eastAsia="Times New Roman"/>
                <w:lang w:eastAsia="en-GB"/>
              </w:rPr>
              <w:t>M</w:t>
            </w:r>
            <w:r w:rsidRPr="00867FA6">
              <w:rPr>
                <w:rFonts w:eastAsia="Times New Roman"/>
                <w:lang w:eastAsia="en-GB"/>
              </w:rPr>
              <w:t>ost of the time)</w:t>
            </w:r>
            <w:r>
              <w:rPr>
                <w:rFonts w:eastAsia="Times New Roman"/>
                <w:lang w:eastAsia="en-GB"/>
              </w:rPr>
              <w:t>.</w:t>
            </w:r>
          </w:p>
          <w:p w14:paraId="74104B47" w14:textId="77777777" w:rsidR="00373AD1" w:rsidRDefault="00373AD1" w:rsidP="00444CE1">
            <w:pPr>
              <w:spacing w:line="276" w:lineRule="auto"/>
              <w:rPr>
                <w:rFonts w:eastAsia="Times New Roman"/>
                <w:lang w:eastAsia="en-GB"/>
              </w:rPr>
            </w:pPr>
            <w:r w:rsidRPr="00867FA6">
              <w:rPr>
                <w:rFonts w:eastAsia="Times New Roman"/>
                <w:lang w:eastAsia="en-GB"/>
              </w:rPr>
              <w:t>Sometimes</w:t>
            </w:r>
            <w:r>
              <w:rPr>
                <w:rFonts w:eastAsia="Times New Roman"/>
                <w:lang w:eastAsia="en-GB"/>
              </w:rPr>
              <w:t>.</w:t>
            </w:r>
          </w:p>
          <w:p w14:paraId="3024E3E5" w14:textId="77777777" w:rsidR="00373AD1" w:rsidRDefault="00373AD1" w:rsidP="00444CE1">
            <w:pPr>
              <w:spacing w:line="276" w:lineRule="auto"/>
              <w:rPr>
                <w:rFonts w:eastAsia="Times New Roman"/>
                <w:lang w:eastAsia="en-GB"/>
              </w:rPr>
            </w:pPr>
            <w:r w:rsidRPr="00867FA6">
              <w:rPr>
                <w:rFonts w:eastAsia="Times New Roman"/>
                <w:lang w:eastAsia="en-GB"/>
              </w:rPr>
              <w:t>Rarely</w:t>
            </w:r>
            <w:r>
              <w:rPr>
                <w:rFonts w:eastAsia="Times New Roman"/>
                <w:lang w:eastAsia="en-GB"/>
              </w:rPr>
              <w:t>.</w:t>
            </w:r>
          </w:p>
          <w:p w14:paraId="1247A0D6" w14:textId="77777777" w:rsidR="00373AD1" w:rsidRDefault="00373AD1" w:rsidP="00444CE1">
            <w:pPr>
              <w:spacing w:line="276" w:lineRule="auto"/>
              <w:rPr>
                <w:rFonts w:eastAsia="Times New Roman"/>
                <w:lang w:eastAsia="en-GB"/>
              </w:rPr>
            </w:pPr>
            <w:r w:rsidRPr="00867FA6">
              <w:rPr>
                <w:rFonts w:eastAsia="Times New Roman"/>
                <w:lang w:eastAsia="en-GB"/>
              </w:rPr>
              <w:t>No</w:t>
            </w:r>
            <w:r>
              <w:rPr>
                <w:rFonts w:eastAsia="Times New Roman"/>
                <w:lang w:eastAsia="en-GB"/>
              </w:rPr>
              <w:t>.</w:t>
            </w:r>
          </w:p>
          <w:p w14:paraId="60F1E0A5" w14:textId="77777777" w:rsidR="00373AD1" w:rsidRDefault="00373AD1" w:rsidP="00444CE1">
            <w:pPr>
              <w:spacing w:line="276" w:lineRule="auto"/>
              <w:rPr>
                <w:rFonts w:eastAsia="Times New Roman"/>
                <w:lang w:eastAsia="en-GB"/>
              </w:rPr>
            </w:pPr>
            <w:r>
              <w:rPr>
                <w:rFonts w:eastAsia="Times New Roman"/>
                <w:lang w:eastAsia="en-GB"/>
              </w:rPr>
              <w:t>N/A.</w:t>
            </w:r>
          </w:p>
          <w:p w14:paraId="3A440EE8" w14:textId="77777777" w:rsidR="00373AD1" w:rsidRPr="00867FA6" w:rsidRDefault="00373AD1" w:rsidP="00444CE1">
            <w:pPr>
              <w:spacing w:line="276" w:lineRule="auto"/>
              <w:rPr>
                <w:rFonts w:eastAsia="Times New Roman"/>
                <w:lang w:eastAsia="en-GB"/>
              </w:rPr>
            </w:pPr>
          </w:p>
        </w:tc>
      </w:tr>
      <w:tr w:rsidR="00373AD1" w:rsidRPr="00867FA6" w14:paraId="30810B62" w14:textId="77777777" w:rsidTr="00444CE1">
        <w:trPr>
          <w:trHeight w:val="900"/>
        </w:trPr>
        <w:tc>
          <w:tcPr>
            <w:tcW w:w="869" w:type="dxa"/>
            <w:vMerge/>
            <w:hideMark/>
          </w:tcPr>
          <w:p w14:paraId="79F35952" w14:textId="77777777" w:rsidR="00373AD1" w:rsidRPr="00867FA6" w:rsidRDefault="00373AD1" w:rsidP="00444CE1">
            <w:pPr>
              <w:spacing w:before="160" w:line="276" w:lineRule="auto"/>
              <w:rPr>
                <w:rFonts w:eastAsia="Times New Roman"/>
                <w:lang w:eastAsia="en-GB"/>
              </w:rPr>
            </w:pPr>
          </w:p>
        </w:tc>
        <w:tc>
          <w:tcPr>
            <w:tcW w:w="2371" w:type="dxa"/>
            <w:hideMark/>
          </w:tcPr>
          <w:p w14:paraId="07B6A7E9"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Q12. </w:t>
            </w:r>
            <w:r w:rsidRPr="00867FA6">
              <w:rPr>
                <w:rFonts w:eastAsia="Times New Roman"/>
                <w:lang w:eastAsia="en-GB"/>
              </w:rPr>
              <w:t>Have you encountered project failures due to ineffective risk management?</w:t>
            </w:r>
          </w:p>
        </w:tc>
        <w:tc>
          <w:tcPr>
            <w:tcW w:w="2160" w:type="dxa"/>
            <w:hideMark/>
          </w:tcPr>
          <w:p w14:paraId="055458B6" w14:textId="77777777" w:rsidR="00373AD1" w:rsidRPr="00867FA6" w:rsidRDefault="00373AD1" w:rsidP="00444CE1">
            <w:pPr>
              <w:spacing w:line="276" w:lineRule="auto"/>
              <w:rPr>
                <w:rFonts w:eastAsia="Times New Roman"/>
                <w:lang w:eastAsia="en-GB"/>
              </w:rPr>
            </w:pPr>
            <w:r w:rsidRPr="00867FA6">
              <w:rPr>
                <w:rFonts w:eastAsia="Times New Roman"/>
                <w:lang w:eastAsia="en-GB"/>
              </w:rPr>
              <w:t>Yes/No</w:t>
            </w:r>
            <w:r>
              <w:rPr>
                <w:rFonts w:eastAsia="Times New Roman"/>
                <w:lang w:eastAsia="en-GB"/>
              </w:rPr>
              <w:t>.</w:t>
            </w:r>
          </w:p>
        </w:tc>
        <w:tc>
          <w:tcPr>
            <w:tcW w:w="4710" w:type="dxa"/>
            <w:gridSpan w:val="2"/>
            <w:hideMark/>
          </w:tcPr>
          <w:p w14:paraId="0FDBE109" w14:textId="77777777" w:rsidR="00373AD1" w:rsidRDefault="00373AD1" w:rsidP="00444CE1">
            <w:pPr>
              <w:spacing w:line="276" w:lineRule="auto"/>
              <w:rPr>
                <w:rFonts w:eastAsia="Times New Roman"/>
                <w:lang w:eastAsia="en-GB"/>
              </w:rPr>
            </w:pPr>
            <w:r w:rsidRPr="00867FA6">
              <w:rPr>
                <w:rFonts w:eastAsia="Times New Roman"/>
                <w:lang w:eastAsia="en-GB"/>
              </w:rPr>
              <w:t>Yes</w:t>
            </w:r>
            <w:r>
              <w:rPr>
                <w:rFonts w:eastAsia="Times New Roman"/>
                <w:lang w:eastAsia="en-GB"/>
              </w:rPr>
              <w:t>.</w:t>
            </w:r>
          </w:p>
          <w:p w14:paraId="0154E27A" w14:textId="77777777" w:rsidR="00373AD1" w:rsidRPr="00867FA6" w:rsidRDefault="00373AD1" w:rsidP="00444CE1">
            <w:pPr>
              <w:spacing w:line="276" w:lineRule="auto"/>
              <w:rPr>
                <w:rFonts w:eastAsia="Times New Roman"/>
                <w:lang w:eastAsia="en-GB"/>
              </w:rPr>
            </w:pPr>
            <w:r w:rsidRPr="00867FA6">
              <w:rPr>
                <w:rFonts w:eastAsia="Times New Roman"/>
                <w:lang w:eastAsia="en-GB"/>
              </w:rPr>
              <w:t>No</w:t>
            </w:r>
            <w:r>
              <w:rPr>
                <w:rFonts w:eastAsia="Times New Roman"/>
                <w:lang w:eastAsia="en-GB"/>
              </w:rPr>
              <w:t>.</w:t>
            </w:r>
          </w:p>
        </w:tc>
      </w:tr>
      <w:tr w:rsidR="00373AD1" w:rsidRPr="00867FA6" w14:paraId="64D36052" w14:textId="77777777" w:rsidTr="00444CE1">
        <w:trPr>
          <w:trHeight w:val="1500"/>
        </w:trPr>
        <w:tc>
          <w:tcPr>
            <w:tcW w:w="869" w:type="dxa"/>
            <w:vMerge/>
            <w:hideMark/>
          </w:tcPr>
          <w:p w14:paraId="619E76C2" w14:textId="77777777" w:rsidR="00373AD1" w:rsidRPr="00867FA6" w:rsidRDefault="00373AD1" w:rsidP="00444CE1">
            <w:pPr>
              <w:spacing w:before="160" w:line="276" w:lineRule="auto"/>
              <w:rPr>
                <w:rFonts w:eastAsia="Times New Roman"/>
                <w:lang w:eastAsia="en-GB"/>
              </w:rPr>
            </w:pPr>
          </w:p>
        </w:tc>
        <w:tc>
          <w:tcPr>
            <w:tcW w:w="2371" w:type="dxa"/>
            <w:hideMark/>
          </w:tcPr>
          <w:p w14:paraId="173ED2BF"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Q13. </w:t>
            </w:r>
            <w:r w:rsidRPr="00867FA6">
              <w:rPr>
                <w:rFonts w:eastAsia="Times New Roman"/>
                <w:lang w:eastAsia="en-GB"/>
              </w:rPr>
              <w:t>In your opinion, what are the most common risk factors affecting project success?</w:t>
            </w:r>
          </w:p>
        </w:tc>
        <w:tc>
          <w:tcPr>
            <w:tcW w:w="2160" w:type="dxa"/>
            <w:hideMark/>
          </w:tcPr>
          <w:p w14:paraId="6027B882" w14:textId="77777777" w:rsidR="00373AD1" w:rsidRPr="00867FA6" w:rsidRDefault="00373AD1" w:rsidP="00444CE1">
            <w:pPr>
              <w:spacing w:line="276" w:lineRule="auto"/>
              <w:rPr>
                <w:rFonts w:eastAsia="Times New Roman"/>
                <w:lang w:eastAsia="en-GB"/>
              </w:rPr>
            </w:pPr>
            <w:r w:rsidRPr="00867FA6">
              <w:rPr>
                <w:rFonts w:eastAsia="Times New Roman"/>
                <w:lang w:eastAsia="en-GB"/>
              </w:rPr>
              <w:t>Multiple choice</w:t>
            </w:r>
            <w:r>
              <w:rPr>
                <w:rFonts w:eastAsia="Times New Roman"/>
                <w:lang w:eastAsia="en-GB"/>
              </w:rPr>
              <w:t xml:space="preserve">. </w:t>
            </w:r>
            <w:r w:rsidRPr="00867FA6">
              <w:rPr>
                <w:rFonts w:eastAsia="Times New Roman"/>
                <w:lang w:eastAsia="en-GB"/>
              </w:rPr>
              <w:t>(</w:t>
            </w:r>
            <w:r>
              <w:rPr>
                <w:rFonts w:eastAsia="Times New Roman"/>
                <w:lang w:eastAsia="en-GB"/>
              </w:rPr>
              <w:t>S</w:t>
            </w:r>
            <w:r w:rsidRPr="00867FA6">
              <w:rPr>
                <w:rFonts w:eastAsia="Times New Roman"/>
                <w:lang w:eastAsia="en-GB"/>
              </w:rPr>
              <w:t>elect all that apply)</w:t>
            </w:r>
          </w:p>
        </w:tc>
        <w:tc>
          <w:tcPr>
            <w:tcW w:w="4710" w:type="dxa"/>
            <w:gridSpan w:val="2"/>
            <w:hideMark/>
          </w:tcPr>
          <w:p w14:paraId="6EDE4C3C" w14:textId="77777777" w:rsidR="00373AD1" w:rsidRDefault="00373AD1" w:rsidP="00444CE1">
            <w:pPr>
              <w:spacing w:line="276" w:lineRule="auto"/>
              <w:rPr>
                <w:rFonts w:eastAsia="Times New Roman"/>
                <w:lang w:eastAsia="en-GB"/>
              </w:rPr>
            </w:pPr>
            <w:r w:rsidRPr="00867FA6">
              <w:rPr>
                <w:rFonts w:eastAsia="Times New Roman"/>
                <w:lang w:eastAsia="en-GB"/>
              </w:rPr>
              <w:t>Budget overruns</w:t>
            </w:r>
            <w:r>
              <w:rPr>
                <w:rFonts w:eastAsia="Times New Roman"/>
                <w:lang w:eastAsia="en-GB"/>
              </w:rPr>
              <w:t>.</w:t>
            </w:r>
          </w:p>
          <w:p w14:paraId="611F810C" w14:textId="77777777" w:rsidR="00373AD1" w:rsidRDefault="00373AD1" w:rsidP="00444CE1">
            <w:pPr>
              <w:spacing w:line="276" w:lineRule="auto"/>
              <w:rPr>
                <w:rFonts w:eastAsia="Times New Roman"/>
                <w:lang w:eastAsia="en-GB"/>
              </w:rPr>
            </w:pPr>
            <w:r w:rsidRPr="00867FA6">
              <w:rPr>
                <w:rFonts w:eastAsia="Times New Roman"/>
                <w:lang w:eastAsia="en-GB"/>
              </w:rPr>
              <w:t>Schedule delays</w:t>
            </w:r>
            <w:r>
              <w:rPr>
                <w:rFonts w:eastAsia="Times New Roman"/>
                <w:lang w:eastAsia="en-GB"/>
              </w:rPr>
              <w:t>.</w:t>
            </w:r>
          </w:p>
          <w:p w14:paraId="10A68EE4" w14:textId="77777777" w:rsidR="00373AD1" w:rsidRDefault="00373AD1" w:rsidP="00444CE1">
            <w:pPr>
              <w:spacing w:line="276" w:lineRule="auto"/>
              <w:rPr>
                <w:rFonts w:eastAsia="Times New Roman"/>
                <w:lang w:eastAsia="en-GB"/>
              </w:rPr>
            </w:pPr>
            <w:r w:rsidRPr="00867FA6">
              <w:rPr>
                <w:rFonts w:eastAsia="Times New Roman"/>
                <w:lang w:eastAsia="en-GB"/>
              </w:rPr>
              <w:t>Scope creep</w:t>
            </w:r>
            <w:r>
              <w:rPr>
                <w:rFonts w:eastAsia="Times New Roman"/>
                <w:lang w:eastAsia="en-GB"/>
              </w:rPr>
              <w:t>.</w:t>
            </w:r>
          </w:p>
          <w:p w14:paraId="60C47906" w14:textId="77777777" w:rsidR="00373AD1" w:rsidRDefault="00373AD1" w:rsidP="00444CE1">
            <w:pPr>
              <w:spacing w:line="276" w:lineRule="auto"/>
              <w:rPr>
                <w:rFonts w:eastAsia="Times New Roman"/>
                <w:lang w:eastAsia="en-GB"/>
              </w:rPr>
            </w:pPr>
            <w:r w:rsidRPr="00867FA6">
              <w:rPr>
                <w:rFonts w:eastAsia="Times New Roman"/>
                <w:lang w:eastAsia="en-GB"/>
              </w:rPr>
              <w:t>Resource constraints</w:t>
            </w:r>
            <w:r>
              <w:rPr>
                <w:rFonts w:eastAsia="Times New Roman"/>
                <w:lang w:eastAsia="en-GB"/>
              </w:rPr>
              <w:t>.</w:t>
            </w:r>
          </w:p>
          <w:p w14:paraId="6C63BDDC" w14:textId="77777777" w:rsidR="00373AD1" w:rsidRDefault="00373AD1" w:rsidP="00444CE1">
            <w:pPr>
              <w:spacing w:line="276" w:lineRule="auto"/>
              <w:rPr>
                <w:rFonts w:eastAsia="Times New Roman"/>
                <w:lang w:eastAsia="en-GB"/>
              </w:rPr>
            </w:pPr>
            <w:r w:rsidRPr="00867FA6">
              <w:rPr>
                <w:rFonts w:eastAsia="Times New Roman"/>
                <w:lang w:eastAsia="en-GB"/>
              </w:rPr>
              <w:t>Stakeholder conflicts</w:t>
            </w:r>
            <w:r>
              <w:rPr>
                <w:rFonts w:eastAsia="Times New Roman"/>
                <w:lang w:eastAsia="en-GB"/>
              </w:rPr>
              <w:t>.</w:t>
            </w:r>
          </w:p>
          <w:p w14:paraId="4977833A" w14:textId="77777777" w:rsidR="00373AD1" w:rsidRDefault="00373AD1" w:rsidP="00444CE1">
            <w:pPr>
              <w:spacing w:line="276" w:lineRule="auto"/>
              <w:rPr>
                <w:rFonts w:eastAsia="Times New Roman"/>
                <w:lang w:eastAsia="en-GB"/>
              </w:rPr>
            </w:pPr>
            <w:r w:rsidRPr="00867FA6">
              <w:rPr>
                <w:rFonts w:eastAsia="Times New Roman"/>
                <w:lang w:eastAsia="en-GB"/>
              </w:rPr>
              <w:t>Technical failures</w:t>
            </w:r>
            <w:r>
              <w:rPr>
                <w:rFonts w:eastAsia="Times New Roman"/>
                <w:lang w:eastAsia="en-GB"/>
              </w:rPr>
              <w:t>.</w:t>
            </w:r>
          </w:p>
          <w:p w14:paraId="08F22DE7" w14:textId="77777777" w:rsidR="00373AD1" w:rsidRDefault="00373AD1" w:rsidP="00444CE1">
            <w:pPr>
              <w:spacing w:line="276" w:lineRule="auto"/>
              <w:rPr>
                <w:rFonts w:eastAsia="Times New Roman"/>
                <w:lang w:eastAsia="en-GB"/>
              </w:rPr>
            </w:pPr>
            <w:r w:rsidRPr="00867FA6">
              <w:rPr>
                <w:rFonts w:eastAsia="Times New Roman"/>
                <w:lang w:eastAsia="en-GB"/>
              </w:rPr>
              <w:t>Other (please specify)</w:t>
            </w:r>
            <w:r>
              <w:rPr>
                <w:rFonts w:eastAsia="Times New Roman"/>
                <w:lang w:eastAsia="en-GB"/>
              </w:rPr>
              <w:t>.</w:t>
            </w:r>
          </w:p>
          <w:p w14:paraId="4DD7A4A0" w14:textId="77777777" w:rsidR="00373AD1" w:rsidRPr="00867FA6" w:rsidRDefault="00373AD1" w:rsidP="00444CE1">
            <w:pPr>
              <w:spacing w:line="276" w:lineRule="auto"/>
              <w:rPr>
                <w:rFonts w:eastAsia="Times New Roman"/>
                <w:lang w:eastAsia="en-GB"/>
              </w:rPr>
            </w:pPr>
          </w:p>
        </w:tc>
      </w:tr>
      <w:tr w:rsidR="00373AD1" w:rsidRPr="00867FA6" w14:paraId="6CE75158" w14:textId="77777777" w:rsidTr="00444CE1">
        <w:trPr>
          <w:trHeight w:val="1088"/>
        </w:trPr>
        <w:tc>
          <w:tcPr>
            <w:tcW w:w="869" w:type="dxa"/>
            <w:vMerge/>
            <w:hideMark/>
          </w:tcPr>
          <w:p w14:paraId="1C230D99" w14:textId="77777777" w:rsidR="00373AD1" w:rsidRPr="00867FA6" w:rsidRDefault="00373AD1" w:rsidP="00444CE1">
            <w:pPr>
              <w:spacing w:before="160" w:line="276" w:lineRule="auto"/>
              <w:rPr>
                <w:rFonts w:eastAsia="Times New Roman"/>
                <w:lang w:eastAsia="en-GB"/>
              </w:rPr>
            </w:pPr>
          </w:p>
        </w:tc>
        <w:tc>
          <w:tcPr>
            <w:tcW w:w="2371" w:type="dxa"/>
            <w:hideMark/>
          </w:tcPr>
          <w:p w14:paraId="07CD57F7"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Q14. </w:t>
            </w:r>
            <w:r w:rsidRPr="00867FA6">
              <w:rPr>
                <w:rFonts w:eastAsia="Times New Roman"/>
                <w:lang w:eastAsia="en-GB"/>
              </w:rPr>
              <w:t>Do you believe that risk assessment tools need improvement to be more effective?</w:t>
            </w:r>
          </w:p>
        </w:tc>
        <w:tc>
          <w:tcPr>
            <w:tcW w:w="2160" w:type="dxa"/>
            <w:hideMark/>
          </w:tcPr>
          <w:p w14:paraId="6BB446BD" w14:textId="77777777" w:rsidR="00373AD1" w:rsidRPr="00867FA6" w:rsidRDefault="00373AD1" w:rsidP="00444CE1">
            <w:pPr>
              <w:spacing w:line="276" w:lineRule="auto"/>
              <w:rPr>
                <w:rFonts w:eastAsia="Times New Roman"/>
                <w:lang w:eastAsia="en-GB"/>
              </w:rPr>
            </w:pPr>
            <w:r w:rsidRPr="00867FA6">
              <w:rPr>
                <w:rFonts w:eastAsia="Times New Roman"/>
                <w:lang w:eastAsia="en-GB"/>
              </w:rPr>
              <w:t>Yes/No/</w:t>
            </w:r>
            <w:r>
              <w:rPr>
                <w:rFonts w:eastAsia="Times New Roman"/>
                <w:lang w:eastAsia="en-GB"/>
              </w:rPr>
              <w:t>Maybe.</w:t>
            </w:r>
          </w:p>
        </w:tc>
        <w:tc>
          <w:tcPr>
            <w:tcW w:w="4710" w:type="dxa"/>
            <w:gridSpan w:val="2"/>
            <w:hideMark/>
          </w:tcPr>
          <w:p w14:paraId="7E0AC0B6" w14:textId="77777777" w:rsidR="00373AD1" w:rsidRDefault="00373AD1" w:rsidP="00444CE1">
            <w:pPr>
              <w:spacing w:line="276" w:lineRule="auto"/>
              <w:rPr>
                <w:rFonts w:eastAsia="Times New Roman"/>
                <w:lang w:eastAsia="en-GB"/>
              </w:rPr>
            </w:pPr>
            <w:r w:rsidRPr="00867FA6">
              <w:rPr>
                <w:rFonts w:eastAsia="Times New Roman"/>
                <w:lang w:eastAsia="en-GB"/>
              </w:rPr>
              <w:t>Yes</w:t>
            </w:r>
            <w:r>
              <w:rPr>
                <w:rFonts w:eastAsia="Times New Roman"/>
                <w:lang w:eastAsia="en-GB"/>
              </w:rPr>
              <w:t>.</w:t>
            </w:r>
          </w:p>
          <w:p w14:paraId="7D8FF04A" w14:textId="77777777" w:rsidR="00373AD1" w:rsidRDefault="00373AD1" w:rsidP="00444CE1">
            <w:pPr>
              <w:spacing w:line="276" w:lineRule="auto"/>
              <w:rPr>
                <w:rFonts w:eastAsia="Times New Roman"/>
                <w:lang w:eastAsia="en-GB"/>
              </w:rPr>
            </w:pPr>
            <w:r w:rsidRPr="00867FA6">
              <w:rPr>
                <w:rFonts w:eastAsia="Times New Roman"/>
                <w:lang w:eastAsia="en-GB"/>
              </w:rPr>
              <w:t>No</w:t>
            </w:r>
            <w:r>
              <w:rPr>
                <w:rFonts w:eastAsia="Times New Roman"/>
                <w:lang w:eastAsia="en-GB"/>
              </w:rPr>
              <w:t>.</w:t>
            </w:r>
          </w:p>
          <w:p w14:paraId="16022F8F" w14:textId="77777777" w:rsidR="00373AD1" w:rsidRPr="00867FA6" w:rsidRDefault="00373AD1" w:rsidP="00444CE1">
            <w:pPr>
              <w:spacing w:line="276" w:lineRule="auto"/>
              <w:rPr>
                <w:rFonts w:eastAsia="Times New Roman"/>
                <w:lang w:eastAsia="en-GB"/>
              </w:rPr>
            </w:pPr>
            <w:r>
              <w:rPr>
                <w:rFonts w:eastAsia="Times New Roman"/>
                <w:lang w:eastAsia="en-GB"/>
              </w:rPr>
              <w:t>Maybe.</w:t>
            </w:r>
          </w:p>
        </w:tc>
      </w:tr>
      <w:tr w:rsidR="00373AD1" w:rsidRPr="00867FA6" w14:paraId="3EFC1FE5" w14:textId="77777777" w:rsidTr="00444CE1">
        <w:trPr>
          <w:trHeight w:val="1200"/>
        </w:trPr>
        <w:tc>
          <w:tcPr>
            <w:tcW w:w="869" w:type="dxa"/>
            <w:vMerge/>
          </w:tcPr>
          <w:p w14:paraId="0128995B" w14:textId="77777777" w:rsidR="00373AD1" w:rsidRPr="00867FA6" w:rsidRDefault="00373AD1" w:rsidP="00444CE1">
            <w:pPr>
              <w:spacing w:before="160" w:line="276" w:lineRule="auto"/>
              <w:rPr>
                <w:rFonts w:eastAsia="Times New Roman"/>
                <w:lang w:eastAsia="en-GB"/>
              </w:rPr>
            </w:pPr>
          </w:p>
        </w:tc>
        <w:tc>
          <w:tcPr>
            <w:tcW w:w="2371" w:type="dxa"/>
          </w:tcPr>
          <w:p w14:paraId="0D8FD941"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Q15. </w:t>
            </w:r>
            <w:r w:rsidRPr="007969A0">
              <w:rPr>
                <w:rFonts w:eastAsia="Times New Roman"/>
                <w:lang w:eastAsia="en-GB"/>
              </w:rPr>
              <w:t>Based on your understanding, categorise each of the risk assessment tools</w:t>
            </w:r>
            <w:r>
              <w:rPr>
                <w:rFonts w:eastAsia="Times New Roman"/>
                <w:lang w:eastAsia="en-GB"/>
              </w:rPr>
              <w:t>.</w:t>
            </w:r>
          </w:p>
        </w:tc>
        <w:tc>
          <w:tcPr>
            <w:tcW w:w="2160" w:type="dxa"/>
          </w:tcPr>
          <w:p w14:paraId="628E57FF" w14:textId="77777777" w:rsidR="00373AD1" w:rsidRDefault="00373AD1" w:rsidP="00444CE1">
            <w:pPr>
              <w:spacing w:line="276" w:lineRule="auto"/>
              <w:rPr>
                <w:rFonts w:eastAsia="Times New Roman"/>
                <w:lang w:eastAsia="en-GB"/>
              </w:rPr>
            </w:pPr>
            <w:r>
              <w:rPr>
                <w:rFonts w:eastAsia="Times New Roman"/>
                <w:lang w:eastAsia="en-GB"/>
              </w:rPr>
              <w:t>Multiple Choice.</w:t>
            </w:r>
          </w:p>
          <w:p w14:paraId="09D2BEA0" w14:textId="77777777" w:rsidR="00373AD1" w:rsidRPr="00867FA6" w:rsidRDefault="00373AD1" w:rsidP="00444CE1">
            <w:pPr>
              <w:spacing w:line="276" w:lineRule="auto"/>
              <w:rPr>
                <w:rFonts w:eastAsia="Times New Roman"/>
                <w:lang w:eastAsia="en-GB"/>
              </w:rPr>
            </w:pPr>
            <w:r>
              <w:rPr>
                <w:rFonts w:eastAsia="Times New Roman"/>
                <w:lang w:eastAsia="en-GB"/>
              </w:rPr>
              <w:t>(Match the risk tool to its category).</w:t>
            </w:r>
          </w:p>
        </w:tc>
        <w:tc>
          <w:tcPr>
            <w:tcW w:w="2250" w:type="dxa"/>
          </w:tcPr>
          <w:p w14:paraId="74E7A7FC" w14:textId="77777777" w:rsidR="00373AD1" w:rsidRPr="00E574E3" w:rsidRDefault="00373AD1" w:rsidP="00444CE1">
            <w:pPr>
              <w:spacing w:line="276" w:lineRule="auto"/>
              <w:rPr>
                <w:rFonts w:eastAsia="Times New Roman"/>
                <w:u w:val="single"/>
                <w:lang w:eastAsia="en-GB"/>
              </w:rPr>
            </w:pPr>
            <w:r w:rsidRPr="00E574E3">
              <w:rPr>
                <w:rFonts w:eastAsia="Times New Roman"/>
                <w:u w:val="single"/>
                <w:lang w:eastAsia="en-GB"/>
              </w:rPr>
              <w:t>Category</w:t>
            </w:r>
          </w:p>
          <w:p w14:paraId="762460A9" w14:textId="77777777" w:rsidR="00373AD1" w:rsidRPr="00E574E3" w:rsidRDefault="00373AD1" w:rsidP="00444CE1">
            <w:pPr>
              <w:pStyle w:val="ListParagraph"/>
              <w:numPr>
                <w:ilvl w:val="0"/>
                <w:numId w:val="42"/>
              </w:numPr>
              <w:spacing w:line="276" w:lineRule="auto"/>
              <w:ind w:left="317"/>
              <w:rPr>
                <w:rFonts w:eastAsia="Times New Roman"/>
                <w:lang w:eastAsia="en-GB"/>
              </w:rPr>
            </w:pPr>
            <w:r w:rsidRPr="00E574E3">
              <w:rPr>
                <w:rFonts w:eastAsia="Times New Roman"/>
                <w:lang w:eastAsia="en-GB"/>
              </w:rPr>
              <w:t>Risk Identification Methods</w:t>
            </w:r>
            <w:r>
              <w:rPr>
                <w:rFonts w:eastAsia="Times New Roman"/>
                <w:lang w:eastAsia="en-GB"/>
              </w:rPr>
              <w:t>.</w:t>
            </w:r>
          </w:p>
          <w:p w14:paraId="6C9D25CF" w14:textId="77777777" w:rsidR="00373AD1" w:rsidRPr="00E574E3" w:rsidRDefault="00373AD1" w:rsidP="00444CE1">
            <w:pPr>
              <w:pStyle w:val="ListParagraph"/>
              <w:numPr>
                <w:ilvl w:val="0"/>
                <w:numId w:val="42"/>
              </w:numPr>
              <w:spacing w:line="276" w:lineRule="auto"/>
              <w:ind w:left="317"/>
              <w:rPr>
                <w:rFonts w:eastAsia="Times New Roman"/>
                <w:lang w:eastAsia="en-GB"/>
              </w:rPr>
            </w:pPr>
            <w:r w:rsidRPr="00E574E3">
              <w:rPr>
                <w:rFonts w:eastAsia="Times New Roman"/>
                <w:lang w:eastAsia="en-GB"/>
              </w:rPr>
              <w:t>Risk Analysis Tools (Qualitative &amp; Quantitative)</w:t>
            </w:r>
            <w:r>
              <w:rPr>
                <w:rFonts w:eastAsia="Times New Roman"/>
                <w:lang w:eastAsia="en-GB"/>
              </w:rPr>
              <w:t>.</w:t>
            </w:r>
          </w:p>
          <w:p w14:paraId="63C05E1F" w14:textId="77777777" w:rsidR="00373AD1" w:rsidRPr="00E574E3" w:rsidRDefault="00373AD1" w:rsidP="00444CE1">
            <w:pPr>
              <w:pStyle w:val="ListParagraph"/>
              <w:numPr>
                <w:ilvl w:val="0"/>
                <w:numId w:val="42"/>
              </w:numPr>
              <w:spacing w:line="276" w:lineRule="auto"/>
              <w:ind w:left="317"/>
              <w:rPr>
                <w:rFonts w:eastAsia="Times New Roman"/>
                <w:lang w:eastAsia="en-GB"/>
              </w:rPr>
            </w:pPr>
            <w:r w:rsidRPr="00E574E3">
              <w:rPr>
                <w:rFonts w:eastAsia="Times New Roman"/>
                <w:lang w:eastAsia="en-GB"/>
              </w:rPr>
              <w:t>Risk Control &amp; Visuali</w:t>
            </w:r>
            <w:r>
              <w:rPr>
                <w:rFonts w:eastAsia="Times New Roman"/>
                <w:lang w:eastAsia="en-GB"/>
              </w:rPr>
              <w:t>s</w:t>
            </w:r>
            <w:r w:rsidRPr="00E574E3">
              <w:rPr>
                <w:rFonts w:eastAsia="Times New Roman"/>
                <w:lang w:eastAsia="en-GB"/>
              </w:rPr>
              <w:t>ation Methods</w:t>
            </w:r>
            <w:r>
              <w:rPr>
                <w:rFonts w:eastAsia="Times New Roman"/>
                <w:lang w:eastAsia="en-GB"/>
              </w:rPr>
              <w:t>.</w:t>
            </w:r>
          </w:p>
          <w:p w14:paraId="65E7C910" w14:textId="77777777" w:rsidR="00373AD1" w:rsidRPr="00E574E3" w:rsidRDefault="00373AD1" w:rsidP="00444CE1">
            <w:pPr>
              <w:pStyle w:val="ListParagraph"/>
              <w:numPr>
                <w:ilvl w:val="0"/>
                <w:numId w:val="42"/>
              </w:numPr>
              <w:spacing w:line="276" w:lineRule="auto"/>
              <w:ind w:left="317"/>
              <w:rPr>
                <w:rFonts w:eastAsia="Times New Roman"/>
                <w:lang w:eastAsia="en-GB"/>
              </w:rPr>
            </w:pPr>
            <w:r w:rsidRPr="00E574E3">
              <w:rPr>
                <w:rFonts w:eastAsia="Times New Roman"/>
                <w:lang w:eastAsia="en-GB"/>
              </w:rPr>
              <w:t>Functional &amp; Failure Analysis Techniques</w:t>
            </w:r>
            <w:r>
              <w:rPr>
                <w:rFonts w:eastAsia="Times New Roman"/>
                <w:lang w:eastAsia="en-GB"/>
              </w:rPr>
              <w:t>.</w:t>
            </w:r>
          </w:p>
          <w:p w14:paraId="08196A0B" w14:textId="77777777" w:rsidR="00373AD1" w:rsidRPr="00E574E3" w:rsidRDefault="00373AD1" w:rsidP="00444CE1">
            <w:pPr>
              <w:pStyle w:val="ListParagraph"/>
              <w:numPr>
                <w:ilvl w:val="0"/>
                <w:numId w:val="42"/>
              </w:numPr>
              <w:spacing w:line="276" w:lineRule="auto"/>
              <w:ind w:left="317"/>
              <w:rPr>
                <w:rFonts w:eastAsia="Times New Roman"/>
                <w:lang w:eastAsia="en-GB"/>
              </w:rPr>
            </w:pPr>
            <w:r w:rsidRPr="00E574E3">
              <w:rPr>
                <w:rFonts w:eastAsia="Times New Roman"/>
                <w:lang w:eastAsia="en-GB"/>
              </w:rPr>
              <w:t>Risk Documentation &amp; Monitoring Tools</w:t>
            </w:r>
            <w:r>
              <w:rPr>
                <w:rFonts w:eastAsia="Times New Roman"/>
                <w:lang w:eastAsia="en-GB"/>
              </w:rPr>
              <w:t>.</w:t>
            </w:r>
          </w:p>
        </w:tc>
        <w:tc>
          <w:tcPr>
            <w:tcW w:w="2460" w:type="dxa"/>
          </w:tcPr>
          <w:p w14:paraId="5205EBCE" w14:textId="77777777" w:rsidR="00373AD1" w:rsidRPr="00E574E3" w:rsidRDefault="00373AD1" w:rsidP="00444CE1">
            <w:pPr>
              <w:spacing w:line="276" w:lineRule="auto"/>
              <w:rPr>
                <w:rFonts w:eastAsia="Times New Roman"/>
                <w:u w:val="single"/>
                <w:lang w:eastAsia="en-GB"/>
              </w:rPr>
            </w:pPr>
            <w:r w:rsidRPr="00E574E3">
              <w:rPr>
                <w:rFonts w:eastAsia="Times New Roman"/>
                <w:u w:val="single"/>
                <w:lang w:eastAsia="en-GB"/>
              </w:rPr>
              <w:t>Risk Assessment Tool</w:t>
            </w:r>
          </w:p>
          <w:p w14:paraId="48342670" w14:textId="77777777" w:rsidR="00373AD1" w:rsidRPr="00E574E3" w:rsidRDefault="00373AD1" w:rsidP="00444CE1">
            <w:pPr>
              <w:pStyle w:val="ListParagraph"/>
              <w:numPr>
                <w:ilvl w:val="0"/>
                <w:numId w:val="43"/>
              </w:numPr>
              <w:spacing w:line="276" w:lineRule="auto"/>
              <w:ind w:left="341"/>
              <w:rPr>
                <w:rFonts w:eastAsia="Times New Roman"/>
                <w:lang w:eastAsia="en-GB"/>
              </w:rPr>
            </w:pPr>
            <w:r w:rsidRPr="00E574E3">
              <w:rPr>
                <w:rFonts w:eastAsia="Times New Roman"/>
                <w:lang w:eastAsia="en-GB"/>
              </w:rPr>
              <w:t>Qualitative risk matrices.</w:t>
            </w:r>
          </w:p>
          <w:p w14:paraId="13B3600C" w14:textId="77777777" w:rsidR="00373AD1" w:rsidRPr="00E574E3" w:rsidRDefault="00373AD1" w:rsidP="00444CE1">
            <w:pPr>
              <w:pStyle w:val="ListParagraph"/>
              <w:numPr>
                <w:ilvl w:val="0"/>
                <w:numId w:val="43"/>
              </w:numPr>
              <w:spacing w:line="276" w:lineRule="auto"/>
              <w:ind w:left="341"/>
              <w:rPr>
                <w:rFonts w:eastAsia="Times New Roman"/>
                <w:lang w:eastAsia="en-GB"/>
              </w:rPr>
            </w:pPr>
            <w:r w:rsidRPr="00E574E3">
              <w:rPr>
                <w:rFonts w:eastAsia="Times New Roman"/>
                <w:lang w:eastAsia="en-GB"/>
              </w:rPr>
              <w:t>Monte Carlo simulations.</w:t>
            </w:r>
          </w:p>
          <w:p w14:paraId="6378592A" w14:textId="77777777" w:rsidR="00373AD1" w:rsidRPr="00E574E3" w:rsidRDefault="00373AD1" w:rsidP="00444CE1">
            <w:pPr>
              <w:pStyle w:val="ListParagraph"/>
              <w:numPr>
                <w:ilvl w:val="0"/>
                <w:numId w:val="43"/>
              </w:numPr>
              <w:spacing w:line="276" w:lineRule="auto"/>
              <w:ind w:left="341"/>
              <w:rPr>
                <w:rFonts w:eastAsia="Times New Roman"/>
                <w:lang w:eastAsia="en-GB"/>
              </w:rPr>
            </w:pPr>
            <w:r w:rsidRPr="00E574E3">
              <w:rPr>
                <w:rFonts w:eastAsia="Times New Roman"/>
                <w:lang w:eastAsia="en-GB"/>
              </w:rPr>
              <w:t>FMEA.</w:t>
            </w:r>
          </w:p>
          <w:p w14:paraId="1B0191ED" w14:textId="77777777" w:rsidR="00373AD1" w:rsidRPr="00E574E3" w:rsidRDefault="00373AD1" w:rsidP="00444CE1">
            <w:pPr>
              <w:pStyle w:val="ListParagraph"/>
              <w:numPr>
                <w:ilvl w:val="0"/>
                <w:numId w:val="43"/>
              </w:numPr>
              <w:spacing w:line="276" w:lineRule="auto"/>
              <w:ind w:left="341"/>
              <w:rPr>
                <w:rFonts w:eastAsia="Times New Roman"/>
                <w:lang w:eastAsia="en-GB"/>
              </w:rPr>
            </w:pPr>
            <w:r w:rsidRPr="00E574E3">
              <w:rPr>
                <w:rFonts w:eastAsia="Times New Roman"/>
                <w:lang w:eastAsia="en-GB"/>
              </w:rPr>
              <w:t>Risk registers.</w:t>
            </w:r>
          </w:p>
          <w:p w14:paraId="2647F9A1" w14:textId="77777777" w:rsidR="00373AD1" w:rsidRPr="00E574E3" w:rsidRDefault="00373AD1" w:rsidP="00444CE1">
            <w:pPr>
              <w:pStyle w:val="ListParagraph"/>
              <w:numPr>
                <w:ilvl w:val="0"/>
                <w:numId w:val="43"/>
              </w:numPr>
              <w:spacing w:line="276" w:lineRule="auto"/>
              <w:ind w:left="341"/>
              <w:rPr>
                <w:rFonts w:eastAsia="Times New Roman"/>
                <w:lang w:eastAsia="en-GB"/>
              </w:rPr>
            </w:pPr>
            <w:r w:rsidRPr="00E574E3">
              <w:rPr>
                <w:rFonts w:eastAsia="Times New Roman"/>
                <w:lang w:eastAsia="en-GB"/>
              </w:rPr>
              <w:t>Functional Analysis. (HASOP).</w:t>
            </w:r>
          </w:p>
          <w:p w14:paraId="324068BC" w14:textId="77777777" w:rsidR="00373AD1" w:rsidRPr="00E574E3" w:rsidRDefault="00373AD1" w:rsidP="00444CE1">
            <w:pPr>
              <w:pStyle w:val="ListParagraph"/>
              <w:numPr>
                <w:ilvl w:val="0"/>
                <w:numId w:val="43"/>
              </w:numPr>
              <w:spacing w:line="276" w:lineRule="auto"/>
              <w:ind w:left="341"/>
              <w:rPr>
                <w:rFonts w:eastAsia="Times New Roman"/>
                <w:lang w:eastAsia="en-GB"/>
              </w:rPr>
            </w:pPr>
            <w:r w:rsidRPr="00E574E3">
              <w:rPr>
                <w:rFonts w:eastAsia="Times New Roman"/>
                <w:lang w:eastAsia="en-GB"/>
              </w:rPr>
              <w:t>Supporting Methods (Brainstorming).</w:t>
            </w:r>
          </w:p>
          <w:p w14:paraId="6BFEC691" w14:textId="77777777" w:rsidR="00373AD1" w:rsidRPr="00E574E3" w:rsidRDefault="00373AD1" w:rsidP="00444CE1">
            <w:pPr>
              <w:pStyle w:val="ListParagraph"/>
              <w:numPr>
                <w:ilvl w:val="0"/>
                <w:numId w:val="43"/>
              </w:numPr>
              <w:spacing w:line="276" w:lineRule="auto"/>
              <w:ind w:left="341"/>
              <w:rPr>
                <w:rFonts w:eastAsia="Times New Roman"/>
                <w:lang w:eastAsia="en-GB"/>
              </w:rPr>
            </w:pPr>
            <w:r w:rsidRPr="00E574E3">
              <w:rPr>
                <w:rFonts w:eastAsia="Times New Roman"/>
                <w:lang w:eastAsia="en-GB"/>
              </w:rPr>
              <w:t>Control Assessments (Bow Tie Analysis).</w:t>
            </w:r>
          </w:p>
          <w:p w14:paraId="28149373" w14:textId="77777777" w:rsidR="00373AD1" w:rsidRPr="00E574E3" w:rsidRDefault="00373AD1" w:rsidP="00444CE1">
            <w:pPr>
              <w:pStyle w:val="ListParagraph"/>
              <w:numPr>
                <w:ilvl w:val="0"/>
                <w:numId w:val="43"/>
              </w:numPr>
              <w:spacing w:line="276" w:lineRule="auto"/>
              <w:ind w:left="341"/>
              <w:rPr>
                <w:rFonts w:eastAsia="Times New Roman"/>
                <w:lang w:eastAsia="en-GB"/>
              </w:rPr>
            </w:pPr>
            <w:r w:rsidRPr="00E574E3">
              <w:rPr>
                <w:rFonts w:eastAsia="Times New Roman"/>
                <w:lang w:eastAsia="en-GB"/>
              </w:rPr>
              <w:t>Look up Methods (Check Lists)</w:t>
            </w:r>
            <w:r>
              <w:rPr>
                <w:rFonts w:eastAsia="Times New Roman"/>
                <w:lang w:eastAsia="en-GB"/>
              </w:rPr>
              <w:t>.</w:t>
            </w:r>
          </w:p>
          <w:p w14:paraId="38697679" w14:textId="77777777" w:rsidR="00373AD1" w:rsidRPr="00E574E3" w:rsidRDefault="00373AD1" w:rsidP="00444CE1">
            <w:pPr>
              <w:pStyle w:val="ListParagraph"/>
              <w:numPr>
                <w:ilvl w:val="0"/>
                <w:numId w:val="43"/>
              </w:numPr>
              <w:spacing w:line="276" w:lineRule="auto"/>
              <w:ind w:left="341"/>
              <w:rPr>
                <w:rFonts w:eastAsia="Times New Roman"/>
                <w:lang w:eastAsia="en-GB"/>
              </w:rPr>
            </w:pPr>
            <w:r w:rsidRPr="00E574E3">
              <w:rPr>
                <w:rFonts w:eastAsia="Times New Roman"/>
                <w:lang w:eastAsia="en-GB"/>
              </w:rPr>
              <w:t>Cost-Benefit Analysis (CBA)</w:t>
            </w:r>
            <w:r>
              <w:rPr>
                <w:rFonts w:eastAsia="Times New Roman"/>
                <w:lang w:eastAsia="en-GB"/>
              </w:rPr>
              <w:t>.</w:t>
            </w:r>
          </w:p>
          <w:p w14:paraId="40F2D5AD" w14:textId="77777777" w:rsidR="00373AD1" w:rsidRPr="00E574E3" w:rsidRDefault="00373AD1" w:rsidP="00444CE1">
            <w:pPr>
              <w:pStyle w:val="ListParagraph"/>
              <w:numPr>
                <w:ilvl w:val="0"/>
                <w:numId w:val="43"/>
              </w:numPr>
              <w:spacing w:line="276" w:lineRule="auto"/>
              <w:ind w:left="341"/>
              <w:rPr>
                <w:rFonts w:eastAsia="Times New Roman"/>
                <w:lang w:eastAsia="en-GB"/>
              </w:rPr>
            </w:pPr>
            <w:r w:rsidRPr="00E574E3">
              <w:rPr>
                <w:rFonts w:eastAsia="Times New Roman"/>
                <w:lang w:eastAsia="en-GB"/>
              </w:rPr>
              <w:t>Ishikawa (Fishbone) Diagrams</w:t>
            </w:r>
            <w:r>
              <w:rPr>
                <w:rFonts w:eastAsia="Times New Roman"/>
                <w:lang w:eastAsia="en-GB"/>
              </w:rPr>
              <w:t>.</w:t>
            </w:r>
          </w:p>
        </w:tc>
      </w:tr>
      <w:tr w:rsidR="00373AD1" w:rsidRPr="00867FA6" w14:paraId="5E807ED7" w14:textId="77777777" w:rsidTr="00444CE1">
        <w:trPr>
          <w:trHeight w:val="1200"/>
        </w:trPr>
        <w:tc>
          <w:tcPr>
            <w:tcW w:w="869" w:type="dxa"/>
            <w:vMerge w:val="restart"/>
            <w:textDirection w:val="btLr"/>
            <w:hideMark/>
          </w:tcPr>
          <w:p w14:paraId="69606A0F" w14:textId="77777777" w:rsidR="00373AD1" w:rsidRPr="00867FA6" w:rsidRDefault="00373AD1" w:rsidP="00444CE1">
            <w:pPr>
              <w:spacing w:before="160" w:line="276" w:lineRule="auto"/>
              <w:jc w:val="center"/>
              <w:rPr>
                <w:rFonts w:eastAsia="Times New Roman"/>
                <w:b/>
                <w:bCs/>
                <w:lang w:eastAsia="en-GB"/>
              </w:rPr>
            </w:pPr>
            <w:bookmarkStart w:id="42" w:name="_Hlk205129420"/>
            <w:r w:rsidRPr="00867FA6">
              <w:rPr>
                <w:rFonts w:eastAsia="Times New Roman"/>
                <w:b/>
                <w:bCs/>
                <w:lang w:eastAsia="en-GB"/>
              </w:rPr>
              <w:t>Need for a Customisable Framework</w:t>
            </w:r>
            <w:bookmarkEnd w:id="42"/>
          </w:p>
        </w:tc>
        <w:tc>
          <w:tcPr>
            <w:tcW w:w="2371" w:type="dxa"/>
            <w:hideMark/>
          </w:tcPr>
          <w:p w14:paraId="32D1A16F"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Q16. </w:t>
            </w:r>
            <w:r w:rsidRPr="00867FA6">
              <w:rPr>
                <w:rFonts w:eastAsia="Times New Roman"/>
                <w:lang w:eastAsia="en-GB"/>
              </w:rPr>
              <w:t>Do you think a more customisable risk assessment framework could enhance risk management?</w:t>
            </w:r>
          </w:p>
        </w:tc>
        <w:tc>
          <w:tcPr>
            <w:tcW w:w="2160" w:type="dxa"/>
            <w:hideMark/>
          </w:tcPr>
          <w:p w14:paraId="2F2AECF4" w14:textId="77777777" w:rsidR="00373AD1" w:rsidRPr="00867FA6" w:rsidRDefault="00373AD1" w:rsidP="00444CE1">
            <w:pPr>
              <w:spacing w:line="276" w:lineRule="auto"/>
              <w:rPr>
                <w:rFonts w:eastAsia="Times New Roman"/>
                <w:lang w:eastAsia="en-GB"/>
              </w:rPr>
            </w:pPr>
            <w:r w:rsidRPr="00867FA6">
              <w:rPr>
                <w:rFonts w:eastAsia="Times New Roman"/>
                <w:lang w:eastAsia="en-GB"/>
              </w:rPr>
              <w:t>Yes/No/Maybe</w:t>
            </w:r>
            <w:r>
              <w:rPr>
                <w:rFonts w:eastAsia="Times New Roman"/>
                <w:lang w:eastAsia="en-GB"/>
              </w:rPr>
              <w:t>.</w:t>
            </w:r>
          </w:p>
        </w:tc>
        <w:tc>
          <w:tcPr>
            <w:tcW w:w="4710" w:type="dxa"/>
            <w:gridSpan w:val="2"/>
            <w:hideMark/>
          </w:tcPr>
          <w:p w14:paraId="1CD10703" w14:textId="77777777" w:rsidR="00373AD1" w:rsidRDefault="00373AD1" w:rsidP="00444CE1">
            <w:pPr>
              <w:spacing w:line="276" w:lineRule="auto"/>
              <w:rPr>
                <w:rFonts w:eastAsia="Times New Roman"/>
                <w:lang w:eastAsia="en-GB"/>
              </w:rPr>
            </w:pPr>
            <w:r w:rsidRPr="00867FA6">
              <w:rPr>
                <w:rFonts w:eastAsia="Times New Roman"/>
                <w:lang w:eastAsia="en-GB"/>
              </w:rPr>
              <w:t>Yes</w:t>
            </w:r>
            <w:r>
              <w:rPr>
                <w:rFonts w:eastAsia="Times New Roman"/>
                <w:lang w:eastAsia="en-GB"/>
              </w:rPr>
              <w:t>.</w:t>
            </w:r>
          </w:p>
          <w:p w14:paraId="1A06C4AD" w14:textId="77777777" w:rsidR="00373AD1" w:rsidRDefault="00373AD1" w:rsidP="00444CE1">
            <w:pPr>
              <w:spacing w:line="276" w:lineRule="auto"/>
              <w:rPr>
                <w:rFonts w:eastAsia="Times New Roman"/>
                <w:lang w:eastAsia="en-GB"/>
              </w:rPr>
            </w:pPr>
            <w:r w:rsidRPr="00867FA6">
              <w:rPr>
                <w:rFonts w:eastAsia="Times New Roman"/>
                <w:lang w:eastAsia="en-GB"/>
              </w:rPr>
              <w:t>No</w:t>
            </w:r>
            <w:r>
              <w:rPr>
                <w:rFonts w:eastAsia="Times New Roman"/>
                <w:lang w:eastAsia="en-GB"/>
              </w:rPr>
              <w:t>.</w:t>
            </w:r>
          </w:p>
          <w:p w14:paraId="10B3D85F" w14:textId="77777777" w:rsidR="00373AD1" w:rsidRPr="00867FA6" w:rsidRDefault="00373AD1" w:rsidP="00444CE1">
            <w:pPr>
              <w:spacing w:line="276" w:lineRule="auto"/>
              <w:rPr>
                <w:rFonts w:eastAsia="Times New Roman"/>
                <w:lang w:eastAsia="en-GB"/>
              </w:rPr>
            </w:pPr>
            <w:r w:rsidRPr="00867FA6">
              <w:rPr>
                <w:rFonts w:eastAsia="Times New Roman"/>
                <w:lang w:eastAsia="en-GB"/>
              </w:rPr>
              <w:t>Maybe</w:t>
            </w:r>
            <w:r>
              <w:rPr>
                <w:rFonts w:eastAsia="Times New Roman"/>
                <w:lang w:eastAsia="en-GB"/>
              </w:rPr>
              <w:t>.</w:t>
            </w:r>
          </w:p>
        </w:tc>
      </w:tr>
      <w:tr w:rsidR="00373AD1" w:rsidRPr="00867FA6" w14:paraId="6809F32D" w14:textId="77777777" w:rsidTr="00444CE1">
        <w:trPr>
          <w:trHeight w:val="2100"/>
        </w:trPr>
        <w:tc>
          <w:tcPr>
            <w:tcW w:w="869" w:type="dxa"/>
            <w:vMerge/>
            <w:hideMark/>
          </w:tcPr>
          <w:p w14:paraId="028EDF24" w14:textId="77777777" w:rsidR="00373AD1" w:rsidRPr="00867FA6" w:rsidRDefault="00373AD1" w:rsidP="00444CE1">
            <w:pPr>
              <w:spacing w:before="160" w:line="276" w:lineRule="auto"/>
              <w:rPr>
                <w:rFonts w:eastAsia="Times New Roman"/>
                <w:lang w:eastAsia="en-GB"/>
              </w:rPr>
            </w:pPr>
          </w:p>
        </w:tc>
        <w:tc>
          <w:tcPr>
            <w:tcW w:w="2371" w:type="dxa"/>
            <w:hideMark/>
          </w:tcPr>
          <w:p w14:paraId="3E13242C"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Q17. </w:t>
            </w:r>
            <w:r w:rsidRPr="00867FA6">
              <w:rPr>
                <w:rFonts w:eastAsia="Times New Roman"/>
                <w:lang w:eastAsia="en-GB"/>
              </w:rPr>
              <w:t>What features would you like to see in a customisable risk assessment framework?</w:t>
            </w:r>
          </w:p>
        </w:tc>
        <w:tc>
          <w:tcPr>
            <w:tcW w:w="2160" w:type="dxa"/>
            <w:hideMark/>
          </w:tcPr>
          <w:p w14:paraId="7F5F7962" w14:textId="77777777" w:rsidR="00373AD1" w:rsidRDefault="00373AD1" w:rsidP="00444CE1">
            <w:pPr>
              <w:spacing w:line="276" w:lineRule="auto"/>
              <w:rPr>
                <w:rFonts w:eastAsia="Times New Roman"/>
                <w:lang w:eastAsia="en-GB"/>
              </w:rPr>
            </w:pPr>
            <w:r w:rsidRPr="00867FA6">
              <w:rPr>
                <w:rFonts w:eastAsia="Times New Roman"/>
                <w:lang w:eastAsia="en-GB"/>
              </w:rPr>
              <w:t>Multiple choice</w:t>
            </w:r>
            <w:r>
              <w:rPr>
                <w:rFonts w:eastAsia="Times New Roman"/>
                <w:lang w:eastAsia="en-GB"/>
              </w:rPr>
              <w:t>.</w:t>
            </w:r>
          </w:p>
          <w:p w14:paraId="0CC0ADCC" w14:textId="77777777" w:rsidR="00373AD1" w:rsidRPr="00867FA6" w:rsidRDefault="00373AD1" w:rsidP="00444CE1">
            <w:pPr>
              <w:spacing w:line="276" w:lineRule="auto"/>
              <w:rPr>
                <w:rFonts w:eastAsia="Times New Roman"/>
                <w:lang w:eastAsia="en-GB"/>
              </w:rPr>
            </w:pPr>
          </w:p>
        </w:tc>
        <w:tc>
          <w:tcPr>
            <w:tcW w:w="4710" w:type="dxa"/>
            <w:gridSpan w:val="2"/>
            <w:hideMark/>
          </w:tcPr>
          <w:p w14:paraId="56D83510" w14:textId="77777777" w:rsidR="00373AD1" w:rsidRDefault="00373AD1" w:rsidP="00444CE1">
            <w:pPr>
              <w:spacing w:line="276" w:lineRule="auto"/>
              <w:rPr>
                <w:rFonts w:eastAsia="Times New Roman"/>
                <w:lang w:eastAsia="en-GB"/>
              </w:rPr>
            </w:pPr>
            <w:r w:rsidRPr="00867FA6">
              <w:rPr>
                <w:rFonts w:eastAsia="Times New Roman"/>
                <w:lang w:eastAsia="en-GB"/>
              </w:rPr>
              <w:t>Industry-specific risk identification</w:t>
            </w:r>
            <w:r>
              <w:rPr>
                <w:rFonts w:eastAsia="Times New Roman"/>
                <w:lang w:eastAsia="en-GB"/>
              </w:rPr>
              <w:t>.</w:t>
            </w:r>
          </w:p>
          <w:p w14:paraId="3F788B5E" w14:textId="77777777" w:rsidR="00373AD1" w:rsidRDefault="00373AD1" w:rsidP="00444CE1">
            <w:pPr>
              <w:spacing w:line="276" w:lineRule="auto"/>
              <w:rPr>
                <w:rFonts w:eastAsia="Times New Roman"/>
                <w:lang w:eastAsia="en-GB"/>
              </w:rPr>
            </w:pPr>
            <w:r w:rsidRPr="00867FA6">
              <w:rPr>
                <w:rFonts w:eastAsia="Times New Roman"/>
                <w:lang w:eastAsia="en-GB"/>
              </w:rPr>
              <w:t>AI-based risk prediction</w:t>
            </w:r>
            <w:r>
              <w:rPr>
                <w:rFonts w:eastAsia="Times New Roman"/>
                <w:lang w:eastAsia="en-GB"/>
              </w:rPr>
              <w:t>.</w:t>
            </w:r>
          </w:p>
          <w:p w14:paraId="0E8765D9" w14:textId="77777777" w:rsidR="00373AD1" w:rsidRDefault="00373AD1" w:rsidP="00444CE1">
            <w:pPr>
              <w:spacing w:line="276" w:lineRule="auto"/>
              <w:rPr>
                <w:rFonts w:eastAsia="Times New Roman"/>
                <w:lang w:eastAsia="en-GB"/>
              </w:rPr>
            </w:pPr>
            <w:r>
              <w:rPr>
                <w:rFonts w:eastAsia="Times New Roman"/>
                <w:lang w:eastAsia="en-GB"/>
              </w:rPr>
              <w:t>I</w:t>
            </w:r>
            <w:r w:rsidRPr="00867FA6">
              <w:rPr>
                <w:rFonts w:eastAsia="Times New Roman"/>
                <w:lang w:eastAsia="en-GB"/>
              </w:rPr>
              <w:t>ntegration with project management software</w:t>
            </w:r>
            <w:r>
              <w:rPr>
                <w:rFonts w:eastAsia="Times New Roman"/>
                <w:lang w:eastAsia="en-GB"/>
              </w:rPr>
              <w:t>.</w:t>
            </w:r>
          </w:p>
          <w:p w14:paraId="7B5B015B" w14:textId="77777777" w:rsidR="00373AD1" w:rsidRDefault="00373AD1" w:rsidP="00444CE1">
            <w:pPr>
              <w:spacing w:line="276" w:lineRule="auto"/>
              <w:rPr>
                <w:rFonts w:eastAsia="Times New Roman"/>
                <w:lang w:eastAsia="en-GB"/>
              </w:rPr>
            </w:pPr>
            <w:r w:rsidRPr="00867FA6">
              <w:rPr>
                <w:rFonts w:eastAsia="Times New Roman"/>
                <w:lang w:eastAsia="en-GB"/>
              </w:rPr>
              <w:t>More user-friendly interfaces</w:t>
            </w:r>
            <w:r>
              <w:rPr>
                <w:rFonts w:eastAsia="Times New Roman"/>
                <w:lang w:eastAsia="en-GB"/>
              </w:rPr>
              <w:t>.</w:t>
            </w:r>
          </w:p>
          <w:p w14:paraId="6D5003DB" w14:textId="77777777" w:rsidR="00373AD1" w:rsidRDefault="00373AD1" w:rsidP="00444CE1">
            <w:pPr>
              <w:spacing w:line="276" w:lineRule="auto"/>
              <w:rPr>
                <w:rFonts w:eastAsia="Times New Roman"/>
                <w:lang w:eastAsia="en-GB"/>
              </w:rPr>
            </w:pPr>
            <w:r w:rsidRPr="00867FA6">
              <w:rPr>
                <w:rFonts w:eastAsia="Times New Roman"/>
                <w:lang w:eastAsia="en-GB"/>
              </w:rPr>
              <w:t xml:space="preserve">Real-time collaboration and reporting </w:t>
            </w:r>
            <w:r>
              <w:rPr>
                <w:rFonts w:eastAsia="Times New Roman"/>
                <w:lang w:eastAsia="en-GB"/>
              </w:rPr>
              <w:t>.</w:t>
            </w:r>
          </w:p>
          <w:p w14:paraId="31B0D5E1" w14:textId="77777777" w:rsidR="00373AD1" w:rsidRPr="00867FA6" w:rsidRDefault="00373AD1" w:rsidP="00444CE1">
            <w:pPr>
              <w:spacing w:line="276" w:lineRule="auto"/>
              <w:rPr>
                <w:rFonts w:eastAsia="Times New Roman"/>
                <w:lang w:eastAsia="en-GB"/>
              </w:rPr>
            </w:pPr>
            <w:r w:rsidRPr="00867FA6">
              <w:rPr>
                <w:rFonts w:eastAsia="Times New Roman"/>
                <w:lang w:eastAsia="en-GB"/>
              </w:rPr>
              <w:t>Other (please specify)</w:t>
            </w:r>
            <w:r>
              <w:rPr>
                <w:rFonts w:eastAsia="Times New Roman"/>
                <w:lang w:eastAsia="en-GB"/>
              </w:rPr>
              <w:t>.</w:t>
            </w:r>
          </w:p>
        </w:tc>
      </w:tr>
      <w:tr w:rsidR="00373AD1" w:rsidRPr="00867FA6" w14:paraId="4B1A26EE" w14:textId="77777777" w:rsidTr="00444CE1">
        <w:trPr>
          <w:trHeight w:val="1200"/>
        </w:trPr>
        <w:tc>
          <w:tcPr>
            <w:tcW w:w="869" w:type="dxa"/>
            <w:vMerge/>
            <w:hideMark/>
          </w:tcPr>
          <w:p w14:paraId="60C2E867" w14:textId="77777777" w:rsidR="00373AD1" w:rsidRPr="00867FA6" w:rsidRDefault="00373AD1" w:rsidP="00444CE1">
            <w:pPr>
              <w:spacing w:before="160" w:line="276" w:lineRule="auto"/>
              <w:rPr>
                <w:rFonts w:eastAsia="Times New Roman"/>
                <w:lang w:eastAsia="en-GB"/>
              </w:rPr>
            </w:pPr>
          </w:p>
        </w:tc>
        <w:tc>
          <w:tcPr>
            <w:tcW w:w="2371" w:type="dxa"/>
            <w:hideMark/>
          </w:tcPr>
          <w:p w14:paraId="305A9634"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Q18. </w:t>
            </w:r>
            <w:r w:rsidRPr="00867FA6">
              <w:rPr>
                <w:rFonts w:eastAsia="Times New Roman"/>
                <w:lang w:eastAsia="en-GB"/>
              </w:rPr>
              <w:t>Would you be willing to adopt a new risk assessment framework if it improved risk identification and mitigation?</w:t>
            </w:r>
          </w:p>
        </w:tc>
        <w:tc>
          <w:tcPr>
            <w:tcW w:w="2160" w:type="dxa"/>
            <w:hideMark/>
          </w:tcPr>
          <w:p w14:paraId="1E411A1E" w14:textId="77777777" w:rsidR="00373AD1" w:rsidRPr="00867FA6" w:rsidRDefault="00373AD1" w:rsidP="00444CE1">
            <w:pPr>
              <w:spacing w:line="276" w:lineRule="auto"/>
              <w:rPr>
                <w:rFonts w:eastAsia="Times New Roman"/>
                <w:lang w:eastAsia="en-GB"/>
              </w:rPr>
            </w:pPr>
            <w:r w:rsidRPr="00867FA6">
              <w:rPr>
                <w:rFonts w:eastAsia="Times New Roman"/>
                <w:lang w:eastAsia="en-GB"/>
              </w:rPr>
              <w:t>Yes/No/Maybe</w:t>
            </w:r>
            <w:r>
              <w:rPr>
                <w:rFonts w:eastAsia="Times New Roman"/>
                <w:lang w:eastAsia="en-GB"/>
              </w:rPr>
              <w:t>.</w:t>
            </w:r>
          </w:p>
        </w:tc>
        <w:tc>
          <w:tcPr>
            <w:tcW w:w="4710" w:type="dxa"/>
            <w:gridSpan w:val="2"/>
            <w:hideMark/>
          </w:tcPr>
          <w:p w14:paraId="4293A07A" w14:textId="77777777" w:rsidR="00373AD1" w:rsidRDefault="00373AD1" w:rsidP="00444CE1">
            <w:pPr>
              <w:spacing w:line="276" w:lineRule="auto"/>
              <w:rPr>
                <w:rFonts w:eastAsia="Times New Roman"/>
                <w:lang w:eastAsia="en-GB"/>
              </w:rPr>
            </w:pPr>
            <w:r w:rsidRPr="00867FA6">
              <w:rPr>
                <w:rFonts w:eastAsia="Times New Roman"/>
                <w:lang w:eastAsia="en-GB"/>
              </w:rPr>
              <w:t>Yes</w:t>
            </w:r>
            <w:r>
              <w:rPr>
                <w:rFonts w:eastAsia="Times New Roman"/>
                <w:lang w:eastAsia="en-GB"/>
              </w:rPr>
              <w:t>.</w:t>
            </w:r>
          </w:p>
          <w:p w14:paraId="34804F46" w14:textId="77777777" w:rsidR="00373AD1" w:rsidRDefault="00373AD1" w:rsidP="00444CE1">
            <w:pPr>
              <w:spacing w:line="276" w:lineRule="auto"/>
              <w:rPr>
                <w:rFonts w:eastAsia="Times New Roman"/>
                <w:lang w:eastAsia="en-GB"/>
              </w:rPr>
            </w:pPr>
            <w:r w:rsidRPr="00867FA6">
              <w:rPr>
                <w:rFonts w:eastAsia="Times New Roman"/>
                <w:lang w:eastAsia="en-GB"/>
              </w:rPr>
              <w:t>No</w:t>
            </w:r>
            <w:r>
              <w:rPr>
                <w:rFonts w:eastAsia="Times New Roman"/>
                <w:lang w:eastAsia="en-GB"/>
              </w:rPr>
              <w:t>.</w:t>
            </w:r>
          </w:p>
          <w:p w14:paraId="396DF9EF" w14:textId="77777777" w:rsidR="00373AD1" w:rsidRPr="00867FA6" w:rsidRDefault="00373AD1" w:rsidP="00444CE1">
            <w:pPr>
              <w:spacing w:line="276" w:lineRule="auto"/>
              <w:rPr>
                <w:rFonts w:eastAsia="Times New Roman"/>
                <w:lang w:eastAsia="en-GB"/>
              </w:rPr>
            </w:pPr>
            <w:r w:rsidRPr="00867FA6">
              <w:rPr>
                <w:rFonts w:eastAsia="Times New Roman"/>
                <w:lang w:eastAsia="en-GB"/>
              </w:rPr>
              <w:t>Maybe (depends on ease of use and implementation)</w:t>
            </w:r>
          </w:p>
        </w:tc>
      </w:tr>
      <w:tr w:rsidR="00373AD1" w:rsidRPr="00867FA6" w14:paraId="23CD5F29" w14:textId="77777777" w:rsidTr="00444CE1">
        <w:trPr>
          <w:trHeight w:val="1800"/>
        </w:trPr>
        <w:tc>
          <w:tcPr>
            <w:tcW w:w="869" w:type="dxa"/>
            <w:vMerge/>
            <w:hideMark/>
          </w:tcPr>
          <w:p w14:paraId="455461E3" w14:textId="77777777" w:rsidR="00373AD1" w:rsidRPr="00867FA6" w:rsidRDefault="00373AD1" w:rsidP="00444CE1">
            <w:pPr>
              <w:spacing w:before="160" w:line="276" w:lineRule="auto"/>
              <w:rPr>
                <w:rFonts w:eastAsia="Times New Roman"/>
                <w:lang w:eastAsia="en-GB"/>
              </w:rPr>
            </w:pPr>
          </w:p>
        </w:tc>
        <w:tc>
          <w:tcPr>
            <w:tcW w:w="2371" w:type="dxa"/>
            <w:hideMark/>
          </w:tcPr>
          <w:p w14:paraId="513C0ABE" w14:textId="77777777" w:rsidR="00373AD1" w:rsidRPr="00867FA6" w:rsidRDefault="00373AD1" w:rsidP="00444CE1">
            <w:pPr>
              <w:spacing w:line="276" w:lineRule="auto"/>
              <w:rPr>
                <w:rFonts w:eastAsia="Times New Roman"/>
                <w:lang w:eastAsia="en-GB"/>
              </w:rPr>
            </w:pPr>
            <w:r>
              <w:rPr>
                <w:rFonts w:eastAsia="Times New Roman"/>
                <w:lang w:eastAsia="en-GB"/>
              </w:rPr>
              <w:t xml:space="preserve">Q19. </w:t>
            </w:r>
            <w:r w:rsidRPr="00867FA6">
              <w:rPr>
                <w:rFonts w:eastAsia="Times New Roman"/>
                <w:lang w:eastAsia="en-GB"/>
              </w:rPr>
              <w:t>What are the main barriers to adopting a new risk assessment framework?</w:t>
            </w:r>
          </w:p>
        </w:tc>
        <w:tc>
          <w:tcPr>
            <w:tcW w:w="2160" w:type="dxa"/>
            <w:hideMark/>
          </w:tcPr>
          <w:p w14:paraId="07750D98" w14:textId="77777777" w:rsidR="00373AD1" w:rsidRPr="00867FA6" w:rsidRDefault="00373AD1" w:rsidP="00444CE1">
            <w:pPr>
              <w:spacing w:line="276" w:lineRule="auto"/>
              <w:rPr>
                <w:rFonts w:eastAsia="Times New Roman"/>
                <w:lang w:eastAsia="en-GB"/>
              </w:rPr>
            </w:pPr>
            <w:r w:rsidRPr="00867FA6">
              <w:rPr>
                <w:rFonts w:eastAsia="Times New Roman"/>
                <w:lang w:eastAsia="en-GB"/>
              </w:rPr>
              <w:t>Multiple choice</w:t>
            </w:r>
            <w:r>
              <w:rPr>
                <w:rFonts w:eastAsia="Times New Roman"/>
                <w:lang w:eastAsia="en-GB"/>
              </w:rPr>
              <w:t>.</w:t>
            </w:r>
            <w:r w:rsidRPr="00867FA6">
              <w:rPr>
                <w:rFonts w:eastAsia="Times New Roman"/>
                <w:lang w:eastAsia="en-GB"/>
              </w:rPr>
              <w:t xml:space="preserve"> (select all that apply)</w:t>
            </w:r>
          </w:p>
        </w:tc>
        <w:tc>
          <w:tcPr>
            <w:tcW w:w="4710" w:type="dxa"/>
            <w:gridSpan w:val="2"/>
            <w:hideMark/>
          </w:tcPr>
          <w:p w14:paraId="30972948" w14:textId="77777777" w:rsidR="00373AD1" w:rsidRDefault="00373AD1" w:rsidP="00444CE1">
            <w:pPr>
              <w:spacing w:line="276" w:lineRule="auto"/>
              <w:rPr>
                <w:rFonts w:eastAsia="Times New Roman"/>
                <w:lang w:eastAsia="en-GB"/>
              </w:rPr>
            </w:pPr>
            <w:r w:rsidRPr="00867FA6">
              <w:rPr>
                <w:rFonts w:eastAsia="Times New Roman"/>
                <w:lang w:eastAsia="en-GB"/>
              </w:rPr>
              <w:t>Resistance to change</w:t>
            </w:r>
            <w:r>
              <w:rPr>
                <w:rFonts w:eastAsia="Times New Roman"/>
                <w:lang w:eastAsia="en-GB"/>
              </w:rPr>
              <w:t>.</w:t>
            </w:r>
          </w:p>
          <w:p w14:paraId="32177750" w14:textId="77777777" w:rsidR="00373AD1" w:rsidRDefault="00373AD1" w:rsidP="00444CE1">
            <w:pPr>
              <w:spacing w:line="276" w:lineRule="auto"/>
              <w:rPr>
                <w:rFonts w:eastAsia="Times New Roman"/>
                <w:lang w:eastAsia="en-GB"/>
              </w:rPr>
            </w:pPr>
            <w:r w:rsidRPr="00867FA6">
              <w:rPr>
                <w:rFonts w:eastAsia="Times New Roman"/>
                <w:lang w:eastAsia="en-GB"/>
              </w:rPr>
              <w:t>Lack of management support</w:t>
            </w:r>
            <w:r>
              <w:rPr>
                <w:rFonts w:eastAsia="Times New Roman"/>
                <w:lang w:eastAsia="en-GB"/>
              </w:rPr>
              <w:t>.</w:t>
            </w:r>
          </w:p>
          <w:p w14:paraId="49490ED4" w14:textId="77777777" w:rsidR="00373AD1" w:rsidRDefault="00373AD1" w:rsidP="00444CE1">
            <w:pPr>
              <w:spacing w:line="276" w:lineRule="auto"/>
              <w:rPr>
                <w:rFonts w:eastAsia="Times New Roman"/>
                <w:lang w:eastAsia="en-GB"/>
              </w:rPr>
            </w:pPr>
            <w:r w:rsidRPr="00867FA6">
              <w:rPr>
                <w:rFonts w:eastAsia="Times New Roman"/>
                <w:lang w:eastAsia="en-GB"/>
              </w:rPr>
              <w:t>Cost of implementation</w:t>
            </w:r>
            <w:r>
              <w:rPr>
                <w:rFonts w:eastAsia="Times New Roman"/>
                <w:lang w:eastAsia="en-GB"/>
              </w:rPr>
              <w:t>.</w:t>
            </w:r>
          </w:p>
          <w:p w14:paraId="12CAC1E5" w14:textId="77777777" w:rsidR="00373AD1" w:rsidRDefault="00373AD1" w:rsidP="00444CE1">
            <w:pPr>
              <w:spacing w:line="276" w:lineRule="auto"/>
              <w:rPr>
                <w:rFonts w:eastAsia="Times New Roman"/>
                <w:lang w:eastAsia="en-GB"/>
              </w:rPr>
            </w:pPr>
            <w:r w:rsidRPr="00867FA6">
              <w:rPr>
                <w:rFonts w:eastAsia="Times New Roman"/>
                <w:lang w:eastAsia="en-GB"/>
              </w:rPr>
              <w:t>Training requirements</w:t>
            </w:r>
          </w:p>
          <w:p w14:paraId="077D30BB" w14:textId="77777777" w:rsidR="00373AD1" w:rsidRDefault="00373AD1" w:rsidP="00444CE1">
            <w:pPr>
              <w:spacing w:line="276" w:lineRule="auto"/>
              <w:rPr>
                <w:rFonts w:eastAsia="Times New Roman"/>
                <w:lang w:eastAsia="en-GB"/>
              </w:rPr>
            </w:pPr>
            <w:r w:rsidRPr="00867FA6">
              <w:rPr>
                <w:rFonts w:eastAsia="Times New Roman"/>
                <w:lang w:eastAsia="en-GB"/>
              </w:rPr>
              <w:t>Integration with existing tools</w:t>
            </w:r>
            <w:r>
              <w:rPr>
                <w:rFonts w:eastAsia="Times New Roman"/>
                <w:lang w:eastAsia="en-GB"/>
              </w:rPr>
              <w:t>.</w:t>
            </w:r>
          </w:p>
          <w:p w14:paraId="68C334CC" w14:textId="77777777" w:rsidR="00373AD1" w:rsidRPr="00867FA6" w:rsidRDefault="00373AD1" w:rsidP="00444CE1">
            <w:pPr>
              <w:spacing w:line="276" w:lineRule="auto"/>
              <w:rPr>
                <w:rFonts w:eastAsia="Times New Roman"/>
                <w:lang w:eastAsia="en-GB"/>
              </w:rPr>
            </w:pPr>
            <w:r w:rsidRPr="00867FA6">
              <w:rPr>
                <w:rFonts w:eastAsia="Times New Roman"/>
                <w:lang w:eastAsia="en-GB"/>
              </w:rPr>
              <w:t>Other (please specify)</w:t>
            </w:r>
          </w:p>
        </w:tc>
      </w:tr>
      <w:tr w:rsidR="00373AD1" w:rsidRPr="00867FA6" w14:paraId="3C667AFA" w14:textId="77777777" w:rsidTr="00444CE1">
        <w:trPr>
          <w:trHeight w:val="1200"/>
        </w:trPr>
        <w:tc>
          <w:tcPr>
            <w:tcW w:w="869" w:type="dxa"/>
            <w:vMerge w:val="restart"/>
            <w:textDirection w:val="btLr"/>
            <w:hideMark/>
          </w:tcPr>
          <w:p w14:paraId="18C874B3" w14:textId="77777777" w:rsidR="00373AD1" w:rsidRPr="00867FA6" w:rsidRDefault="00373AD1" w:rsidP="00444CE1">
            <w:pPr>
              <w:spacing w:before="160" w:line="276" w:lineRule="auto"/>
              <w:jc w:val="center"/>
              <w:rPr>
                <w:rFonts w:eastAsia="Times New Roman"/>
                <w:b/>
                <w:bCs/>
                <w:lang w:eastAsia="en-GB"/>
              </w:rPr>
            </w:pPr>
            <w:bookmarkStart w:id="43" w:name="_Hlk205129441"/>
            <w:r w:rsidRPr="00867FA6">
              <w:rPr>
                <w:rFonts w:eastAsia="Times New Roman"/>
                <w:b/>
                <w:bCs/>
                <w:lang w:eastAsia="en-GB"/>
              </w:rPr>
              <w:t>Open-ended Feedback</w:t>
            </w:r>
            <w:bookmarkEnd w:id="43"/>
          </w:p>
        </w:tc>
        <w:tc>
          <w:tcPr>
            <w:tcW w:w="2371" w:type="dxa"/>
            <w:hideMark/>
          </w:tcPr>
          <w:p w14:paraId="5D31B178" w14:textId="77777777" w:rsidR="00373AD1" w:rsidRPr="00867FA6" w:rsidRDefault="00373AD1" w:rsidP="00444CE1">
            <w:pPr>
              <w:spacing w:line="276" w:lineRule="auto"/>
              <w:rPr>
                <w:rFonts w:eastAsia="Times New Roman"/>
                <w:lang w:eastAsia="en-GB"/>
              </w:rPr>
            </w:pPr>
            <w:r>
              <w:rPr>
                <w:rFonts w:eastAsia="Times New Roman"/>
                <w:lang w:eastAsia="en-GB"/>
              </w:rPr>
              <w:t xml:space="preserve">Q20. </w:t>
            </w:r>
            <w:r w:rsidRPr="00867FA6">
              <w:rPr>
                <w:rFonts w:eastAsia="Times New Roman"/>
                <w:lang w:eastAsia="en-GB"/>
              </w:rPr>
              <w:t>In your experience, what has been the most effective risk management strategy in your projects?</w:t>
            </w:r>
          </w:p>
        </w:tc>
        <w:tc>
          <w:tcPr>
            <w:tcW w:w="2160" w:type="dxa"/>
            <w:hideMark/>
          </w:tcPr>
          <w:p w14:paraId="56723C82" w14:textId="77777777" w:rsidR="00373AD1" w:rsidRPr="00867FA6" w:rsidRDefault="00373AD1" w:rsidP="00444CE1">
            <w:pPr>
              <w:spacing w:line="276" w:lineRule="auto"/>
              <w:rPr>
                <w:rFonts w:eastAsia="Times New Roman"/>
                <w:lang w:eastAsia="en-GB"/>
              </w:rPr>
            </w:pPr>
            <w:r w:rsidRPr="00867FA6">
              <w:rPr>
                <w:rFonts w:eastAsia="Times New Roman"/>
                <w:lang w:eastAsia="en-GB"/>
              </w:rPr>
              <w:t>Open-ended</w:t>
            </w:r>
            <w:r>
              <w:rPr>
                <w:rFonts w:eastAsia="Times New Roman"/>
                <w:lang w:eastAsia="en-GB"/>
              </w:rPr>
              <w:t>.</w:t>
            </w:r>
          </w:p>
        </w:tc>
        <w:tc>
          <w:tcPr>
            <w:tcW w:w="4710" w:type="dxa"/>
            <w:gridSpan w:val="2"/>
            <w:hideMark/>
          </w:tcPr>
          <w:p w14:paraId="778820FD" w14:textId="77777777" w:rsidR="00373AD1" w:rsidRPr="00867FA6" w:rsidRDefault="00373AD1" w:rsidP="00444CE1">
            <w:pPr>
              <w:spacing w:line="276" w:lineRule="auto"/>
              <w:rPr>
                <w:rFonts w:eastAsia="Times New Roman"/>
                <w:lang w:eastAsia="en-GB"/>
              </w:rPr>
            </w:pPr>
            <w:r>
              <w:rPr>
                <w:rFonts w:eastAsia="Times New Roman"/>
                <w:lang w:eastAsia="en-GB"/>
              </w:rPr>
              <w:t>--</w:t>
            </w:r>
          </w:p>
        </w:tc>
      </w:tr>
      <w:tr w:rsidR="00373AD1" w:rsidRPr="00867FA6" w14:paraId="385D2A1F" w14:textId="77777777" w:rsidTr="00444CE1">
        <w:trPr>
          <w:trHeight w:val="1200"/>
        </w:trPr>
        <w:tc>
          <w:tcPr>
            <w:tcW w:w="869" w:type="dxa"/>
            <w:vMerge/>
            <w:hideMark/>
          </w:tcPr>
          <w:p w14:paraId="4288A668" w14:textId="77777777" w:rsidR="00373AD1" w:rsidRPr="00867FA6" w:rsidRDefault="00373AD1" w:rsidP="00444CE1">
            <w:pPr>
              <w:spacing w:line="276" w:lineRule="auto"/>
              <w:rPr>
                <w:rFonts w:eastAsia="Times New Roman"/>
                <w:lang w:eastAsia="en-GB"/>
              </w:rPr>
            </w:pPr>
          </w:p>
        </w:tc>
        <w:tc>
          <w:tcPr>
            <w:tcW w:w="2371" w:type="dxa"/>
            <w:hideMark/>
          </w:tcPr>
          <w:p w14:paraId="0F64B89A" w14:textId="77777777" w:rsidR="00373AD1" w:rsidRPr="00867FA6" w:rsidRDefault="00373AD1" w:rsidP="00444CE1">
            <w:pPr>
              <w:spacing w:line="276" w:lineRule="auto"/>
              <w:rPr>
                <w:rFonts w:eastAsia="Times New Roman"/>
                <w:lang w:eastAsia="en-GB"/>
              </w:rPr>
            </w:pPr>
            <w:r>
              <w:rPr>
                <w:rFonts w:eastAsia="Times New Roman"/>
                <w:lang w:eastAsia="en-GB"/>
              </w:rPr>
              <w:t xml:space="preserve">Q21. </w:t>
            </w:r>
            <w:r w:rsidRPr="00867FA6">
              <w:rPr>
                <w:rFonts w:eastAsia="Times New Roman"/>
                <w:lang w:eastAsia="en-GB"/>
              </w:rPr>
              <w:t>What recommendations would you suggest for improving risk management practices in project management?</w:t>
            </w:r>
          </w:p>
        </w:tc>
        <w:tc>
          <w:tcPr>
            <w:tcW w:w="2160" w:type="dxa"/>
            <w:hideMark/>
          </w:tcPr>
          <w:p w14:paraId="260AB71A" w14:textId="77777777" w:rsidR="00373AD1" w:rsidRPr="00867FA6" w:rsidRDefault="00373AD1" w:rsidP="00444CE1">
            <w:pPr>
              <w:spacing w:line="276" w:lineRule="auto"/>
              <w:rPr>
                <w:rFonts w:eastAsia="Times New Roman"/>
                <w:lang w:eastAsia="en-GB"/>
              </w:rPr>
            </w:pPr>
            <w:r w:rsidRPr="00867FA6">
              <w:rPr>
                <w:rFonts w:eastAsia="Times New Roman"/>
                <w:lang w:eastAsia="en-GB"/>
              </w:rPr>
              <w:t>Open-ended</w:t>
            </w:r>
            <w:r>
              <w:rPr>
                <w:rFonts w:eastAsia="Times New Roman"/>
                <w:lang w:eastAsia="en-GB"/>
              </w:rPr>
              <w:t>.</w:t>
            </w:r>
          </w:p>
        </w:tc>
        <w:tc>
          <w:tcPr>
            <w:tcW w:w="4710" w:type="dxa"/>
            <w:gridSpan w:val="2"/>
            <w:hideMark/>
          </w:tcPr>
          <w:p w14:paraId="041F1B0B" w14:textId="77777777" w:rsidR="00373AD1" w:rsidRPr="00867FA6" w:rsidRDefault="00373AD1" w:rsidP="00444CE1">
            <w:pPr>
              <w:spacing w:line="276" w:lineRule="auto"/>
              <w:rPr>
                <w:rFonts w:eastAsia="Times New Roman"/>
                <w:lang w:eastAsia="en-GB"/>
              </w:rPr>
            </w:pPr>
            <w:r>
              <w:rPr>
                <w:rFonts w:eastAsia="Times New Roman"/>
                <w:lang w:eastAsia="en-GB"/>
              </w:rPr>
              <w:t>--</w:t>
            </w:r>
          </w:p>
        </w:tc>
      </w:tr>
    </w:tbl>
    <w:p w14:paraId="6925B8C8" w14:textId="4E415E63" w:rsidR="00373AD1" w:rsidRDefault="00373AD1" w:rsidP="00373AD1">
      <w:pPr>
        <w:pStyle w:val="Caption"/>
        <w:jc w:val="center"/>
        <w:rPr>
          <w:rFonts w:eastAsia="Times New Roman"/>
          <w:lang w:eastAsia="en-GB"/>
        </w:rPr>
      </w:pPr>
      <w:bookmarkStart w:id="44" w:name="_Toc191138513"/>
      <w:bookmarkStart w:id="45" w:name="_Toc205120606"/>
      <w:bookmarkStart w:id="46" w:name="_Toc219216418"/>
      <w:r>
        <w:t xml:space="preserve">Table </w:t>
      </w:r>
      <w:fldSimple w:instr=" SEQ Table \* ARABIC ">
        <w:r w:rsidR="004239CB">
          <w:rPr>
            <w:noProof/>
          </w:rPr>
          <w:t>5</w:t>
        </w:r>
      </w:fldSimple>
      <w:r>
        <w:t xml:space="preserve"> - Sample Question Design Survey</w:t>
      </w:r>
      <w:bookmarkEnd w:id="44"/>
      <w:bookmarkEnd w:id="45"/>
      <w:bookmarkEnd w:id="46"/>
    </w:p>
    <w:p w14:paraId="672EC278" w14:textId="77777777" w:rsidR="00373AD1" w:rsidRDefault="00000000" w:rsidP="00373AD1">
      <w:pPr>
        <w:spacing w:after="0" w:line="360" w:lineRule="auto"/>
        <w:ind w:left="-576" w:right="-576"/>
        <w:jc w:val="center"/>
        <w:rPr>
          <w:rFonts w:eastAsia="Times New Roman"/>
          <w:lang w:eastAsia="en-GB"/>
        </w:rPr>
      </w:pPr>
      <w:sdt>
        <w:sdtPr>
          <w:rPr>
            <w:rFonts w:eastAsia="Times New Roman"/>
            <w:lang w:eastAsia="en-GB"/>
          </w:rPr>
          <w:id w:val="-1970501933"/>
          <w:citation/>
        </w:sdtPr>
        <w:sdtContent>
          <w:r w:rsidR="00373AD1">
            <w:rPr>
              <w:rFonts w:eastAsia="Times New Roman"/>
              <w:lang w:eastAsia="en-GB"/>
            </w:rPr>
            <w:fldChar w:fldCharType="begin"/>
          </w:r>
          <w:r w:rsidR="00373AD1">
            <w:rPr>
              <w:rFonts w:eastAsia="Times New Roman"/>
              <w:lang w:val="en-US" w:eastAsia="en-GB"/>
            </w:rPr>
            <w:instrText xml:space="preserve"> CITATION AFi17 \l 1033 </w:instrText>
          </w:r>
          <w:r w:rsidR="00373AD1">
            <w:rPr>
              <w:rFonts w:eastAsia="Times New Roman"/>
              <w:lang w:eastAsia="en-GB"/>
            </w:rPr>
            <w:fldChar w:fldCharType="separate"/>
          </w:r>
          <w:r w:rsidR="00373AD1" w:rsidRPr="005800BC">
            <w:rPr>
              <w:rFonts w:eastAsia="Times New Roman"/>
              <w:noProof/>
              <w:lang w:val="en-US" w:eastAsia="en-GB"/>
            </w:rPr>
            <w:t>(Fink, 2017)</w:t>
          </w:r>
          <w:r w:rsidR="00373AD1">
            <w:rPr>
              <w:rFonts w:eastAsia="Times New Roman"/>
              <w:lang w:eastAsia="en-GB"/>
            </w:rPr>
            <w:fldChar w:fldCharType="end"/>
          </w:r>
        </w:sdtContent>
      </w:sdt>
      <w:r w:rsidR="00373AD1">
        <w:rPr>
          <w:rFonts w:eastAsia="Times New Roman"/>
          <w:lang w:eastAsia="en-GB"/>
        </w:rPr>
        <w:t xml:space="preserve"> </w:t>
      </w:r>
      <w:sdt>
        <w:sdtPr>
          <w:rPr>
            <w:rFonts w:eastAsia="Times New Roman"/>
            <w:lang w:eastAsia="en-GB"/>
          </w:rPr>
          <w:id w:val="-1995639642"/>
          <w:citation/>
        </w:sdtPr>
        <w:sdtContent>
          <w:r w:rsidR="00373AD1">
            <w:rPr>
              <w:rFonts w:eastAsia="Times New Roman"/>
              <w:lang w:eastAsia="en-GB"/>
            </w:rPr>
            <w:fldChar w:fldCharType="begin"/>
          </w:r>
          <w:r w:rsidR="00373AD1">
            <w:rPr>
              <w:rFonts w:eastAsia="Times New Roman"/>
              <w:lang w:val="en-US" w:eastAsia="en-GB"/>
            </w:rPr>
            <w:instrText xml:space="preserve"> CITATION Sta23 \l 1033 </w:instrText>
          </w:r>
          <w:r w:rsidR="00373AD1">
            <w:rPr>
              <w:rFonts w:eastAsia="Times New Roman"/>
              <w:lang w:eastAsia="en-GB"/>
            </w:rPr>
            <w:fldChar w:fldCharType="separate"/>
          </w:r>
          <w:r w:rsidR="00373AD1" w:rsidRPr="00E432FF">
            <w:rPr>
              <w:rFonts w:eastAsia="Times New Roman"/>
              <w:noProof/>
              <w:lang w:val="en-US" w:eastAsia="en-GB"/>
            </w:rPr>
            <w:t>(Stanfcheva, 2023)</w:t>
          </w:r>
          <w:r w:rsidR="00373AD1">
            <w:rPr>
              <w:rFonts w:eastAsia="Times New Roman"/>
              <w:lang w:eastAsia="en-GB"/>
            </w:rPr>
            <w:fldChar w:fldCharType="end"/>
          </w:r>
        </w:sdtContent>
      </w:sdt>
      <w:r w:rsidR="00373AD1">
        <w:rPr>
          <w:rFonts w:eastAsia="Times New Roman"/>
          <w:lang w:eastAsia="en-GB"/>
        </w:rPr>
        <w:t xml:space="preserve"> </w:t>
      </w:r>
      <w:sdt>
        <w:sdtPr>
          <w:rPr>
            <w:rFonts w:eastAsia="Times New Roman"/>
            <w:lang w:eastAsia="en-GB"/>
          </w:rPr>
          <w:id w:val="668448521"/>
          <w:citation/>
        </w:sdtPr>
        <w:sdtContent>
          <w:r w:rsidR="00373AD1">
            <w:rPr>
              <w:rFonts w:eastAsia="Times New Roman"/>
              <w:lang w:eastAsia="en-GB"/>
            </w:rPr>
            <w:fldChar w:fldCharType="begin"/>
          </w:r>
          <w:r w:rsidR="00373AD1">
            <w:rPr>
              <w:rFonts w:eastAsia="Times New Roman"/>
              <w:lang w:val="en-US" w:eastAsia="en-GB"/>
            </w:rPr>
            <w:instrText xml:space="preserve"> CITATION APi93 \l 1033 </w:instrText>
          </w:r>
          <w:r w:rsidR="00373AD1">
            <w:rPr>
              <w:rFonts w:eastAsia="Times New Roman"/>
              <w:lang w:eastAsia="en-GB"/>
            </w:rPr>
            <w:fldChar w:fldCharType="separate"/>
          </w:r>
          <w:r w:rsidR="00373AD1" w:rsidRPr="00E432FF">
            <w:rPr>
              <w:rFonts w:eastAsia="Times New Roman"/>
              <w:noProof/>
              <w:lang w:val="en-US" w:eastAsia="en-GB"/>
            </w:rPr>
            <w:t>(Pinsonneault, 1993)</w:t>
          </w:r>
          <w:r w:rsidR="00373AD1">
            <w:rPr>
              <w:rFonts w:eastAsia="Times New Roman"/>
              <w:lang w:eastAsia="en-GB"/>
            </w:rPr>
            <w:fldChar w:fldCharType="end"/>
          </w:r>
        </w:sdtContent>
      </w:sdt>
      <w:r w:rsidR="00373AD1">
        <w:rPr>
          <w:rFonts w:eastAsia="Times New Roman"/>
          <w:lang w:eastAsia="en-GB"/>
        </w:rPr>
        <w:t xml:space="preserve"> </w:t>
      </w:r>
      <w:sdt>
        <w:sdtPr>
          <w:rPr>
            <w:rFonts w:eastAsia="Times New Roman"/>
            <w:lang w:eastAsia="en-GB"/>
          </w:rPr>
          <w:id w:val="-56639040"/>
          <w:citation/>
        </w:sdtPr>
        <w:sdtContent>
          <w:r w:rsidR="00373AD1">
            <w:rPr>
              <w:rFonts w:eastAsia="Times New Roman"/>
              <w:lang w:eastAsia="en-GB"/>
            </w:rPr>
            <w:fldChar w:fldCharType="begin"/>
          </w:r>
          <w:r w:rsidR="00373AD1">
            <w:rPr>
              <w:rFonts w:eastAsia="Times New Roman"/>
              <w:lang w:val="en-US" w:eastAsia="en-GB"/>
            </w:rPr>
            <w:instrText xml:space="preserve"> CITATION Ham20 \l 1033 </w:instrText>
          </w:r>
          <w:r w:rsidR="00373AD1">
            <w:rPr>
              <w:rFonts w:eastAsia="Times New Roman"/>
              <w:lang w:eastAsia="en-GB"/>
            </w:rPr>
            <w:fldChar w:fldCharType="separate"/>
          </w:r>
          <w:r w:rsidR="00373AD1" w:rsidRPr="00C83279">
            <w:rPr>
              <w:rFonts w:eastAsia="Times New Roman"/>
              <w:noProof/>
              <w:lang w:val="en-US" w:eastAsia="en-GB"/>
            </w:rPr>
            <w:t>(Taherdoost, 2020)</w:t>
          </w:r>
          <w:r w:rsidR="00373AD1">
            <w:rPr>
              <w:rFonts w:eastAsia="Times New Roman"/>
              <w:lang w:eastAsia="en-GB"/>
            </w:rPr>
            <w:fldChar w:fldCharType="end"/>
          </w:r>
        </w:sdtContent>
      </w:sdt>
      <w:r w:rsidR="00373AD1">
        <w:rPr>
          <w:rFonts w:eastAsia="Times New Roman"/>
          <w:lang w:eastAsia="en-GB"/>
        </w:rPr>
        <w:t xml:space="preserve"> </w:t>
      </w:r>
      <w:sdt>
        <w:sdtPr>
          <w:rPr>
            <w:rFonts w:eastAsia="Times New Roman"/>
            <w:lang w:eastAsia="en-GB"/>
          </w:rPr>
          <w:id w:val="-771935495"/>
          <w:citation/>
        </w:sdtPr>
        <w:sdtContent>
          <w:r w:rsidR="00373AD1">
            <w:rPr>
              <w:rFonts w:eastAsia="Times New Roman"/>
              <w:lang w:eastAsia="en-GB"/>
            </w:rPr>
            <w:fldChar w:fldCharType="begin"/>
          </w:r>
          <w:r w:rsidR="00373AD1">
            <w:rPr>
              <w:rFonts w:eastAsia="Times New Roman"/>
              <w:lang w:val="en-US" w:eastAsia="en-GB"/>
            </w:rPr>
            <w:instrText xml:space="preserve"> CITATION Mic08 \l 1033 </w:instrText>
          </w:r>
          <w:r w:rsidR="00373AD1">
            <w:rPr>
              <w:rFonts w:eastAsia="Times New Roman"/>
              <w:lang w:eastAsia="en-GB"/>
            </w:rPr>
            <w:fldChar w:fldCharType="separate"/>
          </w:r>
          <w:r w:rsidR="00373AD1" w:rsidRPr="00C83279">
            <w:rPr>
              <w:rFonts w:eastAsia="Times New Roman"/>
              <w:noProof/>
              <w:lang w:val="en-US" w:eastAsia="en-GB"/>
            </w:rPr>
            <w:t>(Battaglia, 2008)</w:t>
          </w:r>
          <w:r w:rsidR="00373AD1">
            <w:rPr>
              <w:rFonts w:eastAsia="Times New Roman"/>
              <w:lang w:eastAsia="en-GB"/>
            </w:rPr>
            <w:fldChar w:fldCharType="end"/>
          </w:r>
        </w:sdtContent>
      </w:sdt>
    </w:p>
    <w:p w14:paraId="07E7726E" w14:textId="77777777" w:rsidR="00373AD1" w:rsidRDefault="00373AD1" w:rsidP="00373AD1">
      <w:pPr>
        <w:spacing w:after="0" w:line="360" w:lineRule="auto"/>
        <w:ind w:left="-576" w:right="-576"/>
        <w:jc w:val="both"/>
        <w:rPr>
          <w:rFonts w:eastAsia="Times New Roman"/>
          <w:lang w:eastAsia="en-GB"/>
        </w:rPr>
      </w:pPr>
    </w:p>
    <w:p w14:paraId="551D8A9A" w14:textId="77777777" w:rsidR="00373AD1" w:rsidRDefault="00373AD1" w:rsidP="00373AD1">
      <w:pPr>
        <w:spacing w:after="0" w:line="360" w:lineRule="auto"/>
        <w:ind w:left="-576" w:right="-576"/>
        <w:jc w:val="both"/>
        <w:rPr>
          <w:rFonts w:eastAsia="Times New Roman"/>
          <w:lang w:eastAsia="en-GB"/>
        </w:rPr>
      </w:pPr>
      <w:r>
        <w:rPr>
          <w:rFonts w:eastAsia="Times New Roman"/>
          <w:lang w:eastAsia="en-GB"/>
        </w:rPr>
        <w:t>T</w:t>
      </w:r>
      <w:r w:rsidRPr="00811BB1">
        <w:rPr>
          <w:rFonts w:eastAsia="Times New Roman"/>
          <w:lang w:eastAsia="en-GB"/>
        </w:rPr>
        <w:t>he questionnaire explores whether current tools are adequate for addressing modern project challenges or if a more adaptable and customisable framework is required. It also examines barriers to adopting new methodologies, offering a comprehensive perspective on factors influencing risk management effectiveness.</w:t>
      </w:r>
      <w:r>
        <w:rPr>
          <w:rFonts w:eastAsia="Times New Roman"/>
          <w:lang w:eastAsia="en-GB"/>
        </w:rPr>
        <w:t xml:space="preserve"> </w:t>
      </w:r>
      <w:r w:rsidRPr="00811BB1">
        <w:rPr>
          <w:rFonts w:eastAsia="Times New Roman"/>
          <w:lang w:eastAsia="en-GB"/>
        </w:rPr>
        <w:t>By structuring questions to capture both statistical trends and real-world experiences, this research aims facilitat</w:t>
      </w:r>
      <w:r>
        <w:rPr>
          <w:rFonts w:eastAsia="Times New Roman"/>
          <w:lang w:eastAsia="en-GB"/>
        </w:rPr>
        <w:t>e</w:t>
      </w:r>
      <w:r w:rsidRPr="00811BB1">
        <w:rPr>
          <w:rFonts w:eastAsia="Times New Roman"/>
          <w:lang w:eastAsia="en-GB"/>
        </w:rPr>
        <w:t xml:space="preserve"> a deeper understanding of risk assessment in project management</w:t>
      </w:r>
      <w:r>
        <w:rPr>
          <w:rFonts w:eastAsia="Times New Roman"/>
          <w:lang w:eastAsia="en-GB"/>
        </w:rPr>
        <w:t xml:space="preserve"> </w:t>
      </w:r>
      <w:sdt>
        <w:sdtPr>
          <w:rPr>
            <w:rFonts w:eastAsia="Times New Roman"/>
            <w:lang w:eastAsia="en-GB"/>
          </w:rPr>
          <w:id w:val="-1302535641"/>
          <w:citation/>
        </w:sdtPr>
        <w:sdtContent>
          <w:r>
            <w:rPr>
              <w:rFonts w:eastAsia="Times New Roman"/>
              <w:lang w:eastAsia="en-GB"/>
            </w:rPr>
            <w:fldChar w:fldCharType="begin"/>
          </w:r>
          <w:r>
            <w:rPr>
              <w:rFonts w:eastAsia="Times New Roman"/>
              <w:lang w:val="en-US" w:eastAsia="en-GB"/>
            </w:rPr>
            <w:instrText xml:space="preserve"> CITATION Mic08 \l 1033 </w:instrText>
          </w:r>
          <w:r>
            <w:rPr>
              <w:rFonts w:eastAsia="Times New Roman"/>
              <w:lang w:eastAsia="en-GB"/>
            </w:rPr>
            <w:fldChar w:fldCharType="separate"/>
          </w:r>
          <w:r w:rsidRPr="00C83279">
            <w:rPr>
              <w:rFonts w:eastAsia="Times New Roman"/>
              <w:noProof/>
              <w:lang w:val="en-US" w:eastAsia="en-GB"/>
            </w:rPr>
            <w:t>(Battaglia, 2008)</w:t>
          </w:r>
          <w:r>
            <w:rPr>
              <w:rFonts w:eastAsia="Times New Roman"/>
              <w:lang w:eastAsia="en-GB"/>
            </w:rPr>
            <w:fldChar w:fldCharType="end"/>
          </w:r>
        </w:sdtContent>
      </w:sdt>
      <w:sdt>
        <w:sdtPr>
          <w:rPr>
            <w:rFonts w:eastAsia="Times New Roman"/>
            <w:lang w:eastAsia="en-GB"/>
          </w:rPr>
          <w:id w:val="1601911268"/>
          <w:citation/>
        </w:sdtPr>
        <w:sdtContent>
          <w:r>
            <w:rPr>
              <w:rFonts w:eastAsia="Times New Roman"/>
              <w:lang w:eastAsia="en-GB"/>
            </w:rPr>
            <w:fldChar w:fldCharType="begin"/>
          </w:r>
          <w:r>
            <w:rPr>
              <w:rFonts w:eastAsia="Times New Roman"/>
              <w:lang w:val="en-US" w:eastAsia="en-GB"/>
            </w:rPr>
            <w:instrText xml:space="preserve"> CITATION AFi17 \l 1033 </w:instrText>
          </w:r>
          <w:r>
            <w:rPr>
              <w:rFonts w:eastAsia="Times New Roman"/>
              <w:lang w:eastAsia="en-GB"/>
            </w:rPr>
            <w:fldChar w:fldCharType="separate"/>
          </w:r>
          <w:r>
            <w:rPr>
              <w:rFonts w:eastAsia="Times New Roman"/>
              <w:noProof/>
              <w:lang w:val="en-US" w:eastAsia="en-GB"/>
            </w:rPr>
            <w:t xml:space="preserve"> </w:t>
          </w:r>
          <w:r w:rsidRPr="00C83279">
            <w:rPr>
              <w:rFonts w:eastAsia="Times New Roman"/>
              <w:noProof/>
              <w:lang w:val="en-US" w:eastAsia="en-GB"/>
            </w:rPr>
            <w:t>(Fink, 2017)</w:t>
          </w:r>
          <w:r>
            <w:rPr>
              <w:rFonts w:eastAsia="Times New Roman"/>
              <w:lang w:eastAsia="en-GB"/>
            </w:rPr>
            <w:fldChar w:fldCharType="end"/>
          </w:r>
        </w:sdtContent>
      </w:sdt>
      <w:r w:rsidRPr="00811BB1">
        <w:rPr>
          <w:rFonts w:eastAsia="Times New Roman"/>
          <w:lang w:eastAsia="en-GB"/>
        </w:rPr>
        <w:t xml:space="preserve">. </w:t>
      </w:r>
      <w:r>
        <w:rPr>
          <w:rFonts w:eastAsia="Times New Roman"/>
          <w:lang w:eastAsia="en-GB"/>
        </w:rPr>
        <w:t>T</w:t>
      </w:r>
      <w:r w:rsidRPr="00811BB1">
        <w:rPr>
          <w:rFonts w:eastAsia="Times New Roman"/>
          <w:lang w:eastAsia="en-GB"/>
        </w:rPr>
        <w:t>he findings will contribute to determining whether existing tools sufficiently support risk mitigation or if the development of a new, more customisable risk management framework is necessary to enhance project outcomes</w:t>
      </w:r>
      <w:r>
        <w:rPr>
          <w:rFonts w:eastAsia="Times New Roman"/>
          <w:lang w:eastAsia="en-GB"/>
        </w:rPr>
        <w:t xml:space="preserve"> </w:t>
      </w:r>
      <w:sdt>
        <w:sdtPr>
          <w:rPr>
            <w:rFonts w:eastAsia="Times New Roman"/>
            <w:lang w:eastAsia="en-GB"/>
          </w:rPr>
          <w:id w:val="-603274531"/>
          <w:citation/>
        </w:sdtPr>
        <w:sdtContent>
          <w:r>
            <w:rPr>
              <w:rFonts w:eastAsia="Times New Roman"/>
              <w:lang w:eastAsia="en-GB"/>
            </w:rPr>
            <w:fldChar w:fldCharType="begin"/>
          </w:r>
          <w:r>
            <w:rPr>
              <w:rFonts w:eastAsia="Times New Roman"/>
              <w:lang w:val="en-US" w:eastAsia="en-GB"/>
            </w:rPr>
            <w:instrText xml:space="preserve"> CITATION AFi17 \l 1033 </w:instrText>
          </w:r>
          <w:r>
            <w:rPr>
              <w:rFonts w:eastAsia="Times New Roman"/>
              <w:lang w:eastAsia="en-GB"/>
            </w:rPr>
            <w:fldChar w:fldCharType="separate"/>
          </w:r>
          <w:r w:rsidRPr="00C83279">
            <w:rPr>
              <w:rFonts w:eastAsia="Times New Roman"/>
              <w:noProof/>
              <w:lang w:val="en-US" w:eastAsia="en-GB"/>
            </w:rPr>
            <w:t>(Fink, 2017)</w:t>
          </w:r>
          <w:r>
            <w:rPr>
              <w:rFonts w:eastAsia="Times New Roman"/>
              <w:lang w:eastAsia="en-GB"/>
            </w:rPr>
            <w:fldChar w:fldCharType="end"/>
          </w:r>
        </w:sdtContent>
      </w:sdt>
      <w:r>
        <w:rPr>
          <w:rFonts w:eastAsia="Times New Roman"/>
          <w:lang w:eastAsia="en-GB"/>
        </w:rPr>
        <w:t>.</w:t>
      </w:r>
    </w:p>
    <w:p w14:paraId="695B08F7" w14:textId="77777777" w:rsidR="00373AD1" w:rsidRDefault="00373AD1" w:rsidP="00373AD1">
      <w:pPr>
        <w:spacing w:after="0" w:line="360" w:lineRule="auto"/>
        <w:ind w:left="-576" w:right="-576"/>
        <w:jc w:val="both"/>
        <w:rPr>
          <w:rFonts w:eastAsia="Times New Roman"/>
          <w:lang w:eastAsia="en-GB"/>
        </w:rPr>
      </w:pPr>
      <w:r>
        <w:rPr>
          <w:rFonts w:eastAsia="Times New Roman"/>
          <w:lang w:eastAsia="en-GB"/>
        </w:rPr>
        <w:t xml:space="preserve">See appendix 12.1 for questionnaire. </w:t>
      </w:r>
    </w:p>
    <w:p w14:paraId="6473CF75" w14:textId="0979E4ED" w:rsidR="00373AD1" w:rsidRDefault="00653F71" w:rsidP="00373AD1">
      <w:pPr>
        <w:spacing w:after="0" w:line="360" w:lineRule="auto"/>
        <w:ind w:left="-576" w:right="-576"/>
        <w:jc w:val="both"/>
        <w:rPr>
          <w:color w:val="EE0000"/>
        </w:rPr>
      </w:pPr>
      <w:r>
        <w:rPr>
          <w:color w:val="EE0000"/>
        </w:rPr>
        <w:t>200</w:t>
      </w:r>
      <w:r w:rsidR="00373AD1">
        <w:rPr>
          <w:color w:val="EE0000"/>
        </w:rPr>
        <w:t xml:space="preserve"> (</w:t>
      </w:r>
      <w:r>
        <w:rPr>
          <w:color w:val="EE0000"/>
        </w:rPr>
        <w:t>6878</w:t>
      </w:r>
      <w:r w:rsidR="00373AD1">
        <w:rPr>
          <w:color w:val="EE0000"/>
        </w:rPr>
        <w:t>)</w:t>
      </w:r>
    </w:p>
    <w:p w14:paraId="49EAB2A4" w14:textId="77777777" w:rsidR="00373AD1" w:rsidRDefault="00373AD1" w:rsidP="00373AD1">
      <w:pPr>
        <w:rPr>
          <w:rFonts w:eastAsiaTheme="majorEastAsia" w:cstheme="majorBidi"/>
        </w:rPr>
      </w:pPr>
      <w:r>
        <w:br w:type="page"/>
      </w:r>
    </w:p>
    <w:p w14:paraId="4BD41013" w14:textId="77777777" w:rsidR="00373AD1" w:rsidRPr="0085746F" w:rsidRDefault="00373AD1" w:rsidP="00373AD1">
      <w:pPr>
        <w:pStyle w:val="Heading2"/>
        <w:ind w:left="-576" w:right="-576"/>
        <w:rPr>
          <w:sz w:val="22"/>
          <w:szCs w:val="22"/>
        </w:rPr>
      </w:pPr>
      <w:bookmarkStart w:id="47" w:name="_Toc205129710"/>
      <w:bookmarkStart w:id="48" w:name="_Toc219216475"/>
      <w:r w:rsidRPr="0085746F">
        <w:rPr>
          <w:sz w:val="22"/>
          <w:szCs w:val="22"/>
        </w:rPr>
        <w:lastRenderedPageBreak/>
        <w:t xml:space="preserve">7.3. </w:t>
      </w:r>
      <w:r w:rsidRPr="0085746F">
        <w:rPr>
          <w:sz w:val="22"/>
          <w:szCs w:val="22"/>
          <w:u w:val="single"/>
        </w:rPr>
        <w:t>Sampling.</w:t>
      </w:r>
      <w:bookmarkEnd w:id="47"/>
      <w:bookmarkEnd w:id="48"/>
      <w:r w:rsidRPr="0085746F">
        <w:rPr>
          <w:sz w:val="22"/>
          <w:szCs w:val="22"/>
          <w:u w:val="single"/>
        </w:rPr>
        <w:t xml:space="preserve"> </w:t>
      </w:r>
    </w:p>
    <w:p w14:paraId="21798238" w14:textId="77777777" w:rsidR="00373AD1" w:rsidRDefault="00373AD1" w:rsidP="00373AD1">
      <w:pPr>
        <w:spacing w:after="0" w:line="360" w:lineRule="auto"/>
        <w:ind w:left="-576" w:right="-576"/>
        <w:jc w:val="both"/>
      </w:pPr>
    </w:p>
    <w:p w14:paraId="4D85659A" w14:textId="77777777" w:rsidR="00373AD1" w:rsidRDefault="00373AD1" w:rsidP="00373AD1">
      <w:pPr>
        <w:spacing w:after="0" w:line="360" w:lineRule="auto"/>
        <w:ind w:left="-576" w:right="-576"/>
        <w:jc w:val="both"/>
        <w:rPr>
          <w:rFonts w:eastAsia="Times New Roman"/>
          <w:lang w:eastAsia="en-GB"/>
        </w:rPr>
      </w:pPr>
      <w:r w:rsidRPr="00FF69DA">
        <w:rPr>
          <w:rFonts w:eastAsia="Times New Roman"/>
          <w:lang w:eastAsia="en-GB"/>
        </w:rPr>
        <w:t>Sampling is a fundamental aspect, determining how data is collected and analysed to draw conclusions</w:t>
      </w:r>
      <w:r>
        <w:rPr>
          <w:rFonts w:eastAsia="Times New Roman"/>
          <w:lang w:eastAsia="en-GB"/>
        </w:rPr>
        <w:t xml:space="preserve"> </w:t>
      </w:r>
      <w:sdt>
        <w:sdtPr>
          <w:rPr>
            <w:rFonts w:eastAsia="Times New Roman"/>
            <w:lang w:eastAsia="en-GB"/>
          </w:rPr>
          <w:id w:val="-1346158344"/>
          <w:citation/>
        </w:sdtPr>
        <w:sdtContent>
          <w:r>
            <w:rPr>
              <w:rFonts w:eastAsia="Times New Roman"/>
              <w:lang w:eastAsia="en-GB"/>
            </w:rPr>
            <w:fldChar w:fldCharType="begin"/>
          </w:r>
          <w:r>
            <w:rPr>
              <w:rFonts w:eastAsia="Times New Roman"/>
              <w:lang w:val="en-US" w:eastAsia="en-GB"/>
            </w:rPr>
            <w:instrText xml:space="preserve"> CITATION AFi17 \l 1033 </w:instrText>
          </w:r>
          <w:r>
            <w:rPr>
              <w:rFonts w:eastAsia="Times New Roman"/>
              <w:lang w:eastAsia="en-GB"/>
            </w:rPr>
            <w:fldChar w:fldCharType="separate"/>
          </w:r>
          <w:r w:rsidRPr="00C83279">
            <w:rPr>
              <w:rFonts w:eastAsia="Times New Roman"/>
              <w:noProof/>
              <w:lang w:val="en-US" w:eastAsia="en-GB"/>
            </w:rPr>
            <w:t>(Fink, 2017)</w:t>
          </w:r>
          <w:r>
            <w:rPr>
              <w:rFonts w:eastAsia="Times New Roman"/>
              <w:lang w:eastAsia="en-GB"/>
            </w:rPr>
            <w:fldChar w:fldCharType="end"/>
          </w:r>
        </w:sdtContent>
      </w:sdt>
      <w:r w:rsidRPr="00FF69DA">
        <w:rPr>
          <w:rFonts w:eastAsia="Times New Roman"/>
          <w:lang w:eastAsia="en-GB"/>
        </w:rPr>
        <w:t xml:space="preserve">. In most research studies, surveying an entire population is impractical due to constraints such as time, cost, and accessibility. The effectiveness of a study depends on suitability of sampling technique, </w:t>
      </w:r>
      <w:r>
        <w:rPr>
          <w:rFonts w:eastAsia="Times New Roman"/>
          <w:lang w:eastAsia="en-GB"/>
        </w:rPr>
        <w:t xml:space="preserve">errors </w:t>
      </w:r>
      <w:r w:rsidRPr="00FF69DA">
        <w:rPr>
          <w:rFonts w:eastAsia="Times New Roman"/>
          <w:lang w:eastAsia="en-GB"/>
        </w:rPr>
        <w:t>lead</w:t>
      </w:r>
      <w:r>
        <w:rPr>
          <w:rFonts w:eastAsia="Times New Roman"/>
          <w:lang w:eastAsia="en-GB"/>
        </w:rPr>
        <w:t>ing</w:t>
      </w:r>
      <w:r w:rsidRPr="00FF69DA">
        <w:rPr>
          <w:rFonts w:eastAsia="Times New Roman"/>
          <w:lang w:eastAsia="en-GB"/>
        </w:rPr>
        <w:t xml:space="preserve"> to bias</w:t>
      </w:r>
      <w:r>
        <w:rPr>
          <w:rFonts w:eastAsia="Times New Roman"/>
          <w:lang w:eastAsia="en-GB"/>
        </w:rPr>
        <w:t xml:space="preserve">, </w:t>
      </w:r>
      <w:r w:rsidRPr="00FF69DA">
        <w:rPr>
          <w:rFonts w:eastAsia="Times New Roman"/>
          <w:lang w:eastAsia="en-GB"/>
        </w:rPr>
        <w:t>affect</w:t>
      </w:r>
      <w:r>
        <w:rPr>
          <w:rFonts w:eastAsia="Times New Roman"/>
          <w:lang w:eastAsia="en-GB"/>
        </w:rPr>
        <w:t>ing</w:t>
      </w:r>
      <w:r w:rsidRPr="00FF69DA">
        <w:rPr>
          <w:rFonts w:eastAsia="Times New Roman"/>
          <w:lang w:eastAsia="en-GB"/>
        </w:rPr>
        <w:t xml:space="preserve"> validity of the findings</w:t>
      </w:r>
      <w:r>
        <w:rPr>
          <w:rFonts w:eastAsia="Times New Roman"/>
          <w:lang w:eastAsia="en-GB"/>
        </w:rPr>
        <w:t xml:space="preserve"> </w:t>
      </w:r>
      <w:sdt>
        <w:sdtPr>
          <w:rPr>
            <w:rFonts w:eastAsia="Times New Roman"/>
            <w:lang w:eastAsia="en-GB"/>
          </w:rPr>
          <w:id w:val="-474372816"/>
          <w:citation/>
        </w:sdtPr>
        <w:sdtContent>
          <w:r>
            <w:rPr>
              <w:rFonts w:eastAsia="Times New Roman"/>
              <w:lang w:eastAsia="en-GB"/>
            </w:rPr>
            <w:fldChar w:fldCharType="begin"/>
          </w:r>
          <w:r>
            <w:rPr>
              <w:rFonts w:eastAsia="Times New Roman"/>
              <w:lang w:val="en-US" w:eastAsia="en-GB"/>
            </w:rPr>
            <w:instrText xml:space="preserve"> CITATION Mic08 \l 1033 </w:instrText>
          </w:r>
          <w:r>
            <w:rPr>
              <w:rFonts w:eastAsia="Times New Roman"/>
              <w:lang w:eastAsia="en-GB"/>
            </w:rPr>
            <w:fldChar w:fldCharType="separate"/>
          </w:r>
          <w:r w:rsidRPr="00C83279">
            <w:rPr>
              <w:rFonts w:eastAsia="Times New Roman"/>
              <w:noProof/>
              <w:lang w:val="en-US" w:eastAsia="en-GB"/>
            </w:rPr>
            <w:t>(Battaglia, 2008)</w:t>
          </w:r>
          <w:r>
            <w:rPr>
              <w:rFonts w:eastAsia="Times New Roman"/>
              <w:lang w:eastAsia="en-GB"/>
            </w:rPr>
            <w:fldChar w:fldCharType="end"/>
          </w:r>
        </w:sdtContent>
      </w:sdt>
      <w:r>
        <w:rPr>
          <w:rFonts w:eastAsia="Times New Roman"/>
          <w:lang w:eastAsia="en-GB"/>
        </w:rPr>
        <w:t xml:space="preserve"> </w:t>
      </w:r>
      <w:sdt>
        <w:sdtPr>
          <w:rPr>
            <w:rFonts w:eastAsia="Times New Roman"/>
            <w:lang w:eastAsia="en-GB"/>
          </w:rPr>
          <w:id w:val="-451014554"/>
          <w:citation/>
        </w:sdtPr>
        <w:sdtContent>
          <w:r>
            <w:rPr>
              <w:rFonts w:eastAsia="Times New Roman"/>
              <w:lang w:eastAsia="en-GB"/>
            </w:rPr>
            <w:fldChar w:fldCharType="begin"/>
          </w:r>
          <w:r>
            <w:rPr>
              <w:rFonts w:eastAsia="Times New Roman"/>
              <w:lang w:val="en-US" w:eastAsia="en-GB"/>
            </w:rPr>
            <w:instrText xml:space="preserve"> CITATION AFi17 \l 1033 </w:instrText>
          </w:r>
          <w:r>
            <w:rPr>
              <w:rFonts w:eastAsia="Times New Roman"/>
              <w:lang w:eastAsia="en-GB"/>
            </w:rPr>
            <w:fldChar w:fldCharType="separate"/>
          </w:r>
          <w:r w:rsidRPr="00C83279">
            <w:rPr>
              <w:rFonts w:eastAsia="Times New Roman"/>
              <w:noProof/>
              <w:lang w:val="en-US" w:eastAsia="en-GB"/>
            </w:rPr>
            <w:t>(Fink, 2017)</w:t>
          </w:r>
          <w:r>
            <w:rPr>
              <w:rFonts w:eastAsia="Times New Roman"/>
              <w:lang w:eastAsia="en-GB"/>
            </w:rPr>
            <w:fldChar w:fldCharType="end"/>
          </w:r>
        </w:sdtContent>
      </w:sdt>
      <w:r w:rsidRPr="00FF69DA">
        <w:rPr>
          <w:rFonts w:eastAsia="Times New Roman"/>
          <w:lang w:eastAsia="en-GB"/>
        </w:rPr>
        <w:t>.</w:t>
      </w:r>
      <w:r>
        <w:rPr>
          <w:rFonts w:eastAsia="Times New Roman"/>
          <w:lang w:eastAsia="en-GB"/>
        </w:rPr>
        <w:t xml:space="preserve"> </w:t>
      </w:r>
      <w:r w:rsidRPr="000C2938">
        <w:rPr>
          <w:rFonts w:eastAsia="Times New Roman"/>
          <w:lang w:eastAsia="en-GB"/>
        </w:rPr>
        <w:t xml:space="preserve">The sampling frame refers to the difference between the target population and individuals who participate in the survey. </w:t>
      </w:r>
    </w:p>
    <w:p w14:paraId="119794D2" w14:textId="77777777" w:rsidR="00373AD1" w:rsidRDefault="00373AD1" w:rsidP="00373AD1">
      <w:pPr>
        <w:spacing w:after="0" w:line="360" w:lineRule="auto"/>
        <w:ind w:left="-576" w:right="-576"/>
        <w:jc w:val="both"/>
        <w:rPr>
          <w:rFonts w:eastAsia="Times New Roman"/>
          <w:lang w:eastAsia="en-GB"/>
        </w:rPr>
      </w:pPr>
    </w:p>
    <w:p w14:paraId="7F3507E3" w14:textId="77777777" w:rsidR="00373AD1" w:rsidRDefault="00373AD1" w:rsidP="00373AD1">
      <w:pPr>
        <w:keepNext/>
        <w:spacing w:after="0" w:line="360" w:lineRule="auto"/>
        <w:jc w:val="center"/>
      </w:pPr>
      <w:r>
        <w:rPr>
          <w:noProof/>
        </w:rPr>
        <w:drawing>
          <wp:inline distT="0" distB="0" distL="0" distR="0" wp14:anchorId="764A06A3" wp14:editId="10ED9221">
            <wp:extent cx="3581729" cy="2406770"/>
            <wp:effectExtent l="0" t="0" r="0" b="0"/>
            <wp:docPr id="1152669670" name="Picture 1" descr="A diagram of a response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69670" name="Picture 1" descr="A diagram of a response error&#10;&#10;AI-generated content may be incorrect."/>
                    <pic:cNvPicPr/>
                  </pic:nvPicPr>
                  <pic:blipFill>
                    <a:blip r:embed="rId11"/>
                    <a:stretch>
                      <a:fillRect/>
                    </a:stretch>
                  </pic:blipFill>
                  <pic:spPr>
                    <a:xfrm>
                      <a:off x="0" y="0"/>
                      <a:ext cx="3625562" cy="2436224"/>
                    </a:xfrm>
                    <a:prstGeom prst="rect">
                      <a:avLst/>
                    </a:prstGeom>
                  </pic:spPr>
                </pic:pic>
              </a:graphicData>
            </a:graphic>
          </wp:inline>
        </w:drawing>
      </w:r>
    </w:p>
    <w:p w14:paraId="307C9A3C" w14:textId="7E3FAA8C" w:rsidR="00373AD1" w:rsidRDefault="00373AD1" w:rsidP="00373AD1">
      <w:pPr>
        <w:pStyle w:val="Caption"/>
        <w:jc w:val="center"/>
        <w:rPr>
          <w:rFonts w:eastAsia="Times New Roman"/>
          <w:lang w:eastAsia="en-GB"/>
        </w:rPr>
      </w:pPr>
      <w:bookmarkStart w:id="49" w:name="_Toc191138507"/>
      <w:bookmarkStart w:id="50" w:name="_Toc205122377"/>
      <w:bookmarkStart w:id="51" w:name="_Toc219216528"/>
      <w:r>
        <w:t xml:space="preserve">Figure </w:t>
      </w:r>
      <w:fldSimple w:instr=" SEQ Figure \* ARABIC ">
        <w:r w:rsidR="008D7EA1">
          <w:rPr>
            <w:noProof/>
          </w:rPr>
          <w:t>1</w:t>
        </w:r>
      </w:fldSimple>
      <w:r>
        <w:t xml:space="preserve"> - Methodology Sampling</w:t>
      </w:r>
      <w:bookmarkEnd w:id="49"/>
      <w:bookmarkEnd w:id="50"/>
      <w:bookmarkEnd w:id="51"/>
    </w:p>
    <w:p w14:paraId="3735B28F" w14:textId="77777777" w:rsidR="00373AD1" w:rsidRDefault="00000000" w:rsidP="00373AD1">
      <w:pPr>
        <w:spacing w:after="0" w:line="360" w:lineRule="auto"/>
        <w:ind w:right="-576"/>
        <w:jc w:val="center"/>
        <w:rPr>
          <w:rFonts w:eastAsia="Times New Roman"/>
          <w:lang w:eastAsia="en-GB"/>
        </w:rPr>
      </w:pPr>
      <w:sdt>
        <w:sdtPr>
          <w:rPr>
            <w:rFonts w:eastAsia="Times New Roman"/>
            <w:lang w:eastAsia="en-GB"/>
          </w:rPr>
          <w:id w:val="1367876346"/>
          <w:citation/>
        </w:sdtPr>
        <w:sdtContent>
          <w:r w:rsidR="00373AD1">
            <w:rPr>
              <w:rFonts w:eastAsia="Times New Roman"/>
              <w:lang w:eastAsia="en-GB"/>
            </w:rPr>
            <w:fldChar w:fldCharType="begin"/>
          </w:r>
          <w:r w:rsidR="00373AD1">
            <w:rPr>
              <w:rFonts w:eastAsia="Times New Roman"/>
              <w:lang w:val="en-US" w:eastAsia="en-GB"/>
            </w:rPr>
            <w:instrText xml:space="preserve"> CITATION Byj25 \l 1033 </w:instrText>
          </w:r>
          <w:r w:rsidR="00373AD1">
            <w:rPr>
              <w:rFonts w:eastAsia="Times New Roman"/>
              <w:lang w:eastAsia="en-GB"/>
            </w:rPr>
            <w:fldChar w:fldCharType="separate"/>
          </w:r>
          <w:r w:rsidR="00373AD1" w:rsidRPr="000D6448">
            <w:rPr>
              <w:rFonts w:eastAsia="Times New Roman"/>
              <w:noProof/>
              <w:lang w:val="en-US" w:eastAsia="en-GB"/>
            </w:rPr>
            <w:t>(Byjus, 2025)</w:t>
          </w:r>
          <w:r w:rsidR="00373AD1">
            <w:rPr>
              <w:rFonts w:eastAsia="Times New Roman"/>
              <w:lang w:eastAsia="en-GB"/>
            </w:rPr>
            <w:fldChar w:fldCharType="end"/>
          </w:r>
        </w:sdtContent>
      </w:sdt>
    </w:p>
    <w:p w14:paraId="220FEBB9" w14:textId="77777777" w:rsidR="00373AD1" w:rsidRDefault="00373AD1" w:rsidP="00373AD1">
      <w:pPr>
        <w:spacing w:after="0" w:line="360" w:lineRule="auto"/>
        <w:ind w:right="-576"/>
        <w:jc w:val="center"/>
        <w:rPr>
          <w:rFonts w:eastAsia="Times New Roman"/>
          <w:lang w:eastAsia="en-GB"/>
        </w:rPr>
      </w:pPr>
    </w:p>
    <w:p w14:paraId="57D2CE87" w14:textId="77777777" w:rsidR="00373AD1" w:rsidRDefault="00373AD1" w:rsidP="00373AD1">
      <w:pPr>
        <w:spacing w:after="0" w:line="360" w:lineRule="auto"/>
        <w:ind w:left="-576" w:right="-576"/>
        <w:jc w:val="both"/>
        <w:rPr>
          <w:rFonts w:eastAsia="Times New Roman"/>
          <w:lang w:eastAsia="en-GB"/>
        </w:rPr>
      </w:pPr>
      <w:r w:rsidRPr="00FF69DA">
        <w:rPr>
          <w:rFonts w:eastAsia="Times New Roman"/>
          <w:lang w:eastAsia="en-GB"/>
        </w:rPr>
        <w:t xml:space="preserve">Key challenges in sampling include coverage errors, sampling errors, and nonresponse bias, which can impact the accuracy of results. </w:t>
      </w:r>
      <w:r w:rsidRPr="000C2938">
        <w:rPr>
          <w:rFonts w:eastAsia="Times New Roman"/>
          <w:lang w:eastAsia="en-GB"/>
        </w:rPr>
        <w:t>Nonresponse bias also impacts the actual sample obtained</w:t>
      </w:r>
      <w:r>
        <w:rPr>
          <w:rFonts w:eastAsia="Times New Roman"/>
          <w:lang w:eastAsia="en-GB"/>
        </w:rPr>
        <w:t>.</w:t>
      </w:r>
      <w:r w:rsidRPr="000C2938">
        <w:rPr>
          <w:rFonts w:eastAsia="Times New Roman"/>
          <w:lang w:eastAsia="en-GB"/>
        </w:rPr>
        <w:t xml:space="preserve"> When surveying a population with low participation rates, it is essential to incorporate this factor into the survey methodology to maintain validity of the findings.</w:t>
      </w:r>
      <w:r>
        <w:rPr>
          <w:rFonts w:eastAsia="Times New Roman"/>
          <w:lang w:eastAsia="en-GB"/>
        </w:rPr>
        <w:t xml:space="preserve"> </w:t>
      </w:r>
      <w:r w:rsidRPr="00FF69DA">
        <w:rPr>
          <w:rFonts w:eastAsia="Times New Roman"/>
          <w:lang w:eastAsia="en-GB"/>
        </w:rPr>
        <w:t>Therefore, careful selection of the sampling frame and method is essential for obtaining reliable findings</w:t>
      </w:r>
      <w:r>
        <w:rPr>
          <w:rFonts w:eastAsia="Times New Roman"/>
          <w:lang w:eastAsia="en-GB"/>
        </w:rPr>
        <w:t xml:space="preserve"> </w:t>
      </w:r>
      <w:sdt>
        <w:sdtPr>
          <w:rPr>
            <w:rFonts w:eastAsia="Times New Roman"/>
            <w:lang w:eastAsia="en-GB"/>
          </w:rPr>
          <w:id w:val="-2130780467"/>
          <w:citation/>
        </w:sdtPr>
        <w:sdtContent>
          <w:r>
            <w:rPr>
              <w:rFonts w:eastAsia="Times New Roman"/>
              <w:lang w:eastAsia="en-GB"/>
            </w:rPr>
            <w:fldChar w:fldCharType="begin"/>
          </w:r>
          <w:r>
            <w:rPr>
              <w:rFonts w:eastAsia="Times New Roman"/>
              <w:lang w:val="en-US" w:eastAsia="en-GB"/>
            </w:rPr>
            <w:instrText xml:space="preserve"> CITATION Byj25 \l 1033 </w:instrText>
          </w:r>
          <w:r>
            <w:rPr>
              <w:rFonts w:eastAsia="Times New Roman"/>
              <w:lang w:eastAsia="en-GB"/>
            </w:rPr>
            <w:fldChar w:fldCharType="separate"/>
          </w:r>
          <w:r w:rsidRPr="000D6448">
            <w:rPr>
              <w:rFonts w:eastAsia="Times New Roman"/>
              <w:noProof/>
              <w:lang w:val="en-US" w:eastAsia="en-GB"/>
            </w:rPr>
            <w:t>(Byjus, 2025)</w:t>
          </w:r>
          <w:r>
            <w:rPr>
              <w:rFonts w:eastAsia="Times New Roman"/>
              <w:lang w:eastAsia="en-GB"/>
            </w:rPr>
            <w:fldChar w:fldCharType="end"/>
          </w:r>
        </w:sdtContent>
      </w:sdt>
      <w:r>
        <w:rPr>
          <w:rFonts w:eastAsia="Times New Roman"/>
          <w:lang w:eastAsia="en-GB"/>
        </w:rPr>
        <w:t xml:space="preserve"> </w:t>
      </w:r>
      <w:sdt>
        <w:sdtPr>
          <w:rPr>
            <w:rFonts w:eastAsia="Times New Roman"/>
            <w:lang w:eastAsia="en-GB"/>
          </w:rPr>
          <w:id w:val="-1144578962"/>
          <w:citation/>
        </w:sdtPr>
        <w:sdtContent>
          <w:r>
            <w:rPr>
              <w:rFonts w:eastAsia="Times New Roman"/>
              <w:lang w:eastAsia="en-GB"/>
            </w:rPr>
            <w:fldChar w:fldCharType="begin"/>
          </w:r>
          <w:r>
            <w:rPr>
              <w:rFonts w:eastAsia="Times New Roman"/>
              <w:lang w:val="en-US" w:eastAsia="en-GB"/>
            </w:rPr>
            <w:instrText xml:space="preserve"> CITATION Ham20 \l 1033 </w:instrText>
          </w:r>
          <w:r>
            <w:rPr>
              <w:rFonts w:eastAsia="Times New Roman"/>
              <w:lang w:eastAsia="en-GB"/>
            </w:rPr>
            <w:fldChar w:fldCharType="separate"/>
          </w:r>
          <w:r w:rsidRPr="00C83279">
            <w:rPr>
              <w:rFonts w:eastAsia="Times New Roman"/>
              <w:noProof/>
              <w:lang w:val="en-US" w:eastAsia="en-GB"/>
            </w:rPr>
            <w:t>(Taherdoost, 2020)</w:t>
          </w:r>
          <w:r>
            <w:rPr>
              <w:rFonts w:eastAsia="Times New Roman"/>
              <w:lang w:eastAsia="en-GB"/>
            </w:rPr>
            <w:fldChar w:fldCharType="end"/>
          </w:r>
        </w:sdtContent>
      </w:sdt>
      <w:r w:rsidRPr="00FF69DA">
        <w:rPr>
          <w:rFonts w:eastAsia="Times New Roman"/>
          <w:lang w:eastAsia="en-GB"/>
        </w:rPr>
        <w:t xml:space="preserve">. </w:t>
      </w:r>
      <w:r>
        <w:rPr>
          <w:rFonts w:eastAsia="Times New Roman"/>
          <w:lang w:eastAsia="en-GB"/>
        </w:rPr>
        <w:t xml:space="preserve">The following survey sampling frame is proposed; </w:t>
      </w:r>
    </w:p>
    <w:p w14:paraId="4D4A0555" w14:textId="77777777" w:rsidR="00373AD1" w:rsidRDefault="00373AD1" w:rsidP="00373AD1">
      <w:pPr>
        <w:pStyle w:val="ListParagraph"/>
        <w:numPr>
          <w:ilvl w:val="0"/>
          <w:numId w:val="38"/>
        </w:numPr>
        <w:spacing w:after="0" w:line="360" w:lineRule="auto"/>
        <w:ind w:right="-576"/>
        <w:jc w:val="both"/>
        <w:rPr>
          <w:rFonts w:eastAsia="Times New Roman"/>
          <w:lang w:eastAsia="en-GB"/>
        </w:rPr>
      </w:pPr>
      <w:r>
        <w:rPr>
          <w:rFonts w:eastAsia="Times New Roman"/>
          <w:lang w:eastAsia="en-GB"/>
        </w:rPr>
        <w:t>Initial UK wide company distribution.</w:t>
      </w:r>
    </w:p>
    <w:p w14:paraId="2BBB641F" w14:textId="77777777" w:rsidR="00373AD1" w:rsidRDefault="00373AD1" w:rsidP="00373AD1">
      <w:pPr>
        <w:pStyle w:val="ListParagraph"/>
        <w:numPr>
          <w:ilvl w:val="0"/>
          <w:numId w:val="38"/>
        </w:numPr>
        <w:spacing w:after="0" w:line="360" w:lineRule="auto"/>
        <w:ind w:right="-576"/>
        <w:jc w:val="both"/>
        <w:rPr>
          <w:rFonts w:eastAsia="Times New Roman"/>
          <w:lang w:eastAsia="en-GB"/>
        </w:rPr>
      </w:pPr>
      <w:r>
        <w:rPr>
          <w:rFonts w:eastAsia="Times New Roman"/>
          <w:lang w:eastAsia="en-GB"/>
        </w:rPr>
        <w:t>Follow up response rate after 2-3-week period.</w:t>
      </w:r>
    </w:p>
    <w:p w14:paraId="4EFCD5B9" w14:textId="77777777" w:rsidR="00373AD1" w:rsidRDefault="00373AD1" w:rsidP="00373AD1">
      <w:pPr>
        <w:pStyle w:val="ListParagraph"/>
        <w:numPr>
          <w:ilvl w:val="0"/>
          <w:numId w:val="38"/>
        </w:numPr>
        <w:spacing w:after="0" w:line="360" w:lineRule="auto"/>
        <w:ind w:right="-576"/>
        <w:jc w:val="both"/>
        <w:rPr>
          <w:rFonts w:eastAsia="Times New Roman"/>
          <w:lang w:eastAsia="en-GB"/>
        </w:rPr>
      </w:pPr>
      <w:r>
        <w:rPr>
          <w:rFonts w:eastAsia="Times New Roman"/>
          <w:lang w:eastAsia="en-GB"/>
        </w:rPr>
        <w:t>Push for response/completion based on survey response.</w:t>
      </w:r>
    </w:p>
    <w:p w14:paraId="549FF997" w14:textId="77777777" w:rsidR="00373AD1" w:rsidRDefault="00373AD1" w:rsidP="00373AD1">
      <w:pPr>
        <w:pStyle w:val="ListParagraph"/>
        <w:numPr>
          <w:ilvl w:val="0"/>
          <w:numId w:val="38"/>
        </w:numPr>
        <w:spacing w:after="0" w:line="360" w:lineRule="auto"/>
        <w:ind w:right="-576"/>
        <w:jc w:val="both"/>
        <w:rPr>
          <w:rFonts w:eastAsia="Times New Roman"/>
          <w:lang w:eastAsia="en-GB"/>
        </w:rPr>
      </w:pPr>
      <w:r>
        <w:rPr>
          <w:rFonts w:eastAsia="Times New Roman"/>
          <w:lang w:eastAsia="en-GB"/>
        </w:rPr>
        <w:t>Follow up response rate after 4-6-week period.</w:t>
      </w:r>
    </w:p>
    <w:p w14:paraId="1836F877" w14:textId="77777777" w:rsidR="00373AD1" w:rsidRPr="00EA77A2" w:rsidRDefault="00373AD1" w:rsidP="00373AD1">
      <w:pPr>
        <w:pStyle w:val="ListParagraph"/>
        <w:numPr>
          <w:ilvl w:val="0"/>
          <w:numId w:val="38"/>
        </w:numPr>
        <w:spacing w:after="0" w:line="360" w:lineRule="auto"/>
        <w:ind w:right="-576"/>
        <w:jc w:val="both"/>
        <w:rPr>
          <w:rFonts w:eastAsia="Times New Roman"/>
          <w:lang w:eastAsia="en-GB"/>
        </w:rPr>
      </w:pPr>
      <w:r>
        <w:rPr>
          <w:rFonts w:eastAsia="Times New Roman"/>
          <w:lang w:eastAsia="en-GB"/>
        </w:rPr>
        <w:t xml:space="preserve">Consider extension to data gathering or opening up to wider UK company audience. </w:t>
      </w:r>
    </w:p>
    <w:p w14:paraId="0FE6A235" w14:textId="77777777" w:rsidR="00373AD1" w:rsidRDefault="00373AD1" w:rsidP="00373AD1">
      <w:pPr>
        <w:spacing w:after="0" w:line="360" w:lineRule="auto"/>
        <w:ind w:left="-576" w:right="-576"/>
        <w:jc w:val="both"/>
      </w:pPr>
    </w:p>
    <w:p w14:paraId="1DE98ED7" w14:textId="5C7EEB01" w:rsidR="00373AD1" w:rsidRPr="004B6B59" w:rsidRDefault="00373AD1" w:rsidP="00373AD1">
      <w:pPr>
        <w:spacing w:after="0" w:line="360" w:lineRule="auto"/>
        <w:ind w:left="-576" w:right="-576"/>
        <w:jc w:val="both"/>
        <w:rPr>
          <w:color w:val="EE0000"/>
        </w:rPr>
      </w:pPr>
      <w:r w:rsidRPr="004B6B59">
        <w:t xml:space="preserve">A proposed </w:t>
      </w:r>
      <w:r>
        <w:t>3</w:t>
      </w:r>
      <w:r w:rsidR="00703C50">
        <w:t>6</w:t>
      </w:r>
      <w:r>
        <w:t xml:space="preserve">-week </w:t>
      </w:r>
      <w:r w:rsidRPr="004B6B59">
        <w:t>timeline, presented through a Gantt chart,</w:t>
      </w:r>
      <w:r>
        <w:t xml:space="preserve"> see appendix 12.2,</w:t>
      </w:r>
      <w:r w:rsidRPr="004B6B59">
        <w:t xml:space="preserve"> has been designed to accommodate flexibility in data collection and analysis phases, allowing for adjustments based on response rates, data quality, and emerging logistical considerations throughout the project lifecycle</w:t>
      </w:r>
      <w:r>
        <w:t xml:space="preserve">. </w:t>
      </w:r>
      <w:r>
        <w:rPr>
          <w:color w:val="EE0000"/>
        </w:rPr>
        <w:t>22</w:t>
      </w:r>
      <w:r w:rsidR="00653F71">
        <w:rPr>
          <w:color w:val="EE0000"/>
        </w:rPr>
        <w:t>6</w:t>
      </w:r>
      <w:r>
        <w:rPr>
          <w:color w:val="EE0000"/>
        </w:rPr>
        <w:t xml:space="preserve"> (7</w:t>
      </w:r>
      <w:r w:rsidR="00653F71">
        <w:rPr>
          <w:color w:val="EE0000"/>
        </w:rPr>
        <w:t>104</w:t>
      </w:r>
      <w:r>
        <w:rPr>
          <w:color w:val="EE0000"/>
        </w:rPr>
        <w:t>)</w:t>
      </w:r>
    </w:p>
    <w:p w14:paraId="5BD57EE6" w14:textId="0CDF1D39" w:rsidR="00A860FE" w:rsidRDefault="00373AD1" w:rsidP="00A860FE">
      <w:pPr>
        <w:pStyle w:val="Heading2"/>
        <w:spacing w:line="360" w:lineRule="auto"/>
        <w:ind w:left="-576" w:right="-576"/>
        <w:jc w:val="both"/>
        <w:rPr>
          <w:rFonts w:cs="Calibri Light"/>
          <w:sz w:val="22"/>
          <w:szCs w:val="22"/>
          <w:u w:val="single"/>
        </w:rPr>
      </w:pPr>
      <w:bookmarkStart w:id="52" w:name="_Toc205129711"/>
      <w:bookmarkStart w:id="53" w:name="_Toc219216476"/>
      <w:r>
        <w:rPr>
          <w:rFonts w:cs="Calibri Light"/>
          <w:sz w:val="22"/>
          <w:szCs w:val="22"/>
        </w:rPr>
        <w:lastRenderedPageBreak/>
        <w:t>8</w:t>
      </w:r>
      <w:r w:rsidRPr="003E6051">
        <w:rPr>
          <w:rFonts w:cs="Calibri Light"/>
          <w:sz w:val="22"/>
          <w:szCs w:val="22"/>
        </w:rPr>
        <w:t xml:space="preserve">. </w:t>
      </w:r>
      <w:bookmarkEnd w:id="52"/>
      <w:r w:rsidR="00E03CB2">
        <w:rPr>
          <w:rFonts w:cs="Calibri Light"/>
          <w:sz w:val="22"/>
          <w:szCs w:val="22"/>
          <w:u w:val="single"/>
        </w:rPr>
        <w:t>Results</w:t>
      </w:r>
      <w:bookmarkEnd w:id="53"/>
    </w:p>
    <w:p w14:paraId="71BFDB60" w14:textId="77777777" w:rsidR="00B44C7B" w:rsidRDefault="00B44C7B" w:rsidP="00B44C7B">
      <w:pPr>
        <w:spacing w:after="0" w:line="360" w:lineRule="auto"/>
        <w:ind w:left="-576" w:right="-576"/>
        <w:jc w:val="both"/>
        <w:rPr>
          <w:rFonts w:eastAsiaTheme="majorEastAsia"/>
        </w:rPr>
      </w:pPr>
    </w:p>
    <w:p w14:paraId="3ED32FD5" w14:textId="393DC62D" w:rsidR="00445C61" w:rsidRDefault="00445C61" w:rsidP="00B44C7B">
      <w:pPr>
        <w:spacing w:after="0" w:line="360" w:lineRule="auto"/>
        <w:ind w:left="-576" w:right="-576"/>
        <w:jc w:val="both"/>
        <w:rPr>
          <w:rFonts w:eastAsiaTheme="majorEastAsia"/>
        </w:rPr>
      </w:pPr>
      <w:r w:rsidRPr="00445C61">
        <w:rPr>
          <w:rFonts w:eastAsiaTheme="majorEastAsia"/>
        </w:rPr>
        <w:t>The</w:t>
      </w:r>
      <w:r>
        <w:rPr>
          <w:rFonts w:eastAsiaTheme="majorEastAsia"/>
        </w:rPr>
        <w:t xml:space="preserve"> research</w:t>
      </w:r>
      <w:r w:rsidRPr="00445C61">
        <w:rPr>
          <w:rFonts w:eastAsiaTheme="majorEastAsia"/>
        </w:rPr>
        <w:t xml:space="preserve"> questionnaire achieved a response rate of approximately 64.3%, with 36 responses received from 56 distributed surveys. The response rate indicates a strong level of participant engagement, providing a robust empirical foundation for subsequent data analysis. </w:t>
      </w:r>
      <w:r>
        <w:rPr>
          <w:rFonts w:eastAsiaTheme="majorEastAsia"/>
        </w:rPr>
        <w:t>D</w:t>
      </w:r>
      <w:r w:rsidRPr="00445C61">
        <w:rPr>
          <w:rFonts w:eastAsiaTheme="majorEastAsia"/>
        </w:rPr>
        <w:t>emonstrat</w:t>
      </w:r>
      <w:r>
        <w:rPr>
          <w:rFonts w:eastAsiaTheme="majorEastAsia"/>
        </w:rPr>
        <w:t>ing</w:t>
      </w:r>
      <w:r w:rsidRPr="00445C61">
        <w:rPr>
          <w:rFonts w:eastAsiaTheme="majorEastAsia"/>
        </w:rPr>
        <w:t xml:space="preserve"> that the sampling strategy effectively captured a diverse range of professional perspectives, particularly among individuals occupying project management and engineering roles within industrial sectors. The high response rate can be attributed to the systematic approach adopted during data collection, including the pilot testing of the questionnaire and the use of reminder emails to encourage participation. </w:t>
      </w:r>
    </w:p>
    <w:p w14:paraId="7FD075FE" w14:textId="77777777" w:rsidR="00445C61" w:rsidRDefault="00445C61" w:rsidP="00B44C7B">
      <w:pPr>
        <w:spacing w:after="0" w:line="360" w:lineRule="auto"/>
        <w:ind w:left="-576" w:right="-576"/>
        <w:jc w:val="both"/>
        <w:rPr>
          <w:rFonts w:eastAsiaTheme="majorEastAsia"/>
        </w:rPr>
      </w:pPr>
    </w:p>
    <w:p w14:paraId="4BE6E2B3" w14:textId="258AB9DC" w:rsidR="00373AD1" w:rsidRPr="00A860FE" w:rsidRDefault="00373AD1" w:rsidP="00A860FE">
      <w:pPr>
        <w:pStyle w:val="Heading2"/>
        <w:spacing w:line="360" w:lineRule="auto"/>
        <w:ind w:left="-576" w:right="-576"/>
        <w:rPr>
          <w:sz w:val="22"/>
          <w:szCs w:val="22"/>
          <w:u w:val="single"/>
        </w:rPr>
      </w:pPr>
      <w:bookmarkStart w:id="54" w:name="_Toc205129712"/>
      <w:bookmarkStart w:id="55" w:name="_Toc219216477"/>
      <w:r w:rsidRPr="00675F4F">
        <w:rPr>
          <w:sz w:val="22"/>
          <w:szCs w:val="22"/>
        </w:rPr>
        <w:t xml:space="preserve">8.1. </w:t>
      </w:r>
      <w:r w:rsidRPr="00675F4F">
        <w:rPr>
          <w:sz w:val="22"/>
          <w:szCs w:val="22"/>
          <w:u w:val="single"/>
        </w:rPr>
        <w:t>Participant Demographics</w:t>
      </w:r>
      <w:bookmarkEnd w:id="54"/>
      <w:r w:rsidR="00C45558">
        <w:rPr>
          <w:sz w:val="22"/>
          <w:szCs w:val="22"/>
          <w:u w:val="single"/>
        </w:rPr>
        <w:t xml:space="preserve"> (Questions 1 &amp; 2)</w:t>
      </w:r>
      <w:bookmarkEnd w:id="55"/>
    </w:p>
    <w:p w14:paraId="7393CD02" w14:textId="77777777" w:rsidR="00373AD1" w:rsidRDefault="00373AD1" w:rsidP="00373AD1">
      <w:pPr>
        <w:spacing w:after="0" w:line="360" w:lineRule="auto"/>
        <w:ind w:left="-576" w:right="-576"/>
        <w:jc w:val="both"/>
      </w:pPr>
    </w:p>
    <w:p w14:paraId="3F37E281" w14:textId="7D5E2E5D" w:rsidR="009D606C" w:rsidRDefault="00033FCB" w:rsidP="00033FCB">
      <w:pPr>
        <w:spacing w:after="0" w:line="360" w:lineRule="auto"/>
        <w:ind w:left="-576" w:right="-576"/>
        <w:jc w:val="both"/>
      </w:pPr>
      <w:r>
        <w:t xml:space="preserve">The participant demographics reveal a sample with strong technical expertise </w:t>
      </w:r>
      <w:r w:rsidR="005726D5">
        <w:t>with</w:t>
      </w:r>
      <w:r>
        <w:t xml:space="preserve"> notable representation from project-focused roles, which is directly relevant to evaluating the effectiveness of risk assessment tools in project management. </w:t>
      </w:r>
    </w:p>
    <w:p w14:paraId="412FFE80" w14:textId="77777777" w:rsidR="009D606C" w:rsidRDefault="009D606C" w:rsidP="00033FCB">
      <w:pPr>
        <w:spacing w:after="0" w:line="360" w:lineRule="auto"/>
        <w:ind w:left="-576" w:right="-576"/>
        <w:jc w:val="both"/>
      </w:pPr>
    </w:p>
    <w:p w14:paraId="559A175B" w14:textId="1170177C" w:rsidR="009D606C" w:rsidRDefault="009D606C" w:rsidP="00445C61">
      <w:pPr>
        <w:spacing w:after="0" w:line="360" w:lineRule="auto"/>
        <w:ind w:left="-576" w:right="-576"/>
        <w:jc w:val="center"/>
      </w:pPr>
      <w:r>
        <w:rPr>
          <w:noProof/>
        </w:rPr>
        <w:drawing>
          <wp:inline distT="0" distB="0" distL="0" distR="0" wp14:anchorId="1441B429" wp14:editId="73F365B3">
            <wp:extent cx="5731510" cy="3694020"/>
            <wp:effectExtent l="0" t="0" r="2540" b="1905"/>
            <wp:docPr id="2043949801" name="Picture 1" descr="A graph with numbers and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8435" name="Picture 1" descr="A graph with numbers and a bar chart&#10;&#10;AI-generated content may be incorrect."/>
                    <pic:cNvPicPr/>
                  </pic:nvPicPr>
                  <pic:blipFill>
                    <a:blip r:embed="rId12"/>
                    <a:stretch>
                      <a:fillRect/>
                    </a:stretch>
                  </pic:blipFill>
                  <pic:spPr>
                    <a:xfrm>
                      <a:off x="0" y="0"/>
                      <a:ext cx="5731510" cy="3694020"/>
                    </a:xfrm>
                    <a:prstGeom prst="rect">
                      <a:avLst/>
                    </a:prstGeom>
                  </pic:spPr>
                </pic:pic>
              </a:graphicData>
            </a:graphic>
          </wp:inline>
        </w:drawing>
      </w:r>
    </w:p>
    <w:p w14:paraId="56FAA707" w14:textId="77777777" w:rsidR="005D22FF" w:rsidRPr="00675F4F" w:rsidRDefault="005D22FF" w:rsidP="005D22FF">
      <w:pPr>
        <w:pStyle w:val="Caption"/>
        <w:jc w:val="center"/>
      </w:pPr>
      <w:bookmarkStart w:id="56" w:name="_Toc219216529"/>
      <w:r>
        <w:t xml:space="preserve">Figure </w:t>
      </w:r>
      <w:fldSimple w:instr=" SEQ Figure \* ARABIC ">
        <w:r>
          <w:rPr>
            <w:noProof/>
          </w:rPr>
          <w:t>2</w:t>
        </w:r>
      </w:fldSimple>
      <w:r>
        <w:t xml:space="preserve"> - Participant Job Title &amp; Sector</w:t>
      </w:r>
      <w:bookmarkEnd w:id="56"/>
    </w:p>
    <w:p w14:paraId="498F16F2" w14:textId="77777777" w:rsidR="009D606C" w:rsidRDefault="009D606C" w:rsidP="00033FCB">
      <w:pPr>
        <w:spacing w:after="0" w:line="360" w:lineRule="auto"/>
        <w:ind w:left="-576" w:right="-576"/>
        <w:jc w:val="both"/>
      </w:pPr>
    </w:p>
    <w:p w14:paraId="25609128" w14:textId="218143DB" w:rsidR="00BD77ED" w:rsidRDefault="00033FCB" w:rsidP="00BD77ED">
      <w:pPr>
        <w:spacing w:after="0" w:line="360" w:lineRule="auto"/>
        <w:ind w:left="-576" w:right="-576"/>
        <w:jc w:val="both"/>
      </w:pPr>
      <w:r>
        <w:t xml:space="preserve">Project Engineers </w:t>
      </w:r>
      <w:r w:rsidR="007148B1">
        <w:t>represent</w:t>
      </w:r>
      <w:r>
        <w:t xml:space="preserve"> the largest group (33.3%), supported by Engineering Managers (8.3%) and Programme Managers (2.8%), reflecting significant involvement from individuals responsible for delivering and coordinating </w:t>
      </w:r>
      <w:r>
        <w:lastRenderedPageBreak/>
        <w:t>projects. When combined with Electrical and Mechanical Engineers (both 16.7%), the dataset demonstrates a strong base of technical professionals who are often at the forefront of applying risk assessment in practice. Niche roles such as Fire Safety Engineer, Statutory Compliance Engineer, and HV Engineer further broaden the pool of perspectives, though their low frequency (2.8% each) reduces their overall influence. Some ambiguity in titles, such as overlapping “Departmental Engineer” categories and the generic use of “Engineer,” may indicate inconsistencies in role classification but does not diminish the overall insight into project-related responsibilities.</w:t>
      </w:r>
      <w:bookmarkStart w:id="57" w:name="_Toc205129713"/>
    </w:p>
    <w:p w14:paraId="0FC5A07B" w14:textId="77777777" w:rsidR="00BD77ED" w:rsidRDefault="00BD77ED" w:rsidP="00BD77ED">
      <w:pPr>
        <w:spacing w:after="0" w:line="360" w:lineRule="auto"/>
        <w:ind w:left="-576" w:right="-576"/>
        <w:jc w:val="both"/>
      </w:pPr>
    </w:p>
    <w:p w14:paraId="5F549E61" w14:textId="3789FD17" w:rsidR="00033FCB" w:rsidRDefault="00BD77ED" w:rsidP="00BD77ED">
      <w:pPr>
        <w:spacing w:after="0" w:line="360" w:lineRule="auto"/>
        <w:ind w:left="-576" w:right="-576"/>
        <w:jc w:val="both"/>
      </w:pPr>
      <w:r>
        <w:t>F</w:t>
      </w:r>
      <w:r w:rsidR="00033FCB">
        <w:t xml:space="preserve">rom a sector perspective, </w:t>
      </w:r>
      <w:r w:rsidR="00464D94">
        <w:t>four fifths</w:t>
      </w:r>
      <w:r w:rsidR="00033FCB">
        <w:t xml:space="preserve"> of respondents identified Engineering as their primary field, with Project Management accounting for 8.3%. While the dataset is clearly weighted toward engineering, the strong presence of project engineers, managers, and programme managers means that project management considerations are well embedded in the responses. The inclusion of perspectives from construction (2.8%), IT &amp; Software (2.8%), manufacturing (2.8%), and other sectors (2.8%) provides some cross-industry balance, though their influence is limited by sample size.</w:t>
      </w:r>
    </w:p>
    <w:p w14:paraId="4C4CD6B7" w14:textId="77777777" w:rsidR="00033FCB" w:rsidRDefault="00033FCB" w:rsidP="00033FCB">
      <w:pPr>
        <w:spacing w:after="0" w:line="360" w:lineRule="auto"/>
        <w:ind w:left="-576" w:right="-576"/>
        <w:jc w:val="both"/>
      </w:pPr>
    </w:p>
    <w:p w14:paraId="2B450824" w14:textId="7B6596AC" w:rsidR="00452881" w:rsidRPr="00A4059C" w:rsidRDefault="00BB7C1D" w:rsidP="00BB7C1D">
      <w:pPr>
        <w:spacing w:after="0" w:line="360" w:lineRule="auto"/>
        <w:ind w:left="-576" w:right="-576"/>
        <w:jc w:val="both"/>
        <w:rPr>
          <w:color w:val="auto"/>
        </w:rPr>
      </w:pPr>
      <w:r w:rsidRPr="00A4059C">
        <w:rPr>
          <w:color w:val="auto"/>
        </w:rPr>
        <w:t xml:space="preserve">The </w:t>
      </w:r>
      <w:r w:rsidR="00DE7A36">
        <w:rPr>
          <w:color w:val="auto"/>
        </w:rPr>
        <w:t xml:space="preserve">majority of </w:t>
      </w:r>
      <w:r w:rsidRPr="00A4059C">
        <w:rPr>
          <w:color w:val="auto"/>
        </w:rPr>
        <w:t xml:space="preserve">participants </w:t>
      </w:r>
      <w:r w:rsidR="002175B6">
        <w:rPr>
          <w:color w:val="auto"/>
        </w:rPr>
        <w:t xml:space="preserve">had significant experience </w:t>
      </w:r>
      <w:r w:rsidRPr="00A4059C">
        <w:rPr>
          <w:color w:val="auto"/>
        </w:rPr>
        <w:t xml:space="preserve">with nearly 40% </w:t>
      </w:r>
      <w:r w:rsidR="002175B6">
        <w:rPr>
          <w:color w:val="auto"/>
        </w:rPr>
        <w:t>reporting</w:t>
      </w:r>
      <w:r w:rsidRPr="00A4059C">
        <w:rPr>
          <w:color w:val="auto"/>
        </w:rPr>
        <w:t xml:space="preserve"> over 15 years </w:t>
      </w:r>
      <w:r w:rsidR="00E46583">
        <w:rPr>
          <w:color w:val="auto"/>
        </w:rPr>
        <w:t>project-related roles</w:t>
      </w:r>
      <w:r w:rsidRPr="00A4059C">
        <w:rPr>
          <w:color w:val="auto"/>
        </w:rPr>
        <w:t xml:space="preserve">. </w:t>
      </w:r>
    </w:p>
    <w:p w14:paraId="09882BF1" w14:textId="77777777" w:rsidR="00452881" w:rsidRDefault="00452881" w:rsidP="00BB7C1D">
      <w:pPr>
        <w:spacing w:after="0" w:line="360" w:lineRule="auto"/>
        <w:ind w:left="-576" w:right="-576"/>
        <w:jc w:val="both"/>
        <w:rPr>
          <w:color w:val="0070C0"/>
        </w:rPr>
      </w:pPr>
    </w:p>
    <w:p w14:paraId="406B8FD0" w14:textId="2DAAB5BA" w:rsidR="00A4059C" w:rsidRDefault="00A4059C" w:rsidP="00445C61">
      <w:pPr>
        <w:spacing w:after="0" w:line="360" w:lineRule="auto"/>
        <w:ind w:left="-576" w:right="-576"/>
        <w:jc w:val="center"/>
        <w:rPr>
          <w:color w:val="0070C0"/>
        </w:rPr>
      </w:pPr>
      <w:r>
        <w:rPr>
          <w:noProof/>
        </w:rPr>
        <w:drawing>
          <wp:inline distT="0" distB="0" distL="0" distR="0" wp14:anchorId="090A6821" wp14:editId="2FFA0EEA">
            <wp:extent cx="5512279" cy="3464315"/>
            <wp:effectExtent l="0" t="0" r="0" b="3175"/>
            <wp:docPr id="856344249" name="Picture 1" descr="A graph with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344249" name="Picture 1" descr="A graph with blue and orange bars&#10;&#10;AI-generated content may be incorrect."/>
                    <pic:cNvPicPr/>
                  </pic:nvPicPr>
                  <pic:blipFill>
                    <a:blip r:embed="rId13"/>
                    <a:stretch>
                      <a:fillRect/>
                    </a:stretch>
                  </pic:blipFill>
                  <pic:spPr>
                    <a:xfrm>
                      <a:off x="0" y="0"/>
                      <a:ext cx="5527580" cy="3473931"/>
                    </a:xfrm>
                    <a:prstGeom prst="rect">
                      <a:avLst/>
                    </a:prstGeom>
                  </pic:spPr>
                </pic:pic>
              </a:graphicData>
            </a:graphic>
          </wp:inline>
        </w:drawing>
      </w:r>
    </w:p>
    <w:p w14:paraId="1300AD81" w14:textId="77777777" w:rsidR="00A4059C" w:rsidRDefault="00A4059C" w:rsidP="00A4059C">
      <w:pPr>
        <w:pStyle w:val="Caption"/>
        <w:jc w:val="center"/>
      </w:pPr>
      <w:bookmarkStart w:id="58" w:name="_Toc219216530"/>
      <w:r>
        <w:t xml:space="preserve">Figure </w:t>
      </w:r>
      <w:fldSimple w:instr=" SEQ Figure \* ARABIC ">
        <w:r>
          <w:rPr>
            <w:noProof/>
          </w:rPr>
          <w:t>3</w:t>
        </w:r>
      </w:fldSimple>
      <w:r>
        <w:t xml:space="preserve"> - </w:t>
      </w:r>
      <w:r w:rsidRPr="001C6F47">
        <w:t xml:space="preserve">Participant </w:t>
      </w:r>
      <w:r>
        <w:t>Project Experience</w:t>
      </w:r>
      <w:bookmarkEnd w:id="58"/>
    </w:p>
    <w:p w14:paraId="684B5938" w14:textId="77777777" w:rsidR="00A4059C" w:rsidRDefault="00A4059C" w:rsidP="00BB7C1D">
      <w:pPr>
        <w:spacing w:after="0" w:line="360" w:lineRule="auto"/>
        <w:ind w:left="-576" w:right="-576"/>
        <w:jc w:val="both"/>
        <w:rPr>
          <w:color w:val="0070C0"/>
        </w:rPr>
      </w:pPr>
    </w:p>
    <w:p w14:paraId="378E958A" w14:textId="6530289C" w:rsidR="00BB7C1D" w:rsidRPr="00DE7DBF" w:rsidRDefault="00732AD1" w:rsidP="00D564C7">
      <w:pPr>
        <w:spacing w:after="0" w:line="360" w:lineRule="auto"/>
        <w:ind w:left="-576" w:right="-576"/>
        <w:jc w:val="both"/>
        <w:rPr>
          <w:color w:val="0070C0"/>
        </w:rPr>
      </w:pPr>
      <w:r>
        <w:t>P</w:t>
      </w:r>
      <w:r w:rsidR="00BB7C1D" w:rsidRPr="00BB7C1D">
        <w:t>roject scale reflects a healthy diversity</w:t>
      </w:r>
      <w:r>
        <w:t xml:space="preserve">, </w:t>
      </w:r>
      <w:r w:rsidR="00BB7C1D" w:rsidRPr="00BB7C1D">
        <w:t>with almost half (48%) involved in projects under £100,000</w:t>
      </w:r>
      <w:r w:rsidR="00990622">
        <w:t xml:space="preserve">, and </w:t>
      </w:r>
      <w:r w:rsidR="00BB7C1D" w:rsidRPr="00BB7C1D">
        <w:t xml:space="preserve">over a third engaged in projects exceeding £250,000, including </w:t>
      </w:r>
      <w:r w:rsidR="003E5131">
        <w:t>nearly 20%</w:t>
      </w:r>
      <w:r w:rsidR="00BB7C1D" w:rsidRPr="00BB7C1D">
        <w:t xml:space="preserve"> managing high-value projects </w:t>
      </w:r>
      <w:r w:rsidR="003E5131">
        <w:t>(&gt;</w:t>
      </w:r>
      <w:r w:rsidR="00BB7C1D" w:rsidRPr="00BB7C1D">
        <w:t>£500,000</w:t>
      </w:r>
      <w:r w:rsidR="003E5131">
        <w:t>)</w:t>
      </w:r>
      <w:r w:rsidR="00BB7C1D" w:rsidRPr="00BB7C1D">
        <w:t xml:space="preserve">. </w:t>
      </w:r>
    </w:p>
    <w:p w14:paraId="5DCB04F3" w14:textId="7695366D" w:rsidR="00A97F97" w:rsidRDefault="00445C61" w:rsidP="00BB7C1D">
      <w:pPr>
        <w:spacing w:after="0" w:line="360" w:lineRule="auto"/>
        <w:ind w:left="-576" w:right="-576"/>
        <w:jc w:val="both"/>
      </w:pPr>
      <w:r>
        <w:rPr>
          <w:color w:val="EE0000"/>
        </w:rPr>
        <w:t>367</w:t>
      </w:r>
      <w:r w:rsidR="00BB7C1D" w:rsidRPr="00BB7C1D">
        <w:rPr>
          <w:color w:val="EE0000"/>
        </w:rPr>
        <w:t xml:space="preserve"> (</w:t>
      </w:r>
      <w:r>
        <w:rPr>
          <w:color w:val="EE0000"/>
        </w:rPr>
        <w:t>7</w:t>
      </w:r>
      <w:r w:rsidR="00D113B5">
        <w:rPr>
          <w:color w:val="EE0000"/>
        </w:rPr>
        <w:t>471</w:t>
      </w:r>
      <w:r w:rsidR="00BB7C1D" w:rsidRPr="00BB7C1D">
        <w:rPr>
          <w:color w:val="EE0000"/>
        </w:rPr>
        <w:t>)</w:t>
      </w:r>
      <w:r w:rsidR="00A27D73">
        <w:rPr>
          <w:color w:val="EE0000"/>
        </w:rPr>
        <w:t xml:space="preserve">  </w:t>
      </w:r>
      <w:r w:rsidR="00A97F97">
        <w:br w:type="page"/>
      </w:r>
    </w:p>
    <w:p w14:paraId="36DD8237" w14:textId="3B388E05" w:rsidR="00373AD1" w:rsidRPr="00675F4F" w:rsidRDefault="00373AD1" w:rsidP="00373AD1">
      <w:pPr>
        <w:pStyle w:val="Heading2"/>
        <w:spacing w:line="360" w:lineRule="auto"/>
        <w:ind w:left="-576" w:right="-576"/>
        <w:rPr>
          <w:sz w:val="22"/>
          <w:szCs w:val="22"/>
        </w:rPr>
      </w:pPr>
      <w:bookmarkStart w:id="59" w:name="_Toc219216478"/>
      <w:r w:rsidRPr="00675F4F">
        <w:rPr>
          <w:sz w:val="22"/>
          <w:szCs w:val="22"/>
        </w:rPr>
        <w:lastRenderedPageBreak/>
        <w:t xml:space="preserve">8.2. </w:t>
      </w:r>
      <w:r w:rsidRPr="00675F4F">
        <w:rPr>
          <w:sz w:val="22"/>
          <w:szCs w:val="22"/>
          <w:u w:val="single"/>
        </w:rPr>
        <w:t>Current Use of Risk Assessment Tools</w:t>
      </w:r>
      <w:r w:rsidR="00C45558">
        <w:rPr>
          <w:sz w:val="22"/>
          <w:szCs w:val="22"/>
          <w:u w:val="single"/>
        </w:rPr>
        <w:t xml:space="preserve"> (Questions 3 &amp;4)</w:t>
      </w:r>
      <w:r w:rsidRPr="00675F4F">
        <w:rPr>
          <w:sz w:val="22"/>
          <w:szCs w:val="22"/>
          <w:u w:val="single"/>
        </w:rPr>
        <w:t>.</w:t>
      </w:r>
      <w:bookmarkEnd w:id="57"/>
      <w:bookmarkEnd w:id="59"/>
    </w:p>
    <w:p w14:paraId="6AD93E90" w14:textId="77777777" w:rsidR="00373AD1" w:rsidRDefault="00373AD1" w:rsidP="00373AD1">
      <w:pPr>
        <w:spacing w:after="0" w:line="360" w:lineRule="auto"/>
        <w:ind w:left="-576" w:right="-576"/>
        <w:jc w:val="both"/>
      </w:pPr>
    </w:p>
    <w:p w14:paraId="1B6AB609" w14:textId="1E9FD2D2" w:rsidR="00F816BA" w:rsidRDefault="00D55EED" w:rsidP="00B86556">
      <w:pPr>
        <w:spacing w:after="0" w:line="360" w:lineRule="auto"/>
        <w:ind w:left="-576" w:right="-576"/>
        <w:jc w:val="both"/>
      </w:pPr>
      <w:r>
        <w:t>A</w:t>
      </w:r>
      <w:r w:rsidR="00F816BA" w:rsidRPr="00F816BA">
        <w:t>ll participants</w:t>
      </w:r>
      <w:r>
        <w:t xml:space="preserve"> reported </w:t>
      </w:r>
      <w:r w:rsidR="0036187C">
        <w:t xml:space="preserve">using risk assessment tools in their </w:t>
      </w:r>
      <w:r w:rsidR="00F816BA" w:rsidRPr="00F816BA">
        <w:t xml:space="preserve">project management </w:t>
      </w:r>
      <w:r w:rsidR="009B2B19">
        <w:t>activities</w:t>
      </w:r>
      <w:r w:rsidR="00333F85">
        <w:t xml:space="preserve">, however </w:t>
      </w:r>
      <w:r w:rsidR="00F816BA" w:rsidRPr="00F816BA">
        <w:t>the types of tools employed</w:t>
      </w:r>
      <w:r w:rsidR="00333F85">
        <w:t xml:space="preserve"> varied</w:t>
      </w:r>
      <w:r w:rsidR="00F816BA" w:rsidRPr="00F816BA">
        <w:t xml:space="preserve"> in both the sophistication and consistency of practices. The most </w:t>
      </w:r>
      <w:r w:rsidR="00333F85">
        <w:t>frequently</w:t>
      </w:r>
      <w:r w:rsidR="00F816BA" w:rsidRPr="00F816BA">
        <w:t xml:space="preserve"> used </w:t>
      </w:r>
      <w:r w:rsidR="00333F85">
        <w:t>tools included</w:t>
      </w:r>
      <w:r w:rsidR="00F816BA" w:rsidRPr="00F816BA">
        <w:t xml:space="preserve"> Risk Register</w:t>
      </w:r>
      <w:r w:rsidR="00791F4D">
        <w:t xml:space="preserve">, </w:t>
      </w:r>
      <w:r w:rsidR="00F816BA" w:rsidRPr="00F816BA">
        <w:t>Failure Mode and Effects Analysis (FMEA)</w:t>
      </w:r>
      <w:r w:rsidR="00791F4D">
        <w:t xml:space="preserve">, </w:t>
      </w:r>
      <w:r w:rsidR="00F816BA" w:rsidRPr="00F816BA">
        <w:t>and Functional Analysis (HASOP)</w:t>
      </w:r>
      <w:r w:rsidR="00791F4D">
        <w:t xml:space="preserve">. </w:t>
      </w:r>
      <w:r w:rsidR="00F816BA" w:rsidRPr="00F816BA">
        <w:t>Additionally, methods such as the Ishikawa (Fishbone) Diagram and Cost Benefit Analysis (CBA) are frequently applied, reflecting the importance of root cause analysis and financial evaluation in decision-making processes that underpin project planning and execution.</w:t>
      </w:r>
    </w:p>
    <w:p w14:paraId="00F1843B" w14:textId="77777777" w:rsidR="00F816BA" w:rsidRDefault="00F816BA" w:rsidP="00B86556">
      <w:pPr>
        <w:spacing w:after="0" w:line="360" w:lineRule="auto"/>
        <w:ind w:left="-576" w:right="-576"/>
        <w:jc w:val="both"/>
      </w:pPr>
    </w:p>
    <w:p w14:paraId="73CD8DA9" w14:textId="77777777" w:rsidR="00A97F97" w:rsidRDefault="00A97F97" w:rsidP="00A97F97">
      <w:pPr>
        <w:keepNext/>
        <w:spacing w:after="0" w:line="360" w:lineRule="auto"/>
        <w:ind w:left="-576" w:right="-576"/>
        <w:jc w:val="center"/>
      </w:pPr>
      <w:r>
        <w:rPr>
          <w:noProof/>
        </w:rPr>
        <w:drawing>
          <wp:inline distT="0" distB="0" distL="0" distR="0" wp14:anchorId="77B7ADA8" wp14:editId="5775774E">
            <wp:extent cx="6175335" cy="4205605"/>
            <wp:effectExtent l="0" t="0" r="0" b="4445"/>
            <wp:docPr id="808647303" name="Picture 1" descr="A graph with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647303" name="Picture 1" descr="A graph with blue and orange bars&#10;&#10;AI-generated content may be incorrect."/>
                    <pic:cNvPicPr/>
                  </pic:nvPicPr>
                  <pic:blipFill>
                    <a:blip r:embed="rId14"/>
                    <a:stretch>
                      <a:fillRect/>
                    </a:stretch>
                  </pic:blipFill>
                  <pic:spPr>
                    <a:xfrm>
                      <a:off x="0" y="0"/>
                      <a:ext cx="6192173" cy="4217072"/>
                    </a:xfrm>
                    <a:prstGeom prst="rect">
                      <a:avLst/>
                    </a:prstGeom>
                  </pic:spPr>
                </pic:pic>
              </a:graphicData>
            </a:graphic>
          </wp:inline>
        </w:drawing>
      </w:r>
    </w:p>
    <w:p w14:paraId="2B41F833" w14:textId="76651887" w:rsidR="00373AD1" w:rsidRDefault="00A97F97" w:rsidP="00A97F97">
      <w:pPr>
        <w:pStyle w:val="Caption"/>
        <w:jc w:val="center"/>
      </w:pPr>
      <w:bookmarkStart w:id="60" w:name="_Toc219216531"/>
      <w:r>
        <w:t xml:space="preserve">Figure </w:t>
      </w:r>
      <w:fldSimple w:instr=" SEQ Figure \* ARABIC ">
        <w:r w:rsidR="008D7EA1">
          <w:rPr>
            <w:noProof/>
          </w:rPr>
          <w:t>4</w:t>
        </w:r>
      </w:fldSimple>
      <w:r>
        <w:t xml:space="preserve"> - Participant Use of Risk Assessment Tools</w:t>
      </w:r>
      <w:bookmarkEnd w:id="60"/>
    </w:p>
    <w:p w14:paraId="1C100C13" w14:textId="3E4F1113" w:rsidR="00F816BA" w:rsidRDefault="0051784C" w:rsidP="00F816BA">
      <w:pPr>
        <w:keepNext/>
        <w:spacing w:after="0" w:line="360" w:lineRule="auto"/>
        <w:ind w:left="-576" w:right="-576"/>
        <w:jc w:val="both"/>
      </w:pPr>
      <w:r>
        <w:t>In contrast</w:t>
      </w:r>
      <w:r w:rsidR="00F816BA" w:rsidRPr="00F816BA">
        <w:t xml:space="preserve">, more advanced or </w:t>
      </w:r>
      <w:r w:rsidR="00EC2875">
        <w:t>resource-</w:t>
      </w:r>
      <w:r w:rsidR="00AA4BEE">
        <w:t>inte</w:t>
      </w:r>
      <w:r w:rsidR="00EC2875">
        <w:t>nse</w:t>
      </w:r>
      <w:r w:rsidR="00F816BA" w:rsidRPr="00F816BA">
        <w:t xml:space="preserve"> tools, such as Monte Carlo Simulations and the 4T’s Approach, </w:t>
      </w:r>
      <w:r w:rsidR="00EC2875">
        <w:t>were only used by a small minority</w:t>
      </w:r>
      <w:r w:rsidR="00F816BA" w:rsidRPr="00F816BA">
        <w:t xml:space="preserve">. The presence of custom-built tools and processes such as Management of Change also highlights the tendency of </w:t>
      </w:r>
      <w:r w:rsidR="000F6E94">
        <w:t>a small number</w:t>
      </w:r>
      <w:r w:rsidR="00F816BA" w:rsidRPr="00F816BA">
        <w:t xml:space="preserve"> within the organisation to adapt or develop bespoke solutions in order to align risk assessment more closely with their unique project environments.</w:t>
      </w:r>
    </w:p>
    <w:p w14:paraId="637F8BE1" w14:textId="77777777" w:rsidR="00F816BA" w:rsidRDefault="00F816BA" w:rsidP="00F816BA">
      <w:pPr>
        <w:keepNext/>
        <w:spacing w:after="0" w:line="360" w:lineRule="auto"/>
        <w:ind w:left="-576" w:right="-576"/>
        <w:jc w:val="both"/>
      </w:pPr>
    </w:p>
    <w:p w14:paraId="387B5CAE" w14:textId="56166BCE" w:rsidR="00C10077" w:rsidRPr="00D90B84" w:rsidRDefault="00E90E31" w:rsidP="006E538A">
      <w:pPr>
        <w:keepNext/>
        <w:spacing w:after="0" w:line="360" w:lineRule="auto"/>
        <w:ind w:left="-576" w:right="-576"/>
        <w:jc w:val="both"/>
        <w:rPr>
          <w:color w:val="0070C0"/>
        </w:rPr>
      </w:pPr>
      <w:r>
        <w:t>W</w:t>
      </w:r>
      <w:r w:rsidR="00C10077">
        <w:t>hile risk assessment tools are widely used in project management,</w:t>
      </w:r>
      <w:r>
        <w:t xml:space="preserve"> the results demonstrate inconsistency in </w:t>
      </w:r>
      <w:r w:rsidR="00C10077">
        <w:t xml:space="preserve">their application and </w:t>
      </w:r>
      <w:r>
        <w:t xml:space="preserve">is </w:t>
      </w:r>
      <w:r w:rsidR="00C10077">
        <w:t xml:space="preserve">often misaligned with best practice standards such as PMBOK (Project Management Body of Knowledge) and ISO 31000. </w:t>
      </w:r>
      <w:r w:rsidR="00A63254">
        <w:t xml:space="preserve">Nearly a third of </w:t>
      </w:r>
      <w:r w:rsidR="00E37B7F">
        <w:t>respondents complete assessments only at initiation</w:t>
      </w:r>
      <w:r w:rsidR="00320FDB">
        <w:t xml:space="preserve">, </w:t>
      </w:r>
      <w:r w:rsidR="006F6380">
        <w:t>and</w:t>
      </w:r>
      <w:r w:rsidR="00320FDB">
        <w:t xml:space="preserve"> less than</w:t>
      </w:r>
      <w:r w:rsidR="006F6380">
        <w:t xml:space="preserve"> a </w:t>
      </w:r>
      <w:r w:rsidR="006F6380">
        <w:lastRenderedPageBreak/>
        <w:t xml:space="preserve">quarter undertake continuous assessment throughout the product cycle. </w:t>
      </w:r>
      <w:r w:rsidR="006E538A">
        <w:t xml:space="preserve">From an effectiveness standpoint, the mixed perceptions of tool performance further underline this gap. Although 45.2% of participants rated tools as effective, only 4.8% considered them very effective, with nearly half reporting moderate or limited effectiveness. </w:t>
      </w:r>
      <w:r w:rsidR="00320FDB">
        <w:t xml:space="preserve"> </w:t>
      </w:r>
    </w:p>
    <w:p w14:paraId="6F9F48DD" w14:textId="77777777" w:rsidR="00C10077" w:rsidRDefault="00C10077" w:rsidP="00C10077">
      <w:pPr>
        <w:keepNext/>
        <w:spacing w:after="0" w:line="360" w:lineRule="auto"/>
        <w:ind w:left="-576" w:right="-576"/>
        <w:jc w:val="both"/>
      </w:pPr>
    </w:p>
    <w:p w14:paraId="7D5A61B6" w14:textId="53ACE23E" w:rsidR="00A97F97" w:rsidRDefault="00A97F97" w:rsidP="00F816BA">
      <w:pPr>
        <w:keepNext/>
        <w:spacing w:after="0" w:line="360" w:lineRule="auto"/>
        <w:ind w:left="-576" w:right="-576"/>
        <w:jc w:val="center"/>
      </w:pPr>
      <w:r>
        <w:rPr>
          <w:noProof/>
        </w:rPr>
        <w:drawing>
          <wp:inline distT="0" distB="0" distL="0" distR="0" wp14:anchorId="5D8A32F8" wp14:editId="2931524A">
            <wp:extent cx="6512272" cy="4194810"/>
            <wp:effectExtent l="0" t="0" r="3175" b="0"/>
            <wp:docPr id="2129385725"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385725" name="Picture 1" descr="A graph with different colored lines&#10;&#10;AI-generated content may be incorrect."/>
                    <pic:cNvPicPr/>
                  </pic:nvPicPr>
                  <pic:blipFill>
                    <a:blip r:embed="rId15"/>
                    <a:stretch>
                      <a:fillRect/>
                    </a:stretch>
                  </pic:blipFill>
                  <pic:spPr>
                    <a:xfrm>
                      <a:off x="0" y="0"/>
                      <a:ext cx="6552356" cy="4220630"/>
                    </a:xfrm>
                    <a:prstGeom prst="rect">
                      <a:avLst/>
                    </a:prstGeom>
                  </pic:spPr>
                </pic:pic>
              </a:graphicData>
            </a:graphic>
          </wp:inline>
        </w:drawing>
      </w:r>
    </w:p>
    <w:p w14:paraId="6A5A4CFF" w14:textId="523E907A" w:rsidR="00A97F97" w:rsidRDefault="00A97F97" w:rsidP="00A97F97">
      <w:pPr>
        <w:pStyle w:val="Caption"/>
        <w:jc w:val="center"/>
      </w:pPr>
      <w:bookmarkStart w:id="61" w:name="_Toc219216532"/>
      <w:r>
        <w:t xml:space="preserve">Figure </w:t>
      </w:r>
      <w:fldSimple w:instr=" SEQ Figure \* ARABIC ">
        <w:r w:rsidR="008D7EA1">
          <w:rPr>
            <w:noProof/>
          </w:rPr>
          <w:t>5</w:t>
        </w:r>
      </w:fldSimple>
      <w:r>
        <w:t xml:space="preserve"> - </w:t>
      </w:r>
      <w:r w:rsidRPr="00250392">
        <w:t xml:space="preserve">Participant </w:t>
      </w:r>
      <w:r>
        <w:t>Use and Opinion</w:t>
      </w:r>
      <w:r w:rsidRPr="00250392">
        <w:t xml:space="preserve"> of Risk Assessment Tools</w:t>
      </w:r>
      <w:bookmarkEnd w:id="61"/>
    </w:p>
    <w:p w14:paraId="7734FFAD" w14:textId="77777777" w:rsidR="00C10077" w:rsidRDefault="00C10077" w:rsidP="00C10077">
      <w:pPr>
        <w:keepNext/>
        <w:spacing w:after="0" w:line="360" w:lineRule="auto"/>
        <w:ind w:left="-576" w:right="-576"/>
        <w:jc w:val="both"/>
      </w:pPr>
      <w:bookmarkStart w:id="62" w:name="_Toc205129714"/>
    </w:p>
    <w:p w14:paraId="32B456EC" w14:textId="175CA019" w:rsidR="00C10077" w:rsidRPr="00201505" w:rsidRDefault="00C10077" w:rsidP="009A2B32">
      <w:pPr>
        <w:keepNext/>
        <w:spacing w:after="0" w:line="360" w:lineRule="auto"/>
        <w:ind w:left="-576" w:right="-576"/>
        <w:jc w:val="both"/>
        <w:rPr>
          <w:color w:val="0070C0"/>
        </w:rPr>
      </w:pPr>
      <w:r>
        <w:t>The challenges identified by participants provide insight into why this disconnect exists. The most significant barriers were organisational rather than technical: excessive time and effort requirements (39.6%), lack of stakeholder engagement (37.5%), and lack of awareness (31.3%).</w:t>
      </w:r>
    </w:p>
    <w:p w14:paraId="4CFE064B" w14:textId="77777777" w:rsidR="00B16E28" w:rsidRDefault="00B16E28" w:rsidP="00C10077">
      <w:pPr>
        <w:keepNext/>
        <w:spacing w:after="0" w:line="360" w:lineRule="auto"/>
        <w:ind w:left="-576" w:right="-576"/>
        <w:jc w:val="both"/>
      </w:pPr>
    </w:p>
    <w:p w14:paraId="7BE7C802" w14:textId="549C27B3" w:rsidR="00B16E28" w:rsidRPr="00B16E28" w:rsidRDefault="00445C61" w:rsidP="00C10077">
      <w:pPr>
        <w:keepNext/>
        <w:spacing w:after="0" w:line="360" w:lineRule="auto"/>
        <w:ind w:left="-576" w:right="-576"/>
        <w:jc w:val="both"/>
        <w:rPr>
          <w:color w:val="EE0000"/>
        </w:rPr>
      </w:pPr>
      <w:r>
        <w:rPr>
          <w:color w:val="EE0000"/>
        </w:rPr>
        <w:t>276</w:t>
      </w:r>
      <w:r w:rsidR="00B16E28" w:rsidRPr="00B16E28">
        <w:rPr>
          <w:color w:val="EE0000"/>
        </w:rPr>
        <w:t xml:space="preserve"> (</w:t>
      </w:r>
      <w:r w:rsidR="00D113B5">
        <w:rPr>
          <w:color w:val="EE0000"/>
        </w:rPr>
        <w:t>7747</w:t>
      </w:r>
      <w:r>
        <w:rPr>
          <w:color w:val="EE0000"/>
        </w:rPr>
        <w:t>)</w:t>
      </w:r>
    </w:p>
    <w:p w14:paraId="399CE73D" w14:textId="77777777" w:rsidR="00A97F97" w:rsidRDefault="00A97F97">
      <w:pPr>
        <w:rPr>
          <w:rFonts w:eastAsiaTheme="majorEastAsia" w:cstheme="majorBidi"/>
        </w:rPr>
      </w:pPr>
      <w:r>
        <w:br w:type="page"/>
      </w:r>
    </w:p>
    <w:p w14:paraId="1CDB86EF" w14:textId="76F895EF" w:rsidR="00373AD1" w:rsidRPr="00675F4F" w:rsidRDefault="00373AD1" w:rsidP="00373AD1">
      <w:pPr>
        <w:pStyle w:val="Heading2"/>
        <w:spacing w:line="360" w:lineRule="auto"/>
        <w:ind w:left="-576" w:right="-576"/>
        <w:rPr>
          <w:sz w:val="22"/>
          <w:szCs w:val="22"/>
        </w:rPr>
      </w:pPr>
      <w:bookmarkStart w:id="63" w:name="_Toc219216479"/>
      <w:r w:rsidRPr="00675F4F">
        <w:rPr>
          <w:sz w:val="22"/>
          <w:szCs w:val="22"/>
        </w:rPr>
        <w:lastRenderedPageBreak/>
        <w:t xml:space="preserve">8.3. </w:t>
      </w:r>
      <w:r w:rsidRPr="00675F4F">
        <w:rPr>
          <w:sz w:val="22"/>
          <w:szCs w:val="22"/>
          <w:u w:val="single"/>
        </w:rPr>
        <w:t>Effectiveness of Risk Management.</w:t>
      </w:r>
      <w:bookmarkEnd w:id="62"/>
      <w:bookmarkEnd w:id="63"/>
    </w:p>
    <w:p w14:paraId="5EA9649D" w14:textId="77777777" w:rsidR="00F816BA" w:rsidRDefault="00F816BA" w:rsidP="00F816BA">
      <w:pPr>
        <w:spacing w:after="0" w:line="360" w:lineRule="auto"/>
        <w:ind w:left="-576" w:right="-576"/>
        <w:jc w:val="both"/>
      </w:pPr>
    </w:p>
    <w:p w14:paraId="1C0D2BB5" w14:textId="7523E222" w:rsidR="004264B1" w:rsidRDefault="004264B1" w:rsidP="004264B1">
      <w:pPr>
        <w:spacing w:after="0" w:line="360" w:lineRule="auto"/>
        <w:ind w:left="-576" w:right="-576"/>
        <w:jc w:val="both"/>
      </w:pPr>
      <w:r>
        <w:t xml:space="preserve">Despite the widespread adoption of risk assessment tools in project management, their effectiveness in consistently improving project outcomes remains uncertain. </w:t>
      </w:r>
      <w:r w:rsidR="00CD32E5">
        <w:t>Perceptions of tool effectiveness w</w:t>
      </w:r>
      <w:r w:rsidR="009759D0">
        <w:t>ere mixed.</w:t>
      </w:r>
      <w:r>
        <w:t xml:space="preserve"> </w:t>
      </w:r>
      <w:r w:rsidR="009759D0">
        <w:t>Whilst</w:t>
      </w:r>
      <w:r w:rsidR="001443C4">
        <w:t xml:space="preserve"> around half of </w:t>
      </w:r>
      <w:r w:rsidR="00853E38">
        <w:t>respondents</w:t>
      </w:r>
      <w:r w:rsidR="001443C4">
        <w:t xml:space="preserve"> considered </w:t>
      </w:r>
      <w:r w:rsidR="00853E38">
        <w:t xml:space="preserve">their </w:t>
      </w:r>
      <w:r>
        <w:t>risk assessments</w:t>
      </w:r>
      <w:r w:rsidR="00853E38">
        <w:t xml:space="preserve"> to be effective</w:t>
      </w:r>
      <w:r>
        <w:t xml:space="preserve">, only a small </w:t>
      </w:r>
      <w:r w:rsidR="00312238">
        <w:t>proportion regarded them as highly effective in improving outcomes</w:t>
      </w:r>
      <w:r>
        <w:t xml:space="preserve">. Similarly, when considering risk prevention, no </w:t>
      </w:r>
      <w:r w:rsidR="006910AD">
        <w:t>respondents</w:t>
      </w:r>
      <w:r>
        <w:t xml:space="preserve"> </w:t>
      </w:r>
      <w:r w:rsidR="00E97B80">
        <w:t xml:space="preserve">indicated that </w:t>
      </w:r>
      <w:r w:rsidR="001F604A">
        <w:t xml:space="preserve">risks were always prevented by assessments, and most noted </w:t>
      </w:r>
      <w:r w:rsidR="00876B27">
        <w:t>only partial success in</w:t>
      </w:r>
      <w:r>
        <w:t xml:space="preserve"> mitigating major threats. </w:t>
      </w:r>
    </w:p>
    <w:p w14:paraId="002533C0" w14:textId="77777777" w:rsidR="004264B1" w:rsidRDefault="004264B1" w:rsidP="004264B1">
      <w:pPr>
        <w:spacing w:after="0" w:line="360" w:lineRule="auto"/>
        <w:ind w:left="-576" w:right="-576"/>
        <w:jc w:val="both"/>
      </w:pPr>
    </w:p>
    <w:p w14:paraId="67DE4501" w14:textId="77777777" w:rsidR="008D7EA1" w:rsidRDefault="00A97F97" w:rsidP="008D7EA1">
      <w:pPr>
        <w:keepNext/>
        <w:spacing w:after="0" w:line="360" w:lineRule="auto"/>
        <w:ind w:left="-576" w:right="-576"/>
        <w:jc w:val="center"/>
      </w:pPr>
      <w:r>
        <w:rPr>
          <w:noProof/>
        </w:rPr>
        <w:drawing>
          <wp:inline distT="0" distB="0" distL="0" distR="0" wp14:anchorId="3687EB4E" wp14:editId="26E05BA2">
            <wp:extent cx="6252845" cy="3936952"/>
            <wp:effectExtent l="0" t="0" r="0" b="6985"/>
            <wp:docPr id="797721948" name="Picture 1" descr="A graph with multiple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21948" name="Picture 1" descr="A graph with multiple colored lines&#10;&#10;AI-generated content may be incorrect."/>
                    <pic:cNvPicPr/>
                  </pic:nvPicPr>
                  <pic:blipFill>
                    <a:blip r:embed="rId16"/>
                    <a:stretch>
                      <a:fillRect/>
                    </a:stretch>
                  </pic:blipFill>
                  <pic:spPr>
                    <a:xfrm>
                      <a:off x="0" y="0"/>
                      <a:ext cx="6278888" cy="3953349"/>
                    </a:xfrm>
                    <a:prstGeom prst="rect">
                      <a:avLst/>
                    </a:prstGeom>
                  </pic:spPr>
                </pic:pic>
              </a:graphicData>
            </a:graphic>
          </wp:inline>
        </w:drawing>
      </w:r>
    </w:p>
    <w:p w14:paraId="65B9CD33" w14:textId="049EB4BA" w:rsidR="00373AD1" w:rsidRDefault="008D7EA1" w:rsidP="008D7EA1">
      <w:pPr>
        <w:pStyle w:val="Caption"/>
        <w:jc w:val="center"/>
      </w:pPr>
      <w:bookmarkStart w:id="64" w:name="_Toc219216533"/>
      <w:r>
        <w:t xml:space="preserve">Figure </w:t>
      </w:r>
      <w:fldSimple w:instr=" SEQ Figure \* ARABIC ">
        <w:r>
          <w:rPr>
            <w:noProof/>
          </w:rPr>
          <w:t>6</w:t>
        </w:r>
      </w:fldSimple>
      <w:r>
        <w:t xml:space="preserve"> - Participants Use and Opinion of Risk Assessment Tools</w:t>
      </w:r>
      <w:bookmarkEnd w:id="64"/>
    </w:p>
    <w:p w14:paraId="34E18E01" w14:textId="77777777" w:rsidR="004264B1" w:rsidRDefault="004264B1" w:rsidP="004264B1">
      <w:pPr>
        <w:spacing w:after="0" w:line="360" w:lineRule="auto"/>
        <w:ind w:left="-576" w:right="-576"/>
        <w:jc w:val="both"/>
      </w:pPr>
    </w:p>
    <w:p w14:paraId="0E9ED796" w14:textId="69B36EA4" w:rsidR="004E3EDD" w:rsidRDefault="006E0216" w:rsidP="004E3EDD">
      <w:pPr>
        <w:spacing w:after="0" w:line="360" w:lineRule="auto"/>
        <w:ind w:left="-576" w:right="-576"/>
        <w:jc w:val="both"/>
      </w:pPr>
      <w:r>
        <w:t xml:space="preserve">Additionally, </w:t>
      </w:r>
      <w:r w:rsidR="0099535F">
        <w:t>t</w:t>
      </w:r>
      <w:r w:rsidR="004E3EDD">
        <w:t xml:space="preserve">he survey as </w:t>
      </w:r>
      <w:r w:rsidR="0099535F">
        <w:t>illustrated</w:t>
      </w:r>
      <w:r w:rsidR="004E3EDD">
        <w:t xml:space="preserve"> </w:t>
      </w:r>
      <w:r w:rsidR="0098110F">
        <w:t>below</w:t>
      </w:r>
      <w:r w:rsidR="004E3EDD">
        <w:t>, provid</w:t>
      </w:r>
      <w:r w:rsidR="0099535F">
        <w:t>ed</w:t>
      </w:r>
      <w:r w:rsidR="004E3EDD">
        <w:t xml:space="preserve"> valuable insights into the current state of risk management practices in project management and highlights the perceived shortcomings of existing risk assessment tools. A</w:t>
      </w:r>
      <w:r w:rsidR="0099535F">
        <w:t xml:space="preserve">lmost </w:t>
      </w:r>
      <w:r w:rsidR="00FD60BD">
        <w:t>70% reported experiencing project failings attributable to ineffective risk management</w:t>
      </w:r>
      <w:r w:rsidR="00A04C13">
        <w:t xml:space="preserve">. </w:t>
      </w:r>
    </w:p>
    <w:p w14:paraId="7EC13FF9" w14:textId="77777777" w:rsidR="004E3EDD" w:rsidRDefault="004E3EDD" w:rsidP="004E3EDD">
      <w:pPr>
        <w:spacing w:after="0" w:line="360" w:lineRule="auto"/>
        <w:ind w:left="-576" w:right="-576"/>
        <w:jc w:val="both"/>
      </w:pPr>
    </w:p>
    <w:p w14:paraId="72151998" w14:textId="77777777" w:rsidR="004E3EDD" w:rsidRDefault="004E3EDD" w:rsidP="004E3EDD">
      <w:pPr>
        <w:keepNext/>
        <w:spacing w:after="0" w:line="360" w:lineRule="auto"/>
        <w:ind w:left="-576" w:right="-576"/>
        <w:jc w:val="center"/>
      </w:pPr>
      <w:r>
        <w:rPr>
          <w:noProof/>
        </w:rPr>
        <w:lastRenderedPageBreak/>
        <w:drawing>
          <wp:inline distT="0" distB="0" distL="0" distR="0" wp14:anchorId="1A18C3A2" wp14:editId="44B5C7C7">
            <wp:extent cx="6402062" cy="3898265"/>
            <wp:effectExtent l="0" t="0" r="0" b="6985"/>
            <wp:docPr id="891929669" name="Picture 1" descr="A graph with multiple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49965" name="Picture 1" descr="A graph with multiple colored lines&#10;&#10;AI-generated content may be incorrect."/>
                    <pic:cNvPicPr/>
                  </pic:nvPicPr>
                  <pic:blipFill>
                    <a:blip r:embed="rId17"/>
                    <a:stretch>
                      <a:fillRect/>
                    </a:stretch>
                  </pic:blipFill>
                  <pic:spPr>
                    <a:xfrm>
                      <a:off x="0" y="0"/>
                      <a:ext cx="6430975" cy="3915870"/>
                    </a:xfrm>
                    <a:prstGeom prst="rect">
                      <a:avLst/>
                    </a:prstGeom>
                  </pic:spPr>
                </pic:pic>
              </a:graphicData>
            </a:graphic>
          </wp:inline>
        </w:drawing>
      </w:r>
    </w:p>
    <w:p w14:paraId="2E83C33F" w14:textId="77777777" w:rsidR="004E3EDD" w:rsidRDefault="004E3EDD" w:rsidP="004E3EDD">
      <w:pPr>
        <w:pStyle w:val="Caption"/>
        <w:jc w:val="center"/>
      </w:pPr>
      <w:bookmarkStart w:id="65" w:name="_Toc219216534"/>
      <w:r>
        <w:t xml:space="preserve">Figure </w:t>
      </w:r>
      <w:fldSimple w:instr=" SEQ Figure \* ARABIC ">
        <w:r>
          <w:rPr>
            <w:noProof/>
          </w:rPr>
          <w:t>7</w:t>
        </w:r>
      </w:fldSimple>
      <w:r>
        <w:t xml:space="preserve"> - </w:t>
      </w:r>
      <w:r w:rsidRPr="00E159A0">
        <w:t>Participants</w:t>
      </w:r>
      <w:r>
        <w:t xml:space="preserve"> Project Deviations</w:t>
      </w:r>
      <w:bookmarkEnd w:id="65"/>
    </w:p>
    <w:p w14:paraId="4FE6B9C8" w14:textId="77777777" w:rsidR="004E3EDD" w:rsidRDefault="004E3EDD" w:rsidP="004E3EDD">
      <w:pPr>
        <w:spacing w:after="0" w:line="360" w:lineRule="auto"/>
        <w:ind w:left="-576" w:right="-576"/>
        <w:jc w:val="both"/>
      </w:pPr>
    </w:p>
    <w:p w14:paraId="644B5E51" w14:textId="65A844DD" w:rsidR="004E3EDD" w:rsidRPr="00677A88" w:rsidRDefault="00632CDA" w:rsidP="004E3EDD">
      <w:pPr>
        <w:spacing w:after="0" w:line="360" w:lineRule="auto"/>
        <w:ind w:left="-576" w:right="-576"/>
        <w:jc w:val="both"/>
        <w:rPr>
          <w:color w:val="0070C0"/>
        </w:rPr>
      </w:pPr>
      <w:r>
        <w:t xml:space="preserve">The most </w:t>
      </w:r>
      <w:r w:rsidR="004E3EDD">
        <w:t>frequently cited risk</w:t>
      </w:r>
      <w:r>
        <w:t xml:space="preserve"> factors </w:t>
      </w:r>
      <w:r w:rsidR="00F675EE">
        <w:t>highlighted</w:t>
      </w:r>
      <w:r w:rsidR="004E3EDD">
        <w:t xml:space="preserve"> budget overruns, schedule delays, scope creep, and resource constraints,</w:t>
      </w:r>
      <w:r w:rsidR="00A27D73">
        <w:t xml:space="preserve"> </w:t>
      </w:r>
      <w:r w:rsidR="00677A88">
        <w:t xml:space="preserve">all of which </w:t>
      </w:r>
      <w:r w:rsidR="004E3EDD">
        <w:t>align closely with the traditional project management “iron triangle” of cost, time, and scope</w:t>
      </w:r>
      <w:r w:rsidR="0004472F">
        <w:t xml:space="preserve"> </w:t>
      </w:r>
      <w:sdt>
        <w:sdtPr>
          <w:rPr>
            <w:rFonts w:eastAsia="Times New Roman"/>
            <w:lang w:eastAsia="en-GB"/>
          </w:rPr>
          <w:id w:val="2111227260"/>
          <w:citation/>
        </w:sdtPr>
        <w:sdtContent>
          <w:r w:rsidR="0004472F" w:rsidRPr="003E6051">
            <w:rPr>
              <w:rFonts w:eastAsia="Times New Roman"/>
              <w:lang w:eastAsia="en-GB"/>
            </w:rPr>
            <w:fldChar w:fldCharType="begin"/>
          </w:r>
          <w:r w:rsidR="0004472F" w:rsidRPr="003E6051">
            <w:rPr>
              <w:rFonts w:eastAsia="Times New Roman"/>
              <w:lang w:val="en-US" w:eastAsia="en-GB"/>
            </w:rPr>
            <w:instrText xml:space="preserve"> CITATION Het21 \l 1033 </w:instrText>
          </w:r>
          <w:r w:rsidR="0004472F" w:rsidRPr="003E6051">
            <w:rPr>
              <w:rFonts w:eastAsia="Times New Roman"/>
              <w:lang w:eastAsia="en-GB"/>
            </w:rPr>
            <w:fldChar w:fldCharType="separate"/>
          </w:r>
          <w:r w:rsidR="0004472F" w:rsidRPr="003E6051">
            <w:rPr>
              <w:rFonts w:eastAsia="Times New Roman"/>
              <w:noProof/>
              <w:lang w:val="en-US" w:eastAsia="en-GB"/>
            </w:rPr>
            <w:t>(Hetemi, 2021)</w:t>
          </w:r>
          <w:r w:rsidR="0004472F" w:rsidRPr="003E6051">
            <w:rPr>
              <w:rFonts w:eastAsia="Times New Roman"/>
              <w:lang w:eastAsia="en-GB"/>
            </w:rPr>
            <w:fldChar w:fldCharType="end"/>
          </w:r>
        </w:sdtContent>
      </w:sdt>
      <w:r w:rsidR="004E3EDD">
        <w:t xml:space="preserve">. </w:t>
      </w:r>
    </w:p>
    <w:p w14:paraId="3A6E3014" w14:textId="77777777" w:rsidR="004E3EDD" w:rsidRDefault="004E3EDD" w:rsidP="004E3EDD">
      <w:pPr>
        <w:spacing w:after="0" w:line="360" w:lineRule="auto"/>
        <w:ind w:left="-576" w:right="-576"/>
        <w:jc w:val="both"/>
      </w:pPr>
    </w:p>
    <w:p w14:paraId="30374343" w14:textId="7E7A13DC" w:rsidR="004E3EDD" w:rsidRDefault="002D1D57" w:rsidP="004E3EDD">
      <w:pPr>
        <w:spacing w:after="0" w:line="360" w:lineRule="auto"/>
        <w:ind w:left="-576" w:right="-576"/>
        <w:jc w:val="both"/>
      </w:pPr>
      <w:r>
        <w:t xml:space="preserve">In relation to </w:t>
      </w:r>
      <w:r w:rsidR="00F675EE">
        <w:t>the tools</w:t>
      </w:r>
      <w:r w:rsidR="003B29F2">
        <w:t xml:space="preserve">, nearly three quarters (72.2%) </w:t>
      </w:r>
      <w:r w:rsidR="004E3EDD">
        <w:t xml:space="preserve">expressed the belief that current tools require </w:t>
      </w:r>
      <w:r w:rsidR="003B29F2">
        <w:t>improving</w:t>
      </w:r>
      <w:r w:rsidR="004E3EDD">
        <w:t xml:space="preserve"> to be truly effective, with </w:t>
      </w:r>
      <w:r w:rsidR="00865D19">
        <w:t>less than 10% disagreeing with this approach</w:t>
      </w:r>
      <w:r w:rsidR="004E3EDD">
        <w:t xml:space="preserve">. </w:t>
      </w:r>
      <w:r w:rsidR="00432BFD">
        <w:t xml:space="preserve">The 20% of respondents who selected “maybe” suggests some uncertainty or variability across industry; however, the overall consensus is clear, existing tools are not fully meeting practitioners’ needs. </w:t>
      </w:r>
    </w:p>
    <w:p w14:paraId="1EDDEF5E" w14:textId="77777777" w:rsidR="00EF3023" w:rsidRDefault="00EF3023" w:rsidP="00373AD1">
      <w:pPr>
        <w:spacing w:after="0" w:line="360" w:lineRule="auto"/>
        <w:ind w:left="-576" w:right="-576"/>
        <w:jc w:val="both"/>
        <w:rPr>
          <w:color w:val="EE0000"/>
        </w:rPr>
      </w:pPr>
    </w:p>
    <w:p w14:paraId="531AF937" w14:textId="52BDE9B8" w:rsidR="00EF3023" w:rsidRPr="00EF3023" w:rsidRDefault="00EF3023" w:rsidP="00EF3023">
      <w:pPr>
        <w:spacing w:after="0" w:line="360" w:lineRule="auto"/>
        <w:ind w:left="-576" w:right="-576"/>
        <w:jc w:val="both"/>
      </w:pPr>
      <w:r w:rsidRPr="00EF3023">
        <w:t>Participant</w:t>
      </w:r>
      <w:r w:rsidR="007E2A4F">
        <w:t>’s</w:t>
      </w:r>
      <w:r w:rsidRPr="00EF3023">
        <w:t xml:space="preserve"> </w:t>
      </w:r>
      <w:r w:rsidR="007E2A4F">
        <w:t>u</w:t>
      </w:r>
      <w:r w:rsidRPr="00EF3023">
        <w:t xml:space="preserve">nderstanding of </w:t>
      </w:r>
      <w:r w:rsidR="007E2A4F">
        <w:t>r</w:t>
      </w:r>
      <w:r w:rsidRPr="00EF3023">
        <w:t xml:space="preserve">isk and </w:t>
      </w:r>
      <w:r w:rsidR="007E2A4F">
        <w:t>a</w:t>
      </w:r>
      <w:r w:rsidRPr="00EF3023">
        <w:t xml:space="preserve">ppropriate </w:t>
      </w:r>
      <w:r w:rsidR="007E2A4F">
        <w:t>choice of r</w:t>
      </w:r>
      <w:r w:rsidRPr="00EF3023">
        <w:t xml:space="preserve">isk </w:t>
      </w:r>
      <w:r w:rsidR="0058421F">
        <w:t>t</w:t>
      </w:r>
      <w:r w:rsidRPr="00EF3023">
        <w:t>ool</w:t>
      </w:r>
      <w:r w:rsidR="008B15CF">
        <w:t>, as shown below</w:t>
      </w:r>
      <w:r>
        <w:t>,</w:t>
      </w:r>
      <w:r w:rsidRPr="00EF3023">
        <w:t xml:space="preserve"> highlight</w:t>
      </w:r>
      <w:r w:rsidR="0058421F">
        <w:t>ed</w:t>
      </w:r>
      <w:r w:rsidRPr="00EF3023">
        <w:t xml:space="preserve"> both areas of strength and critical gaps in knowledge. </w:t>
      </w:r>
      <w:r w:rsidR="00756117" w:rsidRPr="00A27D73">
        <w:t xml:space="preserve">So many percent, correctly classified </w:t>
      </w:r>
      <w:r w:rsidRPr="00EF3023">
        <w:t xml:space="preserve">FMEA within Functional and Failure Analysis Techniques and Qualitative Risk Matrices under Risk Analysis Tools, </w:t>
      </w:r>
      <w:r w:rsidR="00A51271">
        <w:t xml:space="preserve">with a similar accuracy achieved with </w:t>
      </w:r>
      <w:r w:rsidR="00A51271" w:rsidRPr="00EF3023">
        <w:t>of Bow Tie Analysis under Control and Visualisation methods</w:t>
      </w:r>
      <w:r w:rsidR="00A51271">
        <w:t xml:space="preserve">. </w:t>
      </w:r>
      <w:r w:rsidR="00A51271" w:rsidRPr="00EF3023">
        <w:t xml:space="preserve"> </w:t>
      </w:r>
    </w:p>
    <w:p w14:paraId="4CD79EBA" w14:textId="77777777" w:rsidR="00EF3023" w:rsidRPr="00EF3023" w:rsidRDefault="00EF3023" w:rsidP="00EF3023">
      <w:pPr>
        <w:spacing w:after="0" w:line="360" w:lineRule="auto"/>
        <w:ind w:left="-576" w:right="-576"/>
        <w:jc w:val="both"/>
      </w:pPr>
    </w:p>
    <w:p w14:paraId="16956759" w14:textId="77777777" w:rsidR="00363FD9" w:rsidRDefault="00363FD9" w:rsidP="00363FD9">
      <w:pPr>
        <w:keepNext/>
        <w:spacing w:after="0"/>
        <w:ind w:left="-576" w:right="-576"/>
        <w:jc w:val="center"/>
      </w:pPr>
      <w:bookmarkStart w:id="66" w:name="_Toc205129715"/>
      <w:r>
        <w:rPr>
          <w:noProof/>
        </w:rPr>
        <w:lastRenderedPageBreak/>
        <w:drawing>
          <wp:inline distT="0" distB="0" distL="0" distR="0" wp14:anchorId="341558C5" wp14:editId="5ADEA663">
            <wp:extent cx="6542849" cy="2171700"/>
            <wp:effectExtent l="0" t="0" r="0" b="0"/>
            <wp:docPr id="1999047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4708" name="Picture 1" descr="A screenshot of a computer&#10;&#10;AI-generated content may be incorrect."/>
                    <pic:cNvPicPr/>
                  </pic:nvPicPr>
                  <pic:blipFill>
                    <a:blip r:embed="rId18"/>
                    <a:stretch>
                      <a:fillRect/>
                    </a:stretch>
                  </pic:blipFill>
                  <pic:spPr>
                    <a:xfrm>
                      <a:off x="0" y="0"/>
                      <a:ext cx="6571131" cy="2181087"/>
                    </a:xfrm>
                    <a:prstGeom prst="rect">
                      <a:avLst/>
                    </a:prstGeom>
                  </pic:spPr>
                </pic:pic>
              </a:graphicData>
            </a:graphic>
          </wp:inline>
        </w:drawing>
      </w:r>
    </w:p>
    <w:p w14:paraId="02570773" w14:textId="697506D5" w:rsidR="00363FD9" w:rsidRDefault="00363FD9" w:rsidP="00363FD9">
      <w:pPr>
        <w:pStyle w:val="Caption"/>
        <w:jc w:val="center"/>
      </w:pPr>
      <w:bookmarkStart w:id="67" w:name="_Toc219216419"/>
      <w:r>
        <w:t xml:space="preserve">Table </w:t>
      </w:r>
      <w:fldSimple w:instr=" SEQ Table \* ARABIC ">
        <w:r w:rsidR="004239CB">
          <w:rPr>
            <w:noProof/>
          </w:rPr>
          <w:t>6</w:t>
        </w:r>
      </w:fldSimple>
      <w:r>
        <w:t xml:space="preserve"> - </w:t>
      </w:r>
      <w:bookmarkStart w:id="68" w:name="_Hlk207217392"/>
      <w:r w:rsidRPr="008030EC">
        <w:t>Participant Understanding of Risk and Appropriate Risk Tool</w:t>
      </w:r>
      <w:bookmarkEnd w:id="67"/>
      <w:bookmarkEnd w:id="68"/>
    </w:p>
    <w:p w14:paraId="3803A95D" w14:textId="77777777" w:rsidR="00363FD9" w:rsidRDefault="00363FD9" w:rsidP="008D7EA1">
      <w:pPr>
        <w:spacing w:after="0"/>
        <w:ind w:left="-576" w:right="-576"/>
        <w:jc w:val="both"/>
      </w:pPr>
    </w:p>
    <w:p w14:paraId="36BB34F3" w14:textId="79986B2E" w:rsidR="00EF3023" w:rsidRPr="00EF3023" w:rsidRDefault="00EF3023" w:rsidP="00EF3023">
      <w:pPr>
        <w:spacing w:after="0" w:line="360" w:lineRule="auto"/>
        <w:ind w:left="-576" w:right="-576"/>
        <w:jc w:val="both"/>
      </w:pPr>
      <w:r w:rsidRPr="00EF3023">
        <w:t>However, the survey also revealed a significant proportion of misclassifications</w:t>
      </w:r>
      <w:r w:rsidR="00F00106">
        <w:t xml:space="preserve">. </w:t>
      </w:r>
      <w:r w:rsidRPr="00EF3023">
        <w:t>For instance, Brainstorming and Checklists, both foundational to Risk Identification, were often mis</w:t>
      </w:r>
      <w:r>
        <w:t>-</w:t>
      </w:r>
      <w:r w:rsidRPr="00EF3023">
        <w:t>classified as analysis or control tools</w:t>
      </w:r>
      <w:r w:rsidR="00A25E94">
        <w:t xml:space="preserve">, and </w:t>
      </w:r>
      <w:r w:rsidR="00296174" w:rsidRPr="00EF3023">
        <w:t>Risk Registers under identification, rather than Documentation and Monitoring</w:t>
      </w:r>
      <w:r w:rsidRPr="00A25E94">
        <w:rPr>
          <w:color w:val="4472C4" w:themeColor="accent1"/>
        </w:rPr>
        <w:t xml:space="preserve">. </w:t>
      </w:r>
    </w:p>
    <w:p w14:paraId="46EB2844" w14:textId="77777777" w:rsidR="00EF3023" w:rsidRPr="00EF3023" w:rsidRDefault="00EF3023" w:rsidP="00EF3023">
      <w:pPr>
        <w:spacing w:after="0" w:line="360" w:lineRule="auto"/>
        <w:ind w:left="-576" w:right="-576"/>
        <w:jc w:val="both"/>
      </w:pPr>
    </w:p>
    <w:p w14:paraId="14A8C4E7" w14:textId="0B71E0ED" w:rsidR="006A4B85" w:rsidRPr="00694445" w:rsidRDefault="00694445" w:rsidP="00EF3023">
      <w:pPr>
        <w:spacing w:after="0" w:line="360" w:lineRule="auto"/>
        <w:ind w:left="-576" w:right="-576"/>
        <w:jc w:val="both"/>
        <w:rPr>
          <w:color w:val="EE0000"/>
        </w:rPr>
      </w:pPr>
      <w:r w:rsidRPr="00694445">
        <w:rPr>
          <w:color w:val="EE0000"/>
        </w:rPr>
        <w:t xml:space="preserve"> </w:t>
      </w:r>
      <w:r w:rsidR="00445C61">
        <w:rPr>
          <w:color w:val="EE0000"/>
        </w:rPr>
        <w:t>30</w:t>
      </w:r>
      <w:r w:rsidR="00D113B5">
        <w:rPr>
          <w:color w:val="EE0000"/>
        </w:rPr>
        <w:t>2</w:t>
      </w:r>
      <w:r w:rsidR="00445C61">
        <w:rPr>
          <w:color w:val="EE0000"/>
        </w:rPr>
        <w:t xml:space="preserve"> (8</w:t>
      </w:r>
      <w:r w:rsidR="00D113B5">
        <w:rPr>
          <w:color w:val="EE0000"/>
        </w:rPr>
        <w:t>049</w:t>
      </w:r>
      <w:r w:rsidRPr="00694445">
        <w:rPr>
          <w:color w:val="EE0000"/>
        </w:rPr>
        <w:t>)</w:t>
      </w:r>
      <w:r w:rsidR="00A27D73">
        <w:rPr>
          <w:color w:val="EE0000"/>
        </w:rPr>
        <w:t xml:space="preserve">  </w:t>
      </w:r>
    </w:p>
    <w:p w14:paraId="0FBC8E5B" w14:textId="76574A95" w:rsidR="008D7EA1" w:rsidRDefault="008D7EA1">
      <w:pPr>
        <w:rPr>
          <w:rFonts w:eastAsiaTheme="majorEastAsia" w:cstheme="majorBidi"/>
        </w:rPr>
      </w:pPr>
      <w:r>
        <w:br w:type="page"/>
      </w:r>
    </w:p>
    <w:p w14:paraId="240211AB" w14:textId="4DECC7DF" w:rsidR="00373AD1" w:rsidRPr="00675F4F" w:rsidRDefault="00373AD1" w:rsidP="00373AD1">
      <w:pPr>
        <w:pStyle w:val="Heading2"/>
        <w:spacing w:line="360" w:lineRule="auto"/>
        <w:ind w:left="-576" w:right="-576"/>
        <w:rPr>
          <w:sz w:val="22"/>
          <w:szCs w:val="22"/>
        </w:rPr>
      </w:pPr>
      <w:bookmarkStart w:id="69" w:name="_Toc219216480"/>
      <w:r w:rsidRPr="00675F4F">
        <w:rPr>
          <w:sz w:val="22"/>
          <w:szCs w:val="22"/>
        </w:rPr>
        <w:lastRenderedPageBreak/>
        <w:t xml:space="preserve">8.4. </w:t>
      </w:r>
      <w:r w:rsidRPr="00675F4F">
        <w:rPr>
          <w:sz w:val="22"/>
          <w:szCs w:val="22"/>
          <w:u w:val="single"/>
        </w:rPr>
        <w:t>Need for a Customisable Framework.</w:t>
      </w:r>
      <w:bookmarkEnd w:id="66"/>
      <w:bookmarkEnd w:id="69"/>
    </w:p>
    <w:p w14:paraId="7E6C956C" w14:textId="77777777" w:rsidR="00373AD1" w:rsidRDefault="00373AD1" w:rsidP="00373AD1">
      <w:pPr>
        <w:spacing w:after="0" w:line="360" w:lineRule="auto"/>
        <w:ind w:left="-576" w:right="-576"/>
        <w:jc w:val="both"/>
      </w:pPr>
    </w:p>
    <w:p w14:paraId="6E17D599" w14:textId="69E4E109" w:rsidR="001576D2" w:rsidRDefault="00B85D9C" w:rsidP="001576D2">
      <w:pPr>
        <w:spacing w:after="0" w:line="360" w:lineRule="auto"/>
        <w:ind w:left="-576" w:right="-576"/>
        <w:jc w:val="both"/>
      </w:pPr>
      <w:r>
        <w:t>T</w:t>
      </w:r>
      <w:r w:rsidR="001576D2">
        <w:t xml:space="preserve">here </w:t>
      </w:r>
      <w:r>
        <w:t>wa</w:t>
      </w:r>
      <w:r w:rsidR="001576D2">
        <w:t>s strong support for the development of a customisable risk assessment framework with</w:t>
      </w:r>
      <w:r w:rsidR="008238C1">
        <w:t xml:space="preserve"> </w:t>
      </w:r>
      <w:r w:rsidR="001576D2">
        <w:t>83</w:t>
      </w:r>
      <w:r w:rsidR="00BE4FCB">
        <w:t>.3</w:t>
      </w:r>
      <w:r w:rsidR="001576D2">
        <w:t xml:space="preserve">% </w:t>
      </w:r>
      <w:r w:rsidR="008238C1">
        <w:t xml:space="preserve">of respondents </w:t>
      </w:r>
      <w:r w:rsidR="001576D2">
        <w:t>agree</w:t>
      </w:r>
      <w:r w:rsidR="008238C1">
        <w:t>ing</w:t>
      </w:r>
      <w:r w:rsidR="001576D2">
        <w:t xml:space="preserve"> that such a framework </w:t>
      </w:r>
      <w:r w:rsidR="00974413">
        <w:t>would</w:t>
      </w:r>
      <w:r w:rsidR="001576D2">
        <w:t xml:space="preserve"> enhance risk management</w:t>
      </w:r>
      <w:r w:rsidR="00974413">
        <w:t xml:space="preserve"> practices</w:t>
      </w:r>
      <w:r w:rsidR="001576D2">
        <w:t xml:space="preserve">. </w:t>
      </w:r>
    </w:p>
    <w:p w14:paraId="236A5049" w14:textId="77777777" w:rsidR="001576D2" w:rsidRDefault="001576D2" w:rsidP="001576D2">
      <w:pPr>
        <w:spacing w:after="0" w:line="360" w:lineRule="auto"/>
        <w:ind w:left="-576" w:right="-576"/>
        <w:jc w:val="both"/>
      </w:pPr>
    </w:p>
    <w:p w14:paraId="2A72835F" w14:textId="2A720EE1" w:rsidR="008D7EA1" w:rsidRDefault="00BE4FCB" w:rsidP="008D7EA1">
      <w:pPr>
        <w:keepNext/>
        <w:spacing w:after="0" w:line="360" w:lineRule="auto"/>
        <w:ind w:left="-576" w:right="-576"/>
        <w:jc w:val="center"/>
      </w:pPr>
      <w:r>
        <w:rPr>
          <w:noProof/>
        </w:rPr>
        <w:drawing>
          <wp:inline distT="0" distB="0" distL="0" distR="0" wp14:anchorId="74B1A1CE" wp14:editId="6AFA1034">
            <wp:extent cx="6362700" cy="4486176"/>
            <wp:effectExtent l="0" t="0" r="0" b="0"/>
            <wp:docPr id="200204943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049433" name="Picture 1" descr="A screenshot of a graph&#10;&#10;AI-generated content may be incorrect."/>
                    <pic:cNvPicPr/>
                  </pic:nvPicPr>
                  <pic:blipFill>
                    <a:blip r:embed="rId19"/>
                    <a:stretch>
                      <a:fillRect/>
                    </a:stretch>
                  </pic:blipFill>
                  <pic:spPr>
                    <a:xfrm>
                      <a:off x="0" y="0"/>
                      <a:ext cx="6365492" cy="4488144"/>
                    </a:xfrm>
                    <a:prstGeom prst="rect">
                      <a:avLst/>
                    </a:prstGeom>
                  </pic:spPr>
                </pic:pic>
              </a:graphicData>
            </a:graphic>
          </wp:inline>
        </w:drawing>
      </w:r>
    </w:p>
    <w:p w14:paraId="26AD5B4E" w14:textId="3BF7B357" w:rsidR="00373AD1" w:rsidRDefault="008D7EA1" w:rsidP="008D7EA1">
      <w:pPr>
        <w:pStyle w:val="Caption"/>
        <w:jc w:val="center"/>
      </w:pPr>
      <w:bookmarkStart w:id="70" w:name="_Toc219216535"/>
      <w:r>
        <w:t xml:space="preserve">Figure </w:t>
      </w:r>
      <w:fldSimple w:instr=" SEQ Figure \* ARABIC ">
        <w:r>
          <w:rPr>
            <w:noProof/>
          </w:rPr>
          <w:t>9</w:t>
        </w:r>
      </w:fldSimple>
      <w:r>
        <w:t xml:space="preserve"> - </w:t>
      </w:r>
      <w:r w:rsidRPr="00E65A28">
        <w:t>Participant Views on</w:t>
      </w:r>
      <w:r>
        <w:t xml:space="preserve"> Need for Customisable Framework</w:t>
      </w:r>
      <w:bookmarkEnd w:id="70"/>
    </w:p>
    <w:p w14:paraId="7E2DB600" w14:textId="77777777" w:rsidR="008D7EA1" w:rsidRDefault="008D7EA1" w:rsidP="00A97F97">
      <w:pPr>
        <w:spacing w:after="0" w:line="360" w:lineRule="auto"/>
        <w:ind w:left="-576" w:right="-576"/>
        <w:jc w:val="center"/>
      </w:pPr>
    </w:p>
    <w:p w14:paraId="3A56D26F" w14:textId="6CBAF9F3" w:rsidR="00DB0A63" w:rsidRPr="009016AF" w:rsidRDefault="00D11413" w:rsidP="003052F5">
      <w:pPr>
        <w:spacing w:after="0" w:line="360" w:lineRule="auto"/>
        <w:ind w:left="-576" w:right="-576"/>
        <w:jc w:val="both"/>
        <w:rPr>
          <w:color w:val="4472C4" w:themeColor="accent1"/>
        </w:rPr>
      </w:pPr>
      <w:r>
        <w:t>T</w:t>
      </w:r>
      <w:r w:rsidR="00DB0A63">
        <w:t xml:space="preserve">he features respondents </w:t>
      </w:r>
      <w:r>
        <w:t>desired</w:t>
      </w:r>
      <w:r w:rsidR="00DB0A63">
        <w:t xml:space="preserve"> </w:t>
      </w:r>
      <w:r>
        <w:t>included</w:t>
      </w:r>
      <w:r w:rsidR="00DB0A63">
        <w:t xml:space="preserve"> </w:t>
      </w:r>
      <w:r w:rsidR="007A5668">
        <w:t xml:space="preserve">usability with more </w:t>
      </w:r>
      <w:r w:rsidR="00DB0A63">
        <w:t>user-friendly interfaces,</w:t>
      </w:r>
      <w:r w:rsidR="007666A4">
        <w:t xml:space="preserve"> in</w:t>
      </w:r>
      <w:r w:rsidR="0013741E">
        <w:t xml:space="preserve">dustry specific tailoring, integration with project management software, real-time collaboration, and clearer communication tools. </w:t>
      </w:r>
      <w:r w:rsidR="00DB0A63">
        <w:t xml:space="preserve"> </w:t>
      </w:r>
    </w:p>
    <w:p w14:paraId="6974ACCB" w14:textId="77777777" w:rsidR="00DB0A63" w:rsidRDefault="00DB0A63" w:rsidP="00DB0A63">
      <w:pPr>
        <w:spacing w:after="0" w:line="360" w:lineRule="auto"/>
        <w:ind w:left="-576" w:right="-576"/>
        <w:jc w:val="both"/>
      </w:pPr>
    </w:p>
    <w:p w14:paraId="4412A380" w14:textId="5AF20EFA" w:rsidR="00213F31" w:rsidRDefault="00213F31" w:rsidP="00213F31">
      <w:pPr>
        <w:spacing w:after="0" w:line="360" w:lineRule="auto"/>
        <w:ind w:left="-576" w:right="-576"/>
        <w:jc w:val="both"/>
      </w:pPr>
      <w:r>
        <w:t xml:space="preserve">As shown below, </w:t>
      </w:r>
      <w:r w:rsidR="00245406">
        <w:t xml:space="preserve">in line with the </w:t>
      </w:r>
      <w:r w:rsidR="00844006">
        <w:t>identified</w:t>
      </w:r>
      <w:r w:rsidR="00245406">
        <w:t xml:space="preserve"> need for a custom</w:t>
      </w:r>
      <w:r w:rsidR="00844006">
        <w:t xml:space="preserve">isable framework, a similar </w:t>
      </w:r>
      <w:r w:rsidR="001D60B3">
        <w:t>number</w:t>
      </w:r>
      <w:r w:rsidR="00844006">
        <w:t xml:space="preserve"> of participants, </w:t>
      </w:r>
      <w:r>
        <w:t>8</w:t>
      </w:r>
      <w:r w:rsidR="00BE4FCB">
        <w:t>8.8</w:t>
      </w:r>
      <w:r>
        <w:t xml:space="preserve">%, </w:t>
      </w:r>
      <w:r w:rsidR="00051B45">
        <w:t xml:space="preserve">were willing to adopt </w:t>
      </w:r>
      <w:r w:rsidR="0084290C">
        <w:t>such a r</w:t>
      </w:r>
      <w:r>
        <w:t xml:space="preserve">isk assessment framework if it </w:t>
      </w:r>
      <w:r w:rsidR="0084290C">
        <w:t>was shown to be effective</w:t>
      </w:r>
      <w:r>
        <w:t xml:space="preserve">. </w:t>
      </w:r>
    </w:p>
    <w:p w14:paraId="1A17347A" w14:textId="77777777" w:rsidR="00213F31" w:rsidRDefault="00213F31" w:rsidP="00213F31">
      <w:pPr>
        <w:spacing w:after="0" w:line="360" w:lineRule="auto"/>
        <w:ind w:left="-576" w:right="-576"/>
        <w:jc w:val="both"/>
      </w:pPr>
    </w:p>
    <w:p w14:paraId="0744F109" w14:textId="3D807F61" w:rsidR="00213F31" w:rsidRPr="005C35A1" w:rsidRDefault="0084290C" w:rsidP="00213F31">
      <w:pPr>
        <w:spacing w:after="0" w:line="360" w:lineRule="auto"/>
        <w:ind w:left="-576" w:right="-576"/>
        <w:jc w:val="both"/>
        <w:rPr>
          <w:color w:val="4472C4" w:themeColor="accent1"/>
        </w:rPr>
      </w:pPr>
      <w:r>
        <w:t>The main</w:t>
      </w:r>
      <w:r w:rsidR="00213F31">
        <w:t xml:space="preserve"> barriers</w:t>
      </w:r>
      <w:r>
        <w:t xml:space="preserve"> to adoption of such a framework were </w:t>
      </w:r>
      <w:r w:rsidR="005C35A1">
        <w:t xml:space="preserve">identified as associated </w:t>
      </w:r>
      <w:r w:rsidR="00213F31">
        <w:t>training requirements, resistance to change</w:t>
      </w:r>
      <w:r w:rsidR="005C35A1">
        <w:t>,</w:t>
      </w:r>
      <w:r w:rsidR="00213F31">
        <w:t xml:space="preserve"> and lack of management support. </w:t>
      </w:r>
    </w:p>
    <w:p w14:paraId="7ADF8908" w14:textId="77777777" w:rsidR="00213F31" w:rsidRDefault="00213F31" w:rsidP="00213F31">
      <w:pPr>
        <w:spacing w:after="0" w:line="360" w:lineRule="auto"/>
        <w:ind w:left="-576" w:right="-576"/>
        <w:jc w:val="both"/>
      </w:pPr>
    </w:p>
    <w:p w14:paraId="78905D38" w14:textId="4DDC638D" w:rsidR="008D7EA1" w:rsidRDefault="00E80F2C" w:rsidP="008D7EA1">
      <w:pPr>
        <w:keepNext/>
        <w:spacing w:after="0" w:line="360" w:lineRule="auto"/>
        <w:ind w:left="-576" w:right="-576"/>
        <w:jc w:val="center"/>
      </w:pPr>
      <w:r>
        <w:rPr>
          <w:noProof/>
        </w:rPr>
        <w:lastRenderedPageBreak/>
        <w:drawing>
          <wp:inline distT="0" distB="0" distL="0" distR="0" wp14:anchorId="1AE3F0A4" wp14:editId="2AB2F697">
            <wp:extent cx="6160135" cy="3914068"/>
            <wp:effectExtent l="0" t="0" r="0" b="0"/>
            <wp:docPr id="1544145221" name="Picture 1" descr="A graph with multiple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145221" name="Picture 1" descr="A graph with multiple colored bars&#10;&#10;AI-generated content may be incorrect."/>
                    <pic:cNvPicPr/>
                  </pic:nvPicPr>
                  <pic:blipFill>
                    <a:blip r:embed="rId20"/>
                    <a:stretch>
                      <a:fillRect/>
                    </a:stretch>
                  </pic:blipFill>
                  <pic:spPr>
                    <a:xfrm>
                      <a:off x="0" y="0"/>
                      <a:ext cx="6165550" cy="3917508"/>
                    </a:xfrm>
                    <a:prstGeom prst="rect">
                      <a:avLst/>
                    </a:prstGeom>
                  </pic:spPr>
                </pic:pic>
              </a:graphicData>
            </a:graphic>
          </wp:inline>
        </w:drawing>
      </w:r>
    </w:p>
    <w:p w14:paraId="0EE0F357" w14:textId="3E96FE89" w:rsidR="008D7EA1" w:rsidRDefault="008D7EA1" w:rsidP="008D7EA1">
      <w:pPr>
        <w:pStyle w:val="Caption"/>
        <w:jc w:val="center"/>
      </w:pPr>
      <w:bookmarkStart w:id="71" w:name="_Toc219216536"/>
      <w:r>
        <w:t xml:space="preserve">Figure </w:t>
      </w:r>
      <w:fldSimple w:instr=" SEQ Figure \* ARABIC ">
        <w:r>
          <w:rPr>
            <w:noProof/>
          </w:rPr>
          <w:t>10</w:t>
        </w:r>
      </w:fldSimple>
      <w:r>
        <w:t xml:space="preserve"> - Participant Views on Customisable Framework Requirements</w:t>
      </w:r>
      <w:bookmarkEnd w:id="71"/>
    </w:p>
    <w:p w14:paraId="4C6497C1" w14:textId="77777777" w:rsidR="00213F31" w:rsidRDefault="00213F31" w:rsidP="00213F31">
      <w:pPr>
        <w:spacing w:after="0" w:line="360" w:lineRule="auto"/>
        <w:ind w:left="-576" w:right="-576"/>
        <w:jc w:val="both"/>
      </w:pPr>
      <w:bookmarkStart w:id="72" w:name="_Toc205129716"/>
    </w:p>
    <w:p w14:paraId="24B3702C" w14:textId="77777777" w:rsidR="00E80F2C" w:rsidRDefault="00E80F2C" w:rsidP="00213F31">
      <w:pPr>
        <w:spacing w:after="0" w:line="360" w:lineRule="auto"/>
        <w:ind w:left="-576" w:right="-576"/>
        <w:jc w:val="both"/>
      </w:pPr>
    </w:p>
    <w:p w14:paraId="1A0C2815" w14:textId="7A078D79" w:rsidR="00E80F2C" w:rsidRPr="00E80F2C" w:rsidRDefault="00445C61" w:rsidP="00213F31">
      <w:pPr>
        <w:spacing w:after="0" w:line="360" w:lineRule="auto"/>
        <w:ind w:left="-576" w:right="-576"/>
        <w:jc w:val="both"/>
        <w:rPr>
          <w:color w:val="EE0000"/>
        </w:rPr>
      </w:pPr>
      <w:r>
        <w:rPr>
          <w:color w:val="EE0000"/>
        </w:rPr>
        <w:t xml:space="preserve">109 </w:t>
      </w:r>
      <w:r w:rsidR="00E80F2C" w:rsidRPr="00E80F2C">
        <w:rPr>
          <w:color w:val="EE0000"/>
        </w:rPr>
        <w:t>(</w:t>
      </w:r>
      <w:r>
        <w:rPr>
          <w:color w:val="EE0000"/>
        </w:rPr>
        <w:t>8</w:t>
      </w:r>
      <w:r w:rsidR="00D113B5">
        <w:rPr>
          <w:color w:val="EE0000"/>
        </w:rPr>
        <w:t>158</w:t>
      </w:r>
      <w:r>
        <w:rPr>
          <w:color w:val="EE0000"/>
        </w:rPr>
        <w:t>)</w:t>
      </w:r>
    </w:p>
    <w:p w14:paraId="4779FDBC" w14:textId="77777777" w:rsidR="00A27D73" w:rsidRDefault="00A27D73">
      <w:pPr>
        <w:rPr>
          <w:rFonts w:eastAsiaTheme="majorEastAsia" w:cstheme="majorBidi"/>
        </w:rPr>
      </w:pPr>
      <w:r>
        <w:br w:type="page"/>
      </w:r>
    </w:p>
    <w:p w14:paraId="6394779B" w14:textId="4AF5819B" w:rsidR="00373AD1" w:rsidRPr="00675F4F" w:rsidRDefault="00373AD1" w:rsidP="00373AD1">
      <w:pPr>
        <w:pStyle w:val="Heading2"/>
        <w:spacing w:line="360" w:lineRule="auto"/>
        <w:ind w:left="-576" w:right="-576"/>
        <w:rPr>
          <w:sz w:val="22"/>
          <w:szCs w:val="22"/>
        </w:rPr>
      </w:pPr>
      <w:bookmarkStart w:id="73" w:name="_Toc219216481"/>
      <w:r w:rsidRPr="00675F4F">
        <w:rPr>
          <w:sz w:val="22"/>
          <w:szCs w:val="22"/>
        </w:rPr>
        <w:lastRenderedPageBreak/>
        <w:t xml:space="preserve">8.5. </w:t>
      </w:r>
      <w:r w:rsidRPr="00675F4F">
        <w:rPr>
          <w:sz w:val="22"/>
          <w:szCs w:val="22"/>
          <w:u w:val="single"/>
        </w:rPr>
        <w:t>Open-ended Feedback.</w:t>
      </w:r>
      <w:bookmarkEnd w:id="72"/>
      <w:bookmarkEnd w:id="73"/>
    </w:p>
    <w:p w14:paraId="6030B972" w14:textId="77777777" w:rsidR="003C5CCC" w:rsidRDefault="003C5CCC" w:rsidP="00270E88">
      <w:pPr>
        <w:spacing w:after="0" w:line="360" w:lineRule="auto"/>
        <w:ind w:left="-576" w:right="-576"/>
        <w:jc w:val="both"/>
      </w:pPr>
    </w:p>
    <w:p w14:paraId="6571D63C" w14:textId="6589528C" w:rsidR="00270E88" w:rsidRDefault="000D2712" w:rsidP="00270E88">
      <w:pPr>
        <w:spacing w:after="0" w:line="360" w:lineRule="auto"/>
        <w:ind w:left="-576" w:right="-576"/>
        <w:jc w:val="both"/>
      </w:pPr>
      <w:r>
        <w:t xml:space="preserve">Qualitative responses highlighted several themes. Formal tools such </w:t>
      </w:r>
      <w:r w:rsidR="00270E88">
        <w:t xml:space="preserve">as risk registers, risk matrices, and FMEA were identified as the most effective strategies by </w:t>
      </w:r>
      <w:r w:rsidR="0002424C">
        <w:t>respondents, especially when used iteratively.</w:t>
      </w:r>
    </w:p>
    <w:p w14:paraId="5D3789D6" w14:textId="77777777" w:rsidR="00136F69" w:rsidRDefault="00136F69" w:rsidP="00270E88">
      <w:pPr>
        <w:spacing w:after="0" w:line="360" w:lineRule="auto"/>
        <w:ind w:left="-576" w:right="-576"/>
        <w:jc w:val="both"/>
      </w:pPr>
    </w:p>
    <w:p w14:paraId="5B34A3F2" w14:textId="07D55318" w:rsidR="00270E88" w:rsidRDefault="00B22CF4" w:rsidP="00270E88">
      <w:pPr>
        <w:spacing w:after="0" w:line="360" w:lineRule="auto"/>
        <w:ind w:left="-576" w:right="-576"/>
        <w:jc w:val="both"/>
      </w:pPr>
      <w:r>
        <w:t>Respondents also valued proactive strategies</w:t>
      </w:r>
      <w:r w:rsidR="006B7215">
        <w:t>. aligned with the principle of forward planning.</w:t>
      </w:r>
      <w:r>
        <w:t xml:space="preserve"> </w:t>
      </w:r>
      <w:r w:rsidR="004124C9">
        <w:t>including s</w:t>
      </w:r>
      <w:r w:rsidR="00270E88">
        <w:t>cenario testing</w:t>
      </w:r>
      <w:r w:rsidR="00B31168">
        <w:t xml:space="preserve"> (such as </w:t>
      </w:r>
      <w:r w:rsidR="006B7215">
        <w:t>use of test rigs)</w:t>
      </w:r>
      <w:r w:rsidR="00270E88">
        <w:t>, early brainstorming, and continuous review</w:t>
      </w:r>
      <w:r w:rsidR="00B31168">
        <w:t xml:space="preserve">. </w:t>
      </w:r>
    </w:p>
    <w:p w14:paraId="0D826730" w14:textId="77777777" w:rsidR="00270E88" w:rsidRDefault="00270E88" w:rsidP="00270E88">
      <w:pPr>
        <w:spacing w:after="0" w:line="360" w:lineRule="auto"/>
        <w:ind w:left="-576" w:right="-576"/>
        <w:jc w:val="both"/>
      </w:pPr>
    </w:p>
    <w:p w14:paraId="5EBD61F8" w14:textId="57345688" w:rsidR="00270E88" w:rsidRPr="00060790" w:rsidRDefault="006403E5" w:rsidP="00270E88">
      <w:pPr>
        <w:spacing w:after="0" w:line="360" w:lineRule="auto"/>
        <w:ind w:left="-576" w:right="-576"/>
        <w:jc w:val="both"/>
        <w:rPr>
          <w:color w:val="0070C0"/>
        </w:rPr>
      </w:pPr>
      <w:r>
        <w:t>H</w:t>
      </w:r>
      <w:r w:rsidR="00270E88">
        <w:t xml:space="preserve">uman </w:t>
      </w:r>
      <w:r>
        <w:t>and organisational factors</w:t>
      </w:r>
      <w:r w:rsidR="00E42A5D">
        <w:t xml:space="preserve"> emerged strongly from the survey, with </w:t>
      </w:r>
      <w:r w:rsidR="00BA0D48">
        <w:t xml:space="preserve">multidisciplinary </w:t>
      </w:r>
      <w:r w:rsidR="00E42A5D">
        <w:t xml:space="preserve">collaboration, </w:t>
      </w:r>
      <w:r w:rsidR="00270E88">
        <w:t xml:space="preserve">expertise, leadership, and </w:t>
      </w:r>
      <w:r w:rsidR="00060790">
        <w:t>stakeholder</w:t>
      </w:r>
      <w:r w:rsidR="00BA0D48">
        <w:t xml:space="preserve"> engagement </w:t>
      </w:r>
      <w:r w:rsidR="00060790">
        <w:t xml:space="preserve">repeatedly cited as essential in shaping outcomes. </w:t>
      </w:r>
    </w:p>
    <w:p w14:paraId="22645684" w14:textId="77777777" w:rsidR="00270E88" w:rsidRDefault="00270E88" w:rsidP="00270E88">
      <w:pPr>
        <w:spacing w:after="0" w:line="360" w:lineRule="auto"/>
        <w:ind w:left="-576" w:right="-576"/>
        <w:jc w:val="both"/>
      </w:pPr>
    </w:p>
    <w:p w14:paraId="046BBA6A" w14:textId="5767FBB0" w:rsidR="007D5EFA" w:rsidRPr="000D05CD" w:rsidRDefault="007D5EFA" w:rsidP="00507DD0">
      <w:pPr>
        <w:spacing w:after="0" w:line="360" w:lineRule="auto"/>
        <w:ind w:left="-576" w:right="-576"/>
        <w:jc w:val="both"/>
        <w:rPr>
          <w:color w:val="0070C0"/>
        </w:rPr>
      </w:pPr>
      <w:r>
        <w:t xml:space="preserve">A key concern raised by </w:t>
      </w:r>
      <w:r w:rsidR="00145F2F">
        <w:t xml:space="preserve">respondents was </w:t>
      </w:r>
      <w:r>
        <w:t>lack of standardisation in current practice</w:t>
      </w:r>
      <w:r w:rsidR="0014489F">
        <w:t xml:space="preserve">, with a repeated emphasis on </w:t>
      </w:r>
      <w:r w:rsidR="00731913">
        <w:t xml:space="preserve">the confusion brought about by use of </w:t>
      </w:r>
      <w:r>
        <w:t xml:space="preserve">multiple, inconsistent tools, </w:t>
      </w:r>
      <w:r w:rsidR="00731913">
        <w:t xml:space="preserve">leading to </w:t>
      </w:r>
      <w:r w:rsidR="00156C3B">
        <w:t xml:space="preserve">inconsistency and </w:t>
      </w:r>
      <w:r>
        <w:t>comparability across projects.</w:t>
      </w:r>
    </w:p>
    <w:p w14:paraId="33DB2AFB" w14:textId="77777777" w:rsidR="007D5EFA" w:rsidRDefault="007D5EFA" w:rsidP="007D5EFA">
      <w:pPr>
        <w:spacing w:after="0" w:line="360" w:lineRule="auto"/>
        <w:ind w:left="-576" w:right="-576"/>
        <w:jc w:val="both"/>
      </w:pPr>
    </w:p>
    <w:p w14:paraId="3CFB7173" w14:textId="074EB067" w:rsidR="001951B3" w:rsidRPr="003D17C7" w:rsidRDefault="007D5EFA" w:rsidP="00507DD0">
      <w:pPr>
        <w:spacing w:after="0" w:line="360" w:lineRule="auto"/>
        <w:ind w:left="-576" w:right="-576"/>
        <w:jc w:val="both"/>
        <w:rPr>
          <w:color w:val="0070C0"/>
        </w:rPr>
      </w:pPr>
      <w:r>
        <w:t xml:space="preserve">Another strong theme from the responses concerns competency and training. Participants noted that while tools exist, their effectiveness is often constrained by the limited capability of users to apply them meaningfully. </w:t>
      </w:r>
    </w:p>
    <w:p w14:paraId="716BD35A" w14:textId="77777777" w:rsidR="00AD75B9" w:rsidRDefault="00AD75B9" w:rsidP="007D5EFA">
      <w:pPr>
        <w:spacing w:after="0" w:line="360" w:lineRule="auto"/>
        <w:ind w:left="-576" w:right="-576"/>
        <w:jc w:val="both"/>
      </w:pPr>
    </w:p>
    <w:p w14:paraId="7707E756" w14:textId="0C780710" w:rsidR="00AD75B9" w:rsidRPr="00AD75B9" w:rsidRDefault="00445C61" w:rsidP="007D5EFA">
      <w:pPr>
        <w:spacing w:after="0" w:line="360" w:lineRule="auto"/>
        <w:ind w:left="-576" w:right="-576"/>
        <w:jc w:val="both"/>
        <w:rPr>
          <w:color w:val="EE0000"/>
        </w:rPr>
      </w:pPr>
      <w:r>
        <w:rPr>
          <w:color w:val="EE0000"/>
        </w:rPr>
        <w:t>144</w:t>
      </w:r>
      <w:r w:rsidR="00AD75B9" w:rsidRPr="00AD75B9">
        <w:rPr>
          <w:color w:val="EE0000"/>
        </w:rPr>
        <w:t xml:space="preserve"> (</w:t>
      </w:r>
      <w:r>
        <w:rPr>
          <w:color w:val="EE0000"/>
        </w:rPr>
        <w:t>83</w:t>
      </w:r>
      <w:r w:rsidR="00D113B5">
        <w:rPr>
          <w:color w:val="EE0000"/>
        </w:rPr>
        <w:t>02</w:t>
      </w:r>
      <w:r>
        <w:rPr>
          <w:color w:val="EE0000"/>
        </w:rPr>
        <w:t>)</w:t>
      </w:r>
    </w:p>
    <w:p w14:paraId="411C0272" w14:textId="6A96B829" w:rsidR="001951B3" w:rsidRPr="003E6051" w:rsidRDefault="001951B3" w:rsidP="007C1BEE">
      <w:pPr>
        <w:spacing w:after="0"/>
      </w:pPr>
      <w:r w:rsidRPr="003E6051">
        <w:br w:type="page"/>
      </w:r>
    </w:p>
    <w:p w14:paraId="3323FA8D" w14:textId="06A76740" w:rsidR="001951B3" w:rsidRPr="003E6051" w:rsidRDefault="00373AD1" w:rsidP="007C1BEE">
      <w:pPr>
        <w:pStyle w:val="Heading2"/>
        <w:spacing w:before="0"/>
        <w:ind w:left="-576"/>
        <w:rPr>
          <w:rFonts w:cs="Calibri Light"/>
          <w:sz w:val="22"/>
          <w:szCs w:val="22"/>
        </w:rPr>
      </w:pPr>
      <w:bookmarkStart w:id="74" w:name="_Toc219216482"/>
      <w:r>
        <w:rPr>
          <w:rFonts w:cs="Calibri Light"/>
          <w:sz w:val="22"/>
          <w:szCs w:val="22"/>
        </w:rPr>
        <w:lastRenderedPageBreak/>
        <w:t>9</w:t>
      </w:r>
      <w:r w:rsidR="001951B3" w:rsidRPr="003E6051">
        <w:rPr>
          <w:rFonts w:cs="Calibri Light"/>
          <w:sz w:val="22"/>
          <w:szCs w:val="22"/>
        </w:rPr>
        <w:t xml:space="preserve">. </w:t>
      </w:r>
      <w:r w:rsidR="005714ED">
        <w:rPr>
          <w:rFonts w:cs="Calibri Light"/>
          <w:sz w:val="22"/>
          <w:szCs w:val="22"/>
          <w:u w:val="single"/>
        </w:rPr>
        <w:t>Discussion</w:t>
      </w:r>
      <w:r w:rsidR="004C7CE1">
        <w:rPr>
          <w:rFonts w:cs="Calibri Light"/>
          <w:sz w:val="22"/>
          <w:szCs w:val="22"/>
          <w:u w:val="single"/>
        </w:rPr>
        <w:t>.</w:t>
      </w:r>
      <w:bookmarkEnd w:id="74"/>
      <w:r w:rsidR="001951B3" w:rsidRPr="003E6051">
        <w:rPr>
          <w:rFonts w:cs="Calibri Light"/>
          <w:sz w:val="22"/>
          <w:szCs w:val="22"/>
          <w:u w:val="single"/>
        </w:rPr>
        <w:t xml:space="preserve"> </w:t>
      </w:r>
    </w:p>
    <w:p w14:paraId="3C0E808E" w14:textId="77777777" w:rsidR="001951B3" w:rsidRDefault="001951B3" w:rsidP="007C1BEE">
      <w:pPr>
        <w:spacing w:after="0" w:line="360" w:lineRule="auto"/>
        <w:ind w:left="-576" w:right="-576"/>
        <w:jc w:val="both"/>
      </w:pPr>
    </w:p>
    <w:p w14:paraId="5DB06060" w14:textId="4C900BF9" w:rsidR="001C618B" w:rsidRDefault="00CD003D" w:rsidP="001C618B">
      <w:pPr>
        <w:spacing w:after="0" w:line="360" w:lineRule="auto"/>
        <w:ind w:left="-576" w:right="-576"/>
        <w:jc w:val="both"/>
      </w:pPr>
      <w:r>
        <w:t>Th</w:t>
      </w:r>
      <w:r w:rsidR="00F67B79">
        <w:t>is</w:t>
      </w:r>
      <w:r>
        <w:t xml:space="preserve"> research </w:t>
      </w:r>
      <w:r w:rsidR="00F67B79">
        <w:t>set out</w:t>
      </w:r>
      <w:r w:rsidR="00831A69">
        <w:t xml:space="preserve"> to evaluate whether current risk assessment tools used in industry are </w:t>
      </w:r>
      <w:r w:rsidR="00F67B79">
        <w:t xml:space="preserve">effective in </w:t>
      </w:r>
      <w:r w:rsidR="00831A69">
        <w:t>project management</w:t>
      </w:r>
      <w:r w:rsidR="00A148A8">
        <w:t xml:space="preserve"> and whether </w:t>
      </w:r>
      <w:r w:rsidR="00396E54">
        <w:t xml:space="preserve">a </w:t>
      </w:r>
      <w:r w:rsidR="00F67B79">
        <w:t xml:space="preserve">more </w:t>
      </w:r>
      <w:r w:rsidR="00396E54">
        <w:t xml:space="preserve">customised framework </w:t>
      </w:r>
      <w:r w:rsidR="006E6409">
        <w:t>could</w:t>
      </w:r>
      <w:r w:rsidR="00396E54">
        <w:t xml:space="preserve"> </w:t>
      </w:r>
      <w:r w:rsidR="00F67B79">
        <w:t>improve</w:t>
      </w:r>
      <w:r w:rsidR="00E945E5">
        <w:t xml:space="preserve"> </w:t>
      </w:r>
      <w:r w:rsidR="00571331">
        <w:t xml:space="preserve">risk management and consequently project outcomes. </w:t>
      </w:r>
      <w:r w:rsidR="001C618B">
        <w:t xml:space="preserve">The findings indicate </w:t>
      </w:r>
      <w:r w:rsidR="00741639">
        <w:t xml:space="preserve">a complex picture of </w:t>
      </w:r>
      <w:r w:rsidR="00A60DDD">
        <w:t xml:space="preserve">current risk practice, with </w:t>
      </w:r>
      <w:r w:rsidR="006E6409">
        <w:t>some</w:t>
      </w:r>
      <w:r w:rsidR="00A60DDD">
        <w:t xml:space="preserve"> contradiction. Whil</w:t>
      </w:r>
      <w:r w:rsidR="006E6409">
        <w:t xml:space="preserve">e </w:t>
      </w:r>
      <w:r w:rsidR="001C618B">
        <w:t>risk management tools are widely embedded within project processe</w:t>
      </w:r>
      <w:r w:rsidR="006E6409">
        <w:t>s</w:t>
      </w:r>
      <w:r w:rsidR="001C618B">
        <w:t>, their practical application</w:t>
      </w:r>
      <w:r w:rsidR="000A741D">
        <w:t xml:space="preserve">, perceived effectiveness </w:t>
      </w:r>
      <w:r w:rsidR="008410E2">
        <w:t>and alignment with</w:t>
      </w:r>
      <w:r w:rsidR="001C618B">
        <w:t xml:space="preserve"> </w:t>
      </w:r>
      <w:r w:rsidR="00215EE2">
        <w:t>best-practice</w:t>
      </w:r>
      <w:r w:rsidR="001C618B">
        <w:t xml:space="preserve"> frameworks such as PMBOK and ISO 31000 </w:t>
      </w:r>
      <w:r w:rsidR="008410E2">
        <w:t xml:space="preserve">inconsistent and </w:t>
      </w:r>
      <w:r w:rsidR="001C618B">
        <w:t>incomplete.</w:t>
      </w:r>
      <w:r w:rsidR="00174594">
        <w:t xml:space="preserve"> </w:t>
      </w:r>
      <w:r w:rsidR="00215EE2">
        <w:t>R</w:t>
      </w:r>
      <w:r w:rsidR="001C618B">
        <w:t xml:space="preserve">espondents expressed strong support for the development of a flexible and user-centred framework that could integrate existing tools while adapting to diverse project contexts. These </w:t>
      </w:r>
      <w:r w:rsidR="00580A0C">
        <w:t>findings echo</w:t>
      </w:r>
      <w:r w:rsidR="001C618B">
        <w:t xml:space="preserve"> concerns</w:t>
      </w:r>
      <w:r w:rsidR="007F2498">
        <w:t xml:space="preserve"> </w:t>
      </w:r>
      <w:r w:rsidR="00580A0C">
        <w:t>raised</w:t>
      </w:r>
      <w:r w:rsidR="00751F65">
        <w:t xml:space="preserve"> </w:t>
      </w:r>
      <w:r w:rsidR="007F2498">
        <w:t>in literature</w:t>
      </w:r>
      <w:r w:rsidR="00580A0C">
        <w:t xml:space="preserve"> about</w:t>
      </w:r>
      <w:r w:rsidR="006A190E">
        <w:t xml:space="preserve"> </w:t>
      </w:r>
      <w:r w:rsidR="00EE1C0B">
        <w:t xml:space="preserve">the </w:t>
      </w:r>
      <w:r w:rsidR="00005530">
        <w:t>persistent</w:t>
      </w:r>
      <w:r w:rsidR="00EE1C0B">
        <w:t xml:space="preserve"> gap between theoretical </w:t>
      </w:r>
      <w:r w:rsidR="00005530">
        <w:t xml:space="preserve">models and their translation into practice, </w:t>
      </w:r>
      <w:r w:rsidR="001C618B">
        <w:t xml:space="preserve"> emphasis</w:t>
      </w:r>
      <w:r w:rsidR="00005530">
        <w:t>ing</w:t>
      </w:r>
      <w:r w:rsidR="001C618B">
        <w:t xml:space="preserve"> the need for balance between standardisation and adaptability </w:t>
      </w:r>
      <w:sdt>
        <w:sdtPr>
          <w:id w:val="-1697302875"/>
          <w:citation/>
        </w:sdtPr>
        <w:sdtContent>
          <w:r w:rsidR="00787E38">
            <w:fldChar w:fldCharType="begin"/>
          </w:r>
          <w:r w:rsidR="00787E38">
            <w:instrText xml:space="preserve"> CITATION Pau08 \l 2057 </w:instrText>
          </w:r>
          <w:r w:rsidR="00787E38">
            <w:fldChar w:fldCharType="separate"/>
          </w:r>
          <w:r w:rsidR="00787E38" w:rsidRPr="00787E38">
            <w:rPr>
              <w:noProof/>
            </w:rPr>
            <w:t>(Bannerman, 2008)</w:t>
          </w:r>
          <w:r w:rsidR="00787E38">
            <w:fldChar w:fldCharType="end"/>
          </w:r>
        </w:sdtContent>
      </w:sdt>
      <w:sdt>
        <w:sdtPr>
          <w:id w:val="2000304143"/>
          <w:citation/>
        </w:sdtPr>
        <w:sdtContent>
          <w:r w:rsidR="001C618B">
            <w:fldChar w:fldCharType="begin"/>
          </w:r>
          <w:r w:rsidR="001C618B">
            <w:rPr>
              <w:lang w:val="en-US"/>
            </w:rPr>
            <w:instrText xml:space="preserve"> CITATION Dav23 \l 1033 </w:instrText>
          </w:r>
          <w:r w:rsidR="001C618B">
            <w:fldChar w:fldCharType="separate"/>
          </w:r>
          <w:r w:rsidR="001C618B" w:rsidRPr="001C618B">
            <w:rPr>
              <w:noProof/>
              <w:lang w:val="en-US"/>
            </w:rPr>
            <w:t>(Hilson, 2023)</w:t>
          </w:r>
          <w:r w:rsidR="001C618B">
            <w:fldChar w:fldCharType="end"/>
          </w:r>
        </w:sdtContent>
      </w:sdt>
      <w:r w:rsidR="001C618B">
        <w:t xml:space="preserve"> </w:t>
      </w:r>
      <w:sdt>
        <w:sdtPr>
          <w:id w:val="-455326020"/>
          <w:citation/>
        </w:sdtPr>
        <w:sdtContent>
          <w:r w:rsidR="001C618B">
            <w:fldChar w:fldCharType="begin"/>
          </w:r>
          <w:r w:rsidR="001C618B">
            <w:rPr>
              <w:lang w:val="en-US"/>
            </w:rPr>
            <w:instrText xml:space="preserve"> CITATION Ave16 \l 1033 </w:instrText>
          </w:r>
          <w:r w:rsidR="001C618B">
            <w:fldChar w:fldCharType="separate"/>
          </w:r>
          <w:r w:rsidR="001C618B" w:rsidRPr="001C618B">
            <w:rPr>
              <w:noProof/>
              <w:lang w:val="en-US"/>
            </w:rPr>
            <w:t>(Aven, 2016)</w:t>
          </w:r>
          <w:r w:rsidR="001C618B">
            <w:fldChar w:fldCharType="end"/>
          </w:r>
        </w:sdtContent>
      </w:sdt>
      <w:r w:rsidR="001C618B">
        <w:t>.</w:t>
      </w:r>
    </w:p>
    <w:p w14:paraId="63F46474" w14:textId="77777777" w:rsidR="00EF2F8C" w:rsidRDefault="00EF2F8C" w:rsidP="001C618B">
      <w:pPr>
        <w:spacing w:after="0" w:line="360" w:lineRule="auto"/>
        <w:ind w:left="-576" w:right="-576"/>
        <w:jc w:val="both"/>
      </w:pPr>
    </w:p>
    <w:p w14:paraId="7728AC8F" w14:textId="5EB1743A" w:rsidR="005823DE" w:rsidRPr="00C67CBE" w:rsidRDefault="008D6265" w:rsidP="001C618B">
      <w:pPr>
        <w:spacing w:after="0" w:line="360" w:lineRule="auto"/>
        <w:ind w:left="-576" w:right="-576"/>
        <w:jc w:val="both"/>
        <w:rPr>
          <w:highlight w:val="yellow"/>
        </w:rPr>
      </w:pPr>
      <w:r w:rsidRPr="00471952">
        <w:t xml:space="preserve">The demographic profile </w:t>
      </w:r>
      <w:r w:rsidR="00B74398" w:rsidRPr="00471952">
        <w:t xml:space="preserve">of the </w:t>
      </w:r>
      <w:r w:rsidR="002C4D1D" w:rsidRPr="00471952">
        <w:t>respondents</w:t>
      </w:r>
      <w:r w:rsidR="008D7C9E" w:rsidRPr="00471952">
        <w:t xml:space="preserve">, </w:t>
      </w:r>
      <w:r w:rsidR="005F5AFA" w:rsidRPr="00471952">
        <w:t xml:space="preserve">the majority </w:t>
      </w:r>
      <w:r w:rsidR="00893297" w:rsidRPr="00471952">
        <w:t>engineers and project</w:t>
      </w:r>
      <w:r w:rsidR="00C56C69" w:rsidRPr="00471952">
        <w:t>-related</w:t>
      </w:r>
      <w:r w:rsidR="00893297" w:rsidRPr="00471952">
        <w:t xml:space="preserve"> managers</w:t>
      </w:r>
      <w:r w:rsidR="008D7C9E" w:rsidRPr="00471952">
        <w:t xml:space="preserve">, </w:t>
      </w:r>
      <w:r w:rsidR="00E5015A" w:rsidRPr="00471952">
        <w:t>displays a str</w:t>
      </w:r>
      <w:r w:rsidR="00471952">
        <w:t>o</w:t>
      </w:r>
      <w:r w:rsidR="00E5015A" w:rsidRPr="00471952">
        <w:t>ng</w:t>
      </w:r>
      <w:r w:rsidR="00E5015A">
        <w:rPr>
          <w:highlight w:val="yellow"/>
        </w:rPr>
        <w:t xml:space="preserve"> </w:t>
      </w:r>
      <w:r w:rsidR="00E5015A" w:rsidRPr="00471952">
        <w:t xml:space="preserve">technical/operational skillset reflecting the reality of </w:t>
      </w:r>
      <w:r w:rsidR="00782DBC" w:rsidRPr="00471952">
        <w:t xml:space="preserve">practice. </w:t>
      </w:r>
      <w:r w:rsidR="00C56C69" w:rsidRPr="00471952">
        <w:t xml:space="preserve">However, caution must be taken </w:t>
      </w:r>
      <w:r w:rsidR="00D26848" w:rsidRPr="00471952">
        <w:t xml:space="preserve">with the wider application of findings across industry sectors as </w:t>
      </w:r>
      <w:r w:rsidR="00EE59C1" w:rsidRPr="00471952">
        <w:t xml:space="preserve">there was limited representation of dedicated project managers, and this was within one industry </w:t>
      </w:r>
      <w:r w:rsidR="003A7C86" w:rsidRPr="00471952">
        <w:t>organisation</w:t>
      </w:r>
      <w:r w:rsidR="005823DE" w:rsidRPr="00471952">
        <w:t xml:space="preserve"> only.</w:t>
      </w:r>
      <w:r w:rsidR="00AC6BA1" w:rsidRPr="00471952">
        <w:t xml:space="preserve"> </w:t>
      </w:r>
      <w:r w:rsidR="00596F28" w:rsidRPr="00471952">
        <w:t xml:space="preserve">Perspectives may therefore be shaped by </w:t>
      </w:r>
      <w:r w:rsidR="008109F2" w:rsidRPr="00471952">
        <w:t>established organisational practices</w:t>
      </w:r>
      <w:r w:rsidR="00BC17E1" w:rsidRPr="00471952">
        <w:t xml:space="preserve">, which may under-represent the more agile approaches </w:t>
      </w:r>
      <w:r w:rsidR="003A7C86" w:rsidRPr="00471952">
        <w:t>of less-experienced individuals</w:t>
      </w:r>
      <w:r w:rsidR="000B7015" w:rsidRPr="00471952">
        <w:t>, or other sectors</w:t>
      </w:r>
      <w:r w:rsidR="003A7C86" w:rsidRPr="00471952">
        <w:t xml:space="preserve">. </w:t>
      </w:r>
      <w:r w:rsidR="00BD4E7C" w:rsidRPr="00471952">
        <w:t xml:space="preserve">However, the </w:t>
      </w:r>
      <w:r w:rsidR="00AC6BA1" w:rsidRPr="00471952">
        <w:t>range</w:t>
      </w:r>
      <w:r w:rsidR="00BD4E7C" w:rsidRPr="00471952">
        <w:t xml:space="preserve"> of </w:t>
      </w:r>
      <w:r w:rsidR="00F00746" w:rsidRPr="00471952">
        <w:t xml:space="preserve">project scales </w:t>
      </w:r>
      <w:r w:rsidR="00AC6BA1" w:rsidRPr="00471952">
        <w:t xml:space="preserve">represented </w:t>
      </w:r>
      <w:r w:rsidR="00F00746" w:rsidRPr="00471952">
        <w:t xml:space="preserve">strengthens the dataset, </w:t>
      </w:r>
      <w:r w:rsidR="00BD29A0" w:rsidRPr="00471952">
        <w:t>highlighting</w:t>
      </w:r>
      <w:r w:rsidR="00A227C5" w:rsidRPr="00471952">
        <w:t xml:space="preserve"> differences between </w:t>
      </w:r>
      <w:r w:rsidR="00F00746" w:rsidRPr="00471952">
        <w:t>larger high value projects</w:t>
      </w:r>
      <w:r w:rsidR="00471952" w:rsidRPr="00471952">
        <w:t xml:space="preserve">, </w:t>
      </w:r>
      <w:r w:rsidR="00EE05CE" w:rsidRPr="00471952">
        <w:t>typically utilis</w:t>
      </w:r>
      <w:r w:rsidR="00A227C5" w:rsidRPr="00471952">
        <w:t>ing</w:t>
      </w:r>
      <w:r w:rsidR="00EE05CE" w:rsidRPr="00471952">
        <w:t xml:space="preserve"> formal, systematic methodologies</w:t>
      </w:r>
      <w:r w:rsidR="00471952" w:rsidRPr="00471952">
        <w:t>,</w:t>
      </w:r>
      <w:r w:rsidR="00A227C5" w:rsidRPr="00471952">
        <w:t xml:space="preserve"> and </w:t>
      </w:r>
      <w:r w:rsidR="009D7556" w:rsidRPr="00471952">
        <w:t xml:space="preserve">informal, ad-hoc practices adopted for smaller projects. </w:t>
      </w:r>
      <w:r w:rsidR="000C6B60">
        <w:t xml:space="preserve">Whilst the diversity is advantageous, the bias </w:t>
      </w:r>
      <w:r w:rsidR="009D7556" w:rsidRPr="00471952">
        <w:t xml:space="preserve">The variation </w:t>
      </w:r>
      <w:r w:rsidR="004C59EE" w:rsidRPr="00471952">
        <w:t>highlights potential disparities in tool effectiveness and adaptability of existing frameworks across the project management landscape.</w:t>
      </w:r>
    </w:p>
    <w:p w14:paraId="77BCCCCD" w14:textId="77777777" w:rsidR="001669E1" w:rsidRPr="00C67CBE" w:rsidRDefault="001669E1" w:rsidP="001C618B">
      <w:pPr>
        <w:spacing w:after="0" w:line="360" w:lineRule="auto"/>
        <w:ind w:left="-576" w:right="-576"/>
        <w:jc w:val="both"/>
        <w:rPr>
          <w:highlight w:val="yellow"/>
        </w:rPr>
      </w:pPr>
    </w:p>
    <w:p w14:paraId="7A9D1433" w14:textId="30C75815" w:rsidR="00EF2F8C" w:rsidRDefault="008B44DB" w:rsidP="001C618B">
      <w:pPr>
        <w:spacing w:after="0" w:line="360" w:lineRule="auto"/>
        <w:ind w:left="-576" w:right="-576"/>
        <w:jc w:val="both"/>
      </w:pPr>
      <w:r>
        <w:t xml:space="preserve">The </w:t>
      </w:r>
      <w:r w:rsidR="00635F1B">
        <w:t>discussion below</w:t>
      </w:r>
      <w:r w:rsidR="00CA40AA">
        <w:t xml:space="preserve"> reviews the </w:t>
      </w:r>
      <w:r w:rsidR="00CF6E7A">
        <w:t>findings</w:t>
      </w:r>
      <w:r w:rsidR="00635F1B">
        <w:t xml:space="preserve"> </w:t>
      </w:r>
      <w:r w:rsidR="00CF6E7A">
        <w:t xml:space="preserve">alongside the current literature </w:t>
      </w:r>
      <w:r w:rsidR="0097235C">
        <w:t xml:space="preserve">as presented in section 6, assessing the </w:t>
      </w:r>
      <w:r w:rsidR="00D2588B">
        <w:t xml:space="preserve">impact of culture, training, methodological </w:t>
      </w:r>
      <w:r w:rsidR="00774BA0">
        <w:t>constraints</w:t>
      </w:r>
      <w:r w:rsidR="00D2588B">
        <w:t xml:space="preserve"> and individual </w:t>
      </w:r>
      <w:r w:rsidR="00774BA0">
        <w:t>behaviours</w:t>
      </w:r>
      <w:r w:rsidR="00D2588B">
        <w:t xml:space="preserve"> </w:t>
      </w:r>
      <w:r w:rsidR="00774BA0">
        <w:t>on risk management effectiveness.</w:t>
      </w:r>
    </w:p>
    <w:p w14:paraId="526E190B" w14:textId="5C161A26" w:rsidR="001C618B" w:rsidRDefault="00D113B5" w:rsidP="001C618B">
      <w:pPr>
        <w:spacing w:after="0" w:line="360" w:lineRule="auto"/>
        <w:ind w:left="-576" w:right="-576"/>
        <w:jc w:val="both"/>
        <w:rPr>
          <w:color w:val="EE0000"/>
        </w:rPr>
      </w:pPr>
      <w:r>
        <w:rPr>
          <w:color w:val="EE0000"/>
        </w:rPr>
        <w:t>287</w:t>
      </w:r>
      <w:r w:rsidR="004C7CE1" w:rsidRPr="004C7CE1">
        <w:rPr>
          <w:color w:val="EE0000"/>
        </w:rPr>
        <w:t xml:space="preserve"> </w:t>
      </w:r>
      <w:r w:rsidR="00445C61">
        <w:rPr>
          <w:color w:val="EE0000"/>
        </w:rPr>
        <w:t>(</w:t>
      </w:r>
      <w:r>
        <w:rPr>
          <w:color w:val="EE0000"/>
        </w:rPr>
        <w:t>8589</w:t>
      </w:r>
      <w:r w:rsidR="00445C61">
        <w:rPr>
          <w:color w:val="EE0000"/>
        </w:rPr>
        <w:t>)</w:t>
      </w:r>
    </w:p>
    <w:p w14:paraId="327C02AA" w14:textId="77777777" w:rsidR="0008720A" w:rsidRDefault="0008720A" w:rsidP="001C618B">
      <w:pPr>
        <w:spacing w:after="0" w:line="360" w:lineRule="auto"/>
        <w:ind w:left="-576" w:right="-576"/>
        <w:jc w:val="both"/>
        <w:rPr>
          <w:color w:val="EE0000"/>
        </w:rPr>
      </w:pPr>
    </w:p>
    <w:p w14:paraId="7A2A0F44" w14:textId="77777777" w:rsidR="00E43B84" w:rsidRDefault="00E43B84" w:rsidP="001C618B">
      <w:pPr>
        <w:spacing w:after="0" w:line="360" w:lineRule="auto"/>
        <w:ind w:left="-576" w:right="-576"/>
        <w:jc w:val="both"/>
        <w:rPr>
          <w:color w:val="EE0000"/>
        </w:rPr>
      </w:pPr>
    </w:p>
    <w:p w14:paraId="4023D032" w14:textId="77777777" w:rsidR="001D60B3" w:rsidRDefault="001D60B3">
      <w:pPr>
        <w:rPr>
          <w:rFonts w:eastAsiaTheme="majorEastAsia" w:cstheme="majorBidi"/>
        </w:rPr>
      </w:pPr>
      <w:r>
        <w:br w:type="page"/>
      </w:r>
    </w:p>
    <w:p w14:paraId="70CEC29A" w14:textId="37FEAC46" w:rsidR="00542349" w:rsidRPr="00542349" w:rsidRDefault="00542349" w:rsidP="00542349">
      <w:pPr>
        <w:pStyle w:val="Heading2"/>
        <w:ind w:left="-576" w:right="-576"/>
        <w:rPr>
          <w:sz w:val="22"/>
          <w:szCs w:val="22"/>
        </w:rPr>
      </w:pPr>
      <w:bookmarkStart w:id="75" w:name="_Toc219216483"/>
      <w:r w:rsidRPr="00542349">
        <w:rPr>
          <w:sz w:val="22"/>
          <w:szCs w:val="22"/>
        </w:rPr>
        <w:lastRenderedPageBreak/>
        <w:t xml:space="preserve">9.1. </w:t>
      </w:r>
      <w:r w:rsidRPr="00542349">
        <w:rPr>
          <w:sz w:val="22"/>
          <w:szCs w:val="22"/>
          <w:u w:val="single"/>
        </w:rPr>
        <w:t>Current Use of Risk Assessment Tools</w:t>
      </w:r>
      <w:r w:rsidR="004C7CE1">
        <w:rPr>
          <w:sz w:val="22"/>
          <w:szCs w:val="22"/>
          <w:u w:val="single"/>
        </w:rPr>
        <w:t>.</w:t>
      </w:r>
      <w:bookmarkEnd w:id="75"/>
    </w:p>
    <w:p w14:paraId="470C6FA7" w14:textId="77777777" w:rsidR="00542349" w:rsidRDefault="00542349" w:rsidP="00542349">
      <w:pPr>
        <w:spacing w:after="0" w:line="360" w:lineRule="auto"/>
        <w:ind w:left="-576" w:right="-576"/>
        <w:jc w:val="both"/>
      </w:pPr>
    </w:p>
    <w:p w14:paraId="43242E1D" w14:textId="7FEF3783" w:rsidR="00542349" w:rsidRDefault="00542349" w:rsidP="00542349">
      <w:pPr>
        <w:spacing w:after="0" w:line="360" w:lineRule="auto"/>
        <w:ind w:left="-576" w:right="-576"/>
        <w:jc w:val="both"/>
      </w:pPr>
      <w:r>
        <w:t xml:space="preserve">The </w:t>
      </w:r>
      <w:r w:rsidR="00C05B80">
        <w:t>results suggest that</w:t>
      </w:r>
      <w:r>
        <w:t xml:space="preserve"> risk assessment tools </w:t>
      </w:r>
      <w:r w:rsidR="004B2E09">
        <w:t xml:space="preserve">are widely employed </w:t>
      </w:r>
      <w:r w:rsidR="00B12174">
        <w:t>with</w:t>
      </w:r>
      <w:r>
        <w:t>in project management</w:t>
      </w:r>
      <w:r w:rsidR="00B413B7">
        <w:t xml:space="preserve">, </w:t>
      </w:r>
      <w:r w:rsidR="001A0D4A">
        <w:t>indicating that structure</w:t>
      </w:r>
      <w:r w:rsidR="008D2430">
        <w:t>d</w:t>
      </w:r>
      <w:r w:rsidR="001A0D4A">
        <w:t xml:space="preserve"> risk management </w:t>
      </w:r>
      <w:r w:rsidR="008D2430">
        <w:t>is no</w:t>
      </w:r>
      <w:r w:rsidR="001B5E4D">
        <w:t>w</w:t>
      </w:r>
      <w:r w:rsidR="008D2430">
        <w:t xml:space="preserve"> an established expectation, </w:t>
      </w:r>
      <w:r w:rsidR="001B5E4D">
        <w:t>institutionalised</w:t>
      </w:r>
      <w:r w:rsidR="008D2430">
        <w:t xml:space="preserve"> </w:t>
      </w:r>
      <w:r w:rsidR="0005452A">
        <w:t xml:space="preserve">within </w:t>
      </w:r>
      <w:r>
        <w:t>project environments</w:t>
      </w:r>
      <w:r w:rsidR="0005452A">
        <w:t>. This aligns with the</w:t>
      </w:r>
      <w:r w:rsidR="004B2E09">
        <w:t xml:space="preserve"> </w:t>
      </w:r>
      <w:r w:rsidR="0005452A">
        <w:t>literature</w:t>
      </w:r>
      <w:r w:rsidR="00FD4147">
        <w:t xml:space="preserve">, </w:t>
      </w:r>
      <w:r w:rsidR="004B2E09">
        <w:t xml:space="preserve">which </w:t>
      </w:r>
      <w:r w:rsidR="0076277E">
        <w:t>reports that</w:t>
      </w:r>
      <w:r w:rsidR="00FD4147">
        <w:t xml:space="preserve"> </w:t>
      </w:r>
      <w:r w:rsidR="0030169F">
        <w:t xml:space="preserve">formal risk processes have shifted from being optional add-ons to integral components of project delivery </w:t>
      </w:r>
      <w:sdt>
        <w:sdtPr>
          <w:id w:val="-1265753473"/>
          <w:citation/>
        </w:sdtPr>
        <w:sdtContent>
          <w:r w:rsidR="009F702E">
            <w:fldChar w:fldCharType="begin"/>
          </w:r>
          <w:r w:rsidR="009F702E">
            <w:instrText xml:space="preserve"> CITATION Zou17 \l 2057 </w:instrText>
          </w:r>
          <w:r w:rsidR="009F702E">
            <w:fldChar w:fldCharType="separate"/>
          </w:r>
          <w:r w:rsidR="009F702E" w:rsidRPr="009F702E">
            <w:rPr>
              <w:noProof/>
            </w:rPr>
            <w:t>(Zou, 2017)</w:t>
          </w:r>
          <w:r w:rsidR="009F702E">
            <w:fldChar w:fldCharType="end"/>
          </w:r>
        </w:sdtContent>
      </w:sdt>
      <w:sdt>
        <w:sdtPr>
          <w:id w:val="624051859"/>
          <w:citation/>
        </w:sdtPr>
        <w:sdtContent>
          <w:r w:rsidR="009F702E">
            <w:fldChar w:fldCharType="begin"/>
          </w:r>
          <w:r w:rsidR="009F702E">
            <w:instrText xml:space="preserve"> CITATION Jac18 \l 2057 </w:instrText>
          </w:r>
          <w:r w:rsidR="009F702E">
            <w:fldChar w:fldCharType="separate"/>
          </w:r>
          <w:r w:rsidR="009F702E">
            <w:rPr>
              <w:noProof/>
            </w:rPr>
            <w:t xml:space="preserve"> </w:t>
          </w:r>
          <w:r w:rsidR="009F702E" w:rsidRPr="009F702E">
            <w:rPr>
              <w:noProof/>
            </w:rPr>
            <w:t>(Jacqueline Jepson, 2018)</w:t>
          </w:r>
          <w:r w:rsidR="009F702E">
            <w:fldChar w:fldCharType="end"/>
          </w:r>
        </w:sdtContent>
      </w:sdt>
      <w:r w:rsidR="00B6693F">
        <w:t xml:space="preserve">. </w:t>
      </w:r>
      <w:r>
        <w:t xml:space="preserve">This </w:t>
      </w:r>
      <w:r w:rsidR="007E776C">
        <w:t>suggests</w:t>
      </w:r>
      <w:r>
        <w:t xml:space="preserve"> a matur</w:t>
      </w:r>
      <w:r w:rsidR="007E776C">
        <w:t>e recognition</w:t>
      </w:r>
      <w:r>
        <w:t xml:space="preserve"> within organisations </w:t>
      </w:r>
      <w:r w:rsidR="00561ABF">
        <w:t>of risk process as integral,</w:t>
      </w:r>
      <w:r w:rsidR="00D92C13">
        <w:t xml:space="preserve"> </w:t>
      </w:r>
      <w:r w:rsidR="00561ABF">
        <w:t>determinant of project outcomes</w:t>
      </w:r>
      <w:r w:rsidR="001B5E4D">
        <w:t>, rather than optional</w:t>
      </w:r>
      <w:r>
        <w:t>. The embedding of risk tools also indicates that practitioners recognise their value in improving foresight, accountability, and compliance with industry frameworks</w:t>
      </w:r>
      <w:r w:rsidR="00B86A3A">
        <w:t xml:space="preserve">. </w:t>
      </w:r>
    </w:p>
    <w:p w14:paraId="5E09DD35" w14:textId="77777777" w:rsidR="00542349" w:rsidRDefault="00542349" w:rsidP="00542349">
      <w:pPr>
        <w:spacing w:after="0" w:line="360" w:lineRule="auto"/>
        <w:ind w:left="-576" w:right="-576"/>
        <w:jc w:val="both"/>
      </w:pPr>
    </w:p>
    <w:p w14:paraId="77A6A043" w14:textId="77777777" w:rsidR="008C5C51" w:rsidRDefault="00D92C13" w:rsidP="00542349">
      <w:pPr>
        <w:spacing w:after="0" w:line="360" w:lineRule="auto"/>
        <w:ind w:left="-576" w:right="-576"/>
        <w:jc w:val="both"/>
      </w:pPr>
      <w:r>
        <w:t xml:space="preserve">However, this widespread adoption continues to mask significant variation in the application of such tools, and therefore how this </w:t>
      </w:r>
      <w:r w:rsidR="00452D0D">
        <w:t>translates</w:t>
      </w:r>
      <w:r>
        <w:t xml:space="preserve"> to meaningful practice</w:t>
      </w:r>
      <w:r w:rsidR="00452D0D">
        <w:t>.</w:t>
      </w:r>
      <w:r>
        <w:t xml:space="preserve"> </w:t>
      </w:r>
      <w:r w:rsidR="00542349">
        <w:t>Tradition</w:t>
      </w:r>
      <w:r w:rsidR="005B39B1">
        <w:t>al</w:t>
      </w:r>
      <w:r w:rsidR="00452D0D">
        <w:t xml:space="preserve"> </w:t>
      </w:r>
      <w:r w:rsidR="005B39B1">
        <w:t>tools</w:t>
      </w:r>
      <w:r w:rsidR="00542349">
        <w:t xml:space="preserve"> such as risk registers, FMEA,</w:t>
      </w:r>
      <w:r w:rsidR="005B39B1">
        <w:t xml:space="preserve"> </w:t>
      </w:r>
      <w:r w:rsidR="00542349">
        <w:t>HAZOP</w:t>
      </w:r>
      <w:r w:rsidR="00E32A07">
        <w:t xml:space="preserve"> </w:t>
      </w:r>
      <w:r w:rsidR="00673F7D">
        <w:t>and cost-benefit analysis</w:t>
      </w:r>
      <w:r w:rsidR="00542349">
        <w:t xml:space="preserve"> dominate practice</w:t>
      </w:r>
      <w:r w:rsidR="00E32A07">
        <w:t xml:space="preserve"> </w:t>
      </w:r>
      <w:r w:rsidR="005C7433">
        <w:t>in both industry and academic research</w:t>
      </w:r>
      <w:r w:rsidR="00041023">
        <w:t xml:space="preserve">, their popularity reflecting their accessibility and familiarity </w:t>
      </w:r>
      <w:sdt>
        <w:sdtPr>
          <w:id w:val="171778726"/>
          <w:citation/>
        </w:sdtPr>
        <w:sdtContent>
          <w:r w:rsidR="00E73952">
            <w:fldChar w:fldCharType="begin"/>
          </w:r>
          <w:r w:rsidR="00E73952">
            <w:rPr>
              <w:lang w:val="en-US"/>
            </w:rPr>
            <w:instrText xml:space="preserve"> CITATION Mar18 \l 1033 </w:instrText>
          </w:r>
          <w:r w:rsidR="00E73952">
            <w:fldChar w:fldCharType="separate"/>
          </w:r>
          <w:r w:rsidR="00E73952" w:rsidRPr="00542349">
            <w:rPr>
              <w:noProof/>
              <w:lang w:val="en-US"/>
            </w:rPr>
            <w:t>(Kolios, 2018)</w:t>
          </w:r>
          <w:r w:rsidR="00E73952">
            <w:fldChar w:fldCharType="end"/>
          </w:r>
        </w:sdtContent>
      </w:sdt>
      <w:r w:rsidR="00E73952">
        <w:t xml:space="preserve">. </w:t>
      </w:r>
      <w:r w:rsidR="005C26AE">
        <w:t>The</w:t>
      </w:r>
      <w:r w:rsidR="00C74788">
        <w:t>se tools are valued for their</w:t>
      </w:r>
      <w:r w:rsidR="005C26AE">
        <w:t xml:space="preserve"> </w:t>
      </w:r>
      <w:r w:rsidR="00542349">
        <w:t xml:space="preserve">structured documentation, systematic identification, and accountability </w:t>
      </w:r>
      <w:sdt>
        <w:sdtPr>
          <w:id w:val="-1336607684"/>
          <w:citation/>
        </w:sdtPr>
        <w:sdtContent>
          <w:r w:rsidR="00542349">
            <w:fldChar w:fldCharType="begin"/>
          </w:r>
          <w:r w:rsidR="00542349">
            <w:rPr>
              <w:lang w:val="en-US"/>
            </w:rPr>
            <w:instrText xml:space="preserve"> CITATION Ros16 \l 1033 </w:instrText>
          </w:r>
          <w:r w:rsidR="00542349">
            <w:fldChar w:fldCharType="separate"/>
          </w:r>
          <w:r w:rsidR="00542349" w:rsidRPr="00542349">
            <w:rPr>
              <w:noProof/>
              <w:lang w:val="en-US"/>
            </w:rPr>
            <w:t>(Rostami, 2016)</w:t>
          </w:r>
          <w:r w:rsidR="00542349">
            <w:fldChar w:fldCharType="end"/>
          </w:r>
        </w:sdtContent>
      </w:sdt>
      <w:r w:rsidR="00826018">
        <w:t xml:space="preserve">. </w:t>
      </w:r>
      <w:r w:rsidR="00AF43EC">
        <w:t xml:space="preserve">For example, risk registers enable traceability throughout the project lifecycle, while FMEA supports reliability assessments by systematically analysing potential failure points. </w:t>
      </w:r>
      <w:r w:rsidR="00DD2249">
        <w:t>Whilst such tools offer</w:t>
      </w:r>
      <w:r w:rsidR="00542349">
        <w:t xml:space="preserve"> clear outputs</w:t>
      </w:r>
      <w:r w:rsidR="00AF43EC">
        <w:t xml:space="preserve">, there </w:t>
      </w:r>
      <w:r w:rsidR="006E0003">
        <w:t>is</w:t>
      </w:r>
      <w:r w:rsidR="00AF43EC">
        <w:t xml:space="preserve"> a risk </w:t>
      </w:r>
      <w:r w:rsidR="00D97B77">
        <w:t xml:space="preserve">that practitioners may </w:t>
      </w:r>
      <w:r w:rsidR="00C16E70">
        <w:t>lean towards comfort</w:t>
      </w:r>
      <w:r w:rsidR="00A121E6">
        <w:t>/familiarity</w:t>
      </w:r>
      <w:r w:rsidR="00C16E70">
        <w:t xml:space="preserve"> and routine rather than </w:t>
      </w:r>
      <w:r w:rsidR="006E2C09">
        <w:t>suitability</w:t>
      </w:r>
      <w:r w:rsidR="00D97B77">
        <w:t xml:space="preserve">. This </w:t>
      </w:r>
      <w:r w:rsidR="00B8381E">
        <w:t xml:space="preserve">becomes more problematic in complex projects where advanced analytics or </w:t>
      </w:r>
      <w:r w:rsidR="00983A91">
        <w:t>probabilistic modelling would</w:t>
      </w:r>
      <w:r w:rsidR="00991229">
        <w:t xml:space="preserve"> </w:t>
      </w:r>
      <w:r w:rsidR="00983A91">
        <w:t>benefit</w:t>
      </w:r>
      <w:r w:rsidR="00991229">
        <w:t xml:space="preserve"> insight</w:t>
      </w:r>
      <w:r w:rsidR="00885A32">
        <w:t xml:space="preserve">. </w:t>
      </w:r>
      <w:r w:rsidR="006E2C09">
        <w:t>While effective at providing visibility and structure, risk registers and qualitative matrices are limited in their ability to capture the probabilistic nature of uncertainty or to model complex interdependencies between risks</w:t>
      </w:r>
      <w:r w:rsidR="00983A91">
        <w:t>. This approach also limits innovation</w:t>
      </w:r>
      <w:r w:rsidR="00F12850">
        <w:t xml:space="preserve"> </w:t>
      </w:r>
      <w:sdt>
        <w:sdtPr>
          <w:id w:val="2117797832"/>
          <w:citation/>
        </w:sdtPr>
        <w:sdtContent>
          <w:r w:rsidR="00F12850">
            <w:fldChar w:fldCharType="begin"/>
          </w:r>
          <w:r w:rsidR="00F12850">
            <w:rPr>
              <w:lang w:val="en-US"/>
            </w:rPr>
            <w:instrText xml:space="preserve"> CITATION Mar18 \l 1033 </w:instrText>
          </w:r>
          <w:r w:rsidR="00F12850">
            <w:fldChar w:fldCharType="separate"/>
          </w:r>
          <w:r w:rsidR="00F12850" w:rsidRPr="00542349">
            <w:rPr>
              <w:noProof/>
              <w:lang w:val="en-US"/>
            </w:rPr>
            <w:t>(Kolios, 2018)</w:t>
          </w:r>
          <w:r w:rsidR="00F12850">
            <w:fldChar w:fldCharType="end"/>
          </w:r>
        </w:sdtContent>
      </w:sdt>
      <w:r w:rsidR="006E2C09">
        <w:t>.</w:t>
      </w:r>
      <w:r w:rsidR="002F4559">
        <w:t xml:space="preserve"> </w:t>
      </w:r>
    </w:p>
    <w:p w14:paraId="3506BBA0" w14:textId="77777777" w:rsidR="008C5C51" w:rsidRDefault="008C5C51" w:rsidP="00542349">
      <w:pPr>
        <w:spacing w:after="0" w:line="360" w:lineRule="auto"/>
        <w:ind w:left="-576" w:right="-576"/>
        <w:jc w:val="both"/>
      </w:pPr>
    </w:p>
    <w:p w14:paraId="059F1744" w14:textId="65128EF8" w:rsidR="00542349" w:rsidRDefault="008C5C51" w:rsidP="00542349">
      <w:pPr>
        <w:spacing w:after="0" w:line="360" w:lineRule="auto"/>
        <w:ind w:left="-576" w:right="-576"/>
        <w:jc w:val="both"/>
      </w:pPr>
      <w:r>
        <w:t>This is supported by the observation that</w:t>
      </w:r>
      <w:r w:rsidR="00A03945">
        <w:t xml:space="preserve"> </w:t>
      </w:r>
      <w:r w:rsidR="005549E2">
        <w:t xml:space="preserve">the </w:t>
      </w:r>
      <w:r w:rsidR="00A03945">
        <w:t>m</w:t>
      </w:r>
      <w:r w:rsidR="00542349">
        <w:t>ore advanced techniques</w:t>
      </w:r>
      <w:r w:rsidR="00E051BE">
        <w:t xml:space="preserve">, </w:t>
      </w:r>
      <w:r w:rsidR="00542349">
        <w:t>such as Monte Carlo simulations</w:t>
      </w:r>
      <w:r w:rsidR="00E051BE">
        <w:t>,</w:t>
      </w:r>
      <w:r w:rsidR="005549E2">
        <w:t xml:space="preserve"> and the 4T’s approach</w:t>
      </w:r>
      <w:r w:rsidR="00E051BE">
        <w:t xml:space="preserve"> </w:t>
      </w:r>
      <w:r w:rsidR="00542349">
        <w:t>were rarely employed</w:t>
      </w:r>
      <w:r>
        <w:t>. These findings</w:t>
      </w:r>
      <w:r w:rsidR="00542349">
        <w:t xml:space="preserve"> </w:t>
      </w:r>
      <w:r>
        <w:t xml:space="preserve">reinforce </w:t>
      </w:r>
      <w:r w:rsidR="00A10D19">
        <w:t>a reliance on simp</w:t>
      </w:r>
      <w:r w:rsidR="000D5D64">
        <w:t>l</w:t>
      </w:r>
      <w:r w:rsidR="00A10D19">
        <w:t>er methods</w:t>
      </w:r>
      <w:r>
        <w:t xml:space="preserve">, </w:t>
      </w:r>
      <w:r w:rsidR="00F0375F">
        <w:t>reflecting</w:t>
      </w:r>
      <w:r>
        <w:t xml:space="preserve"> </w:t>
      </w:r>
      <w:r w:rsidR="00A838B3">
        <w:t xml:space="preserve">key </w:t>
      </w:r>
      <w:r>
        <w:t xml:space="preserve">concerns </w:t>
      </w:r>
      <w:r w:rsidR="004914D1">
        <w:t xml:space="preserve">such as </w:t>
      </w:r>
      <w:r w:rsidR="004914D1" w:rsidRPr="00EE5303">
        <w:t>insufficient analytical capability, time pressures, data limitations, and a preference for intuitive decision</w:t>
      </w:r>
      <w:r w:rsidR="004914D1" w:rsidRPr="00EE5303">
        <w:noBreakHyphen/>
        <w:t>making</w:t>
      </w:r>
      <w:r w:rsidR="004914D1">
        <w:t xml:space="preserve"> as </w:t>
      </w:r>
      <w:r w:rsidR="00791B50">
        <w:t>identified in the literature</w:t>
      </w:r>
      <w:r w:rsidR="00100BD1">
        <w:t xml:space="preserve"> </w:t>
      </w:r>
      <w:sdt>
        <w:sdtPr>
          <w:id w:val="595606684"/>
          <w:citation/>
        </w:sdtPr>
        <w:sdtContent>
          <w:r w:rsidR="00391EDE">
            <w:fldChar w:fldCharType="begin"/>
          </w:r>
          <w:r w:rsidR="00391EDE">
            <w:instrText xml:space="preserve"> CITATION TRa01 \l 2057 </w:instrText>
          </w:r>
          <w:r w:rsidR="00391EDE">
            <w:fldChar w:fldCharType="separate"/>
          </w:r>
          <w:r w:rsidR="00391EDE" w:rsidRPr="00391EDE">
            <w:rPr>
              <w:noProof/>
            </w:rPr>
            <w:t>(T. Raz, 2001)</w:t>
          </w:r>
          <w:r w:rsidR="00391EDE">
            <w:fldChar w:fldCharType="end"/>
          </w:r>
        </w:sdtContent>
      </w:sdt>
      <w:sdt>
        <w:sdtPr>
          <w:id w:val="-751512518"/>
          <w:citation/>
        </w:sdtPr>
        <w:sdtContent>
          <w:r w:rsidR="00B75E11">
            <w:fldChar w:fldCharType="begin"/>
          </w:r>
          <w:r w:rsidR="00B75E11">
            <w:instrText xml:space="preserve"> CITATION Rob18 \l 2057 </w:instrText>
          </w:r>
          <w:r w:rsidR="00B75E11">
            <w:fldChar w:fldCharType="separate"/>
          </w:r>
          <w:r w:rsidR="00B75E11">
            <w:rPr>
              <w:noProof/>
            </w:rPr>
            <w:t xml:space="preserve"> </w:t>
          </w:r>
          <w:r w:rsidR="00B75E11" w:rsidRPr="00B75E11">
            <w:rPr>
              <w:noProof/>
            </w:rPr>
            <w:t>(Robert Pellerin, 2018)</w:t>
          </w:r>
          <w:r w:rsidR="00B75E11">
            <w:fldChar w:fldCharType="end"/>
          </w:r>
        </w:sdtContent>
      </w:sdt>
      <w:r w:rsidR="00E074A6">
        <w:t xml:space="preserve">. </w:t>
      </w:r>
      <w:r w:rsidR="00791B50">
        <w:t xml:space="preserve"> </w:t>
      </w:r>
      <w:r w:rsidR="002738D2">
        <w:t>Similarly,</w:t>
      </w:r>
      <w:r w:rsidR="00542349">
        <w:t xml:space="preserve"> Bannerman</w:t>
      </w:r>
      <w:r w:rsidR="00E074A6">
        <w:t xml:space="preserve"> </w:t>
      </w:r>
      <w:r w:rsidR="00542349">
        <w:t>argues that advanced quantitative approaches, although powerful, are often underutilised due to their perceived complexity and the lack of practitioner expertise</w:t>
      </w:r>
      <w:r w:rsidR="00E051BE">
        <w:t xml:space="preserve"> </w:t>
      </w:r>
      <w:sdt>
        <w:sdtPr>
          <w:id w:val="-503516034"/>
          <w:citation/>
        </w:sdtPr>
        <w:sdtContent>
          <w:r w:rsidR="00E051BE">
            <w:fldChar w:fldCharType="begin"/>
          </w:r>
          <w:r w:rsidR="00E051BE">
            <w:rPr>
              <w:lang w:val="en-US"/>
            </w:rPr>
            <w:instrText xml:space="preserve"> CITATION Pau08 \l 1033 </w:instrText>
          </w:r>
          <w:r w:rsidR="00E051BE">
            <w:fldChar w:fldCharType="separate"/>
          </w:r>
          <w:r w:rsidR="00E051BE" w:rsidRPr="00E051BE">
            <w:rPr>
              <w:noProof/>
              <w:lang w:val="en-US"/>
            </w:rPr>
            <w:t>(Bannerman, 2008)</w:t>
          </w:r>
          <w:r w:rsidR="00E051BE">
            <w:fldChar w:fldCharType="end"/>
          </w:r>
        </w:sdtContent>
      </w:sdt>
      <w:r w:rsidR="00542349">
        <w:t xml:space="preserve">. </w:t>
      </w:r>
      <w:r w:rsidR="002457D0">
        <w:t xml:space="preserve">However, the finding that a small number of respondents, reported the use of custom-built or modified tools/processes such as Management of Change systems, is encouraging, indicating an emerging recognition that traditional tools may not always be sufficient in addressing the diversity of risks encountered across projects; tailoring risk practices to context rather than relying exclusively on standardised approaches </w:t>
      </w:r>
      <w:sdt>
        <w:sdtPr>
          <w:id w:val="-1313875227"/>
          <w:citation/>
        </w:sdtPr>
        <w:sdtContent>
          <w:r w:rsidR="002457D0">
            <w:fldChar w:fldCharType="begin"/>
          </w:r>
          <w:r w:rsidR="002457D0">
            <w:rPr>
              <w:lang w:val="en-US"/>
            </w:rPr>
            <w:instrText xml:space="preserve"> CITATION Mar16 \l 1033 </w:instrText>
          </w:r>
          <w:r w:rsidR="002457D0">
            <w:fldChar w:fldCharType="separate"/>
          </w:r>
          <w:r w:rsidR="002457D0" w:rsidRPr="00E051BE">
            <w:rPr>
              <w:noProof/>
              <w:lang w:val="en-US"/>
            </w:rPr>
            <w:t>(Marle, 2016)</w:t>
          </w:r>
          <w:r w:rsidR="002457D0">
            <w:fldChar w:fldCharType="end"/>
          </w:r>
        </w:sdtContent>
      </w:sdt>
      <w:r w:rsidR="002457D0">
        <w:t xml:space="preserve">. </w:t>
      </w:r>
      <w:r w:rsidR="00542349">
        <w:t>The limited application of</w:t>
      </w:r>
      <w:r w:rsidR="00112159">
        <w:t xml:space="preserve"> more complex</w:t>
      </w:r>
      <w:r w:rsidR="00542349">
        <w:t xml:space="preserve"> methods</w:t>
      </w:r>
      <w:r w:rsidR="00FF371A">
        <w:t>, with continue</w:t>
      </w:r>
      <w:r w:rsidR="00112159">
        <w:t>d</w:t>
      </w:r>
      <w:r w:rsidR="00FF371A">
        <w:t xml:space="preserve"> reliance on qualitative methods, </w:t>
      </w:r>
      <w:r w:rsidR="00542349">
        <w:t>raises concerns about</w:t>
      </w:r>
      <w:r w:rsidR="001F787C">
        <w:t xml:space="preserve"> risk management in </w:t>
      </w:r>
      <w:r w:rsidR="00542349">
        <w:t>large-scale or high</w:t>
      </w:r>
      <w:r w:rsidR="007B5992">
        <w:t>-</w:t>
      </w:r>
      <w:r w:rsidR="00542349">
        <w:t>uncertain</w:t>
      </w:r>
      <w:r w:rsidR="007B5992">
        <w:t>ty</w:t>
      </w:r>
      <w:r w:rsidR="00542349">
        <w:t xml:space="preserve"> projects.</w:t>
      </w:r>
      <w:r w:rsidR="001C638F">
        <w:t xml:space="preserve"> </w:t>
      </w:r>
      <w:r w:rsidR="002738D2">
        <w:t xml:space="preserve">This reinforces the question of whether organisations are selecting tools based on </w:t>
      </w:r>
      <w:r w:rsidR="001C638F">
        <w:t>ease</w:t>
      </w:r>
      <w:r w:rsidR="00A830B1">
        <w:t>/convenience</w:t>
      </w:r>
      <w:r w:rsidR="001C638F">
        <w:t xml:space="preserve"> or appropriateness.</w:t>
      </w:r>
    </w:p>
    <w:p w14:paraId="7F5637BC" w14:textId="6137C052" w:rsidR="00542349" w:rsidRDefault="00542349" w:rsidP="00542349">
      <w:pPr>
        <w:spacing w:after="0" w:line="360" w:lineRule="auto"/>
        <w:ind w:left="-576" w:right="-576"/>
        <w:jc w:val="both"/>
      </w:pPr>
      <w:r w:rsidRPr="00D429BF">
        <w:lastRenderedPageBreak/>
        <w:t>From a project management perspective, this reliance on familiar tools presents a duality. On the one hand, the use of accessible and well-understood methods increases the likelihood of consistent application across projects. This is particularly important in environments where time and resource constraints make the adoption of complex quantitative methods impractical. On the other hand, the preference for simplicity risks oversimplifying or overlooking systemic risks, particularly in high-value projects where the consequences of uncertainty are significant. As Aven argues, effective risk management requires tools that not only provide structure but also reflect the dynamic and probabilistic nature of real-world uncertainty</w:t>
      </w:r>
      <w:r w:rsidR="00E051BE" w:rsidRPr="00D429BF">
        <w:t xml:space="preserve"> </w:t>
      </w:r>
      <w:sdt>
        <w:sdtPr>
          <w:id w:val="1244986819"/>
          <w:citation/>
        </w:sdtPr>
        <w:sdtContent>
          <w:r w:rsidR="00E051BE" w:rsidRPr="00D429BF">
            <w:fldChar w:fldCharType="begin"/>
          </w:r>
          <w:r w:rsidR="00E051BE" w:rsidRPr="00D429BF">
            <w:rPr>
              <w:lang w:val="en-US"/>
            </w:rPr>
            <w:instrText xml:space="preserve"> CITATION Ave16 \l 1033 </w:instrText>
          </w:r>
          <w:r w:rsidR="00E051BE" w:rsidRPr="00D429BF">
            <w:fldChar w:fldCharType="separate"/>
          </w:r>
          <w:r w:rsidR="00E051BE" w:rsidRPr="00D429BF">
            <w:rPr>
              <w:noProof/>
              <w:lang w:val="en-US"/>
            </w:rPr>
            <w:t>(Aven, 2016)</w:t>
          </w:r>
          <w:r w:rsidR="00E051BE" w:rsidRPr="00D429BF">
            <w:fldChar w:fldCharType="end"/>
          </w:r>
        </w:sdtContent>
      </w:sdt>
      <w:r w:rsidRPr="00D429BF">
        <w:t>.</w:t>
      </w:r>
    </w:p>
    <w:p w14:paraId="29A52900" w14:textId="77777777" w:rsidR="00542349" w:rsidRDefault="00542349" w:rsidP="00542349">
      <w:pPr>
        <w:spacing w:after="0" w:line="360" w:lineRule="auto"/>
        <w:ind w:left="-576" w:right="-576"/>
        <w:jc w:val="both"/>
      </w:pPr>
    </w:p>
    <w:p w14:paraId="4022A8A9" w14:textId="78C5D601" w:rsidR="00542349" w:rsidRDefault="002A5399" w:rsidP="00542349">
      <w:pPr>
        <w:spacing w:after="0" w:line="360" w:lineRule="auto"/>
        <w:ind w:left="-576" w:right="-576"/>
        <w:jc w:val="both"/>
      </w:pPr>
      <w:r>
        <w:t xml:space="preserve">The pattern of risk assessment tool </w:t>
      </w:r>
      <w:r w:rsidR="008B362E">
        <w:t>use</w:t>
      </w:r>
      <w:r>
        <w:t xml:space="preserve"> also identified a significant finding</w:t>
      </w:r>
      <w:r w:rsidR="00AC2D79">
        <w:t xml:space="preserve"> relating to timing of tool application</w:t>
      </w:r>
      <w:r w:rsidR="00101EF5">
        <w:t xml:space="preserve">. Whilst </w:t>
      </w:r>
      <w:r w:rsidR="007872E8">
        <w:t>tools are embedded in practice, n</w:t>
      </w:r>
      <w:r w:rsidR="00542349">
        <w:t xml:space="preserve">early a third of respondents </w:t>
      </w:r>
      <w:r w:rsidR="00587F03">
        <w:t>conduct</w:t>
      </w:r>
      <w:r w:rsidR="007872E8">
        <w:t xml:space="preserve"> </w:t>
      </w:r>
      <w:r w:rsidR="00542349">
        <w:t xml:space="preserve">risk assessment </w:t>
      </w:r>
      <w:r w:rsidR="00394C87">
        <w:t>at project</w:t>
      </w:r>
      <w:r w:rsidR="00542349">
        <w:t xml:space="preserve"> initiation</w:t>
      </w:r>
      <w:r w:rsidR="00394C87">
        <w:t xml:space="preserve">, with only the minority </w:t>
      </w:r>
      <w:r w:rsidR="00C86554">
        <w:t>appl</w:t>
      </w:r>
      <w:r w:rsidR="00587F03">
        <w:t>ying throughout the project</w:t>
      </w:r>
      <w:r w:rsidR="008E37B7">
        <w:t xml:space="preserve"> lifecycle</w:t>
      </w:r>
      <w:r w:rsidR="00542349">
        <w:t>.</w:t>
      </w:r>
      <w:r w:rsidR="00524044">
        <w:t xml:space="preserve"> This </w:t>
      </w:r>
      <w:r w:rsidR="000A49C8">
        <w:t xml:space="preserve">sharply contrasts with </w:t>
      </w:r>
      <w:r w:rsidR="00E660FD">
        <w:t xml:space="preserve">iterative, cyclical </w:t>
      </w:r>
      <w:r w:rsidR="00542349">
        <w:t xml:space="preserve">recommendations </w:t>
      </w:r>
      <w:r w:rsidR="00E660FD">
        <w:t>within frameworks such a</w:t>
      </w:r>
      <w:r w:rsidR="0081006D">
        <w:t xml:space="preserve">s </w:t>
      </w:r>
      <w:r w:rsidR="00542349">
        <w:t>PMBOK</w:t>
      </w:r>
      <w:r w:rsidR="0081006D">
        <w:t xml:space="preserve"> and ISO 31000</w:t>
      </w:r>
      <w:r w:rsidR="00D61AC2">
        <w:t xml:space="preserve">, suggesting </w:t>
      </w:r>
      <w:r w:rsidR="00422095">
        <w:t xml:space="preserve">that risk management is </w:t>
      </w:r>
      <w:r w:rsidR="00D008AF">
        <w:t>approached</w:t>
      </w:r>
      <w:r w:rsidR="00422095">
        <w:t xml:space="preserve"> as a compliance </w:t>
      </w:r>
      <w:r w:rsidR="00D008AF">
        <w:t>formality</w:t>
      </w:r>
      <w:r w:rsidR="00422095">
        <w:t xml:space="preserve"> rather than </w:t>
      </w:r>
      <w:r w:rsidR="003805C1">
        <w:t>integrated into decision</w:t>
      </w:r>
      <w:r w:rsidR="00D008AF">
        <w:t>-</w:t>
      </w:r>
      <w:r w:rsidR="003805C1">
        <w:t>making processes.</w:t>
      </w:r>
      <w:r w:rsidR="00704505">
        <w:t xml:space="preserve"> </w:t>
      </w:r>
      <w:r w:rsidR="000D70F5">
        <w:t xml:space="preserve">This creates a disconnect between theory and </w:t>
      </w:r>
      <w:r w:rsidR="005C660A">
        <w:t xml:space="preserve">practice, </w:t>
      </w:r>
      <w:r w:rsidR="006C2DC4">
        <w:t xml:space="preserve">and lack of organisational governance, </w:t>
      </w:r>
      <w:r w:rsidR="005C660A">
        <w:t xml:space="preserve">with a failure to capture </w:t>
      </w:r>
      <w:r w:rsidR="00587F03">
        <w:t xml:space="preserve">evolving </w:t>
      </w:r>
      <w:r w:rsidR="005C660A">
        <w:t xml:space="preserve">risks </w:t>
      </w:r>
      <w:r w:rsidR="00F75854">
        <w:t xml:space="preserve">and new threats </w:t>
      </w:r>
      <w:sdt>
        <w:sdtPr>
          <w:id w:val="-332449467"/>
          <w:citation/>
        </w:sdtPr>
        <w:sdtContent>
          <w:r w:rsidR="00F75854">
            <w:fldChar w:fldCharType="begin"/>
          </w:r>
          <w:r w:rsidR="00F75854">
            <w:rPr>
              <w:lang w:val="en-US"/>
            </w:rPr>
            <w:instrText xml:space="preserve"> CITATION Mer20 \l 1033 </w:instrText>
          </w:r>
          <w:r w:rsidR="00F75854">
            <w:fldChar w:fldCharType="separate"/>
          </w:r>
          <w:r w:rsidR="00F75854" w:rsidRPr="00E051BE">
            <w:rPr>
              <w:noProof/>
              <w:lang w:val="en-US"/>
            </w:rPr>
            <w:t>(Merkourios Papanikolaou, 2020)</w:t>
          </w:r>
          <w:r w:rsidR="00F75854">
            <w:fldChar w:fldCharType="end"/>
          </w:r>
        </w:sdtContent>
      </w:sdt>
      <w:r w:rsidR="00F75854" w:rsidRPr="00F75854">
        <w:t xml:space="preserve"> </w:t>
      </w:r>
      <w:sdt>
        <w:sdtPr>
          <w:id w:val="1313599205"/>
          <w:citation/>
        </w:sdtPr>
        <w:sdtContent>
          <w:r w:rsidR="00F75854">
            <w:fldChar w:fldCharType="begin"/>
          </w:r>
          <w:r w:rsidR="00F75854">
            <w:rPr>
              <w:lang w:val="en-US"/>
            </w:rPr>
            <w:instrText xml:space="preserve"> CITATION Muh18 \l 1033 </w:instrText>
          </w:r>
          <w:r w:rsidR="00F75854">
            <w:fldChar w:fldCharType="separate"/>
          </w:r>
          <w:r w:rsidR="00F75854" w:rsidRPr="00E051BE">
            <w:rPr>
              <w:noProof/>
              <w:lang w:val="en-US"/>
            </w:rPr>
            <w:t>(Muhammet Gul, 2018)</w:t>
          </w:r>
          <w:r w:rsidR="00F75854">
            <w:fldChar w:fldCharType="end"/>
          </w:r>
        </w:sdtContent>
      </w:sdt>
      <w:r w:rsidR="00542349">
        <w:t xml:space="preserve">. </w:t>
      </w:r>
      <w:r w:rsidR="00C53B15">
        <w:t xml:space="preserve">Similar findings were noted in the literature, where the snapshot principle of risk management was a common </w:t>
      </w:r>
      <w:r w:rsidR="0033724E">
        <w:t xml:space="preserve">occurrence </w:t>
      </w:r>
      <w:sdt>
        <w:sdtPr>
          <w:id w:val="-1104423996"/>
          <w:citation/>
        </w:sdtPr>
        <w:sdtContent>
          <w:r w:rsidR="0033724E">
            <w:fldChar w:fldCharType="begin"/>
          </w:r>
          <w:r w:rsidR="0033724E">
            <w:instrText xml:space="preserve"> CITATION Mar10 \l 2057 </w:instrText>
          </w:r>
          <w:r w:rsidR="0033724E">
            <w:fldChar w:fldCharType="separate"/>
          </w:r>
          <w:r w:rsidR="0033724E" w:rsidRPr="0033724E">
            <w:rPr>
              <w:noProof/>
            </w:rPr>
            <w:t>(Schieg, 2010)</w:t>
          </w:r>
          <w:r w:rsidR="0033724E">
            <w:fldChar w:fldCharType="end"/>
          </w:r>
        </w:sdtContent>
      </w:sdt>
      <w:sdt>
        <w:sdtPr>
          <w:id w:val="1559742941"/>
          <w:citation/>
        </w:sdtPr>
        <w:sdtContent>
          <w:r w:rsidR="009208C3">
            <w:fldChar w:fldCharType="begin"/>
          </w:r>
          <w:r w:rsidR="009208C3">
            <w:instrText xml:space="preserve"> CITATION Kar10 \l 2057 </w:instrText>
          </w:r>
          <w:r w:rsidR="009208C3">
            <w:fldChar w:fldCharType="separate"/>
          </w:r>
          <w:r w:rsidR="009208C3">
            <w:rPr>
              <w:noProof/>
            </w:rPr>
            <w:t xml:space="preserve"> </w:t>
          </w:r>
          <w:r w:rsidR="009208C3" w:rsidRPr="009208C3">
            <w:rPr>
              <w:noProof/>
            </w:rPr>
            <w:t>(Karel de Bakker, 2010)</w:t>
          </w:r>
          <w:r w:rsidR="009208C3">
            <w:fldChar w:fldCharType="end"/>
          </w:r>
        </w:sdtContent>
      </w:sdt>
      <w:r w:rsidR="002D3266">
        <w:t xml:space="preserve">. </w:t>
      </w:r>
      <w:r w:rsidR="00542349">
        <w:t xml:space="preserve">The evidence from the survey suggests that while tools are formally adopted, their </w:t>
      </w:r>
      <w:r w:rsidR="002D3266">
        <w:t>purpose is fundamentally undermined</w:t>
      </w:r>
      <w:r w:rsidR="00705B7E">
        <w:t xml:space="preserve">, leaving them less able to positively influence outcomes. </w:t>
      </w:r>
    </w:p>
    <w:p w14:paraId="0CAD3610" w14:textId="77777777" w:rsidR="00542349" w:rsidRDefault="00542349" w:rsidP="00542349">
      <w:pPr>
        <w:spacing w:after="0" w:line="360" w:lineRule="auto"/>
        <w:ind w:left="-576" w:right="-576"/>
        <w:jc w:val="both"/>
      </w:pPr>
    </w:p>
    <w:p w14:paraId="616885B6" w14:textId="6292EB9E" w:rsidR="0070396D" w:rsidRDefault="00A928BB" w:rsidP="0070396D">
      <w:pPr>
        <w:spacing w:after="0" w:line="360" w:lineRule="auto"/>
        <w:ind w:left="-576" w:right="-576"/>
        <w:jc w:val="both"/>
      </w:pPr>
      <w:r>
        <w:t>P</w:t>
      </w:r>
      <w:r w:rsidR="0070396D">
        <w:t xml:space="preserve">roject scale </w:t>
      </w:r>
      <w:r w:rsidR="00B04FDC">
        <w:t xml:space="preserve">also appears to impact </w:t>
      </w:r>
      <w:r w:rsidR="0070396D">
        <w:t xml:space="preserve">on tool </w:t>
      </w:r>
      <w:r w:rsidR="00B04FDC">
        <w:t>selection, t</w:t>
      </w:r>
      <w:r w:rsidR="0070396D">
        <w:t>he size and complexity of projects often correlat</w:t>
      </w:r>
      <w:r w:rsidR="00B04FDC">
        <w:t>ing</w:t>
      </w:r>
      <w:r w:rsidR="0070396D">
        <w:t xml:space="preserve"> with the formality of risk processes</w:t>
      </w:r>
      <w:r w:rsidR="00B04FDC">
        <w:t xml:space="preserve">. </w:t>
      </w:r>
      <w:r w:rsidR="0070396D">
        <w:t xml:space="preserve"> </w:t>
      </w:r>
      <w:r w:rsidR="00B04FDC">
        <w:t>S</w:t>
      </w:r>
      <w:r w:rsidR="0070396D">
        <w:t xml:space="preserve">maller projects </w:t>
      </w:r>
      <w:r w:rsidR="000B2E18">
        <w:t>often</w:t>
      </w:r>
      <w:r w:rsidR="0070396D">
        <w:t xml:space="preserve"> rely on more informal approaches, whereas larger more complex projects typically demand more sophisticated systematic, quantitative methods. The underrepresentation </w:t>
      </w:r>
      <w:r w:rsidR="00EC6316">
        <w:t xml:space="preserve">in the survey </w:t>
      </w:r>
      <w:r w:rsidR="0070396D">
        <w:t>of advanced tools may reflect the financial and technical scale of many respondents’ projects, however</w:t>
      </w:r>
      <w:r w:rsidR="00D07F79">
        <w:t xml:space="preserve"> indication that there is a </w:t>
      </w:r>
      <w:r w:rsidR="0070396D">
        <w:t>tendency of the organisation to underutilise advanced methods</w:t>
      </w:r>
      <w:r w:rsidR="00D07F79">
        <w:t>,</w:t>
      </w:r>
      <w:r w:rsidR="0070396D">
        <w:t xml:space="preserve"> even where they would offer significant insight and advantage</w:t>
      </w:r>
      <w:r w:rsidR="00D07F79">
        <w:t>,</w:t>
      </w:r>
      <w:r w:rsidR="0070396D">
        <w:t xml:space="preserve"> re-enforces the gap in risk assessment robustness.</w:t>
      </w:r>
    </w:p>
    <w:p w14:paraId="5B96D8E3" w14:textId="77777777" w:rsidR="0070396D" w:rsidRDefault="0070396D" w:rsidP="0070396D">
      <w:pPr>
        <w:spacing w:after="0" w:line="360" w:lineRule="auto"/>
        <w:ind w:left="-576" w:right="-576"/>
        <w:jc w:val="both"/>
      </w:pPr>
    </w:p>
    <w:p w14:paraId="6BFFAF0B" w14:textId="331B3D76" w:rsidR="00542349" w:rsidRDefault="00882832" w:rsidP="00A61942">
      <w:pPr>
        <w:spacing w:after="0" w:line="360" w:lineRule="auto"/>
        <w:ind w:left="-576" w:right="-576"/>
        <w:jc w:val="both"/>
      </w:pPr>
      <w:r>
        <w:t xml:space="preserve">Central to </w:t>
      </w:r>
      <w:r w:rsidR="00244F4B">
        <w:t>effective use</w:t>
      </w:r>
      <w:r w:rsidR="00A61942">
        <w:t xml:space="preserve"> appears to be the influence of </w:t>
      </w:r>
      <w:r w:rsidR="00542349">
        <w:t xml:space="preserve">organisational and cultural factors. </w:t>
      </w:r>
      <w:r w:rsidR="00E209FB">
        <w:t>Cited</w:t>
      </w:r>
      <w:r w:rsidR="008C09A7">
        <w:t xml:space="preserve"> b</w:t>
      </w:r>
      <w:r w:rsidR="00EE7A2F">
        <w:t xml:space="preserve">arriers such as </w:t>
      </w:r>
      <w:r w:rsidR="00C47E54">
        <w:t>time pressure, lack of training and stakeholder engagement</w:t>
      </w:r>
      <w:r w:rsidR="00E209FB">
        <w:t xml:space="preserve"> suggest that </w:t>
      </w:r>
      <w:r w:rsidR="00912327">
        <w:t>organisational system, behaviours and culture</w:t>
      </w:r>
      <w:r w:rsidR="00C15EDF">
        <w:t xml:space="preserve"> shape tool effectiveness</w:t>
      </w:r>
      <w:r w:rsidR="00CA6580">
        <w:t>.</w:t>
      </w:r>
      <w:r w:rsidR="008A6595">
        <w:t xml:space="preserve"> </w:t>
      </w:r>
      <w:r w:rsidR="00542349">
        <w:t>Tools such as Monte Carlo simulations demand not only technical expertise but also leadership support, training, and an organisational culture that values data-driven decision-making.</w:t>
      </w:r>
      <w:r w:rsidR="00E25226">
        <w:t xml:space="preserve"> This re-forces findings within the literature that </w:t>
      </w:r>
      <w:r w:rsidR="00E24CD9">
        <w:t xml:space="preserve">effective risk management is people-driven, </w:t>
      </w:r>
      <w:r w:rsidR="004859B8">
        <w:t>shaped by leadership and culture.</w:t>
      </w:r>
      <w:r w:rsidR="00542349">
        <w:t xml:space="preserve"> </w:t>
      </w:r>
      <w:r w:rsidR="004859B8">
        <w:t>This is resonated by</w:t>
      </w:r>
      <w:r w:rsidR="00542349">
        <w:t xml:space="preserve"> Khadgi</w:t>
      </w:r>
      <w:r w:rsidR="004859B8">
        <w:t xml:space="preserve"> (2025)</w:t>
      </w:r>
      <w:r w:rsidR="00542349">
        <w:t>, who argues that without stakeholder engagement and cultural integration, risk management processes struggle to generate real value</w:t>
      </w:r>
      <w:r w:rsidR="00E051BE">
        <w:t xml:space="preserve"> </w:t>
      </w:r>
      <w:sdt>
        <w:sdtPr>
          <w:id w:val="-1126459860"/>
          <w:citation/>
        </w:sdtPr>
        <w:sdtContent>
          <w:r w:rsidR="00E051BE">
            <w:fldChar w:fldCharType="begin"/>
          </w:r>
          <w:r w:rsidR="00E051BE">
            <w:rPr>
              <w:lang w:val="en-US"/>
            </w:rPr>
            <w:instrText xml:space="preserve"> CITATION Kha25 \l 1033 </w:instrText>
          </w:r>
          <w:r w:rsidR="00E051BE">
            <w:fldChar w:fldCharType="separate"/>
          </w:r>
          <w:r w:rsidR="00E051BE" w:rsidRPr="00E051BE">
            <w:rPr>
              <w:noProof/>
              <w:lang w:val="en-US"/>
            </w:rPr>
            <w:t>(Khadgi, 2025)</w:t>
          </w:r>
          <w:r w:rsidR="00E051BE">
            <w:fldChar w:fldCharType="end"/>
          </w:r>
        </w:sdtContent>
      </w:sdt>
      <w:r w:rsidR="00542349">
        <w:t>.</w:t>
      </w:r>
    </w:p>
    <w:p w14:paraId="4AEB31C8" w14:textId="77777777" w:rsidR="00542349" w:rsidRDefault="00542349" w:rsidP="00542349">
      <w:pPr>
        <w:spacing w:after="0" w:line="360" w:lineRule="auto"/>
        <w:ind w:left="-576" w:right="-576"/>
        <w:jc w:val="both"/>
      </w:pPr>
    </w:p>
    <w:p w14:paraId="634368FE" w14:textId="75236988" w:rsidR="001C618B" w:rsidRDefault="00CC2BD2" w:rsidP="005D7519">
      <w:pPr>
        <w:spacing w:after="0" w:line="360" w:lineRule="auto"/>
        <w:ind w:left="-576" w:right="-576"/>
        <w:jc w:val="both"/>
      </w:pPr>
      <w:r>
        <w:lastRenderedPageBreak/>
        <w:t>In summary</w:t>
      </w:r>
      <w:r w:rsidR="00542349">
        <w:t xml:space="preserve">, the findings </w:t>
      </w:r>
      <w:r w:rsidR="007A327F">
        <w:t>highlight</w:t>
      </w:r>
      <w:r w:rsidR="00542349">
        <w:t xml:space="preserve"> a </w:t>
      </w:r>
      <w:r w:rsidR="00CE49D5">
        <w:t xml:space="preserve">paradox: although </w:t>
      </w:r>
      <w:r w:rsidR="00542349">
        <w:t xml:space="preserve">universal adoption </w:t>
      </w:r>
      <w:r w:rsidR="00CE49D5">
        <w:t>suggest</w:t>
      </w:r>
      <w:r w:rsidR="005B2B9B">
        <w:t>s</w:t>
      </w:r>
      <w:r w:rsidR="00542349">
        <w:t xml:space="preserve"> a mature and embedded approach to </w:t>
      </w:r>
      <w:r w:rsidR="0078148C">
        <w:t>PRM</w:t>
      </w:r>
      <w:r w:rsidR="00CE49D5">
        <w:t xml:space="preserve">, </w:t>
      </w:r>
      <w:r w:rsidR="00437E47">
        <w:t xml:space="preserve">their </w:t>
      </w:r>
      <w:r w:rsidR="005B2B9B">
        <w:t>application</w:t>
      </w:r>
      <w:r w:rsidR="00437E47">
        <w:t xml:space="preserve"> remains inconsistent,</w:t>
      </w:r>
      <w:r w:rsidR="006918DE">
        <w:t xml:space="preserve"> </w:t>
      </w:r>
      <w:r w:rsidR="005B2B9B">
        <w:t>driven by</w:t>
      </w:r>
      <w:r w:rsidR="006918DE">
        <w:t xml:space="preserve"> tradition rather than best practice</w:t>
      </w:r>
      <w:r w:rsidR="005B2B9B">
        <w:t xml:space="preserve"> or </w:t>
      </w:r>
      <w:r w:rsidR="001D60B3">
        <w:t>suitability</w:t>
      </w:r>
      <w:r w:rsidR="006918DE">
        <w:t xml:space="preserve">. </w:t>
      </w:r>
      <w:r w:rsidR="00542349">
        <w:t xml:space="preserve"> </w:t>
      </w:r>
      <w:r w:rsidR="001C7102">
        <w:t xml:space="preserve">Familiarity provides consistency but </w:t>
      </w:r>
      <w:r w:rsidR="005B2B9B">
        <w:t>limits</w:t>
      </w:r>
      <w:r w:rsidR="00A267EE">
        <w:t xml:space="preserve"> adaptability and tools that offer the depth required for more advanced projects</w:t>
      </w:r>
      <w:r w:rsidR="00542349">
        <w:t xml:space="preserve">. </w:t>
      </w:r>
      <w:r w:rsidR="005D5ED4">
        <w:t xml:space="preserve">The findings reinforce the </w:t>
      </w:r>
      <w:r w:rsidR="00F65DA5">
        <w:t xml:space="preserve">case for a </w:t>
      </w:r>
      <w:r w:rsidR="005D7519">
        <w:t>customisable</w:t>
      </w:r>
      <w:r w:rsidR="00F65DA5">
        <w:t xml:space="preserve"> risk management framework</w:t>
      </w:r>
      <w:r w:rsidR="005B2B9B">
        <w:t xml:space="preserve"> </w:t>
      </w:r>
      <w:r w:rsidR="00F65DA5">
        <w:t xml:space="preserve">that balances useability with </w:t>
      </w:r>
      <w:r w:rsidR="007E793A">
        <w:t xml:space="preserve">analytical </w:t>
      </w:r>
      <w:r w:rsidR="005D7519">
        <w:t>maturity</w:t>
      </w:r>
      <w:r w:rsidR="007E793A">
        <w:t xml:space="preserve"> and </w:t>
      </w:r>
      <w:r w:rsidR="005D7519">
        <w:t>encourage</w:t>
      </w:r>
      <w:r w:rsidR="007E793A">
        <w:t xml:space="preserve"> a lifecycle </w:t>
      </w:r>
      <w:r w:rsidR="005D7519">
        <w:t>approach</w:t>
      </w:r>
      <w:r w:rsidR="007E793A">
        <w:t>.</w:t>
      </w:r>
      <w:r w:rsidR="00B13122">
        <w:t xml:space="preserve"> </w:t>
      </w:r>
      <w:r w:rsidR="00AB28C6">
        <w:t xml:space="preserve">Alongside this, cultural and organisational </w:t>
      </w:r>
      <w:r w:rsidR="005D7519">
        <w:t>barriers</w:t>
      </w:r>
      <w:r w:rsidR="00AB28C6">
        <w:t xml:space="preserve"> would </w:t>
      </w:r>
      <w:r w:rsidR="005D7519">
        <w:t xml:space="preserve">need to be addressed to </w:t>
      </w:r>
      <w:r w:rsidR="00542349">
        <w:t>ensur</w:t>
      </w:r>
      <w:r w:rsidR="005D7519">
        <w:t>e</w:t>
      </w:r>
      <w:r w:rsidR="00542349">
        <w:t xml:space="preserve"> that risk tools move beyond compliance to become genuinely value-adding elements of project management.</w:t>
      </w:r>
    </w:p>
    <w:p w14:paraId="4C114EAC" w14:textId="77777777" w:rsidR="00BC1C1A" w:rsidRDefault="00BC1C1A" w:rsidP="005D7519">
      <w:pPr>
        <w:spacing w:after="0" w:line="360" w:lineRule="auto"/>
        <w:ind w:left="-576" w:right="-576"/>
        <w:jc w:val="both"/>
      </w:pPr>
    </w:p>
    <w:p w14:paraId="1718705E" w14:textId="26FF1D6E" w:rsidR="004C7CE1" w:rsidRDefault="00D113B5" w:rsidP="00542349">
      <w:pPr>
        <w:spacing w:after="0" w:line="360" w:lineRule="auto"/>
        <w:ind w:left="-576" w:right="-576"/>
        <w:jc w:val="both"/>
        <w:rPr>
          <w:color w:val="EE0000"/>
        </w:rPr>
      </w:pPr>
      <w:r>
        <w:rPr>
          <w:color w:val="EE0000"/>
        </w:rPr>
        <w:t>947</w:t>
      </w:r>
      <w:r w:rsidR="004C7CE1">
        <w:rPr>
          <w:color w:val="EE0000"/>
        </w:rPr>
        <w:t xml:space="preserve"> (</w:t>
      </w:r>
      <w:r>
        <w:rPr>
          <w:color w:val="EE0000"/>
        </w:rPr>
        <w:t>9536</w:t>
      </w:r>
      <w:r w:rsidR="00445C61">
        <w:rPr>
          <w:color w:val="EE0000"/>
        </w:rPr>
        <w:t>)</w:t>
      </w:r>
    </w:p>
    <w:p w14:paraId="3D49D7F4" w14:textId="77777777" w:rsidR="004C7CE1" w:rsidRDefault="004C7CE1">
      <w:pPr>
        <w:rPr>
          <w:color w:val="EE0000"/>
        </w:rPr>
      </w:pPr>
      <w:r>
        <w:rPr>
          <w:color w:val="EE0000"/>
        </w:rPr>
        <w:br w:type="page"/>
      </w:r>
    </w:p>
    <w:p w14:paraId="09D17FDE" w14:textId="7D3D15B1" w:rsidR="004C7CE1" w:rsidRPr="009A1D84" w:rsidRDefault="004C7CE1" w:rsidP="009A1D84">
      <w:pPr>
        <w:pStyle w:val="Heading2"/>
        <w:ind w:left="-576" w:right="-576"/>
        <w:rPr>
          <w:sz w:val="22"/>
          <w:szCs w:val="22"/>
        </w:rPr>
      </w:pPr>
      <w:bookmarkStart w:id="76" w:name="_Toc219216484"/>
      <w:r w:rsidRPr="009A1D84">
        <w:rPr>
          <w:sz w:val="22"/>
          <w:szCs w:val="22"/>
        </w:rPr>
        <w:lastRenderedPageBreak/>
        <w:t xml:space="preserve">9.2. </w:t>
      </w:r>
      <w:r w:rsidRPr="009A1D84">
        <w:rPr>
          <w:sz w:val="22"/>
          <w:szCs w:val="22"/>
          <w:u w:val="single"/>
        </w:rPr>
        <w:t>Effectiveness and Limitations of Current Practices.</w:t>
      </w:r>
      <w:bookmarkEnd w:id="76"/>
    </w:p>
    <w:p w14:paraId="6E2ECFC3" w14:textId="77777777" w:rsidR="004C7CE1" w:rsidRDefault="004C7CE1" w:rsidP="00542349">
      <w:pPr>
        <w:spacing w:after="0" w:line="360" w:lineRule="auto"/>
        <w:ind w:left="-576" w:right="-576"/>
        <w:jc w:val="both"/>
        <w:rPr>
          <w:color w:val="EE0000"/>
        </w:rPr>
      </w:pPr>
    </w:p>
    <w:p w14:paraId="6169F6E9" w14:textId="77777777" w:rsidR="00205FD5" w:rsidRDefault="00966628" w:rsidP="00190992">
      <w:pPr>
        <w:spacing w:after="0" w:line="360" w:lineRule="auto"/>
        <w:ind w:left="-576" w:right="-576"/>
        <w:jc w:val="both"/>
      </w:pPr>
      <w:r>
        <w:t xml:space="preserve">Although </w:t>
      </w:r>
      <w:r w:rsidR="00DB36FD">
        <w:t xml:space="preserve">as described above the </w:t>
      </w:r>
      <w:r w:rsidR="00EA5341">
        <w:t>survey</w:t>
      </w:r>
      <w:r w:rsidR="009A1D84" w:rsidRPr="009A1D84">
        <w:t xml:space="preserve"> </w:t>
      </w:r>
      <w:r w:rsidR="00DB36FD">
        <w:t>confirmed</w:t>
      </w:r>
      <w:r w:rsidR="009A1D84" w:rsidRPr="009A1D84">
        <w:t xml:space="preserve"> universal adoption of risk assessment tools,</w:t>
      </w:r>
      <w:r w:rsidR="00DB36FD">
        <w:t xml:space="preserve"> their </w:t>
      </w:r>
      <w:r w:rsidR="007B5A39">
        <w:t>perce</w:t>
      </w:r>
      <w:r w:rsidR="009A76DB">
        <w:t xml:space="preserve">ived </w:t>
      </w:r>
      <w:r w:rsidR="009A1D84" w:rsidRPr="009A1D84">
        <w:t xml:space="preserve">effectiveness </w:t>
      </w:r>
      <w:r w:rsidR="009A76DB">
        <w:t>varied</w:t>
      </w:r>
      <w:r w:rsidR="009A1D84" w:rsidRPr="009A1D84">
        <w:t xml:space="preserve">. </w:t>
      </w:r>
      <w:r w:rsidR="00153999">
        <w:t xml:space="preserve">Whilst </w:t>
      </w:r>
      <w:r w:rsidR="003A077F">
        <w:t>nearly half rated</w:t>
      </w:r>
      <w:r w:rsidR="009A1D84" w:rsidRPr="009A1D84">
        <w:t xml:space="preserve"> tools as </w:t>
      </w:r>
      <w:r w:rsidR="003A077F">
        <w:t xml:space="preserve">generally </w:t>
      </w:r>
      <w:r w:rsidR="009A1D84" w:rsidRPr="009A1D84">
        <w:t xml:space="preserve">“effective,” </w:t>
      </w:r>
      <w:r w:rsidR="008003C9">
        <w:t>very few</w:t>
      </w:r>
      <w:r w:rsidR="009A1D84" w:rsidRPr="009A1D84">
        <w:t xml:space="preserve"> considered them “</w:t>
      </w:r>
      <w:r w:rsidR="008003C9">
        <w:t>highly</w:t>
      </w:r>
      <w:r w:rsidR="009A1D84" w:rsidRPr="009A1D84">
        <w:t xml:space="preserve"> effective”</w:t>
      </w:r>
      <w:r w:rsidR="009A76DB">
        <w:t>. This suggest</w:t>
      </w:r>
      <w:r w:rsidR="004D7D21">
        <w:t>s that adoption</w:t>
      </w:r>
      <w:r w:rsidR="006838BC">
        <w:t xml:space="preserve"> </w:t>
      </w:r>
      <w:r w:rsidR="00A816D7">
        <w:t xml:space="preserve">does not necessarily </w:t>
      </w:r>
      <w:r w:rsidR="004D7D21">
        <w:t>guarantee</w:t>
      </w:r>
      <w:r w:rsidR="00A816D7">
        <w:t xml:space="preserve"> meaningful </w:t>
      </w:r>
      <w:r w:rsidR="00955DEC">
        <w:t xml:space="preserve">impact. </w:t>
      </w:r>
      <w:r w:rsidR="009A1D84" w:rsidRPr="009A1D84">
        <w:t xml:space="preserve">This echoes </w:t>
      </w:r>
      <w:r w:rsidR="000D28E8">
        <w:t>many of the findings above</w:t>
      </w:r>
      <w:r w:rsidR="001E5271">
        <w:t xml:space="preserve">, and within the literature that tools alone cannot </w:t>
      </w:r>
      <w:r w:rsidR="00654AED">
        <w:t xml:space="preserve">ensure effectiveness. </w:t>
      </w:r>
      <w:r w:rsidR="008F7D7A">
        <w:t>Appropriate choice</w:t>
      </w:r>
      <w:r w:rsidR="00654AED">
        <w:t>,</w:t>
      </w:r>
      <w:r w:rsidR="0067269D">
        <w:t xml:space="preserve"> consistent application and</w:t>
      </w:r>
      <w:r w:rsidR="00654AED">
        <w:t xml:space="preserve"> </w:t>
      </w:r>
      <w:r w:rsidR="00F8370B">
        <w:t>integrat</w:t>
      </w:r>
      <w:r w:rsidR="0067269D">
        <w:t>ion</w:t>
      </w:r>
      <w:r w:rsidR="00F8370B">
        <w:t xml:space="preserve"> into </w:t>
      </w:r>
      <w:r w:rsidR="00CD3422">
        <w:t xml:space="preserve">organisational </w:t>
      </w:r>
      <w:r w:rsidR="009A1D84" w:rsidRPr="009A1D84">
        <w:t>decision-making, culture, and stakeholder engagement</w:t>
      </w:r>
      <w:r w:rsidR="009A1D84">
        <w:t xml:space="preserve"> </w:t>
      </w:r>
      <w:r w:rsidR="00CD3422">
        <w:t>is key</w:t>
      </w:r>
      <w:r w:rsidR="0067269D">
        <w:t xml:space="preserve"> to delivering value</w:t>
      </w:r>
      <w:r w:rsidR="00CD3422">
        <w:t xml:space="preserve"> </w:t>
      </w:r>
      <w:sdt>
        <w:sdtPr>
          <w:id w:val="-112986676"/>
          <w:citation/>
        </w:sdtPr>
        <w:sdtContent>
          <w:r w:rsidR="009A1D84">
            <w:fldChar w:fldCharType="begin"/>
          </w:r>
          <w:r w:rsidR="009A1D84">
            <w:rPr>
              <w:lang w:val="en-US"/>
            </w:rPr>
            <w:instrText xml:space="preserve"> CITATION Dav23 \l 1033 </w:instrText>
          </w:r>
          <w:r w:rsidR="009A1D84">
            <w:fldChar w:fldCharType="separate"/>
          </w:r>
          <w:r w:rsidR="009A1D84" w:rsidRPr="009A1D84">
            <w:rPr>
              <w:noProof/>
              <w:lang w:val="en-US"/>
            </w:rPr>
            <w:t>(Hilson, 2023)</w:t>
          </w:r>
          <w:r w:rsidR="009A1D84">
            <w:fldChar w:fldCharType="end"/>
          </w:r>
        </w:sdtContent>
      </w:sdt>
      <w:sdt>
        <w:sdtPr>
          <w:id w:val="-653225229"/>
          <w:citation/>
        </w:sdtPr>
        <w:sdtContent>
          <w:r w:rsidR="009A1D84">
            <w:fldChar w:fldCharType="begin"/>
          </w:r>
          <w:r w:rsidR="009A1D84">
            <w:rPr>
              <w:lang w:val="en-US"/>
            </w:rPr>
            <w:instrText xml:space="preserve"> CITATION Gul18 \l 1033 </w:instrText>
          </w:r>
          <w:r w:rsidR="009A1D84">
            <w:fldChar w:fldCharType="separate"/>
          </w:r>
          <w:r w:rsidR="009A1D84">
            <w:rPr>
              <w:noProof/>
              <w:lang w:val="en-US"/>
            </w:rPr>
            <w:t xml:space="preserve"> </w:t>
          </w:r>
          <w:r w:rsidR="009A1D84" w:rsidRPr="009A1D84">
            <w:rPr>
              <w:noProof/>
              <w:lang w:val="en-US"/>
            </w:rPr>
            <w:t>(Gul M, 2018)</w:t>
          </w:r>
          <w:r w:rsidR="009A1D84">
            <w:fldChar w:fldCharType="end"/>
          </w:r>
        </w:sdtContent>
      </w:sdt>
      <w:r w:rsidR="009A1D84" w:rsidRPr="009A1D84">
        <w:t>.</w:t>
      </w:r>
      <w:r w:rsidR="002B23BD">
        <w:t xml:space="preserve"> </w:t>
      </w:r>
    </w:p>
    <w:p w14:paraId="55EE435C" w14:textId="77777777" w:rsidR="00205FD5" w:rsidRDefault="00205FD5" w:rsidP="00190992">
      <w:pPr>
        <w:spacing w:after="0" w:line="360" w:lineRule="auto"/>
        <w:ind w:left="-576" w:right="-576"/>
        <w:jc w:val="both"/>
      </w:pPr>
    </w:p>
    <w:p w14:paraId="1B608043" w14:textId="6908EA8A" w:rsidR="009A1D84" w:rsidRPr="009A1D84" w:rsidRDefault="00EB0D73" w:rsidP="00190992">
      <w:pPr>
        <w:spacing w:after="0" w:line="360" w:lineRule="auto"/>
        <w:ind w:left="-576" w:right="-576"/>
        <w:jc w:val="both"/>
      </w:pPr>
      <w:r>
        <w:t xml:space="preserve">As </w:t>
      </w:r>
      <w:r w:rsidR="00FB5A56">
        <w:t xml:space="preserve">in 9.1 </w:t>
      </w:r>
      <w:r>
        <w:t>above, a key limitation to the effectiveness of any risk management tool</w:t>
      </w:r>
      <w:r w:rsidR="00FB5A56">
        <w:t xml:space="preserve">, is </w:t>
      </w:r>
      <w:r w:rsidR="000C79DE">
        <w:t xml:space="preserve">their </w:t>
      </w:r>
      <w:r w:rsidR="00236932">
        <w:t>use across all</w:t>
      </w:r>
      <w:r w:rsidR="000C79DE">
        <w:t xml:space="preserve"> project</w:t>
      </w:r>
      <w:r w:rsidR="00236932">
        <w:t xml:space="preserve"> lifecycle</w:t>
      </w:r>
      <w:r w:rsidR="000C79DE">
        <w:t xml:space="preserve"> phases, spanning </w:t>
      </w:r>
      <w:r w:rsidR="009A1D84" w:rsidRPr="009A1D84">
        <w:t xml:space="preserve">identification, analysis, response planning, and monitoring </w:t>
      </w:r>
      <w:sdt>
        <w:sdtPr>
          <w:id w:val="1752386778"/>
          <w:citation/>
        </w:sdtPr>
        <w:sdtContent>
          <w:r w:rsidR="009A1D84">
            <w:fldChar w:fldCharType="begin"/>
          </w:r>
          <w:r w:rsidR="009A1D84">
            <w:rPr>
              <w:lang w:val="en-US"/>
            </w:rPr>
            <w:instrText xml:space="preserve"> CITATION Mer20 \l 1033 </w:instrText>
          </w:r>
          <w:r w:rsidR="009A1D84">
            <w:fldChar w:fldCharType="separate"/>
          </w:r>
          <w:r w:rsidR="009A1D84" w:rsidRPr="009A1D84">
            <w:rPr>
              <w:noProof/>
              <w:lang w:val="en-US"/>
            </w:rPr>
            <w:t>(Merkourios Papanikolaou, 2020)</w:t>
          </w:r>
          <w:r w:rsidR="009A1D84">
            <w:fldChar w:fldCharType="end"/>
          </w:r>
        </w:sdtContent>
      </w:sdt>
      <w:r w:rsidR="009A1D84" w:rsidRPr="009A1D84">
        <w:t>. Yet the survey reveale</w:t>
      </w:r>
      <w:r w:rsidR="009A1D84">
        <w:t>d</w:t>
      </w:r>
      <w:r w:rsidR="009A1D84" w:rsidRPr="009A1D84">
        <w:t xml:space="preserve"> that nearly a third of participants restrict risk assessment to the initiation stage of projects, treating it as a </w:t>
      </w:r>
      <w:r w:rsidR="005A0A5D">
        <w:t xml:space="preserve">‘one-off’ activity </w:t>
      </w:r>
      <w:r w:rsidR="009A1D84" w:rsidRPr="009A1D84">
        <w:t>rather than a sustained, value-adding process.</w:t>
      </w:r>
      <w:r w:rsidR="00190992">
        <w:t xml:space="preserve"> This suggests again that </w:t>
      </w:r>
      <w:r w:rsidR="009A1D84" w:rsidRPr="009A1D84">
        <w:t>in many cases, risk management is reduced to a procedural exercise</w:t>
      </w:r>
      <w:r w:rsidR="00C81112">
        <w:t xml:space="preserve"> rather than embedded in strategic activities. </w:t>
      </w:r>
      <w:r w:rsidR="00E441B1">
        <w:t xml:space="preserve">As argued </w:t>
      </w:r>
      <w:r w:rsidR="009A1D84" w:rsidRPr="009A1D84">
        <w:t xml:space="preserve">by </w:t>
      </w:r>
      <w:proofErr w:type="spellStart"/>
      <w:r w:rsidR="009A1D84" w:rsidRPr="009A1D84">
        <w:t>Zwikael</w:t>
      </w:r>
      <w:proofErr w:type="spellEnd"/>
      <w:r w:rsidR="009A1D84" w:rsidRPr="009A1D84">
        <w:t xml:space="preserve"> and Ahn, </w:t>
      </w:r>
      <w:r w:rsidR="009162AF">
        <w:t>mechanical ‘tick box’ approaches</w:t>
      </w:r>
      <w:r w:rsidR="002B05BD">
        <w:t xml:space="preserve"> </w:t>
      </w:r>
      <w:r w:rsidR="009162AF">
        <w:t>undermine the</w:t>
      </w:r>
      <w:r w:rsidR="002B05BD">
        <w:t xml:space="preserve"> ability</w:t>
      </w:r>
      <w:r w:rsidR="009162AF">
        <w:t xml:space="preserve"> </w:t>
      </w:r>
      <w:r w:rsidR="009A1D84" w:rsidRPr="009A1D84">
        <w:t xml:space="preserve">risk tools </w:t>
      </w:r>
      <w:r w:rsidR="009162AF">
        <w:t xml:space="preserve">to effectively </w:t>
      </w:r>
      <w:r w:rsidR="009A1D84" w:rsidRPr="009A1D84">
        <w:t>influence outcomes</w:t>
      </w:r>
      <w:r w:rsidR="002B05BD">
        <w:t xml:space="preserve"> </w:t>
      </w:r>
      <w:sdt>
        <w:sdtPr>
          <w:id w:val="-1759905165"/>
          <w:citation/>
        </w:sdtPr>
        <w:sdtContent>
          <w:r w:rsidR="006D751C">
            <w:fldChar w:fldCharType="begin"/>
          </w:r>
          <w:r w:rsidR="006D751C">
            <w:rPr>
              <w:lang w:val="en-US"/>
            </w:rPr>
            <w:instrText xml:space="preserve"> CITATION Ofe10 \l 1033 </w:instrText>
          </w:r>
          <w:r w:rsidR="006D751C">
            <w:fldChar w:fldCharType="separate"/>
          </w:r>
          <w:r w:rsidR="006D751C" w:rsidRPr="006D751C">
            <w:rPr>
              <w:noProof/>
              <w:lang w:val="en-US"/>
            </w:rPr>
            <w:t>(Ofer Zwikael, 2010)</w:t>
          </w:r>
          <w:r w:rsidR="006D751C">
            <w:fldChar w:fldCharType="end"/>
          </w:r>
        </w:sdtContent>
      </w:sdt>
      <w:r w:rsidR="009A1D84" w:rsidRPr="009A1D84">
        <w:t>. The failure to conduct iterative assessments also risks leaving projects vulnerable to evolving risks that emerge during execution, a problem particularly acute in dynamic environments where scope, timelines, and resources are subject to change.</w:t>
      </w:r>
      <w:r w:rsidR="00710A61">
        <w:t xml:space="preserve"> </w:t>
      </w:r>
      <w:r w:rsidR="002B05BD">
        <w:t xml:space="preserve">Such an approach is likely to have </w:t>
      </w:r>
      <w:r w:rsidR="00B554FE">
        <w:t>influenced</w:t>
      </w:r>
      <w:r w:rsidR="002B05BD">
        <w:t xml:space="preserve"> </w:t>
      </w:r>
      <w:r w:rsidR="00B554FE">
        <w:t>participants</w:t>
      </w:r>
      <w:r w:rsidR="002B05BD">
        <w:t xml:space="preserve"> </w:t>
      </w:r>
      <w:r w:rsidR="00B554FE">
        <w:t xml:space="preserve">view of true effectiveness. </w:t>
      </w:r>
    </w:p>
    <w:p w14:paraId="60253892" w14:textId="77777777" w:rsidR="009A1D84" w:rsidRPr="009A1D84" w:rsidRDefault="009A1D84" w:rsidP="009A1D84">
      <w:pPr>
        <w:spacing w:after="0" w:line="360" w:lineRule="auto"/>
        <w:ind w:left="-576" w:right="-576"/>
        <w:jc w:val="both"/>
      </w:pPr>
    </w:p>
    <w:p w14:paraId="0253600C" w14:textId="01C91508" w:rsidR="009A1D84" w:rsidRPr="009A1D84" w:rsidRDefault="005026B3" w:rsidP="004B2595">
      <w:pPr>
        <w:spacing w:after="0" w:line="360" w:lineRule="auto"/>
        <w:ind w:left="-576" w:right="-576"/>
        <w:jc w:val="both"/>
      </w:pPr>
      <w:r>
        <w:t>Similarly,</w:t>
      </w:r>
      <w:r w:rsidR="006A7951">
        <w:t xml:space="preserve"> the perceived </w:t>
      </w:r>
      <w:r w:rsidR="009A1D84" w:rsidRPr="009A1D84">
        <w:t>limitations of tool effectiveness</w:t>
      </w:r>
      <w:r w:rsidR="00332280">
        <w:t xml:space="preserve"> </w:t>
      </w:r>
      <w:r w:rsidR="009A1D84" w:rsidRPr="009A1D84">
        <w:t xml:space="preserve">appear to be shaped less by technical shortcomings </w:t>
      </w:r>
      <w:r w:rsidR="0071495C">
        <w:t xml:space="preserve">and more </w:t>
      </w:r>
      <w:r w:rsidR="009A1D84" w:rsidRPr="009A1D84">
        <w:t>by organisational and cultural barriers</w:t>
      </w:r>
      <w:r w:rsidR="0071495C">
        <w:t>, echoing earlier themes in 9.1.</w:t>
      </w:r>
      <w:r w:rsidR="009A1D84" w:rsidRPr="009A1D84">
        <w:t xml:space="preserve"> </w:t>
      </w:r>
      <w:r w:rsidR="0035768F">
        <w:t xml:space="preserve">Lack of </w:t>
      </w:r>
      <w:r w:rsidR="004E5000">
        <w:t xml:space="preserve">time, stakeholder engagement, training and awareness </w:t>
      </w:r>
      <w:r w:rsidR="0075113E">
        <w:t xml:space="preserve">were identified as key </w:t>
      </w:r>
      <w:r w:rsidR="004B2595">
        <w:t>constraints</w:t>
      </w:r>
      <w:r w:rsidR="0045113A">
        <w:t>. These</w:t>
      </w:r>
      <w:r w:rsidR="0075113E">
        <w:t xml:space="preserve"> factors </w:t>
      </w:r>
      <w:r w:rsidR="0045113A">
        <w:t xml:space="preserve">are </w:t>
      </w:r>
      <w:r w:rsidR="004B2595">
        <w:t>consistent with literature</w:t>
      </w:r>
      <w:r w:rsidR="0045113A">
        <w:t xml:space="preserve"> which </w:t>
      </w:r>
      <w:r w:rsidR="00F91819">
        <w:t xml:space="preserve">advocates </w:t>
      </w:r>
      <w:r w:rsidR="009A1D84" w:rsidRPr="009A1D84">
        <w:t>project governance</w:t>
      </w:r>
      <w:r w:rsidR="00985F8E">
        <w:t xml:space="preserve"> as fundamental to effective practice: </w:t>
      </w:r>
      <w:r w:rsidR="009A1D84" w:rsidRPr="009A1D84">
        <w:t xml:space="preserve">risk management is fundamentally a human and organisational activity rather than a purely technical one. Khadgi </w:t>
      </w:r>
      <w:r w:rsidR="00912B93">
        <w:t xml:space="preserve">(2025) </w:t>
      </w:r>
      <w:r w:rsidR="009A1D84" w:rsidRPr="009A1D84">
        <w:t>notes that frameworks such as PRINCE2 stress the importance of stakeholder involvement in the risk process, yet many organisations continue to treat risk management as the responsibility of a select few rather than shared</w:t>
      </w:r>
      <w:r w:rsidR="0006566A">
        <w:t xml:space="preserve"> </w:t>
      </w:r>
      <w:r w:rsidR="009A1D84" w:rsidRPr="009A1D84">
        <w:t xml:space="preserve"> </w:t>
      </w:r>
      <w:sdt>
        <w:sdtPr>
          <w:id w:val="2059891606"/>
          <w:citation/>
        </w:sdtPr>
        <w:sdtContent>
          <w:r w:rsidR="006D751C">
            <w:fldChar w:fldCharType="begin"/>
          </w:r>
          <w:r w:rsidR="006D751C">
            <w:rPr>
              <w:lang w:val="en-US"/>
            </w:rPr>
            <w:instrText xml:space="preserve"> CITATION Kha25 \l 1033 </w:instrText>
          </w:r>
          <w:r w:rsidR="006D751C">
            <w:fldChar w:fldCharType="separate"/>
          </w:r>
          <w:r w:rsidR="006D751C" w:rsidRPr="006D751C">
            <w:rPr>
              <w:noProof/>
              <w:lang w:val="en-US"/>
            </w:rPr>
            <w:t>(Khadgi, 2025)</w:t>
          </w:r>
          <w:r w:rsidR="006D751C">
            <w:fldChar w:fldCharType="end"/>
          </w:r>
        </w:sdtContent>
      </w:sdt>
      <w:r w:rsidR="009A1D84" w:rsidRPr="009A1D84">
        <w:t xml:space="preserve">. Similarly, </w:t>
      </w:r>
      <w:proofErr w:type="spellStart"/>
      <w:r w:rsidR="009A1D84" w:rsidRPr="009A1D84">
        <w:t>Cagliano</w:t>
      </w:r>
      <w:proofErr w:type="spellEnd"/>
      <w:r w:rsidR="009A1D84" w:rsidRPr="009A1D84">
        <w:t xml:space="preserve"> emphasises that effectiveness increases when risk processes are iterative, collaborative, and embedded in daily routines</w:t>
      </w:r>
      <w:r w:rsidR="006D751C">
        <w:t xml:space="preserve"> </w:t>
      </w:r>
      <w:sdt>
        <w:sdtPr>
          <w:id w:val="2141070627"/>
          <w:citation/>
        </w:sdtPr>
        <w:sdtContent>
          <w:r w:rsidR="006D751C">
            <w:fldChar w:fldCharType="begin"/>
          </w:r>
          <w:r w:rsidR="006D751C">
            <w:rPr>
              <w:lang w:val="en-US"/>
            </w:rPr>
            <w:instrText xml:space="preserve"> CITATION Cag15 \l 1033 </w:instrText>
          </w:r>
          <w:r w:rsidR="006D751C">
            <w:fldChar w:fldCharType="separate"/>
          </w:r>
          <w:r w:rsidR="006D751C" w:rsidRPr="006D751C">
            <w:rPr>
              <w:noProof/>
              <w:lang w:val="en-US"/>
            </w:rPr>
            <w:t>(Cagliano, 2015)</w:t>
          </w:r>
          <w:r w:rsidR="006D751C">
            <w:fldChar w:fldCharType="end"/>
          </w:r>
        </w:sdtContent>
      </w:sdt>
      <w:r w:rsidR="009A1D84" w:rsidRPr="009A1D84">
        <w:t xml:space="preserve">. </w:t>
      </w:r>
      <w:r w:rsidR="00A12EF9">
        <w:t>Consistent with the literature, t</w:t>
      </w:r>
      <w:r w:rsidR="009A1D84" w:rsidRPr="009A1D84">
        <w:t xml:space="preserve">he survey </w:t>
      </w:r>
      <w:r w:rsidR="009A073B" w:rsidRPr="009A1D84">
        <w:t>suggests</w:t>
      </w:r>
      <w:r w:rsidR="009A1D84" w:rsidRPr="009A1D84">
        <w:t xml:space="preserve"> that </w:t>
      </w:r>
      <w:r w:rsidR="0006566A">
        <w:t>without</w:t>
      </w:r>
      <w:r w:rsidR="009A1D84" w:rsidRPr="009A1D84">
        <w:t xml:space="preserve"> stakeholder ownership, insufficient training, and weak cultural integration undermine the value of tools</w:t>
      </w:r>
      <w:r w:rsidR="0006566A">
        <w:t xml:space="preserve">. </w:t>
      </w:r>
      <w:r w:rsidR="009A073B">
        <w:t>E</w:t>
      </w:r>
      <w:r w:rsidR="009A1D84" w:rsidRPr="009A1D84">
        <w:t>ven when they are technically sound</w:t>
      </w:r>
      <w:r w:rsidR="009A073B">
        <w:t>, even the most well-designed tools will fail to achieve their potential</w:t>
      </w:r>
      <w:r w:rsidR="00A12EF9">
        <w:t xml:space="preserve"> </w:t>
      </w:r>
      <w:sdt>
        <w:sdtPr>
          <w:id w:val="-1701155376"/>
          <w:citation/>
        </w:sdtPr>
        <w:sdtContent>
          <w:r w:rsidR="00A12EF9">
            <w:fldChar w:fldCharType="begin"/>
          </w:r>
          <w:r w:rsidR="00A12EF9">
            <w:instrText xml:space="preserve"> CITATION Ave16 \l 2057 </w:instrText>
          </w:r>
          <w:r w:rsidR="00A12EF9">
            <w:fldChar w:fldCharType="separate"/>
          </w:r>
          <w:r w:rsidR="00A12EF9" w:rsidRPr="00A12EF9">
            <w:rPr>
              <w:noProof/>
            </w:rPr>
            <w:t>(Aven, 2016)</w:t>
          </w:r>
          <w:r w:rsidR="00A12EF9">
            <w:fldChar w:fldCharType="end"/>
          </w:r>
        </w:sdtContent>
      </w:sdt>
      <w:r w:rsidR="00256B28">
        <w:t xml:space="preserve">. </w:t>
      </w:r>
    </w:p>
    <w:p w14:paraId="539856D8" w14:textId="77777777" w:rsidR="009A1D84" w:rsidRPr="009A1D84" w:rsidRDefault="009A1D84" w:rsidP="009A1D84">
      <w:pPr>
        <w:spacing w:after="0" w:line="360" w:lineRule="auto"/>
        <w:ind w:left="-576" w:right="-576"/>
        <w:jc w:val="both"/>
      </w:pPr>
    </w:p>
    <w:p w14:paraId="7289FE52" w14:textId="25F98690" w:rsidR="009A1D84" w:rsidRPr="009A1D84" w:rsidRDefault="00EA3826" w:rsidP="00C83B6B">
      <w:pPr>
        <w:spacing w:after="0" w:line="360" w:lineRule="auto"/>
        <w:ind w:left="-576" w:right="-576"/>
        <w:jc w:val="both"/>
      </w:pPr>
      <w:r>
        <w:t>Mixed</w:t>
      </w:r>
      <w:r w:rsidR="009A1D84" w:rsidRPr="009A1D84">
        <w:t xml:space="preserve"> </w:t>
      </w:r>
      <w:r w:rsidR="00D006EF" w:rsidRPr="009A1D84">
        <w:t>perce</w:t>
      </w:r>
      <w:r w:rsidR="00D006EF">
        <w:t>ptions</w:t>
      </w:r>
      <w:r w:rsidR="006E7803">
        <w:t xml:space="preserve"> of tool </w:t>
      </w:r>
      <w:r w:rsidR="009A1D84" w:rsidRPr="009A1D84">
        <w:t>effectiveness</w:t>
      </w:r>
      <w:r w:rsidR="00D006EF">
        <w:t xml:space="preserve"> also reflects wider issues in </w:t>
      </w:r>
      <w:r w:rsidR="009A1D84" w:rsidRPr="009A1D84">
        <w:t>project outcomes</w:t>
      </w:r>
      <w:r w:rsidR="00785106">
        <w:t xml:space="preserve">. As section </w:t>
      </w:r>
      <w:r w:rsidR="006A766A">
        <w:t>9.4</w:t>
      </w:r>
      <w:r w:rsidR="00785106">
        <w:t xml:space="preserve"> highlights</w:t>
      </w:r>
      <w:r w:rsidR="007F777A">
        <w:t xml:space="preserve">, familiar </w:t>
      </w:r>
      <w:r w:rsidR="00A41896">
        <w:t>risks</w:t>
      </w:r>
      <w:r w:rsidR="007F777A">
        <w:t xml:space="preserve"> </w:t>
      </w:r>
      <w:r w:rsidR="00A41896">
        <w:t>such as budget overrun,</w:t>
      </w:r>
      <w:r w:rsidR="00A41896" w:rsidRPr="00A41896">
        <w:t xml:space="preserve"> </w:t>
      </w:r>
      <w:r w:rsidR="00A41896" w:rsidRPr="009A1D84">
        <w:t>schedule delays, and scope creep</w:t>
      </w:r>
      <w:r w:rsidR="00DC3DB2">
        <w:t xml:space="preserve"> were persistent</w:t>
      </w:r>
      <w:r w:rsidR="00B039E1">
        <w:t xml:space="preserve">, influencing </w:t>
      </w:r>
      <w:r w:rsidR="000D6BEB">
        <w:t>respondents’</w:t>
      </w:r>
      <w:r w:rsidR="00B039E1">
        <w:t xml:space="preserve"> opinions that most tools are only partially effective in improving outcomes</w:t>
      </w:r>
      <w:r w:rsidR="009A1D84" w:rsidRPr="009A1D84">
        <w:t xml:space="preserve">. While most participants acknowledged </w:t>
      </w:r>
      <w:r w:rsidR="009A1D84" w:rsidRPr="009A1D84">
        <w:lastRenderedPageBreak/>
        <w:t xml:space="preserve">risk assessments </w:t>
      </w:r>
      <w:r w:rsidR="00433780">
        <w:t>to be</w:t>
      </w:r>
      <w:r w:rsidR="009A1D84" w:rsidRPr="009A1D84">
        <w:t xml:space="preserve"> beneficial, very few reported that tools “always” improve outcomes. These results resonate with </w:t>
      </w:r>
      <w:proofErr w:type="spellStart"/>
      <w:r w:rsidR="009A1D84" w:rsidRPr="009A1D84">
        <w:t>Hetemi</w:t>
      </w:r>
      <w:proofErr w:type="spellEnd"/>
      <w:r w:rsidR="006D751C">
        <w:t>,</w:t>
      </w:r>
      <w:r w:rsidR="009A1D84" w:rsidRPr="009A1D84">
        <w:t xml:space="preserve"> who</w:t>
      </w:r>
      <w:r w:rsidR="00275AA1">
        <w:t xml:space="preserve"> argues that </w:t>
      </w:r>
      <w:r w:rsidR="00FA7E20">
        <w:t xml:space="preserve">risk tools cannot be effective in avoiding such challenges unless they are employed as part of </w:t>
      </w:r>
      <w:r w:rsidR="00785B5E">
        <w:t xml:space="preserve">robust planning, monitoring and control processes </w:t>
      </w:r>
      <w:r w:rsidR="009A1D84" w:rsidRPr="009A1D84">
        <w:t xml:space="preserve"> </w:t>
      </w:r>
      <w:sdt>
        <w:sdtPr>
          <w:id w:val="1167049170"/>
          <w:citation/>
        </w:sdtPr>
        <w:sdtContent>
          <w:r w:rsidR="006D751C">
            <w:fldChar w:fldCharType="begin"/>
          </w:r>
          <w:r w:rsidR="006D751C">
            <w:rPr>
              <w:lang w:val="en-US"/>
            </w:rPr>
            <w:instrText xml:space="preserve"> CITATION Het21 \l 1033 </w:instrText>
          </w:r>
          <w:r w:rsidR="006D751C">
            <w:fldChar w:fldCharType="separate"/>
          </w:r>
          <w:r w:rsidR="006D751C" w:rsidRPr="006D751C">
            <w:rPr>
              <w:noProof/>
              <w:lang w:val="en-US"/>
            </w:rPr>
            <w:t>(Hetemi, 2021)</w:t>
          </w:r>
          <w:r w:rsidR="006D751C">
            <w:fldChar w:fldCharType="end"/>
          </w:r>
        </w:sdtContent>
      </w:sdt>
      <w:r w:rsidR="009A1D84" w:rsidRPr="009A1D84">
        <w:t>. This partial effectiveness suggests that tools are often decoupled from the strategic decision-making</w:t>
      </w:r>
      <w:r w:rsidR="00C83B6B">
        <w:t xml:space="preserve"> and organisational learning</w:t>
      </w:r>
      <w:r w:rsidR="009A1D84" w:rsidRPr="009A1D84">
        <w:t xml:space="preserve"> processes that ultimately shape project outcomes</w:t>
      </w:r>
      <w:r w:rsidR="003934D6">
        <w:t xml:space="preserve">. These </w:t>
      </w:r>
      <w:r w:rsidR="00FE2B09">
        <w:t xml:space="preserve">issues </w:t>
      </w:r>
      <w:r w:rsidR="003934D6">
        <w:t xml:space="preserve">are </w:t>
      </w:r>
      <w:r w:rsidR="00FE2B09">
        <w:t>emphasised by</w:t>
      </w:r>
      <w:r w:rsidR="009A1D84" w:rsidRPr="009A1D84">
        <w:t xml:space="preserve"> Aven</w:t>
      </w:r>
      <w:r w:rsidR="00FE2B09">
        <w:t xml:space="preserve"> (2016)</w:t>
      </w:r>
      <w:r w:rsidR="003934D6">
        <w:t>, who</w:t>
      </w:r>
      <w:r w:rsidR="009A1D84" w:rsidRPr="009A1D84">
        <w:t xml:space="preserve"> stresses that risk management should not be confined to technical assessment but must inform governance and </w:t>
      </w:r>
      <w:r w:rsidR="003934D6">
        <w:t>continuous improvement</w:t>
      </w:r>
      <w:r w:rsidR="006D751C">
        <w:t xml:space="preserve"> </w:t>
      </w:r>
      <w:sdt>
        <w:sdtPr>
          <w:id w:val="-1072736095"/>
          <w:citation/>
        </w:sdtPr>
        <w:sdtContent>
          <w:r w:rsidR="006D751C">
            <w:fldChar w:fldCharType="begin"/>
          </w:r>
          <w:r w:rsidR="006D751C">
            <w:rPr>
              <w:lang w:val="en-US"/>
            </w:rPr>
            <w:instrText xml:space="preserve"> CITATION Ave16 \l 1033 </w:instrText>
          </w:r>
          <w:r w:rsidR="006D751C">
            <w:fldChar w:fldCharType="separate"/>
          </w:r>
          <w:r w:rsidR="006D751C" w:rsidRPr="006D751C">
            <w:rPr>
              <w:noProof/>
              <w:lang w:val="en-US"/>
            </w:rPr>
            <w:t>(Aven, 2016)</w:t>
          </w:r>
          <w:r w:rsidR="006D751C">
            <w:fldChar w:fldCharType="end"/>
          </w:r>
        </w:sdtContent>
      </w:sdt>
      <w:r w:rsidR="009A1D84" w:rsidRPr="009A1D84">
        <w:t xml:space="preserve">. </w:t>
      </w:r>
      <w:r w:rsidR="00332AEC">
        <w:t xml:space="preserve">Without this, the capacity of risk tools </w:t>
      </w:r>
      <w:r w:rsidR="009A1D84" w:rsidRPr="009A1D84">
        <w:t>to influence project success</w:t>
      </w:r>
      <w:r w:rsidR="00332AEC">
        <w:t>, and therefore be deemed effective,</w:t>
      </w:r>
      <w:r w:rsidR="009A1D84" w:rsidRPr="009A1D84">
        <w:t xml:space="preserve"> will be inherently limited.</w:t>
      </w:r>
      <w:r w:rsidR="006D751C">
        <w:t xml:space="preserve"> </w:t>
      </w:r>
    </w:p>
    <w:p w14:paraId="32EE741F" w14:textId="77777777" w:rsidR="009A1D84" w:rsidRPr="009A1D84" w:rsidRDefault="009A1D84" w:rsidP="009A1D84">
      <w:pPr>
        <w:spacing w:after="0" w:line="360" w:lineRule="auto"/>
        <w:ind w:left="-576" w:right="-576"/>
        <w:jc w:val="both"/>
      </w:pPr>
    </w:p>
    <w:p w14:paraId="00E98522" w14:textId="569EE481" w:rsidR="009A1D84" w:rsidRPr="009A1D84" w:rsidRDefault="00FA54A5" w:rsidP="009A1D84">
      <w:pPr>
        <w:spacing w:after="0" w:line="360" w:lineRule="auto"/>
        <w:ind w:left="-576" w:right="-576"/>
        <w:jc w:val="both"/>
      </w:pPr>
      <w:r>
        <w:t>Perceived</w:t>
      </w:r>
      <w:r w:rsidR="00070102">
        <w:t xml:space="preserve"> effectiveness is also greatly influenced by </w:t>
      </w:r>
      <w:r w:rsidR="008B1961">
        <w:t xml:space="preserve">tool choice. As detailed in 9.1 above, project scale </w:t>
      </w:r>
      <w:r w:rsidR="00C61800">
        <w:t xml:space="preserve">should influence choice but </w:t>
      </w:r>
      <w:r w:rsidR="00BF61D1">
        <w:t xml:space="preserve">is not </w:t>
      </w:r>
      <w:r w:rsidR="00C61800">
        <w:t>seemingly always the case</w:t>
      </w:r>
      <w:r w:rsidR="00BF61D1">
        <w:t xml:space="preserve">. </w:t>
      </w:r>
      <w:r w:rsidR="00581774">
        <w:t xml:space="preserve">A simple tool in a complex project is </w:t>
      </w:r>
      <w:r w:rsidR="000E4885">
        <w:t xml:space="preserve">unlikely to effectively model complexity or quantify uncertainty, and therefore </w:t>
      </w:r>
      <w:r w:rsidR="002135AB">
        <w:t>be perceived as ‘ineffective’.</w:t>
      </w:r>
      <w:r w:rsidR="00C61800">
        <w:t xml:space="preserve"> </w:t>
      </w:r>
      <w:r w:rsidR="00C40D45">
        <w:t xml:space="preserve">This supports </w:t>
      </w:r>
      <w:r w:rsidR="009A1D84" w:rsidRPr="009A1D84">
        <w:t>Hillson</w:t>
      </w:r>
      <w:r w:rsidR="00C40D45">
        <w:t xml:space="preserve">’s </w:t>
      </w:r>
      <w:r w:rsidR="005D49B5">
        <w:t>critique</w:t>
      </w:r>
      <w:r w:rsidR="002135AB">
        <w:t xml:space="preserve"> </w:t>
      </w:r>
      <w:r w:rsidR="005D49B5">
        <w:t>o</w:t>
      </w:r>
      <w:r w:rsidR="002135AB">
        <w:t>f a ‘one-size-fits-all’ approach</w:t>
      </w:r>
      <w:r w:rsidR="005D49B5">
        <w:t xml:space="preserve"> which</w:t>
      </w:r>
      <w:r w:rsidR="009A5857">
        <w:t>,</w:t>
      </w:r>
      <w:r w:rsidR="005D49B5">
        <w:t xml:space="preserve"> while offers consistency, fails to account for sectoral and contextual differences</w:t>
      </w:r>
      <w:r w:rsidR="009A1D84" w:rsidRPr="009A1D84">
        <w:t xml:space="preserve">. </w:t>
      </w:r>
      <w:sdt>
        <w:sdtPr>
          <w:id w:val="1518499019"/>
          <w:citation/>
        </w:sdtPr>
        <w:sdtContent>
          <w:r w:rsidR="006D751C">
            <w:fldChar w:fldCharType="begin"/>
          </w:r>
          <w:r w:rsidR="006D751C">
            <w:rPr>
              <w:lang w:val="en-US"/>
            </w:rPr>
            <w:instrText xml:space="preserve"> CITATION Dav23 \l 1033 </w:instrText>
          </w:r>
          <w:r w:rsidR="006D751C">
            <w:fldChar w:fldCharType="separate"/>
          </w:r>
          <w:r w:rsidR="006D751C" w:rsidRPr="006D751C">
            <w:rPr>
              <w:noProof/>
              <w:lang w:val="en-US"/>
            </w:rPr>
            <w:t>(Hilson, 2023)</w:t>
          </w:r>
          <w:r w:rsidR="006D751C">
            <w:fldChar w:fldCharType="end"/>
          </w:r>
        </w:sdtContent>
      </w:sdt>
      <w:r w:rsidR="009A5857">
        <w:t>.</w:t>
      </w:r>
      <w:r w:rsidR="006D751C" w:rsidRPr="009A1D84">
        <w:t xml:space="preserve"> </w:t>
      </w:r>
      <w:r w:rsidR="009A1D84" w:rsidRPr="009A1D84">
        <w:t>In practice, tools that are effective in one sector or project type may be less suited to another. For example, manufacturing and engineering projects may benefit from FMEA and HA</w:t>
      </w:r>
      <w:r w:rsidR="006D751C">
        <w:t>Z</w:t>
      </w:r>
      <w:r w:rsidR="009A1D84" w:rsidRPr="009A1D84">
        <w:t>OP due to their technical focus, whereas IT projects may require approaches better suited to rapidly changing requirements and iterative development cycles.</w:t>
      </w:r>
      <w:r w:rsidR="009A5857">
        <w:t xml:space="preserve"> This approach may </w:t>
      </w:r>
      <w:r w:rsidR="001A4191">
        <w:t xml:space="preserve">largely have influenced the perceived effectiveness rating of respondents. </w:t>
      </w:r>
    </w:p>
    <w:p w14:paraId="19A521DA" w14:textId="77777777" w:rsidR="009A1D84" w:rsidRPr="009A1D84" w:rsidRDefault="009A1D84" w:rsidP="009A1D84">
      <w:pPr>
        <w:spacing w:after="0" w:line="360" w:lineRule="auto"/>
        <w:ind w:left="-576" w:right="-576"/>
        <w:jc w:val="both"/>
      </w:pPr>
    </w:p>
    <w:p w14:paraId="2CA42413" w14:textId="5E5F330D" w:rsidR="009A1D84" w:rsidRPr="009A1D84" w:rsidRDefault="00D405B9" w:rsidP="009A1D84">
      <w:pPr>
        <w:spacing w:after="0" w:line="360" w:lineRule="auto"/>
        <w:ind w:left="-576" w:right="-576"/>
        <w:jc w:val="both"/>
      </w:pPr>
      <w:r>
        <w:t>Compounding</w:t>
      </w:r>
      <w:r w:rsidR="006C7725">
        <w:t xml:space="preserve"> thes</w:t>
      </w:r>
      <w:r>
        <w:t xml:space="preserve">e perceptions </w:t>
      </w:r>
      <w:r w:rsidR="00CC5DA2">
        <w:t xml:space="preserve">of effectiveness is </w:t>
      </w:r>
      <w:r w:rsidR="009A1D84" w:rsidRPr="009A1D84">
        <w:t>knowledge and competence in the correct application of tools</w:t>
      </w:r>
      <w:r w:rsidR="00B36852">
        <w:t xml:space="preserve"> </w:t>
      </w:r>
      <w:r w:rsidR="00CC5DA2" w:rsidRPr="00CC5DA2">
        <w:rPr>
          <w:color w:val="auto"/>
        </w:rPr>
        <w:t>as</w:t>
      </w:r>
      <w:r w:rsidR="00B36852" w:rsidRPr="00CC5DA2">
        <w:rPr>
          <w:color w:val="auto"/>
        </w:rPr>
        <w:t xml:space="preserve"> described in</w:t>
      </w:r>
      <w:r w:rsidR="00653860">
        <w:rPr>
          <w:color w:val="auto"/>
        </w:rPr>
        <w:t xml:space="preserve"> detailed in</w:t>
      </w:r>
      <w:r w:rsidR="00B36852" w:rsidRPr="00CC5DA2">
        <w:rPr>
          <w:color w:val="auto"/>
        </w:rPr>
        <w:t xml:space="preserve"> 9.3</w:t>
      </w:r>
      <w:r w:rsidR="009A1D84" w:rsidRPr="00CC5DA2">
        <w:rPr>
          <w:color w:val="auto"/>
        </w:rPr>
        <w:t xml:space="preserve">. </w:t>
      </w:r>
      <w:r w:rsidR="00653860">
        <w:t>M</w:t>
      </w:r>
      <w:r w:rsidR="009A1D84" w:rsidRPr="009A1D84">
        <w:t>isclassification of tools</w:t>
      </w:r>
      <w:r w:rsidR="006D751C">
        <w:t xml:space="preserve">, </w:t>
      </w:r>
      <w:r w:rsidR="00196ABF">
        <w:t>such as</w:t>
      </w:r>
      <w:r w:rsidR="009A1D84" w:rsidRPr="009A1D84">
        <w:t xml:space="preserve"> brainstorming and checklists as analysis methods, or risk registers as identification</w:t>
      </w:r>
      <w:r w:rsidR="00A21C19">
        <w:t xml:space="preserve"> tools</w:t>
      </w:r>
      <w:r w:rsidR="006705A7">
        <w:t>,</w:t>
      </w:r>
      <w:r w:rsidR="00A21C19">
        <w:t xml:space="preserve"> suggest </w:t>
      </w:r>
      <w:r w:rsidR="00D471B1">
        <w:t>poor</w:t>
      </w:r>
      <w:r w:rsidR="00A21C19">
        <w:t xml:space="preserve"> </w:t>
      </w:r>
      <w:r w:rsidR="009A1D84" w:rsidRPr="009A1D84">
        <w:t>understanding</w:t>
      </w:r>
      <w:r w:rsidR="00A21C19">
        <w:t xml:space="preserve"> of how tools should function</w:t>
      </w:r>
      <w:r w:rsidR="009A1D84" w:rsidRPr="009A1D84">
        <w:t>.</w:t>
      </w:r>
      <w:r w:rsidR="006D751C">
        <w:t xml:space="preserve"> </w:t>
      </w:r>
      <w:r w:rsidR="00F90683">
        <w:t xml:space="preserve">Misapplication can </w:t>
      </w:r>
      <w:r w:rsidR="009A1D84" w:rsidRPr="009A1D84">
        <w:t xml:space="preserve">create false </w:t>
      </w:r>
      <w:r w:rsidR="00F90683">
        <w:t>confidence</w:t>
      </w:r>
      <w:r w:rsidR="009A1D84" w:rsidRPr="009A1D84">
        <w:t>,</w:t>
      </w:r>
      <w:r w:rsidR="00F90683">
        <w:t xml:space="preserve"> </w:t>
      </w:r>
      <w:r w:rsidR="00EE14E1">
        <w:t>poor prioritisation, and incomplete assessment</w:t>
      </w:r>
      <w:r w:rsidR="00F843D5">
        <w:t>s</w:t>
      </w:r>
      <w:r w:rsidR="00EE14E1">
        <w:t>,</w:t>
      </w:r>
      <w:r w:rsidR="00A16CB5">
        <w:t xml:space="preserve"> </w:t>
      </w:r>
      <w:r w:rsidR="00C32999">
        <w:t>reinforcing</w:t>
      </w:r>
      <w:r w:rsidR="00A16CB5">
        <w:t xml:space="preserve"> the perception that </w:t>
      </w:r>
      <w:r w:rsidR="00C32999">
        <w:t xml:space="preserve">tools, and in fact risk management itself, are ineffective </w:t>
      </w:r>
      <w:sdt>
        <w:sdtPr>
          <w:id w:val="982743412"/>
          <w:citation/>
        </w:sdtPr>
        <w:sdtContent>
          <w:r w:rsidR="006D751C">
            <w:fldChar w:fldCharType="begin"/>
          </w:r>
          <w:r w:rsidR="006D751C">
            <w:rPr>
              <w:lang w:val="en-US"/>
            </w:rPr>
            <w:instrText xml:space="preserve"> CITATION Dav23 \l 1033 </w:instrText>
          </w:r>
          <w:r w:rsidR="006D751C">
            <w:fldChar w:fldCharType="separate"/>
          </w:r>
          <w:r w:rsidR="006D751C" w:rsidRPr="006D751C">
            <w:rPr>
              <w:noProof/>
              <w:lang w:val="en-US"/>
            </w:rPr>
            <w:t>(Hilson, 2023)</w:t>
          </w:r>
          <w:r w:rsidR="006D751C">
            <w:fldChar w:fldCharType="end"/>
          </w:r>
        </w:sdtContent>
      </w:sdt>
      <w:r w:rsidR="001D35EB">
        <w:t xml:space="preserve"> </w:t>
      </w:r>
      <w:sdt>
        <w:sdtPr>
          <w:id w:val="1742059339"/>
          <w:citation/>
        </w:sdtPr>
        <w:sdtContent>
          <w:r w:rsidR="006D751C">
            <w:fldChar w:fldCharType="begin"/>
          </w:r>
          <w:r w:rsidR="006D751C">
            <w:rPr>
              <w:lang w:val="en-US"/>
            </w:rPr>
            <w:instrText xml:space="preserve"> CITATION Pau08 \l 1033 </w:instrText>
          </w:r>
          <w:r w:rsidR="006D751C">
            <w:fldChar w:fldCharType="separate"/>
          </w:r>
          <w:r w:rsidR="006D751C" w:rsidRPr="006D751C">
            <w:rPr>
              <w:noProof/>
              <w:lang w:val="en-US"/>
            </w:rPr>
            <w:t>(Bannerman, 2008)</w:t>
          </w:r>
          <w:r w:rsidR="006D751C">
            <w:fldChar w:fldCharType="end"/>
          </w:r>
        </w:sdtContent>
      </w:sdt>
      <w:r w:rsidR="009A1D84" w:rsidRPr="009A1D84">
        <w:t xml:space="preserve">. </w:t>
      </w:r>
    </w:p>
    <w:p w14:paraId="3008AE8A" w14:textId="77777777" w:rsidR="009A1D84" w:rsidRPr="009A1D84" w:rsidRDefault="009A1D84" w:rsidP="009A1D84">
      <w:pPr>
        <w:spacing w:after="0" w:line="360" w:lineRule="auto"/>
        <w:ind w:left="-576" w:right="-576"/>
        <w:jc w:val="both"/>
      </w:pPr>
    </w:p>
    <w:p w14:paraId="2EEE5BD2" w14:textId="77777777" w:rsidR="009A1D84" w:rsidRPr="009A1D84" w:rsidRDefault="009A1D84" w:rsidP="009A1D84">
      <w:pPr>
        <w:spacing w:after="0" w:line="360" w:lineRule="auto"/>
        <w:ind w:left="-576" w:right="-576"/>
        <w:jc w:val="both"/>
      </w:pPr>
      <w:r w:rsidRPr="009A1D84">
        <w:t>Taken collectively, the findings suggest that the effectiveness of risk assessment tools in project management is constrained by three interrelated factors:</w:t>
      </w:r>
    </w:p>
    <w:p w14:paraId="418D101F" w14:textId="28D1EF5A" w:rsidR="009A1D84" w:rsidRPr="009A1D84" w:rsidRDefault="009A1D84" w:rsidP="009A1D84">
      <w:pPr>
        <w:pStyle w:val="ListParagraph"/>
        <w:numPr>
          <w:ilvl w:val="0"/>
          <w:numId w:val="44"/>
        </w:numPr>
        <w:spacing w:after="0" w:line="360" w:lineRule="auto"/>
        <w:ind w:right="-576"/>
        <w:jc w:val="both"/>
      </w:pPr>
      <w:r w:rsidRPr="009A1D84">
        <w:t xml:space="preserve">Procedural </w:t>
      </w:r>
      <w:r w:rsidR="00D408CC">
        <w:t>application</w:t>
      </w:r>
      <w:r w:rsidRPr="009A1D84">
        <w:t>, whereby tools are applied only at the initiation stage rather than continuously, diverging from PMBOK and ISO 31000 principles.</w:t>
      </w:r>
    </w:p>
    <w:p w14:paraId="1835EED5" w14:textId="77777777" w:rsidR="009A1D84" w:rsidRPr="009A1D84" w:rsidRDefault="009A1D84" w:rsidP="009A1D84">
      <w:pPr>
        <w:pStyle w:val="ListParagraph"/>
        <w:numPr>
          <w:ilvl w:val="0"/>
          <w:numId w:val="44"/>
        </w:numPr>
        <w:spacing w:after="0" w:line="360" w:lineRule="auto"/>
        <w:ind w:right="-576"/>
        <w:jc w:val="both"/>
      </w:pPr>
      <w:r w:rsidRPr="009A1D84">
        <w:t>Organisational and cultural barriers, including lack of stakeholder engagement, limited training, and insufficient integration into governance structures.</w:t>
      </w:r>
    </w:p>
    <w:p w14:paraId="00BF31E5" w14:textId="77777777" w:rsidR="009A1D84" w:rsidRPr="009A1D84" w:rsidRDefault="009A1D84" w:rsidP="009A1D84">
      <w:pPr>
        <w:pStyle w:val="ListParagraph"/>
        <w:numPr>
          <w:ilvl w:val="0"/>
          <w:numId w:val="44"/>
        </w:numPr>
        <w:spacing w:after="0" w:line="360" w:lineRule="auto"/>
        <w:ind w:right="-576"/>
        <w:jc w:val="both"/>
      </w:pPr>
      <w:r w:rsidRPr="009A1D84">
        <w:t>Knowledge gaps and misapplications, which undermine the ability of tools to generate accurate and actionable insights.</w:t>
      </w:r>
    </w:p>
    <w:p w14:paraId="41E9DBC8" w14:textId="77777777" w:rsidR="009A1D84" w:rsidRPr="009A1D84" w:rsidRDefault="009A1D84" w:rsidP="009A1D84">
      <w:pPr>
        <w:spacing w:after="0" w:line="360" w:lineRule="auto"/>
        <w:ind w:left="-576" w:right="-576"/>
        <w:jc w:val="both"/>
      </w:pPr>
    </w:p>
    <w:p w14:paraId="43A16D56" w14:textId="5A710AF2" w:rsidR="009A1D84" w:rsidRPr="009A1D84" w:rsidRDefault="009A1D84" w:rsidP="009A1D84">
      <w:pPr>
        <w:spacing w:after="0" w:line="360" w:lineRule="auto"/>
        <w:ind w:left="-576" w:right="-576"/>
        <w:jc w:val="both"/>
      </w:pPr>
      <w:r w:rsidRPr="009A1D84">
        <w:lastRenderedPageBreak/>
        <w:t>The</w:t>
      </w:r>
      <w:r w:rsidR="00E8390A">
        <w:t xml:space="preserve">se limitations </w:t>
      </w:r>
      <w:r w:rsidR="00834A66">
        <w:t>echo</w:t>
      </w:r>
      <w:r w:rsidR="00997935">
        <w:t xml:space="preserve"> themes in the literature: that </w:t>
      </w:r>
      <w:r w:rsidRPr="009A1D84">
        <w:t>tools alone cannot guarantee effectiveness; rather, effectiveness emerges from the interplay between methodological rigour, organisational culture, and practitioner competence</w:t>
      </w:r>
      <w:r w:rsidR="007D06B9">
        <w:t xml:space="preserve"> </w:t>
      </w:r>
      <w:sdt>
        <w:sdtPr>
          <w:id w:val="-1403061158"/>
          <w:citation/>
        </w:sdtPr>
        <w:sdtContent>
          <w:r w:rsidR="007D06B9">
            <w:fldChar w:fldCharType="begin"/>
          </w:r>
          <w:r w:rsidR="007D06B9">
            <w:rPr>
              <w:lang w:val="en-US"/>
            </w:rPr>
            <w:instrText xml:space="preserve"> CITATION Cag15 \l 1033 </w:instrText>
          </w:r>
          <w:r w:rsidR="007D06B9">
            <w:fldChar w:fldCharType="separate"/>
          </w:r>
          <w:r w:rsidR="007D06B9" w:rsidRPr="007D06B9">
            <w:rPr>
              <w:noProof/>
              <w:lang w:val="en-US"/>
            </w:rPr>
            <w:t>(Cagliano, 2015)</w:t>
          </w:r>
          <w:r w:rsidR="007D06B9">
            <w:fldChar w:fldCharType="end"/>
          </w:r>
        </w:sdtContent>
      </w:sdt>
      <w:r w:rsidR="007D06B9">
        <w:t xml:space="preserve"> </w:t>
      </w:r>
      <w:sdt>
        <w:sdtPr>
          <w:id w:val="-1666545009"/>
          <w:citation/>
        </w:sdtPr>
        <w:sdtContent>
          <w:r w:rsidR="007D06B9">
            <w:fldChar w:fldCharType="begin"/>
          </w:r>
          <w:r w:rsidR="007D06B9">
            <w:rPr>
              <w:lang w:val="en-US"/>
            </w:rPr>
            <w:instrText xml:space="preserve"> CITATION Ofe10 \l 1033 </w:instrText>
          </w:r>
          <w:r w:rsidR="007D06B9">
            <w:fldChar w:fldCharType="separate"/>
          </w:r>
          <w:r w:rsidR="007D06B9" w:rsidRPr="006D751C">
            <w:rPr>
              <w:noProof/>
              <w:lang w:val="en-US"/>
            </w:rPr>
            <w:t>(Ofer Zwikael, 2010)</w:t>
          </w:r>
          <w:r w:rsidR="007D06B9">
            <w:fldChar w:fldCharType="end"/>
          </w:r>
        </w:sdtContent>
      </w:sdt>
      <w:r w:rsidR="007D06B9">
        <w:t>.</w:t>
      </w:r>
    </w:p>
    <w:p w14:paraId="22EC4DD7" w14:textId="77777777" w:rsidR="009A1D84" w:rsidRPr="009A1D84" w:rsidRDefault="009A1D84" w:rsidP="009A1D84">
      <w:pPr>
        <w:spacing w:after="0" w:line="360" w:lineRule="auto"/>
        <w:ind w:left="-576" w:right="-576"/>
        <w:jc w:val="both"/>
      </w:pPr>
    </w:p>
    <w:p w14:paraId="5E730386" w14:textId="03AAE956" w:rsidR="009A1D84" w:rsidRPr="009A1D84" w:rsidRDefault="009A1D84" w:rsidP="009A1D84">
      <w:pPr>
        <w:spacing w:after="0" w:line="360" w:lineRule="auto"/>
        <w:ind w:left="-576" w:right="-576"/>
        <w:jc w:val="both"/>
      </w:pPr>
      <w:r w:rsidRPr="009A1D84">
        <w:t xml:space="preserve">The implication for practice is that improving effectiveness requires more than introducing new tools or enforcing compliance with existing ones. It demands investment in training, leadership support for stakeholder engagement, and cultural shifts that treat risk management as an ongoing strategic activity. From a theoretical perspective, the findings support calls for frameworks that balance standardisation with flexibility, enabling project managers to adapt tools to context while maintaining alignment with best-practice principles </w:t>
      </w:r>
      <w:sdt>
        <w:sdtPr>
          <w:id w:val="-835228125"/>
          <w:citation/>
        </w:sdtPr>
        <w:sdtContent>
          <w:r w:rsidR="007D06B9">
            <w:fldChar w:fldCharType="begin"/>
          </w:r>
          <w:r w:rsidR="007D06B9">
            <w:rPr>
              <w:lang w:val="en-US"/>
            </w:rPr>
            <w:instrText xml:space="preserve"> CITATION Dav23 \l 1033 </w:instrText>
          </w:r>
          <w:r w:rsidR="007D06B9">
            <w:fldChar w:fldCharType="separate"/>
          </w:r>
          <w:r w:rsidR="007D06B9" w:rsidRPr="001C618B">
            <w:rPr>
              <w:noProof/>
              <w:lang w:val="en-US"/>
            </w:rPr>
            <w:t>(Hilson, 2023)</w:t>
          </w:r>
          <w:r w:rsidR="007D06B9">
            <w:fldChar w:fldCharType="end"/>
          </w:r>
        </w:sdtContent>
      </w:sdt>
      <w:r w:rsidR="007D06B9">
        <w:t xml:space="preserve"> </w:t>
      </w:r>
      <w:sdt>
        <w:sdtPr>
          <w:id w:val="-1948462950"/>
          <w:citation/>
        </w:sdtPr>
        <w:sdtContent>
          <w:r w:rsidR="007D06B9">
            <w:fldChar w:fldCharType="begin"/>
          </w:r>
          <w:r w:rsidR="007D06B9">
            <w:rPr>
              <w:lang w:val="en-US"/>
            </w:rPr>
            <w:instrText xml:space="preserve"> CITATION Ave16 \l 1033 </w:instrText>
          </w:r>
          <w:r w:rsidR="007D06B9">
            <w:fldChar w:fldCharType="separate"/>
          </w:r>
          <w:r w:rsidR="007D06B9" w:rsidRPr="001C618B">
            <w:rPr>
              <w:noProof/>
              <w:lang w:val="en-US"/>
            </w:rPr>
            <w:t>(Aven, 2016)</w:t>
          </w:r>
          <w:r w:rsidR="007D06B9">
            <w:fldChar w:fldCharType="end"/>
          </w:r>
        </w:sdtContent>
      </w:sdt>
      <w:r w:rsidR="007D06B9">
        <w:t>.</w:t>
      </w:r>
    </w:p>
    <w:p w14:paraId="7D5B2463" w14:textId="77777777" w:rsidR="009A1D84" w:rsidRPr="009A1D84" w:rsidRDefault="009A1D84" w:rsidP="009A1D84">
      <w:pPr>
        <w:spacing w:after="0" w:line="360" w:lineRule="auto"/>
        <w:ind w:left="-576" w:right="-576"/>
        <w:jc w:val="both"/>
      </w:pPr>
    </w:p>
    <w:p w14:paraId="61B9F69D" w14:textId="78500080" w:rsidR="007D06B9" w:rsidRPr="007D06B9" w:rsidRDefault="00C67CBE" w:rsidP="007D06B9">
      <w:pPr>
        <w:spacing w:after="0" w:line="360" w:lineRule="auto"/>
        <w:ind w:left="-576" w:right="-576"/>
        <w:jc w:val="both"/>
        <w:rPr>
          <w:color w:val="EE0000"/>
        </w:rPr>
      </w:pPr>
      <w:r>
        <w:rPr>
          <w:color w:val="EE0000"/>
        </w:rPr>
        <w:t>9</w:t>
      </w:r>
      <w:r w:rsidR="00D113B5">
        <w:rPr>
          <w:color w:val="EE0000"/>
        </w:rPr>
        <w:t>16</w:t>
      </w:r>
      <w:r w:rsidR="007D06B9" w:rsidRPr="007D06B9">
        <w:rPr>
          <w:color w:val="EE0000"/>
        </w:rPr>
        <w:t xml:space="preserve"> (</w:t>
      </w:r>
      <w:r w:rsidR="00D113B5">
        <w:rPr>
          <w:color w:val="EE0000"/>
        </w:rPr>
        <w:t>10452</w:t>
      </w:r>
      <w:r>
        <w:rPr>
          <w:color w:val="EE0000"/>
        </w:rPr>
        <w:t>)</w:t>
      </w:r>
    </w:p>
    <w:p w14:paraId="6EE0768D" w14:textId="77777777" w:rsidR="007D06B9" w:rsidRDefault="007D06B9">
      <w:r>
        <w:br w:type="page"/>
      </w:r>
    </w:p>
    <w:p w14:paraId="605CA4BE" w14:textId="688A4333" w:rsidR="007D06B9" w:rsidRPr="007D06B9" w:rsidRDefault="007D06B9" w:rsidP="007D06B9">
      <w:pPr>
        <w:pStyle w:val="Heading2"/>
        <w:ind w:left="-576" w:right="-576"/>
        <w:rPr>
          <w:sz w:val="22"/>
          <w:szCs w:val="22"/>
        </w:rPr>
      </w:pPr>
      <w:bookmarkStart w:id="77" w:name="_Toc219216485"/>
      <w:r w:rsidRPr="007D06B9">
        <w:rPr>
          <w:sz w:val="22"/>
          <w:szCs w:val="22"/>
        </w:rPr>
        <w:lastRenderedPageBreak/>
        <w:t xml:space="preserve">9.3. </w:t>
      </w:r>
      <w:r w:rsidR="003E3833" w:rsidRPr="003E3833">
        <w:rPr>
          <w:sz w:val="22"/>
          <w:szCs w:val="22"/>
          <w:u w:val="single"/>
        </w:rPr>
        <w:t xml:space="preserve">Tool </w:t>
      </w:r>
      <w:r w:rsidRPr="003E3833">
        <w:rPr>
          <w:sz w:val="22"/>
          <w:szCs w:val="22"/>
          <w:u w:val="single"/>
        </w:rPr>
        <w:t>Misapplication</w:t>
      </w:r>
      <w:r w:rsidRPr="007D06B9">
        <w:rPr>
          <w:sz w:val="22"/>
          <w:szCs w:val="22"/>
          <w:u w:val="single"/>
        </w:rPr>
        <w:t xml:space="preserve"> and </w:t>
      </w:r>
      <w:r w:rsidR="00EF15B2">
        <w:rPr>
          <w:sz w:val="22"/>
          <w:szCs w:val="22"/>
          <w:u w:val="single"/>
        </w:rPr>
        <w:t>Misclassification</w:t>
      </w:r>
      <w:r w:rsidRPr="007D06B9">
        <w:rPr>
          <w:sz w:val="22"/>
          <w:szCs w:val="22"/>
          <w:u w:val="single"/>
        </w:rPr>
        <w:t>.</w:t>
      </w:r>
      <w:bookmarkEnd w:id="77"/>
    </w:p>
    <w:p w14:paraId="5D290309" w14:textId="77777777" w:rsidR="007D06B9" w:rsidRDefault="007D06B9" w:rsidP="007D06B9">
      <w:pPr>
        <w:spacing w:after="0" w:line="360" w:lineRule="auto"/>
        <w:ind w:left="-576" w:right="-576"/>
        <w:jc w:val="both"/>
      </w:pPr>
    </w:p>
    <w:p w14:paraId="09664D56" w14:textId="2146C050" w:rsidR="007D06B9" w:rsidRDefault="007D06B9" w:rsidP="007D06B9">
      <w:pPr>
        <w:spacing w:after="0" w:line="360" w:lineRule="auto"/>
        <w:ind w:left="-576" w:right="-576"/>
        <w:jc w:val="both"/>
      </w:pPr>
      <w:r>
        <w:t xml:space="preserve">The effectiveness of risk assessment tools </w:t>
      </w:r>
      <w:r w:rsidR="00A51342">
        <w:t xml:space="preserve">depends not only </w:t>
      </w:r>
      <w:r w:rsidR="00FB5C1A">
        <w:t xml:space="preserve">on </w:t>
      </w:r>
      <w:r>
        <w:t>their presence within project management but also how well they are understood and applied</w:t>
      </w:r>
      <w:r w:rsidR="00C67CBE">
        <w:t xml:space="preserve"> </w:t>
      </w:r>
      <w:r w:rsidR="00C67CBE" w:rsidRPr="00C67CBE">
        <w:t xml:space="preserve"> </w:t>
      </w:r>
      <w:sdt>
        <w:sdtPr>
          <w:id w:val="947895361"/>
          <w:citation/>
        </w:sdtPr>
        <w:sdtContent>
          <w:r w:rsidR="00C67CBE">
            <w:fldChar w:fldCharType="begin"/>
          </w:r>
          <w:r w:rsidR="00C67CBE">
            <w:rPr>
              <w:lang w:val="en-US"/>
            </w:rPr>
            <w:instrText xml:space="preserve"> CITATION Mer20 \l 1033 </w:instrText>
          </w:r>
          <w:r w:rsidR="00C67CBE">
            <w:fldChar w:fldCharType="separate"/>
          </w:r>
          <w:r w:rsidR="00C67CBE" w:rsidRPr="007D06B9">
            <w:rPr>
              <w:noProof/>
              <w:lang w:val="en-US"/>
            </w:rPr>
            <w:t>(Merkourios Papanikolaou, 2020)</w:t>
          </w:r>
          <w:r w:rsidR="00C67CBE">
            <w:fldChar w:fldCharType="end"/>
          </w:r>
        </w:sdtContent>
      </w:sdt>
      <w:r w:rsidR="00864A53">
        <w:t xml:space="preserve">. </w:t>
      </w:r>
      <w:r w:rsidR="001D34F4">
        <w:t xml:space="preserve">Despite widespread adoption (see 9.1), the survey </w:t>
      </w:r>
      <w:r w:rsidR="00C3315E">
        <w:t xml:space="preserve">revealed </w:t>
      </w:r>
      <w:r>
        <w:t>significant</w:t>
      </w:r>
      <w:r w:rsidR="00C3315E">
        <w:t xml:space="preserve"> misclassification and misapplication</w:t>
      </w:r>
      <w:r w:rsidR="00DD11BE">
        <w:t xml:space="preserve"> of tools</w:t>
      </w:r>
      <w:r w:rsidR="008F6C61">
        <w:t xml:space="preserve">, suggesting </w:t>
      </w:r>
      <w:r w:rsidR="00FE1E8A">
        <w:t xml:space="preserve">a lack of </w:t>
      </w:r>
      <w:r w:rsidR="008A47F2">
        <w:t>clear understanding of the</w:t>
      </w:r>
      <w:r w:rsidR="00DF77C0">
        <w:t>ir</w:t>
      </w:r>
      <w:r w:rsidR="008A47F2">
        <w:t xml:space="preserve"> purpose and correct use. </w:t>
      </w:r>
      <w:r w:rsidR="00BA3FAC">
        <w:t xml:space="preserve">This reflects a </w:t>
      </w:r>
      <w:r w:rsidR="00DF77C0">
        <w:t>critical</w:t>
      </w:r>
      <w:r>
        <w:t xml:space="preserve"> barrier to achieving </w:t>
      </w:r>
      <w:r w:rsidR="00EE5114">
        <w:t xml:space="preserve">value and </w:t>
      </w:r>
      <w:r>
        <w:t xml:space="preserve">meaningful outcomes from risk </w:t>
      </w:r>
      <w:r w:rsidR="00EE5114">
        <w:t>management</w:t>
      </w:r>
      <w:r>
        <w:t>.</w:t>
      </w:r>
      <w:r w:rsidR="00CF6AF8" w:rsidRPr="00CF6AF8">
        <w:t xml:space="preserve"> </w:t>
      </w:r>
      <w:r w:rsidR="00CF6AF8">
        <w:t xml:space="preserve">As noted in section 9.2, such misunderstandings </w:t>
      </w:r>
      <w:r w:rsidR="00CD2856">
        <w:t>contribute to the perception of tool effectiveness</w:t>
      </w:r>
      <w:r w:rsidR="00612362">
        <w:t xml:space="preserve"> as they are not being applied with methodological accuracy. </w:t>
      </w:r>
    </w:p>
    <w:p w14:paraId="34B18049" w14:textId="77777777" w:rsidR="007D06B9" w:rsidRDefault="007D06B9" w:rsidP="007D06B9">
      <w:pPr>
        <w:spacing w:after="0" w:line="360" w:lineRule="auto"/>
        <w:ind w:left="-576" w:right="-576"/>
        <w:jc w:val="both"/>
      </w:pPr>
    </w:p>
    <w:p w14:paraId="032C406E" w14:textId="5E388C4A" w:rsidR="007D06B9" w:rsidRDefault="00340C8D" w:rsidP="007D06B9">
      <w:pPr>
        <w:spacing w:after="0" w:line="360" w:lineRule="auto"/>
        <w:ind w:left="-576" w:right="-576"/>
        <w:jc w:val="both"/>
      </w:pPr>
      <w:r>
        <w:t>A</w:t>
      </w:r>
      <w:r w:rsidR="007D06B9">
        <w:t xml:space="preserve"> </w:t>
      </w:r>
      <w:r>
        <w:t>significant</w:t>
      </w:r>
      <w:r w:rsidR="007D06B9">
        <w:t xml:space="preserve"> proportion of widely recognised tools</w:t>
      </w:r>
      <w:r w:rsidR="00171CF5">
        <w:t xml:space="preserve"> were misclassified</w:t>
      </w:r>
      <w:r w:rsidR="007D06B9">
        <w:t xml:space="preserve">. </w:t>
      </w:r>
      <w:r w:rsidR="00DB693D">
        <w:t>B</w:t>
      </w:r>
      <w:r w:rsidR="007D06B9">
        <w:t>rainstorming and checklists, both foundation techniques for risk identification, were misinterpreted as analysis or control methods</w:t>
      </w:r>
      <w:r w:rsidR="00F87B80">
        <w:t>, and</w:t>
      </w:r>
      <w:r w:rsidR="007D06B9">
        <w:t xml:space="preserve"> risk registers as identification tools rather than documentation</w:t>
      </w:r>
      <w:r w:rsidR="007951F4">
        <w:t>/</w:t>
      </w:r>
      <w:r w:rsidR="007D06B9">
        <w:t>monitoring</w:t>
      </w:r>
      <w:r w:rsidR="007951F4">
        <w:t xml:space="preserve"> instruments</w:t>
      </w:r>
      <w:r w:rsidR="007D06B9">
        <w:t xml:space="preserve">. This reflects a </w:t>
      </w:r>
      <w:r w:rsidR="00415600">
        <w:t>weak</w:t>
      </w:r>
      <w:r w:rsidR="007D06B9">
        <w:t xml:space="preserve"> or incomplete understanding of the lifecycle of risk management,</w:t>
      </w:r>
      <w:r w:rsidR="008D72B1">
        <w:t xml:space="preserve"> presenting a risk of </w:t>
      </w:r>
      <w:r w:rsidR="00076B6A">
        <w:t>merging</w:t>
      </w:r>
      <w:r w:rsidR="002E64FB">
        <w:t xml:space="preserve"> </w:t>
      </w:r>
      <w:r w:rsidR="007D5705">
        <w:t xml:space="preserve">distinct stages </w:t>
      </w:r>
      <w:r w:rsidR="000413E2">
        <w:t>of the risk process.</w:t>
      </w:r>
      <w:r w:rsidR="00AA18B3">
        <w:t xml:space="preserve"> This can undermine the </w:t>
      </w:r>
      <w:r w:rsidR="008D3583">
        <w:t>rigour of assessments, consequently leading to incomplete or misleading results</w:t>
      </w:r>
      <w:r w:rsidR="004D41C6">
        <w:t xml:space="preserve"> </w:t>
      </w:r>
      <w:sdt>
        <w:sdtPr>
          <w:id w:val="-544063037"/>
          <w:citation/>
        </w:sdtPr>
        <w:sdtContent>
          <w:r w:rsidR="007D06B9">
            <w:fldChar w:fldCharType="begin"/>
          </w:r>
          <w:r w:rsidR="007D06B9">
            <w:rPr>
              <w:lang w:val="en-US"/>
            </w:rPr>
            <w:instrText xml:space="preserve"> CITATION Mer20 \l 1033 </w:instrText>
          </w:r>
          <w:r w:rsidR="007D06B9">
            <w:fldChar w:fldCharType="separate"/>
          </w:r>
          <w:r w:rsidR="007D06B9" w:rsidRPr="007D06B9">
            <w:rPr>
              <w:noProof/>
              <w:lang w:val="en-US"/>
            </w:rPr>
            <w:t>(Merkourios Papanikolaou, 2020)</w:t>
          </w:r>
          <w:r w:rsidR="007D06B9">
            <w:fldChar w:fldCharType="end"/>
          </w:r>
        </w:sdtContent>
      </w:sdt>
      <w:r w:rsidR="007D06B9">
        <w:t>.</w:t>
      </w:r>
    </w:p>
    <w:p w14:paraId="53B05DE7" w14:textId="77777777" w:rsidR="007D06B9" w:rsidRDefault="007D06B9" w:rsidP="007D06B9">
      <w:pPr>
        <w:spacing w:after="0" w:line="360" w:lineRule="auto"/>
        <w:ind w:left="-576" w:right="-576"/>
        <w:jc w:val="both"/>
      </w:pPr>
    </w:p>
    <w:p w14:paraId="081B0DDE" w14:textId="58A5FEBA" w:rsidR="007D06B9" w:rsidRDefault="00C17D02" w:rsidP="008B2AFE">
      <w:pPr>
        <w:spacing w:after="0" w:line="360" w:lineRule="auto"/>
        <w:ind w:left="-576" w:right="-576"/>
        <w:jc w:val="both"/>
      </w:pPr>
      <w:r>
        <w:t xml:space="preserve">Misclassification </w:t>
      </w:r>
      <w:r w:rsidR="00AA3CAA">
        <w:t>further extended to the more complex tools</w:t>
      </w:r>
      <w:r w:rsidR="004D41C6">
        <w:t>.</w:t>
      </w:r>
      <w:r w:rsidR="00AA3CAA">
        <w:t xml:space="preserve"> </w:t>
      </w:r>
      <w:r w:rsidR="007D06B9">
        <w:t xml:space="preserve">Monte Carlo simulations, a quantitative risk analysis method, </w:t>
      </w:r>
      <w:r w:rsidR="004D41C6">
        <w:t xml:space="preserve">were </w:t>
      </w:r>
      <w:r w:rsidR="00F47D2D">
        <w:t xml:space="preserve">categorised </w:t>
      </w:r>
      <w:r w:rsidR="007D06B9">
        <w:t xml:space="preserve">as an identification tool, and Ishikawa diagrams </w:t>
      </w:r>
      <w:r w:rsidR="0099528B">
        <w:t>a</w:t>
      </w:r>
      <w:r w:rsidR="007D06B9">
        <w:t xml:space="preserve"> control to</w:t>
      </w:r>
      <w:r w:rsidR="0099528B">
        <w:t xml:space="preserve">ol rather than a </w:t>
      </w:r>
      <w:r w:rsidR="007D06B9">
        <w:t xml:space="preserve">functional and failure analysis method. </w:t>
      </w:r>
      <w:r w:rsidR="000A1E40">
        <w:t>C</w:t>
      </w:r>
      <w:r w:rsidR="007D06B9">
        <w:t>ost benefit analysis was</w:t>
      </w:r>
      <w:r w:rsidR="000A1E40">
        <w:t xml:space="preserve"> also</w:t>
      </w:r>
      <w:r w:rsidR="007D06B9">
        <w:t xml:space="preserve"> occasionally </w:t>
      </w:r>
      <w:r w:rsidR="000A1E40">
        <w:t>placed</w:t>
      </w:r>
      <w:r w:rsidR="007D06B9">
        <w:t xml:space="preserve"> outside its analytical category, raising concerns that financial evaluation may be separated from its intended </w:t>
      </w:r>
      <w:r w:rsidR="000B1244">
        <w:t>purpose</w:t>
      </w:r>
      <w:r w:rsidR="007D06B9">
        <w:t xml:space="preserve"> in </w:t>
      </w:r>
      <w:r w:rsidR="000B1244">
        <w:t>evaluating</w:t>
      </w:r>
      <w:r w:rsidR="007D06B9">
        <w:t xml:space="preserve"> risk mitigation against potential returns. Such misclassifications </w:t>
      </w:r>
      <w:r w:rsidR="003A5D05">
        <w:t xml:space="preserve">are </w:t>
      </w:r>
      <w:r w:rsidR="00B863EB">
        <w:t>important;</w:t>
      </w:r>
      <w:r w:rsidR="003A5D05">
        <w:t xml:space="preserve"> they </w:t>
      </w:r>
      <w:r w:rsidR="007D06B9">
        <w:t>not only highlight knowledge gaps but also risk undermining the very purpose of these tool</w:t>
      </w:r>
      <w:r w:rsidR="00802914">
        <w:t xml:space="preserve">s. </w:t>
      </w:r>
      <w:r w:rsidR="00DD2FF0">
        <w:t>Misused tools can negatively impact decision-making and hide outstanding risks, creating a false sense of security where teams believe risks are adequately managed, yet underlying threats remain unresolved</w:t>
      </w:r>
      <w:r w:rsidR="00EA5FFD">
        <w:t xml:space="preserve"> </w:t>
      </w:r>
      <w:sdt>
        <w:sdtPr>
          <w:id w:val="-1631696554"/>
          <w:citation/>
        </w:sdtPr>
        <w:sdtContent>
          <w:r w:rsidR="00EA5FFD">
            <w:fldChar w:fldCharType="begin"/>
          </w:r>
          <w:r w:rsidR="00EA5FFD">
            <w:instrText xml:space="preserve"> CITATION DHi22 \l 2057 </w:instrText>
          </w:r>
          <w:r w:rsidR="00EA5FFD">
            <w:fldChar w:fldCharType="separate"/>
          </w:r>
          <w:r w:rsidR="00EA5FFD">
            <w:rPr>
              <w:noProof/>
            </w:rPr>
            <w:t xml:space="preserve"> </w:t>
          </w:r>
          <w:r w:rsidR="00EA5FFD" w:rsidRPr="007D7009">
            <w:rPr>
              <w:noProof/>
            </w:rPr>
            <w:t>(Hilson, 2022)</w:t>
          </w:r>
          <w:r w:rsidR="00EA5FFD">
            <w:fldChar w:fldCharType="end"/>
          </w:r>
        </w:sdtContent>
      </w:sdt>
      <w:r w:rsidR="00DD2FF0">
        <w:t xml:space="preserve">. </w:t>
      </w:r>
      <w:r w:rsidR="00CD61CF">
        <w:t xml:space="preserve">When brainstorming is treated as an analysis technique rather than an identification method, early-stage risks may be mistaken for fully evaluated </w:t>
      </w:r>
      <w:r w:rsidR="00182EE2">
        <w:t>ones</w:t>
      </w:r>
      <w:r w:rsidR="00CD61CF">
        <w:t xml:space="preserve">, giving </w:t>
      </w:r>
      <w:r w:rsidR="00B863EB">
        <w:t xml:space="preserve">project </w:t>
      </w:r>
      <w:r w:rsidR="00CD61CF">
        <w:t>teams a false sense of preparedness. Similarly, treating risk registers as static identification devices rather than dynamic monitoring tools can lead to risks being recorded without continuous follow-up</w:t>
      </w:r>
      <w:r w:rsidR="007126E7">
        <w:t xml:space="preserve">, and the </w:t>
      </w:r>
      <w:r w:rsidR="00BB1DE6">
        <w:t xml:space="preserve">project </w:t>
      </w:r>
      <w:r w:rsidR="003C3199">
        <w:t>vulnerable to emerging threats</w:t>
      </w:r>
      <w:r w:rsidR="00BB00FD">
        <w:t xml:space="preserve"> </w:t>
      </w:r>
      <w:sdt>
        <w:sdtPr>
          <w:id w:val="1065994081"/>
          <w:citation/>
        </w:sdtPr>
        <w:sdtContent>
          <w:r w:rsidR="003C3199">
            <w:fldChar w:fldCharType="begin"/>
          </w:r>
          <w:r w:rsidR="003C3199">
            <w:rPr>
              <w:lang w:val="en-US"/>
            </w:rPr>
            <w:instrText xml:space="preserve"> CITATION Ave16 \l 1033 </w:instrText>
          </w:r>
          <w:r w:rsidR="003C3199">
            <w:fldChar w:fldCharType="separate"/>
          </w:r>
          <w:r w:rsidR="003C3199" w:rsidRPr="00665C11">
            <w:rPr>
              <w:noProof/>
              <w:lang w:val="en-US"/>
            </w:rPr>
            <w:t>(Aven, 2016)</w:t>
          </w:r>
          <w:r w:rsidR="003C3199">
            <w:fldChar w:fldCharType="end"/>
          </w:r>
        </w:sdtContent>
      </w:sdt>
      <w:r w:rsidR="0076318A">
        <w:t xml:space="preserve">. </w:t>
      </w:r>
      <w:r w:rsidR="006D3CD1">
        <w:t xml:space="preserve"> </w:t>
      </w:r>
      <w:r w:rsidR="007D06B9">
        <w:t>Bannerman</w:t>
      </w:r>
      <w:r w:rsidR="00665C11">
        <w:t xml:space="preserve"> </w:t>
      </w:r>
      <w:r w:rsidR="008B2AFE">
        <w:t xml:space="preserve">similarly </w:t>
      </w:r>
      <w:r w:rsidR="007D06B9">
        <w:t>cautions that using probabilistic models</w:t>
      </w:r>
      <w:r w:rsidR="008B2AFE">
        <w:t xml:space="preserve"> </w:t>
      </w:r>
      <w:r w:rsidR="007D06B9">
        <w:t>outside of their intended analytical context</w:t>
      </w:r>
      <w:r w:rsidR="00264D5D">
        <w:t>, such as Monte Carlo simulations as identification tools, their results may be misinterpreted, leading to decisions based on incomplete or misleading data</w:t>
      </w:r>
      <w:r w:rsidR="00EC6373">
        <w:t>. O</w:t>
      </w:r>
      <w:r w:rsidR="007D06B9">
        <w:t>utputs</w:t>
      </w:r>
      <w:r w:rsidR="00683AAA">
        <w:t xml:space="preserve"> </w:t>
      </w:r>
      <w:r w:rsidR="00EC6373">
        <w:t>become</w:t>
      </w:r>
      <w:r w:rsidR="00683AAA">
        <w:t xml:space="preserve"> divorced</w:t>
      </w:r>
      <w:r w:rsidR="007D06B9">
        <w:t xml:space="preserve"> from qualitative project realities</w:t>
      </w:r>
      <w:r w:rsidR="00665C11">
        <w:t xml:space="preserve"> </w:t>
      </w:r>
      <w:sdt>
        <w:sdtPr>
          <w:id w:val="-1177497157"/>
          <w:citation/>
        </w:sdtPr>
        <w:sdtContent>
          <w:r w:rsidR="00665C11">
            <w:fldChar w:fldCharType="begin"/>
          </w:r>
          <w:r w:rsidR="00665C11">
            <w:rPr>
              <w:lang w:val="en-US"/>
            </w:rPr>
            <w:instrText xml:space="preserve"> CITATION Pau08 \l 1033 </w:instrText>
          </w:r>
          <w:r w:rsidR="00665C11">
            <w:fldChar w:fldCharType="separate"/>
          </w:r>
          <w:r w:rsidR="00665C11" w:rsidRPr="00665C11">
            <w:rPr>
              <w:noProof/>
              <w:lang w:val="en-US"/>
            </w:rPr>
            <w:t>(Bannerman, 2008)</w:t>
          </w:r>
          <w:r w:rsidR="00665C11">
            <w:fldChar w:fldCharType="end"/>
          </w:r>
        </w:sdtContent>
      </w:sdt>
      <w:r w:rsidR="007D06B9">
        <w:t>. The same logic applies to Ishikawa diagrams</w:t>
      </w:r>
      <w:r w:rsidR="00665C11">
        <w:t xml:space="preserve">, </w:t>
      </w:r>
      <w:r w:rsidR="007D06B9">
        <w:t>when applied as control methods rather than root cause analysis techniques, teams may focus on addressing symptoms rather than underlying drivers of risk, resulting in ineffective mitigation strategies</w:t>
      </w:r>
      <w:r w:rsidR="00665C11">
        <w:t xml:space="preserve"> </w:t>
      </w:r>
      <w:sdt>
        <w:sdtPr>
          <w:id w:val="-1506750374"/>
          <w:citation/>
        </w:sdtPr>
        <w:sdtContent>
          <w:r w:rsidR="00665C11">
            <w:fldChar w:fldCharType="begin"/>
          </w:r>
          <w:r w:rsidR="00665C11">
            <w:rPr>
              <w:lang w:val="en-US"/>
            </w:rPr>
            <w:instrText xml:space="preserve"> CITATION Kau12 \l 1033 </w:instrText>
          </w:r>
          <w:r w:rsidR="00665C11">
            <w:fldChar w:fldCharType="separate"/>
          </w:r>
          <w:r w:rsidR="00665C11" w:rsidRPr="00665C11">
            <w:rPr>
              <w:noProof/>
              <w:lang w:val="en-US"/>
            </w:rPr>
            <w:t>(Kause, 2012)</w:t>
          </w:r>
          <w:r w:rsidR="00665C11">
            <w:fldChar w:fldCharType="end"/>
          </w:r>
        </w:sdtContent>
      </w:sdt>
      <w:r w:rsidR="007D06B9">
        <w:t>.</w:t>
      </w:r>
    </w:p>
    <w:p w14:paraId="10EFBC97" w14:textId="77777777" w:rsidR="007D06B9" w:rsidRDefault="007D06B9" w:rsidP="007D06B9">
      <w:pPr>
        <w:spacing w:after="0" w:line="360" w:lineRule="auto"/>
        <w:ind w:left="-576" w:right="-576"/>
        <w:jc w:val="both"/>
      </w:pPr>
    </w:p>
    <w:p w14:paraId="5822B682" w14:textId="082063F3" w:rsidR="007D06B9" w:rsidRDefault="007D06B9" w:rsidP="007D06B9">
      <w:pPr>
        <w:spacing w:after="0" w:line="360" w:lineRule="auto"/>
        <w:ind w:left="-576" w:right="-576"/>
        <w:jc w:val="both"/>
      </w:pPr>
      <w:r>
        <w:lastRenderedPageBreak/>
        <w:t>The consequences of such misapplications extend beyond technical inefficiency.</w:t>
      </w:r>
      <w:r w:rsidR="00D038C9">
        <w:t xml:space="preserve"> When used incorrectly t</w:t>
      </w:r>
      <w:r>
        <w:t xml:space="preserve">hey can </w:t>
      </w:r>
      <w:r w:rsidR="00563907">
        <w:t>risk</w:t>
      </w:r>
      <w:r>
        <w:t xml:space="preserve"> decision</w:t>
      </w:r>
      <w:r w:rsidR="00563907">
        <w:t xml:space="preserve">s made on flawed assumptions, </w:t>
      </w:r>
      <w:r>
        <w:t xml:space="preserve">waste </w:t>
      </w:r>
      <w:r w:rsidR="00D038C9">
        <w:t xml:space="preserve">organisation </w:t>
      </w:r>
      <w:r>
        <w:t>resources, and create misplaced confidence in the adequacy of risk strategies. In practice, this may translate into poorly informed project decisions, unmanaged residual risks, and ultimately, higher likelihoods of budget overruns, schedule delays, or scope creep</w:t>
      </w:r>
      <w:r w:rsidR="009E0495">
        <w:t>;</w:t>
      </w:r>
      <w:r w:rsidR="00665C11">
        <w:t xml:space="preserve"> </w:t>
      </w:r>
      <w:r>
        <w:t>challenges that respondents identified as recurring risks in their project</w:t>
      </w:r>
      <w:r w:rsidR="00224858">
        <w:t>s</w:t>
      </w:r>
      <w:r w:rsidR="00252640">
        <w:t xml:space="preserve">, and </w:t>
      </w:r>
      <w:r w:rsidR="00D94290">
        <w:t xml:space="preserve">likely </w:t>
      </w:r>
      <w:r w:rsidR="00252640">
        <w:t xml:space="preserve">influences </w:t>
      </w:r>
      <w:r w:rsidR="00B7054C">
        <w:t>on</w:t>
      </w:r>
      <w:r w:rsidR="00252640">
        <w:t xml:space="preserve"> their perception</w:t>
      </w:r>
      <w:r w:rsidR="00224858">
        <w:t>.</w:t>
      </w:r>
    </w:p>
    <w:p w14:paraId="46C08845" w14:textId="77777777" w:rsidR="007D06B9" w:rsidRDefault="007D06B9" w:rsidP="007D06B9">
      <w:pPr>
        <w:spacing w:after="0" w:line="360" w:lineRule="auto"/>
        <w:ind w:left="-576" w:right="-576"/>
        <w:jc w:val="both"/>
      </w:pPr>
    </w:p>
    <w:p w14:paraId="41A0EE44" w14:textId="6D3ED462" w:rsidR="007D06B9" w:rsidRDefault="00665C11" w:rsidP="007D06B9">
      <w:pPr>
        <w:spacing w:after="0" w:line="360" w:lineRule="auto"/>
        <w:ind w:left="-576" w:right="-576"/>
        <w:jc w:val="both"/>
      </w:pPr>
      <w:r>
        <w:t>T</w:t>
      </w:r>
      <w:r w:rsidR="007D06B9">
        <w:t xml:space="preserve">he </w:t>
      </w:r>
      <w:r w:rsidR="00A17764">
        <w:t xml:space="preserve">origins of some of the findings </w:t>
      </w:r>
      <w:r w:rsidR="006943FC">
        <w:t>appear to be linked to</w:t>
      </w:r>
      <w:r w:rsidR="00F66E56">
        <w:t xml:space="preserve"> capability, experience and culture. The sampling </w:t>
      </w:r>
      <w:r w:rsidR="00321546">
        <w:t xml:space="preserve">was </w:t>
      </w:r>
      <w:r w:rsidR="007D06B9" w:rsidRPr="00321546">
        <w:t>dominated by technically oriented professionals</w:t>
      </w:r>
      <w:r w:rsidR="00126589">
        <w:t>,</w:t>
      </w:r>
      <w:r w:rsidR="007D06B9">
        <w:t xml:space="preserve"> such as engineers, </w:t>
      </w:r>
      <w:r w:rsidR="00C10E8F">
        <w:t xml:space="preserve">rather than those with </w:t>
      </w:r>
      <w:r w:rsidR="007D06B9">
        <w:t>dedicated project management backgrounds. While this demographic brings practical expertise in applying tools</w:t>
      </w:r>
      <w:r w:rsidR="002E56FE">
        <w:t>, they may be less familiar with the broader methodological frameworks, such as PMBOK and ISO 31000</w:t>
      </w:r>
      <w:r w:rsidR="001C047E">
        <w:t xml:space="preserve"> that detail correct tool use. This may go some way to explaining the gaps evident in </w:t>
      </w:r>
      <w:r w:rsidR="007D06B9">
        <w:t>understanding</w:t>
      </w:r>
      <w:r w:rsidR="001C047E">
        <w:t xml:space="preserve">. </w:t>
      </w:r>
      <w:r w:rsidR="002624E6">
        <w:t xml:space="preserve">The </w:t>
      </w:r>
      <w:r w:rsidR="00D46521">
        <w:t>findings</w:t>
      </w:r>
      <w:r w:rsidR="00E339E9">
        <w:t xml:space="preserve"> also </w:t>
      </w:r>
      <w:r w:rsidR="00DF2C5F">
        <w:t>reinforce</w:t>
      </w:r>
      <w:r w:rsidR="002624E6">
        <w:t xml:space="preserve"> some of the </w:t>
      </w:r>
      <w:r w:rsidR="002C67F9">
        <w:t>wider</w:t>
      </w:r>
      <w:r w:rsidR="002624E6">
        <w:t xml:space="preserve"> </w:t>
      </w:r>
      <w:r w:rsidR="002C67F9">
        <w:t>organisational</w:t>
      </w:r>
      <w:r w:rsidR="002624E6">
        <w:t xml:space="preserve"> and cultural issues </w:t>
      </w:r>
      <w:r w:rsidR="002C67F9">
        <w:t xml:space="preserve">described in 9.2, </w:t>
      </w:r>
      <w:r w:rsidR="002C319C">
        <w:t xml:space="preserve">with lack of awareness, poor training and </w:t>
      </w:r>
      <w:r w:rsidR="00B670F1">
        <w:t>capability</w:t>
      </w:r>
      <w:r w:rsidR="002C319C">
        <w:t xml:space="preserve"> development</w:t>
      </w:r>
      <w:r w:rsidR="004B2BBE">
        <w:t xml:space="preserve">, and </w:t>
      </w:r>
      <w:r w:rsidR="00B670F1">
        <w:t>insufficient</w:t>
      </w:r>
      <w:r w:rsidR="004B2BBE">
        <w:t xml:space="preserve"> stakeholder </w:t>
      </w:r>
      <w:r w:rsidR="00B670F1">
        <w:t>engagement</w:t>
      </w:r>
      <w:r w:rsidR="004B2BBE">
        <w:t xml:space="preserve"> cited as key </w:t>
      </w:r>
      <w:r w:rsidR="007D06B9">
        <w:t>barriers to effective tool use. These barriers point not only to issues of communication and culture but also to limited investment in ensuring practitioners understand both the purpose and correct application of risk assessment methods</w:t>
      </w:r>
      <w:r w:rsidR="00C85AAD">
        <w:t xml:space="preserve">; </w:t>
      </w:r>
      <w:r w:rsidR="000D3B17">
        <w:t xml:space="preserve">the value of tools being undermined </w:t>
      </w:r>
      <w:r w:rsidR="00266044">
        <w:t>by capability and support</w:t>
      </w:r>
      <w:r w:rsidR="007D06B9">
        <w:t xml:space="preserve">. </w:t>
      </w:r>
      <w:r w:rsidR="00504942">
        <w:t xml:space="preserve">This supports the argument by </w:t>
      </w:r>
      <w:proofErr w:type="spellStart"/>
      <w:r w:rsidR="007D06B9">
        <w:t>Cagliano</w:t>
      </w:r>
      <w:proofErr w:type="spellEnd"/>
      <w:r w:rsidR="00504942">
        <w:t xml:space="preserve"> (2015) </w:t>
      </w:r>
      <w:r w:rsidR="007D06B9">
        <w:t>that risk management effectiveness depends as much on practitioner competence as on the tools themselves</w:t>
      </w:r>
      <w:r w:rsidR="00504942">
        <w:t>:</w:t>
      </w:r>
      <w:r w:rsidR="007D06B9">
        <w:t xml:space="preserve"> without adequate training, even well-designed tools risk being applied inappropriately</w:t>
      </w:r>
      <w:r>
        <w:t xml:space="preserve"> </w:t>
      </w:r>
      <w:sdt>
        <w:sdtPr>
          <w:id w:val="-1474287804"/>
          <w:citation/>
        </w:sdtPr>
        <w:sdtContent>
          <w:r>
            <w:fldChar w:fldCharType="begin"/>
          </w:r>
          <w:r>
            <w:rPr>
              <w:lang w:val="en-US"/>
            </w:rPr>
            <w:instrText xml:space="preserve"> CITATION Cag15 \l 1033 </w:instrText>
          </w:r>
          <w:r>
            <w:fldChar w:fldCharType="separate"/>
          </w:r>
          <w:r w:rsidRPr="00665C11">
            <w:rPr>
              <w:noProof/>
              <w:lang w:val="en-US"/>
            </w:rPr>
            <w:t>(Cagliano, 2015)</w:t>
          </w:r>
          <w:r>
            <w:fldChar w:fldCharType="end"/>
          </w:r>
        </w:sdtContent>
      </w:sdt>
      <w:r w:rsidR="007D06B9">
        <w:t>.</w:t>
      </w:r>
      <w:r w:rsidR="009F0022">
        <w:t xml:space="preserve"> This finding is supported by prior observations that </w:t>
      </w:r>
      <w:r w:rsidR="00131EB4">
        <w:t xml:space="preserve">a cultural attitude to risk management as a ‘tick-box’ exercise </w:t>
      </w:r>
      <w:r w:rsidR="004B1141">
        <w:t>will inherently undermine effective deployment</w:t>
      </w:r>
      <w:r w:rsidR="004B1141" w:rsidRPr="004B1141">
        <w:t xml:space="preserve"> </w:t>
      </w:r>
      <w:sdt>
        <w:sdtPr>
          <w:id w:val="-1852948104"/>
          <w:citation/>
        </w:sdtPr>
        <w:sdtContent>
          <w:r w:rsidR="004B1141">
            <w:fldChar w:fldCharType="begin"/>
          </w:r>
          <w:r w:rsidR="004B1141">
            <w:rPr>
              <w:lang w:val="en-US"/>
            </w:rPr>
            <w:instrText xml:space="preserve"> CITATION Ofe10 \l 1033 </w:instrText>
          </w:r>
          <w:r w:rsidR="004B1141">
            <w:fldChar w:fldCharType="separate"/>
          </w:r>
          <w:r w:rsidR="004B1141" w:rsidRPr="006D751C">
            <w:rPr>
              <w:noProof/>
              <w:lang w:val="en-US"/>
            </w:rPr>
            <w:t>(Ofer Zwikael, 2010)</w:t>
          </w:r>
          <w:r w:rsidR="004B1141">
            <w:fldChar w:fldCharType="end"/>
          </w:r>
        </w:sdtContent>
      </w:sdt>
      <w:r w:rsidR="004B1141">
        <w:t>.</w:t>
      </w:r>
    </w:p>
    <w:p w14:paraId="55E1809E" w14:textId="77777777" w:rsidR="007D06B9" w:rsidRDefault="007D06B9" w:rsidP="007D06B9">
      <w:pPr>
        <w:spacing w:after="0" w:line="360" w:lineRule="auto"/>
        <w:ind w:left="-576" w:right="-576"/>
        <w:jc w:val="both"/>
      </w:pPr>
    </w:p>
    <w:p w14:paraId="4FAA4AE1" w14:textId="153B88F7" w:rsidR="007D06B9" w:rsidRDefault="00CC21F2" w:rsidP="007D06B9">
      <w:pPr>
        <w:spacing w:after="0" w:line="360" w:lineRule="auto"/>
        <w:ind w:left="-576" w:right="-576"/>
        <w:jc w:val="both"/>
      </w:pPr>
      <w:r>
        <w:t>In addition</w:t>
      </w:r>
      <w:r w:rsidR="007D06B9">
        <w:t xml:space="preserve">, </w:t>
      </w:r>
      <w:r w:rsidR="006E30C2">
        <w:t xml:space="preserve">the problem of misapplication and misunderstanding </w:t>
      </w:r>
      <w:r w:rsidR="00935D55">
        <w:t xml:space="preserve">is likely compounded by </w:t>
      </w:r>
      <w:r w:rsidR="007D06B9">
        <w:t xml:space="preserve">the lack of shared </w:t>
      </w:r>
      <w:r w:rsidR="00935D55">
        <w:t xml:space="preserve">common </w:t>
      </w:r>
      <w:r w:rsidR="007D06B9">
        <w:t xml:space="preserve">language and conceptual clarity within organisations. A risk register, for example, can mean different things to different practitioners if its role in monitoring versus identification is misunderstood. </w:t>
      </w:r>
      <w:r w:rsidR="005E22A8">
        <w:t xml:space="preserve">Such </w:t>
      </w:r>
      <w:r w:rsidR="00A50DCF">
        <w:t>confusion</w:t>
      </w:r>
      <w:r w:rsidR="007D06B9">
        <w:t xml:space="preserve"> undermines organisational learning, </w:t>
      </w:r>
      <w:r w:rsidR="00A50DCF">
        <w:t>with</w:t>
      </w:r>
      <w:r w:rsidR="007D06B9">
        <w:t xml:space="preserve"> data from past projects </w:t>
      </w:r>
      <w:r w:rsidR="0098245F">
        <w:t>difficult</w:t>
      </w:r>
      <w:r w:rsidR="00A50DCF">
        <w:t xml:space="preserve"> </w:t>
      </w:r>
      <w:r w:rsidR="0098245F">
        <w:t xml:space="preserve">to compare or </w:t>
      </w:r>
      <w:r w:rsidR="007D06B9">
        <w:t xml:space="preserve">consistently interpret. </w:t>
      </w:r>
      <w:r w:rsidR="0044052A">
        <w:t xml:space="preserve">This is supported by </w:t>
      </w:r>
      <w:r w:rsidR="007D06B9">
        <w:t>Aven</w:t>
      </w:r>
      <w:r w:rsidR="00BE0F78">
        <w:t xml:space="preserve"> </w:t>
      </w:r>
      <w:r w:rsidR="0098245F">
        <w:t>(2016)</w:t>
      </w:r>
      <w:r w:rsidR="0044052A">
        <w:t>, which</w:t>
      </w:r>
      <w:r w:rsidR="0098245F">
        <w:t xml:space="preserve"> </w:t>
      </w:r>
      <w:r w:rsidR="007D06B9">
        <w:t>notes that fragmented approaches to risk management limit transparency and weaken an organisation’s ability to accumulate knowledge systematically from past experiences</w:t>
      </w:r>
      <w:r w:rsidR="00BE0F78">
        <w:t xml:space="preserve"> </w:t>
      </w:r>
      <w:sdt>
        <w:sdtPr>
          <w:id w:val="1677303410"/>
          <w:citation/>
        </w:sdtPr>
        <w:sdtContent>
          <w:r w:rsidR="00BE0F78">
            <w:fldChar w:fldCharType="begin"/>
          </w:r>
          <w:r w:rsidR="00BE0F78">
            <w:rPr>
              <w:lang w:val="en-US"/>
            </w:rPr>
            <w:instrText xml:space="preserve"> CITATION Ave16 \l 1033 </w:instrText>
          </w:r>
          <w:r w:rsidR="00BE0F78">
            <w:fldChar w:fldCharType="separate"/>
          </w:r>
          <w:r w:rsidR="00BE0F78" w:rsidRPr="00BE0F78">
            <w:rPr>
              <w:noProof/>
              <w:lang w:val="en-US"/>
            </w:rPr>
            <w:t>(Aven, 2016)</w:t>
          </w:r>
          <w:r w:rsidR="00BE0F78">
            <w:fldChar w:fldCharType="end"/>
          </w:r>
        </w:sdtContent>
      </w:sdt>
      <w:r w:rsidR="007D06B9">
        <w:t xml:space="preserve">. The misapplications </w:t>
      </w:r>
      <w:r w:rsidR="00CE6F40">
        <w:t xml:space="preserve">within the surveyed population </w:t>
      </w:r>
      <w:r w:rsidR="007D06B9">
        <w:t>suggest</w:t>
      </w:r>
      <w:r w:rsidR="009A6047">
        <w:t xml:space="preserve"> </w:t>
      </w:r>
      <w:r w:rsidR="00774552">
        <w:t>some</w:t>
      </w:r>
      <w:r w:rsidR="007D06B9">
        <w:t xml:space="preserve"> fragmentation </w:t>
      </w:r>
      <w:r w:rsidR="00774552">
        <w:t xml:space="preserve">could </w:t>
      </w:r>
      <w:r w:rsidR="0019560A">
        <w:t xml:space="preserve">be </w:t>
      </w:r>
      <w:r w:rsidR="007D06B9">
        <w:t>present</w:t>
      </w:r>
      <w:r w:rsidR="009A6047">
        <w:t>.</w:t>
      </w:r>
    </w:p>
    <w:p w14:paraId="53078961" w14:textId="77777777" w:rsidR="007D06B9" w:rsidRDefault="007D06B9" w:rsidP="007D06B9">
      <w:pPr>
        <w:spacing w:after="0" w:line="360" w:lineRule="auto"/>
        <w:ind w:left="-576" w:right="-576"/>
        <w:jc w:val="both"/>
      </w:pPr>
    </w:p>
    <w:p w14:paraId="00670421" w14:textId="4CFB246B" w:rsidR="00B22F13" w:rsidRDefault="000F4FD1" w:rsidP="00B22F13">
      <w:pPr>
        <w:spacing w:after="0" w:line="360" w:lineRule="auto"/>
        <w:ind w:left="-576" w:right="-576"/>
        <w:jc w:val="both"/>
      </w:pPr>
      <w:r>
        <w:t xml:space="preserve">Taken together, the </w:t>
      </w:r>
      <w:r w:rsidR="00E91834">
        <w:t xml:space="preserve">findings suggest that misunderstanding and misapplication </w:t>
      </w:r>
      <w:r w:rsidR="00471EE0">
        <w:t xml:space="preserve">are a </w:t>
      </w:r>
      <w:r w:rsidR="00FD435B">
        <w:t>significant</w:t>
      </w:r>
      <w:r w:rsidR="00471EE0">
        <w:t xml:space="preserve"> barrier to risk management effectiveness. </w:t>
      </w:r>
      <w:r w:rsidR="00F2689F">
        <w:t>A</w:t>
      </w:r>
      <w:r w:rsidR="007D06B9">
        <w:t xml:space="preserve"> customisable risk management framework</w:t>
      </w:r>
      <w:r w:rsidR="00D07DE2">
        <w:t xml:space="preserve"> </w:t>
      </w:r>
      <w:r w:rsidR="00B948F8">
        <w:t xml:space="preserve">could help to mitigate </w:t>
      </w:r>
      <w:r w:rsidR="00D85FB7">
        <w:t xml:space="preserve">some of these challenges </w:t>
      </w:r>
      <w:r w:rsidR="00622B43">
        <w:t xml:space="preserve">by providing a </w:t>
      </w:r>
      <w:r w:rsidR="00ED5F1D">
        <w:t xml:space="preserve">structured, context-based process </w:t>
      </w:r>
      <w:r w:rsidR="00264407">
        <w:t>that provides clear</w:t>
      </w:r>
      <w:r w:rsidR="007D06B9">
        <w:t xml:space="preserve"> guidance on tool selection and application</w:t>
      </w:r>
      <w:r w:rsidR="006A1CD5">
        <w:t>. This would support</w:t>
      </w:r>
      <w:r w:rsidR="00264407">
        <w:t xml:space="preserve"> </w:t>
      </w:r>
      <w:r w:rsidR="00497D8D">
        <w:t>practitioner understanding and to</w:t>
      </w:r>
      <w:r w:rsidR="005422EF">
        <w:t>o</w:t>
      </w:r>
      <w:r w:rsidR="00497D8D">
        <w:t>l alignment with</w:t>
      </w:r>
      <w:r w:rsidR="007D06B9">
        <w:t xml:space="preserve"> specific stages of the risk process</w:t>
      </w:r>
      <w:r w:rsidR="00FC4F11">
        <w:t xml:space="preserve">, reducing </w:t>
      </w:r>
      <w:r w:rsidR="007D06B9">
        <w:t>the likelihood incorrect</w:t>
      </w:r>
      <w:r w:rsidR="00FC4F11">
        <w:t xml:space="preserve"> use</w:t>
      </w:r>
      <w:r w:rsidR="007D06B9">
        <w:t xml:space="preserve"> and increase the</w:t>
      </w:r>
      <w:r w:rsidR="00FC4F11">
        <w:t>ir</w:t>
      </w:r>
      <w:r w:rsidR="007D06B9">
        <w:t xml:space="preserve"> overall effectiveness.</w:t>
      </w:r>
      <w:r w:rsidR="00BE0F78">
        <w:t xml:space="preserve"> </w:t>
      </w:r>
      <w:r w:rsidR="00DC5A0A">
        <w:t>Such c</w:t>
      </w:r>
      <w:r w:rsidR="003B092E">
        <w:t>ustomisation</w:t>
      </w:r>
      <w:r w:rsidR="000007A4">
        <w:t xml:space="preserve"> </w:t>
      </w:r>
      <w:r w:rsidR="00DC5A0A">
        <w:t xml:space="preserve">would need to </w:t>
      </w:r>
      <w:r w:rsidR="007D06B9">
        <w:t>balance structured, repeatable processes with flexibility to adapt to project-specific contexts</w:t>
      </w:r>
      <w:r w:rsidR="00DC5A0A">
        <w:t xml:space="preserve">, </w:t>
      </w:r>
      <w:r w:rsidR="00FF699D">
        <w:t xml:space="preserve">as it is </w:t>
      </w:r>
      <w:r w:rsidR="00FF699D">
        <w:lastRenderedPageBreak/>
        <w:t>recognised that</w:t>
      </w:r>
      <w:r w:rsidR="00FF699D" w:rsidRPr="00FF699D">
        <w:t xml:space="preserve"> </w:t>
      </w:r>
      <w:r w:rsidR="00FF699D">
        <w:t>overly rigid guidance risks discouraging adoption or fail</w:t>
      </w:r>
      <w:r w:rsidR="00B9435E">
        <w:t>ure</w:t>
      </w:r>
      <w:r w:rsidR="00FF699D">
        <w:t xml:space="preserve"> to accommodate sector-specific nuances, while overly flexible approaches risk fragmentation and inconsistency</w:t>
      </w:r>
      <w:r w:rsidR="007D06B9">
        <w:t>.</w:t>
      </w:r>
      <w:r w:rsidR="00BE0F78">
        <w:t xml:space="preserve"> </w:t>
      </w:r>
      <w:sdt>
        <w:sdtPr>
          <w:id w:val="-1048372279"/>
          <w:citation/>
        </w:sdtPr>
        <w:sdtContent>
          <w:r w:rsidR="004031B3" w:rsidRPr="004637D9">
            <w:fldChar w:fldCharType="begin"/>
          </w:r>
          <w:r w:rsidR="004031B3" w:rsidRPr="004637D9">
            <w:rPr>
              <w:lang w:val="en-US"/>
            </w:rPr>
            <w:instrText xml:space="preserve"> CITATION Ave16 \l 1033 </w:instrText>
          </w:r>
          <w:r w:rsidR="004031B3" w:rsidRPr="004637D9">
            <w:fldChar w:fldCharType="separate"/>
          </w:r>
          <w:r w:rsidR="004031B3" w:rsidRPr="004637D9">
            <w:rPr>
              <w:noProof/>
              <w:lang w:val="en-US"/>
            </w:rPr>
            <w:t>(Aven, 2016)</w:t>
          </w:r>
          <w:r w:rsidR="004031B3" w:rsidRPr="004637D9">
            <w:fldChar w:fldCharType="end"/>
          </w:r>
        </w:sdtContent>
      </w:sdt>
      <w:r w:rsidR="004031B3" w:rsidRPr="004637D9">
        <w:t xml:space="preserve"> </w:t>
      </w:r>
      <w:sdt>
        <w:sdtPr>
          <w:id w:val="440188051"/>
          <w:citation/>
        </w:sdtPr>
        <w:sdtContent>
          <w:r w:rsidR="00BE0F78" w:rsidRPr="004637D9">
            <w:fldChar w:fldCharType="begin"/>
          </w:r>
          <w:r w:rsidR="00BE0F78" w:rsidRPr="004637D9">
            <w:rPr>
              <w:lang w:val="en-US"/>
            </w:rPr>
            <w:instrText xml:space="preserve"> CITATION Dav23 \l 1033 </w:instrText>
          </w:r>
          <w:r w:rsidR="00BE0F78" w:rsidRPr="004637D9">
            <w:fldChar w:fldCharType="separate"/>
          </w:r>
          <w:r w:rsidR="00BE0F78" w:rsidRPr="004637D9">
            <w:rPr>
              <w:noProof/>
              <w:lang w:val="en-US"/>
            </w:rPr>
            <w:t>(Hilson, 2023)</w:t>
          </w:r>
          <w:r w:rsidR="00BE0F78" w:rsidRPr="004637D9">
            <w:fldChar w:fldCharType="end"/>
          </w:r>
        </w:sdtContent>
      </w:sdt>
      <w:sdt>
        <w:sdtPr>
          <w:id w:val="-298614543"/>
          <w:citation/>
        </w:sdtPr>
        <w:sdtContent>
          <w:r w:rsidR="00BE0F78" w:rsidRPr="004637D9">
            <w:fldChar w:fldCharType="begin"/>
          </w:r>
          <w:r w:rsidR="00BE0F78" w:rsidRPr="004637D9">
            <w:rPr>
              <w:lang w:val="en-US"/>
            </w:rPr>
            <w:instrText xml:space="preserve"> CITATION DHi22 \l 1033 </w:instrText>
          </w:r>
          <w:r w:rsidR="00BE0F78" w:rsidRPr="004637D9">
            <w:fldChar w:fldCharType="separate"/>
          </w:r>
          <w:r w:rsidR="00BE0F78" w:rsidRPr="004637D9">
            <w:rPr>
              <w:noProof/>
              <w:lang w:val="en-US"/>
            </w:rPr>
            <w:t xml:space="preserve"> (Hilson, 2022)</w:t>
          </w:r>
          <w:r w:rsidR="00BE0F78" w:rsidRPr="004637D9">
            <w:fldChar w:fldCharType="end"/>
          </w:r>
        </w:sdtContent>
      </w:sdt>
      <w:r w:rsidR="007D06B9" w:rsidRPr="004637D9">
        <w:t>. A customisable framework could therefore provide both clarity and adaptability, ensuring tools are correctly applied while allowing adjustments for project size, industry, and complexity.</w:t>
      </w:r>
      <w:r w:rsidR="00401757">
        <w:t xml:space="preserve"> </w:t>
      </w:r>
      <w:r w:rsidR="006C4460">
        <w:t>The challenge</w:t>
      </w:r>
      <w:r w:rsidR="0094368E">
        <w:t xml:space="preserve"> around </w:t>
      </w:r>
      <w:r w:rsidR="006C4460">
        <w:t xml:space="preserve">to misunderstanding and misapplication </w:t>
      </w:r>
      <w:r w:rsidR="006C24D7">
        <w:t>however</w:t>
      </w:r>
      <w:r w:rsidR="006C4460">
        <w:t xml:space="preserve"> can not </w:t>
      </w:r>
      <w:r w:rsidR="0094368E">
        <w:t>be</w:t>
      </w:r>
      <w:r w:rsidR="006C4460">
        <w:t xml:space="preserve"> addressed by </w:t>
      </w:r>
      <w:r w:rsidR="000C1B97">
        <w:t>framework</w:t>
      </w:r>
      <w:r w:rsidR="00384B07">
        <w:t>s alone</w:t>
      </w:r>
      <w:r w:rsidR="000C1B97">
        <w:t xml:space="preserve">. </w:t>
      </w:r>
      <w:r w:rsidR="006C24D7">
        <w:t xml:space="preserve"> </w:t>
      </w:r>
      <w:r w:rsidR="000C1B97">
        <w:t>A</w:t>
      </w:r>
      <w:r w:rsidR="00305DB5">
        <w:t>s highlighted throughout sections 9.1-9.3</w:t>
      </w:r>
      <w:r w:rsidR="00A34BCC">
        <w:t xml:space="preserve">, </w:t>
      </w:r>
      <w:r w:rsidR="007D06B9">
        <w:t xml:space="preserve">practitioner knowledge, organisational culture, </w:t>
      </w:r>
      <w:r w:rsidR="00B22F13">
        <w:t>training and stakeholder engagement</w:t>
      </w:r>
      <w:r w:rsidR="000C1B97">
        <w:t xml:space="preserve"> must </w:t>
      </w:r>
      <w:r w:rsidR="004637D9">
        <w:t>also be addressed</w:t>
      </w:r>
      <w:r w:rsidR="00C813AB">
        <w:t>.</w:t>
      </w:r>
    </w:p>
    <w:p w14:paraId="05810C40" w14:textId="77777777" w:rsidR="00A27D73" w:rsidRDefault="00A27D73" w:rsidP="00B22F13">
      <w:pPr>
        <w:spacing w:after="0" w:line="360" w:lineRule="auto"/>
        <w:ind w:left="-576" w:right="-576"/>
        <w:jc w:val="both"/>
      </w:pPr>
    </w:p>
    <w:p w14:paraId="7C2BAD65" w14:textId="2A5DFFF9" w:rsidR="00BE0F78" w:rsidRDefault="00C67CBE" w:rsidP="007D06B9">
      <w:pPr>
        <w:spacing w:after="0" w:line="360" w:lineRule="auto"/>
        <w:ind w:left="-576" w:right="-576"/>
        <w:jc w:val="both"/>
        <w:rPr>
          <w:color w:val="EE0000"/>
        </w:rPr>
      </w:pPr>
      <w:r>
        <w:rPr>
          <w:color w:val="EE0000"/>
        </w:rPr>
        <w:t>9</w:t>
      </w:r>
      <w:r w:rsidR="00D113B5">
        <w:rPr>
          <w:color w:val="EE0000"/>
        </w:rPr>
        <w:t>5</w:t>
      </w:r>
      <w:r>
        <w:rPr>
          <w:color w:val="EE0000"/>
        </w:rPr>
        <w:t>7</w:t>
      </w:r>
      <w:r w:rsidR="00BE0F78" w:rsidRPr="00BE0F78">
        <w:rPr>
          <w:color w:val="EE0000"/>
        </w:rPr>
        <w:t xml:space="preserve"> (</w:t>
      </w:r>
      <w:r w:rsidR="00D113B5">
        <w:rPr>
          <w:color w:val="EE0000"/>
        </w:rPr>
        <w:t>11409</w:t>
      </w:r>
      <w:r>
        <w:rPr>
          <w:color w:val="EE0000"/>
        </w:rPr>
        <w:t>)</w:t>
      </w:r>
    </w:p>
    <w:p w14:paraId="66134D06" w14:textId="77777777" w:rsidR="00B22F13" w:rsidRDefault="00B22F13" w:rsidP="007D06B9">
      <w:pPr>
        <w:spacing w:after="0" w:line="360" w:lineRule="auto"/>
        <w:ind w:left="-576" w:right="-576"/>
        <w:jc w:val="both"/>
        <w:rPr>
          <w:color w:val="EE0000"/>
        </w:rPr>
      </w:pPr>
    </w:p>
    <w:p w14:paraId="52D7579D" w14:textId="77777777" w:rsidR="00B22F13" w:rsidRPr="00BE0F78" w:rsidRDefault="00B22F13" w:rsidP="007D06B9">
      <w:pPr>
        <w:spacing w:after="0" w:line="360" w:lineRule="auto"/>
        <w:ind w:left="-576" w:right="-576"/>
        <w:jc w:val="both"/>
        <w:rPr>
          <w:color w:val="EE0000"/>
        </w:rPr>
      </w:pPr>
    </w:p>
    <w:p w14:paraId="239CA32D" w14:textId="77777777" w:rsidR="00F12850" w:rsidRDefault="00F12850">
      <w:pPr>
        <w:rPr>
          <w:rFonts w:eastAsiaTheme="majorEastAsia" w:cstheme="majorBidi"/>
        </w:rPr>
      </w:pPr>
      <w:r>
        <w:br w:type="page"/>
      </w:r>
    </w:p>
    <w:p w14:paraId="7414A7ED" w14:textId="46ED95E7" w:rsidR="00BE0F78" w:rsidRPr="00BE0F78" w:rsidRDefault="00BE0F78" w:rsidP="00BE0F78">
      <w:pPr>
        <w:pStyle w:val="Heading2"/>
        <w:ind w:left="-576" w:right="-576"/>
        <w:rPr>
          <w:sz w:val="22"/>
          <w:szCs w:val="22"/>
        </w:rPr>
      </w:pPr>
      <w:bookmarkStart w:id="78" w:name="_Toc219216486"/>
      <w:r w:rsidRPr="00BE0F78">
        <w:rPr>
          <w:sz w:val="22"/>
          <w:szCs w:val="22"/>
        </w:rPr>
        <w:lastRenderedPageBreak/>
        <w:t xml:space="preserve">9.4. </w:t>
      </w:r>
      <w:r w:rsidR="00EE23AC" w:rsidRPr="00EE23AC">
        <w:rPr>
          <w:sz w:val="22"/>
          <w:szCs w:val="22"/>
          <w:u w:val="single"/>
        </w:rPr>
        <w:t xml:space="preserve">Risk Management and its </w:t>
      </w:r>
      <w:r w:rsidRPr="00EE23AC">
        <w:rPr>
          <w:sz w:val="22"/>
          <w:szCs w:val="22"/>
          <w:u w:val="single"/>
        </w:rPr>
        <w:t>Impact</w:t>
      </w:r>
      <w:r w:rsidRPr="00BE0F78">
        <w:rPr>
          <w:sz w:val="22"/>
          <w:szCs w:val="22"/>
          <w:u w:val="single"/>
        </w:rPr>
        <w:t xml:space="preserve"> on Project Outcomes.</w:t>
      </w:r>
      <w:bookmarkEnd w:id="78"/>
    </w:p>
    <w:p w14:paraId="2B3A15A6" w14:textId="77777777" w:rsidR="00BE0F78" w:rsidRDefault="00BE0F78" w:rsidP="007D06B9">
      <w:pPr>
        <w:spacing w:after="0" w:line="360" w:lineRule="auto"/>
        <w:ind w:left="-576" w:right="-576"/>
        <w:jc w:val="both"/>
      </w:pPr>
    </w:p>
    <w:p w14:paraId="0730B6C9" w14:textId="7F84F46A" w:rsidR="00BE0F78" w:rsidRDefault="00BE0F78" w:rsidP="00BE0F78">
      <w:pPr>
        <w:spacing w:after="0" w:line="360" w:lineRule="auto"/>
        <w:ind w:left="-576" w:right="-576"/>
        <w:jc w:val="both"/>
      </w:pPr>
      <w:r>
        <w:t xml:space="preserve">The effectiveness of risk management cannot be evaluated solely in terms of tool adoption or practitioner </w:t>
      </w:r>
      <w:r w:rsidR="004F7172">
        <w:t>familiarity;</w:t>
      </w:r>
      <w:r>
        <w:t xml:space="preserve"> its true measure lies in its </w:t>
      </w:r>
      <w:r w:rsidR="00CE4161">
        <w:t xml:space="preserve">ability to influence </w:t>
      </w:r>
      <w:r>
        <w:t xml:space="preserve">project outcomes. </w:t>
      </w:r>
      <w:r w:rsidR="00796F0B">
        <w:t xml:space="preserve">The </w:t>
      </w:r>
      <w:r w:rsidR="00984060">
        <w:t>survey</w:t>
      </w:r>
      <w:r>
        <w:t xml:space="preserve"> findings </w:t>
      </w:r>
      <w:r w:rsidR="00796F0B">
        <w:t xml:space="preserve">align </w:t>
      </w:r>
      <w:r w:rsidR="00EE23AC">
        <w:t>with, as expected, those opinions on the effectiveness of risk assessment tools</w:t>
      </w:r>
      <w:r>
        <w:t xml:space="preserve">, revealing that although risk assessment tools are widely employed, their contribution to preventing failures and </w:t>
      </w:r>
      <w:r w:rsidR="00391009">
        <w:t xml:space="preserve">impact on project outcomes is </w:t>
      </w:r>
      <w:r>
        <w:t xml:space="preserve">inconsistent. </w:t>
      </w:r>
    </w:p>
    <w:p w14:paraId="6ADA4FA6" w14:textId="77777777" w:rsidR="004F7172" w:rsidRDefault="004F7172" w:rsidP="00BE0F78">
      <w:pPr>
        <w:spacing w:after="0" w:line="360" w:lineRule="auto"/>
        <w:ind w:left="-576" w:right="-576"/>
        <w:jc w:val="both"/>
      </w:pPr>
    </w:p>
    <w:p w14:paraId="3BB8FB53" w14:textId="342BD9A3" w:rsidR="00BE0F78" w:rsidRDefault="00884FCC" w:rsidP="00BE0F78">
      <w:pPr>
        <w:spacing w:after="0" w:line="360" w:lineRule="auto"/>
        <w:ind w:left="-576" w:right="-576"/>
        <w:jc w:val="both"/>
      </w:pPr>
      <w:r>
        <w:t>Although the</w:t>
      </w:r>
      <w:r w:rsidR="00BE0F78">
        <w:t xml:space="preserve"> majority</w:t>
      </w:r>
      <w:r w:rsidR="005242CE">
        <w:t xml:space="preserve"> of respondents</w:t>
      </w:r>
      <w:r w:rsidR="00BE0F78">
        <w:t xml:space="preserve"> acknowledged that risk assessment tools </w:t>
      </w:r>
      <w:r>
        <w:t xml:space="preserve">have </w:t>
      </w:r>
      <w:r w:rsidR="00BE0F78">
        <w:t>impact</w:t>
      </w:r>
      <w:r>
        <w:t>ed positively</w:t>
      </w:r>
      <w:r w:rsidR="00BE0F78">
        <w:t xml:space="preserve"> on their projects,</w:t>
      </w:r>
      <w:r w:rsidR="00935415">
        <w:t xml:space="preserve"> very few reported </w:t>
      </w:r>
      <w:r w:rsidR="00FA76DF">
        <w:t xml:space="preserve">they </w:t>
      </w:r>
      <w:r w:rsidR="00935415">
        <w:t>‘</w:t>
      </w:r>
      <w:r w:rsidR="00BE0F78">
        <w:t>always</w:t>
      </w:r>
      <w:r w:rsidR="00935415">
        <w:t>’</w:t>
      </w:r>
      <w:r w:rsidR="00BE0F78">
        <w:t xml:space="preserve"> improved outcomes</w:t>
      </w:r>
      <w:r w:rsidR="00935415">
        <w:t xml:space="preserve">, and none stated that </w:t>
      </w:r>
      <w:r w:rsidR="00BE0F78">
        <w:t xml:space="preserve">risks were </w:t>
      </w:r>
      <w:r w:rsidR="000555A2">
        <w:t>consistently</w:t>
      </w:r>
      <w:r w:rsidR="00BE0F78">
        <w:t xml:space="preserve"> prevented</w:t>
      </w:r>
      <w:r w:rsidR="000555A2">
        <w:t xml:space="preserve">. </w:t>
      </w:r>
      <w:r w:rsidR="00BE0F78">
        <w:t xml:space="preserve">This </w:t>
      </w:r>
      <w:r w:rsidR="009A44B6">
        <w:t>reinforces earlier findings throughout Sections 9.1-9.3</w:t>
      </w:r>
      <w:r w:rsidR="00A254CD">
        <w:t xml:space="preserve">, that </w:t>
      </w:r>
      <w:r w:rsidR="00757E02">
        <w:t xml:space="preserve">tools are </w:t>
      </w:r>
      <w:r w:rsidR="00D01F5A">
        <w:t>widely</w:t>
      </w:r>
      <w:r w:rsidR="00757E02">
        <w:t xml:space="preserve"> use but not fully effective due to </w:t>
      </w:r>
      <w:r w:rsidR="004C35DA">
        <w:t>inconsistent</w:t>
      </w:r>
      <w:r w:rsidR="00757E02">
        <w:t xml:space="preserve"> application, organisational barriers an</w:t>
      </w:r>
      <w:r w:rsidR="004C35DA">
        <w:t xml:space="preserve">d knowledge gaps; </w:t>
      </w:r>
      <w:r w:rsidR="00BE0F78">
        <w:t>the</w:t>
      </w:r>
      <w:r w:rsidR="004C35DA">
        <w:t>re remains a</w:t>
      </w:r>
      <w:r w:rsidR="00BE0F78">
        <w:t xml:space="preserve"> persistent gap between the theoretical potential of risk tools and their practical application</w:t>
      </w:r>
      <w:r w:rsidR="004F7172">
        <w:t xml:space="preserve"> </w:t>
      </w:r>
      <w:sdt>
        <w:sdtPr>
          <w:id w:val="973401308"/>
          <w:citation/>
        </w:sdtPr>
        <w:sdtContent>
          <w:r w:rsidR="004F7172">
            <w:fldChar w:fldCharType="begin"/>
          </w:r>
          <w:r w:rsidR="004F7172">
            <w:rPr>
              <w:lang w:val="en-US"/>
            </w:rPr>
            <w:instrText xml:space="preserve"> CITATION Ave16 \l 1033 </w:instrText>
          </w:r>
          <w:r w:rsidR="004F7172">
            <w:fldChar w:fldCharType="separate"/>
          </w:r>
          <w:r w:rsidR="004F7172" w:rsidRPr="004F7172">
            <w:rPr>
              <w:noProof/>
              <w:lang w:val="en-US"/>
            </w:rPr>
            <w:t>(Aven, 2016)</w:t>
          </w:r>
          <w:r w:rsidR="004F7172">
            <w:fldChar w:fldCharType="end"/>
          </w:r>
        </w:sdtContent>
      </w:sdt>
      <w:sdt>
        <w:sdtPr>
          <w:id w:val="-1147358540"/>
          <w:citation/>
        </w:sdtPr>
        <w:sdtContent>
          <w:r w:rsidR="004F7172">
            <w:fldChar w:fldCharType="begin"/>
          </w:r>
          <w:r w:rsidR="004F7172">
            <w:rPr>
              <w:lang w:val="en-US"/>
            </w:rPr>
            <w:instrText xml:space="preserve"> CITATION Dav23 \l 1033 </w:instrText>
          </w:r>
          <w:r w:rsidR="004F7172">
            <w:fldChar w:fldCharType="separate"/>
          </w:r>
          <w:r w:rsidR="004F7172">
            <w:rPr>
              <w:noProof/>
              <w:lang w:val="en-US"/>
            </w:rPr>
            <w:t xml:space="preserve"> </w:t>
          </w:r>
          <w:r w:rsidR="004F7172" w:rsidRPr="004F7172">
            <w:rPr>
              <w:noProof/>
              <w:lang w:val="en-US"/>
            </w:rPr>
            <w:t>(Hilson, 2023)</w:t>
          </w:r>
          <w:r w:rsidR="004F7172">
            <w:fldChar w:fldCharType="end"/>
          </w:r>
        </w:sdtContent>
      </w:sdt>
      <w:r w:rsidR="00BE0F78">
        <w:t>.</w:t>
      </w:r>
      <w:r w:rsidR="00DA25D1" w:rsidRPr="00DA25D1">
        <w:t xml:space="preserve"> </w:t>
      </w:r>
      <w:r w:rsidR="00DA25D1">
        <w:t xml:space="preserve">When tools are isolated from the wider project environment, </w:t>
      </w:r>
      <w:r w:rsidR="00FD389E">
        <w:t>for example as previously stated treated as checklists rather than embedded processes</w:t>
      </w:r>
      <w:r w:rsidR="0096573D">
        <w:t xml:space="preserve">, </w:t>
      </w:r>
      <w:r w:rsidR="00DA25D1">
        <w:t>their capacity to influence outcomes diminishes significantly</w:t>
      </w:r>
      <w:r w:rsidR="0096573D" w:rsidRPr="0096573D">
        <w:t xml:space="preserve"> </w:t>
      </w:r>
      <w:sdt>
        <w:sdtPr>
          <w:id w:val="457225492"/>
          <w:citation/>
        </w:sdtPr>
        <w:sdtContent>
          <w:r w:rsidR="0096573D">
            <w:fldChar w:fldCharType="begin"/>
          </w:r>
          <w:r w:rsidR="0096573D">
            <w:rPr>
              <w:lang w:val="en-US"/>
            </w:rPr>
            <w:instrText xml:space="preserve"> CITATION Ofe10 \l 1033 </w:instrText>
          </w:r>
          <w:r w:rsidR="0096573D">
            <w:fldChar w:fldCharType="separate"/>
          </w:r>
          <w:r w:rsidR="0096573D" w:rsidRPr="004F7172">
            <w:rPr>
              <w:noProof/>
              <w:lang w:val="en-US"/>
            </w:rPr>
            <w:t>(Ofer Zwikael, 2010)</w:t>
          </w:r>
          <w:r w:rsidR="0096573D">
            <w:fldChar w:fldCharType="end"/>
          </w:r>
        </w:sdtContent>
      </w:sdt>
      <w:r w:rsidR="00DA25D1">
        <w:t>.</w:t>
      </w:r>
      <w:r w:rsidR="0096573D" w:rsidRPr="0096573D">
        <w:t xml:space="preserve"> </w:t>
      </w:r>
      <w:r w:rsidR="0096573D">
        <w:t>Th</w:t>
      </w:r>
      <w:r w:rsidR="00295AA4">
        <w:t xml:space="preserve">e finding </w:t>
      </w:r>
      <w:r w:rsidR="00604DA8">
        <w:t>reinforces</w:t>
      </w:r>
      <w:r w:rsidR="00295AA4">
        <w:t xml:space="preserve"> a common theme throughout the literature, </w:t>
      </w:r>
      <w:r w:rsidR="0096573D">
        <w:t xml:space="preserve">effectiveness of tools depends not merely on technical design but on their integration into governance and decision-making structures </w:t>
      </w:r>
      <w:sdt>
        <w:sdtPr>
          <w:id w:val="-225689113"/>
          <w:citation/>
        </w:sdtPr>
        <w:sdtContent>
          <w:r w:rsidR="0096573D">
            <w:fldChar w:fldCharType="begin"/>
          </w:r>
          <w:r w:rsidR="0096573D">
            <w:rPr>
              <w:lang w:val="en-US"/>
            </w:rPr>
            <w:instrText xml:space="preserve"> CITATION Gul18 \l 1033 </w:instrText>
          </w:r>
          <w:r w:rsidR="0096573D">
            <w:fldChar w:fldCharType="separate"/>
          </w:r>
          <w:r w:rsidR="0096573D" w:rsidRPr="004F7172">
            <w:rPr>
              <w:noProof/>
              <w:lang w:val="en-US"/>
            </w:rPr>
            <w:t>(Gul M, 2018)</w:t>
          </w:r>
          <w:r w:rsidR="0096573D">
            <w:fldChar w:fldCharType="end"/>
          </w:r>
        </w:sdtContent>
      </w:sdt>
      <w:r w:rsidR="0096573D">
        <w:t xml:space="preserve">. </w:t>
      </w:r>
    </w:p>
    <w:p w14:paraId="6E8AFC87" w14:textId="77777777" w:rsidR="00BE0F78" w:rsidRDefault="00BE0F78" w:rsidP="00BE0F78">
      <w:pPr>
        <w:spacing w:after="0" w:line="360" w:lineRule="auto"/>
        <w:ind w:left="-576" w:right="-576"/>
        <w:jc w:val="both"/>
      </w:pPr>
    </w:p>
    <w:p w14:paraId="17AE862B" w14:textId="0A506360" w:rsidR="00BE0F78" w:rsidRDefault="00CD6E76" w:rsidP="00BE0F78">
      <w:pPr>
        <w:spacing w:after="0" w:line="360" w:lineRule="auto"/>
        <w:ind w:left="-576" w:right="-576"/>
        <w:jc w:val="both"/>
      </w:pPr>
      <w:r>
        <w:t>A significant proportion of respondents (</w:t>
      </w:r>
      <w:r w:rsidR="004F7172" w:rsidRPr="004F7172">
        <w:t>69.4%</w:t>
      </w:r>
      <w:r>
        <w:t>)</w:t>
      </w:r>
      <w:r w:rsidR="00037A8C">
        <w:t xml:space="preserve"> reported </w:t>
      </w:r>
      <w:r w:rsidR="00BE0F78">
        <w:t xml:space="preserve">experiencing project failures as a result of </w:t>
      </w:r>
      <w:r w:rsidR="00BF7B8E">
        <w:t>ineffective</w:t>
      </w:r>
      <w:r w:rsidR="00BE0F78">
        <w:t xml:space="preserve"> risk </w:t>
      </w:r>
      <w:r w:rsidR="00BF7B8E">
        <w:t xml:space="preserve">management, </w:t>
      </w:r>
      <w:r w:rsidR="009C70AF">
        <w:t>highlighting the</w:t>
      </w:r>
      <w:r w:rsidR="00E52E34">
        <w:t xml:space="preserve"> consequences of weak risk practices. </w:t>
      </w:r>
      <w:r w:rsidR="00BE0F78">
        <w:t>The nature of these</w:t>
      </w:r>
      <w:r w:rsidR="005C4270">
        <w:t xml:space="preserve"> cited</w:t>
      </w:r>
      <w:r w:rsidR="00BE0F78">
        <w:t xml:space="preserve"> failures</w:t>
      </w:r>
      <w:r w:rsidR="007D1C12">
        <w:t>; budget overruns, schedule delays, scope creep, and resource constraints</w:t>
      </w:r>
      <w:r w:rsidR="00D55377">
        <w:t>,</w:t>
      </w:r>
      <w:r w:rsidR="007D1C12">
        <w:t xml:space="preserve"> </w:t>
      </w:r>
      <w:r w:rsidR="00BE0F78">
        <w:t>align with well-documented challenges in project management</w:t>
      </w:r>
      <w:r w:rsidR="00C05AC1">
        <w:t xml:space="preserve">, the classic </w:t>
      </w:r>
      <w:r w:rsidR="00BE0F78">
        <w:t xml:space="preserve">“iron triangle” of cost, time, and scope </w:t>
      </w:r>
      <w:sdt>
        <w:sdtPr>
          <w:id w:val="994844018"/>
          <w:citation/>
        </w:sdtPr>
        <w:sdtContent>
          <w:r w:rsidR="004F7172">
            <w:fldChar w:fldCharType="begin"/>
          </w:r>
          <w:r w:rsidR="004F7172">
            <w:rPr>
              <w:lang w:val="en-US"/>
            </w:rPr>
            <w:instrText xml:space="preserve"> CITATION Het21 \l 1033 </w:instrText>
          </w:r>
          <w:r w:rsidR="004F7172">
            <w:fldChar w:fldCharType="separate"/>
          </w:r>
          <w:r w:rsidR="004F7172" w:rsidRPr="004F7172">
            <w:rPr>
              <w:noProof/>
              <w:lang w:val="en-US"/>
            </w:rPr>
            <w:t>(Hetemi, 2021)</w:t>
          </w:r>
          <w:r w:rsidR="004F7172">
            <w:fldChar w:fldCharType="end"/>
          </w:r>
        </w:sdtContent>
      </w:sdt>
      <w:r w:rsidR="004F7172">
        <w:t>.</w:t>
      </w:r>
      <w:r w:rsidR="00F31609">
        <w:t xml:space="preserve"> </w:t>
      </w:r>
      <w:r w:rsidR="00BE0F78">
        <w:t>These recurring risks indicate systemic weaknesses in planning, monitoring, and controlling processes, all of which are central</w:t>
      </w:r>
      <w:r w:rsidR="00806849">
        <w:t>, n</w:t>
      </w:r>
      <w:r w:rsidR="00BE0F78">
        <w:t xml:space="preserve">ot peripheral to project performance. </w:t>
      </w:r>
      <w:r w:rsidR="00AB755C">
        <w:t xml:space="preserve">These findings mirror consistent findings in the </w:t>
      </w:r>
      <w:r w:rsidR="00BE0F78">
        <w:t xml:space="preserve">literature </w:t>
      </w:r>
      <w:r w:rsidR="00D83004">
        <w:t>that</w:t>
      </w:r>
      <w:r w:rsidR="007D79BE">
        <w:t xml:space="preserve"> risk management is often undervalued as a strategic enabler of project success</w:t>
      </w:r>
      <w:r w:rsidR="00F83D5C">
        <w:t>;</w:t>
      </w:r>
      <w:r w:rsidR="0037753B">
        <w:t xml:space="preserve"> it should be </w:t>
      </w:r>
      <w:r w:rsidR="00E57DFC">
        <w:t>e</w:t>
      </w:r>
      <w:r w:rsidR="0006275E">
        <w:t>mbedd</w:t>
      </w:r>
      <w:r w:rsidR="0037753B">
        <w:t xml:space="preserve">ed and </w:t>
      </w:r>
      <w:r w:rsidR="005F5D6B">
        <w:t>integrate</w:t>
      </w:r>
      <w:r w:rsidR="003627CA">
        <w:t>d</w:t>
      </w:r>
      <w:r w:rsidR="005F5D6B">
        <w:t xml:space="preserve"> into core-decision making</w:t>
      </w:r>
      <w:r w:rsidR="001F46CC" w:rsidRPr="001F46CC">
        <w:t xml:space="preserve"> </w:t>
      </w:r>
      <w:sdt>
        <w:sdtPr>
          <w:id w:val="-1531172455"/>
          <w:citation/>
        </w:sdtPr>
        <w:sdtContent>
          <w:r w:rsidR="001F46CC">
            <w:fldChar w:fldCharType="begin"/>
          </w:r>
          <w:r w:rsidR="001F46CC">
            <w:rPr>
              <w:lang w:val="en-US"/>
            </w:rPr>
            <w:instrText xml:space="preserve"> CITATION Ave16 \l 1033 </w:instrText>
          </w:r>
          <w:r w:rsidR="001F46CC">
            <w:fldChar w:fldCharType="separate"/>
          </w:r>
          <w:r w:rsidR="001F46CC" w:rsidRPr="000B3455">
            <w:rPr>
              <w:noProof/>
              <w:lang w:val="en-US"/>
            </w:rPr>
            <w:t>(Aven, 2016)</w:t>
          </w:r>
          <w:r w:rsidR="001F46CC">
            <w:fldChar w:fldCharType="end"/>
          </w:r>
        </w:sdtContent>
      </w:sdt>
      <w:sdt>
        <w:sdtPr>
          <w:id w:val="765664909"/>
          <w:citation/>
        </w:sdtPr>
        <w:sdtContent>
          <w:r w:rsidR="001F46CC">
            <w:fldChar w:fldCharType="begin"/>
          </w:r>
          <w:r w:rsidR="001F46CC">
            <w:rPr>
              <w:lang w:val="en-US"/>
            </w:rPr>
            <w:instrText xml:space="preserve"> CITATION DHi22 \l 1033 </w:instrText>
          </w:r>
          <w:r w:rsidR="001F46CC">
            <w:fldChar w:fldCharType="separate"/>
          </w:r>
          <w:r w:rsidR="001F46CC">
            <w:rPr>
              <w:noProof/>
              <w:lang w:val="en-US"/>
            </w:rPr>
            <w:t xml:space="preserve"> </w:t>
          </w:r>
          <w:r w:rsidR="001F46CC" w:rsidRPr="000B3455">
            <w:rPr>
              <w:noProof/>
              <w:lang w:val="en-US"/>
            </w:rPr>
            <w:t>(Hilson, 2022)</w:t>
          </w:r>
          <w:r w:rsidR="001F46CC">
            <w:fldChar w:fldCharType="end"/>
          </w:r>
        </w:sdtContent>
      </w:sdt>
      <w:r w:rsidR="005F5D6B">
        <w:t>,</w:t>
      </w:r>
      <w:r w:rsidR="00BE0F78">
        <w:t xml:space="preserve"> rather than </w:t>
      </w:r>
      <w:r w:rsidR="001F46CC">
        <w:t xml:space="preserve">viewed </w:t>
      </w:r>
      <w:r w:rsidR="00BE0F78">
        <w:t>as a support function</w:t>
      </w:r>
      <w:r w:rsidR="0006275E">
        <w:t xml:space="preserve"> </w:t>
      </w:r>
      <w:sdt>
        <w:sdtPr>
          <w:id w:val="-323206230"/>
          <w:citation/>
        </w:sdtPr>
        <w:sdtContent>
          <w:r w:rsidR="004F7172">
            <w:fldChar w:fldCharType="begin"/>
          </w:r>
          <w:r w:rsidR="004F7172">
            <w:rPr>
              <w:lang w:val="en-US"/>
            </w:rPr>
            <w:instrText xml:space="preserve"> CITATION Ros16 \l 1033 </w:instrText>
          </w:r>
          <w:r w:rsidR="004F7172">
            <w:fldChar w:fldCharType="separate"/>
          </w:r>
          <w:r w:rsidR="004F7172" w:rsidRPr="004F7172">
            <w:rPr>
              <w:noProof/>
              <w:lang w:val="en-US"/>
            </w:rPr>
            <w:t>(Rostami, 2016)</w:t>
          </w:r>
          <w:r w:rsidR="004F7172">
            <w:fldChar w:fldCharType="end"/>
          </w:r>
        </w:sdtContent>
      </w:sdt>
      <w:sdt>
        <w:sdtPr>
          <w:id w:val="1580100728"/>
          <w:citation/>
        </w:sdtPr>
        <w:sdtContent>
          <w:r w:rsidR="004F7172">
            <w:fldChar w:fldCharType="begin"/>
          </w:r>
          <w:r w:rsidR="004F7172">
            <w:rPr>
              <w:lang w:val="en-US"/>
            </w:rPr>
            <w:instrText xml:space="preserve"> CITATION Zou17 \l 1033 </w:instrText>
          </w:r>
          <w:r w:rsidR="004F7172">
            <w:fldChar w:fldCharType="separate"/>
          </w:r>
          <w:r w:rsidR="004F7172">
            <w:rPr>
              <w:noProof/>
              <w:lang w:val="en-US"/>
            </w:rPr>
            <w:t xml:space="preserve"> </w:t>
          </w:r>
          <w:r w:rsidR="004F7172" w:rsidRPr="004F7172">
            <w:rPr>
              <w:noProof/>
              <w:lang w:val="en-US"/>
            </w:rPr>
            <w:t>(Zou, 2017)</w:t>
          </w:r>
          <w:r w:rsidR="004F7172">
            <w:fldChar w:fldCharType="end"/>
          </w:r>
        </w:sdtContent>
      </w:sdt>
      <w:r w:rsidR="00BE0F78">
        <w:t>. The survey findings reinforce the position that shortcomings in risk assessment practices can have direct and often severe consequences for project delivery.</w:t>
      </w:r>
    </w:p>
    <w:p w14:paraId="50E24A0A" w14:textId="77777777" w:rsidR="002323BC" w:rsidRDefault="002323BC" w:rsidP="00BE0F78">
      <w:pPr>
        <w:spacing w:after="0" w:line="360" w:lineRule="auto"/>
        <w:ind w:left="-576" w:right="-576"/>
        <w:jc w:val="both"/>
      </w:pPr>
    </w:p>
    <w:p w14:paraId="777161FA" w14:textId="27587E48" w:rsidR="005733C6" w:rsidRDefault="005733C6" w:rsidP="005733C6">
      <w:pPr>
        <w:spacing w:after="0" w:line="360" w:lineRule="auto"/>
        <w:ind w:left="-576" w:right="-576"/>
        <w:jc w:val="both"/>
      </w:pPr>
      <w:r>
        <w:t xml:space="preserve">The findings also </w:t>
      </w:r>
      <w:r w:rsidR="0087004D">
        <w:t xml:space="preserve">again highlighted the importance of integration and timing. </w:t>
      </w:r>
      <w:r>
        <w:t xml:space="preserve">A </w:t>
      </w:r>
      <w:r w:rsidR="00760723">
        <w:t>significant cited</w:t>
      </w:r>
      <w:r>
        <w:t xml:space="preserve"> contribution</w:t>
      </w:r>
      <w:r w:rsidR="00760723">
        <w:t xml:space="preserve"> in the survey</w:t>
      </w:r>
      <w:r>
        <w:t xml:space="preserve"> to the adverse project outcomes identifie</w:t>
      </w:r>
      <w:r w:rsidR="00B56C10">
        <w:t>d</w:t>
      </w:r>
      <w:r>
        <w:t xml:space="preserve"> a disconnect between tool use and their ability to generate relevant strategic insight. As described in 9.2, </w:t>
      </w:r>
      <w:r w:rsidR="00B56C10">
        <w:t xml:space="preserve">participants reported </w:t>
      </w:r>
      <w:r w:rsidR="008F17EA">
        <w:t xml:space="preserve">using tools at project </w:t>
      </w:r>
      <w:r w:rsidR="00D04304">
        <w:t>initiation</w:t>
      </w:r>
      <w:r w:rsidR="008F17EA">
        <w:t xml:space="preserve">, but failed to monitor across the lifecycle </w:t>
      </w:r>
      <w:r>
        <w:t xml:space="preserve">despite PMBOK and ISO3000 instructing lifecycle monitoring for detecting evolving risks. </w:t>
      </w:r>
      <w:r w:rsidR="008F17EA">
        <w:t>This static approach</w:t>
      </w:r>
      <w:r w:rsidR="00D04304">
        <w:t xml:space="preserve"> leaves projects vulnerable </w:t>
      </w:r>
      <w:r w:rsidR="00FE7E01">
        <w:t>to new or evolving risks, particularly in complex dynamic projects</w:t>
      </w:r>
      <w:r w:rsidR="008F17EA">
        <w:t xml:space="preserve"> </w:t>
      </w:r>
      <w:r w:rsidR="00D354FA">
        <w:t>This</w:t>
      </w:r>
      <w:r>
        <w:t xml:space="preserve"> will reduce the ability and effectiveness of any tool to positively influence outcomes. </w:t>
      </w:r>
    </w:p>
    <w:p w14:paraId="544835D2" w14:textId="77777777" w:rsidR="005733C6" w:rsidRDefault="005733C6" w:rsidP="00D871CB">
      <w:pPr>
        <w:spacing w:after="0" w:line="360" w:lineRule="auto"/>
        <w:ind w:left="-576" w:right="-576"/>
        <w:jc w:val="both"/>
      </w:pPr>
    </w:p>
    <w:p w14:paraId="6DDFB352" w14:textId="2DAAB24E" w:rsidR="00BE0F78" w:rsidRDefault="00D354FA" w:rsidP="00D871CB">
      <w:pPr>
        <w:spacing w:after="0" w:line="360" w:lineRule="auto"/>
        <w:ind w:left="-576" w:right="-576"/>
        <w:jc w:val="both"/>
      </w:pPr>
      <w:r>
        <w:lastRenderedPageBreak/>
        <w:t>H</w:t>
      </w:r>
      <w:r w:rsidR="006D687F">
        <w:t>uman and organisational factors</w:t>
      </w:r>
      <w:r>
        <w:t xml:space="preserve"> continue </w:t>
      </w:r>
      <w:r w:rsidR="000938C9">
        <w:t>their prominence</w:t>
      </w:r>
      <w:r w:rsidR="006D687F">
        <w:t xml:space="preserve">, </w:t>
      </w:r>
      <w:r w:rsidR="00354424">
        <w:t xml:space="preserve">with </w:t>
      </w:r>
      <w:r w:rsidR="00BE0F78">
        <w:t>secondary challenges such as stakeholder conflicts and technical failures</w:t>
      </w:r>
      <w:r w:rsidR="005C127D">
        <w:t>, continu</w:t>
      </w:r>
      <w:r w:rsidR="00354424">
        <w:t>ing</w:t>
      </w:r>
      <w:r w:rsidR="005C127D">
        <w:t xml:space="preserve"> to significantly influence outcomes</w:t>
      </w:r>
      <w:r w:rsidR="00BE0F78">
        <w:t xml:space="preserve">. These findings align with Chapman and Ward’s emphasis on the importance of interpersonal and organisational </w:t>
      </w:r>
      <w:r w:rsidR="004E164B">
        <w:t>factors</w:t>
      </w:r>
      <w:r w:rsidR="00BE0F78">
        <w:t xml:space="preserve"> in risk management</w:t>
      </w:r>
      <w:r w:rsidR="004F7172">
        <w:t xml:space="preserve"> </w:t>
      </w:r>
      <w:sdt>
        <w:sdtPr>
          <w:id w:val="-1298906643"/>
          <w:citation/>
        </w:sdtPr>
        <w:sdtContent>
          <w:r w:rsidR="004F7172">
            <w:fldChar w:fldCharType="begin"/>
          </w:r>
          <w:r w:rsidR="004F7172">
            <w:rPr>
              <w:lang w:val="en-US"/>
            </w:rPr>
            <w:instrText xml:space="preserve"> CITATION Cha11 \l 1033 </w:instrText>
          </w:r>
          <w:r w:rsidR="004F7172">
            <w:fldChar w:fldCharType="separate"/>
          </w:r>
          <w:r w:rsidR="004F7172" w:rsidRPr="004F7172">
            <w:rPr>
              <w:noProof/>
              <w:lang w:val="en-US"/>
            </w:rPr>
            <w:t>(Chapman, 2011)</w:t>
          </w:r>
          <w:r w:rsidR="004F7172">
            <w:fldChar w:fldCharType="end"/>
          </w:r>
        </w:sdtContent>
      </w:sdt>
      <w:r w:rsidR="00E26B6F">
        <w:t xml:space="preserve">, </w:t>
      </w:r>
      <w:r w:rsidR="00822BB5">
        <w:t xml:space="preserve">with </w:t>
      </w:r>
      <w:r w:rsidR="00CB3CFC">
        <w:t>underestimation</w:t>
      </w:r>
      <w:r w:rsidR="001F7B1C">
        <w:t xml:space="preserve"> </w:t>
      </w:r>
      <w:r w:rsidR="00822BB5">
        <w:t xml:space="preserve">of for example </w:t>
      </w:r>
      <w:r w:rsidR="001F7B1C">
        <w:t xml:space="preserve">unmanaged conflict escalating into scope creep, resource disputes, or delays. </w:t>
      </w:r>
      <w:r w:rsidR="00BE0F78">
        <w:t xml:space="preserve">While technical risks may be easier to identify and quantify, </w:t>
      </w:r>
      <w:r w:rsidR="00F22ED0">
        <w:t xml:space="preserve">Marle (2016) recognises that social </w:t>
      </w:r>
      <w:r w:rsidR="008F4F0B">
        <w:t xml:space="preserve">complexities, such as multi-stakeholder environments, can be </w:t>
      </w:r>
      <w:r w:rsidR="002A18D8">
        <w:t xml:space="preserve">as damaging as technical errors </w:t>
      </w:r>
      <w:r w:rsidR="00BA4C00">
        <w:t>and</w:t>
      </w:r>
      <w:r w:rsidR="00BE0F78">
        <w:t xml:space="preserve"> require careful communication, alignment of expectations, and active engagement across diverse project </w:t>
      </w:r>
      <w:r w:rsidR="003D348E">
        <w:t>sectors</w:t>
      </w:r>
      <w:r w:rsidR="00BA4C00" w:rsidRPr="00BA4C00">
        <w:t xml:space="preserve"> </w:t>
      </w:r>
      <w:sdt>
        <w:sdtPr>
          <w:id w:val="-1940821857"/>
          <w:citation/>
        </w:sdtPr>
        <w:sdtContent>
          <w:r w:rsidR="00BA4C00">
            <w:fldChar w:fldCharType="begin"/>
          </w:r>
          <w:r w:rsidR="00BA4C00">
            <w:rPr>
              <w:lang w:val="en-US"/>
            </w:rPr>
            <w:instrText xml:space="preserve"> CITATION Mar16 \l 1033 </w:instrText>
          </w:r>
          <w:r w:rsidR="00BA4C00">
            <w:fldChar w:fldCharType="separate"/>
          </w:r>
          <w:r w:rsidR="00BA4C00" w:rsidRPr="004F7172">
            <w:rPr>
              <w:noProof/>
              <w:lang w:val="en-US"/>
            </w:rPr>
            <w:t>(Marle, 2016)</w:t>
          </w:r>
          <w:r w:rsidR="00BA4C00">
            <w:fldChar w:fldCharType="end"/>
          </w:r>
        </w:sdtContent>
      </w:sdt>
      <w:r w:rsidR="00BE0F78">
        <w:t>.</w:t>
      </w:r>
      <w:r w:rsidR="00A334FE">
        <w:t xml:space="preserve"> </w:t>
      </w:r>
      <w:r w:rsidR="00D871CB">
        <w:t>Furthermore, as evidenced by Aven (2016), for effective adaptive risk management to be supported, processes must inform governance; this level of integration is not evident from the questionnaire results</w:t>
      </w:r>
      <w:sdt>
        <w:sdtPr>
          <w:id w:val="1249851193"/>
          <w:citation/>
        </w:sdtPr>
        <w:sdtContent>
          <w:r w:rsidR="00D871CB">
            <w:fldChar w:fldCharType="begin"/>
          </w:r>
          <w:r w:rsidR="00D871CB">
            <w:instrText xml:space="preserve"> CITATION Ave16 \l 2057 </w:instrText>
          </w:r>
          <w:r w:rsidR="00D871CB">
            <w:fldChar w:fldCharType="separate"/>
          </w:r>
          <w:r w:rsidR="00D871CB">
            <w:rPr>
              <w:noProof/>
            </w:rPr>
            <w:t xml:space="preserve"> </w:t>
          </w:r>
          <w:r w:rsidR="00D871CB" w:rsidRPr="004E65F4">
            <w:rPr>
              <w:noProof/>
            </w:rPr>
            <w:t>(Aven, 2016)</w:t>
          </w:r>
          <w:r w:rsidR="00D871CB">
            <w:fldChar w:fldCharType="end"/>
          </w:r>
        </w:sdtContent>
      </w:sdt>
      <w:r w:rsidR="00D871CB">
        <w:t xml:space="preserve">. The role of leadership is critical, as Gul notes, effectiveness depends on embedding risk management into organisational governance and culture. Leaders who treat risk processes as strategic priorities can create the conditions for tools to have real impact, ensuring that assessments inform planning, resourcing, and stakeholder engagement </w:t>
      </w:r>
      <w:sdt>
        <w:sdtPr>
          <w:id w:val="-195152829"/>
          <w:citation/>
        </w:sdtPr>
        <w:sdtContent>
          <w:r w:rsidR="00D871CB">
            <w:fldChar w:fldCharType="begin"/>
          </w:r>
          <w:r w:rsidR="00D871CB">
            <w:rPr>
              <w:lang w:val="en-US"/>
            </w:rPr>
            <w:instrText xml:space="preserve"> CITATION Muh18 \l 1033 </w:instrText>
          </w:r>
          <w:r w:rsidR="00D871CB">
            <w:fldChar w:fldCharType="separate"/>
          </w:r>
          <w:r w:rsidR="00D871CB" w:rsidRPr="000B3455">
            <w:rPr>
              <w:noProof/>
              <w:lang w:val="en-US"/>
            </w:rPr>
            <w:t>(Muhammet Gul, 2018)</w:t>
          </w:r>
          <w:r w:rsidR="00D871CB">
            <w:fldChar w:fldCharType="end"/>
          </w:r>
        </w:sdtContent>
      </w:sdt>
      <w:r w:rsidR="00D871CB">
        <w:t xml:space="preserve">. By contrast, in organisations where risk is treated as an administrative burden, tools are unlikely to influence outcomes meaningfully. </w:t>
      </w:r>
      <w:r w:rsidR="00A334FE">
        <w:t xml:space="preserve">These findings </w:t>
      </w:r>
      <w:r w:rsidR="00BE0F78">
        <w:t>underscore th</w:t>
      </w:r>
      <w:r w:rsidR="002A3093">
        <w:t xml:space="preserve">ose </w:t>
      </w:r>
      <w:r w:rsidR="00806D40">
        <w:t xml:space="preserve">barriers </w:t>
      </w:r>
      <w:r w:rsidR="002A3093">
        <w:t xml:space="preserve">identified in </w:t>
      </w:r>
      <w:r w:rsidR="008F1147">
        <w:t>9.2 and</w:t>
      </w:r>
      <w:r w:rsidR="00806D40">
        <w:t xml:space="preserve"> </w:t>
      </w:r>
      <w:r w:rsidR="003D348E">
        <w:t>re</w:t>
      </w:r>
      <w:r w:rsidR="00806D40">
        <w:t>affirm the</w:t>
      </w:r>
      <w:r w:rsidR="00BE0F78">
        <w:t xml:space="preserve"> need for frameworks that extend beyond technical tools to incorporate stakeholder engagement and cultural integration.</w:t>
      </w:r>
    </w:p>
    <w:p w14:paraId="6B3CAACB" w14:textId="77777777" w:rsidR="00BE0F78" w:rsidRDefault="00BE0F78" w:rsidP="00BE0F78">
      <w:pPr>
        <w:spacing w:after="0" w:line="360" w:lineRule="auto"/>
        <w:ind w:left="-576" w:right="-576"/>
        <w:jc w:val="both"/>
      </w:pPr>
    </w:p>
    <w:p w14:paraId="020CA9C0" w14:textId="3A29467A" w:rsidR="00BE0F78" w:rsidRDefault="005E6D7F" w:rsidP="00BE0F78">
      <w:pPr>
        <w:spacing w:after="0" w:line="360" w:lineRule="auto"/>
        <w:ind w:left="-576" w:right="-576"/>
        <w:jc w:val="both"/>
      </w:pPr>
      <w:r>
        <w:t xml:space="preserve">Previous findings relating to projects scale and </w:t>
      </w:r>
      <w:r w:rsidR="00654AD2">
        <w:t>misapplication</w:t>
      </w:r>
      <w:r w:rsidR="00BE0F78">
        <w:t xml:space="preserve"> of tools</w:t>
      </w:r>
      <w:r>
        <w:t xml:space="preserve">, </w:t>
      </w:r>
      <w:r w:rsidR="00BA631F">
        <w:t xml:space="preserve">in particular the limited use of more advanced tools such as Monte Carlo simulations in larger, more complex projects </w:t>
      </w:r>
      <w:r>
        <w:t xml:space="preserve">also shape the findings </w:t>
      </w:r>
      <w:r w:rsidR="00F824B2">
        <w:t>around outcome</w:t>
      </w:r>
      <w:r w:rsidR="00BA631F">
        <w:t>s</w:t>
      </w:r>
      <w:r w:rsidR="00F824B2">
        <w:t xml:space="preserve">. </w:t>
      </w:r>
      <w:r w:rsidR="00BA631F">
        <w:t>These techniques</w:t>
      </w:r>
      <w:r w:rsidR="00657E08">
        <w:t xml:space="preserve"> offer </w:t>
      </w:r>
      <w:r w:rsidR="00AE042D">
        <w:t>an</w:t>
      </w:r>
      <w:r w:rsidR="00CC76F1">
        <w:t xml:space="preserve">alytical </w:t>
      </w:r>
      <w:r w:rsidR="00AE042D">
        <w:t xml:space="preserve">and </w:t>
      </w:r>
      <w:r w:rsidR="0056552B">
        <w:t>probabilistic</w:t>
      </w:r>
      <w:r w:rsidR="00AE042D">
        <w:t xml:space="preserve"> capability</w:t>
      </w:r>
      <w:r w:rsidR="0056552B">
        <w:t xml:space="preserve">, providing valuable insights, </w:t>
      </w:r>
      <w:r w:rsidR="00776B76">
        <w:t xml:space="preserve">especially in capturing complex relationships or evolving uncertainties.  </w:t>
      </w:r>
      <w:r w:rsidR="00D870AE">
        <w:t>Y</w:t>
      </w:r>
      <w:r w:rsidR="0056552B">
        <w:t xml:space="preserve">et </w:t>
      </w:r>
      <w:r w:rsidR="00D870AE">
        <w:t xml:space="preserve">they </w:t>
      </w:r>
      <w:r w:rsidR="0056552B">
        <w:t xml:space="preserve">remain </w:t>
      </w:r>
      <w:r w:rsidR="00A321DB">
        <w:t>underutilised due to perceived complexity</w:t>
      </w:r>
      <w:r w:rsidR="001959B5">
        <w:t xml:space="preserve">. This is likely to </w:t>
      </w:r>
      <w:r w:rsidR="000E15BA">
        <w:t xml:space="preserve">weaken any positive relationship between </w:t>
      </w:r>
      <w:r w:rsidR="00BE0F78">
        <w:t xml:space="preserve">risk assessment and project outcomes. </w:t>
      </w:r>
      <w:r w:rsidR="003551E2">
        <w:t xml:space="preserve">Similarly, </w:t>
      </w:r>
      <w:r w:rsidR="00FF27B1">
        <w:t xml:space="preserve">misclassifying and therefore incorrectly applying tools </w:t>
      </w:r>
      <w:r w:rsidR="00EE58BC">
        <w:t xml:space="preserve">is likely to </w:t>
      </w:r>
      <w:r w:rsidR="00E1513C">
        <w:t>mislead</w:t>
      </w:r>
      <w:r w:rsidR="00EE58BC">
        <w:t xml:space="preserve"> assessments</w:t>
      </w:r>
      <w:r w:rsidR="00783BF5">
        <w:t xml:space="preserve">, distort decision making and </w:t>
      </w:r>
      <w:r w:rsidR="001200B6">
        <w:t>negatively affect outcomes</w:t>
      </w:r>
      <w:r w:rsidR="00E1513C">
        <w:t>, compromising project success</w:t>
      </w:r>
      <w:r w:rsidR="00BE0F78">
        <w:t xml:space="preserve">. </w:t>
      </w:r>
    </w:p>
    <w:p w14:paraId="4DFAE7CB" w14:textId="77777777" w:rsidR="00BE0F78" w:rsidRDefault="00BE0F78" w:rsidP="00BE0F78">
      <w:pPr>
        <w:spacing w:after="0" w:line="360" w:lineRule="auto"/>
        <w:ind w:left="-576" w:right="-576"/>
        <w:jc w:val="both"/>
      </w:pPr>
    </w:p>
    <w:p w14:paraId="244E9599" w14:textId="76E0CD92" w:rsidR="00BE0F78" w:rsidRPr="001D60B3" w:rsidRDefault="00BC176D" w:rsidP="001D60B3">
      <w:pPr>
        <w:spacing w:after="0" w:line="360" w:lineRule="auto"/>
        <w:ind w:left="-576" w:right="-576"/>
        <w:jc w:val="both"/>
        <w:rPr>
          <w:color w:val="EE0000"/>
        </w:rPr>
      </w:pPr>
      <w:r>
        <w:t>In summary</w:t>
      </w:r>
      <w:r w:rsidR="00BE0F78">
        <w:t xml:space="preserve">, the findings demonstrate the impact of risk assessment tools on project outcomes is both significant and inconsistent. Tools are widely used, yet their contribution to preventing project failures is undermined by misapplication, inadequate integration, and cultural barriers. </w:t>
      </w:r>
      <w:r w:rsidR="00E045D9">
        <w:t xml:space="preserve">The findings demonstrate that </w:t>
      </w:r>
      <w:r w:rsidR="00760F10">
        <w:t>ineffective risk management</w:t>
      </w:r>
      <w:r w:rsidR="006A3532">
        <w:t xml:space="preserve"> </w:t>
      </w:r>
      <w:r w:rsidR="00D757DE">
        <w:t xml:space="preserve">fundamentally contribute to project </w:t>
      </w:r>
      <w:r w:rsidR="007539C6">
        <w:t xml:space="preserve">deviations and failures, </w:t>
      </w:r>
      <w:r w:rsidR="00622E82">
        <w:t>perceived as</w:t>
      </w:r>
      <w:r w:rsidR="007539C6">
        <w:t xml:space="preserve"> </w:t>
      </w:r>
      <w:proofErr w:type="spellStart"/>
      <w:r w:rsidR="007539C6">
        <w:t>as</w:t>
      </w:r>
      <w:proofErr w:type="spellEnd"/>
      <w:r w:rsidR="007539C6">
        <w:t xml:space="preserve"> poor outcomes. </w:t>
      </w:r>
      <w:r w:rsidR="00637FAD">
        <w:t>As above, there exists a structural weaknes</w:t>
      </w:r>
      <w:r w:rsidR="004E70EE">
        <w:t>s in the implementation, monitoring and responses to risk assessments</w:t>
      </w:r>
      <w:r w:rsidR="00BE0F78">
        <w:t xml:space="preserve">. If tools are to consistently improve outcomes, they must be correctly applied, continuously integrated into project lifecycles, and supported by organisational culture and leadership. </w:t>
      </w:r>
      <w:r w:rsidR="0041759F">
        <w:t xml:space="preserve">The findings reinforce the case for a </w:t>
      </w:r>
      <w:r w:rsidR="00DC5467">
        <w:t>customisable context-</w:t>
      </w:r>
      <w:r w:rsidR="009907EF">
        <w:t>sensitive</w:t>
      </w:r>
      <w:r w:rsidR="00DC5467">
        <w:t xml:space="preserve"> risk management framework</w:t>
      </w:r>
      <w:r w:rsidR="00756411">
        <w:t xml:space="preserve"> that </w:t>
      </w:r>
      <w:r w:rsidR="00414B5D">
        <w:t xml:space="preserve">strengthens the ability of risk assessments to </w:t>
      </w:r>
      <w:r w:rsidR="009907EF">
        <w:t xml:space="preserve">produce actionable insight and enhance project outcomes. </w:t>
      </w:r>
      <w:r w:rsidR="00C67CBE">
        <w:rPr>
          <w:color w:val="EE0000"/>
        </w:rPr>
        <w:t>8</w:t>
      </w:r>
      <w:r w:rsidR="00D113B5">
        <w:rPr>
          <w:color w:val="EE0000"/>
        </w:rPr>
        <w:t>64</w:t>
      </w:r>
      <w:r w:rsidR="00C67CBE">
        <w:rPr>
          <w:color w:val="EE0000"/>
        </w:rPr>
        <w:t xml:space="preserve"> (12</w:t>
      </w:r>
      <w:r w:rsidR="00D113B5">
        <w:rPr>
          <w:color w:val="EE0000"/>
        </w:rPr>
        <w:t>273</w:t>
      </w:r>
      <w:r w:rsidR="00C67CBE">
        <w:rPr>
          <w:color w:val="EE0000"/>
        </w:rPr>
        <w:t>)</w:t>
      </w:r>
    </w:p>
    <w:p w14:paraId="7D776D59" w14:textId="77777777" w:rsidR="001D60B3" w:rsidRDefault="001D60B3">
      <w:pPr>
        <w:rPr>
          <w:rFonts w:eastAsiaTheme="majorEastAsia" w:cstheme="majorBidi"/>
        </w:rPr>
      </w:pPr>
      <w:r>
        <w:br w:type="page"/>
      </w:r>
    </w:p>
    <w:p w14:paraId="29A2681C" w14:textId="66B65F6B" w:rsidR="00BE0F78" w:rsidRPr="00BE0F78" w:rsidRDefault="00BE0F78" w:rsidP="00BE0F78">
      <w:pPr>
        <w:pStyle w:val="Heading2"/>
        <w:ind w:left="-576" w:right="-576"/>
        <w:rPr>
          <w:sz w:val="22"/>
          <w:szCs w:val="22"/>
        </w:rPr>
      </w:pPr>
      <w:bookmarkStart w:id="79" w:name="_Toc219216487"/>
      <w:r w:rsidRPr="00BE0F78">
        <w:rPr>
          <w:sz w:val="22"/>
          <w:szCs w:val="22"/>
        </w:rPr>
        <w:lastRenderedPageBreak/>
        <w:t xml:space="preserve">9.5. </w:t>
      </w:r>
      <w:r w:rsidRPr="00BE0F78">
        <w:rPr>
          <w:sz w:val="22"/>
          <w:szCs w:val="22"/>
          <w:u w:val="single"/>
        </w:rPr>
        <w:t>The Case for a Customisable Framework.</w:t>
      </w:r>
      <w:bookmarkEnd w:id="79"/>
    </w:p>
    <w:p w14:paraId="5680C5B3" w14:textId="77777777" w:rsidR="00BE0F78" w:rsidRDefault="00BE0F78" w:rsidP="00BE0F78">
      <w:pPr>
        <w:spacing w:after="0" w:line="360" w:lineRule="auto"/>
        <w:ind w:left="-576" w:right="-576"/>
        <w:jc w:val="both"/>
      </w:pPr>
    </w:p>
    <w:p w14:paraId="2A7AEAD1" w14:textId="5442BD4A" w:rsidR="00A34A19" w:rsidRDefault="00BE0F78" w:rsidP="00BE0F78">
      <w:pPr>
        <w:spacing w:after="0" w:line="360" w:lineRule="auto"/>
        <w:ind w:left="-576" w:right="-576"/>
        <w:jc w:val="both"/>
      </w:pPr>
      <w:r>
        <w:t xml:space="preserve">The </w:t>
      </w:r>
      <w:r w:rsidR="00443A43">
        <w:t xml:space="preserve">results </w:t>
      </w:r>
      <w:r w:rsidR="00C311BB">
        <w:t xml:space="preserve">from the survey, </w:t>
      </w:r>
      <w:r w:rsidR="00682EFF">
        <w:t>combined with</w:t>
      </w:r>
      <w:r w:rsidR="00AA35DE">
        <w:t xml:space="preserve"> various challenges</w:t>
      </w:r>
      <w:r w:rsidR="00C311BB">
        <w:t xml:space="preserve"> presented in </w:t>
      </w:r>
      <w:r w:rsidR="00271DE9">
        <w:t xml:space="preserve">earlier </w:t>
      </w:r>
      <w:r w:rsidR="00C311BB">
        <w:t xml:space="preserve">sections </w:t>
      </w:r>
      <w:r w:rsidR="00572461">
        <w:t>demonstrate</w:t>
      </w:r>
      <w:r w:rsidR="00EE2914">
        <w:t xml:space="preserve"> that despite widespread use, </w:t>
      </w:r>
      <w:r w:rsidR="005F50A2">
        <w:t>application</w:t>
      </w:r>
      <w:r w:rsidR="00EE2914">
        <w:t xml:space="preserve"> of risk tools is inconsistent</w:t>
      </w:r>
      <w:r w:rsidR="005F50A2">
        <w:t>, effectiveness variable and integration into project management governance poor.</w:t>
      </w:r>
      <w:r w:rsidR="00C311BB">
        <w:t xml:space="preserve"> </w:t>
      </w:r>
      <w:r w:rsidR="005D1AE3">
        <w:t xml:space="preserve">These findings </w:t>
      </w:r>
      <w:r w:rsidR="00B153ED">
        <w:t xml:space="preserve">point to a pressing need </w:t>
      </w:r>
      <w:r w:rsidR="00C349F3">
        <w:t>for a more flexible</w:t>
      </w:r>
      <w:r w:rsidR="000F51B2">
        <w:t>, adaptable and context-sensitive approach to risk management</w:t>
      </w:r>
      <w:r w:rsidR="00594553">
        <w:t>. There is a</w:t>
      </w:r>
      <w:r w:rsidR="00B153ED">
        <w:t xml:space="preserve"> str</w:t>
      </w:r>
      <w:r w:rsidR="00C349F3">
        <w:t>o</w:t>
      </w:r>
      <w:r w:rsidR="00B153ED">
        <w:t xml:space="preserve">ng justification for </w:t>
      </w:r>
      <w:r w:rsidR="00C349F3">
        <w:t xml:space="preserve">the development of </w:t>
      </w:r>
      <w:r w:rsidR="000F51B2">
        <w:t>a customisable risk management framewor</w:t>
      </w:r>
      <w:r w:rsidR="00594553">
        <w:t>k</w:t>
      </w:r>
      <w:r w:rsidR="00820405">
        <w:t xml:space="preserve"> that can </w:t>
      </w:r>
      <w:r w:rsidR="0065426E">
        <w:t xml:space="preserve">accommodate </w:t>
      </w:r>
      <w:r w:rsidR="00594553">
        <w:t xml:space="preserve">the </w:t>
      </w:r>
      <w:r w:rsidR="00820405">
        <w:t xml:space="preserve">diverse contexts, complexities and organisational environments in which </w:t>
      </w:r>
      <w:r w:rsidR="00B6411F">
        <w:t>it</w:t>
      </w:r>
      <w:r w:rsidR="00820405">
        <w:t xml:space="preserve"> operate</w:t>
      </w:r>
      <w:r w:rsidR="00B6411F">
        <w:t>s</w:t>
      </w:r>
      <w:r w:rsidR="00A34A19">
        <w:t>.</w:t>
      </w:r>
    </w:p>
    <w:p w14:paraId="37F288D7" w14:textId="77777777" w:rsidR="00A34A19" w:rsidRDefault="00A34A19" w:rsidP="00BE0F78">
      <w:pPr>
        <w:spacing w:after="0" w:line="360" w:lineRule="auto"/>
        <w:ind w:left="-576" w:right="-576"/>
        <w:jc w:val="both"/>
      </w:pPr>
    </w:p>
    <w:p w14:paraId="00B8AB73" w14:textId="77777777" w:rsidR="002315ED" w:rsidRDefault="00E603E8" w:rsidP="00496078">
      <w:pPr>
        <w:spacing w:after="0" w:line="360" w:lineRule="auto"/>
        <w:ind w:left="-576" w:right="-576"/>
        <w:jc w:val="both"/>
      </w:pPr>
      <w:r>
        <w:t>T</w:t>
      </w:r>
      <w:r w:rsidR="00BE0F78">
        <w:t>he survey</w:t>
      </w:r>
      <w:r w:rsidR="00D933EC">
        <w:t xml:space="preserve"> demonstrated overwhelming support</w:t>
      </w:r>
      <w:r w:rsidR="00D95CC9">
        <w:t xml:space="preserve">, with </w:t>
      </w:r>
      <w:r w:rsidR="00BE0F78">
        <w:t>83</w:t>
      </w:r>
      <w:r w:rsidR="00152CEB">
        <w:t>.3</w:t>
      </w:r>
      <w:r w:rsidR="00BE0F78">
        <w:t xml:space="preserve">% of respondents </w:t>
      </w:r>
      <w:r w:rsidR="005A7BFE">
        <w:t xml:space="preserve">in favour of </w:t>
      </w:r>
      <w:r w:rsidR="00BE0F78">
        <w:t xml:space="preserve">a customisable framework, </w:t>
      </w:r>
      <w:r w:rsidR="005A7BFE">
        <w:t>and</w:t>
      </w:r>
      <w:r w:rsidR="00BE0F78">
        <w:t xml:space="preserve"> 8</w:t>
      </w:r>
      <w:r w:rsidR="00152CEB">
        <w:t>8.8</w:t>
      </w:r>
      <w:r w:rsidR="00BE0F78">
        <w:t xml:space="preserve">% willing to adopt one </w:t>
      </w:r>
      <w:r w:rsidR="00F920E0">
        <w:t>providing</w:t>
      </w:r>
      <w:r w:rsidR="00BE0F78">
        <w:t xml:space="preserve"> it improves outcomes</w:t>
      </w:r>
      <w:r w:rsidR="009B5DD3">
        <w:t xml:space="preserve">. This </w:t>
      </w:r>
      <w:r w:rsidR="001D7666">
        <w:t>indicat</w:t>
      </w:r>
      <w:r w:rsidR="009B5DD3">
        <w:t>es there is</w:t>
      </w:r>
      <w:r w:rsidR="001D7666">
        <w:t xml:space="preserve"> a wide </w:t>
      </w:r>
      <w:r w:rsidR="002B6EE8">
        <w:t>recognition</w:t>
      </w:r>
      <w:r w:rsidR="00EE033D">
        <w:t xml:space="preserve"> current tools have several shortcomings</w:t>
      </w:r>
      <w:r w:rsidR="006D11DB">
        <w:t xml:space="preserve">; </w:t>
      </w:r>
      <w:r w:rsidR="009B70A8">
        <w:t xml:space="preserve">whilst </w:t>
      </w:r>
      <w:r w:rsidR="008D5327">
        <w:t>they</w:t>
      </w:r>
      <w:r w:rsidR="00BE0F78">
        <w:t xml:space="preserve"> offer value, their rigidity and generalised design limit their effectiveness in diverse project environments</w:t>
      </w:r>
      <w:r w:rsidR="002B6EE8">
        <w:t>.</w:t>
      </w:r>
      <w:r w:rsidR="00824DB2">
        <w:t xml:space="preserve"> This is supported by the literature, which caut</w:t>
      </w:r>
      <w:r w:rsidR="00DF1456">
        <w:t>ions against a ‘one-size-fits all solution’</w:t>
      </w:r>
      <w:r w:rsidR="00C67CBE">
        <w:t xml:space="preserve"> </w:t>
      </w:r>
      <w:sdt>
        <w:sdtPr>
          <w:id w:val="735205238"/>
          <w:citation/>
        </w:sdtPr>
        <w:sdtContent>
          <w:r w:rsidR="00C67CBE">
            <w:fldChar w:fldCharType="begin"/>
          </w:r>
          <w:r w:rsidR="00C67CBE">
            <w:rPr>
              <w:lang w:val="en-US"/>
            </w:rPr>
            <w:instrText xml:space="preserve"> CITATION Kut10 \l 1033 </w:instrText>
          </w:r>
          <w:r w:rsidR="00C67CBE">
            <w:fldChar w:fldCharType="separate"/>
          </w:r>
          <w:r w:rsidR="00C67CBE" w:rsidRPr="00152CEB">
            <w:rPr>
              <w:noProof/>
              <w:lang w:val="en-US"/>
            </w:rPr>
            <w:t>(Kutsch, 2010)</w:t>
          </w:r>
          <w:r w:rsidR="00C67CBE">
            <w:fldChar w:fldCharType="end"/>
          </w:r>
        </w:sdtContent>
      </w:sdt>
      <w:r w:rsidR="00DF1456">
        <w:t>.</w:t>
      </w:r>
      <w:r w:rsidR="002B6EE8">
        <w:t xml:space="preserve"> </w:t>
      </w:r>
      <w:r w:rsidR="00BE0F78">
        <w:t>The features most prioritised by respondents shed light on what such a framework should entail</w:t>
      </w:r>
      <w:r w:rsidR="0086575D">
        <w:t xml:space="preserve">, reflecting </w:t>
      </w:r>
      <w:r w:rsidR="00B72082">
        <w:t xml:space="preserve">practical concerns </w:t>
      </w:r>
      <w:r w:rsidR="002315ED">
        <w:t xml:space="preserve">rather than simply technical ability. </w:t>
      </w:r>
    </w:p>
    <w:p w14:paraId="650F09DE" w14:textId="77777777" w:rsidR="002315ED" w:rsidRDefault="002315ED" w:rsidP="00496078">
      <w:pPr>
        <w:spacing w:after="0" w:line="360" w:lineRule="auto"/>
        <w:ind w:left="-576" w:right="-576"/>
        <w:jc w:val="both"/>
      </w:pPr>
    </w:p>
    <w:p w14:paraId="484A6589" w14:textId="11C9BCA3" w:rsidR="00496078" w:rsidRDefault="00BE0F78" w:rsidP="00496078">
      <w:pPr>
        <w:spacing w:after="0" w:line="360" w:lineRule="auto"/>
        <w:ind w:left="-576" w:right="-576"/>
        <w:jc w:val="both"/>
      </w:pPr>
      <w:r>
        <w:t xml:space="preserve">Usability emerged as the foremost requirement, with calls for more user-friendly interfaces to ensure </w:t>
      </w:r>
      <w:r w:rsidR="0000797B">
        <w:t>accessibility</w:t>
      </w:r>
      <w:r>
        <w:t xml:space="preserve"> across </w:t>
      </w:r>
      <w:r w:rsidR="0000797B">
        <w:t>all</w:t>
      </w:r>
      <w:r>
        <w:t xml:space="preserve"> levels of expertise</w:t>
      </w:r>
      <w:r w:rsidR="00FA128D">
        <w:t xml:space="preserve">. </w:t>
      </w:r>
      <w:r w:rsidR="00B10C63">
        <w:t xml:space="preserve">Respondents expressed a desire for useability and clarity within a framework, reflecting tools are applied rigidly and without iteration resulting in a risk assessment that is not representative of the true project environment. </w:t>
      </w:r>
      <w:r w:rsidR="00FA128D">
        <w:t xml:space="preserve">This </w:t>
      </w:r>
      <w:r w:rsidR="00B10C63">
        <w:t>underpins</w:t>
      </w:r>
      <w:r w:rsidR="00FA128D">
        <w:t xml:space="preserve"> the </w:t>
      </w:r>
      <w:r w:rsidR="003E70F7">
        <w:t>principle that tools must not create additional burdens but should streamline decision-making processes</w:t>
      </w:r>
      <w:r>
        <w:t xml:space="preserve">. </w:t>
      </w:r>
      <w:r w:rsidR="00D04A59">
        <w:t xml:space="preserve">Current practice is dominated by </w:t>
      </w:r>
      <w:r w:rsidR="00E51C7B">
        <w:t>inconsistent</w:t>
      </w:r>
      <w:r w:rsidR="00540714">
        <w:t xml:space="preserve"> </w:t>
      </w:r>
      <w:r w:rsidR="006079F2">
        <w:t xml:space="preserve">application and a </w:t>
      </w:r>
      <w:r w:rsidR="00E51C7B">
        <w:t>tendency</w:t>
      </w:r>
      <w:r w:rsidR="006079F2">
        <w:t xml:space="preserve"> towards traditional familiar tools, particularly risk registers, FMEA and HAZOP</w:t>
      </w:r>
      <w:r w:rsidR="00DA2581">
        <w:t>. This is</w:t>
      </w:r>
      <w:r w:rsidR="001D3C95">
        <w:t xml:space="preserve"> </w:t>
      </w:r>
      <w:r w:rsidR="00BB07DA">
        <w:t>likely because they are simple, accessible and well-understood</w:t>
      </w:r>
      <w:r w:rsidR="00DA2581">
        <w:t>,</w:t>
      </w:r>
      <w:r w:rsidR="00DA2581" w:rsidRPr="00DA2581">
        <w:t xml:space="preserve"> </w:t>
      </w:r>
      <w:r w:rsidR="00DA2581" w:rsidRPr="008F5EBB">
        <w:t>yet they may not provide the flexibility or depth required in complex or dynamic environments</w:t>
      </w:r>
      <w:r w:rsidR="00DA2581">
        <w:t xml:space="preserve">, </w:t>
      </w:r>
      <w:r w:rsidR="00F117E3">
        <w:t xml:space="preserve">a view </w:t>
      </w:r>
      <w:r w:rsidR="004A6FF0">
        <w:t>echoed</w:t>
      </w:r>
      <w:r w:rsidR="00F117E3">
        <w:t xml:space="preserve"> by Kutsch and Hall</w:t>
      </w:r>
      <w:r w:rsidR="00B01F22">
        <w:t xml:space="preserve"> (2010)</w:t>
      </w:r>
      <w:r w:rsidR="00F117E3">
        <w:t>, who found that overly complex methodologies often discourage consistent use</w:t>
      </w:r>
      <w:r w:rsidR="00116DB0" w:rsidRPr="008F5EBB">
        <w:t xml:space="preserve"> </w:t>
      </w:r>
      <w:sdt>
        <w:sdtPr>
          <w:id w:val="148726700"/>
          <w:citation/>
        </w:sdtPr>
        <w:sdtContent>
          <w:r w:rsidR="00F117E3">
            <w:fldChar w:fldCharType="begin"/>
          </w:r>
          <w:r w:rsidR="00F117E3">
            <w:rPr>
              <w:lang w:val="en-US"/>
            </w:rPr>
            <w:instrText xml:space="preserve"> CITATION Kut10 \l 1033 </w:instrText>
          </w:r>
          <w:r w:rsidR="00F117E3">
            <w:fldChar w:fldCharType="separate"/>
          </w:r>
          <w:r w:rsidR="00F117E3" w:rsidRPr="00152CEB">
            <w:rPr>
              <w:noProof/>
              <w:lang w:val="en-US"/>
            </w:rPr>
            <w:t>(Kutsch, 2010)</w:t>
          </w:r>
          <w:r w:rsidR="00F117E3">
            <w:fldChar w:fldCharType="end"/>
          </w:r>
        </w:sdtContent>
      </w:sdt>
      <w:r w:rsidR="00F117E3">
        <w:t xml:space="preserve">. </w:t>
      </w:r>
      <w:r w:rsidR="00BF5744" w:rsidRPr="00BF5744">
        <w:t>The fact that practitioners are aware of these shortcomings suggests both an openness and an appetite for innovation in risk management practice.</w:t>
      </w:r>
      <w:r w:rsidR="0066469E">
        <w:t xml:space="preserve"> Similarly, a clear capability gap </w:t>
      </w:r>
      <w:r w:rsidR="00340E82">
        <w:t xml:space="preserve">is evident with frequent misclassification </w:t>
      </w:r>
      <w:r w:rsidR="00962B44">
        <w:t>and subsequent misapplication of tools,</w:t>
      </w:r>
      <w:r w:rsidR="00437F79">
        <w:t xml:space="preserve"> undermining risk processes and their effectiveness.</w:t>
      </w:r>
      <w:r w:rsidR="00660CE4">
        <w:t xml:space="preserve"> Any re-designed framework must therefore assess this gap, with </w:t>
      </w:r>
      <w:r w:rsidR="001A7EE4">
        <w:t>clearer guidance and embedded learning.</w:t>
      </w:r>
      <w:r w:rsidR="00BA160C">
        <w:t xml:space="preserve"> </w:t>
      </w:r>
      <w:r w:rsidR="00233420">
        <w:t>R</w:t>
      </w:r>
      <w:r w:rsidR="00496078">
        <w:t xml:space="preserve">espondents </w:t>
      </w:r>
      <w:r w:rsidR="00233420">
        <w:t xml:space="preserve">also </w:t>
      </w:r>
      <w:r w:rsidR="00496078">
        <w:t xml:space="preserve">emphasised the importance of </w:t>
      </w:r>
      <w:r w:rsidR="00233420">
        <w:t>sector</w:t>
      </w:r>
      <w:r w:rsidR="00496078">
        <w:t xml:space="preserve">-specific </w:t>
      </w:r>
      <w:r w:rsidR="0042428E">
        <w:t>tailoring</w:t>
      </w:r>
      <w:r w:rsidR="000E6509">
        <w:t xml:space="preserve">, reflecting risks identified in earlier sections </w:t>
      </w:r>
      <w:r w:rsidR="00B64AB3">
        <w:t xml:space="preserve">where tools evidently </w:t>
      </w:r>
      <w:r w:rsidR="0094147F">
        <w:t>did not cater for project scale, context or complexity</w:t>
      </w:r>
      <w:r w:rsidR="00496078">
        <w:t>. Generic frameworks overlook these</w:t>
      </w:r>
      <w:r w:rsidR="00AB75CC">
        <w:t xml:space="preserve"> variances</w:t>
      </w:r>
      <w:r w:rsidR="00496078">
        <w:t>, creating blind spots that jeopardise project success. By enabling sector-specific tailoring, a customisable framework could enhance relevance and applicability</w:t>
      </w:r>
      <w:r w:rsidR="00AB75CC">
        <w:t xml:space="preserve">. This would support </w:t>
      </w:r>
      <w:r w:rsidR="00496078">
        <w:t>risks</w:t>
      </w:r>
      <w:r w:rsidR="008E54A7">
        <w:t xml:space="preserve"> being </w:t>
      </w:r>
      <w:r w:rsidR="00496078">
        <w:t>identified and managed in ways that reflect the realities of each project.</w:t>
      </w:r>
    </w:p>
    <w:p w14:paraId="0F37B1FD" w14:textId="69262051" w:rsidR="00E51C7B" w:rsidRDefault="00E51C7B" w:rsidP="00BE0F78">
      <w:pPr>
        <w:spacing w:after="0" w:line="360" w:lineRule="auto"/>
        <w:ind w:left="-576" w:right="-576"/>
        <w:jc w:val="both"/>
      </w:pPr>
    </w:p>
    <w:p w14:paraId="4000F723" w14:textId="519EF3E0" w:rsidR="00BE0F78" w:rsidRDefault="00F041D7" w:rsidP="00BE0F78">
      <w:pPr>
        <w:spacing w:after="0" w:line="360" w:lineRule="auto"/>
        <w:ind w:left="-576" w:right="-576"/>
        <w:jc w:val="both"/>
      </w:pPr>
      <w:r>
        <w:lastRenderedPageBreak/>
        <w:t>I</w:t>
      </w:r>
      <w:r w:rsidR="00BE0F78">
        <w:t xml:space="preserve">ntegration with project management software and real-time collaboration </w:t>
      </w:r>
      <w:r w:rsidR="00052D16">
        <w:t>capability</w:t>
      </w:r>
      <w:r w:rsidR="00924CDD">
        <w:t xml:space="preserve"> </w:t>
      </w:r>
      <w:r w:rsidR="006B2E34">
        <w:t xml:space="preserve">emerged as another priority, </w:t>
      </w:r>
      <w:r w:rsidR="00924CDD">
        <w:t>reflect</w:t>
      </w:r>
      <w:r w:rsidR="006B2E34">
        <w:t>ing</w:t>
      </w:r>
      <w:r w:rsidR="00924CDD">
        <w:t xml:space="preserve"> issues identified in </w:t>
      </w:r>
      <w:r w:rsidR="006B2E34">
        <w:t xml:space="preserve">earlier </w:t>
      </w:r>
      <w:r w:rsidR="00924CDD">
        <w:t>sections</w:t>
      </w:r>
      <w:r w:rsidR="00F17536">
        <w:t xml:space="preserve">, where </w:t>
      </w:r>
      <w:r w:rsidR="00BE0F78">
        <w:t xml:space="preserve">risk </w:t>
      </w:r>
      <w:r w:rsidR="00635E43">
        <w:t>management was</w:t>
      </w:r>
      <w:r w:rsidR="002B05C8">
        <w:t xml:space="preserve"> considered procedural rather than functional</w:t>
      </w:r>
      <w:r w:rsidR="002A6572">
        <w:t>. Risk tools were</w:t>
      </w:r>
      <w:r w:rsidR="00073A7A">
        <w:t xml:space="preserve"> treated as </w:t>
      </w:r>
      <w:r w:rsidR="00BE0F78">
        <w:t xml:space="preserve">standalone systems, divorced from scheduling, resource, and communication. This </w:t>
      </w:r>
      <w:r w:rsidR="00073A7A">
        <w:t xml:space="preserve">failure to </w:t>
      </w:r>
      <w:r w:rsidR="007616CD">
        <w:t>integrate</w:t>
      </w:r>
      <w:r w:rsidR="00BE0F78">
        <w:t xml:space="preserve"> undermines their ability to influence day-to-day </w:t>
      </w:r>
      <w:r w:rsidR="00FB768E">
        <w:t>decision-making and</w:t>
      </w:r>
      <w:r w:rsidR="003E3EF4">
        <w:t xml:space="preserve"> </w:t>
      </w:r>
      <w:r w:rsidR="007616CD">
        <w:t>weakens influence on</w:t>
      </w:r>
      <w:r w:rsidR="003E3EF4">
        <w:t xml:space="preserve"> project outcomes</w:t>
      </w:r>
      <w:r w:rsidR="00BE0F78">
        <w:t>. Respondents highlighted that risk management should not be an adjunct but an embedded component of ongoing project monitoring and reporting.</w:t>
      </w:r>
      <w:r w:rsidR="00152CEB">
        <w:t xml:space="preserve"> </w:t>
      </w:r>
      <w:r w:rsidR="00BE0F78">
        <w:t>The call for integration is consistent with the principles of ISO 31000, which emphasises that risk management must be embedded within organisational systems and processes rather than treated as a separate activity</w:t>
      </w:r>
      <w:r w:rsidR="00152CEB">
        <w:t xml:space="preserve"> </w:t>
      </w:r>
      <w:sdt>
        <w:sdtPr>
          <w:id w:val="-1365355569"/>
          <w:citation/>
        </w:sdtPr>
        <w:sdtContent>
          <w:r w:rsidR="00152CEB">
            <w:fldChar w:fldCharType="begin"/>
          </w:r>
          <w:r w:rsidR="00152CEB">
            <w:rPr>
              <w:lang w:val="en-US"/>
            </w:rPr>
            <w:instrText xml:space="preserve"> CITATION Muh18 \l 1033 </w:instrText>
          </w:r>
          <w:r w:rsidR="00152CEB">
            <w:fldChar w:fldCharType="separate"/>
          </w:r>
          <w:r w:rsidR="00152CEB" w:rsidRPr="00152CEB">
            <w:rPr>
              <w:noProof/>
              <w:lang w:val="en-US"/>
            </w:rPr>
            <w:t>(Muhammet Gul, 2018)</w:t>
          </w:r>
          <w:r w:rsidR="00152CEB">
            <w:fldChar w:fldCharType="end"/>
          </w:r>
        </w:sdtContent>
      </w:sdt>
      <w:r w:rsidR="00BE0F78">
        <w:t xml:space="preserve">. </w:t>
      </w:r>
      <w:r w:rsidR="00D153FC">
        <w:t xml:space="preserve">Achieving this </w:t>
      </w:r>
      <w:r w:rsidR="00D215AF">
        <w:t xml:space="preserve">would provide more relevance to the tools and potentially reduce the current perceptions </w:t>
      </w:r>
      <w:r w:rsidR="002C3CE1">
        <w:t xml:space="preserve">that they are more of an administrative task or burden. </w:t>
      </w:r>
      <w:r w:rsidR="005F0BF1">
        <w:t>In line with this</w:t>
      </w:r>
      <w:r w:rsidR="00FC07EC">
        <w:t xml:space="preserve">, </w:t>
      </w:r>
      <w:r w:rsidR="00AE2A6D">
        <w:t>address</w:t>
      </w:r>
      <w:r w:rsidR="00FC07EC">
        <w:t>ing</w:t>
      </w:r>
      <w:r w:rsidR="00AE2A6D">
        <w:t xml:space="preserve"> stakeholder engagement was also deemed an essential feature. This aligns with</w:t>
      </w:r>
      <w:r w:rsidR="00FC07EC">
        <w:t xml:space="preserve"> earlier</w:t>
      </w:r>
      <w:r w:rsidR="00AE2A6D">
        <w:t xml:space="preserve"> findings where </w:t>
      </w:r>
      <w:r w:rsidR="00003788">
        <w:t xml:space="preserve">stakeholder </w:t>
      </w:r>
      <w:r w:rsidR="00867EE0">
        <w:t>engagement</w:t>
      </w:r>
      <w:r w:rsidR="00003788">
        <w:t xml:space="preserve">, poor communication and ownership </w:t>
      </w:r>
      <w:r w:rsidR="00024E00">
        <w:t>were</w:t>
      </w:r>
      <w:r w:rsidR="00003788">
        <w:t xml:space="preserve"> </w:t>
      </w:r>
      <w:r w:rsidR="00024E00">
        <w:t>reported</w:t>
      </w:r>
      <w:r w:rsidR="00003788">
        <w:t xml:space="preserve"> to reduce </w:t>
      </w:r>
      <w:r w:rsidR="00867EE0">
        <w:t xml:space="preserve">quality and impact of any risk assessment. This mirrors that of </w:t>
      </w:r>
      <w:r w:rsidR="00BE0F78">
        <w:t>Khadgi</w:t>
      </w:r>
      <w:r w:rsidR="00867EE0">
        <w:t xml:space="preserve"> (2025), who</w:t>
      </w:r>
      <w:r w:rsidR="00BE0F78">
        <w:t xml:space="preserve"> underscores that PRINCE2 highlights active stakeholder involvement and communication as essential to effective risk management. A customisable framework with collaborative features could strengthen stakeholder engagement by making risks more visible and fostering shared ownership across project teams</w:t>
      </w:r>
      <w:r w:rsidR="00152CEB">
        <w:t xml:space="preserve"> </w:t>
      </w:r>
      <w:sdt>
        <w:sdtPr>
          <w:id w:val="662671220"/>
          <w:citation/>
        </w:sdtPr>
        <w:sdtContent>
          <w:r w:rsidR="00152CEB">
            <w:fldChar w:fldCharType="begin"/>
          </w:r>
          <w:r w:rsidR="00152CEB">
            <w:rPr>
              <w:lang w:val="en-US"/>
            </w:rPr>
            <w:instrText xml:space="preserve"> CITATION Kha25 \l 1033 </w:instrText>
          </w:r>
          <w:r w:rsidR="00152CEB">
            <w:fldChar w:fldCharType="separate"/>
          </w:r>
          <w:r w:rsidR="00152CEB" w:rsidRPr="00152CEB">
            <w:rPr>
              <w:noProof/>
              <w:lang w:val="en-US"/>
            </w:rPr>
            <w:t>(Khadgi, 2025)</w:t>
          </w:r>
          <w:r w:rsidR="00152CEB">
            <w:fldChar w:fldCharType="end"/>
          </w:r>
        </w:sdtContent>
      </w:sdt>
      <w:r w:rsidR="00BE0F78">
        <w:t>.</w:t>
      </w:r>
    </w:p>
    <w:p w14:paraId="0015E039" w14:textId="77777777" w:rsidR="00BE0F78" w:rsidRDefault="00BE0F78" w:rsidP="00BE0F78">
      <w:pPr>
        <w:spacing w:after="0" w:line="360" w:lineRule="auto"/>
        <w:ind w:left="-576" w:right="-576"/>
        <w:jc w:val="both"/>
      </w:pPr>
    </w:p>
    <w:p w14:paraId="62478A66" w14:textId="1C99FB87" w:rsidR="00BE0F78" w:rsidRDefault="00BE0F78" w:rsidP="00BE0F78">
      <w:pPr>
        <w:spacing w:after="0" w:line="360" w:lineRule="auto"/>
        <w:ind w:left="-576" w:right="-576"/>
        <w:jc w:val="both"/>
      </w:pPr>
      <w:r>
        <w:t xml:space="preserve">While some respondents expressed interest in advanced capabilities such as AI-based risk prediction, these were ranked lower than usability and integration. </w:t>
      </w:r>
      <w:r w:rsidR="00056C7A">
        <w:t>Although this</w:t>
      </w:r>
      <w:r w:rsidR="00620CA8">
        <w:t xml:space="preserve"> could reflect </w:t>
      </w:r>
      <w:r w:rsidR="007B2571">
        <w:t>capability</w:t>
      </w:r>
      <w:r w:rsidR="00056C7A">
        <w:t xml:space="preserve"> gaps</w:t>
      </w:r>
      <w:r w:rsidR="007B2571">
        <w:t xml:space="preserve"> in the use of existing tools, </w:t>
      </w:r>
      <w:r w:rsidR="00620CA8">
        <w:t>it</w:t>
      </w:r>
      <w:r>
        <w:t xml:space="preserve"> suggests that practitioners recognise the potential </w:t>
      </w:r>
      <w:r w:rsidR="00425FC7">
        <w:t>in e</w:t>
      </w:r>
      <w:r>
        <w:t>merging technologies but view them as secondary to more immediate concerns of accessibility and embedding</w:t>
      </w:r>
      <w:r w:rsidR="007B2571">
        <w:t>. T</w:t>
      </w:r>
      <w:r>
        <w:t xml:space="preserve">he priority </w:t>
      </w:r>
      <w:r w:rsidR="007B2571">
        <w:t xml:space="preserve">for respondents </w:t>
      </w:r>
      <w:r>
        <w:t xml:space="preserve">is not necessarily innovation for its own sake but ensuring that risk management becomes a practical, </w:t>
      </w:r>
      <w:r w:rsidR="00D941B0">
        <w:t xml:space="preserve">effective, </w:t>
      </w:r>
      <w:r>
        <w:t>everyday part of project management routines.</w:t>
      </w:r>
      <w:r w:rsidR="00BE2B64">
        <w:t xml:space="preserve"> </w:t>
      </w:r>
    </w:p>
    <w:p w14:paraId="653D7D86" w14:textId="77777777" w:rsidR="00BE0F78" w:rsidRDefault="00BE0F78" w:rsidP="00BE0F78">
      <w:pPr>
        <w:spacing w:after="0" w:line="360" w:lineRule="auto"/>
        <w:ind w:left="-576" w:right="-576"/>
        <w:jc w:val="both"/>
      </w:pPr>
    </w:p>
    <w:p w14:paraId="6401EF6B" w14:textId="1CF9D2E0" w:rsidR="00BE0F78" w:rsidRDefault="00D57377" w:rsidP="00BE0F78">
      <w:pPr>
        <w:spacing w:after="0" w:line="360" w:lineRule="auto"/>
        <w:ind w:left="-576" w:right="-576"/>
        <w:jc w:val="both"/>
      </w:pPr>
      <w:r>
        <w:t>The design of any</w:t>
      </w:r>
      <w:r w:rsidR="00BE0F78">
        <w:t xml:space="preserve"> customisable framework </w:t>
      </w:r>
      <w:r>
        <w:t xml:space="preserve">requires </w:t>
      </w:r>
      <w:r w:rsidR="00552D72">
        <w:t xml:space="preserve">careful balancing </w:t>
      </w:r>
      <w:r w:rsidR="00BE0F78">
        <w:t>between standardisation and flexibility in risk management. Aven</w:t>
      </w:r>
      <w:r w:rsidR="00552D72">
        <w:t xml:space="preserve"> (2016)</w:t>
      </w:r>
      <w:r w:rsidR="00152CEB">
        <w:t xml:space="preserve"> </w:t>
      </w:r>
      <w:r w:rsidR="00BE0F78">
        <w:t>and Hillson</w:t>
      </w:r>
      <w:r w:rsidR="00152CEB">
        <w:t xml:space="preserve"> </w:t>
      </w:r>
      <w:r w:rsidR="00552D72">
        <w:t xml:space="preserve">(2023) </w:t>
      </w:r>
      <w:r w:rsidR="00BE0F78">
        <w:t>argue that rigid, one-size-fits-all approaches often fail to capture the nuanced realities of projects, particularly in contexts characterised by complexity and uncertainty</w:t>
      </w:r>
      <w:r w:rsidR="00152CEB">
        <w:t xml:space="preserve"> </w:t>
      </w:r>
      <w:sdt>
        <w:sdtPr>
          <w:id w:val="-646359457"/>
          <w:citation/>
        </w:sdtPr>
        <w:sdtContent>
          <w:r w:rsidR="00152CEB">
            <w:fldChar w:fldCharType="begin"/>
          </w:r>
          <w:r w:rsidR="00152CEB">
            <w:rPr>
              <w:lang w:val="en-US"/>
            </w:rPr>
            <w:instrText xml:space="preserve"> CITATION Trj16 \l 1033 </w:instrText>
          </w:r>
          <w:r w:rsidR="00152CEB">
            <w:fldChar w:fldCharType="separate"/>
          </w:r>
          <w:r w:rsidR="00152CEB" w:rsidRPr="00152CEB">
            <w:rPr>
              <w:noProof/>
              <w:lang w:val="en-US"/>
            </w:rPr>
            <w:t>(Aven, 2016)</w:t>
          </w:r>
          <w:r w:rsidR="00152CEB">
            <w:fldChar w:fldCharType="end"/>
          </w:r>
        </w:sdtContent>
      </w:sdt>
      <w:sdt>
        <w:sdtPr>
          <w:id w:val="1123966353"/>
          <w:citation/>
        </w:sdtPr>
        <w:sdtContent>
          <w:r w:rsidR="00152CEB">
            <w:fldChar w:fldCharType="begin"/>
          </w:r>
          <w:r w:rsidR="00152CEB">
            <w:rPr>
              <w:lang w:val="en-US"/>
            </w:rPr>
            <w:instrText xml:space="preserve"> CITATION Dav23 \l 1033 </w:instrText>
          </w:r>
          <w:r w:rsidR="00152CEB">
            <w:fldChar w:fldCharType="separate"/>
          </w:r>
          <w:r w:rsidR="00152CEB">
            <w:rPr>
              <w:noProof/>
              <w:lang w:val="en-US"/>
            </w:rPr>
            <w:t xml:space="preserve"> </w:t>
          </w:r>
          <w:r w:rsidR="00152CEB" w:rsidRPr="00152CEB">
            <w:rPr>
              <w:noProof/>
              <w:lang w:val="en-US"/>
            </w:rPr>
            <w:t>(Hilson, 2023)</w:t>
          </w:r>
          <w:r w:rsidR="00152CEB">
            <w:fldChar w:fldCharType="end"/>
          </w:r>
        </w:sdtContent>
      </w:sdt>
      <w:r w:rsidR="00BE0F78">
        <w:t>. Conversely, overly flexible approaches risk fragmentation and inconsistency, undermining comparability across projects and limiting organisational learning.</w:t>
      </w:r>
      <w:r w:rsidR="00152CEB">
        <w:t xml:space="preserve"> </w:t>
      </w:r>
      <w:r w:rsidR="00BE0F78">
        <w:t>The challenge, therefore, is to strike a balance. A customisable framework should preserve core principles</w:t>
      </w:r>
      <w:r w:rsidR="00152CEB">
        <w:t xml:space="preserve">, </w:t>
      </w:r>
      <w:r w:rsidR="00BE0F78">
        <w:t>such as iterative assessment, stakeholder engagement, and alignment with best-practice standards like PMBOK and ISO 31000</w:t>
      </w:r>
      <w:r w:rsidR="00887B29">
        <w:t xml:space="preserve">, </w:t>
      </w:r>
      <w:r w:rsidR="00BE0F78">
        <w:t>while allowing adaptation to project-specific needs</w:t>
      </w:r>
      <w:r w:rsidR="00887B29">
        <w:t xml:space="preserve">. This reflects </w:t>
      </w:r>
      <w:r w:rsidR="00BE0F78">
        <w:t>Hillson’s</w:t>
      </w:r>
      <w:r w:rsidR="00887B29">
        <w:t xml:space="preserve"> (2022)</w:t>
      </w:r>
      <w:r w:rsidR="00BE0F78">
        <w:t xml:space="preserve"> call for “structured flexibility,” whereby risk frameworks provide both guidance and adaptability without sacrificing rigour</w:t>
      </w:r>
      <w:r w:rsidR="008C12D0">
        <w:t xml:space="preserve"> </w:t>
      </w:r>
      <w:sdt>
        <w:sdtPr>
          <w:id w:val="-1556146219"/>
          <w:citation/>
        </w:sdtPr>
        <w:sdtContent>
          <w:r w:rsidR="008C12D0">
            <w:fldChar w:fldCharType="begin"/>
          </w:r>
          <w:r w:rsidR="008C12D0">
            <w:rPr>
              <w:lang w:val="en-US"/>
            </w:rPr>
            <w:instrText xml:space="preserve"> CITATION DHi22 \l 1033 </w:instrText>
          </w:r>
          <w:r w:rsidR="008C12D0">
            <w:fldChar w:fldCharType="separate"/>
          </w:r>
          <w:r w:rsidR="008C12D0" w:rsidRPr="008C12D0">
            <w:rPr>
              <w:noProof/>
              <w:lang w:val="en-US"/>
            </w:rPr>
            <w:t>(Hilson, 2022)</w:t>
          </w:r>
          <w:r w:rsidR="008C12D0">
            <w:fldChar w:fldCharType="end"/>
          </w:r>
        </w:sdtContent>
      </w:sdt>
      <w:r w:rsidR="008C12D0">
        <w:t>.</w:t>
      </w:r>
      <w:r w:rsidR="004F557D">
        <w:t xml:space="preserve"> </w:t>
      </w:r>
      <w:r w:rsidR="00A545E7">
        <w:t>A</w:t>
      </w:r>
      <w:r w:rsidR="004F557D">
        <w:t xml:space="preserve"> modular</w:t>
      </w:r>
      <w:r w:rsidR="00F76091">
        <w:t>-</w:t>
      </w:r>
      <w:r w:rsidR="004F557D">
        <w:t>type framework</w:t>
      </w:r>
      <w:r w:rsidR="008D3460">
        <w:t xml:space="preserve"> with advanced, flexible components where advanced t</w:t>
      </w:r>
      <w:r w:rsidR="00741F77">
        <w:t xml:space="preserve">echniques could be applied as appropriate may </w:t>
      </w:r>
      <w:r w:rsidR="00A545E7">
        <w:t>offer a solution</w:t>
      </w:r>
      <w:r w:rsidR="009157F4">
        <w:t xml:space="preserve">. </w:t>
      </w:r>
    </w:p>
    <w:p w14:paraId="2C62581E" w14:textId="77777777" w:rsidR="00BE0F78" w:rsidRDefault="00BE0F78" w:rsidP="00BE0F78">
      <w:pPr>
        <w:spacing w:after="0" w:line="360" w:lineRule="auto"/>
        <w:ind w:left="-576" w:right="-576"/>
        <w:jc w:val="both"/>
      </w:pPr>
    </w:p>
    <w:p w14:paraId="0FE29D3B" w14:textId="5F82F79E" w:rsidR="00BE0F78" w:rsidRDefault="00BE0F78" w:rsidP="00BE0F78">
      <w:pPr>
        <w:spacing w:after="0" w:line="360" w:lineRule="auto"/>
        <w:ind w:left="-576" w:right="-576"/>
        <w:jc w:val="both"/>
      </w:pPr>
      <w:r>
        <w:lastRenderedPageBreak/>
        <w:t>Despite strong support for a customisable framework, the survey also</w:t>
      </w:r>
      <w:r w:rsidR="009157F4">
        <w:t xml:space="preserve"> </w:t>
      </w:r>
      <w:r>
        <w:t xml:space="preserve">highlighted potential barriers to </w:t>
      </w:r>
      <w:r w:rsidR="009157F4">
        <w:t>adoption</w:t>
      </w:r>
      <w:r w:rsidR="000E4EEF">
        <w:t xml:space="preserve"> which need to be addressed</w:t>
      </w:r>
      <w:r>
        <w:t>. Training requirements were identified as the most significant obstacle, followed by resistance to change and lack of management support</w:t>
      </w:r>
      <w:r w:rsidR="00A5029B">
        <w:t xml:space="preserve">. </w:t>
      </w:r>
      <w:r w:rsidR="00A46FA3">
        <w:t xml:space="preserve"> </w:t>
      </w:r>
      <w:r w:rsidR="00A5029B">
        <w:t>C</w:t>
      </w:r>
      <w:r w:rsidR="00A46FA3">
        <w:t xml:space="preserve">hange management literature consistently highlights that adoption of new systems is often hindered by </w:t>
      </w:r>
      <w:r w:rsidR="00D277BE">
        <w:t>established</w:t>
      </w:r>
      <w:r w:rsidR="00A46FA3">
        <w:t xml:space="preserve"> practices, competing priorities, and scepticism among stakeholders </w:t>
      </w:r>
      <w:sdt>
        <w:sdtPr>
          <w:id w:val="-1686057488"/>
          <w:citation/>
        </w:sdtPr>
        <w:sdtContent>
          <w:r w:rsidR="00A46FA3">
            <w:fldChar w:fldCharType="begin"/>
          </w:r>
          <w:r w:rsidR="00A46FA3">
            <w:rPr>
              <w:lang w:val="en-US"/>
            </w:rPr>
            <w:instrText xml:space="preserve"> CITATION Cha11 \l 1033 </w:instrText>
          </w:r>
          <w:r w:rsidR="00A46FA3">
            <w:fldChar w:fldCharType="separate"/>
          </w:r>
          <w:r w:rsidR="00A46FA3" w:rsidRPr="008C12D0">
            <w:rPr>
              <w:noProof/>
              <w:lang w:val="en-US"/>
            </w:rPr>
            <w:t>(Chapman, 2011)</w:t>
          </w:r>
          <w:r w:rsidR="00A46FA3">
            <w:fldChar w:fldCharType="end"/>
          </w:r>
        </w:sdtContent>
      </w:sdt>
      <w:r w:rsidR="00A46FA3">
        <w:t xml:space="preserve">. </w:t>
      </w:r>
      <w:r>
        <w:t xml:space="preserve">These barriers reflect organisational and cultural challenges </w:t>
      </w:r>
      <w:r w:rsidR="00FF470A">
        <w:t xml:space="preserve">outlined in </w:t>
      </w:r>
      <w:r w:rsidR="007E101C">
        <w:t xml:space="preserve">earlier </w:t>
      </w:r>
      <w:r w:rsidR="00FF470A">
        <w:t xml:space="preserve">sections </w:t>
      </w:r>
      <w:r w:rsidR="000C3042">
        <w:t>where capability</w:t>
      </w:r>
      <w:r w:rsidR="00117B56">
        <w:t>, misapplication and poor leadership undermine effectiveness</w:t>
      </w:r>
      <w:r w:rsidR="007E101C">
        <w:t xml:space="preserve">. </w:t>
      </w:r>
      <w:r w:rsidR="00FD7AAA">
        <w:t xml:space="preserve">These findings </w:t>
      </w:r>
      <w:r w:rsidR="00B517EA">
        <w:t>reinforce that</w:t>
      </w:r>
      <w:r w:rsidR="002C35AF">
        <w:t xml:space="preserve"> however </w:t>
      </w:r>
      <w:r w:rsidR="00AC246B">
        <w:t>technically</w:t>
      </w:r>
      <w:r w:rsidR="002C35AF">
        <w:t xml:space="preserve"> </w:t>
      </w:r>
      <w:r w:rsidR="001D60B3">
        <w:t>capable;</w:t>
      </w:r>
      <w:r w:rsidR="00AC246B">
        <w:t xml:space="preserve"> no</w:t>
      </w:r>
      <w:r>
        <w:t xml:space="preserve"> framework</w:t>
      </w:r>
      <w:r w:rsidR="00B517EA">
        <w:t xml:space="preserve"> </w:t>
      </w:r>
      <w:r w:rsidR="00AC246B">
        <w:t>can</w:t>
      </w:r>
      <w:r>
        <w:t xml:space="preserve"> succeed without</w:t>
      </w:r>
      <w:r w:rsidR="00AC246B">
        <w:t xml:space="preserve"> associated</w:t>
      </w:r>
      <w:r w:rsidR="00B517EA">
        <w:t xml:space="preserve"> cultural </w:t>
      </w:r>
      <w:r w:rsidR="00E9705F">
        <w:t>and capability</w:t>
      </w:r>
      <w:r>
        <w:t xml:space="preserve"> investment. As </w:t>
      </w:r>
      <w:proofErr w:type="spellStart"/>
      <w:r>
        <w:t>Cagliano</w:t>
      </w:r>
      <w:proofErr w:type="spellEnd"/>
      <w:r>
        <w:t xml:space="preserve"> </w:t>
      </w:r>
      <w:r w:rsidR="006C1CCB">
        <w:t xml:space="preserve">(2015) </w:t>
      </w:r>
      <w:r>
        <w:t xml:space="preserve">stresses, risk management is as </w:t>
      </w:r>
      <w:r w:rsidR="00AC246B">
        <w:t>m</w:t>
      </w:r>
      <w:r>
        <w:t>uch a human process as it is a technical one, requiring experiential learning and scenario-based training to embed practices into organisational culture</w:t>
      </w:r>
      <w:r w:rsidR="00F76091">
        <w:t xml:space="preserve"> </w:t>
      </w:r>
      <w:sdt>
        <w:sdtPr>
          <w:id w:val="-1261671869"/>
          <w:citation/>
        </w:sdtPr>
        <w:sdtContent>
          <w:r w:rsidR="008C12D0">
            <w:fldChar w:fldCharType="begin"/>
          </w:r>
          <w:r w:rsidR="008C12D0">
            <w:rPr>
              <w:lang w:val="en-US"/>
            </w:rPr>
            <w:instrText xml:space="preserve"> CITATION Cag15 \l 1033 </w:instrText>
          </w:r>
          <w:r w:rsidR="008C12D0">
            <w:fldChar w:fldCharType="separate"/>
          </w:r>
          <w:r w:rsidR="008C12D0" w:rsidRPr="008C12D0">
            <w:rPr>
              <w:noProof/>
              <w:lang w:val="en-US"/>
            </w:rPr>
            <w:t>(Cagliano, 2015)</w:t>
          </w:r>
          <w:r w:rsidR="008C12D0">
            <w:fldChar w:fldCharType="end"/>
          </w:r>
        </w:sdtContent>
      </w:sdt>
      <w:r>
        <w:t>.</w:t>
      </w:r>
    </w:p>
    <w:p w14:paraId="7D8CB19D" w14:textId="77777777" w:rsidR="00616AA7" w:rsidRDefault="00616AA7" w:rsidP="00BE0F78">
      <w:pPr>
        <w:spacing w:after="0" w:line="360" w:lineRule="auto"/>
        <w:ind w:left="-576" w:right="-576"/>
        <w:jc w:val="both"/>
      </w:pPr>
    </w:p>
    <w:p w14:paraId="2F9881BF" w14:textId="26B1C7FD" w:rsidR="00BE0F78" w:rsidRPr="00616AA7" w:rsidRDefault="00C76A61" w:rsidP="00BE0F78">
      <w:pPr>
        <w:spacing w:after="0" w:line="360" w:lineRule="auto"/>
        <w:ind w:left="-576" w:right="-576"/>
        <w:jc w:val="both"/>
      </w:pPr>
      <w:r>
        <w:t xml:space="preserve">Taking respondent </w:t>
      </w:r>
      <w:r w:rsidR="006F2353">
        <w:t>requirements and literature</w:t>
      </w:r>
      <w:r w:rsidR="00BE0F78" w:rsidRPr="00616AA7">
        <w:t xml:space="preserve"> insights</w:t>
      </w:r>
      <w:r w:rsidR="006F2353">
        <w:t xml:space="preserve"> together</w:t>
      </w:r>
      <w:r w:rsidR="00BE0F78" w:rsidRPr="00616AA7">
        <w:t>, several design principles can be proposed for a</w:t>
      </w:r>
      <w:r w:rsidR="002B2E74">
        <w:t xml:space="preserve">n enhanced </w:t>
      </w:r>
      <w:r w:rsidR="00BE0F78" w:rsidRPr="00616AA7">
        <w:t>customisable framework:</w:t>
      </w:r>
    </w:p>
    <w:p w14:paraId="5256ABF0" w14:textId="749B6CC7" w:rsidR="00BE0F78" w:rsidRPr="00616AA7" w:rsidRDefault="00BE0F78" w:rsidP="008C12D0">
      <w:pPr>
        <w:pStyle w:val="ListParagraph"/>
        <w:numPr>
          <w:ilvl w:val="0"/>
          <w:numId w:val="45"/>
        </w:numPr>
        <w:spacing w:after="0" w:line="360" w:lineRule="auto"/>
        <w:ind w:right="-576"/>
        <w:jc w:val="both"/>
      </w:pPr>
      <w:r w:rsidRPr="00616AA7">
        <w:t xml:space="preserve">Usability and Accessibility – Tools must be intuitive and user-friendly, reducing complexity and encouraging consistent application </w:t>
      </w:r>
      <w:sdt>
        <w:sdtPr>
          <w:id w:val="-1935123481"/>
          <w:citation/>
        </w:sdtPr>
        <w:sdtContent>
          <w:r w:rsidR="008C12D0" w:rsidRPr="00616AA7">
            <w:fldChar w:fldCharType="begin"/>
          </w:r>
          <w:r w:rsidR="008C12D0" w:rsidRPr="00616AA7">
            <w:rPr>
              <w:lang w:val="en-US"/>
            </w:rPr>
            <w:instrText xml:space="preserve"> CITATION Kut10 \l 1033 </w:instrText>
          </w:r>
          <w:r w:rsidR="008C12D0" w:rsidRPr="00616AA7">
            <w:fldChar w:fldCharType="separate"/>
          </w:r>
          <w:r w:rsidR="008C12D0" w:rsidRPr="00616AA7">
            <w:rPr>
              <w:noProof/>
              <w:lang w:val="en-US"/>
            </w:rPr>
            <w:t>(Kutsch, 2010)</w:t>
          </w:r>
          <w:r w:rsidR="008C12D0" w:rsidRPr="00616AA7">
            <w:fldChar w:fldCharType="end"/>
          </w:r>
        </w:sdtContent>
      </w:sdt>
      <w:r w:rsidRPr="00616AA7">
        <w:t>.</w:t>
      </w:r>
    </w:p>
    <w:p w14:paraId="71579702" w14:textId="77777777" w:rsidR="00BE0F78" w:rsidRPr="00616AA7" w:rsidRDefault="00BE0F78" w:rsidP="008C12D0">
      <w:pPr>
        <w:pStyle w:val="ListParagraph"/>
        <w:numPr>
          <w:ilvl w:val="0"/>
          <w:numId w:val="45"/>
        </w:numPr>
        <w:spacing w:after="0" w:line="360" w:lineRule="auto"/>
        <w:ind w:right="-576"/>
        <w:jc w:val="both"/>
      </w:pPr>
      <w:r w:rsidRPr="00616AA7">
        <w:t>Sector-Specific Relevance – The framework should allow tailoring of risk identification and mitigation strategies to reflect industry-specific risks.</w:t>
      </w:r>
    </w:p>
    <w:p w14:paraId="357D1606" w14:textId="6C7CAD4C" w:rsidR="00BE0F78" w:rsidRPr="00616AA7" w:rsidRDefault="00BE0F78" w:rsidP="008C12D0">
      <w:pPr>
        <w:pStyle w:val="ListParagraph"/>
        <w:numPr>
          <w:ilvl w:val="0"/>
          <w:numId w:val="45"/>
        </w:numPr>
        <w:spacing w:after="0" w:line="360" w:lineRule="auto"/>
        <w:ind w:right="-576"/>
        <w:jc w:val="both"/>
      </w:pPr>
      <w:r w:rsidRPr="00616AA7">
        <w:t>Integration with Project Systems – Risk management must be embedded within scheduling, resourcing, and communication tools, ensuring relevance to everyday project activities</w:t>
      </w:r>
      <w:r w:rsidR="008C12D0" w:rsidRPr="00616AA7">
        <w:t xml:space="preserve"> </w:t>
      </w:r>
      <w:sdt>
        <w:sdtPr>
          <w:id w:val="796959493"/>
          <w:citation/>
        </w:sdtPr>
        <w:sdtContent>
          <w:r w:rsidR="008C12D0" w:rsidRPr="00616AA7">
            <w:fldChar w:fldCharType="begin"/>
          </w:r>
          <w:r w:rsidR="008C12D0" w:rsidRPr="00616AA7">
            <w:rPr>
              <w:lang w:val="en-US"/>
            </w:rPr>
            <w:instrText xml:space="preserve"> CITATION Muh18 \l 1033 </w:instrText>
          </w:r>
          <w:r w:rsidR="008C12D0" w:rsidRPr="00616AA7">
            <w:fldChar w:fldCharType="separate"/>
          </w:r>
          <w:r w:rsidR="008C12D0" w:rsidRPr="00616AA7">
            <w:rPr>
              <w:noProof/>
              <w:lang w:val="en-US"/>
            </w:rPr>
            <w:t>(Muhammet Gul, 2018)</w:t>
          </w:r>
          <w:r w:rsidR="008C12D0" w:rsidRPr="00616AA7">
            <w:fldChar w:fldCharType="end"/>
          </w:r>
        </w:sdtContent>
      </w:sdt>
      <w:r w:rsidRPr="00616AA7">
        <w:t>.</w:t>
      </w:r>
    </w:p>
    <w:p w14:paraId="3C53F3BD" w14:textId="571217A7" w:rsidR="00BE0F78" w:rsidRPr="00616AA7" w:rsidRDefault="00BE0F78" w:rsidP="008C12D0">
      <w:pPr>
        <w:pStyle w:val="ListParagraph"/>
        <w:numPr>
          <w:ilvl w:val="0"/>
          <w:numId w:val="45"/>
        </w:numPr>
        <w:spacing w:after="0" w:line="360" w:lineRule="auto"/>
        <w:ind w:right="-576"/>
        <w:jc w:val="both"/>
      </w:pPr>
      <w:r w:rsidRPr="00616AA7">
        <w:t>Iterative and Continuous Assessment – Processes should align with PMBOK and ISO 31000 by emphasising ongoing risk monitoring throughout the project lifecycle</w:t>
      </w:r>
      <w:r w:rsidR="008C12D0" w:rsidRPr="00616AA7">
        <w:t xml:space="preserve"> </w:t>
      </w:r>
      <w:sdt>
        <w:sdtPr>
          <w:id w:val="2074548434"/>
          <w:citation/>
        </w:sdtPr>
        <w:sdtContent>
          <w:r w:rsidR="008C12D0" w:rsidRPr="00616AA7">
            <w:fldChar w:fldCharType="begin"/>
          </w:r>
          <w:r w:rsidR="008C12D0" w:rsidRPr="00616AA7">
            <w:rPr>
              <w:lang w:val="en-US"/>
            </w:rPr>
            <w:instrText xml:space="preserve"> CITATION Mer20 \l 1033 </w:instrText>
          </w:r>
          <w:r w:rsidR="008C12D0" w:rsidRPr="00616AA7">
            <w:fldChar w:fldCharType="separate"/>
          </w:r>
          <w:r w:rsidR="008C12D0" w:rsidRPr="00616AA7">
            <w:rPr>
              <w:noProof/>
              <w:lang w:val="en-US"/>
            </w:rPr>
            <w:t>(Merkourios Papanikolaou, 2020)</w:t>
          </w:r>
          <w:r w:rsidR="008C12D0" w:rsidRPr="00616AA7">
            <w:fldChar w:fldCharType="end"/>
          </w:r>
        </w:sdtContent>
      </w:sdt>
      <w:r w:rsidR="008C12D0" w:rsidRPr="00616AA7">
        <w:t>.</w:t>
      </w:r>
    </w:p>
    <w:p w14:paraId="3A32EF94" w14:textId="01EB7289" w:rsidR="00BE0F78" w:rsidRPr="00616AA7" w:rsidRDefault="00BE0F78" w:rsidP="008C12D0">
      <w:pPr>
        <w:pStyle w:val="ListParagraph"/>
        <w:numPr>
          <w:ilvl w:val="0"/>
          <w:numId w:val="45"/>
        </w:numPr>
        <w:spacing w:after="0" w:line="360" w:lineRule="auto"/>
        <w:ind w:right="-576"/>
        <w:jc w:val="both"/>
      </w:pPr>
      <w:r w:rsidRPr="00616AA7">
        <w:t>Stakeholder Engagement – The framework should foster collaboration, visibility, and shared ownership of risks, consistent with PRINCE2 principles</w:t>
      </w:r>
      <w:r w:rsidR="008C12D0" w:rsidRPr="00616AA7">
        <w:t xml:space="preserve"> </w:t>
      </w:r>
      <w:sdt>
        <w:sdtPr>
          <w:id w:val="-989634622"/>
          <w:citation/>
        </w:sdtPr>
        <w:sdtContent>
          <w:r w:rsidR="008C12D0" w:rsidRPr="00616AA7">
            <w:fldChar w:fldCharType="begin"/>
          </w:r>
          <w:r w:rsidR="008C12D0" w:rsidRPr="00616AA7">
            <w:rPr>
              <w:lang w:val="en-US"/>
            </w:rPr>
            <w:instrText xml:space="preserve"> CITATION Kha25 \l 1033 </w:instrText>
          </w:r>
          <w:r w:rsidR="008C12D0" w:rsidRPr="00616AA7">
            <w:fldChar w:fldCharType="separate"/>
          </w:r>
          <w:r w:rsidR="008C12D0" w:rsidRPr="00616AA7">
            <w:rPr>
              <w:noProof/>
              <w:lang w:val="en-US"/>
            </w:rPr>
            <w:t>(Khadgi, 2025)</w:t>
          </w:r>
          <w:r w:rsidR="008C12D0" w:rsidRPr="00616AA7">
            <w:fldChar w:fldCharType="end"/>
          </w:r>
        </w:sdtContent>
      </w:sdt>
      <w:r w:rsidRPr="00616AA7">
        <w:t>.</w:t>
      </w:r>
    </w:p>
    <w:p w14:paraId="472FFFCA" w14:textId="06BEAD60" w:rsidR="00BE0F78" w:rsidRPr="00616AA7" w:rsidRDefault="00BE0F78" w:rsidP="008C12D0">
      <w:pPr>
        <w:pStyle w:val="ListParagraph"/>
        <w:numPr>
          <w:ilvl w:val="0"/>
          <w:numId w:val="45"/>
        </w:numPr>
        <w:spacing w:after="0" w:line="360" w:lineRule="auto"/>
        <w:ind w:right="-576"/>
        <w:jc w:val="both"/>
      </w:pPr>
      <w:r w:rsidRPr="00616AA7">
        <w:t>Structured Flexibility – Core principles should remain standardised to ensure comparability, but adaptation should be encouraged to accommodate project scale, complexity, and sector-specific requirements</w:t>
      </w:r>
      <w:r w:rsidR="008C12D0" w:rsidRPr="00616AA7">
        <w:t xml:space="preserve"> </w:t>
      </w:r>
      <w:sdt>
        <w:sdtPr>
          <w:id w:val="41565820"/>
          <w:citation/>
        </w:sdtPr>
        <w:sdtContent>
          <w:r w:rsidR="008C12D0" w:rsidRPr="00616AA7">
            <w:fldChar w:fldCharType="begin"/>
          </w:r>
          <w:r w:rsidR="008C12D0" w:rsidRPr="00616AA7">
            <w:rPr>
              <w:lang w:val="en-US"/>
            </w:rPr>
            <w:instrText xml:space="preserve"> CITATION Dav23 \l 1033 </w:instrText>
          </w:r>
          <w:r w:rsidR="008C12D0" w:rsidRPr="00616AA7">
            <w:fldChar w:fldCharType="separate"/>
          </w:r>
          <w:r w:rsidR="008C12D0" w:rsidRPr="00616AA7">
            <w:rPr>
              <w:noProof/>
              <w:lang w:val="en-US"/>
            </w:rPr>
            <w:t>(Hilson, 2023)</w:t>
          </w:r>
          <w:r w:rsidR="008C12D0" w:rsidRPr="00616AA7">
            <w:fldChar w:fldCharType="end"/>
          </w:r>
        </w:sdtContent>
      </w:sdt>
      <w:r w:rsidR="008C12D0" w:rsidRPr="00616AA7">
        <w:t>.</w:t>
      </w:r>
    </w:p>
    <w:p w14:paraId="782035C9" w14:textId="77777777" w:rsidR="00BE0F78" w:rsidRPr="00616AA7" w:rsidRDefault="00BE0F78" w:rsidP="008C12D0">
      <w:pPr>
        <w:pStyle w:val="ListParagraph"/>
        <w:numPr>
          <w:ilvl w:val="0"/>
          <w:numId w:val="45"/>
        </w:numPr>
        <w:spacing w:after="0" w:line="360" w:lineRule="auto"/>
        <w:ind w:right="-576"/>
        <w:jc w:val="both"/>
      </w:pPr>
      <w:r w:rsidRPr="00616AA7">
        <w:t>Capacity Building – Training and capability development should be embedded as integral components of framework adoption, addressing the knowledge gaps and misclassifications identified in the survey.</w:t>
      </w:r>
    </w:p>
    <w:p w14:paraId="02C2AF18" w14:textId="77777777" w:rsidR="00BE0F78" w:rsidRDefault="00BE0F78" w:rsidP="00BE0F78">
      <w:pPr>
        <w:spacing w:after="0" w:line="360" w:lineRule="auto"/>
        <w:ind w:left="-576" w:right="-576"/>
        <w:jc w:val="both"/>
      </w:pPr>
    </w:p>
    <w:p w14:paraId="0D308F7D" w14:textId="68DBEEBA" w:rsidR="00BE0F78" w:rsidRDefault="004B658B" w:rsidP="00BE0F78">
      <w:pPr>
        <w:spacing w:after="0" w:line="360" w:lineRule="auto"/>
        <w:ind w:left="-576" w:right="-576"/>
        <w:jc w:val="both"/>
      </w:pPr>
      <w:r>
        <w:t xml:space="preserve">Overall, the findings </w:t>
      </w:r>
      <w:r w:rsidR="002F5B9C">
        <w:t xml:space="preserve">consistently support </w:t>
      </w:r>
      <w:r w:rsidR="002C5F33">
        <w:t xml:space="preserve">the </w:t>
      </w:r>
      <w:r w:rsidR="00BE0F78">
        <w:t>case for a customisable</w:t>
      </w:r>
      <w:r w:rsidR="006021C9">
        <w:t xml:space="preserve">, integrated, </w:t>
      </w:r>
      <w:r w:rsidR="00510896">
        <w:t>context</w:t>
      </w:r>
      <w:r w:rsidR="006021C9">
        <w:t>-sensitive</w:t>
      </w:r>
      <w:r w:rsidR="00BE0F78">
        <w:t xml:space="preserve"> framework is supported by both </w:t>
      </w:r>
      <w:r w:rsidR="002C5F33">
        <w:t xml:space="preserve">analytical </w:t>
      </w:r>
      <w:r w:rsidR="00EE4DD1">
        <w:t>depth</w:t>
      </w:r>
      <w:r w:rsidR="00BE0F78">
        <w:t xml:space="preserve"> and theoretical reasoning</w:t>
      </w:r>
      <w:r w:rsidR="00EE4DD1">
        <w:t xml:space="preserve">. It </w:t>
      </w:r>
      <w:r w:rsidR="001F33BE">
        <w:t xml:space="preserve">presents an opportunity to address </w:t>
      </w:r>
      <w:r w:rsidR="009F13B3">
        <w:t xml:space="preserve">current limitations by improving </w:t>
      </w:r>
      <w:r w:rsidR="00510896">
        <w:t>useability</w:t>
      </w:r>
      <w:r w:rsidR="00AC504D">
        <w:t>, align</w:t>
      </w:r>
      <w:r w:rsidR="00611222">
        <w:t>ing</w:t>
      </w:r>
      <w:r w:rsidR="00AC504D">
        <w:t xml:space="preserve"> with project management processes, enhanc</w:t>
      </w:r>
      <w:r w:rsidR="00611222">
        <w:t>ing</w:t>
      </w:r>
      <w:r w:rsidR="00AC504D">
        <w:t xml:space="preserve"> s</w:t>
      </w:r>
      <w:r w:rsidR="009D6D45">
        <w:t>takeholder engagement and collaboration</w:t>
      </w:r>
      <w:r w:rsidR="00611222">
        <w:t xml:space="preserve">, and strengthening </w:t>
      </w:r>
      <w:r w:rsidR="00510896">
        <w:t>accountability and communication</w:t>
      </w:r>
      <w:r w:rsidR="00BE0F78">
        <w:t>. Practitioners recognise the shortcomings of existing tools and overwhelmingly support the idea of a more adaptable system</w:t>
      </w:r>
      <w:r w:rsidR="005F1A7C">
        <w:t xml:space="preserve">. This is </w:t>
      </w:r>
      <w:r w:rsidR="00EA5AC8">
        <w:t>echoed in t</w:t>
      </w:r>
      <w:r w:rsidR="00BE0F78">
        <w:t>he literature</w:t>
      </w:r>
      <w:r w:rsidR="00EA5AC8">
        <w:t>, which</w:t>
      </w:r>
      <w:r w:rsidR="00BE0F78">
        <w:t xml:space="preserve"> reinforces that flexibility, when balanced with structure, is essential for addressing the </w:t>
      </w:r>
      <w:r w:rsidR="00BE0F78">
        <w:lastRenderedPageBreak/>
        <w:t xml:space="preserve">complexities of contemporary projects. With appropriate design </w:t>
      </w:r>
      <w:r w:rsidR="006B5773">
        <w:t xml:space="preserve">alongside </w:t>
      </w:r>
      <w:r w:rsidR="00085812">
        <w:t>addressing cultural and capability</w:t>
      </w:r>
      <w:r w:rsidR="00401BD3">
        <w:t>-</w:t>
      </w:r>
      <w:r w:rsidR="00085812">
        <w:t xml:space="preserve">related challenges, </w:t>
      </w:r>
      <w:r w:rsidR="00BE0F78">
        <w:t xml:space="preserve">a customisable framework could bridge the gap between theory and practice, offering a more effective, integrated, and context-sensitive approach to risk </w:t>
      </w:r>
      <w:r w:rsidR="00467228">
        <w:t>management that enables project success</w:t>
      </w:r>
      <w:r w:rsidR="00BE0F78">
        <w:t>.</w:t>
      </w:r>
    </w:p>
    <w:p w14:paraId="33BD9307" w14:textId="77777777" w:rsidR="008F1147" w:rsidRDefault="008F1147" w:rsidP="00BE0F78">
      <w:pPr>
        <w:spacing w:after="0" w:line="360" w:lineRule="auto"/>
        <w:ind w:left="-576" w:right="-576"/>
        <w:jc w:val="both"/>
      </w:pPr>
    </w:p>
    <w:p w14:paraId="670C0F1F" w14:textId="4E2DB5D3" w:rsidR="008C12D0" w:rsidRPr="008C12D0" w:rsidRDefault="00C67CBE" w:rsidP="007D06B9">
      <w:pPr>
        <w:spacing w:after="0" w:line="360" w:lineRule="auto"/>
        <w:ind w:left="-576" w:right="-576"/>
        <w:jc w:val="both"/>
        <w:rPr>
          <w:color w:val="EE0000"/>
        </w:rPr>
      </w:pPr>
      <w:r>
        <w:rPr>
          <w:color w:val="EE0000"/>
        </w:rPr>
        <w:t>12</w:t>
      </w:r>
      <w:r w:rsidR="00CC7478">
        <w:rPr>
          <w:color w:val="EE0000"/>
        </w:rPr>
        <w:t>64</w:t>
      </w:r>
      <w:r w:rsidR="008C12D0" w:rsidRPr="008C12D0">
        <w:rPr>
          <w:color w:val="EE0000"/>
        </w:rPr>
        <w:t xml:space="preserve"> (</w:t>
      </w:r>
      <w:r>
        <w:rPr>
          <w:color w:val="EE0000"/>
        </w:rPr>
        <w:t>1</w:t>
      </w:r>
      <w:r w:rsidR="00CC7478">
        <w:rPr>
          <w:color w:val="EE0000"/>
        </w:rPr>
        <w:t>3537</w:t>
      </w:r>
      <w:r w:rsidR="008C12D0" w:rsidRPr="008C12D0">
        <w:rPr>
          <w:color w:val="EE0000"/>
        </w:rPr>
        <w:t>)</w:t>
      </w:r>
    </w:p>
    <w:p w14:paraId="26DF971F" w14:textId="77777777" w:rsidR="000B3455" w:rsidRDefault="000B3455">
      <w:r>
        <w:br w:type="page"/>
      </w:r>
    </w:p>
    <w:p w14:paraId="15B1401D" w14:textId="20ECBCBA" w:rsidR="000B3455" w:rsidRDefault="000B3455" w:rsidP="000B3455">
      <w:pPr>
        <w:pStyle w:val="Heading2"/>
        <w:ind w:left="-576" w:right="-576"/>
        <w:rPr>
          <w:sz w:val="22"/>
          <w:szCs w:val="22"/>
          <w:u w:val="single"/>
        </w:rPr>
      </w:pPr>
      <w:bookmarkStart w:id="80" w:name="_Toc219216488"/>
      <w:r w:rsidRPr="004236A8">
        <w:rPr>
          <w:sz w:val="22"/>
          <w:szCs w:val="22"/>
        </w:rPr>
        <w:lastRenderedPageBreak/>
        <w:t xml:space="preserve">9.6. </w:t>
      </w:r>
      <w:r w:rsidR="00FE65D2" w:rsidRPr="004236A8">
        <w:rPr>
          <w:sz w:val="22"/>
          <w:szCs w:val="22"/>
          <w:u w:val="single"/>
        </w:rPr>
        <w:t>Summary</w:t>
      </w:r>
      <w:bookmarkEnd w:id="80"/>
    </w:p>
    <w:p w14:paraId="4C7A7B5D" w14:textId="77777777" w:rsidR="004236A8" w:rsidRPr="004236A8" w:rsidRDefault="004236A8" w:rsidP="004236A8"/>
    <w:p w14:paraId="0A0C94BB" w14:textId="15AB70CE" w:rsidR="00C80CEA" w:rsidRPr="004236A8" w:rsidRDefault="00C80CEA" w:rsidP="000B3455">
      <w:pPr>
        <w:spacing w:after="0" w:line="360" w:lineRule="auto"/>
        <w:ind w:left="-576" w:right="-576"/>
        <w:jc w:val="both"/>
      </w:pPr>
      <w:r w:rsidRPr="004236A8">
        <w:t xml:space="preserve">Several common themes emerged from the </w:t>
      </w:r>
      <w:r w:rsidR="00342A5D">
        <w:t>findings of the study</w:t>
      </w:r>
      <w:r w:rsidRPr="004236A8">
        <w:t xml:space="preserve"> relating </w:t>
      </w:r>
      <w:r w:rsidR="003A6C40">
        <w:t>to the</w:t>
      </w:r>
      <w:r w:rsidRPr="004236A8">
        <w:t xml:space="preserve"> </w:t>
      </w:r>
      <w:r w:rsidR="00E05D58" w:rsidRPr="004236A8">
        <w:t xml:space="preserve">use, perceived effectiveness and limitations of risk assessment tools used in project management. </w:t>
      </w:r>
      <w:r w:rsidR="003E43EC" w:rsidRPr="004236A8">
        <w:t xml:space="preserve">Although widely adopted, application of the tools was </w:t>
      </w:r>
      <w:r w:rsidR="00342A5D">
        <w:t>inconsistent</w:t>
      </w:r>
      <w:r w:rsidR="00090F40" w:rsidRPr="004236A8">
        <w:t xml:space="preserve">, practice being </w:t>
      </w:r>
      <w:r w:rsidR="00A92DA4">
        <w:t>shaped</w:t>
      </w:r>
      <w:r w:rsidR="00090F40" w:rsidRPr="004236A8">
        <w:t xml:space="preserve"> more by organisation</w:t>
      </w:r>
      <w:r w:rsidR="00231B72">
        <w:t>al habits</w:t>
      </w:r>
      <w:r w:rsidR="00090F40" w:rsidRPr="004236A8">
        <w:t xml:space="preserve"> and user familiarity rather than </w:t>
      </w:r>
      <w:r w:rsidR="0078598F" w:rsidRPr="004236A8">
        <w:t xml:space="preserve">best-practice </w:t>
      </w:r>
      <w:r w:rsidR="00DE499E" w:rsidRPr="004236A8">
        <w:t>framework</w:t>
      </w:r>
      <w:r w:rsidR="00941599">
        <w:t>s</w:t>
      </w:r>
      <w:r w:rsidR="0078598F" w:rsidRPr="004236A8">
        <w:t xml:space="preserve">. </w:t>
      </w:r>
      <w:r w:rsidR="00A61E4B" w:rsidRPr="004236A8">
        <w:t xml:space="preserve">Traditional, </w:t>
      </w:r>
      <w:r w:rsidR="002B24BA">
        <w:t>simpler</w:t>
      </w:r>
      <w:r w:rsidR="00A61E4B" w:rsidRPr="004236A8">
        <w:t xml:space="preserve"> tools such as risk registers and FMEA dominated practice</w:t>
      </w:r>
      <w:r w:rsidR="009E0541">
        <w:t xml:space="preserve">, largely due to their simplicity and </w:t>
      </w:r>
      <w:r w:rsidR="002B24BA">
        <w:t>accessibility. However this reliance was</w:t>
      </w:r>
      <w:r w:rsidR="00A61E4B" w:rsidRPr="004236A8">
        <w:t xml:space="preserve"> at the expense </w:t>
      </w:r>
      <w:r w:rsidR="00B278BD" w:rsidRPr="004236A8">
        <w:t xml:space="preserve">of more </w:t>
      </w:r>
      <w:r w:rsidR="00DE499E" w:rsidRPr="004236A8">
        <w:t>analytical</w:t>
      </w:r>
      <w:r w:rsidR="00B278BD" w:rsidRPr="004236A8">
        <w:t xml:space="preserve"> methods,</w:t>
      </w:r>
      <w:r w:rsidR="00AB5166">
        <w:t xml:space="preserve"> which remain underused due to perceived complexity and associated resource </w:t>
      </w:r>
      <w:r w:rsidR="00335FA7">
        <w:t>requirements,</w:t>
      </w:r>
      <w:r w:rsidR="00B278BD" w:rsidRPr="004236A8">
        <w:t xml:space="preserve"> even when projects would benefit from </w:t>
      </w:r>
      <w:r w:rsidR="00DE499E" w:rsidRPr="004236A8">
        <w:t>a</w:t>
      </w:r>
      <w:r w:rsidR="00B278BD" w:rsidRPr="004236A8">
        <w:t xml:space="preserve"> more advanced </w:t>
      </w:r>
      <w:r w:rsidR="00DE499E" w:rsidRPr="004236A8">
        <w:t>approach</w:t>
      </w:r>
      <w:r w:rsidR="00247F53">
        <w:t xml:space="preserve"> to improve insight</w:t>
      </w:r>
      <w:r w:rsidR="00DE499E" w:rsidRPr="004236A8">
        <w:t>.</w:t>
      </w:r>
    </w:p>
    <w:p w14:paraId="600DFFB8" w14:textId="77777777" w:rsidR="00DE499E" w:rsidRPr="004236A8" w:rsidRDefault="00DE499E" w:rsidP="000B3455">
      <w:pPr>
        <w:spacing w:after="0" w:line="360" w:lineRule="auto"/>
        <w:ind w:left="-576" w:right="-576"/>
        <w:jc w:val="both"/>
      </w:pPr>
    </w:p>
    <w:p w14:paraId="7A1B9E5F" w14:textId="53EA154D" w:rsidR="00DE499E" w:rsidRPr="004236A8" w:rsidRDefault="007D046C" w:rsidP="000B3455">
      <w:pPr>
        <w:spacing w:after="0" w:line="360" w:lineRule="auto"/>
        <w:ind w:left="-576" w:right="-576"/>
        <w:jc w:val="both"/>
      </w:pPr>
      <w:r w:rsidRPr="004236A8">
        <w:t>Perce</w:t>
      </w:r>
      <w:r w:rsidR="00335FA7">
        <w:t>ption of</w:t>
      </w:r>
      <w:r w:rsidR="00B94D0D" w:rsidRPr="004236A8">
        <w:t xml:space="preserve"> </w:t>
      </w:r>
      <w:r w:rsidR="00335FA7">
        <w:t xml:space="preserve">tool </w:t>
      </w:r>
      <w:r w:rsidR="00B94D0D" w:rsidRPr="004236A8">
        <w:t>effectiveness was variable, with limited support for them being highly effective</w:t>
      </w:r>
      <w:r w:rsidR="001738E8" w:rsidRPr="004236A8">
        <w:t xml:space="preserve">. </w:t>
      </w:r>
      <w:r w:rsidR="003D32E1">
        <w:t>Established e</w:t>
      </w:r>
      <w:r w:rsidR="001738E8" w:rsidRPr="004236A8">
        <w:t>vidence points to organisational, cultural and capability-</w:t>
      </w:r>
      <w:r w:rsidR="00A52166" w:rsidRPr="004236A8">
        <w:t xml:space="preserve">related </w:t>
      </w:r>
      <w:r w:rsidR="008B7372">
        <w:t>issues playing a significant role in the value provided by risk management practices</w:t>
      </w:r>
      <w:r w:rsidR="00C04A9E" w:rsidRPr="004236A8">
        <w:t>,</w:t>
      </w:r>
      <w:r w:rsidR="0034538B">
        <w:t xml:space="preserve"> and this was</w:t>
      </w:r>
      <w:r w:rsidR="00C04A9E" w:rsidRPr="004236A8">
        <w:t xml:space="preserve"> </w:t>
      </w:r>
      <w:r w:rsidR="00AB13B8">
        <w:t xml:space="preserve">supported by the survey where </w:t>
      </w:r>
      <w:r w:rsidR="00C04A9E" w:rsidRPr="004236A8">
        <w:t>time pressures, stakeholder engagement</w:t>
      </w:r>
      <w:r w:rsidR="005B7F50" w:rsidRPr="004236A8">
        <w:t xml:space="preserve"> and </w:t>
      </w:r>
      <w:r w:rsidR="00C04A9E" w:rsidRPr="004236A8">
        <w:t xml:space="preserve">training </w:t>
      </w:r>
      <w:r w:rsidR="00AB13B8">
        <w:t>were</w:t>
      </w:r>
      <w:r w:rsidR="005B7F50" w:rsidRPr="004236A8">
        <w:t xml:space="preserve"> frequently cited</w:t>
      </w:r>
      <w:r w:rsidR="0034538B">
        <w:t xml:space="preserve"> barriers</w:t>
      </w:r>
      <w:r w:rsidR="005B7F50" w:rsidRPr="004236A8">
        <w:t xml:space="preserve">. </w:t>
      </w:r>
      <w:r w:rsidR="0034538B">
        <w:t>Without</w:t>
      </w:r>
      <w:r w:rsidR="00AB1530">
        <w:t xml:space="preserve"> these, the </w:t>
      </w:r>
      <w:r w:rsidR="00027015" w:rsidRPr="004236A8">
        <w:t xml:space="preserve">iteration and </w:t>
      </w:r>
      <w:r w:rsidR="00312228" w:rsidRPr="004236A8">
        <w:t>integration into decision-making</w:t>
      </w:r>
      <w:r w:rsidR="00AB1530">
        <w:t xml:space="preserve"> is limited</w:t>
      </w:r>
      <w:r w:rsidR="006D1D69">
        <w:t xml:space="preserve">, </w:t>
      </w:r>
      <w:r w:rsidR="00027015" w:rsidRPr="004236A8">
        <w:t xml:space="preserve">and </w:t>
      </w:r>
      <w:r w:rsidR="00A52166" w:rsidRPr="004236A8">
        <w:t>subsequently</w:t>
      </w:r>
      <w:r w:rsidR="00027015" w:rsidRPr="004236A8">
        <w:t xml:space="preserve"> the effectiveness of managing risk and </w:t>
      </w:r>
      <w:r w:rsidR="00A52166" w:rsidRPr="004236A8">
        <w:t xml:space="preserve">impacting outcomes. </w:t>
      </w:r>
      <w:r w:rsidR="006D1D69">
        <w:t>C</w:t>
      </w:r>
      <w:r w:rsidR="00CA6533" w:rsidRPr="004236A8">
        <w:t>onfusion around the p</w:t>
      </w:r>
      <w:r w:rsidR="00130AD8" w:rsidRPr="004236A8">
        <w:t xml:space="preserve">urpose or </w:t>
      </w:r>
      <w:r w:rsidRPr="004236A8">
        <w:t>categorisation</w:t>
      </w:r>
      <w:r w:rsidR="00130AD8" w:rsidRPr="004236A8">
        <w:t xml:space="preserve"> of current common tools</w:t>
      </w:r>
      <w:r w:rsidR="006D1D69">
        <w:t xml:space="preserve"> further undermine </w:t>
      </w:r>
      <w:r w:rsidR="00A15265">
        <w:t>perceived effectiveness</w:t>
      </w:r>
      <w:r w:rsidR="00130AD8" w:rsidRPr="004236A8">
        <w:t xml:space="preserve">. </w:t>
      </w:r>
      <w:r w:rsidRPr="004236A8">
        <w:t>Inappropriate</w:t>
      </w:r>
      <w:r w:rsidR="00130AD8" w:rsidRPr="004236A8">
        <w:t xml:space="preserve"> use </w:t>
      </w:r>
      <w:r w:rsidRPr="004236A8">
        <w:t xml:space="preserve">is </w:t>
      </w:r>
      <w:r w:rsidR="00CF4DD3" w:rsidRPr="004236A8">
        <w:t>likely to lead to weak assessment and reduced rigour over risks</w:t>
      </w:r>
      <w:r w:rsidR="004F21FE" w:rsidRPr="004236A8">
        <w:t>, resulting in a</w:t>
      </w:r>
      <w:r w:rsidR="00A15265">
        <w:t>n</w:t>
      </w:r>
      <w:r w:rsidR="004F21FE" w:rsidRPr="004236A8">
        <w:t xml:space="preserve"> assumption that there is a failing of the risk tool </w:t>
      </w:r>
      <w:r w:rsidRPr="004236A8">
        <w:t xml:space="preserve">itself, rather than a lack of methodological understanding. </w:t>
      </w:r>
    </w:p>
    <w:p w14:paraId="5D8B8D8D" w14:textId="77777777" w:rsidR="007D046C" w:rsidRPr="004236A8" w:rsidRDefault="007D046C" w:rsidP="000B3455">
      <w:pPr>
        <w:spacing w:after="0" w:line="360" w:lineRule="auto"/>
        <w:ind w:left="-576" w:right="-576"/>
        <w:jc w:val="both"/>
      </w:pPr>
    </w:p>
    <w:p w14:paraId="306503B1" w14:textId="5EDFB33B" w:rsidR="007D046C" w:rsidRDefault="00DC674B" w:rsidP="000B3455">
      <w:pPr>
        <w:spacing w:after="0" w:line="360" w:lineRule="auto"/>
        <w:ind w:left="-576" w:right="-576"/>
        <w:jc w:val="both"/>
      </w:pPr>
      <w:r w:rsidRPr="004236A8">
        <w:t xml:space="preserve">The impact of these </w:t>
      </w:r>
      <w:r w:rsidR="00D961AA">
        <w:t>shortcomings</w:t>
      </w:r>
      <w:r w:rsidRPr="004236A8">
        <w:t xml:space="preserve"> is reflected in </w:t>
      </w:r>
      <w:r w:rsidR="00B94DA5" w:rsidRPr="004236A8">
        <w:t>respondents</w:t>
      </w:r>
      <w:r w:rsidR="00D961AA">
        <w:t>’</w:t>
      </w:r>
      <w:r w:rsidRPr="004236A8">
        <w:t xml:space="preserve"> </w:t>
      </w:r>
      <w:r w:rsidR="00B94DA5" w:rsidRPr="004236A8">
        <w:t>experience of project outcome</w:t>
      </w:r>
      <w:r w:rsidR="00AA596A" w:rsidRPr="004236A8">
        <w:t>s</w:t>
      </w:r>
      <w:r w:rsidR="00EE60C6">
        <w:t>. Cited d</w:t>
      </w:r>
      <w:r w:rsidR="00AA596A" w:rsidRPr="004236A8">
        <w:t>eviations</w:t>
      </w:r>
      <w:r w:rsidR="00B94DA5" w:rsidRPr="004236A8">
        <w:t xml:space="preserve"> </w:t>
      </w:r>
      <w:r w:rsidR="00E61A73" w:rsidRPr="004236A8">
        <w:t>from</w:t>
      </w:r>
      <w:r w:rsidR="00B94DA5" w:rsidRPr="004236A8">
        <w:t xml:space="preserve"> </w:t>
      </w:r>
      <w:r w:rsidR="00E61A73" w:rsidRPr="004236A8">
        <w:t>budget, time and scope constraints</w:t>
      </w:r>
      <w:r w:rsidR="00EE60C6">
        <w:t xml:space="preserve"> are issues</w:t>
      </w:r>
      <w:r w:rsidR="00AA596A" w:rsidRPr="004236A8">
        <w:t xml:space="preserve"> that effective risk </w:t>
      </w:r>
      <w:r w:rsidR="00C643B4" w:rsidRPr="004236A8">
        <w:t>management should mitigate. As a result of this</w:t>
      </w:r>
      <w:r w:rsidR="008E5904" w:rsidRPr="004236A8">
        <w:t>, tools were rarely considered consistently effective</w:t>
      </w:r>
      <w:r w:rsidR="00073F75" w:rsidRPr="004236A8">
        <w:t xml:space="preserve">, </w:t>
      </w:r>
      <w:r w:rsidR="00402814">
        <w:t xml:space="preserve">reinforcing </w:t>
      </w:r>
      <w:r w:rsidR="00073F75" w:rsidRPr="004236A8">
        <w:t>the fact that without the right environment</w:t>
      </w:r>
      <w:r w:rsidR="00365D3F" w:rsidRPr="004236A8">
        <w:t xml:space="preserve"> where risk management is </w:t>
      </w:r>
      <w:r w:rsidR="0015415A" w:rsidRPr="004236A8">
        <w:t xml:space="preserve">iterative, </w:t>
      </w:r>
      <w:r w:rsidR="00365D3F" w:rsidRPr="004236A8">
        <w:t>effective</w:t>
      </w:r>
      <w:r w:rsidR="0015415A" w:rsidRPr="004236A8">
        <w:t>ly</w:t>
      </w:r>
      <w:r w:rsidR="00365D3F" w:rsidRPr="004236A8">
        <w:t xml:space="preserve"> integrated into project governance</w:t>
      </w:r>
      <w:r w:rsidR="0015415A" w:rsidRPr="004236A8">
        <w:t xml:space="preserve"> and </w:t>
      </w:r>
      <w:r w:rsidR="00934BAD" w:rsidRPr="004236A8">
        <w:t>supported with capability</w:t>
      </w:r>
      <w:r w:rsidR="00BD2402" w:rsidRPr="004236A8">
        <w:t xml:space="preserve">, no tool </w:t>
      </w:r>
      <w:r w:rsidR="00C46E93">
        <w:t xml:space="preserve">alone </w:t>
      </w:r>
      <w:r w:rsidR="00BD2402" w:rsidRPr="004236A8">
        <w:t xml:space="preserve">is likely to </w:t>
      </w:r>
      <w:r w:rsidR="00C46E93">
        <w:t>provide</w:t>
      </w:r>
      <w:r w:rsidR="00BD2402" w:rsidRPr="004236A8">
        <w:t xml:space="preserve"> optimal outcomes.</w:t>
      </w:r>
    </w:p>
    <w:p w14:paraId="68E4F5C5" w14:textId="77777777" w:rsidR="00097B16" w:rsidRPr="004236A8" w:rsidRDefault="00097B16" w:rsidP="000B3455">
      <w:pPr>
        <w:spacing w:after="0" w:line="360" w:lineRule="auto"/>
        <w:ind w:left="-576" w:right="-576"/>
        <w:jc w:val="both"/>
      </w:pPr>
    </w:p>
    <w:p w14:paraId="32473F3F" w14:textId="44E7FE89" w:rsidR="00097B16" w:rsidRDefault="00097B16" w:rsidP="00097B16">
      <w:pPr>
        <w:spacing w:after="0" w:line="360" w:lineRule="auto"/>
        <w:ind w:left="-576" w:right="-576"/>
        <w:jc w:val="both"/>
      </w:pPr>
      <w:r w:rsidRPr="00583EEB">
        <w:t>The evidence that risk management shortcomings contribute directly to project failures has important implications. For practice, it underscores the necessity of moving beyond adoption metrics to focus on effectiveness, integration, and adaptability. Risk tools must not only be present but must also influence decision-making in ways that reduce uncertainty and strengthen resilience. This requires investment in training, stakeholder engagement, and leadership support, as well as a cultural shift towards treating risk management as a strategic function. The findings highlight the need to explore frameworks that can bridge the gap between theory and practice. Existing standards such as PMBOK and ISO 31000 provide valuable principles, but their translation into practice remains inconsistent</w:t>
      </w:r>
      <w:r w:rsidR="00B64148">
        <w:t>. P</w:t>
      </w:r>
      <w:r w:rsidRPr="00583EEB">
        <w:t xml:space="preserve">ractitioners desire frameworks that are not only theoretically robust but also flexible enough to adapt to different contexts, scales, and industries. This sets the stage for considering whether a customisable framework could provide </w:t>
      </w:r>
      <w:r w:rsidRPr="00583EEB">
        <w:lastRenderedPageBreak/>
        <w:t xml:space="preserve">the </w:t>
      </w:r>
      <w:r w:rsidR="0038578E">
        <w:t xml:space="preserve">platform </w:t>
      </w:r>
      <w:r w:rsidR="002C34F6">
        <w:t>for projects to proactively address risk management</w:t>
      </w:r>
      <w:r w:rsidR="00B70AD6">
        <w:t xml:space="preserve">, supporting greater project resilience and </w:t>
      </w:r>
      <w:r w:rsidR="004E0E82">
        <w:t>consistent delivery of outcomes</w:t>
      </w:r>
      <w:r w:rsidRPr="00583EEB">
        <w:t>.</w:t>
      </w:r>
    </w:p>
    <w:p w14:paraId="0FB0F2B9" w14:textId="77777777" w:rsidR="00BD2402" w:rsidRPr="004236A8" w:rsidRDefault="00BD2402" w:rsidP="000B3455">
      <w:pPr>
        <w:spacing w:after="0" w:line="360" w:lineRule="auto"/>
        <w:ind w:left="-576" w:right="-576"/>
        <w:jc w:val="both"/>
      </w:pPr>
    </w:p>
    <w:p w14:paraId="7D4DB408" w14:textId="25961AC4" w:rsidR="00BD2402" w:rsidRDefault="00BD2402" w:rsidP="000B3455">
      <w:pPr>
        <w:spacing w:after="0" w:line="360" w:lineRule="auto"/>
        <w:ind w:left="-576" w:right="-576"/>
        <w:jc w:val="both"/>
      </w:pPr>
      <w:r w:rsidRPr="004236A8">
        <w:t xml:space="preserve">There is </w:t>
      </w:r>
      <w:r w:rsidR="00583EEB">
        <w:t xml:space="preserve">evidently </w:t>
      </w:r>
      <w:r w:rsidR="007778A2">
        <w:t>strong</w:t>
      </w:r>
      <w:r w:rsidR="006B53DD" w:rsidRPr="004236A8">
        <w:t xml:space="preserve"> support for </w:t>
      </w:r>
      <w:r w:rsidR="00583EEB">
        <w:t xml:space="preserve">such </w:t>
      </w:r>
      <w:r w:rsidR="006B53DD" w:rsidRPr="004236A8">
        <w:t>a customisable context-sensitive risk management framework</w:t>
      </w:r>
      <w:r w:rsidR="00F1003D" w:rsidRPr="004236A8">
        <w:t xml:space="preserve"> that supports </w:t>
      </w:r>
      <w:r w:rsidR="002D5DF0" w:rsidRPr="004236A8">
        <w:t>useability</w:t>
      </w:r>
      <w:r w:rsidR="00F1003D" w:rsidRPr="004236A8">
        <w:t>, clear guidance, sector</w:t>
      </w:r>
      <w:r w:rsidR="002D5DF0" w:rsidRPr="004236A8">
        <w:t>-</w:t>
      </w:r>
      <w:r w:rsidR="00F1003D" w:rsidRPr="004236A8">
        <w:t xml:space="preserve">specific relevance and </w:t>
      </w:r>
      <w:r w:rsidR="002D5DF0" w:rsidRPr="004236A8">
        <w:t xml:space="preserve">integration into current project management systems. </w:t>
      </w:r>
      <w:r w:rsidR="00DA5EFD" w:rsidRPr="004236A8">
        <w:t xml:space="preserve">There is a need to address the current risk management </w:t>
      </w:r>
      <w:r w:rsidR="004236A8" w:rsidRPr="004236A8">
        <w:t>landscape</w:t>
      </w:r>
      <w:r w:rsidR="00DA5EFD" w:rsidRPr="004236A8">
        <w:t xml:space="preserve"> to one </w:t>
      </w:r>
      <w:r w:rsidR="007E4ABD" w:rsidRPr="004236A8">
        <w:t xml:space="preserve">which incorporates a </w:t>
      </w:r>
      <w:r w:rsidR="004236A8" w:rsidRPr="004236A8">
        <w:t>flexible</w:t>
      </w:r>
      <w:r w:rsidR="007E4ABD" w:rsidRPr="004236A8">
        <w:t xml:space="preserve"> approach that balances </w:t>
      </w:r>
      <w:r w:rsidR="004236A8" w:rsidRPr="004236A8">
        <w:t>methodological</w:t>
      </w:r>
      <w:r w:rsidR="007E4ABD" w:rsidRPr="004236A8">
        <w:t xml:space="preserve"> rigour</w:t>
      </w:r>
      <w:r w:rsidR="00716127" w:rsidRPr="004236A8">
        <w:t xml:space="preserve">, </w:t>
      </w:r>
      <w:r w:rsidR="004236A8" w:rsidRPr="004236A8">
        <w:t>practitioner</w:t>
      </w:r>
      <w:r w:rsidR="00716127" w:rsidRPr="004236A8">
        <w:t xml:space="preserve"> understanding</w:t>
      </w:r>
      <w:r w:rsidR="004B0B3E">
        <w:t xml:space="preserve"> and</w:t>
      </w:r>
      <w:r w:rsidR="00716127" w:rsidRPr="004236A8">
        <w:t xml:space="preserve"> </w:t>
      </w:r>
      <w:r w:rsidR="004236A8" w:rsidRPr="004236A8">
        <w:t>stakeholder</w:t>
      </w:r>
      <w:r w:rsidR="00716127" w:rsidRPr="004236A8">
        <w:t xml:space="preserve"> </w:t>
      </w:r>
      <w:r w:rsidR="004236A8" w:rsidRPr="004236A8">
        <w:t xml:space="preserve">engagement, supporting effective, continuous, collaborative risk management across the whole project lifecycle. </w:t>
      </w:r>
    </w:p>
    <w:p w14:paraId="7F1242B1" w14:textId="77777777" w:rsidR="000B3455" w:rsidRDefault="000B3455" w:rsidP="000B3455">
      <w:pPr>
        <w:spacing w:after="0" w:line="360" w:lineRule="auto"/>
        <w:ind w:left="-576" w:right="-576"/>
        <w:jc w:val="both"/>
      </w:pPr>
    </w:p>
    <w:p w14:paraId="64E62700" w14:textId="28121B20" w:rsidR="00817720" w:rsidRPr="00817720" w:rsidRDefault="00CC7478" w:rsidP="000B3455">
      <w:pPr>
        <w:spacing w:after="0" w:line="360" w:lineRule="auto"/>
        <w:ind w:left="-576" w:right="-576"/>
        <w:jc w:val="both"/>
        <w:rPr>
          <w:color w:val="EE0000"/>
        </w:rPr>
      </w:pPr>
      <w:r>
        <w:rPr>
          <w:color w:val="EE0000"/>
        </w:rPr>
        <w:t>52</w:t>
      </w:r>
      <w:r w:rsidR="00C67CBE">
        <w:rPr>
          <w:color w:val="EE0000"/>
        </w:rPr>
        <w:t>2</w:t>
      </w:r>
      <w:r w:rsidR="00817720" w:rsidRPr="00817720">
        <w:rPr>
          <w:color w:val="EE0000"/>
        </w:rPr>
        <w:t xml:space="preserve"> (1</w:t>
      </w:r>
      <w:r w:rsidR="00C67CBE">
        <w:rPr>
          <w:color w:val="EE0000"/>
        </w:rPr>
        <w:t>4</w:t>
      </w:r>
      <w:r>
        <w:rPr>
          <w:color w:val="EE0000"/>
        </w:rPr>
        <w:t>059</w:t>
      </w:r>
      <w:r w:rsidR="00C67CBE">
        <w:rPr>
          <w:color w:val="EE0000"/>
        </w:rPr>
        <w:t>)</w:t>
      </w:r>
    </w:p>
    <w:p w14:paraId="185BF172" w14:textId="00DE7533" w:rsidR="000B3455" w:rsidRDefault="000B3455">
      <w:r>
        <w:br w:type="page"/>
      </w:r>
    </w:p>
    <w:p w14:paraId="535DCB7F" w14:textId="65B1A18A" w:rsidR="000B3455" w:rsidRDefault="000B3455" w:rsidP="000B3455">
      <w:pPr>
        <w:pStyle w:val="Heading2"/>
        <w:ind w:left="-576" w:right="-576"/>
      </w:pPr>
      <w:bookmarkStart w:id="81" w:name="_Toc219216489"/>
      <w:r w:rsidRPr="000B3455">
        <w:rPr>
          <w:sz w:val="22"/>
          <w:szCs w:val="22"/>
        </w:rPr>
        <w:lastRenderedPageBreak/>
        <w:t xml:space="preserve">9.7. </w:t>
      </w:r>
      <w:r w:rsidR="00A42D2B">
        <w:rPr>
          <w:sz w:val="22"/>
          <w:szCs w:val="22"/>
          <w:u w:val="single"/>
        </w:rPr>
        <w:t>Conclusion and Limitations</w:t>
      </w:r>
      <w:bookmarkEnd w:id="81"/>
    </w:p>
    <w:p w14:paraId="592E7900" w14:textId="77777777" w:rsidR="000B3455" w:rsidRDefault="000B3455" w:rsidP="000B3455">
      <w:pPr>
        <w:spacing w:after="0" w:line="360" w:lineRule="auto"/>
        <w:ind w:left="-576" w:right="-576"/>
        <w:jc w:val="both"/>
      </w:pPr>
    </w:p>
    <w:p w14:paraId="735A628F" w14:textId="30EE4AAE" w:rsidR="004C71FC" w:rsidRDefault="004C71FC" w:rsidP="004C71FC">
      <w:pPr>
        <w:spacing w:after="0" w:line="360" w:lineRule="auto"/>
        <w:ind w:left="-576" w:right="-576"/>
        <w:jc w:val="both"/>
      </w:pPr>
      <w:r>
        <w:t xml:space="preserve">The </w:t>
      </w:r>
      <w:r w:rsidR="004F43DD">
        <w:t xml:space="preserve">study offers important insights </w:t>
      </w:r>
      <w:r>
        <w:t xml:space="preserve">how risk assessment tools are used in </w:t>
      </w:r>
      <w:r w:rsidR="00585B7B">
        <w:t xml:space="preserve">practice in </w:t>
      </w:r>
      <w:r>
        <w:t xml:space="preserve">project management, their perceived effectiveness, and the </w:t>
      </w:r>
      <w:r w:rsidR="00585B7B">
        <w:t xml:space="preserve">growing </w:t>
      </w:r>
      <w:r>
        <w:t xml:space="preserve">demand for a more customisable framework. While existing </w:t>
      </w:r>
      <w:r w:rsidR="00F82C95">
        <w:t>literature has</w:t>
      </w:r>
      <w:r>
        <w:t xml:space="preserve"> long emphasised the importance of risk management</w:t>
      </w:r>
      <w:sdt>
        <w:sdtPr>
          <w:id w:val="356083683"/>
          <w:citation/>
        </w:sdtPr>
        <w:sdtContent>
          <w:r w:rsidR="0050041F">
            <w:fldChar w:fldCharType="begin"/>
          </w:r>
          <w:r w:rsidR="0050041F">
            <w:instrText xml:space="preserve"> CITATION Ave16 \l 2057 </w:instrText>
          </w:r>
          <w:r w:rsidR="0050041F">
            <w:fldChar w:fldCharType="separate"/>
          </w:r>
          <w:r w:rsidR="0050041F">
            <w:rPr>
              <w:noProof/>
            </w:rPr>
            <w:t xml:space="preserve"> </w:t>
          </w:r>
          <w:r w:rsidR="0050041F" w:rsidRPr="0050041F">
            <w:rPr>
              <w:noProof/>
            </w:rPr>
            <w:t>(Aven, 2016)</w:t>
          </w:r>
          <w:r w:rsidR="0050041F">
            <w:fldChar w:fldCharType="end"/>
          </w:r>
        </w:sdtContent>
      </w:sdt>
      <w:sdt>
        <w:sdtPr>
          <w:id w:val="531999629"/>
          <w:citation/>
        </w:sdtPr>
        <w:sdtContent>
          <w:r w:rsidR="0050041F">
            <w:fldChar w:fldCharType="begin"/>
          </w:r>
          <w:r w:rsidR="0050041F">
            <w:instrText xml:space="preserve"> CITATION DHi22 \l 2057 </w:instrText>
          </w:r>
          <w:r w:rsidR="0050041F">
            <w:fldChar w:fldCharType="separate"/>
          </w:r>
          <w:r w:rsidR="0050041F">
            <w:rPr>
              <w:noProof/>
            </w:rPr>
            <w:t xml:space="preserve"> </w:t>
          </w:r>
          <w:r w:rsidR="0050041F" w:rsidRPr="0050041F">
            <w:rPr>
              <w:noProof/>
            </w:rPr>
            <w:t>(Hilson, 2022)</w:t>
          </w:r>
          <w:r w:rsidR="0050041F">
            <w:fldChar w:fldCharType="end"/>
          </w:r>
        </w:sdtContent>
      </w:sdt>
      <w:sdt>
        <w:sdtPr>
          <w:id w:val="-1093164323"/>
          <w:citation/>
        </w:sdtPr>
        <w:sdtContent>
          <w:r w:rsidR="0050041F">
            <w:fldChar w:fldCharType="begin"/>
          </w:r>
          <w:r w:rsidR="0050041F">
            <w:instrText xml:space="preserve"> CITATION Ros16 \l 2057 </w:instrText>
          </w:r>
          <w:r w:rsidR="0050041F">
            <w:fldChar w:fldCharType="separate"/>
          </w:r>
          <w:r w:rsidR="0050041F">
            <w:rPr>
              <w:noProof/>
            </w:rPr>
            <w:t xml:space="preserve"> </w:t>
          </w:r>
          <w:r w:rsidR="0050041F" w:rsidRPr="0050041F">
            <w:rPr>
              <w:noProof/>
            </w:rPr>
            <w:t>(Rostami, 2016)</w:t>
          </w:r>
          <w:r w:rsidR="0050041F">
            <w:fldChar w:fldCharType="end"/>
          </w:r>
        </w:sdtContent>
      </w:sdt>
      <w:r>
        <w:t xml:space="preserve"> this research provides empirical evidence from practitioners that not only confirms but also extends these arguments. </w:t>
      </w:r>
    </w:p>
    <w:p w14:paraId="6D840CCB" w14:textId="77777777" w:rsidR="004C71FC" w:rsidRDefault="004C71FC" w:rsidP="004C71FC">
      <w:pPr>
        <w:spacing w:after="0" w:line="360" w:lineRule="auto"/>
        <w:ind w:left="-576" w:right="-576"/>
        <w:jc w:val="both"/>
      </w:pPr>
    </w:p>
    <w:p w14:paraId="670992C5" w14:textId="77D787C6" w:rsidR="004C71FC" w:rsidRDefault="004C71FC" w:rsidP="004C71FC">
      <w:pPr>
        <w:spacing w:after="0" w:line="360" w:lineRule="auto"/>
        <w:ind w:left="-576" w:right="-576"/>
        <w:jc w:val="both"/>
      </w:pPr>
      <w:r>
        <w:t xml:space="preserve">One of the clearest contributions is </w:t>
      </w:r>
      <w:r w:rsidR="00BF296A">
        <w:t>the</w:t>
      </w:r>
      <w:r>
        <w:t xml:space="preserve"> confirmation </w:t>
      </w:r>
      <w:r w:rsidR="00BF296A">
        <w:t>that</w:t>
      </w:r>
      <w:r>
        <w:t xml:space="preserve"> risk management</w:t>
      </w:r>
      <w:r w:rsidR="00BF296A">
        <w:t xml:space="preserve"> significantly and directly influences</w:t>
      </w:r>
      <w:r>
        <w:t xml:space="preserve"> project outcomes. </w:t>
      </w:r>
      <w:r w:rsidR="009537B6">
        <w:t>Nearly 70%</w:t>
      </w:r>
      <w:r>
        <w:t xml:space="preserve"> of respondents </w:t>
      </w:r>
      <w:r w:rsidR="009537B6">
        <w:t>reported</w:t>
      </w:r>
      <w:r>
        <w:t xml:space="preserve"> project </w:t>
      </w:r>
      <w:r w:rsidR="00E14141">
        <w:t xml:space="preserve">underperformance and </w:t>
      </w:r>
      <w:r>
        <w:t xml:space="preserve">failures linked to </w:t>
      </w:r>
      <w:r w:rsidR="004C7606">
        <w:t>poor</w:t>
      </w:r>
      <w:r>
        <w:t xml:space="preserve"> risk practices</w:t>
      </w:r>
      <w:r w:rsidR="00E14141">
        <w:t xml:space="preserve">, </w:t>
      </w:r>
      <w:r>
        <w:t>validat</w:t>
      </w:r>
      <w:r w:rsidR="00E14141">
        <w:t>ing</w:t>
      </w:r>
      <w:r>
        <w:t xml:space="preserve"> </w:t>
      </w:r>
      <w:r w:rsidR="00D50B96">
        <w:t xml:space="preserve">earlier research </w:t>
      </w:r>
      <w:r>
        <w:t>arguments</w:t>
      </w:r>
      <w:r w:rsidR="003203FD">
        <w:t xml:space="preserve"> that challenges such as</w:t>
      </w:r>
      <w:r>
        <w:t xml:space="preserve"> threats of cost overruns, delays, and scope creep </w:t>
      </w:r>
      <w:sdt>
        <w:sdtPr>
          <w:id w:val="-405764206"/>
          <w:citation/>
        </w:sdtPr>
        <w:sdtContent>
          <w:r>
            <w:fldChar w:fldCharType="begin"/>
          </w:r>
          <w:r>
            <w:rPr>
              <w:lang w:val="en-US"/>
            </w:rPr>
            <w:instrText xml:space="preserve"> CITATION Het21 \l 1033 </w:instrText>
          </w:r>
          <w:r>
            <w:fldChar w:fldCharType="separate"/>
          </w:r>
          <w:r w:rsidRPr="004C71FC">
            <w:rPr>
              <w:noProof/>
              <w:lang w:val="en-US"/>
            </w:rPr>
            <w:t>(Hetemi, 2021)</w:t>
          </w:r>
          <w:r>
            <w:fldChar w:fldCharType="end"/>
          </w:r>
        </w:sdtContent>
      </w:sdt>
      <w:r>
        <w:t xml:space="preserve">, </w:t>
      </w:r>
      <w:r w:rsidR="003203FD">
        <w:t xml:space="preserve">will persists while </w:t>
      </w:r>
      <w:r w:rsidR="00AF10E6">
        <w:t xml:space="preserve">risk processes are poorly applied, and that </w:t>
      </w:r>
      <w:r>
        <w:t xml:space="preserve">structured risk management </w:t>
      </w:r>
      <w:r w:rsidR="00AF10E6">
        <w:t>is</w:t>
      </w:r>
      <w:r>
        <w:t xml:space="preserve"> a cornerstone of project success </w:t>
      </w:r>
      <w:sdt>
        <w:sdtPr>
          <w:id w:val="1077859637"/>
          <w:citation/>
        </w:sdtPr>
        <w:sdtContent>
          <w:r>
            <w:fldChar w:fldCharType="begin"/>
          </w:r>
          <w:r>
            <w:rPr>
              <w:lang w:val="en-US"/>
            </w:rPr>
            <w:instrText xml:space="preserve"> CITATION Zou17 \l 1033 </w:instrText>
          </w:r>
          <w:r>
            <w:fldChar w:fldCharType="separate"/>
          </w:r>
          <w:r w:rsidRPr="004C71FC">
            <w:rPr>
              <w:noProof/>
              <w:lang w:val="en-US"/>
            </w:rPr>
            <w:t>(Zou, 2017)</w:t>
          </w:r>
          <w:r>
            <w:fldChar w:fldCharType="end"/>
          </w:r>
        </w:sdtContent>
      </w:sdt>
      <w:r>
        <w:t xml:space="preserve">. By documenting </w:t>
      </w:r>
      <w:r w:rsidR="008D057F">
        <w:t>practitioners’</w:t>
      </w:r>
      <w:r>
        <w:t xml:space="preserve"> experiences, this study moves beyond theorisation to demonstrate the real-world consequences of ineffective risk practices. It reinforces the notion that risk management is not a </w:t>
      </w:r>
      <w:r w:rsidR="00737A86">
        <w:t>peripheral</w:t>
      </w:r>
      <w:r>
        <w:t xml:space="preserve"> process but a </w:t>
      </w:r>
      <w:r w:rsidR="00737A86">
        <w:t xml:space="preserve">key </w:t>
      </w:r>
      <w:r>
        <w:t xml:space="preserve">determinant of </w:t>
      </w:r>
      <w:r w:rsidR="00737A86">
        <w:t>project success.</w:t>
      </w:r>
    </w:p>
    <w:p w14:paraId="15F47830" w14:textId="77777777" w:rsidR="004C71FC" w:rsidRDefault="004C71FC" w:rsidP="004C71FC">
      <w:pPr>
        <w:spacing w:after="0" w:line="360" w:lineRule="auto"/>
        <w:ind w:left="-576" w:right="-576"/>
        <w:jc w:val="both"/>
      </w:pPr>
    </w:p>
    <w:p w14:paraId="31FEBDD0" w14:textId="4F7EE9D1" w:rsidR="008A1A99" w:rsidRDefault="00934AFB" w:rsidP="00704FD5">
      <w:pPr>
        <w:spacing w:after="0" w:line="360" w:lineRule="auto"/>
        <w:ind w:left="-576" w:right="-576"/>
        <w:jc w:val="both"/>
      </w:pPr>
      <w:r>
        <w:t xml:space="preserve">The study </w:t>
      </w:r>
      <w:r w:rsidR="002D4476">
        <w:t xml:space="preserve">also </w:t>
      </w:r>
      <w:r>
        <w:t xml:space="preserve">provides </w:t>
      </w:r>
      <w:r w:rsidR="005758D6">
        <w:t>an indication of why current tools fall short,</w:t>
      </w:r>
      <w:r w:rsidR="002D4476">
        <w:t xml:space="preserve"> </w:t>
      </w:r>
      <w:r w:rsidR="004829BB">
        <w:t xml:space="preserve">insights into the persistent “theory–practice gap” in PRM, </w:t>
      </w:r>
      <w:r w:rsidR="002D4476">
        <w:t>and</w:t>
      </w:r>
      <w:r w:rsidR="00CC66C6">
        <w:t xml:space="preserve"> </w:t>
      </w:r>
      <w:r w:rsidR="002D4476">
        <w:t>his has important implications for the direction of</w:t>
      </w:r>
      <w:r w:rsidR="00CC66C6">
        <w:t xml:space="preserve"> travel</w:t>
      </w:r>
      <w:r w:rsidR="00375B19" w:rsidRPr="00F12850">
        <w:t>. For practice, it underscores the necessity of moving beyond adoption metrics to focus on effectiveness, integration, and adaptability. Risk tools must not only be present but must also influence decision-making in ways that reduce uncertainty and strengthen resilience. This requires investment in training, stakeholder engagement, and leadership support, as well as a cultural shift towards treating risk management as a strategic function. The findings highlight the need to explore frameworks that can bridge the gap between theory and practice. Existing standards such as PMBOK and ISO 31000 provide valuable principles, but their translation into practice remains inconsistent.</w:t>
      </w:r>
      <w:r w:rsidR="00B06166">
        <w:t xml:space="preserve"> These standards emphasise iterative, lifecycle-wide risk processes </w:t>
      </w:r>
      <w:sdt>
        <w:sdtPr>
          <w:id w:val="-326054936"/>
          <w:citation/>
        </w:sdtPr>
        <w:sdtContent>
          <w:r w:rsidR="00B06166">
            <w:fldChar w:fldCharType="begin"/>
          </w:r>
          <w:r w:rsidR="00B06166">
            <w:rPr>
              <w:lang w:val="en-US"/>
            </w:rPr>
            <w:instrText xml:space="preserve"> CITATION Muh18 \l 1033 </w:instrText>
          </w:r>
          <w:r w:rsidR="00B06166">
            <w:fldChar w:fldCharType="separate"/>
          </w:r>
          <w:r w:rsidR="00B06166" w:rsidRPr="008D057F">
            <w:rPr>
              <w:noProof/>
              <w:lang w:val="en-US"/>
            </w:rPr>
            <w:t>(Muhammet Gul, 2018)</w:t>
          </w:r>
          <w:r w:rsidR="00B06166">
            <w:fldChar w:fldCharType="end"/>
          </w:r>
        </w:sdtContent>
      </w:sdt>
      <w:sdt>
        <w:sdtPr>
          <w:id w:val="-1454708826"/>
          <w:citation/>
        </w:sdtPr>
        <w:sdtContent>
          <w:r w:rsidR="00B06166">
            <w:fldChar w:fldCharType="begin"/>
          </w:r>
          <w:r w:rsidR="00B06166">
            <w:rPr>
              <w:lang w:val="en-US"/>
            </w:rPr>
            <w:instrText xml:space="preserve"> CITATION Mer20 \l 1033 </w:instrText>
          </w:r>
          <w:r w:rsidR="00B06166">
            <w:fldChar w:fldCharType="separate"/>
          </w:r>
          <w:r w:rsidR="00B06166">
            <w:rPr>
              <w:noProof/>
              <w:lang w:val="en-US"/>
            </w:rPr>
            <w:t xml:space="preserve"> </w:t>
          </w:r>
          <w:r w:rsidR="00B06166" w:rsidRPr="008D057F">
            <w:rPr>
              <w:noProof/>
              <w:lang w:val="en-US"/>
            </w:rPr>
            <w:t>(Merkourios Papanikolaou, 2020)</w:t>
          </w:r>
          <w:r w:rsidR="00B06166">
            <w:fldChar w:fldCharType="end"/>
          </w:r>
        </w:sdtContent>
      </w:sdt>
      <w:r w:rsidR="00B06166">
        <w:t xml:space="preserve">, yet </w:t>
      </w:r>
      <w:r w:rsidR="004829BB">
        <w:t>many</w:t>
      </w:r>
      <w:r w:rsidR="00B06166">
        <w:t xml:space="preserve"> practitioners restrict assessments to the initiation stage</w:t>
      </w:r>
      <w:r w:rsidR="00FC523B">
        <w:t>.</w:t>
      </w:r>
      <w:r w:rsidR="00B06166">
        <w:t xml:space="preserve"> </w:t>
      </w:r>
      <w:r w:rsidR="00FC523B">
        <w:t xml:space="preserve">This supports arguments that risk management often becomes a compliance-driven activity rather than a strategic enabler </w:t>
      </w:r>
      <w:sdt>
        <w:sdtPr>
          <w:id w:val="-1579125624"/>
          <w:citation/>
        </w:sdtPr>
        <w:sdtContent>
          <w:r w:rsidR="00FC523B">
            <w:fldChar w:fldCharType="begin"/>
          </w:r>
          <w:r w:rsidR="00FC523B">
            <w:rPr>
              <w:lang w:val="en-US"/>
            </w:rPr>
            <w:instrText xml:space="preserve"> CITATION Ofe10 \l 1033 </w:instrText>
          </w:r>
          <w:r w:rsidR="00FC523B">
            <w:fldChar w:fldCharType="separate"/>
          </w:r>
          <w:r w:rsidR="00FC523B" w:rsidRPr="006859D7">
            <w:rPr>
              <w:noProof/>
              <w:lang w:val="en-US"/>
            </w:rPr>
            <w:t>(Ofer Zwikael, 2010)</w:t>
          </w:r>
          <w:r w:rsidR="00FC523B">
            <w:fldChar w:fldCharType="end"/>
          </w:r>
        </w:sdtContent>
      </w:sdt>
      <w:r w:rsidR="00FC523B">
        <w:t xml:space="preserve">. </w:t>
      </w:r>
      <w:r w:rsidR="000F6654">
        <w:t xml:space="preserve">Cultural factors, treating risk as an administrative burden, and organisational factors, lack of training and leadership support, are critical barriers to alignment. </w:t>
      </w:r>
      <w:r w:rsidR="00C14148">
        <w:t>P</w:t>
      </w:r>
      <w:r w:rsidR="00375B19" w:rsidRPr="00F12850">
        <w:t>ractitioners desire frameworks that are not only theoretically robust but also flexible enough to adapt to different contexts, scales, and industries</w:t>
      </w:r>
      <w:r w:rsidR="000F6654">
        <w:t xml:space="preserve">, and </w:t>
      </w:r>
      <w:r w:rsidR="003A6430">
        <w:t>can</w:t>
      </w:r>
      <w:r w:rsidR="000F6654">
        <w:t xml:space="preserve"> address these cultural and organisation barriers</w:t>
      </w:r>
      <w:r w:rsidR="00375B19" w:rsidRPr="00F12850">
        <w:t xml:space="preserve">. </w:t>
      </w:r>
    </w:p>
    <w:p w14:paraId="40E4EAA4" w14:textId="77777777" w:rsidR="00375B19" w:rsidRDefault="00375B19" w:rsidP="004C71FC">
      <w:pPr>
        <w:spacing w:after="0" w:line="360" w:lineRule="auto"/>
        <w:ind w:left="-576" w:right="-576"/>
        <w:jc w:val="both"/>
      </w:pPr>
    </w:p>
    <w:p w14:paraId="4363A046" w14:textId="58B968B6" w:rsidR="004C71FC" w:rsidRDefault="00F75499" w:rsidP="004C71FC">
      <w:pPr>
        <w:spacing w:after="0" w:line="360" w:lineRule="auto"/>
        <w:ind w:left="-576" w:right="-576"/>
        <w:jc w:val="both"/>
      </w:pPr>
      <w:r>
        <w:t>Another key contribution</w:t>
      </w:r>
      <w:r w:rsidR="002B34C3">
        <w:t xml:space="preserve"> is highlighting the limitation in practice of many of the widely use tools</w:t>
      </w:r>
      <w:r w:rsidR="007217A9">
        <w:t xml:space="preserve">. </w:t>
      </w:r>
      <w:r w:rsidR="0014388E">
        <w:t>R</w:t>
      </w:r>
      <w:r w:rsidR="004C71FC">
        <w:t>isk registers, FMEA, and HAZOP</w:t>
      </w:r>
      <w:r w:rsidR="0014388E">
        <w:t xml:space="preserve"> remain dominant, yet </w:t>
      </w:r>
      <w:r w:rsidR="00235146">
        <w:t xml:space="preserve">only approximately 5% </w:t>
      </w:r>
      <w:r w:rsidR="004C71FC">
        <w:t>of respondents rated tools as “very effective” while suggest</w:t>
      </w:r>
      <w:r w:rsidR="00235146">
        <w:t>ing</w:t>
      </w:r>
      <w:r w:rsidR="004C71FC">
        <w:t xml:space="preserve"> </w:t>
      </w:r>
      <w:r w:rsidR="005B05C4">
        <w:t xml:space="preserve">practical </w:t>
      </w:r>
      <w:r w:rsidR="004C71FC">
        <w:t xml:space="preserve">effectiveness </w:t>
      </w:r>
      <w:r w:rsidR="00235146">
        <w:t>may be more</w:t>
      </w:r>
      <w:r w:rsidR="004C71FC">
        <w:t xml:space="preserve"> limited than the literature assumes.</w:t>
      </w:r>
      <w:r w:rsidR="008D057F">
        <w:t xml:space="preserve"> </w:t>
      </w:r>
      <w:r w:rsidR="004C71FC">
        <w:t xml:space="preserve">This finding extends knowledge that barriers to effectiveness lie less in the tools themselves and more in their application, integration, and cultural support. </w:t>
      </w:r>
      <w:r w:rsidR="00FA4ABA">
        <w:t xml:space="preserve">Whilst advanced techniques like </w:t>
      </w:r>
      <w:r w:rsidR="004C71FC">
        <w:t xml:space="preserve">Monte Carlo simulations are recognised in scholarship as powerful </w:t>
      </w:r>
      <w:r w:rsidR="004C71FC">
        <w:lastRenderedPageBreak/>
        <w:t xml:space="preserve">quantitative tools </w:t>
      </w:r>
      <w:sdt>
        <w:sdtPr>
          <w:id w:val="-1486999945"/>
          <w:citation/>
        </w:sdtPr>
        <w:sdtContent>
          <w:r w:rsidR="008D057F">
            <w:fldChar w:fldCharType="begin"/>
          </w:r>
          <w:r w:rsidR="008D057F">
            <w:rPr>
              <w:lang w:val="en-US"/>
            </w:rPr>
            <w:instrText xml:space="preserve"> CITATION Pau08 \l 1033 </w:instrText>
          </w:r>
          <w:r w:rsidR="008D057F">
            <w:fldChar w:fldCharType="separate"/>
          </w:r>
          <w:r w:rsidR="008D057F" w:rsidRPr="008D057F">
            <w:rPr>
              <w:noProof/>
              <w:lang w:val="en-US"/>
            </w:rPr>
            <w:t>(Bannerman, 2008)</w:t>
          </w:r>
          <w:r w:rsidR="008D057F">
            <w:fldChar w:fldCharType="end"/>
          </w:r>
        </w:sdtContent>
      </w:sdt>
      <w:r w:rsidR="004C71FC">
        <w:t>, their limited use in practice reflects barriers of expertise, time, and organisational buy-in. Similarly, the misclassification of tools demonstrates that knowledge gaps significantly constrain effectiveness. By exposing these gaps, the study highlights the need for capacity-building measures, such as training and scenario-based exercises, that go beyond tool provision.</w:t>
      </w:r>
    </w:p>
    <w:p w14:paraId="03813A5C" w14:textId="77777777" w:rsidR="004C71FC" w:rsidRDefault="004C71FC" w:rsidP="004C71FC">
      <w:pPr>
        <w:spacing w:after="0" w:line="360" w:lineRule="auto"/>
        <w:ind w:left="-576" w:right="-576"/>
        <w:jc w:val="both"/>
      </w:pPr>
    </w:p>
    <w:p w14:paraId="238C1E26" w14:textId="67F1EFD5" w:rsidR="004C71FC" w:rsidRDefault="004C71FC" w:rsidP="004C71FC">
      <w:pPr>
        <w:spacing w:after="0" w:line="360" w:lineRule="auto"/>
        <w:ind w:left="-576" w:right="-576"/>
        <w:jc w:val="both"/>
      </w:pPr>
      <w:r>
        <w:t>Perhaps the most significant contribution of this study is its empirical support for the need for a customisable risk management framework. While scholars have argued conceptually for the balance of standardisation and flexibility, this research provides practitioner evidence that confirms and strengthens their claims</w:t>
      </w:r>
      <w:r w:rsidR="006859D7">
        <w:t xml:space="preserve"> </w:t>
      </w:r>
      <w:sdt>
        <w:sdtPr>
          <w:id w:val="-1084676219"/>
          <w:citation/>
        </w:sdtPr>
        <w:sdtContent>
          <w:r w:rsidR="006859D7">
            <w:fldChar w:fldCharType="begin"/>
          </w:r>
          <w:r w:rsidR="006859D7">
            <w:rPr>
              <w:lang w:val="en-US"/>
            </w:rPr>
            <w:instrText xml:space="preserve"> CITATION Trj16 \l 1033 </w:instrText>
          </w:r>
          <w:r w:rsidR="006859D7">
            <w:fldChar w:fldCharType="separate"/>
          </w:r>
          <w:r w:rsidR="006859D7" w:rsidRPr="006859D7">
            <w:rPr>
              <w:noProof/>
              <w:lang w:val="en-US"/>
            </w:rPr>
            <w:t>(Aven, 2016)</w:t>
          </w:r>
          <w:r w:rsidR="006859D7">
            <w:fldChar w:fldCharType="end"/>
          </w:r>
        </w:sdtContent>
      </w:sdt>
      <w:sdt>
        <w:sdtPr>
          <w:id w:val="-1150587646"/>
          <w:citation/>
        </w:sdtPr>
        <w:sdtContent>
          <w:r w:rsidR="006859D7">
            <w:fldChar w:fldCharType="begin"/>
          </w:r>
          <w:r w:rsidR="006859D7">
            <w:rPr>
              <w:lang w:val="en-US"/>
            </w:rPr>
            <w:instrText xml:space="preserve"> CITATION Dav23 \l 1033 </w:instrText>
          </w:r>
          <w:r w:rsidR="006859D7">
            <w:fldChar w:fldCharType="separate"/>
          </w:r>
          <w:r w:rsidR="006859D7">
            <w:rPr>
              <w:noProof/>
              <w:lang w:val="en-US"/>
            </w:rPr>
            <w:t xml:space="preserve"> </w:t>
          </w:r>
          <w:r w:rsidR="006859D7" w:rsidRPr="006859D7">
            <w:rPr>
              <w:noProof/>
              <w:lang w:val="en-US"/>
            </w:rPr>
            <w:t>(Hilson, 2023)</w:t>
          </w:r>
          <w:r w:rsidR="006859D7">
            <w:fldChar w:fldCharType="end"/>
          </w:r>
        </w:sdtContent>
      </w:sdt>
      <w:r>
        <w:t xml:space="preserve">. </w:t>
      </w:r>
      <w:r w:rsidR="003C3F4B">
        <w:t>Over 83% of</w:t>
      </w:r>
      <w:r>
        <w:t xml:space="preserve"> respondents expressed support for such a framework, and </w:t>
      </w:r>
      <w:r w:rsidR="005E5E26">
        <w:t xml:space="preserve">nearly 90% </w:t>
      </w:r>
      <w:r>
        <w:t>indicated willingness to adopt it, demonstrat</w:t>
      </w:r>
      <w:r w:rsidR="005E5E26">
        <w:t>ing</w:t>
      </w:r>
      <w:r>
        <w:t xml:space="preserve"> a strong appetite for reform within the professional community.</w:t>
      </w:r>
      <w:r w:rsidR="006859D7">
        <w:t xml:space="preserve"> </w:t>
      </w:r>
      <w:r w:rsidR="00FC1021">
        <w:t>Respondents</w:t>
      </w:r>
      <w:r w:rsidR="00D04454">
        <w:t xml:space="preserve"> </w:t>
      </w:r>
      <w:r>
        <w:t>prioritised</w:t>
      </w:r>
      <w:r w:rsidR="006859D7">
        <w:t xml:space="preserve"> </w:t>
      </w:r>
      <w:r>
        <w:t>usability, sector-specific tailoring, integration with project systems, and stakeholder collaboration</w:t>
      </w:r>
      <w:r w:rsidR="006859D7">
        <w:t xml:space="preserve">, </w:t>
      </w:r>
      <w:r w:rsidR="00FC1021">
        <w:t xml:space="preserve">providing  practical </w:t>
      </w:r>
      <w:r>
        <w:t>guidance on what customisation should look like. This represents an important extension of the literature, which has often debated flexibility at a conceptual level without grounding it in practitioner perspectives. By surfacing these practitioner-defined priorities, the study offers a valuable bridge between academic theory and project management practice.</w:t>
      </w:r>
    </w:p>
    <w:p w14:paraId="5E1EDB9D" w14:textId="77777777" w:rsidR="004C71FC" w:rsidRDefault="004C71FC" w:rsidP="004C71FC">
      <w:pPr>
        <w:spacing w:after="0" w:line="360" w:lineRule="auto"/>
        <w:ind w:left="-576" w:right="-576"/>
        <w:jc w:val="both"/>
      </w:pPr>
    </w:p>
    <w:p w14:paraId="301D3D5E" w14:textId="53755D36" w:rsidR="004C71FC" w:rsidRDefault="004C71FC" w:rsidP="004C71FC">
      <w:pPr>
        <w:spacing w:after="0" w:line="360" w:lineRule="auto"/>
        <w:ind w:left="-576" w:right="-576"/>
        <w:jc w:val="both"/>
      </w:pPr>
      <w:r>
        <w:t>From a practical perspective, the findings have several implications. First</w:t>
      </w:r>
      <w:r w:rsidR="006859D7">
        <w:t>ly</w:t>
      </w:r>
      <w:r>
        <w:t xml:space="preserve">, they underscore the need for organisations to invest in training and capacity building. Knowledge gaps and misclassifications are not trivial errors but threats to project performance. Addressing these requires structured programmes that embed risk competence into organisational culture, consistent with </w:t>
      </w:r>
      <w:r w:rsidR="001D5F87">
        <w:t xml:space="preserve">an </w:t>
      </w:r>
      <w:r>
        <w:t>emphasis on experiential learning</w:t>
      </w:r>
      <w:r w:rsidR="001D5F87">
        <w:t xml:space="preserve"> </w:t>
      </w:r>
      <w:sdt>
        <w:sdtPr>
          <w:id w:val="423223353"/>
          <w:citation/>
        </w:sdtPr>
        <w:sdtContent>
          <w:r w:rsidR="001D5F87">
            <w:fldChar w:fldCharType="begin"/>
          </w:r>
          <w:r w:rsidR="001D5F87">
            <w:instrText xml:space="preserve"> CITATION Cag15 \l 2057 </w:instrText>
          </w:r>
          <w:r w:rsidR="001D5F87">
            <w:fldChar w:fldCharType="separate"/>
          </w:r>
          <w:r w:rsidR="001D5F87" w:rsidRPr="001D5F87">
            <w:rPr>
              <w:noProof/>
            </w:rPr>
            <w:t>(Cagliano, 2015)</w:t>
          </w:r>
          <w:r w:rsidR="001D5F87">
            <w:fldChar w:fldCharType="end"/>
          </w:r>
        </w:sdtContent>
      </w:sdt>
      <w:r>
        <w:t>.</w:t>
      </w:r>
      <w:r w:rsidR="006859D7">
        <w:t xml:space="preserve"> </w:t>
      </w:r>
      <w:r>
        <w:t>Second</w:t>
      </w:r>
      <w:r w:rsidR="006859D7">
        <w:t>ly</w:t>
      </w:r>
      <w:r>
        <w:t>, the findings highlight the importance of leadership in embedding risk management. Lack of stakeholder engagement and resistance to chang</w:t>
      </w:r>
      <w:r w:rsidR="00446CB4">
        <w:t xml:space="preserve">e </w:t>
      </w:r>
      <w:r>
        <w:t>suggest that leadership sponsorship and cultural integration are as important as methodological design. Leaders must position risk management as a strategic priority, not a compliance task, if frameworks are to deliver consistent value.</w:t>
      </w:r>
      <w:r w:rsidR="006859D7">
        <w:t xml:space="preserve"> </w:t>
      </w:r>
      <w:r>
        <w:t>Finally, the study suggests that technology can play a critical role in enhancing usability and integration. By embedding risk tools into project management platforms and enabling collaborative access, organisations can reduce procedural burdens and increase transparency.</w:t>
      </w:r>
    </w:p>
    <w:p w14:paraId="4686124B" w14:textId="77777777" w:rsidR="005B05C4" w:rsidRDefault="005B05C4" w:rsidP="004C71FC">
      <w:pPr>
        <w:spacing w:after="0" w:line="360" w:lineRule="auto"/>
        <w:ind w:left="-576" w:right="-576"/>
        <w:jc w:val="both"/>
      </w:pPr>
    </w:p>
    <w:p w14:paraId="03B0AE89" w14:textId="75E37A57" w:rsidR="004C71FC" w:rsidRDefault="004C71FC" w:rsidP="004C71FC">
      <w:pPr>
        <w:spacing w:after="0" w:line="360" w:lineRule="auto"/>
        <w:ind w:left="-576" w:right="-576"/>
        <w:jc w:val="both"/>
      </w:pPr>
      <w:r>
        <w:t xml:space="preserve">While the study makes </w:t>
      </w:r>
      <w:r w:rsidR="00446CB4">
        <w:t>valuable</w:t>
      </w:r>
      <w:r>
        <w:t xml:space="preserve"> contributions, its limitations must also be acknowledged. The sample was</w:t>
      </w:r>
      <w:r w:rsidR="00997539">
        <w:t xml:space="preserve"> </w:t>
      </w:r>
      <w:r w:rsidR="00E3588C">
        <w:t>drawn from a single organisation</w:t>
      </w:r>
      <w:r>
        <w:t xml:space="preserve"> </w:t>
      </w:r>
      <w:r w:rsidR="008B7DC9">
        <w:t xml:space="preserve">and </w:t>
      </w:r>
      <w:r>
        <w:t xml:space="preserve">heavily weighted towards technically oriented professionals, particularly engineers, with fewer dedicated project managers represented. While this provides valuable insight into how risk tools are applied in practice, it may underrepresent perspectives from project managers in non-technical </w:t>
      </w:r>
      <w:r w:rsidR="008B7DC9">
        <w:t xml:space="preserve">sectors and therefore </w:t>
      </w:r>
      <w:r w:rsidR="00BC0808">
        <w:t xml:space="preserve">may </w:t>
      </w:r>
      <w:r w:rsidR="008B7DC9">
        <w:t>limit generalisability.</w:t>
      </w:r>
      <w:r w:rsidR="006859D7">
        <w:t xml:space="preserve"> </w:t>
      </w:r>
      <w:r>
        <w:t xml:space="preserve">Similarly, the modest sample size (36 participants) limits the </w:t>
      </w:r>
      <w:r w:rsidR="00D64CC6">
        <w:t>conclusions</w:t>
      </w:r>
      <w:r>
        <w:t xml:space="preserve"> of the findings. Although the dataset provided a diverse spread of project values and sectors, broader studies would be necessary to validate the conclusions across different industries and organisational contexts.</w:t>
      </w:r>
      <w:r w:rsidR="006859D7">
        <w:t xml:space="preserve"> Furth</w:t>
      </w:r>
      <w:r>
        <w:t>er limitation</w:t>
      </w:r>
      <w:r w:rsidR="006859D7">
        <w:t>s</w:t>
      </w:r>
      <w:r>
        <w:t xml:space="preserve"> lie </w:t>
      </w:r>
      <w:r>
        <w:lastRenderedPageBreak/>
        <w:t>in the reliance on self-reported data. While participants provided valuable insights into their perceptions and practices, these accounts may not always align with actual behaviours or outcomes. Triangulating survey findings with case studies, observational data, or quantitative performance measures would strengthen future research.</w:t>
      </w:r>
    </w:p>
    <w:p w14:paraId="66706894" w14:textId="77777777" w:rsidR="00316628" w:rsidRDefault="00316628" w:rsidP="004C71FC">
      <w:pPr>
        <w:spacing w:after="0" w:line="360" w:lineRule="auto"/>
        <w:ind w:left="-576" w:right="-576"/>
        <w:jc w:val="both"/>
      </w:pPr>
    </w:p>
    <w:p w14:paraId="7B6B01F3" w14:textId="77777777" w:rsidR="00E77AAF" w:rsidRPr="00E77AAF" w:rsidRDefault="00E77AAF" w:rsidP="00E77AAF">
      <w:pPr>
        <w:spacing w:after="0" w:line="360" w:lineRule="auto"/>
        <w:ind w:left="-576" w:right="-576"/>
        <w:jc w:val="both"/>
      </w:pPr>
      <w:r w:rsidRPr="00E77AAF">
        <w:t xml:space="preserve">While the study provides valuable insight into the use and effectiveness of risk management tools, its limitations must be acknowledged. The online survey facilitated efficient data collection, especially that of a quantitative nature. However, online surveys can be subject to bias, with responses reflecting socially acceptable and simple, quick answers over true opinion. Self-selection bias also presents a challenge as voluntary participation may have increased representation of individuals with experience or a particular interest in the area. The reliance on self-reported data also introduces caution about recall and interpretation. While participants provided valuable insights into their perceptions and practices, these accounts may not always align with actual behaviours or outcomes. </w:t>
      </w:r>
    </w:p>
    <w:p w14:paraId="5336B785" w14:textId="77777777" w:rsidR="00E77AAF" w:rsidRPr="00E77AAF" w:rsidRDefault="00E77AAF" w:rsidP="00E77AAF">
      <w:pPr>
        <w:spacing w:after="0" w:line="360" w:lineRule="auto"/>
        <w:ind w:left="-576" w:right="-576"/>
        <w:jc w:val="both"/>
      </w:pPr>
      <w:r w:rsidRPr="00E77AAF">
        <w:t xml:space="preserve"> </w:t>
      </w:r>
    </w:p>
    <w:p w14:paraId="752B470C" w14:textId="77777777" w:rsidR="00E77AAF" w:rsidRPr="00E77AAF" w:rsidRDefault="00E77AAF" w:rsidP="00E77AAF">
      <w:pPr>
        <w:spacing w:after="0" w:line="360" w:lineRule="auto"/>
        <w:ind w:left="-576" w:right="-576"/>
        <w:jc w:val="both"/>
      </w:pPr>
      <w:r w:rsidRPr="00E77AAF">
        <w:t xml:space="preserve">Anonymity, whilst ethically sound and conducive to honest responses, resulted in limitations to data analysis. The opportunity to compare responses by role and experience, gaining insight into how demographics influenced perception of risk management, was restricted. While the structured nature of the questionnaire captured quantitative trends effectively, deeper qualitative insights were limited. This constrained the ability to explore the context behind, and gain further understanding of, the responses. Similarly, the lack of opportunity to obtain clarification or follow-up also means that some questions or responses may have been misinterpreted. </w:t>
      </w:r>
    </w:p>
    <w:p w14:paraId="1851A07B" w14:textId="77777777" w:rsidR="00E77AAF" w:rsidRPr="00E77AAF" w:rsidRDefault="00E77AAF" w:rsidP="00E77AAF">
      <w:pPr>
        <w:spacing w:after="0" w:line="360" w:lineRule="auto"/>
        <w:ind w:left="-576" w:right="-576"/>
        <w:jc w:val="both"/>
      </w:pPr>
      <w:r w:rsidRPr="00E77AAF">
        <w:t xml:space="preserve"> </w:t>
      </w:r>
    </w:p>
    <w:p w14:paraId="0E8651BF" w14:textId="77777777" w:rsidR="00E77AAF" w:rsidRPr="00E77AAF" w:rsidRDefault="00E77AAF" w:rsidP="00E77AAF">
      <w:pPr>
        <w:spacing w:after="0" w:line="360" w:lineRule="auto"/>
        <w:ind w:left="-576" w:right="-576"/>
        <w:jc w:val="both"/>
      </w:pPr>
      <w:r w:rsidRPr="00E77AAF">
        <w:t xml:space="preserve">Beyond the above limitations, it is noted that responses were captured at a single point in time, meaning changes in attitude, practices or tool effectiveness over a project lifecycle or in response to developments, could not be accounted for. The study’s scope and sample responses were drawn from a single organisation, heavily weighted towards technically oriented professionals, particularly engineers, with fewer dedicated project managers represented. While this provides valuable insight into how risk tools are applied in practice, it may underrepresent perspectives from project managers in non-technical sectors and therefore may limit generalisability. Similarly, the modest sample size (36 participants) limits the breadth of the conclusions. Although the dataset provided a diverse spread of project values and sectors, broader studies would be necessary to validate the conclusions across different industries and organisational contexts. </w:t>
      </w:r>
    </w:p>
    <w:p w14:paraId="51FAD5AA" w14:textId="77777777" w:rsidR="00E77AAF" w:rsidRPr="00E77AAF" w:rsidRDefault="00E77AAF" w:rsidP="00E77AAF">
      <w:pPr>
        <w:spacing w:after="0" w:line="360" w:lineRule="auto"/>
        <w:ind w:left="-576" w:right="-576"/>
        <w:jc w:val="both"/>
      </w:pPr>
      <w:r w:rsidRPr="00E77AAF">
        <w:t xml:space="preserve"> </w:t>
      </w:r>
    </w:p>
    <w:p w14:paraId="21C837CD" w14:textId="1EE3CD53" w:rsidR="00AB3CCE" w:rsidRPr="00E77AAF" w:rsidRDefault="00E77AAF" w:rsidP="00E77AAF">
      <w:pPr>
        <w:spacing w:after="0" w:line="360" w:lineRule="auto"/>
        <w:ind w:left="-576" w:right="-576"/>
        <w:jc w:val="both"/>
      </w:pPr>
      <w:r w:rsidRPr="00E77AAF">
        <w:t>To strengthen further research these limitations should be addressed. Using mixed methods and triangulating survey findings with case studies, observational data, or performance metrics, along with broadening the data with a cross-sectoral and multi-organisational approach would achieve this.</w:t>
      </w:r>
    </w:p>
    <w:p w14:paraId="14DDCDED" w14:textId="77777777" w:rsidR="00E77AAF" w:rsidRDefault="00E77AAF" w:rsidP="00E77AAF">
      <w:pPr>
        <w:spacing w:after="0" w:line="360" w:lineRule="auto"/>
        <w:ind w:left="-576" w:right="-576"/>
        <w:jc w:val="both"/>
        <w:rPr>
          <w:color w:val="EE0000"/>
        </w:rPr>
      </w:pPr>
    </w:p>
    <w:p w14:paraId="38D9EE61" w14:textId="77777777" w:rsidR="00E77AAF" w:rsidRDefault="00E77AAF" w:rsidP="00E77AAF">
      <w:pPr>
        <w:spacing w:after="0" w:line="360" w:lineRule="auto"/>
        <w:ind w:left="-576" w:right="-576"/>
        <w:jc w:val="both"/>
      </w:pPr>
    </w:p>
    <w:p w14:paraId="23E424C2" w14:textId="77777777" w:rsidR="00C240EC" w:rsidRDefault="004C71FC" w:rsidP="004C71FC">
      <w:pPr>
        <w:spacing w:after="0" w:line="360" w:lineRule="auto"/>
        <w:ind w:left="-576" w:right="-576"/>
        <w:jc w:val="both"/>
      </w:pPr>
      <w:r>
        <w:lastRenderedPageBreak/>
        <w:t>Overall, the study makes three key contributions to knowledge</w:t>
      </w:r>
      <w:r w:rsidR="00C240EC">
        <w:t>:</w:t>
      </w:r>
    </w:p>
    <w:p w14:paraId="45D34EE2" w14:textId="77777777" w:rsidR="00C240EC" w:rsidRDefault="00C240EC" w:rsidP="00C240EC">
      <w:pPr>
        <w:pStyle w:val="ListParagraph"/>
        <w:numPr>
          <w:ilvl w:val="0"/>
          <w:numId w:val="47"/>
        </w:numPr>
        <w:spacing w:after="0" w:line="360" w:lineRule="auto"/>
        <w:ind w:right="-576"/>
        <w:jc w:val="both"/>
      </w:pPr>
      <w:r>
        <w:t>C</w:t>
      </w:r>
      <w:r w:rsidR="004C71FC">
        <w:t xml:space="preserve">onfirms the central role of risk management in project outcomes, reinforcing existing literature with practitioner evidence. </w:t>
      </w:r>
    </w:p>
    <w:p w14:paraId="3CF6B52A" w14:textId="77777777" w:rsidR="00C240EC" w:rsidRDefault="00C240EC" w:rsidP="00C240EC">
      <w:pPr>
        <w:pStyle w:val="ListParagraph"/>
        <w:numPr>
          <w:ilvl w:val="0"/>
          <w:numId w:val="47"/>
        </w:numPr>
        <w:spacing w:after="0" w:line="360" w:lineRule="auto"/>
        <w:ind w:right="-576"/>
        <w:jc w:val="both"/>
      </w:pPr>
      <w:r>
        <w:t>E</w:t>
      </w:r>
      <w:r w:rsidR="004C71FC">
        <w:t xml:space="preserve">xtends knowledge on the limitations of current tools, highlighting misapplications, knowledge gaps, and cultural barriers as critical constraints. </w:t>
      </w:r>
    </w:p>
    <w:p w14:paraId="4AB3F991" w14:textId="518DE4A5" w:rsidR="004C71FC" w:rsidRDefault="00C240EC" w:rsidP="00C240EC">
      <w:pPr>
        <w:pStyle w:val="ListParagraph"/>
        <w:numPr>
          <w:ilvl w:val="0"/>
          <w:numId w:val="47"/>
        </w:numPr>
        <w:spacing w:after="0" w:line="360" w:lineRule="auto"/>
        <w:ind w:right="-576"/>
        <w:jc w:val="both"/>
      </w:pPr>
      <w:r>
        <w:t>A</w:t>
      </w:r>
      <w:r w:rsidR="004C71FC">
        <w:t>dds empirical weight to theoretical calls for a customisable framework, offering concrete practitioner-defined features that could guide its development.</w:t>
      </w:r>
    </w:p>
    <w:p w14:paraId="757A17D3" w14:textId="77777777" w:rsidR="004C71FC" w:rsidRDefault="004C71FC" w:rsidP="004C71FC">
      <w:pPr>
        <w:spacing w:after="0" w:line="360" w:lineRule="auto"/>
        <w:ind w:left="-576" w:right="-576"/>
        <w:jc w:val="both"/>
      </w:pPr>
    </w:p>
    <w:p w14:paraId="43865808" w14:textId="620AEFA5" w:rsidR="009449E3" w:rsidRDefault="00C240EC" w:rsidP="009449E3">
      <w:pPr>
        <w:spacing w:after="0" w:line="360" w:lineRule="auto"/>
        <w:ind w:left="-576" w:right="-576"/>
        <w:jc w:val="both"/>
      </w:pPr>
      <w:r>
        <w:t>R</w:t>
      </w:r>
      <w:r w:rsidR="004C71FC">
        <w:t>eflecting on these contributions, the study situates itself within broader academic debates about the theory–practice gap, the balance between standardisation and flexibility, and the strategic role of risk management in projects. While acknowledging its limitations, the research provides a valuable foundation for further inquiry and practical innovation, pointing towards the development of frameworks that are both rigorous and adaptable, thereby better aligning with the realities of contemporary project management.</w:t>
      </w:r>
      <w:r w:rsidR="009449E3">
        <w:t xml:space="preserve"> </w:t>
      </w:r>
      <w:r w:rsidR="009449E3" w:rsidRPr="009449E3">
        <w:t xml:space="preserve">The evidence from the questionnaire, when viewed alongside scholarly literature, provides a strong foundation for conceptualising a more effective model of risk management. Such a framework must combine usability with methodological rigour, standardisation with flexibility, and technical processes with cultural integration. By doing so, it could resolve the paradox previously identified: widespread adoption but </w:t>
      </w:r>
      <w:r w:rsidR="000D5908">
        <w:t>inconsistent</w:t>
      </w:r>
      <w:r w:rsidR="009449E3" w:rsidRPr="009449E3">
        <w:t xml:space="preserve"> effectiveness of tools. Ultimately, the case for an enhanced model rests not only on practitioner demand but also on the demonstrated limitations of existing practices. A framework that is customisable, modular, and user-centred could move risk management beyond compliance and transform it into a genuinely strategic driver of project outcomes.</w:t>
      </w:r>
    </w:p>
    <w:p w14:paraId="4C118A3D" w14:textId="77777777" w:rsidR="00C67CBE" w:rsidRDefault="00C67CBE" w:rsidP="009449E3">
      <w:pPr>
        <w:spacing w:after="0" w:line="360" w:lineRule="auto"/>
        <w:ind w:left="-576" w:right="-576"/>
        <w:jc w:val="both"/>
      </w:pPr>
    </w:p>
    <w:p w14:paraId="08A1411A" w14:textId="751AB76C" w:rsidR="00C240EC" w:rsidRPr="00C240EC" w:rsidRDefault="00C240EC" w:rsidP="004C71FC">
      <w:pPr>
        <w:spacing w:after="0" w:line="360" w:lineRule="auto"/>
        <w:ind w:left="-576" w:right="-576"/>
        <w:jc w:val="both"/>
        <w:rPr>
          <w:color w:val="EE0000"/>
        </w:rPr>
      </w:pPr>
      <w:r w:rsidRPr="00C240EC">
        <w:rPr>
          <w:color w:val="EE0000"/>
        </w:rPr>
        <w:t>1</w:t>
      </w:r>
      <w:r w:rsidR="00CC7478">
        <w:rPr>
          <w:color w:val="EE0000"/>
        </w:rPr>
        <w:t>5</w:t>
      </w:r>
      <w:r w:rsidR="00E77AAF">
        <w:rPr>
          <w:color w:val="EE0000"/>
        </w:rPr>
        <w:t>35</w:t>
      </w:r>
      <w:r w:rsidRPr="00C240EC">
        <w:rPr>
          <w:color w:val="EE0000"/>
        </w:rPr>
        <w:t xml:space="preserve"> (</w:t>
      </w:r>
      <w:r w:rsidR="00C67CBE">
        <w:rPr>
          <w:color w:val="EE0000"/>
        </w:rPr>
        <w:t>15</w:t>
      </w:r>
      <w:r w:rsidR="00E77AAF">
        <w:rPr>
          <w:color w:val="EE0000"/>
        </w:rPr>
        <w:t>594</w:t>
      </w:r>
      <w:r w:rsidR="00C67CBE">
        <w:rPr>
          <w:color w:val="EE0000"/>
        </w:rPr>
        <w:t>)</w:t>
      </w:r>
    </w:p>
    <w:p w14:paraId="45B16D77" w14:textId="77777777" w:rsidR="00BC1C1A" w:rsidRDefault="00BC1C1A">
      <w:pPr>
        <w:rPr>
          <w:rFonts w:eastAsiaTheme="majorEastAsia" w:cstheme="majorBidi"/>
        </w:rPr>
      </w:pPr>
      <w:r>
        <w:br w:type="page"/>
      </w:r>
    </w:p>
    <w:p w14:paraId="53798DDC" w14:textId="7A12FE44" w:rsidR="00C240EC" w:rsidRPr="00180C0D" w:rsidRDefault="000B3455" w:rsidP="00180C0D">
      <w:pPr>
        <w:pStyle w:val="Heading2"/>
        <w:ind w:left="-576" w:right="-576"/>
        <w:rPr>
          <w:sz w:val="22"/>
          <w:szCs w:val="22"/>
        </w:rPr>
      </w:pPr>
      <w:bookmarkStart w:id="82" w:name="_Toc219216490"/>
      <w:r w:rsidRPr="00180C0D">
        <w:rPr>
          <w:sz w:val="22"/>
          <w:szCs w:val="22"/>
        </w:rPr>
        <w:lastRenderedPageBreak/>
        <w:t>9.</w:t>
      </w:r>
      <w:r w:rsidR="00180C0D" w:rsidRPr="00180C0D">
        <w:rPr>
          <w:sz w:val="22"/>
          <w:szCs w:val="22"/>
        </w:rPr>
        <w:t>8.</w:t>
      </w:r>
      <w:r w:rsidRPr="00180C0D">
        <w:rPr>
          <w:sz w:val="22"/>
          <w:szCs w:val="22"/>
        </w:rPr>
        <w:t xml:space="preserve"> </w:t>
      </w:r>
      <w:r w:rsidR="00180C0D" w:rsidRPr="00180C0D">
        <w:rPr>
          <w:sz w:val="22"/>
          <w:szCs w:val="22"/>
          <w:u w:val="single"/>
        </w:rPr>
        <w:t>Closing Reflections</w:t>
      </w:r>
      <w:r w:rsidR="00180C0D" w:rsidRPr="00180C0D">
        <w:rPr>
          <w:sz w:val="22"/>
          <w:szCs w:val="22"/>
        </w:rPr>
        <w:t>.</w:t>
      </w:r>
      <w:bookmarkEnd w:id="82"/>
    </w:p>
    <w:p w14:paraId="4101DC29" w14:textId="77777777" w:rsidR="00C240EC" w:rsidRDefault="00C240EC" w:rsidP="000B3455">
      <w:pPr>
        <w:spacing w:after="0" w:line="360" w:lineRule="auto"/>
        <w:ind w:left="-576" w:right="-576"/>
        <w:jc w:val="both"/>
      </w:pPr>
    </w:p>
    <w:p w14:paraId="1679F996" w14:textId="29C660EF" w:rsidR="00C240EC" w:rsidRDefault="00F918FC" w:rsidP="00C240EC">
      <w:pPr>
        <w:spacing w:after="0" w:line="360" w:lineRule="auto"/>
        <w:ind w:left="-576" w:right="-576"/>
        <w:jc w:val="both"/>
      </w:pPr>
      <w:r>
        <w:t xml:space="preserve">The study </w:t>
      </w:r>
      <w:r w:rsidR="00583D95">
        <w:t xml:space="preserve">set out to assess and evaluate </w:t>
      </w:r>
      <w:r w:rsidR="009C7A86">
        <w:t xml:space="preserve">the </w:t>
      </w:r>
      <w:r w:rsidR="00C240EC">
        <w:t>use and effectiveness of risk assessment tools in project management</w:t>
      </w:r>
      <w:r w:rsidR="00FC4211">
        <w:t xml:space="preserve"> and </w:t>
      </w:r>
      <w:r w:rsidR="00FB29C2">
        <w:t xml:space="preserve">consider whether a more customised adaptable framework would improve </w:t>
      </w:r>
      <w:r w:rsidR="00C054F7">
        <w:t xml:space="preserve">outcomes. </w:t>
      </w:r>
      <w:r w:rsidR="00083FFC">
        <w:t>A review into established literature was initially undertaken</w:t>
      </w:r>
      <w:r w:rsidR="00777531">
        <w:t xml:space="preserve">, integrating these findings with practical experience from </w:t>
      </w:r>
      <w:r w:rsidR="00605CF7">
        <w:t xml:space="preserve">practitioners involved in project management. </w:t>
      </w:r>
      <w:r w:rsidR="00C240EC">
        <w:t>integrating findings from the questionnaire analysis with insights from established literature</w:t>
      </w:r>
      <w:r w:rsidR="00180C0D">
        <w:t xml:space="preserve"> has been critically examined</w:t>
      </w:r>
      <w:r w:rsidR="00C240EC">
        <w:t xml:space="preserve">. The </w:t>
      </w:r>
      <w:r w:rsidR="00605CF7">
        <w:t>findings present</w:t>
      </w:r>
      <w:r w:rsidR="00C240EC">
        <w:t xml:space="preserve"> a nuanced picture: although </w:t>
      </w:r>
      <w:r w:rsidR="00466392">
        <w:t>risk management</w:t>
      </w:r>
      <w:r w:rsidR="00C240EC">
        <w:t xml:space="preserve"> tools are universally adopted, their application is often inconsistent, their effectiveness </w:t>
      </w:r>
      <w:r w:rsidR="00466392">
        <w:t>variable</w:t>
      </w:r>
      <w:r w:rsidR="00C240EC">
        <w:t xml:space="preserve">, and their </w:t>
      </w:r>
      <w:r w:rsidR="00657C43">
        <w:t>ability to positively influence</w:t>
      </w:r>
      <w:r w:rsidR="00C240EC">
        <w:t xml:space="preserve"> project outcomes constrained by </w:t>
      </w:r>
      <w:r w:rsidR="00901142">
        <w:t xml:space="preserve">knowledge gaps, capability and </w:t>
      </w:r>
      <w:r w:rsidR="00657C43">
        <w:t>cultural</w:t>
      </w:r>
      <w:r w:rsidR="00901142">
        <w:t xml:space="preserve">, </w:t>
      </w:r>
      <w:r w:rsidR="00C240EC">
        <w:t>and organisational barriers.</w:t>
      </w:r>
    </w:p>
    <w:p w14:paraId="60689C4C" w14:textId="77777777" w:rsidR="00C240EC" w:rsidRDefault="00C240EC" w:rsidP="00C240EC">
      <w:pPr>
        <w:spacing w:after="0" w:line="360" w:lineRule="auto"/>
        <w:ind w:left="-576" w:right="-576"/>
        <w:jc w:val="both"/>
      </w:pPr>
    </w:p>
    <w:p w14:paraId="28410147" w14:textId="75BA3085" w:rsidR="00C240EC" w:rsidRDefault="00187D1D" w:rsidP="00C240EC">
      <w:pPr>
        <w:spacing w:after="0" w:line="360" w:lineRule="auto"/>
        <w:ind w:left="-576" w:right="-576"/>
        <w:jc w:val="both"/>
      </w:pPr>
      <w:r>
        <w:t>R</w:t>
      </w:r>
      <w:r w:rsidR="00C240EC">
        <w:t>isk management</w:t>
      </w:r>
      <w:r>
        <w:t xml:space="preserve"> remains a key </w:t>
      </w:r>
      <w:r w:rsidR="00C240EC">
        <w:t>determinant of project</w:t>
      </w:r>
      <w:r>
        <w:t xml:space="preserve"> performance and</w:t>
      </w:r>
      <w:r w:rsidR="00C240EC">
        <w:t xml:space="preserve"> success.</w:t>
      </w:r>
      <w:r>
        <w:t xml:space="preserve"> The study </w:t>
      </w:r>
      <w:r w:rsidR="008C2591">
        <w:t xml:space="preserve">reinforced that risk management is not a peripheral function but </w:t>
      </w:r>
      <w:r w:rsidR="00024116">
        <w:t xml:space="preserve">the foundation of project delivery, </w:t>
      </w:r>
      <w:r w:rsidR="008C2591">
        <w:t xml:space="preserve">integral to achieving objectives relating to cost, time, quality, and stakeholder satisfaction; </w:t>
      </w:r>
      <w:r w:rsidR="00C240EC">
        <w:t xml:space="preserve">project failures </w:t>
      </w:r>
      <w:r w:rsidR="008C2591">
        <w:t xml:space="preserve">are </w:t>
      </w:r>
      <w:r w:rsidR="00C240EC">
        <w:t>directly linked to inadequate risk practices</w:t>
      </w:r>
      <w:r w:rsidR="00024116" w:rsidRPr="00024116">
        <w:t xml:space="preserve"> </w:t>
      </w:r>
      <w:sdt>
        <w:sdtPr>
          <w:id w:val="1796175056"/>
          <w:citation/>
        </w:sdtPr>
        <w:sdtContent>
          <w:r w:rsidR="00024116">
            <w:fldChar w:fldCharType="begin"/>
          </w:r>
          <w:r w:rsidR="00024116">
            <w:rPr>
              <w:lang w:val="en-US"/>
            </w:rPr>
            <w:instrText xml:space="preserve"> CITATION Zou17 \l 1033 </w:instrText>
          </w:r>
          <w:r w:rsidR="00024116">
            <w:fldChar w:fldCharType="separate"/>
          </w:r>
          <w:r w:rsidR="00024116" w:rsidRPr="00C240EC">
            <w:rPr>
              <w:noProof/>
              <w:lang w:val="en-US"/>
            </w:rPr>
            <w:t>(Zou, 2017)</w:t>
          </w:r>
          <w:r w:rsidR="00024116">
            <w:fldChar w:fldCharType="end"/>
          </w:r>
        </w:sdtContent>
      </w:sdt>
      <w:sdt>
        <w:sdtPr>
          <w:id w:val="-2142726042"/>
          <w:citation/>
        </w:sdtPr>
        <w:sdtContent>
          <w:r w:rsidR="00024116">
            <w:fldChar w:fldCharType="begin"/>
          </w:r>
          <w:r w:rsidR="00024116">
            <w:rPr>
              <w:lang w:val="en-US"/>
            </w:rPr>
            <w:instrText xml:space="preserve"> CITATION Het21 \l 1033 </w:instrText>
          </w:r>
          <w:r w:rsidR="00024116">
            <w:fldChar w:fldCharType="separate"/>
          </w:r>
          <w:r w:rsidR="00024116">
            <w:rPr>
              <w:noProof/>
              <w:lang w:val="en-US"/>
            </w:rPr>
            <w:t xml:space="preserve"> </w:t>
          </w:r>
          <w:r w:rsidR="00024116" w:rsidRPr="00C240EC">
            <w:rPr>
              <w:noProof/>
              <w:lang w:val="en-US"/>
            </w:rPr>
            <w:t>(Hetemi, 2021)</w:t>
          </w:r>
          <w:r w:rsidR="00024116">
            <w:fldChar w:fldCharType="end"/>
          </w:r>
        </w:sdtContent>
      </w:sdt>
      <w:sdt>
        <w:sdtPr>
          <w:id w:val="1290869714"/>
          <w:citation/>
        </w:sdtPr>
        <w:sdtContent>
          <w:r w:rsidR="00024116">
            <w:fldChar w:fldCharType="begin"/>
          </w:r>
          <w:r w:rsidR="00024116">
            <w:rPr>
              <w:lang w:val="en-US"/>
            </w:rPr>
            <w:instrText xml:space="preserve"> CITATION Ros16 \l 1033 </w:instrText>
          </w:r>
          <w:r w:rsidR="00024116">
            <w:fldChar w:fldCharType="separate"/>
          </w:r>
          <w:r w:rsidR="00024116">
            <w:rPr>
              <w:noProof/>
              <w:lang w:val="en-US"/>
            </w:rPr>
            <w:t xml:space="preserve"> </w:t>
          </w:r>
          <w:r w:rsidR="00024116" w:rsidRPr="00C240EC">
            <w:rPr>
              <w:noProof/>
              <w:lang w:val="en-US"/>
            </w:rPr>
            <w:t>(Rostami, 2016)</w:t>
          </w:r>
          <w:r w:rsidR="00024116">
            <w:fldChar w:fldCharType="end"/>
          </w:r>
        </w:sdtContent>
      </w:sdt>
      <w:r w:rsidR="00C240EC">
        <w:t xml:space="preserve">. Yet </w:t>
      </w:r>
      <w:r w:rsidR="0043071B">
        <w:t xml:space="preserve">evidence </w:t>
      </w:r>
      <w:r w:rsidR="00C6026B">
        <w:t xml:space="preserve">shows that </w:t>
      </w:r>
      <w:r w:rsidR="00850657">
        <w:t xml:space="preserve">organisations </w:t>
      </w:r>
      <w:r w:rsidR="00C47186">
        <w:t xml:space="preserve">continue to use tools </w:t>
      </w:r>
      <w:r w:rsidR="007132FD">
        <w:t>superfic</w:t>
      </w:r>
      <w:r w:rsidR="005B6800">
        <w:t>ia</w:t>
      </w:r>
      <w:r w:rsidR="007132FD">
        <w:t xml:space="preserve">lly, in the main at project </w:t>
      </w:r>
      <w:r w:rsidR="005B6800">
        <w:t xml:space="preserve">initiation rather than embedded throughout the lifecycle as part of project governance and a key determinant of decision-making. </w:t>
      </w:r>
      <w:r w:rsidR="00704285">
        <w:t xml:space="preserve">This disconnect strongly mirrors that seen in the </w:t>
      </w:r>
      <w:r w:rsidR="00BA3CB9">
        <w:t>literature and</w:t>
      </w:r>
      <w:r w:rsidR="00222923">
        <w:t xml:space="preserve"> is a key driver for the need to change. </w:t>
      </w:r>
    </w:p>
    <w:p w14:paraId="60DAC952" w14:textId="77777777" w:rsidR="00C240EC" w:rsidRDefault="00C240EC" w:rsidP="00C240EC">
      <w:pPr>
        <w:spacing w:after="0" w:line="360" w:lineRule="auto"/>
        <w:ind w:left="-576" w:right="-576"/>
        <w:jc w:val="both"/>
      </w:pPr>
    </w:p>
    <w:p w14:paraId="446A4866" w14:textId="022C6490" w:rsidR="00C240EC" w:rsidRDefault="007B3966" w:rsidP="00C240EC">
      <w:pPr>
        <w:spacing w:after="0" w:line="360" w:lineRule="auto"/>
        <w:ind w:left="-576" w:right="-576"/>
        <w:jc w:val="both"/>
      </w:pPr>
      <w:r>
        <w:t xml:space="preserve">The strong support for </w:t>
      </w:r>
      <w:r w:rsidR="000D687A">
        <w:t xml:space="preserve">customisable frameworks is indicative </w:t>
      </w:r>
      <w:r w:rsidR="00B674AA">
        <w:t xml:space="preserve">that there is increasing recognition that current </w:t>
      </w:r>
      <w:r w:rsidR="006E222B">
        <w:t xml:space="preserve">rigid </w:t>
      </w:r>
      <w:r w:rsidR="00B674AA">
        <w:t xml:space="preserve">approaches to risk management </w:t>
      </w:r>
      <w:r w:rsidR="006E222B">
        <w:t xml:space="preserve">cannot </w:t>
      </w:r>
      <w:r w:rsidR="00B35722">
        <w:t xml:space="preserve">support the complexity </w:t>
      </w:r>
      <w:r w:rsidR="008F44B9">
        <w:t>or</w:t>
      </w:r>
      <w:r w:rsidR="00B35722">
        <w:t xml:space="preserve"> diversity of the modern project </w:t>
      </w:r>
      <w:r w:rsidR="008F44B9">
        <w:t>landscape. Practi</w:t>
      </w:r>
      <w:r w:rsidR="007C21DD">
        <w:t>ti</w:t>
      </w:r>
      <w:r w:rsidR="008F44B9">
        <w:t xml:space="preserve">oners </w:t>
      </w:r>
      <w:r w:rsidR="007C21DD">
        <w:t xml:space="preserve">need tools that </w:t>
      </w:r>
      <w:r w:rsidR="00AA32F9">
        <w:t xml:space="preserve">offer this </w:t>
      </w:r>
      <w:r w:rsidR="001B0E57">
        <w:t>adaptability yet</w:t>
      </w:r>
      <w:r w:rsidR="00AA32F9">
        <w:t xml:space="preserve"> remain straight forward to use </w:t>
      </w:r>
      <w:r w:rsidR="0089543D">
        <w:t xml:space="preserve">and easily integrated into workflows. </w:t>
      </w:r>
      <w:r w:rsidR="007C21DD">
        <w:t xml:space="preserve"> </w:t>
      </w:r>
      <w:r w:rsidR="0089543D">
        <w:t xml:space="preserve">The value of collaboration and stakeholder </w:t>
      </w:r>
      <w:r w:rsidR="001B0E57">
        <w:t>engagement</w:t>
      </w:r>
      <w:r w:rsidR="00C42FF5">
        <w:t xml:space="preserve"> cannot be </w:t>
      </w:r>
      <w:r w:rsidR="001B0E57">
        <w:t>underestimated</w:t>
      </w:r>
      <w:r w:rsidR="00C42FF5">
        <w:t xml:space="preserve">. </w:t>
      </w:r>
      <w:r w:rsidR="001B0E57">
        <w:t>To</w:t>
      </w:r>
      <w:r w:rsidR="00C42FF5">
        <w:t xml:space="preserve"> </w:t>
      </w:r>
      <w:r w:rsidR="001B0E57">
        <w:t>achieve</w:t>
      </w:r>
      <w:r w:rsidR="00C42FF5">
        <w:t xml:space="preserve"> a </w:t>
      </w:r>
      <w:r w:rsidR="001B0E57">
        <w:t>shared</w:t>
      </w:r>
      <w:r w:rsidR="00C42FF5">
        <w:t xml:space="preserve"> responsibility </w:t>
      </w:r>
      <w:r w:rsidR="001B0E57">
        <w:t>throughout the project team</w:t>
      </w:r>
      <w:r w:rsidR="00537441">
        <w:t>,</w:t>
      </w:r>
      <w:r w:rsidR="001B0E57">
        <w:t xml:space="preserve"> risk management needs to evolve beyond simply technical </w:t>
      </w:r>
      <w:r w:rsidR="00576F86">
        <w:t>capability, human</w:t>
      </w:r>
      <w:r w:rsidR="00C240EC">
        <w:t xml:space="preserve"> and organisational factors</w:t>
      </w:r>
      <w:r w:rsidR="00281051">
        <w:t xml:space="preserve"> continuing to weave across many of the </w:t>
      </w:r>
      <w:r w:rsidR="00E05B08">
        <w:t xml:space="preserve">current barriers. </w:t>
      </w:r>
    </w:p>
    <w:p w14:paraId="3C684354" w14:textId="77777777" w:rsidR="00C240EC" w:rsidRDefault="00C240EC" w:rsidP="00C240EC">
      <w:pPr>
        <w:spacing w:after="0" w:line="360" w:lineRule="auto"/>
        <w:ind w:left="-576" w:right="-576"/>
        <w:jc w:val="both"/>
      </w:pPr>
    </w:p>
    <w:p w14:paraId="06EBB1EE" w14:textId="6BEDB14C" w:rsidR="00C240EC" w:rsidRDefault="00576F86" w:rsidP="00C240EC">
      <w:pPr>
        <w:spacing w:after="0" w:line="360" w:lineRule="auto"/>
        <w:ind w:left="-576" w:right="-576"/>
        <w:jc w:val="both"/>
      </w:pPr>
      <w:r>
        <w:t>Technical</w:t>
      </w:r>
      <w:r w:rsidR="00E05B08">
        <w:t xml:space="preserve"> </w:t>
      </w:r>
      <w:r>
        <w:t xml:space="preserve">improvements in isolation will therefore not </w:t>
      </w:r>
      <w:r w:rsidR="00AC7DDD">
        <w:t xml:space="preserve">address the existing barriers and </w:t>
      </w:r>
      <w:r>
        <w:t>close the current gap.</w:t>
      </w:r>
      <w:r w:rsidR="00F12B25">
        <w:t xml:space="preserve"> Deep seated cultural and capability issues</w:t>
      </w:r>
      <w:r w:rsidR="00EF6369">
        <w:t xml:space="preserve"> need to be simultaneously addressed, requiring </w:t>
      </w:r>
      <w:r w:rsidR="005E40CE">
        <w:t xml:space="preserve">investment in training, leadership and </w:t>
      </w:r>
      <w:r w:rsidR="00186FF7">
        <w:t>organisational</w:t>
      </w:r>
      <w:r w:rsidR="005E40CE">
        <w:t xml:space="preserve"> realignment</w:t>
      </w:r>
      <w:r w:rsidR="00B814B7">
        <w:t xml:space="preserve">. Only with this will the </w:t>
      </w:r>
      <w:r w:rsidR="00186FF7">
        <w:t>capability</w:t>
      </w:r>
      <w:r w:rsidR="00B814B7">
        <w:t xml:space="preserve"> of risk management truly be </w:t>
      </w:r>
      <w:r w:rsidR="00186FF7">
        <w:t xml:space="preserve">exploited, embedding risk management into everyday practice. </w:t>
      </w:r>
      <w:r w:rsidR="00F12B25">
        <w:t xml:space="preserve"> </w:t>
      </w:r>
    </w:p>
    <w:p w14:paraId="1B15A4B8" w14:textId="77777777" w:rsidR="00C240EC" w:rsidRDefault="00C240EC" w:rsidP="00C240EC">
      <w:pPr>
        <w:spacing w:after="0" w:line="360" w:lineRule="auto"/>
        <w:ind w:left="-576" w:right="-576"/>
        <w:jc w:val="both"/>
      </w:pPr>
    </w:p>
    <w:p w14:paraId="12C96CDE" w14:textId="3E625CD6" w:rsidR="00C240EC" w:rsidRDefault="00A87668" w:rsidP="00C240EC">
      <w:pPr>
        <w:spacing w:after="0" w:line="360" w:lineRule="auto"/>
        <w:ind w:left="-576" w:right="-576"/>
        <w:jc w:val="both"/>
      </w:pPr>
      <w:r>
        <w:t>In summary</w:t>
      </w:r>
      <w:r w:rsidR="006543DD">
        <w:t xml:space="preserve">, whilst acknowledging it limitations and the need for further work, </w:t>
      </w:r>
      <w:r>
        <w:t xml:space="preserve">the </w:t>
      </w:r>
      <w:r w:rsidR="00C240EC">
        <w:t xml:space="preserve">evidence </w:t>
      </w:r>
      <w:r>
        <w:t xml:space="preserve">for </w:t>
      </w:r>
      <w:r w:rsidR="00C240EC">
        <w:t>the development of a customisable framework</w:t>
      </w:r>
      <w:r w:rsidR="00180C0D">
        <w:t xml:space="preserve">, </w:t>
      </w:r>
      <w:r w:rsidR="00C240EC">
        <w:t>one that combines usability with methodological depth, standardisation with flexibility, and technical processes with cultural integration</w:t>
      </w:r>
      <w:r w:rsidR="00AC7220">
        <w:t xml:space="preserve"> is clear</w:t>
      </w:r>
      <w:r w:rsidR="00C240EC">
        <w:t xml:space="preserve">. Such a framework has the potential to transform risk management into a genuine strategic </w:t>
      </w:r>
      <w:r w:rsidR="00AC7220">
        <w:t>enabler</w:t>
      </w:r>
      <w:r w:rsidR="00C240EC">
        <w:t>, delivering more consistent, resilient, and successful project outcomes.</w:t>
      </w:r>
    </w:p>
    <w:p w14:paraId="02D1F1A5" w14:textId="270BFDE0" w:rsidR="001951B3" w:rsidRPr="003E6051" w:rsidRDefault="00CC7478" w:rsidP="00C240EC">
      <w:pPr>
        <w:spacing w:after="0" w:line="360" w:lineRule="auto"/>
        <w:ind w:left="-576" w:right="-576"/>
        <w:jc w:val="both"/>
      </w:pPr>
      <w:r>
        <w:rPr>
          <w:color w:val="EE0000"/>
        </w:rPr>
        <w:t>410</w:t>
      </w:r>
      <w:r w:rsidR="00180C0D" w:rsidRPr="00180C0D">
        <w:rPr>
          <w:color w:val="EE0000"/>
        </w:rPr>
        <w:t xml:space="preserve"> (</w:t>
      </w:r>
      <w:r w:rsidR="00C67CBE">
        <w:rPr>
          <w:color w:val="EE0000"/>
        </w:rPr>
        <w:t>1</w:t>
      </w:r>
      <w:r w:rsidR="00E77AAF">
        <w:rPr>
          <w:color w:val="EE0000"/>
        </w:rPr>
        <w:t>6004</w:t>
      </w:r>
      <w:r w:rsidR="00C67CBE">
        <w:rPr>
          <w:color w:val="EE0000"/>
        </w:rPr>
        <w:t>)</w:t>
      </w:r>
      <w:r w:rsidR="001951B3" w:rsidRPr="003E6051">
        <w:br w:type="page"/>
      </w:r>
    </w:p>
    <w:p w14:paraId="0C24FB59" w14:textId="5416CBB3" w:rsidR="001951B3" w:rsidRPr="003E6051" w:rsidRDefault="00373AD1" w:rsidP="007C1BEE">
      <w:pPr>
        <w:pStyle w:val="Heading2"/>
        <w:spacing w:before="0"/>
        <w:ind w:left="-576"/>
        <w:rPr>
          <w:rFonts w:cs="Calibri Light"/>
          <w:sz w:val="22"/>
          <w:szCs w:val="22"/>
          <w:u w:val="single"/>
        </w:rPr>
      </w:pPr>
      <w:bookmarkStart w:id="83" w:name="_Toc219216491"/>
      <w:r>
        <w:rPr>
          <w:rFonts w:cs="Calibri Light"/>
          <w:sz w:val="22"/>
          <w:szCs w:val="22"/>
        </w:rPr>
        <w:lastRenderedPageBreak/>
        <w:t>10</w:t>
      </w:r>
      <w:r w:rsidR="001951B3" w:rsidRPr="003E6051">
        <w:rPr>
          <w:rFonts w:cs="Calibri Light"/>
          <w:sz w:val="22"/>
          <w:szCs w:val="22"/>
        </w:rPr>
        <w:t xml:space="preserve">. </w:t>
      </w:r>
      <w:r w:rsidR="001951B3" w:rsidRPr="003E6051">
        <w:rPr>
          <w:rFonts w:cs="Calibri Light"/>
          <w:sz w:val="22"/>
          <w:szCs w:val="22"/>
          <w:u w:val="single"/>
        </w:rPr>
        <w:t>Recommendations</w:t>
      </w:r>
      <w:r w:rsidR="00CB48DF" w:rsidRPr="003E6051">
        <w:rPr>
          <w:rFonts w:cs="Calibri Light"/>
          <w:sz w:val="22"/>
          <w:szCs w:val="22"/>
          <w:u w:val="single"/>
        </w:rPr>
        <w:t xml:space="preserve"> &amp; Further Work</w:t>
      </w:r>
      <w:bookmarkEnd w:id="83"/>
    </w:p>
    <w:p w14:paraId="1CE5BA11" w14:textId="77777777" w:rsidR="001951B3" w:rsidRPr="003E6051" w:rsidRDefault="001951B3" w:rsidP="007C1BEE">
      <w:pPr>
        <w:spacing w:after="0" w:line="360" w:lineRule="auto"/>
        <w:ind w:left="-576" w:right="-576"/>
        <w:jc w:val="both"/>
      </w:pPr>
    </w:p>
    <w:p w14:paraId="3675FEB8" w14:textId="1AD2A7DA" w:rsidR="00964668" w:rsidRDefault="00964668" w:rsidP="00964668">
      <w:pPr>
        <w:spacing w:after="0" w:line="360" w:lineRule="auto"/>
        <w:ind w:left="-576" w:right="-576"/>
        <w:jc w:val="both"/>
      </w:pPr>
      <w:r>
        <w:t xml:space="preserve">The study has shown that </w:t>
      </w:r>
      <w:r w:rsidR="00E71C78">
        <w:t xml:space="preserve">there are several gaps in, and barriers to, effective </w:t>
      </w:r>
      <w:r w:rsidR="0092725B">
        <w:t>use of risk tools and therefore risk management practices. Consequently</w:t>
      </w:r>
      <w:r w:rsidR="005F3D6E">
        <w:t>, there are a number of opportunities to strengthen this. W</w:t>
      </w:r>
      <w:r>
        <w:t xml:space="preserve">hile risk assessment tools are widely embedded, their </w:t>
      </w:r>
      <w:r w:rsidR="0099258E">
        <w:t>application</w:t>
      </w:r>
      <w:r>
        <w:t xml:space="preserve"> is inconsistent and constrained by </w:t>
      </w:r>
      <w:r w:rsidR="0099258E">
        <w:t xml:space="preserve">several factors. </w:t>
      </w:r>
      <w:r w:rsidR="00120ACD">
        <w:t xml:space="preserve">Based on the findings, several </w:t>
      </w:r>
      <w:r w:rsidR="00B713F8">
        <w:t xml:space="preserve">recommendations emerge. </w:t>
      </w:r>
    </w:p>
    <w:p w14:paraId="67B99AC7" w14:textId="77777777" w:rsidR="00964668" w:rsidRDefault="00964668" w:rsidP="00964668">
      <w:pPr>
        <w:spacing w:after="0" w:line="360" w:lineRule="auto"/>
        <w:ind w:left="-576" w:right="-576"/>
        <w:jc w:val="both"/>
      </w:pPr>
    </w:p>
    <w:p w14:paraId="3848193F" w14:textId="4EA3F4B1" w:rsidR="00496E9C" w:rsidRDefault="006225D6" w:rsidP="00B713F8">
      <w:pPr>
        <w:spacing w:after="0" w:line="360" w:lineRule="auto"/>
        <w:ind w:left="-576" w:right="-576"/>
        <w:jc w:val="both"/>
      </w:pPr>
      <w:r>
        <w:t>The first</w:t>
      </w:r>
      <w:r w:rsidR="00EB29B9">
        <w:t xml:space="preserve">, and supportive of one of the main project objectives, is </w:t>
      </w:r>
      <w:r w:rsidR="00B713F8">
        <w:t>the</w:t>
      </w:r>
      <w:r w:rsidR="00B713F8" w:rsidRPr="003D2792">
        <w:t xml:space="preserve"> development of a modular and customisable framework for risk management</w:t>
      </w:r>
      <w:r w:rsidR="00B713F8">
        <w:t>. Over 83% of participants agreed on its necessity, and nearly 90% indicated a willingness to adopt it if it improved outcomes. Such a framework should retain core principles consistent with</w:t>
      </w:r>
      <w:r w:rsidR="001F174B">
        <w:t xml:space="preserve"> </w:t>
      </w:r>
      <w:r w:rsidR="00B15C4E">
        <w:t>established</w:t>
      </w:r>
      <w:r w:rsidR="001F174B">
        <w:t xml:space="preserve"> best practice standards</w:t>
      </w:r>
      <w:r w:rsidR="00B15C4E">
        <w:t xml:space="preserve"> like</w:t>
      </w:r>
      <w:r w:rsidR="00B713F8">
        <w:t xml:space="preserve"> ISO 31000 and PMBOK, while </w:t>
      </w:r>
      <w:r w:rsidR="00CE73F0">
        <w:t xml:space="preserve">enabling tailoring to project </w:t>
      </w:r>
      <w:r w:rsidR="00B713F8">
        <w:t xml:space="preserve">scale, complexity, and </w:t>
      </w:r>
      <w:r w:rsidR="00F83EE1">
        <w:t xml:space="preserve">sector-specific </w:t>
      </w:r>
      <w:r w:rsidR="00B713F8">
        <w:t xml:space="preserve">context </w:t>
      </w:r>
      <w:sdt>
        <w:sdtPr>
          <w:id w:val="105243139"/>
          <w:citation/>
        </w:sdtPr>
        <w:sdtContent>
          <w:r w:rsidR="00B713F8">
            <w:fldChar w:fldCharType="begin"/>
          </w:r>
          <w:r w:rsidR="00B713F8">
            <w:rPr>
              <w:lang w:val="en-US"/>
            </w:rPr>
            <w:instrText xml:space="preserve"> CITATION Jac18 \l 1033 </w:instrText>
          </w:r>
          <w:r w:rsidR="00B713F8">
            <w:fldChar w:fldCharType="separate"/>
          </w:r>
          <w:r w:rsidR="00B713F8" w:rsidRPr="00964668">
            <w:rPr>
              <w:noProof/>
              <w:lang w:val="en-US"/>
            </w:rPr>
            <w:t>(Jacqueline Jepson, 2018)</w:t>
          </w:r>
          <w:r w:rsidR="00B713F8">
            <w:fldChar w:fldCharType="end"/>
          </w:r>
        </w:sdtContent>
      </w:sdt>
      <w:r w:rsidR="00B713F8">
        <w:t xml:space="preserve">. </w:t>
      </w:r>
      <w:r w:rsidR="00F83EE1">
        <w:t xml:space="preserve">Features incorporated should include those highlighted by respondents, including </w:t>
      </w:r>
      <w:r w:rsidR="00B713F8">
        <w:t xml:space="preserve">user-friendly templates, dashboards, and reporting functions, </w:t>
      </w:r>
      <w:r w:rsidR="00C95EAA">
        <w:t xml:space="preserve">along with integration </w:t>
      </w:r>
      <w:r w:rsidR="00B713F8">
        <w:t>with digital project management systems to ensure risk practices are embedded into everyday workflows</w:t>
      </w:r>
      <w:r w:rsidR="00DC07C5">
        <w:t xml:space="preserve">, and recue the perception </w:t>
      </w:r>
      <w:r w:rsidR="000E42C3">
        <w:t>that they are an administrative task or burden</w:t>
      </w:r>
      <w:r w:rsidR="00B713F8">
        <w:t xml:space="preserve">. </w:t>
      </w:r>
    </w:p>
    <w:p w14:paraId="53AD0FF9" w14:textId="77777777" w:rsidR="00496E9C" w:rsidRDefault="00496E9C" w:rsidP="00B713F8">
      <w:pPr>
        <w:spacing w:after="0" w:line="360" w:lineRule="auto"/>
        <w:ind w:left="-576" w:right="-576"/>
        <w:jc w:val="both"/>
      </w:pPr>
    </w:p>
    <w:p w14:paraId="76FB3C6A" w14:textId="77777777" w:rsidR="004854DF" w:rsidRDefault="003D2792" w:rsidP="00FE291D">
      <w:pPr>
        <w:spacing w:after="0" w:line="360" w:lineRule="auto"/>
        <w:ind w:left="-576" w:right="-576"/>
        <w:jc w:val="both"/>
      </w:pPr>
      <w:r>
        <w:t xml:space="preserve">The second is to embed risk management across the project lifecycle. </w:t>
      </w:r>
      <w:r w:rsidR="007D3BA4">
        <w:t>Current practice often concentrates risk assessment at project initiation, leaving little attention to emerging risks during execution and delivery. Organisations should treat risk management as a</w:t>
      </w:r>
      <w:r w:rsidR="00987B26">
        <w:t>n iterative,</w:t>
      </w:r>
      <w:r w:rsidR="007D3BA4">
        <w:t xml:space="preserve"> continuous process, updating risk registers regularly, </w:t>
      </w:r>
      <w:r w:rsidR="006B796D">
        <w:t xml:space="preserve">with key milestone reviews. </w:t>
      </w:r>
      <w:r w:rsidR="008D25BC">
        <w:t xml:space="preserve">Use of </w:t>
      </w:r>
      <w:r w:rsidR="007D3BA4">
        <w:t xml:space="preserve">scenario modelling and simulation techniques </w:t>
      </w:r>
      <w:r w:rsidR="008D25BC">
        <w:t xml:space="preserve">would support </w:t>
      </w:r>
      <w:r w:rsidR="007D3BA4">
        <w:t>anticipa</w:t>
      </w:r>
      <w:r w:rsidR="008E16F4">
        <w:t>tion</w:t>
      </w:r>
      <w:r w:rsidR="007D3BA4">
        <w:t xml:space="preserve"> dynamic risks</w:t>
      </w:r>
      <w:r w:rsidR="00ED5824">
        <w:t xml:space="preserve"> and pro-active decision </w:t>
      </w:r>
      <w:r w:rsidR="004854DF">
        <w:t>making</w:t>
      </w:r>
      <w:r w:rsidR="007D3BA4">
        <w:t xml:space="preserve"> </w:t>
      </w:r>
      <w:sdt>
        <w:sdtPr>
          <w:id w:val="2079789627"/>
          <w:citation/>
        </w:sdtPr>
        <w:sdtContent>
          <w:r w:rsidR="007D3BA4">
            <w:fldChar w:fldCharType="begin"/>
          </w:r>
          <w:r w:rsidR="007D3BA4">
            <w:rPr>
              <w:lang w:val="en-US"/>
            </w:rPr>
            <w:instrText xml:space="preserve"> CITATION Enr12 \l 1033 </w:instrText>
          </w:r>
          <w:r w:rsidR="007D3BA4">
            <w:fldChar w:fldCharType="separate"/>
          </w:r>
          <w:r w:rsidR="007D3BA4" w:rsidRPr="00964668">
            <w:rPr>
              <w:noProof/>
              <w:lang w:val="en-US"/>
            </w:rPr>
            <w:t>(Enrico Zio, 2012)</w:t>
          </w:r>
          <w:r w:rsidR="007D3BA4">
            <w:fldChar w:fldCharType="end"/>
          </w:r>
        </w:sdtContent>
      </w:sdt>
      <w:r w:rsidR="007D3BA4">
        <w:t xml:space="preserve">. </w:t>
      </w:r>
    </w:p>
    <w:p w14:paraId="696CC61A" w14:textId="77777777" w:rsidR="004854DF" w:rsidRDefault="004854DF" w:rsidP="00FE291D">
      <w:pPr>
        <w:spacing w:after="0" w:line="360" w:lineRule="auto"/>
        <w:ind w:left="-576" w:right="-576"/>
        <w:jc w:val="both"/>
      </w:pPr>
    </w:p>
    <w:p w14:paraId="48F00A5D" w14:textId="5DB950BC" w:rsidR="007D3BA4" w:rsidRDefault="007D3BA4" w:rsidP="00FE291D">
      <w:pPr>
        <w:spacing w:after="0" w:line="360" w:lineRule="auto"/>
        <w:ind w:left="-576" w:right="-576"/>
        <w:jc w:val="both"/>
      </w:pPr>
      <w:r>
        <w:t xml:space="preserve">To support this, </w:t>
      </w:r>
      <w:r w:rsidR="004854DF">
        <w:t>the th</w:t>
      </w:r>
      <w:r w:rsidR="002F3EE9">
        <w:t xml:space="preserve">ird recommendation is to put </w:t>
      </w:r>
      <w:r>
        <w:t>significant investment in</w:t>
      </w:r>
      <w:r w:rsidR="002F3EE9">
        <w:t>to</w:t>
      </w:r>
      <w:r>
        <w:t xml:space="preserve"> training </w:t>
      </w:r>
      <w:r w:rsidR="00763CE9">
        <w:t>and capability development</w:t>
      </w:r>
      <w:r>
        <w:t xml:space="preserve">. A recurring theme in the findings was that tool ineffectiveness often reflected knowledge </w:t>
      </w:r>
      <w:r w:rsidR="000E49A5">
        <w:t>gaps</w:t>
      </w:r>
      <w:r>
        <w:t xml:space="preserve"> rather than </w:t>
      </w:r>
      <w:r w:rsidR="000E49A5">
        <w:t>technical limitations of the</w:t>
      </w:r>
      <w:r>
        <w:t xml:space="preserve"> tools themselves. Organisations should therefore deliver scenario-based training, run cross-functional workshops, and embed continuous professional development for project managers </w:t>
      </w:r>
      <w:sdt>
        <w:sdtPr>
          <w:id w:val="-17854735"/>
          <w:citation/>
        </w:sdtPr>
        <w:sdtContent>
          <w:r>
            <w:fldChar w:fldCharType="begin"/>
          </w:r>
          <w:r>
            <w:rPr>
              <w:lang w:val="en-US"/>
            </w:rPr>
            <w:instrText xml:space="preserve"> CITATION TRa01 \l 1033 </w:instrText>
          </w:r>
          <w:r>
            <w:fldChar w:fldCharType="separate"/>
          </w:r>
          <w:r w:rsidRPr="00964668">
            <w:rPr>
              <w:noProof/>
              <w:lang w:val="en-US"/>
            </w:rPr>
            <w:t>(T. Raz, 2001)</w:t>
          </w:r>
          <w:r>
            <w:fldChar w:fldCharType="end"/>
          </w:r>
        </w:sdtContent>
      </w:sdt>
      <w:r>
        <w:t>. Strengthening competence would ensure risk management is applied strategically rather than as a compliance exercise.</w:t>
      </w:r>
    </w:p>
    <w:p w14:paraId="0587E1DA" w14:textId="77777777" w:rsidR="007D3BA4" w:rsidRDefault="007D3BA4" w:rsidP="00B713F8">
      <w:pPr>
        <w:spacing w:after="0" w:line="360" w:lineRule="auto"/>
        <w:ind w:left="-576" w:right="-576"/>
        <w:jc w:val="both"/>
      </w:pPr>
    </w:p>
    <w:p w14:paraId="540D6208" w14:textId="0699437A" w:rsidR="008710C3" w:rsidRDefault="00055496" w:rsidP="008710C3">
      <w:pPr>
        <w:spacing w:after="0" w:line="360" w:lineRule="auto"/>
        <w:ind w:left="-576" w:right="-576"/>
        <w:jc w:val="both"/>
      </w:pPr>
      <w:r>
        <w:t>Similarly</w:t>
      </w:r>
      <w:r w:rsidR="00EE46C8">
        <w:t xml:space="preserve"> </w:t>
      </w:r>
      <w:r w:rsidR="008710C3">
        <w:t>fostering stakeholder engagement and organisational buy-in</w:t>
      </w:r>
      <w:r>
        <w:t xml:space="preserve"> needs to be addressed</w:t>
      </w:r>
      <w:r w:rsidR="008710C3">
        <w:t>. Respondents emphasised the need for cultural commitment</w:t>
      </w:r>
      <w:r w:rsidR="0003426E">
        <w:t>, collaboration</w:t>
      </w:r>
      <w:r w:rsidR="008710C3">
        <w:t xml:space="preserve"> and shared ownership</w:t>
      </w:r>
      <w:r w:rsidR="0003426E">
        <w:t>, central to driving effective risk management</w:t>
      </w:r>
      <w:r w:rsidR="008710C3">
        <w:t xml:space="preserve">. </w:t>
      </w:r>
      <w:r w:rsidR="0003426E">
        <w:t>S</w:t>
      </w:r>
      <w:r w:rsidR="008710C3">
        <w:t xml:space="preserve">takeholders should be involved in risk identification and mitigation planning, supported by transparent communication channels that build trust and reduce perception gaps </w:t>
      </w:r>
      <w:sdt>
        <w:sdtPr>
          <w:id w:val="-565728522"/>
          <w:citation/>
        </w:sdtPr>
        <w:sdtContent>
          <w:r w:rsidR="008710C3">
            <w:fldChar w:fldCharType="begin"/>
          </w:r>
          <w:r w:rsidR="008710C3">
            <w:rPr>
              <w:lang w:val="en-US"/>
            </w:rPr>
            <w:instrText xml:space="preserve"> CITATION Mar10 \l 1033 </w:instrText>
          </w:r>
          <w:r w:rsidR="008710C3">
            <w:fldChar w:fldCharType="separate"/>
          </w:r>
          <w:r w:rsidR="008710C3" w:rsidRPr="00964668">
            <w:rPr>
              <w:noProof/>
              <w:lang w:val="en-US"/>
            </w:rPr>
            <w:t>(Schieg, 2010)</w:t>
          </w:r>
          <w:r w:rsidR="008710C3">
            <w:fldChar w:fldCharType="end"/>
          </w:r>
        </w:sdtContent>
      </w:sdt>
      <w:r w:rsidR="008710C3">
        <w:t xml:space="preserve">. Leadership </w:t>
      </w:r>
      <w:r w:rsidR="00AE463C">
        <w:t>investment</w:t>
      </w:r>
      <w:r w:rsidR="008710C3">
        <w:t xml:space="preserve"> is vital, as management commitment </w:t>
      </w:r>
      <w:r w:rsidR="00AE463C">
        <w:t>is</w:t>
      </w:r>
      <w:r w:rsidR="008710C3">
        <w:t xml:space="preserve"> consistently linked to more effective risk practices </w:t>
      </w:r>
      <w:sdt>
        <w:sdtPr>
          <w:id w:val="-605965114"/>
          <w:citation/>
        </w:sdtPr>
        <w:sdtContent>
          <w:r w:rsidR="008710C3">
            <w:fldChar w:fldCharType="begin"/>
          </w:r>
          <w:r w:rsidR="008710C3">
            <w:rPr>
              <w:lang w:val="en-US"/>
            </w:rPr>
            <w:instrText xml:space="preserve"> CITATION Dra20 \l 1033 </w:instrText>
          </w:r>
          <w:r w:rsidR="008710C3">
            <w:fldChar w:fldCharType="separate"/>
          </w:r>
          <w:r w:rsidR="008710C3" w:rsidRPr="00964668">
            <w:rPr>
              <w:noProof/>
              <w:lang w:val="en-US"/>
            </w:rPr>
            <w:t>(Dragan Komljenovic, 2020)</w:t>
          </w:r>
          <w:r w:rsidR="008710C3">
            <w:fldChar w:fldCharType="end"/>
          </w:r>
        </w:sdtContent>
      </w:sdt>
      <w:r w:rsidR="008710C3">
        <w:t xml:space="preserve">. In parallel, organisations should introduce systematic auditing and continuous improvement </w:t>
      </w:r>
      <w:r w:rsidR="008710C3">
        <w:lastRenderedPageBreak/>
        <w:t xml:space="preserve">processes. Regular audits, structured feedback loops, and benchmarking against industry peers would ensure risk management remains dynamic, adaptive, and aligned with evolving project challenges </w:t>
      </w:r>
      <w:sdt>
        <w:sdtPr>
          <w:id w:val="-1253498781"/>
          <w:citation/>
        </w:sdtPr>
        <w:sdtContent>
          <w:r w:rsidR="008710C3">
            <w:fldChar w:fldCharType="begin"/>
          </w:r>
          <w:r w:rsidR="008710C3">
            <w:rPr>
              <w:lang w:val="en-US"/>
            </w:rPr>
            <w:instrText xml:space="preserve"> CITATION Des11 \l 1033 </w:instrText>
          </w:r>
          <w:r w:rsidR="008710C3">
            <w:fldChar w:fldCharType="separate"/>
          </w:r>
          <w:r w:rsidR="008710C3" w:rsidRPr="00964668">
            <w:rPr>
              <w:noProof/>
              <w:lang w:val="en-US"/>
            </w:rPr>
            <w:t>(Robin S. Poston, 2011)</w:t>
          </w:r>
          <w:r w:rsidR="008710C3">
            <w:fldChar w:fldCharType="end"/>
          </w:r>
        </w:sdtContent>
      </w:sdt>
      <w:r w:rsidR="008710C3">
        <w:t>.</w:t>
      </w:r>
    </w:p>
    <w:p w14:paraId="69B1D723" w14:textId="77777777" w:rsidR="007D3BA4" w:rsidRDefault="007D3BA4" w:rsidP="00B713F8">
      <w:pPr>
        <w:spacing w:after="0" w:line="360" w:lineRule="auto"/>
        <w:ind w:left="-576" w:right="-576"/>
        <w:jc w:val="both"/>
      </w:pPr>
    </w:p>
    <w:p w14:paraId="280954E4" w14:textId="7FF68BAB" w:rsidR="00B713F8" w:rsidRDefault="00B713F8" w:rsidP="00B713F8">
      <w:pPr>
        <w:spacing w:after="0" w:line="360" w:lineRule="auto"/>
        <w:ind w:left="-576" w:right="-576"/>
        <w:jc w:val="both"/>
      </w:pPr>
      <w:r>
        <w:t>Alongside framework design, there is a need to standardise the use of core tools</w:t>
      </w:r>
      <w:r w:rsidR="00AE463C">
        <w:t xml:space="preserve">. </w:t>
      </w:r>
      <w:r>
        <w:t xml:space="preserve"> </w:t>
      </w:r>
      <w:r w:rsidR="00AE463C">
        <w:t>Tools such as</w:t>
      </w:r>
      <w:r>
        <w:t xml:space="preserve"> risk registers, matrices, and FMEA</w:t>
      </w:r>
      <w:r w:rsidR="00941417">
        <w:t xml:space="preserve"> should be standardised to enable consistency and comparability across projects</w:t>
      </w:r>
      <w:r>
        <w:t>.</w:t>
      </w:r>
      <w:r w:rsidR="00941417">
        <w:t xml:space="preserve"> </w:t>
      </w:r>
      <w:r w:rsidR="0067061D">
        <w:t>Over</w:t>
      </w:r>
      <w:r>
        <w:t xml:space="preserve">ly complex quantitative techniques, such as Monte Carlo simulation, </w:t>
      </w:r>
      <w:r w:rsidR="0067061D">
        <w:t xml:space="preserve">should be </w:t>
      </w:r>
      <w:r>
        <w:t>simpli</w:t>
      </w:r>
      <w:r w:rsidR="0067061D">
        <w:t>fied</w:t>
      </w:r>
      <w:r w:rsidR="00DC07C5">
        <w:t xml:space="preserve"> to encourage appropriate adoption and</w:t>
      </w:r>
      <w:r>
        <w:t xml:space="preserve"> more meaningful engagement. </w:t>
      </w:r>
    </w:p>
    <w:p w14:paraId="71ABB680" w14:textId="77777777" w:rsidR="00B713F8" w:rsidRDefault="00B713F8" w:rsidP="00B713F8">
      <w:pPr>
        <w:spacing w:after="0" w:line="360" w:lineRule="auto"/>
        <w:ind w:left="-576" w:right="-576"/>
        <w:jc w:val="both"/>
      </w:pPr>
    </w:p>
    <w:p w14:paraId="229C0C23" w14:textId="7983233B" w:rsidR="00756569" w:rsidRDefault="00756569" w:rsidP="00756569">
      <w:pPr>
        <w:spacing w:after="0" w:line="360" w:lineRule="auto"/>
        <w:ind w:left="-576" w:right="-576"/>
        <w:jc w:val="both"/>
      </w:pPr>
      <w:r>
        <w:t xml:space="preserve">The findings of this study open several avenues for future </w:t>
      </w:r>
      <w:r w:rsidR="00B52754">
        <w:t>work</w:t>
      </w:r>
      <w:r>
        <w:t xml:space="preserve">. Further studies could explore how customisable frameworks might be operationalised in practice. Comparative analyses across sectors could help determine how modular frameworks could balance industry-specific needs with overarching consistency. Research could investigate the role of emerging technologies such as artificial intelligence in enhancing risk prediction and analysis. </w:t>
      </w:r>
    </w:p>
    <w:p w14:paraId="03710A12" w14:textId="77777777" w:rsidR="00756569" w:rsidRDefault="00756569" w:rsidP="00964668">
      <w:pPr>
        <w:spacing w:after="0" w:line="360" w:lineRule="auto"/>
        <w:ind w:left="-576" w:right="-576"/>
        <w:jc w:val="both"/>
      </w:pPr>
    </w:p>
    <w:p w14:paraId="00475C72" w14:textId="51C7341F" w:rsidR="00964668" w:rsidRDefault="00964668" w:rsidP="00964668">
      <w:pPr>
        <w:spacing w:after="0" w:line="360" w:lineRule="auto"/>
        <w:ind w:left="-576" w:right="-576"/>
        <w:jc w:val="both"/>
      </w:pPr>
      <w:r>
        <w:t>While these recommendations provide a pathway for strengthening practice, the study’s limitations underscore the need for further research. The reliance on a single organisation constrains the breadth of findings, meaning the results should be treated as indicative rather than representative of the entire project management field. To expand applicability, future research should adopt cross-sectoral and multi-organisational designs, comparing industries such as IT, healthcare, and infrastructure</w:t>
      </w:r>
      <w:r w:rsidR="00625615">
        <w:t xml:space="preserve"> </w:t>
      </w:r>
      <w:sdt>
        <w:sdtPr>
          <w:id w:val="1466319627"/>
          <w:citation/>
        </w:sdtPr>
        <w:sdtContent>
          <w:r w:rsidR="00625615">
            <w:fldChar w:fldCharType="begin"/>
          </w:r>
          <w:r w:rsidR="00625615">
            <w:rPr>
              <w:lang w:val="en-US"/>
            </w:rPr>
            <w:instrText xml:space="preserve"> CITATION Ash21 \l 1033 </w:instrText>
          </w:r>
          <w:r w:rsidR="00625615">
            <w:fldChar w:fldCharType="separate"/>
          </w:r>
          <w:r w:rsidR="00625615" w:rsidRPr="00625615">
            <w:rPr>
              <w:noProof/>
              <w:lang w:val="en-US"/>
            </w:rPr>
            <w:t>(Ashish Kumar Loomba, 2021)</w:t>
          </w:r>
          <w:r w:rsidR="00625615">
            <w:fldChar w:fldCharType="end"/>
          </w:r>
        </w:sdtContent>
      </w:sdt>
      <w:r>
        <w:t>. Longitudinal studies would also be valuable to track the implementation and effectiveness of customisable frameworks over multiple project lifecycles, allowing evaluation of their sustainability, scalability, and long-term contribution to outcomes</w:t>
      </w:r>
      <w:sdt>
        <w:sdtPr>
          <w:id w:val="1357932886"/>
          <w:citation/>
        </w:sdtPr>
        <w:sdtContent>
          <w:r w:rsidR="00625615">
            <w:fldChar w:fldCharType="begin"/>
          </w:r>
          <w:r w:rsidR="00625615">
            <w:rPr>
              <w:lang w:val="en-US"/>
            </w:rPr>
            <w:instrText xml:space="preserve"> CITATION Mer20 \l 1033 </w:instrText>
          </w:r>
          <w:r w:rsidR="00625615">
            <w:fldChar w:fldCharType="separate"/>
          </w:r>
          <w:r w:rsidR="00625615">
            <w:rPr>
              <w:noProof/>
              <w:lang w:val="en-US"/>
            </w:rPr>
            <w:t xml:space="preserve"> </w:t>
          </w:r>
          <w:r w:rsidR="00625615" w:rsidRPr="00625615">
            <w:rPr>
              <w:noProof/>
              <w:lang w:val="en-US"/>
            </w:rPr>
            <w:t>(Merkourios Papanikolaou, 2020)</w:t>
          </w:r>
          <w:r w:rsidR="00625615">
            <w:fldChar w:fldCharType="end"/>
          </w:r>
        </w:sdtContent>
      </w:sdt>
      <w:r>
        <w:t>.</w:t>
      </w:r>
    </w:p>
    <w:p w14:paraId="4CB232B7" w14:textId="77777777" w:rsidR="00964668" w:rsidRDefault="00964668" w:rsidP="00964668">
      <w:pPr>
        <w:spacing w:after="0" w:line="360" w:lineRule="auto"/>
        <w:ind w:left="-576" w:right="-576"/>
        <w:jc w:val="both"/>
      </w:pPr>
    </w:p>
    <w:p w14:paraId="7595B3C2" w14:textId="77777777" w:rsidR="003775FA" w:rsidRDefault="00964668" w:rsidP="00964668">
      <w:pPr>
        <w:spacing w:after="0" w:line="360" w:lineRule="auto"/>
        <w:ind w:left="-576" w:right="-576"/>
        <w:jc w:val="both"/>
      </w:pPr>
      <w:r>
        <w:t xml:space="preserve">Emerging technologies represent another key area for investigation. AI, predictive analytics, and machine learning hold potential for real-time risk forecasting </w:t>
      </w:r>
      <w:sdt>
        <w:sdtPr>
          <w:id w:val="-431360710"/>
          <w:citation/>
        </w:sdtPr>
        <w:sdtContent>
          <w:r w:rsidR="00625615">
            <w:fldChar w:fldCharType="begin"/>
          </w:r>
          <w:r w:rsidR="00625615">
            <w:rPr>
              <w:lang w:val="en-US"/>
            </w:rPr>
            <w:instrText xml:space="preserve"> CITATION Roy241 \l 1033 </w:instrText>
          </w:r>
          <w:r w:rsidR="00625615">
            <w:fldChar w:fldCharType="separate"/>
          </w:r>
          <w:r w:rsidR="00625615" w:rsidRPr="00625615">
            <w:rPr>
              <w:noProof/>
              <w:lang w:val="en-US"/>
            </w:rPr>
            <w:t>(Roy, 2024)</w:t>
          </w:r>
          <w:r w:rsidR="00625615">
            <w:fldChar w:fldCharType="end"/>
          </w:r>
        </w:sdtContent>
      </w:sdt>
      <w:r>
        <w:t xml:space="preserve">, </w:t>
      </w:r>
      <w:r w:rsidR="00A06604">
        <w:t>but they</w:t>
      </w:r>
      <w:r>
        <w:t xml:space="preserve"> raise concerns about data quality, bias, interpretability, and over-reliance on automation. Future work should explore hybrid approaches that integrate predictive analytics with human judgment to balance efficiency with accountability. </w:t>
      </w:r>
    </w:p>
    <w:p w14:paraId="19BB3D57" w14:textId="77777777" w:rsidR="003775FA" w:rsidRDefault="003775FA" w:rsidP="00964668">
      <w:pPr>
        <w:spacing w:after="0" w:line="360" w:lineRule="auto"/>
        <w:ind w:left="-576" w:right="-576"/>
        <w:jc w:val="both"/>
      </w:pPr>
    </w:p>
    <w:p w14:paraId="6B508440" w14:textId="78355CC3" w:rsidR="00964668" w:rsidRDefault="00964668" w:rsidP="00964668">
      <w:pPr>
        <w:spacing w:after="0" w:line="360" w:lineRule="auto"/>
        <w:ind w:left="-576" w:right="-576"/>
        <w:jc w:val="both"/>
      </w:pPr>
      <w:r>
        <w:t>Additionally, organisational and cultural dynamics deserve further exploration. This study highlighted resistance to change and lack of management support as barriers equal in weight to technical limitations. Future research should therefore examine strategies for embedding risk culture, leadership styles that foster engagement</w:t>
      </w:r>
      <w:r w:rsidR="00625615">
        <w:t xml:space="preserve"> </w:t>
      </w:r>
      <w:sdt>
        <w:sdtPr>
          <w:id w:val="2108767000"/>
          <w:citation/>
        </w:sdtPr>
        <w:sdtContent>
          <w:r w:rsidR="00625615">
            <w:fldChar w:fldCharType="begin"/>
          </w:r>
          <w:r w:rsidR="00625615">
            <w:rPr>
              <w:lang w:val="en-US"/>
            </w:rPr>
            <w:instrText xml:space="preserve"> CITATION Aer17 \l 1033 </w:instrText>
          </w:r>
          <w:r w:rsidR="00625615">
            <w:fldChar w:fldCharType="separate"/>
          </w:r>
          <w:r w:rsidR="00625615" w:rsidRPr="00625615">
            <w:rPr>
              <w:noProof/>
              <w:lang w:val="en-US"/>
            </w:rPr>
            <w:t>(Aerts, 2017)</w:t>
          </w:r>
          <w:r w:rsidR="00625615">
            <w:fldChar w:fldCharType="end"/>
          </w:r>
        </w:sdtContent>
      </w:sdt>
      <w:r>
        <w:t>, and cross-cultural differences in risk perception and adoption</w:t>
      </w:r>
      <w:r w:rsidR="00625615">
        <w:t xml:space="preserve"> </w:t>
      </w:r>
      <w:sdt>
        <w:sdtPr>
          <w:id w:val="-1697685919"/>
          <w:citation/>
        </w:sdtPr>
        <w:sdtContent>
          <w:r w:rsidR="00625615">
            <w:fldChar w:fldCharType="begin"/>
          </w:r>
          <w:r w:rsidR="00625615">
            <w:rPr>
              <w:lang w:val="en-US"/>
            </w:rPr>
            <w:instrText xml:space="preserve"> CITATION Why21 \l 1033 </w:instrText>
          </w:r>
          <w:r w:rsidR="00625615">
            <w:fldChar w:fldCharType="separate"/>
          </w:r>
          <w:r w:rsidR="00625615" w:rsidRPr="00625615">
            <w:rPr>
              <w:noProof/>
              <w:lang w:val="en-US"/>
            </w:rPr>
            <w:t>(Whyte, 2021)</w:t>
          </w:r>
          <w:r w:rsidR="00625615">
            <w:fldChar w:fldCharType="end"/>
          </w:r>
        </w:sdtContent>
      </w:sdt>
      <w:r>
        <w:t xml:space="preserve">. </w:t>
      </w:r>
      <w:r w:rsidR="00B74E72">
        <w:t>Testing of</w:t>
      </w:r>
      <w:r>
        <w:t xml:space="preserve"> prototype frameworks in practice </w:t>
      </w:r>
      <w:r w:rsidR="00172102">
        <w:t xml:space="preserve">should be undertaken </w:t>
      </w:r>
      <w:r>
        <w:t>to assess usability, adoption, and their impact on project performance, including cost, time, and stakeholder satisfaction. Such validation would ensure that conceptual models translate into operationally effective tools.</w:t>
      </w:r>
    </w:p>
    <w:p w14:paraId="5ED1730A" w14:textId="6B3123F8" w:rsidR="001951B3" w:rsidRPr="003E6051" w:rsidRDefault="00625615" w:rsidP="00964668">
      <w:pPr>
        <w:spacing w:after="0" w:line="360" w:lineRule="auto"/>
        <w:ind w:left="-576" w:right="-576"/>
        <w:jc w:val="both"/>
      </w:pPr>
      <w:r>
        <w:lastRenderedPageBreak/>
        <w:t>T</w:t>
      </w:r>
      <w:r w:rsidR="00964668">
        <w:t>his research has shown that risk assessment tools are widely used but underutilised in their strategic potential. The strong practitioner demand for a flexible, user-centred framework reflects both a practical need and an academic opportunity. At the same time, the single-organisation limitation must be emphasised: while the findings are internally valid and capture real challenges, they cannot be assumed to represent the project management landscape in its entirety. Nonetheless, the</w:t>
      </w:r>
      <w:r w:rsidR="00172102">
        <w:t xml:space="preserve"> findings align with existing themes presented in the literature. </w:t>
      </w:r>
      <w:r w:rsidR="00964668">
        <w:t>The recommendations presented</w:t>
      </w:r>
      <w:r>
        <w:t xml:space="preserve">, </w:t>
      </w:r>
      <w:r w:rsidR="00964668">
        <w:t>spanning framework design, tool standardisation, training, cultural embedding, and auditing</w:t>
      </w:r>
      <w:r>
        <w:t xml:space="preserve">, </w:t>
      </w:r>
      <w:r w:rsidR="00964668">
        <w:t>offer practical measures for bridging theory and practice, while the avenues for further research highlight the importance of technological innovation, cultural awareness, and longitudinal evidence. Taken together, these steps would enable the development of risk management frameworks that are not only methodologically robust but also contextually adaptable, user-centred, and operationally effective.</w:t>
      </w:r>
    </w:p>
    <w:p w14:paraId="736B6E14" w14:textId="77777777" w:rsidR="001951B3" w:rsidRPr="003E6051" w:rsidRDefault="001951B3" w:rsidP="007C1BEE">
      <w:pPr>
        <w:spacing w:after="0" w:line="360" w:lineRule="auto"/>
        <w:ind w:left="-576" w:right="-576"/>
        <w:jc w:val="both"/>
      </w:pPr>
    </w:p>
    <w:p w14:paraId="2A6C0928" w14:textId="1117B4EB" w:rsidR="00CE0785" w:rsidRPr="00625615" w:rsidRDefault="00CC7478" w:rsidP="007C1BEE">
      <w:pPr>
        <w:spacing w:after="0" w:line="360" w:lineRule="auto"/>
        <w:ind w:left="-576" w:right="-576"/>
        <w:jc w:val="both"/>
        <w:rPr>
          <w:color w:val="EE0000"/>
        </w:rPr>
      </w:pPr>
      <w:r>
        <w:rPr>
          <w:color w:val="EE0000"/>
        </w:rPr>
        <w:t>860</w:t>
      </w:r>
      <w:r w:rsidR="00625615" w:rsidRPr="00625615">
        <w:rPr>
          <w:color w:val="EE0000"/>
        </w:rPr>
        <w:t xml:space="preserve"> (</w:t>
      </w:r>
      <w:r>
        <w:rPr>
          <w:color w:val="EE0000"/>
        </w:rPr>
        <w:t>16</w:t>
      </w:r>
      <w:r w:rsidR="00E77AAF">
        <w:rPr>
          <w:color w:val="EE0000"/>
        </w:rPr>
        <w:t>86</w:t>
      </w:r>
      <w:r>
        <w:rPr>
          <w:color w:val="EE0000"/>
        </w:rPr>
        <w:t>4</w:t>
      </w:r>
      <w:r w:rsidR="00C67CBE">
        <w:rPr>
          <w:color w:val="EE0000"/>
        </w:rPr>
        <w:t>)</w:t>
      </w:r>
    </w:p>
    <w:p w14:paraId="5CE5B8B8" w14:textId="77777777" w:rsidR="008B616D" w:rsidRDefault="008B616D" w:rsidP="007C1BEE">
      <w:pPr>
        <w:spacing w:after="0" w:line="360" w:lineRule="auto"/>
        <w:ind w:left="-576" w:right="-576"/>
        <w:jc w:val="both"/>
      </w:pPr>
    </w:p>
    <w:p w14:paraId="49F7008A" w14:textId="77777777" w:rsidR="008B616D" w:rsidRDefault="008B616D" w:rsidP="007C1BEE">
      <w:pPr>
        <w:spacing w:after="0" w:line="360" w:lineRule="auto"/>
        <w:ind w:left="-576" w:right="-576"/>
        <w:jc w:val="both"/>
      </w:pPr>
    </w:p>
    <w:p w14:paraId="23766DB6" w14:textId="73EC43EE" w:rsidR="00CE0785" w:rsidRPr="003E6051" w:rsidRDefault="00CE0785" w:rsidP="007C1BEE">
      <w:pPr>
        <w:spacing w:after="0" w:line="360" w:lineRule="auto"/>
        <w:ind w:left="-576" w:right="-576"/>
        <w:jc w:val="both"/>
      </w:pPr>
      <w:r w:rsidRPr="003E6051">
        <w:br w:type="page"/>
      </w:r>
    </w:p>
    <w:bookmarkStart w:id="84" w:name="_Toc219216492" w:displacedByCustomXml="next"/>
    <w:sdt>
      <w:sdtPr>
        <w:rPr>
          <w:rFonts w:eastAsiaTheme="minorHAnsi" w:cs="Calibri Light"/>
          <w:sz w:val="22"/>
          <w:szCs w:val="22"/>
        </w:rPr>
        <w:id w:val="-2061709826"/>
        <w:docPartObj>
          <w:docPartGallery w:val="Bibliographies"/>
          <w:docPartUnique/>
        </w:docPartObj>
      </w:sdtPr>
      <w:sdtContent>
        <w:p w14:paraId="3E08B388" w14:textId="2B820E35" w:rsidR="009766E3" w:rsidRPr="003E6051" w:rsidRDefault="00CB48DF" w:rsidP="007C1BEE">
          <w:pPr>
            <w:pStyle w:val="Heading2"/>
            <w:spacing w:before="0" w:line="360" w:lineRule="auto"/>
            <w:ind w:left="-576" w:right="-576"/>
            <w:jc w:val="both"/>
            <w:rPr>
              <w:rFonts w:cs="Calibri Light"/>
              <w:sz w:val="22"/>
              <w:szCs w:val="22"/>
            </w:rPr>
          </w:pPr>
          <w:r w:rsidRPr="003E6051">
            <w:rPr>
              <w:rFonts w:eastAsiaTheme="minorHAnsi" w:cs="Calibri Light"/>
              <w:sz w:val="22"/>
              <w:szCs w:val="22"/>
            </w:rPr>
            <w:t>1</w:t>
          </w:r>
          <w:r w:rsidR="00373AD1">
            <w:rPr>
              <w:rFonts w:eastAsiaTheme="minorHAnsi" w:cs="Calibri Light"/>
              <w:sz w:val="22"/>
              <w:szCs w:val="22"/>
            </w:rPr>
            <w:t>1</w:t>
          </w:r>
          <w:r w:rsidR="009766E3" w:rsidRPr="003E6051">
            <w:rPr>
              <w:rFonts w:cs="Calibri Light"/>
              <w:sz w:val="22"/>
              <w:szCs w:val="22"/>
            </w:rPr>
            <w:t xml:space="preserve">. </w:t>
          </w:r>
          <w:r w:rsidR="009766E3" w:rsidRPr="003E6051">
            <w:rPr>
              <w:rFonts w:cs="Calibri Light"/>
              <w:sz w:val="22"/>
              <w:szCs w:val="22"/>
              <w:u w:val="single"/>
            </w:rPr>
            <w:t>References</w:t>
          </w:r>
          <w:bookmarkEnd w:id="84"/>
        </w:p>
        <w:p w14:paraId="02596038" w14:textId="77777777" w:rsidR="009766E3" w:rsidRPr="003E6051" w:rsidRDefault="009766E3" w:rsidP="007C1BEE">
          <w:pPr>
            <w:spacing w:after="0" w:line="360" w:lineRule="auto"/>
            <w:ind w:left="-576" w:right="-576"/>
            <w:jc w:val="both"/>
          </w:pPr>
        </w:p>
        <w:sdt>
          <w:sdtPr>
            <w:id w:val="-573587230"/>
            <w:bibliography/>
          </w:sdtPr>
          <w:sdtContent>
            <w:p w14:paraId="2F3CDB44" w14:textId="77777777" w:rsidR="001D60B3" w:rsidRDefault="009766E3" w:rsidP="001D60B3">
              <w:pPr>
                <w:pStyle w:val="Bibliography"/>
                <w:rPr>
                  <w:noProof/>
                  <w:sz w:val="24"/>
                  <w:szCs w:val="24"/>
                </w:rPr>
              </w:pPr>
              <w:r w:rsidRPr="003E6051">
                <w:fldChar w:fldCharType="begin"/>
              </w:r>
              <w:r w:rsidRPr="003E6051">
                <w:instrText xml:space="preserve"> BIBLIOGRAPHY </w:instrText>
              </w:r>
              <w:r w:rsidRPr="003E6051">
                <w:fldChar w:fldCharType="separate"/>
              </w:r>
              <w:r w:rsidR="001D60B3">
                <w:rPr>
                  <w:noProof/>
                </w:rPr>
                <w:t xml:space="preserve">Abdurrahman Abubaker Gasemagha, T. O. K., 2021. Project Manager Role in Project Management Success. </w:t>
              </w:r>
              <w:r w:rsidR="001D60B3">
                <w:rPr>
                  <w:i/>
                  <w:iCs/>
                  <w:noProof/>
                </w:rPr>
                <w:t xml:space="preserve">International Journal of Academic Research in Business &amp; Social Sciences , </w:t>
              </w:r>
              <w:r w:rsidR="001D60B3">
                <w:rPr>
                  <w:noProof/>
                </w:rPr>
                <w:t>11(3), pp. 1345-1355.</w:t>
              </w:r>
            </w:p>
            <w:p w14:paraId="4CB48709" w14:textId="77777777" w:rsidR="001D60B3" w:rsidRDefault="001D60B3" w:rsidP="001D60B3">
              <w:pPr>
                <w:pStyle w:val="Bibliography"/>
                <w:rPr>
                  <w:noProof/>
                </w:rPr>
              </w:pPr>
              <w:r>
                <w:rPr>
                  <w:noProof/>
                </w:rPr>
                <w:t xml:space="preserve">Aerts, G. D. M. &amp;. H. E., 2017. Knowledge transfers and project-based learning in large scale infrastructure development. </w:t>
              </w:r>
              <w:r>
                <w:rPr>
                  <w:i/>
                  <w:iCs/>
                  <w:noProof/>
                </w:rPr>
                <w:t xml:space="preserve">International Journal of Project Management, </w:t>
              </w:r>
              <w:r>
                <w:rPr>
                  <w:noProof/>
                </w:rPr>
                <w:t>35(5), pp. 828-838.</w:t>
              </w:r>
            </w:p>
            <w:p w14:paraId="44AD3B1D" w14:textId="77777777" w:rsidR="001D60B3" w:rsidRDefault="001D60B3" w:rsidP="001D60B3">
              <w:pPr>
                <w:pStyle w:val="Bibliography"/>
                <w:rPr>
                  <w:noProof/>
                </w:rPr>
              </w:pPr>
              <w:r>
                <w:rPr>
                  <w:noProof/>
                </w:rPr>
                <w:t xml:space="preserve">Ahmetaj, M. &amp;. A. B., 2020. Agile risk management framework for complex projects.. </w:t>
              </w:r>
              <w:r>
                <w:rPr>
                  <w:i/>
                  <w:iCs/>
                  <w:noProof/>
                </w:rPr>
                <w:t xml:space="preserve">International Journal of Business and Management, </w:t>
              </w:r>
              <w:r>
                <w:rPr>
                  <w:noProof/>
                </w:rPr>
                <w:t>15(3), pp. 23-34.</w:t>
              </w:r>
            </w:p>
            <w:p w14:paraId="44C18F04" w14:textId="77777777" w:rsidR="001D60B3" w:rsidRDefault="001D60B3" w:rsidP="001D60B3">
              <w:pPr>
                <w:pStyle w:val="Bibliography"/>
                <w:rPr>
                  <w:noProof/>
                </w:rPr>
              </w:pPr>
              <w:r>
                <w:rPr>
                  <w:noProof/>
                </w:rPr>
                <w:t xml:space="preserve">Ali Akbari Ahmadabadi, G. H., 2019. Risk assessment framework of PPP-megaprojects focusing on risk ineraction and project success. </w:t>
              </w:r>
              <w:r>
                <w:rPr>
                  <w:i/>
                  <w:iCs/>
                  <w:noProof/>
                </w:rPr>
                <w:t xml:space="preserve">Transportation Research Part A, </w:t>
              </w:r>
              <w:r>
                <w:rPr>
                  <w:noProof/>
                </w:rPr>
                <w:t>Volume 124, p. 169188.</w:t>
              </w:r>
            </w:p>
            <w:p w14:paraId="5098713B" w14:textId="77777777" w:rsidR="001D60B3" w:rsidRDefault="001D60B3" w:rsidP="001D60B3">
              <w:pPr>
                <w:pStyle w:val="Bibliography"/>
                <w:rPr>
                  <w:noProof/>
                </w:rPr>
              </w:pPr>
              <w:r>
                <w:rPr>
                  <w:noProof/>
                </w:rPr>
                <w:t xml:space="preserve">Antonio G. Sanjuana, T. F., 2013. The Application of Project Management Standards and Success Factors to the Development of a Project Management Assessment Tool. </w:t>
              </w:r>
              <w:r>
                <w:rPr>
                  <w:i/>
                  <w:iCs/>
                  <w:noProof/>
                </w:rPr>
                <w:t xml:space="preserve">SciVerse Science Direct , </w:t>
              </w:r>
              <w:r>
                <w:rPr>
                  <w:noProof/>
                </w:rPr>
                <w:t>Volume 74, pp. 91-100.</w:t>
              </w:r>
            </w:p>
            <w:p w14:paraId="033CCA0A" w14:textId="77777777" w:rsidR="001D60B3" w:rsidRDefault="001D60B3" w:rsidP="001D60B3">
              <w:pPr>
                <w:pStyle w:val="Bibliography"/>
                <w:rPr>
                  <w:noProof/>
                </w:rPr>
              </w:pPr>
              <w:r>
                <w:rPr>
                  <w:noProof/>
                </w:rPr>
                <w:t xml:space="preserve">Ashish Kumar Loomba, V. E. B. D. J. S., 2021. Risk-informed field development workflows.. </w:t>
              </w:r>
              <w:r>
                <w:rPr>
                  <w:i/>
                  <w:iCs/>
                  <w:noProof/>
                </w:rPr>
                <w:t xml:space="preserve">Journal of Petroleum Science and Engineering, </w:t>
              </w:r>
              <w:r>
                <w:rPr>
                  <w:noProof/>
                </w:rPr>
                <w:t>Volume 197.</w:t>
              </w:r>
            </w:p>
            <w:p w14:paraId="4E1FA0CC" w14:textId="77777777" w:rsidR="001D60B3" w:rsidRDefault="001D60B3" w:rsidP="001D60B3">
              <w:pPr>
                <w:pStyle w:val="Bibliography"/>
                <w:rPr>
                  <w:noProof/>
                </w:rPr>
              </w:pPr>
              <w:r>
                <w:rPr>
                  <w:noProof/>
                </w:rPr>
                <w:t xml:space="preserve">Aven, T., 2016. Risk assessment and risk management: Review of recent advances on their foundation. </w:t>
              </w:r>
              <w:r>
                <w:rPr>
                  <w:i/>
                  <w:iCs/>
                  <w:noProof/>
                </w:rPr>
                <w:t xml:space="preserve">European Journal of Operational Research, </w:t>
              </w:r>
              <w:r>
                <w:rPr>
                  <w:noProof/>
                </w:rPr>
                <w:t>Volume 253, pp. 1-13.</w:t>
              </w:r>
            </w:p>
            <w:p w14:paraId="2E6890AC" w14:textId="77777777" w:rsidR="001D60B3" w:rsidRDefault="001D60B3" w:rsidP="001D60B3">
              <w:pPr>
                <w:pStyle w:val="Bibliography"/>
                <w:rPr>
                  <w:noProof/>
                </w:rPr>
              </w:pPr>
              <w:r>
                <w:rPr>
                  <w:noProof/>
                </w:rPr>
                <w:t xml:space="preserve">Aven, T., 2016. Risk assessment and risk management: Review of recent advances on their foundation. </w:t>
              </w:r>
              <w:r>
                <w:rPr>
                  <w:i/>
                  <w:iCs/>
                  <w:noProof/>
                </w:rPr>
                <w:t xml:space="preserve">European Journal of Operational Research, </w:t>
              </w:r>
              <w:r>
                <w:rPr>
                  <w:noProof/>
                </w:rPr>
                <w:t>253(1), pp. 1-13.</w:t>
              </w:r>
            </w:p>
            <w:p w14:paraId="7C82E9CD" w14:textId="77777777" w:rsidR="001D60B3" w:rsidRDefault="001D60B3" w:rsidP="001D60B3">
              <w:pPr>
                <w:pStyle w:val="Bibliography"/>
                <w:rPr>
                  <w:noProof/>
                </w:rPr>
              </w:pPr>
              <w:r>
                <w:rPr>
                  <w:noProof/>
                </w:rPr>
                <w:t xml:space="preserve">Bannerman, P. L., 2008. Risk and risk management in software projects: A reassessment. </w:t>
              </w:r>
              <w:r>
                <w:rPr>
                  <w:i/>
                  <w:iCs/>
                  <w:noProof/>
                </w:rPr>
                <w:t xml:space="preserve">The Journal of Systems and Software, </w:t>
              </w:r>
              <w:r>
                <w:rPr>
                  <w:noProof/>
                </w:rPr>
                <w:t>Volume 81, pp. 2118-2133.</w:t>
              </w:r>
            </w:p>
            <w:p w14:paraId="45505D13" w14:textId="77777777" w:rsidR="001D60B3" w:rsidRDefault="001D60B3" w:rsidP="001D60B3">
              <w:pPr>
                <w:pStyle w:val="Bibliography"/>
                <w:rPr>
                  <w:noProof/>
                </w:rPr>
              </w:pPr>
              <w:r>
                <w:rPr>
                  <w:noProof/>
                </w:rPr>
                <w:t xml:space="preserve">Battaglia, M. P., 2008. </w:t>
              </w:r>
              <w:r>
                <w:rPr>
                  <w:i/>
                  <w:iCs/>
                  <w:noProof/>
                </w:rPr>
                <w:t xml:space="preserve">Encyclopedia of Survey Research Methods. </w:t>
              </w:r>
              <w:r>
                <w:rPr>
                  <w:noProof/>
                </w:rPr>
                <w:t>Thousand Oaks: SAGE Publications, Inc..</w:t>
              </w:r>
            </w:p>
            <w:p w14:paraId="370F88A1" w14:textId="77777777" w:rsidR="001D60B3" w:rsidRDefault="001D60B3" w:rsidP="001D60B3">
              <w:pPr>
                <w:pStyle w:val="Bibliography"/>
                <w:rPr>
                  <w:noProof/>
                </w:rPr>
              </w:pPr>
              <w:r>
                <w:rPr>
                  <w:noProof/>
                </w:rPr>
                <w:t xml:space="preserve">Behrad Barghi, S. S. s., 2020. Qualitative and quantitative project risk assessment using a hybrid PMBOK model developed under uncertainty conditions. </w:t>
              </w:r>
              <w:r>
                <w:rPr>
                  <w:i/>
                  <w:iCs/>
                  <w:noProof/>
                </w:rPr>
                <w:t xml:space="preserve">Heliyon, </w:t>
              </w:r>
              <w:r>
                <w:rPr>
                  <w:noProof/>
                </w:rPr>
                <w:t>6(1).</w:t>
              </w:r>
            </w:p>
            <w:p w14:paraId="69F96373" w14:textId="77777777" w:rsidR="001D60B3" w:rsidRDefault="001D60B3" w:rsidP="001D60B3">
              <w:pPr>
                <w:pStyle w:val="Bibliography"/>
                <w:rPr>
                  <w:noProof/>
                </w:rPr>
              </w:pPr>
              <w:r>
                <w:rPr>
                  <w:noProof/>
                </w:rPr>
                <w:t xml:space="preserve">Boardman, A. E. G. D. H. V. A. R. &amp;. W. D. L., 2017. </w:t>
              </w:r>
              <w:r>
                <w:rPr>
                  <w:i/>
                  <w:iCs/>
                  <w:noProof/>
                </w:rPr>
                <w:t xml:space="preserve">Cost-Benefit Analysis: Concepts and Practice., </w:t>
              </w:r>
              <w:r>
                <w:rPr>
                  <w:noProof/>
                </w:rPr>
                <w:t>Cambridge : Cambridge University Press..</w:t>
              </w:r>
            </w:p>
            <w:p w14:paraId="1F692040" w14:textId="77777777" w:rsidR="001D60B3" w:rsidRDefault="001D60B3" w:rsidP="001D60B3">
              <w:pPr>
                <w:pStyle w:val="Bibliography"/>
                <w:rPr>
                  <w:noProof/>
                </w:rPr>
              </w:pPr>
              <w:r>
                <w:rPr>
                  <w:noProof/>
                </w:rPr>
                <w:t xml:space="preserve">Bower, D. &amp;. A. S., 2019. Enhancing risk management in projects: Towards a practical framework.. </w:t>
              </w:r>
              <w:r>
                <w:rPr>
                  <w:i/>
                  <w:iCs/>
                  <w:noProof/>
                </w:rPr>
                <w:t xml:space="preserve">International Journal of Project Management,, </w:t>
              </w:r>
              <w:r>
                <w:rPr>
                  <w:noProof/>
                </w:rPr>
                <w:t>37(8), pp. 1015-1027.</w:t>
              </w:r>
            </w:p>
            <w:p w14:paraId="1F06F930" w14:textId="77777777" w:rsidR="001D60B3" w:rsidRDefault="001D60B3" w:rsidP="001D60B3">
              <w:pPr>
                <w:pStyle w:val="Bibliography"/>
                <w:rPr>
                  <w:noProof/>
                </w:rPr>
              </w:pPr>
              <w:r>
                <w:rPr>
                  <w:noProof/>
                </w:rPr>
                <w:t xml:space="preserve">Byjus, 2025. </w:t>
              </w:r>
              <w:r>
                <w:rPr>
                  <w:i/>
                  <w:iCs/>
                  <w:noProof/>
                </w:rPr>
                <w:t xml:space="preserve">www.byjus.com. </w:t>
              </w:r>
              <w:r>
                <w:rPr>
                  <w:noProof/>
                </w:rPr>
                <w:t xml:space="preserve">[Online] </w:t>
              </w:r>
              <w:r>
                <w:rPr>
                  <w:noProof/>
                </w:rPr>
                <w:br/>
                <w:t xml:space="preserve">Available at: </w:t>
              </w:r>
              <w:r>
                <w:rPr>
                  <w:noProof/>
                  <w:u w:val="single"/>
                </w:rPr>
                <w:t>https://byjus.com/maths/sampling-error/</w:t>
              </w:r>
              <w:r>
                <w:rPr>
                  <w:noProof/>
                </w:rPr>
                <w:br/>
                <w:t>[Accessed 18 02 2025].</w:t>
              </w:r>
            </w:p>
            <w:p w14:paraId="69927A48" w14:textId="77777777" w:rsidR="001D60B3" w:rsidRDefault="001D60B3" w:rsidP="001D60B3">
              <w:pPr>
                <w:pStyle w:val="Bibliography"/>
                <w:rPr>
                  <w:noProof/>
                </w:rPr>
              </w:pPr>
              <w:r>
                <w:rPr>
                  <w:noProof/>
                </w:rPr>
                <w:t xml:space="preserve">C. Demira, I. K., 2010. Project Management Maturity Model (PMMM) in educational organisations. </w:t>
              </w:r>
              <w:r>
                <w:rPr>
                  <w:i/>
                  <w:iCs/>
                  <w:noProof/>
                </w:rPr>
                <w:t xml:space="preserve">Procedia Social and Behavioral Sciences , </w:t>
              </w:r>
              <w:r>
                <w:rPr>
                  <w:noProof/>
                </w:rPr>
                <w:t>Volume 9, p. 1641–1645.</w:t>
              </w:r>
            </w:p>
            <w:p w14:paraId="3369FFD0" w14:textId="77777777" w:rsidR="001D60B3" w:rsidRDefault="001D60B3" w:rsidP="001D60B3">
              <w:pPr>
                <w:pStyle w:val="Bibliography"/>
                <w:rPr>
                  <w:noProof/>
                </w:rPr>
              </w:pPr>
              <w:r>
                <w:rPr>
                  <w:noProof/>
                </w:rPr>
                <w:t xml:space="preserve">Cagliano, A. C. G. S. &amp;. R. C., 2015. Choosing project risk management techniques: A theoretical framework. </w:t>
              </w:r>
              <w:r>
                <w:rPr>
                  <w:i/>
                  <w:iCs/>
                  <w:noProof/>
                </w:rPr>
                <w:t xml:space="preserve">Journal of Risk Research, </w:t>
              </w:r>
              <w:r>
                <w:rPr>
                  <w:noProof/>
                </w:rPr>
                <w:t>18(2), pp. 232-248.</w:t>
              </w:r>
            </w:p>
            <w:p w14:paraId="0487985F" w14:textId="77777777" w:rsidR="001D60B3" w:rsidRDefault="001D60B3" w:rsidP="001D60B3">
              <w:pPr>
                <w:pStyle w:val="Bibliography"/>
                <w:rPr>
                  <w:noProof/>
                </w:rPr>
              </w:pPr>
              <w:r>
                <w:rPr>
                  <w:noProof/>
                </w:rPr>
                <w:lastRenderedPageBreak/>
                <w:t xml:space="preserve">Cagno, E. C. F. &amp;. M. M., 2011. Risk analysis in project management: An integrated methodology. </w:t>
              </w:r>
              <w:r>
                <w:rPr>
                  <w:i/>
                  <w:iCs/>
                  <w:noProof/>
                </w:rPr>
                <w:t xml:space="preserve">Project Management Journal, </w:t>
              </w:r>
              <w:r>
                <w:rPr>
                  <w:noProof/>
                </w:rPr>
                <w:t>42(1), pp. 56-72.</w:t>
              </w:r>
            </w:p>
            <w:p w14:paraId="60ED24C4" w14:textId="77777777" w:rsidR="001D60B3" w:rsidRDefault="001D60B3" w:rsidP="001D60B3">
              <w:pPr>
                <w:pStyle w:val="Bibliography"/>
                <w:rPr>
                  <w:noProof/>
                </w:rPr>
              </w:pPr>
              <w:r>
                <w:rPr>
                  <w:noProof/>
                </w:rPr>
                <w:t xml:space="preserve">Cervone, H. F., 2006. Project risk management. </w:t>
              </w:r>
              <w:r>
                <w:rPr>
                  <w:i/>
                  <w:iCs/>
                  <w:noProof/>
                </w:rPr>
                <w:t xml:space="preserve">OCLC Systems &amp; Services, </w:t>
              </w:r>
              <w:r>
                <w:rPr>
                  <w:noProof/>
                </w:rPr>
                <w:t>22(4), pp. 256-262.</w:t>
              </w:r>
            </w:p>
            <w:p w14:paraId="04A84C26" w14:textId="77777777" w:rsidR="001D60B3" w:rsidRDefault="001D60B3" w:rsidP="001D60B3">
              <w:pPr>
                <w:pStyle w:val="Bibliography"/>
                <w:rPr>
                  <w:noProof/>
                </w:rPr>
              </w:pPr>
              <w:r>
                <w:rPr>
                  <w:noProof/>
                </w:rPr>
                <w:t xml:space="preserve">Chapman, C. &amp;. W. S., 2011. </w:t>
              </w:r>
              <w:r>
                <w:rPr>
                  <w:i/>
                  <w:iCs/>
                  <w:noProof/>
                </w:rPr>
                <w:t xml:space="preserve">How to manage project opportunity and risk: Why uncertainty management can be a much better approach than risk management. </w:t>
              </w:r>
              <w:r>
                <w:rPr>
                  <w:noProof/>
                </w:rPr>
                <w:t>s.l.:John Wiley &amp; Sons.</w:t>
              </w:r>
            </w:p>
            <w:p w14:paraId="477DF238" w14:textId="77777777" w:rsidR="001D60B3" w:rsidRDefault="001D60B3" w:rsidP="001D60B3">
              <w:pPr>
                <w:pStyle w:val="Bibliography"/>
                <w:rPr>
                  <w:noProof/>
                </w:rPr>
              </w:pPr>
              <w:r>
                <w:rPr>
                  <w:noProof/>
                </w:rPr>
                <w:t xml:space="preserve">Chapman, C. B. &amp; Ward, S., 1997. Project Risk Management. In: </w:t>
              </w:r>
              <w:r>
                <w:rPr>
                  <w:i/>
                  <w:iCs/>
                  <w:noProof/>
                </w:rPr>
                <w:t xml:space="preserve">Processes, Techniques, and Insights. </w:t>
              </w:r>
              <w:r>
                <w:rPr>
                  <w:noProof/>
                </w:rPr>
                <w:t>Chichester: John Wiley &amp; Sons, Ltd.</w:t>
              </w:r>
            </w:p>
            <w:p w14:paraId="45C232D3" w14:textId="77777777" w:rsidR="001D60B3" w:rsidRDefault="001D60B3" w:rsidP="001D60B3">
              <w:pPr>
                <w:pStyle w:val="Bibliography"/>
                <w:rPr>
                  <w:noProof/>
                </w:rPr>
              </w:pPr>
              <w:r>
                <w:rPr>
                  <w:noProof/>
                </w:rPr>
                <w:t xml:space="preserve">Chun Mei Wang, B. B. X. S. J. Z. Y. Q. C., 2016. Influence of personality and risk propensity on risk perception of Chinese construction project managers. </w:t>
              </w:r>
              <w:r>
                <w:rPr>
                  <w:i/>
                  <w:iCs/>
                  <w:noProof/>
                </w:rPr>
                <w:t xml:space="preserve">International Journal of Project Management , </w:t>
              </w:r>
              <w:r>
                <w:rPr>
                  <w:noProof/>
                </w:rPr>
                <w:t>Volume 34, p. 1294–1304.</w:t>
              </w:r>
            </w:p>
            <w:p w14:paraId="46249262" w14:textId="77777777" w:rsidR="001D60B3" w:rsidRDefault="001D60B3" w:rsidP="001D60B3">
              <w:pPr>
                <w:pStyle w:val="Bibliography"/>
                <w:rPr>
                  <w:noProof/>
                </w:rPr>
              </w:pPr>
              <w:r>
                <w:rPr>
                  <w:noProof/>
                </w:rPr>
                <w:t xml:space="preserve">Diana White, J. F., 2002. Current practice in project management - an empiricl study. </w:t>
              </w:r>
              <w:r>
                <w:rPr>
                  <w:i/>
                  <w:iCs/>
                  <w:noProof/>
                </w:rPr>
                <w:t xml:space="preserve">International Journal of Project Management , </w:t>
              </w:r>
              <w:r>
                <w:rPr>
                  <w:noProof/>
                </w:rPr>
                <w:t>Volume 20, pp. 1-11.</w:t>
              </w:r>
            </w:p>
            <w:p w14:paraId="04108941" w14:textId="77777777" w:rsidR="001D60B3" w:rsidRDefault="001D60B3" w:rsidP="001D60B3">
              <w:pPr>
                <w:pStyle w:val="Bibliography"/>
                <w:rPr>
                  <w:noProof/>
                </w:rPr>
              </w:pPr>
              <w:r>
                <w:rPr>
                  <w:noProof/>
                </w:rPr>
                <w:t xml:space="preserve">Dong Zhao, A. P. M. B. M. K. T. H. M. H. L., 2016. Stakeholder perceptions of risk in construction. </w:t>
              </w:r>
              <w:r>
                <w:rPr>
                  <w:i/>
                  <w:iCs/>
                  <w:noProof/>
                </w:rPr>
                <w:t xml:space="preserve">Safety Science, </w:t>
              </w:r>
              <w:r>
                <w:rPr>
                  <w:noProof/>
                </w:rPr>
                <w:t>Volume 82, p. 111–119.</w:t>
              </w:r>
            </w:p>
            <w:p w14:paraId="096E3951" w14:textId="77777777" w:rsidR="001D60B3" w:rsidRDefault="001D60B3" w:rsidP="001D60B3">
              <w:pPr>
                <w:pStyle w:val="Bibliography"/>
                <w:rPr>
                  <w:noProof/>
                </w:rPr>
              </w:pPr>
              <w:r>
                <w:rPr>
                  <w:noProof/>
                </w:rPr>
                <w:t xml:space="preserve">Dr Mohammad Taghipour, Z. H. M. S. M. M., 2015. Construction projects risk management by risk allocation approach using PMBOK standard. </w:t>
              </w:r>
              <w:r>
                <w:rPr>
                  <w:i/>
                  <w:iCs/>
                  <w:noProof/>
                </w:rPr>
                <w:t xml:space="preserve">Journal of Applied Environmental and Biological Sciences, </w:t>
              </w:r>
              <w:r>
                <w:rPr>
                  <w:noProof/>
                </w:rPr>
                <w:t>5(12), pp. 323-329.</w:t>
              </w:r>
            </w:p>
            <w:p w14:paraId="64997C77" w14:textId="77777777" w:rsidR="001D60B3" w:rsidRDefault="001D60B3" w:rsidP="001D60B3">
              <w:pPr>
                <w:pStyle w:val="Bibliography"/>
                <w:rPr>
                  <w:noProof/>
                </w:rPr>
              </w:pPr>
              <w:r>
                <w:rPr>
                  <w:noProof/>
                </w:rPr>
                <w:t xml:space="preserve">Dragan Komljenovic, G. A.-N. a. J.-F. B., 2020. Risk-informed decision-making in asset management as a complex adaptive system of systems. </w:t>
              </w:r>
              <w:r>
                <w:rPr>
                  <w:i/>
                  <w:iCs/>
                  <w:noProof/>
                </w:rPr>
                <w:t xml:space="preserve">International Journal of Strategic Engineering Asset Management, </w:t>
              </w:r>
              <w:r>
                <w:rPr>
                  <w:noProof/>
                </w:rPr>
                <w:t>3(3), pp. 198-238.</w:t>
              </w:r>
            </w:p>
            <w:p w14:paraId="6F48C93A" w14:textId="77777777" w:rsidR="001D60B3" w:rsidRDefault="001D60B3" w:rsidP="001D60B3">
              <w:pPr>
                <w:pStyle w:val="Bibliography"/>
                <w:rPr>
                  <w:noProof/>
                </w:rPr>
              </w:pPr>
              <w:r>
                <w:rPr>
                  <w:noProof/>
                </w:rPr>
                <w:t xml:space="preserve">Enrico Zio, N. P., 2012. </w:t>
              </w:r>
              <w:r>
                <w:rPr>
                  <w:i/>
                  <w:iCs/>
                  <w:noProof/>
                </w:rPr>
                <w:t xml:space="preserve">Overview of risk-informed decision-making processes. </w:t>
              </w:r>
              <w:r>
                <w:rPr>
                  <w:noProof/>
                </w:rPr>
                <w:t>s.l.:FonCSI.</w:t>
              </w:r>
            </w:p>
            <w:p w14:paraId="565CBAC4" w14:textId="77777777" w:rsidR="001D60B3" w:rsidRDefault="001D60B3" w:rsidP="001D60B3">
              <w:pPr>
                <w:pStyle w:val="Bibliography"/>
                <w:rPr>
                  <w:noProof/>
                </w:rPr>
              </w:pPr>
              <w:r>
                <w:rPr>
                  <w:noProof/>
                </w:rPr>
                <w:t xml:space="preserve">Eybpoosh, M. D. I. &amp;. B. M. T., 2015. Identification of risk paths in international construction projects using structural equation modeling.. </w:t>
              </w:r>
              <w:r>
                <w:rPr>
                  <w:i/>
                  <w:iCs/>
                  <w:noProof/>
                </w:rPr>
                <w:t xml:space="preserve">Journal of Construction Engineering and Management, </w:t>
              </w:r>
              <w:r>
                <w:rPr>
                  <w:noProof/>
                </w:rPr>
                <w:t>141(9).</w:t>
              </w:r>
            </w:p>
            <w:p w14:paraId="3E75E56B" w14:textId="77777777" w:rsidR="001D60B3" w:rsidRDefault="001D60B3" w:rsidP="001D60B3">
              <w:pPr>
                <w:pStyle w:val="Bibliography"/>
                <w:rPr>
                  <w:noProof/>
                </w:rPr>
              </w:pPr>
              <w:r>
                <w:rPr>
                  <w:noProof/>
                </w:rPr>
                <w:t xml:space="preserve">Ferro, R. M. O., 2020. </w:t>
              </w:r>
              <w:r>
                <w:rPr>
                  <w:i/>
                  <w:iCs/>
                  <w:noProof/>
                </w:rPr>
                <w:t xml:space="preserve">Quality Risk Management, its tools and practical applications, </w:t>
              </w:r>
              <w:r>
                <w:rPr>
                  <w:noProof/>
                </w:rPr>
                <w:t>s.l.: Universidade de Lisboa.</w:t>
              </w:r>
            </w:p>
            <w:p w14:paraId="4BEF0925" w14:textId="77777777" w:rsidR="001D60B3" w:rsidRDefault="001D60B3" w:rsidP="001D60B3">
              <w:pPr>
                <w:pStyle w:val="Bibliography"/>
                <w:rPr>
                  <w:noProof/>
                </w:rPr>
              </w:pPr>
              <w:r>
                <w:rPr>
                  <w:noProof/>
                </w:rPr>
                <w:t xml:space="preserve">Fink, A., 2017. </w:t>
              </w:r>
              <w:r>
                <w:rPr>
                  <w:i/>
                  <w:iCs/>
                  <w:noProof/>
                </w:rPr>
                <w:t xml:space="preserve">How to conduct surveys:a step by step guide. </w:t>
              </w:r>
              <w:r>
                <w:rPr>
                  <w:noProof/>
                </w:rPr>
                <w:t>Los Angeles: Sage.</w:t>
              </w:r>
            </w:p>
            <w:p w14:paraId="2C3EB107" w14:textId="77777777" w:rsidR="001D60B3" w:rsidRDefault="001D60B3" w:rsidP="001D60B3">
              <w:pPr>
                <w:pStyle w:val="Bibliography"/>
                <w:rPr>
                  <w:noProof/>
                </w:rPr>
              </w:pPr>
              <w:r>
                <w:rPr>
                  <w:noProof/>
                </w:rPr>
                <w:t xml:space="preserve">Foster, J. &amp;. A. L., 2020. Risk management in the age of agility: Adaptive frameworks for dynamic projects.. </w:t>
              </w:r>
              <w:r>
                <w:rPr>
                  <w:i/>
                  <w:iCs/>
                  <w:noProof/>
                </w:rPr>
                <w:t>Project Leadership and Society.</w:t>
              </w:r>
            </w:p>
            <w:p w14:paraId="7C1A122F" w14:textId="77777777" w:rsidR="001D60B3" w:rsidRDefault="001D60B3" w:rsidP="001D60B3">
              <w:pPr>
                <w:pStyle w:val="Bibliography"/>
                <w:rPr>
                  <w:noProof/>
                </w:rPr>
              </w:pPr>
              <w:r>
                <w:rPr>
                  <w:noProof/>
                </w:rPr>
                <w:t xml:space="preserve">Gul M, A. M., 2018. A comparative outline for quantifying risk ratings in occupational health and safety risk. </w:t>
              </w:r>
              <w:r>
                <w:rPr>
                  <w:i/>
                  <w:iCs/>
                  <w:noProof/>
                </w:rPr>
                <w:t xml:space="preserve">Journal of Cleaner Production, </w:t>
              </w:r>
              <w:r>
                <w:rPr>
                  <w:noProof/>
                </w:rPr>
                <w:t>06(106).</w:t>
              </w:r>
            </w:p>
            <w:p w14:paraId="0F38A191" w14:textId="77777777" w:rsidR="001D60B3" w:rsidRDefault="001D60B3" w:rsidP="001D60B3">
              <w:pPr>
                <w:pStyle w:val="Bibliography"/>
                <w:rPr>
                  <w:noProof/>
                </w:rPr>
              </w:pPr>
              <w:r>
                <w:rPr>
                  <w:noProof/>
                </w:rPr>
                <w:t xml:space="preserve">Gusmão, C. M. G. d., 2003. ISO, CMMI and PMBOK Risk Management: a Comparative Analysis. </w:t>
              </w:r>
              <w:r>
                <w:rPr>
                  <w:i/>
                  <w:iCs/>
                  <w:noProof/>
                </w:rPr>
                <w:t xml:space="preserve">The International Journal of Applied Management and Technology, </w:t>
              </w:r>
              <w:r>
                <w:rPr>
                  <w:noProof/>
                </w:rPr>
                <w:t>1(1), pp. 65-76.</w:t>
              </w:r>
            </w:p>
            <w:p w14:paraId="0A9B0155" w14:textId="77777777" w:rsidR="001D60B3" w:rsidRDefault="001D60B3" w:rsidP="001D60B3">
              <w:pPr>
                <w:pStyle w:val="Bibliography"/>
                <w:rPr>
                  <w:noProof/>
                </w:rPr>
              </w:pPr>
              <w:r>
                <w:rPr>
                  <w:noProof/>
                </w:rPr>
                <w:t xml:space="preserve">Hazır, Ö., 2014. A review of analytical models, approaches and decision support tools in project monitoring and control. </w:t>
              </w:r>
              <w:r>
                <w:rPr>
                  <w:i/>
                  <w:iCs/>
                  <w:noProof/>
                </w:rPr>
                <w:t xml:space="preserve">International Journal of Project Management , </w:t>
              </w:r>
              <w:r>
                <w:rPr>
                  <w:noProof/>
                </w:rPr>
                <w:t>Volume 33, pp. 808-815.</w:t>
              </w:r>
            </w:p>
            <w:p w14:paraId="778EE28E" w14:textId="77777777" w:rsidR="001D60B3" w:rsidRDefault="001D60B3" w:rsidP="001D60B3">
              <w:pPr>
                <w:pStyle w:val="Bibliography"/>
                <w:rPr>
                  <w:noProof/>
                </w:rPr>
              </w:pPr>
              <w:r>
                <w:rPr>
                  <w:noProof/>
                </w:rPr>
                <w:t xml:space="preserve">Hetemi, E. v. M. A. &amp;. J. A., 2021. The recursive interaction of institutional fields and managerial legitimation in large-scale projects. </w:t>
              </w:r>
              <w:r>
                <w:rPr>
                  <w:i/>
                  <w:iCs/>
                  <w:noProof/>
                </w:rPr>
                <w:t xml:space="preserve">International Journal of Project Management, </w:t>
              </w:r>
              <w:r>
                <w:rPr>
                  <w:noProof/>
                </w:rPr>
                <w:t>39(3), pp. 231-244.</w:t>
              </w:r>
            </w:p>
            <w:p w14:paraId="3F966922" w14:textId="77777777" w:rsidR="001D60B3" w:rsidRDefault="001D60B3" w:rsidP="001D60B3">
              <w:pPr>
                <w:pStyle w:val="Bibliography"/>
                <w:rPr>
                  <w:noProof/>
                </w:rPr>
              </w:pPr>
              <w:r>
                <w:rPr>
                  <w:noProof/>
                </w:rPr>
                <w:t xml:space="preserve">Hilson, D., 2022. Extending the risk process to manage opportunities. </w:t>
              </w:r>
              <w:r>
                <w:rPr>
                  <w:i/>
                  <w:iCs/>
                  <w:noProof/>
                </w:rPr>
                <w:t xml:space="preserve">International Journal of Project Management, </w:t>
              </w:r>
              <w:r>
                <w:rPr>
                  <w:noProof/>
                </w:rPr>
                <w:t>20(3), pp. 235-240.</w:t>
              </w:r>
            </w:p>
            <w:p w14:paraId="084C0776" w14:textId="77777777" w:rsidR="001D60B3" w:rsidRDefault="001D60B3" w:rsidP="001D60B3">
              <w:pPr>
                <w:pStyle w:val="Bibliography"/>
                <w:rPr>
                  <w:noProof/>
                </w:rPr>
              </w:pPr>
              <w:r>
                <w:rPr>
                  <w:noProof/>
                </w:rPr>
                <w:lastRenderedPageBreak/>
                <w:t xml:space="preserve">Hilson, D., 2023. </w:t>
              </w:r>
              <w:r>
                <w:rPr>
                  <w:i/>
                  <w:iCs/>
                  <w:noProof/>
                </w:rPr>
                <w:t xml:space="preserve">The risk management handbook: A practical guide to managing the multiple dimensions of risk. </w:t>
              </w:r>
              <w:r>
                <w:rPr>
                  <w:noProof/>
                </w:rPr>
                <w:t>2 ed. s.l.:Kogan Page.</w:t>
              </w:r>
            </w:p>
            <w:p w14:paraId="67C6DFA1" w14:textId="77777777" w:rsidR="001D60B3" w:rsidRDefault="001D60B3" w:rsidP="001D60B3">
              <w:pPr>
                <w:pStyle w:val="Bibliography"/>
                <w:rPr>
                  <w:noProof/>
                </w:rPr>
              </w:pPr>
              <w:r>
                <w:rPr>
                  <w:noProof/>
                </w:rPr>
                <w:t xml:space="preserve">I. Dikmena, M. B. C. A. J. T. G. A., 2008. Learning from risks: A tool for post-project risk assessment. </w:t>
              </w:r>
              <w:r>
                <w:rPr>
                  <w:i/>
                  <w:iCs/>
                  <w:noProof/>
                </w:rPr>
                <w:t xml:space="preserve">Automation in Construction, </w:t>
              </w:r>
              <w:r>
                <w:rPr>
                  <w:noProof/>
                </w:rPr>
                <w:t>Volume 18, pp. 42-50.</w:t>
              </w:r>
            </w:p>
            <w:p w14:paraId="537E124E" w14:textId="77777777" w:rsidR="001D60B3" w:rsidRDefault="001D60B3" w:rsidP="001D60B3">
              <w:pPr>
                <w:pStyle w:val="Bibliography"/>
                <w:rPr>
                  <w:noProof/>
                </w:rPr>
              </w:pPr>
              <w:r>
                <w:rPr>
                  <w:noProof/>
                </w:rPr>
                <w:t xml:space="preserve">Imene Mohammedi, W. B. M. B., 2024. Enhancing the Golden Triangle (Cost, Time, Quality) in Infrastructure Projects through Risk Management. </w:t>
              </w:r>
              <w:r>
                <w:rPr>
                  <w:i/>
                  <w:iCs/>
                  <w:noProof/>
                </w:rPr>
                <w:t xml:space="preserve">Journal of Corporate Governance, Insurance, and Risk Management , </w:t>
              </w:r>
              <w:r>
                <w:rPr>
                  <w:noProof/>
                </w:rPr>
                <w:t>11(4), pp. 227-245.</w:t>
              </w:r>
            </w:p>
            <w:p w14:paraId="26912CFA" w14:textId="77777777" w:rsidR="001D60B3" w:rsidRDefault="001D60B3" w:rsidP="001D60B3">
              <w:pPr>
                <w:pStyle w:val="Bibliography"/>
                <w:rPr>
                  <w:noProof/>
                </w:rPr>
              </w:pPr>
              <w:r>
                <w:rPr>
                  <w:noProof/>
                </w:rPr>
                <w:t xml:space="preserve">Irem Dikmen, M. T. B. A. E. A., 2004. </w:t>
              </w:r>
              <w:r>
                <w:rPr>
                  <w:i/>
                  <w:iCs/>
                  <w:noProof/>
                </w:rPr>
                <w:t xml:space="preserve">A critical review of risk management support tools, </w:t>
              </w:r>
              <w:r>
                <w:rPr>
                  <w:noProof/>
                </w:rPr>
                <w:t>Ankara: Middle East Technical University.</w:t>
              </w:r>
            </w:p>
            <w:p w14:paraId="2A774937" w14:textId="77777777" w:rsidR="001D60B3" w:rsidRDefault="001D60B3" w:rsidP="001D60B3">
              <w:pPr>
                <w:pStyle w:val="Bibliography"/>
                <w:rPr>
                  <w:noProof/>
                </w:rPr>
              </w:pPr>
              <w:r>
                <w:rPr>
                  <w:noProof/>
                </w:rPr>
                <w:t xml:space="preserve">Jacqueline Jepson, K. K. K. L., 2018. Insights into the application of risk tools and techniques. </w:t>
              </w:r>
              <w:r>
                <w:rPr>
                  <w:i/>
                  <w:iCs/>
                  <w:noProof/>
                </w:rPr>
                <w:t xml:space="preserve">nternational Journal of Construction Management, </w:t>
              </w:r>
              <w:r>
                <w:rPr>
                  <w:noProof/>
                </w:rPr>
                <w:t>20(8), pp. 2331-2327.</w:t>
              </w:r>
            </w:p>
            <w:p w14:paraId="3D408704" w14:textId="77777777" w:rsidR="001D60B3" w:rsidRDefault="001D60B3" w:rsidP="001D60B3">
              <w:pPr>
                <w:pStyle w:val="Bibliography"/>
                <w:rPr>
                  <w:noProof/>
                </w:rPr>
              </w:pPr>
              <w:r>
                <w:rPr>
                  <w:noProof/>
                </w:rPr>
                <w:t xml:space="preserve">James M. Lyneis, D. N. F., 2007. System dynamics applied to project management: a survey, assessment and directions for future research. </w:t>
              </w:r>
              <w:r>
                <w:rPr>
                  <w:i/>
                  <w:iCs/>
                  <w:noProof/>
                </w:rPr>
                <w:t xml:space="preserve">Wiley InterScience, </w:t>
              </w:r>
              <w:r>
                <w:rPr>
                  <w:noProof/>
                </w:rPr>
                <w:t>Volume 23, pp. 157-189.</w:t>
              </w:r>
            </w:p>
            <w:p w14:paraId="6F887B98" w14:textId="77777777" w:rsidR="001D60B3" w:rsidRDefault="001D60B3" w:rsidP="001D60B3">
              <w:pPr>
                <w:pStyle w:val="Bibliography"/>
                <w:rPr>
                  <w:noProof/>
                </w:rPr>
              </w:pPr>
              <w:r>
                <w:rPr>
                  <w:noProof/>
                </w:rPr>
                <w:t xml:space="preserve">Kai Guo, L. Z., 2022. Multi-objective optimization for improved project management: Current tatus and future directions. </w:t>
              </w:r>
              <w:r>
                <w:rPr>
                  <w:i/>
                  <w:iCs/>
                  <w:noProof/>
                </w:rPr>
                <w:t xml:space="preserve">Automation in Construction, </w:t>
              </w:r>
              <w:r>
                <w:rPr>
                  <w:noProof/>
                </w:rPr>
                <w:t>Volume 139, pp. 104-256.</w:t>
              </w:r>
            </w:p>
            <w:p w14:paraId="61FA5992" w14:textId="77777777" w:rsidR="001D60B3" w:rsidRDefault="001D60B3" w:rsidP="001D60B3">
              <w:pPr>
                <w:pStyle w:val="Bibliography"/>
                <w:rPr>
                  <w:noProof/>
                </w:rPr>
              </w:pPr>
              <w:r>
                <w:rPr>
                  <w:noProof/>
                </w:rPr>
                <w:t xml:space="preserve">Karel de Bakker, A. B. H. W., 2010. Does risk management contribute to IT project success? A meta-analysis. </w:t>
              </w:r>
              <w:r>
                <w:rPr>
                  <w:i/>
                  <w:iCs/>
                  <w:noProof/>
                </w:rPr>
                <w:t xml:space="preserve">International Journal of Project Management, </w:t>
              </w:r>
              <w:r>
                <w:rPr>
                  <w:noProof/>
                </w:rPr>
                <w:t>Volume 28, pp. 493-503.</w:t>
              </w:r>
            </w:p>
            <w:p w14:paraId="5C4B30D8" w14:textId="77777777" w:rsidR="001D60B3" w:rsidRDefault="001D60B3" w:rsidP="001D60B3">
              <w:pPr>
                <w:pStyle w:val="Bibliography"/>
                <w:rPr>
                  <w:noProof/>
                </w:rPr>
              </w:pPr>
              <w:r>
                <w:rPr>
                  <w:noProof/>
                </w:rPr>
                <w:t xml:space="preserve">Kause, A. &amp;. S. J., 2012. The use of cause–effect diagrams in risk analysis: A case study.. </w:t>
              </w:r>
              <w:r>
                <w:rPr>
                  <w:i/>
                  <w:iCs/>
                  <w:noProof/>
                </w:rPr>
                <w:t xml:space="preserve">Reliability Engineering &amp; System Safety, </w:t>
              </w:r>
              <w:r>
                <w:rPr>
                  <w:noProof/>
                </w:rPr>
                <w:t>pp. 126-133.</w:t>
              </w:r>
            </w:p>
            <w:p w14:paraId="4B9DC382" w14:textId="77777777" w:rsidR="001D60B3" w:rsidRDefault="001D60B3" w:rsidP="001D60B3">
              <w:pPr>
                <w:pStyle w:val="Bibliography"/>
                <w:rPr>
                  <w:noProof/>
                </w:rPr>
              </w:pPr>
              <w:r>
                <w:rPr>
                  <w:noProof/>
                </w:rPr>
                <w:t xml:space="preserve">Khadgi, M. U. D. F., 2025. </w:t>
              </w:r>
              <w:r>
                <w:rPr>
                  <w:i/>
                  <w:iCs/>
                  <w:noProof/>
                </w:rPr>
                <w:t xml:space="preserve">Towards AI/ML-Powered Hybrid Project Management Strategy for the Healthcare Sector. </w:t>
              </w:r>
              <w:r>
                <w:rPr>
                  <w:noProof/>
                </w:rPr>
                <w:t>Singapore, Springer.</w:t>
              </w:r>
            </w:p>
            <w:p w14:paraId="7E62216C" w14:textId="77777777" w:rsidR="001D60B3" w:rsidRDefault="001D60B3" w:rsidP="001D60B3">
              <w:pPr>
                <w:pStyle w:val="Bibliography"/>
                <w:rPr>
                  <w:noProof/>
                </w:rPr>
              </w:pPr>
              <w:r>
                <w:rPr>
                  <w:noProof/>
                </w:rPr>
                <w:t xml:space="preserve">Khairul Baharein, M. N., 2008. A Strategic Research Methodology. </w:t>
              </w:r>
              <w:r>
                <w:rPr>
                  <w:i/>
                  <w:iCs/>
                  <w:noProof/>
                </w:rPr>
                <w:t xml:space="preserve">American Journal of Applied Sciences , </w:t>
              </w:r>
              <w:r>
                <w:rPr>
                  <w:noProof/>
                </w:rPr>
                <w:t>5(11), pp. 1602-1604.</w:t>
              </w:r>
            </w:p>
            <w:p w14:paraId="15A92C37" w14:textId="77777777" w:rsidR="001D60B3" w:rsidRDefault="001D60B3" w:rsidP="001D60B3">
              <w:pPr>
                <w:pStyle w:val="Bibliography"/>
                <w:rPr>
                  <w:noProof/>
                </w:rPr>
              </w:pPr>
              <w:r>
                <w:rPr>
                  <w:noProof/>
                </w:rPr>
                <w:t xml:space="preserve">Khan, M. M. J. &amp;. L. L., 2024. Integrated alliance system architecture for lifecycle risk management. </w:t>
              </w:r>
              <w:r>
                <w:rPr>
                  <w:i/>
                  <w:iCs/>
                  <w:noProof/>
                </w:rPr>
                <w:t xml:space="preserve">nternational Journal of Agile Systems and Management, </w:t>
              </w:r>
              <w:r>
                <w:rPr>
                  <w:noProof/>
                </w:rPr>
                <w:t>17(4), pp. 421-454.</w:t>
              </w:r>
            </w:p>
            <w:p w14:paraId="1611F6C0" w14:textId="77777777" w:rsidR="001D60B3" w:rsidRDefault="001D60B3" w:rsidP="001D60B3">
              <w:pPr>
                <w:pStyle w:val="Bibliography"/>
                <w:rPr>
                  <w:noProof/>
                </w:rPr>
              </w:pPr>
              <w:r>
                <w:rPr>
                  <w:noProof/>
                </w:rPr>
                <w:t xml:space="preserve">Kolios, M. L. &amp;. A., 2018. A review of reliability-based methods for risk analysis and their application. </w:t>
              </w:r>
              <w:r>
                <w:rPr>
                  <w:i/>
                  <w:iCs/>
                  <w:noProof/>
                </w:rPr>
                <w:t xml:space="preserve">Renewable and Sustainable Energy Reviews, </w:t>
              </w:r>
              <w:r>
                <w:rPr>
                  <w:noProof/>
                </w:rPr>
                <w:t>Volume 93, pp. 1065-1076.</w:t>
              </w:r>
            </w:p>
            <w:p w14:paraId="4A33E324" w14:textId="77777777" w:rsidR="001D60B3" w:rsidRDefault="001D60B3" w:rsidP="001D60B3">
              <w:pPr>
                <w:pStyle w:val="Bibliography"/>
                <w:rPr>
                  <w:noProof/>
                </w:rPr>
              </w:pPr>
              <w:r>
                <w:rPr>
                  <w:noProof/>
                </w:rPr>
                <w:t xml:space="preserve">Kutsch, E. &amp;. H. M., 2010. Deliberate ignorance in project risk management.. </w:t>
              </w:r>
              <w:r>
                <w:rPr>
                  <w:i/>
                  <w:iCs/>
                  <w:noProof/>
                </w:rPr>
                <w:t xml:space="preserve">International Journal of Project Management,, </w:t>
              </w:r>
              <w:r>
                <w:rPr>
                  <w:noProof/>
                </w:rPr>
                <w:t>28(3), pp. 245-255.</w:t>
              </w:r>
            </w:p>
            <w:p w14:paraId="439DA92E" w14:textId="77777777" w:rsidR="001D60B3" w:rsidRDefault="001D60B3" w:rsidP="001D60B3">
              <w:pPr>
                <w:pStyle w:val="Bibliography"/>
                <w:rPr>
                  <w:noProof/>
                </w:rPr>
              </w:pPr>
              <w:r>
                <w:rPr>
                  <w:noProof/>
                </w:rPr>
                <w:t xml:space="preserve">Lore Criss power, D. G. K., 2009. Project management and suces in acadmic research. </w:t>
              </w:r>
              <w:r>
                <w:rPr>
                  <w:i/>
                  <w:iCs/>
                  <w:noProof/>
                </w:rPr>
                <w:t xml:space="preserve">Research Series, </w:t>
              </w:r>
              <w:r>
                <w:rPr>
                  <w:noProof/>
                </w:rPr>
                <w:t>Volume 2.</w:t>
              </w:r>
            </w:p>
            <w:p w14:paraId="12702008" w14:textId="77777777" w:rsidR="001D60B3" w:rsidRDefault="001D60B3" w:rsidP="001D60B3">
              <w:pPr>
                <w:pStyle w:val="Bibliography"/>
                <w:rPr>
                  <w:noProof/>
                </w:rPr>
              </w:pPr>
              <w:r>
                <w:rPr>
                  <w:noProof/>
                </w:rPr>
                <w:t xml:space="preserve">Majid Al-Nabae, D. S., 2021. Factors That Influencing Project Management Performance: A Review. </w:t>
              </w:r>
              <w:r>
                <w:rPr>
                  <w:i/>
                  <w:iCs/>
                  <w:noProof/>
                </w:rPr>
                <w:t xml:space="preserve">International Journal of Academic Research in Business &amp; Social Sciences, </w:t>
              </w:r>
              <w:r>
                <w:rPr>
                  <w:noProof/>
                </w:rPr>
                <w:t>11(8), pp. 628-643.</w:t>
              </w:r>
            </w:p>
            <w:p w14:paraId="72898FF8" w14:textId="77777777" w:rsidR="001D60B3" w:rsidRDefault="001D60B3" w:rsidP="001D60B3">
              <w:pPr>
                <w:pStyle w:val="Bibliography"/>
                <w:rPr>
                  <w:noProof/>
                </w:rPr>
              </w:pPr>
              <w:r>
                <w:rPr>
                  <w:noProof/>
                </w:rPr>
                <w:t xml:space="preserve">Marle, F. &amp;. V. L.-A., 2016. Project risk management processes: Improving coordination using a clustering approach.. </w:t>
              </w:r>
              <w:r>
                <w:rPr>
                  <w:i/>
                  <w:iCs/>
                  <w:noProof/>
                </w:rPr>
                <w:t xml:space="preserve">Research in Engineering Design, </w:t>
              </w:r>
              <w:r>
                <w:rPr>
                  <w:noProof/>
                </w:rPr>
                <w:t>27(4), pp. 346-365.</w:t>
              </w:r>
            </w:p>
            <w:p w14:paraId="22651EB9" w14:textId="77777777" w:rsidR="001D60B3" w:rsidRDefault="001D60B3" w:rsidP="001D60B3">
              <w:pPr>
                <w:pStyle w:val="Bibliography"/>
                <w:rPr>
                  <w:noProof/>
                </w:rPr>
              </w:pPr>
              <w:r>
                <w:rPr>
                  <w:noProof/>
                </w:rPr>
                <w:t xml:space="preserve">Marle, F. &amp;. V. L. A., 2016. Managing project risks as knowledge management. </w:t>
              </w:r>
              <w:r>
                <w:rPr>
                  <w:i/>
                  <w:iCs/>
                  <w:noProof/>
                </w:rPr>
                <w:t xml:space="preserve">International Journal of Project Management,, </w:t>
              </w:r>
              <w:r>
                <w:rPr>
                  <w:noProof/>
                </w:rPr>
                <w:t>34(3), pp. 366-378.</w:t>
              </w:r>
            </w:p>
            <w:p w14:paraId="1C585BFA" w14:textId="77777777" w:rsidR="001D60B3" w:rsidRDefault="001D60B3" w:rsidP="001D60B3">
              <w:pPr>
                <w:pStyle w:val="Bibliography"/>
                <w:rPr>
                  <w:noProof/>
                </w:rPr>
              </w:pPr>
              <w:r>
                <w:rPr>
                  <w:noProof/>
                </w:rPr>
                <w:lastRenderedPageBreak/>
                <w:t xml:space="preserve">Merkourios Papanikolaou, Y. X., 2020. </w:t>
              </w:r>
              <w:r>
                <w:rPr>
                  <w:i/>
                  <w:iCs/>
                  <w:noProof/>
                </w:rPr>
                <w:t xml:space="preserve">Risk-Informed performance assessment of construction projects. Sustainability, </w:t>
              </w:r>
              <w:r>
                <w:rPr>
                  <w:noProof/>
                </w:rPr>
                <w:t>Thessaloniki, Greece: Aristotle University of Thessaloniki.</w:t>
              </w:r>
            </w:p>
            <w:p w14:paraId="04CD4537" w14:textId="77777777" w:rsidR="001D60B3" w:rsidRDefault="001D60B3" w:rsidP="001D60B3">
              <w:pPr>
                <w:pStyle w:val="Bibliography"/>
                <w:rPr>
                  <w:noProof/>
                </w:rPr>
              </w:pPr>
              <w:r>
                <w:rPr>
                  <w:noProof/>
                </w:rPr>
                <w:t xml:space="preserve">Muhammet Gul, M. F. A., 2018. A comparative outline for quantifying risk ratings in occupational health and safety risk. </w:t>
              </w:r>
              <w:r>
                <w:rPr>
                  <w:i/>
                  <w:iCs/>
                  <w:noProof/>
                </w:rPr>
                <w:t xml:space="preserve">Journal of Cleaner Production, </w:t>
              </w:r>
              <w:r>
                <w:rPr>
                  <w:noProof/>
                </w:rPr>
                <w:t>Volume 18.</w:t>
              </w:r>
            </w:p>
            <w:p w14:paraId="51E4F5B8" w14:textId="77777777" w:rsidR="001D60B3" w:rsidRDefault="001D60B3" w:rsidP="001D60B3">
              <w:pPr>
                <w:pStyle w:val="Bibliography"/>
                <w:rPr>
                  <w:noProof/>
                </w:rPr>
              </w:pPr>
              <w:r>
                <w:rPr>
                  <w:noProof/>
                </w:rPr>
                <w:t xml:space="preserve">Ofer Zwikael, M. A., 2010. The effectiveness of risk management: An analysis of project risk planning across industries and countries.. </w:t>
              </w:r>
              <w:r>
                <w:rPr>
                  <w:i/>
                  <w:iCs/>
                  <w:noProof/>
                </w:rPr>
                <w:t xml:space="preserve">Risk Analysis, </w:t>
              </w:r>
              <w:r>
                <w:rPr>
                  <w:noProof/>
                </w:rPr>
                <w:t>31(1), pp. 25-37.</w:t>
              </w:r>
            </w:p>
            <w:p w14:paraId="57B36A29" w14:textId="77777777" w:rsidR="001D60B3" w:rsidRDefault="001D60B3" w:rsidP="001D60B3">
              <w:pPr>
                <w:pStyle w:val="Bibliography"/>
                <w:rPr>
                  <w:noProof/>
                </w:rPr>
              </w:pPr>
              <w:r>
                <w:rPr>
                  <w:noProof/>
                </w:rPr>
                <w:t xml:space="preserve">Pattberg, P., 2005. The institutionalization of private governance. </w:t>
              </w:r>
              <w:r>
                <w:rPr>
                  <w:i/>
                  <w:iCs/>
                  <w:noProof/>
                </w:rPr>
                <w:t xml:space="preserve">Governance , </w:t>
              </w:r>
              <w:r>
                <w:rPr>
                  <w:noProof/>
                </w:rPr>
                <w:t>18(4), pp. 589-610.</w:t>
              </w:r>
            </w:p>
            <w:p w14:paraId="18FC8A54" w14:textId="77777777" w:rsidR="001D60B3" w:rsidRDefault="001D60B3" w:rsidP="001D60B3">
              <w:pPr>
                <w:pStyle w:val="Bibliography"/>
                <w:rPr>
                  <w:noProof/>
                </w:rPr>
              </w:pPr>
              <w:r>
                <w:rPr>
                  <w:noProof/>
                </w:rPr>
                <w:t xml:space="preserve">Peeters W, P. Z., 2015. An Approch towards global standardisation of the risk matrix. </w:t>
              </w:r>
              <w:r>
                <w:rPr>
                  <w:i/>
                  <w:iCs/>
                  <w:noProof/>
                </w:rPr>
                <w:t xml:space="preserve">Journal of Space Safety Engineering, </w:t>
              </w:r>
              <w:r>
                <w:rPr>
                  <w:noProof/>
                </w:rPr>
                <w:t>2(1).</w:t>
              </w:r>
            </w:p>
            <w:p w14:paraId="2B536D6B" w14:textId="77777777" w:rsidR="001D60B3" w:rsidRDefault="001D60B3" w:rsidP="001D60B3">
              <w:pPr>
                <w:pStyle w:val="Bibliography"/>
                <w:rPr>
                  <w:noProof/>
                </w:rPr>
              </w:pPr>
              <w:r>
                <w:rPr>
                  <w:noProof/>
                </w:rPr>
                <w:t xml:space="preserve">Peeters, W. a. P. Z., 2015. An approach towards global standardization of the risk matrix. </w:t>
              </w:r>
              <w:r>
                <w:rPr>
                  <w:i/>
                  <w:iCs/>
                  <w:noProof/>
                </w:rPr>
                <w:t xml:space="preserve">Journal of Space Safety Engineering, </w:t>
              </w:r>
              <w:r>
                <w:rPr>
                  <w:noProof/>
                </w:rPr>
                <w:t>2(1), pp. 31-40.</w:t>
              </w:r>
            </w:p>
            <w:p w14:paraId="3A995E7D" w14:textId="77777777" w:rsidR="001D60B3" w:rsidRDefault="001D60B3" w:rsidP="001D60B3">
              <w:pPr>
                <w:pStyle w:val="Bibliography"/>
                <w:rPr>
                  <w:noProof/>
                </w:rPr>
              </w:pPr>
              <w:r>
                <w:rPr>
                  <w:noProof/>
                </w:rPr>
                <w:t xml:space="preserve">Pinho, C. L. J. &amp;. A. A., 2022. </w:t>
              </w:r>
              <w:r>
                <w:rPr>
                  <w:i/>
                  <w:iCs/>
                  <w:noProof/>
                </w:rPr>
                <w:t xml:space="preserve">Project risk management: The impact of stakeholders and collaboration., </w:t>
              </w:r>
              <w:r>
                <w:rPr>
                  <w:noProof/>
                </w:rPr>
                <w:t>s.l.: Procedia Computer Science.</w:t>
              </w:r>
            </w:p>
            <w:p w14:paraId="28CAB93A" w14:textId="77777777" w:rsidR="001D60B3" w:rsidRDefault="001D60B3" w:rsidP="001D60B3">
              <w:pPr>
                <w:pStyle w:val="Bibliography"/>
                <w:rPr>
                  <w:noProof/>
                </w:rPr>
              </w:pPr>
              <w:r>
                <w:rPr>
                  <w:noProof/>
                </w:rPr>
                <w:t xml:space="preserve">Pinsonneault, A., 1993. Survey Research Methodology in management information systems. </w:t>
              </w:r>
              <w:r>
                <w:rPr>
                  <w:i/>
                  <w:iCs/>
                  <w:noProof/>
                </w:rPr>
                <w:t xml:space="preserve">Journal of management information systems, </w:t>
              </w:r>
              <w:r>
                <w:rPr>
                  <w:noProof/>
                </w:rPr>
                <w:t>10(2), pp. 75-105.</w:t>
              </w:r>
            </w:p>
            <w:p w14:paraId="0430BB6B" w14:textId="77777777" w:rsidR="001D60B3" w:rsidRDefault="001D60B3" w:rsidP="001D60B3">
              <w:pPr>
                <w:pStyle w:val="Bibliography"/>
                <w:rPr>
                  <w:noProof/>
                </w:rPr>
              </w:pPr>
              <w:r>
                <w:rPr>
                  <w:noProof/>
                </w:rPr>
                <w:t xml:space="preserve">Pollyana Notargiacomo Mustaro, R. R., 2013. Project Management Principles Applied in Academic Research Projects. </w:t>
              </w:r>
              <w:r>
                <w:rPr>
                  <w:i/>
                  <w:iCs/>
                  <w:noProof/>
                </w:rPr>
                <w:t xml:space="preserve">Issues in Informing Science and Information Technology , </w:t>
              </w:r>
              <w:r>
                <w:rPr>
                  <w:noProof/>
                </w:rPr>
                <w:t>Volume 10.</w:t>
              </w:r>
            </w:p>
            <w:p w14:paraId="5C92A713" w14:textId="77777777" w:rsidR="001D60B3" w:rsidRDefault="001D60B3" w:rsidP="001D60B3">
              <w:pPr>
                <w:pStyle w:val="Bibliography"/>
                <w:rPr>
                  <w:noProof/>
                </w:rPr>
              </w:pPr>
              <w:r>
                <w:rPr>
                  <w:noProof/>
                </w:rPr>
                <w:t xml:space="preserve">Robert Pellerin, N. P., 2018. A review of methods, techniques and tools for project. </w:t>
              </w:r>
              <w:r>
                <w:rPr>
                  <w:i/>
                  <w:iCs/>
                  <w:noProof/>
                </w:rPr>
                <w:t xml:space="preserve">International Journal of Production Research, </w:t>
              </w:r>
              <w:r>
                <w:rPr>
                  <w:noProof/>
                </w:rPr>
                <w:t>57(7), pp. 2160-2178.</w:t>
              </w:r>
            </w:p>
            <w:p w14:paraId="01206E61" w14:textId="77777777" w:rsidR="001D60B3" w:rsidRDefault="001D60B3" w:rsidP="001D60B3">
              <w:pPr>
                <w:pStyle w:val="Bibliography"/>
                <w:rPr>
                  <w:noProof/>
                </w:rPr>
              </w:pPr>
              <w:r>
                <w:rPr>
                  <w:noProof/>
                </w:rPr>
                <w:t xml:space="preserve">Robin S. Poston, S. M. R., 2011. Designing an Academic Project Management Program_ A Collaboration betweena University and a PMI Chapter. </w:t>
              </w:r>
              <w:r>
                <w:rPr>
                  <w:i/>
                  <w:iCs/>
                  <w:noProof/>
                </w:rPr>
                <w:t xml:space="preserve">Journal of Information Systems Education, </w:t>
              </w:r>
              <w:r>
                <w:rPr>
                  <w:noProof/>
                </w:rPr>
                <w:t>22(1).</w:t>
              </w:r>
            </w:p>
            <w:p w14:paraId="543736FC" w14:textId="77777777" w:rsidR="001D60B3" w:rsidRDefault="001D60B3" w:rsidP="001D60B3">
              <w:pPr>
                <w:pStyle w:val="Bibliography"/>
                <w:rPr>
                  <w:noProof/>
                </w:rPr>
              </w:pPr>
              <w:r>
                <w:rPr>
                  <w:noProof/>
                </w:rPr>
                <w:t xml:space="preserve">Roger Atkinson, L. C. S. W., 2006. Fundamental uncertainties in projects and the scope. </w:t>
              </w:r>
              <w:r>
                <w:rPr>
                  <w:i/>
                  <w:iCs/>
                  <w:noProof/>
                </w:rPr>
                <w:t xml:space="preserve">International Journal of Project Management, </w:t>
              </w:r>
              <w:r>
                <w:rPr>
                  <w:noProof/>
                </w:rPr>
                <w:t>Volume 24, pp. 687-698.</w:t>
              </w:r>
            </w:p>
            <w:p w14:paraId="654540C8" w14:textId="77777777" w:rsidR="001D60B3" w:rsidRDefault="001D60B3" w:rsidP="001D60B3">
              <w:pPr>
                <w:pStyle w:val="Bibliography"/>
                <w:rPr>
                  <w:noProof/>
                </w:rPr>
              </w:pPr>
              <w:r>
                <w:rPr>
                  <w:noProof/>
                </w:rPr>
                <w:t xml:space="preserve">Roger Millera, D. L., 2001. Understanding and managing risks in large engineering projects. </w:t>
              </w:r>
              <w:r>
                <w:rPr>
                  <w:i/>
                  <w:iCs/>
                  <w:noProof/>
                </w:rPr>
                <w:t xml:space="preserve">International Journal of Project Management, </w:t>
              </w:r>
              <w:r>
                <w:rPr>
                  <w:noProof/>
                </w:rPr>
                <w:t>Volume 19, pp. 437-443.</w:t>
              </w:r>
            </w:p>
            <w:p w14:paraId="2CD318CA" w14:textId="77777777" w:rsidR="001D60B3" w:rsidRDefault="001D60B3" w:rsidP="001D60B3">
              <w:pPr>
                <w:pStyle w:val="Bibliography"/>
                <w:rPr>
                  <w:noProof/>
                </w:rPr>
              </w:pPr>
              <w:r>
                <w:rPr>
                  <w:noProof/>
                </w:rPr>
                <w:t xml:space="preserve">Rostami, A., 2016. Tools and techniques in risk identification: Research trends.. </w:t>
              </w:r>
              <w:r>
                <w:rPr>
                  <w:i/>
                  <w:iCs/>
                  <w:noProof/>
                </w:rPr>
                <w:t xml:space="preserve">International Journal of Project Management, </w:t>
              </w:r>
              <w:r>
                <w:rPr>
                  <w:noProof/>
                </w:rPr>
                <w:t>34(3), pp. 457-470.</w:t>
              </w:r>
            </w:p>
            <w:p w14:paraId="396AD8F2" w14:textId="77777777" w:rsidR="001D60B3" w:rsidRDefault="001D60B3" w:rsidP="001D60B3">
              <w:pPr>
                <w:pStyle w:val="Bibliography"/>
                <w:rPr>
                  <w:noProof/>
                </w:rPr>
              </w:pPr>
              <w:r>
                <w:rPr>
                  <w:noProof/>
                </w:rPr>
                <w:t xml:space="preserve">Roy, A., 2024. </w:t>
              </w:r>
              <w:r>
                <w:rPr>
                  <w:i/>
                  <w:iCs/>
                  <w:noProof/>
                </w:rPr>
                <w:t xml:space="preserve">Risk analysis of implementing Machine Learning in construction projects, </w:t>
              </w:r>
              <w:r>
                <w:rPr>
                  <w:noProof/>
                </w:rPr>
                <w:t>Stockholm: Department of Computer and System Science, Stockholm University.</w:t>
              </w:r>
            </w:p>
            <w:p w14:paraId="53119467" w14:textId="77777777" w:rsidR="001D60B3" w:rsidRDefault="001D60B3" w:rsidP="001D60B3">
              <w:pPr>
                <w:pStyle w:val="Bibliography"/>
                <w:rPr>
                  <w:noProof/>
                </w:rPr>
              </w:pPr>
              <w:r>
                <w:rPr>
                  <w:noProof/>
                </w:rPr>
                <w:t xml:space="preserve">Schieg, M., 2010. Risk management in construction project management. </w:t>
              </w:r>
              <w:r>
                <w:rPr>
                  <w:i/>
                  <w:iCs/>
                  <w:noProof/>
                </w:rPr>
                <w:t xml:space="preserve">Journal of Business Economics and Management, </w:t>
              </w:r>
              <w:r>
                <w:rPr>
                  <w:noProof/>
                </w:rPr>
                <w:t>7(2), pp. 77-83.</w:t>
              </w:r>
            </w:p>
            <w:p w14:paraId="6477211C" w14:textId="77777777" w:rsidR="001D60B3" w:rsidRDefault="001D60B3" w:rsidP="001D60B3">
              <w:pPr>
                <w:pStyle w:val="Bibliography"/>
                <w:rPr>
                  <w:noProof/>
                </w:rPr>
              </w:pPr>
              <w:r>
                <w:rPr>
                  <w:noProof/>
                </w:rPr>
                <w:t xml:space="preserve">Smith, C. L., 2020. </w:t>
              </w:r>
              <w:r>
                <w:rPr>
                  <w:i/>
                  <w:iCs/>
                  <w:noProof/>
                </w:rPr>
                <w:t xml:space="preserve">Risk-Informed Applications and Science Past,, </w:t>
              </w:r>
              <w:r>
                <w:rPr>
                  <w:noProof/>
                </w:rPr>
                <w:t>Idaho: U.S. Department of Energy.</w:t>
              </w:r>
            </w:p>
            <w:p w14:paraId="493E2C60" w14:textId="77777777" w:rsidR="001D60B3" w:rsidRDefault="001D60B3" w:rsidP="001D60B3">
              <w:pPr>
                <w:pStyle w:val="Bibliography"/>
                <w:rPr>
                  <w:noProof/>
                </w:rPr>
              </w:pPr>
              <w:r>
                <w:rPr>
                  <w:noProof/>
                </w:rPr>
                <w:t xml:space="preserve">Stanfcheva, S., 2023. How to run surveys: aguide to creating your own variation and revealing the invisible. </w:t>
              </w:r>
              <w:r>
                <w:rPr>
                  <w:i/>
                  <w:iCs/>
                  <w:noProof/>
                </w:rPr>
                <w:t xml:space="preserve">Annual review of ecconomics, </w:t>
              </w:r>
              <w:r>
                <w:rPr>
                  <w:noProof/>
                </w:rPr>
                <w:t>15(1), pp. 205-234.</w:t>
              </w:r>
            </w:p>
            <w:p w14:paraId="71394CB8" w14:textId="77777777" w:rsidR="001D60B3" w:rsidRDefault="001D60B3" w:rsidP="001D60B3">
              <w:pPr>
                <w:pStyle w:val="Bibliography"/>
                <w:rPr>
                  <w:noProof/>
                </w:rPr>
              </w:pPr>
              <w:r>
                <w:rPr>
                  <w:noProof/>
                </w:rPr>
                <w:t xml:space="preserve">T. Raz, E. M., 2001. Use and benefits of tools for project risk management. </w:t>
              </w:r>
              <w:r>
                <w:rPr>
                  <w:i/>
                  <w:iCs/>
                  <w:noProof/>
                </w:rPr>
                <w:t xml:space="preserve">International Journal of Project Management, </w:t>
              </w:r>
              <w:r>
                <w:rPr>
                  <w:noProof/>
                </w:rPr>
                <w:t>Volume 19, pp. 9-17.</w:t>
              </w:r>
            </w:p>
            <w:p w14:paraId="3E41139F" w14:textId="77777777" w:rsidR="001D60B3" w:rsidRDefault="001D60B3" w:rsidP="001D60B3">
              <w:pPr>
                <w:pStyle w:val="Bibliography"/>
                <w:rPr>
                  <w:noProof/>
                </w:rPr>
              </w:pPr>
              <w:r>
                <w:rPr>
                  <w:noProof/>
                </w:rPr>
                <w:lastRenderedPageBreak/>
                <w:t xml:space="preserve">Taherdoost, H., 2020. Sampling Methods in Research Methodology; How to Choose a Sampling Technique for Research. </w:t>
              </w:r>
              <w:r>
                <w:rPr>
                  <w:i/>
                  <w:iCs/>
                  <w:noProof/>
                </w:rPr>
                <w:t xml:space="preserve">International Journal of Academic Research in Management , </w:t>
              </w:r>
              <w:r>
                <w:rPr>
                  <w:noProof/>
                </w:rPr>
                <w:t>5(2).</w:t>
              </w:r>
            </w:p>
            <w:p w14:paraId="619AA070" w14:textId="77777777" w:rsidR="001D60B3" w:rsidRDefault="001D60B3" w:rsidP="001D60B3">
              <w:pPr>
                <w:pStyle w:val="Bibliography"/>
                <w:rPr>
                  <w:noProof/>
                </w:rPr>
              </w:pPr>
              <w:r>
                <w:rPr>
                  <w:noProof/>
                </w:rPr>
                <w:t xml:space="preserve">Taroun, A., 2014. Towards a better modelling and assessment of construction risk: Insights from a literature review. </w:t>
              </w:r>
              <w:r>
                <w:rPr>
                  <w:i/>
                  <w:iCs/>
                  <w:noProof/>
                </w:rPr>
                <w:t xml:space="preserve">International Journal of Project Management , </w:t>
              </w:r>
              <w:r>
                <w:rPr>
                  <w:noProof/>
                </w:rPr>
                <w:t>Volume 32, pp. 101-115.</w:t>
              </w:r>
            </w:p>
            <w:p w14:paraId="0409D530" w14:textId="77777777" w:rsidR="001D60B3" w:rsidRDefault="001D60B3" w:rsidP="001D60B3">
              <w:pPr>
                <w:pStyle w:val="Bibliography"/>
                <w:rPr>
                  <w:noProof/>
                </w:rPr>
              </w:pPr>
              <w:r>
                <w:rPr>
                  <w:noProof/>
                </w:rPr>
                <w:t xml:space="preserve">Temitope, A. O., 2024. Project Risk Management Strategies: Best Practices for Identifying, Assessing, and Mitigating Risks in Project Management. </w:t>
              </w:r>
              <w:r>
                <w:rPr>
                  <w:i/>
                  <w:iCs/>
                  <w:noProof/>
                </w:rPr>
                <w:t xml:space="preserve">| IRE Journals, </w:t>
              </w:r>
              <w:r>
                <w:rPr>
                  <w:noProof/>
                </w:rPr>
                <w:t>7(10), pp. 2456-8880.</w:t>
              </w:r>
            </w:p>
            <w:p w14:paraId="08444684" w14:textId="77777777" w:rsidR="001D60B3" w:rsidRDefault="001D60B3" w:rsidP="001D60B3">
              <w:pPr>
                <w:pStyle w:val="Bibliography"/>
                <w:rPr>
                  <w:noProof/>
                </w:rPr>
              </w:pPr>
              <w:r>
                <w:rPr>
                  <w:noProof/>
                </w:rPr>
                <w:t xml:space="preserve">Vanessa Manotas Niño, P. C. ,. L. G., 2014. </w:t>
              </w:r>
              <w:r>
                <w:rPr>
                  <w:i/>
                  <w:iCs/>
                  <w:noProof/>
                </w:rPr>
                <w:t xml:space="preserve">A review of methodologies and tools for project risk management. </w:t>
              </w:r>
              <w:r>
                <w:rPr>
                  <w:noProof/>
                </w:rPr>
                <w:t>Guayaquil, Latin American and Caribbean Conference for Engineering and Technology.</w:t>
              </w:r>
            </w:p>
            <w:p w14:paraId="3E51F2A5" w14:textId="77777777" w:rsidR="001D60B3" w:rsidRDefault="001D60B3" w:rsidP="001D60B3">
              <w:pPr>
                <w:pStyle w:val="Bibliography"/>
                <w:rPr>
                  <w:noProof/>
                </w:rPr>
              </w:pPr>
              <w:r>
                <w:rPr>
                  <w:noProof/>
                </w:rPr>
                <w:t xml:space="preserve">Vasilis Gkogkidis, N. D., 2020. </w:t>
              </w:r>
              <w:r>
                <w:rPr>
                  <w:i/>
                  <w:iCs/>
                  <w:noProof/>
                </w:rPr>
                <w:t xml:space="preserve">Co-Creating Educational Project Management Board Games to Enhance Student Engagement, </w:t>
              </w:r>
              <w:r>
                <w:rPr>
                  <w:noProof/>
                </w:rPr>
                <w:t>Southampton: University of Southampton Business School.</w:t>
              </w:r>
            </w:p>
            <w:p w14:paraId="68D682B9" w14:textId="77777777" w:rsidR="001D60B3" w:rsidRDefault="001D60B3" w:rsidP="001D60B3">
              <w:pPr>
                <w:pStyle w:val="Bibliography"/>
                <w:rPr>
                  <w:noProof/>
                </w:rPr>
              </w:pPr>
              <w:r>
                <w:rPr>
                  <w:noProof/>
                </w:rPr>
                <w:t xml:space="preserve">Whiting, J., n.d. </w:t>
              </w:r>
              <w:r>
                <w:rPr>
                  <w:i/>
                  <w:iCs/>
                  <w:noProof/>
                </w:rPr>
                <w:t xml:space="preserve">The significance and impact of new international risk management standards, </w:t>
              </w:r>
              <w:r>
                <w:rPr>
                  <w:noProof/>
                </w:rPr>
                <w:t>Brisbane : Workplace Risk Pty Ltd.</w:t>
              </w:r>
            </w:p>
            <w:p w14:paraId="0861EACC" w14:textId="77777777" w:rsidR="001D60B3" w:rsidRDefault="001D60B3" w:rsidP="001D60B3">
              <w:pPr>
                <w:pStyle w:val="Bibliography"/>
                <w:rPr>
                  <w:noProof/>
                </w:rPr>
              </w:pPr>
              <w:r>
                <w:rPr>
                  <w:noProof/>
                </w:rPr>
                <w:t xml:space="preserve">Whyte, J. &amp;. D. A., 2021. Reframing systems integration: A process perspective on projects. </w:t>
              </w:r>
              <w:r>
                <w:rPr>
                  <w:i/>
                  <w:iCs/>
                  <w:noProof/>
                </w:rPr>
                <w:t xml:space="preserve">Project Management Journal, </w:t>
              </w:r>
              <w:r>
                <w:rPr>
                  <w:noProof/>
                </w:rPr>
                <w:t>52(2), pp. 168-184.</w:t>
              </w:r>
            </w:p>
            <w:p w14:paraId="2F7943B1" w14:textId="77777777" w:rsidR="001D60B3" w:rsidRDefault="001D60B3" w:rsidP="001D60B3">
              <w:pPr>
                <w:pStyle w:val="Bibliography"/>
                <w:rPr>
                  <w:noProof/>
                </w:rPr>
              </w:pPr>
              <w:r>
                <w:rPr>
                  <w:noProof/>
                </w:rPr>
                <w:t xml:space="preserve">Zou, Y. K. A. &amp;. J. S. W., 2017. A review of risk management through BIM and BIM-related technologies. </w:t>
              </w:r>
              <w:r>
                <w:rPr>
                  <w:i/>
                  <w:iCs/>
                  <w:noProof/>
                </w:rPr>
                <w:t xml:space="preserve">Safety Science , </w:t>
              </w:r>
              <w:r>
                <w:rPr>
                  <w:noProof/>
                </w:rPr>
                <w:t>Volume 97, pp. 88-98.</w:t>
              </w:r>
            </w:p>
            <w:p w14:paraId="425B6985" w14:textId="356521B9" w:rsidR="00075FD0" w:rsidRPr="003E6051" w:rsidRDefault="009766E3" w:rsidP="001D60B3">
              <w:pPr>
                <w:spacing w:after="0" w:line="360" w:lineRule="auto"/>
                <w:ind w:left="-576" w:right="-576"/>
                <w:jc w:val="both"/>
              </w:pPr>
              <w:r w:rsidRPr="003E6051">
                <w:rPr>
                  <w:b/>
                  <w:bCs/>
                  <w:noProof/>
                </w:rPr>
                <w:fldChar w:fldCharType="end"/>
              </w:r>
            </w:p>
          </w:sdtContent>
        </w:sdt>
      </w:sdtContent>
    </w:sdt>
    <w:p w14:paraId="7831B1E3" w14:textId="77777777" w:rsidR="00A20578" w:rsidRPr="003E6051" w:rsidRDefault="00A20578" w:rsidP="00A20578">
      <w:pPr>
        <w:spacing w:after="0" w:line="360" w:lineRule="auto"/>
        <w:ind w:left="-576" w:right="-576"/>
        <w:jc w:val="both"/>
      </w:pPr>
    </w:p>
    <w:p w14:paraId="072BF3AA" w14:textId="3C2F8325" w:rsidR="00A20578" w:rsidRPr="003E6051" w:rsidRDefault="00A20578" w:rsidP="00A20578">
      <w:pPr>
        <w:spacing w:after="0" w:line="360" w:lineRule="auto"/>
        <w:ind w:left="-576" w:right="-576"/>
        <w:jc w:val="both"/>
      </w:pPr>
      <w:r w:rsidRPr="003E6051">
        <w:br w:type="page"/>
      </w:r>
    </w:p>
    <w:p w14:paraId="05C6F9BD" w14:textId="27A90217" w:rsidR="00A20578" w:rsidRPr="003E6051" w:rsidRDefault="001951B3" w:rsidP="00A20578">
      <w:pPr>
        <w:pStyle w:val="Heading2"/>
        <w:spacing w:line="360" w:lineRule="auto"/>
        <w:ind w:left="-576" w:right="-576"/>
        <w:jc w:val="both"/>
        <w:rPr>
          <w:rFonts w:cs="Calibri Light"/>
          <w:sz w:val="22"/>
          <w:szCs w:val="22"/>
        </w:rPr>
      </w:pPr>
      <w:bookmarkStart w:id="85" w:name="_Toc219216493"/>
      <w:r w:rsidRPr="003E6051">
        <w:rPr>
          <w:rFonts w:cs="Calibri Light"/>
          <w:sz w:val="22"/>
          <w:szCs w:val="22"/>
        </w:rPr>
        <w:lastRenderedPageBreak/>
        <w:t>1</w:t>
      </w:r>
      <w:r w:rsidR="00373AD1">
        <w:rPr>
          <w:rFonts w:cs="Calibri Light"/>
          <w:sz w:val="22"/>
          <w:szCs w:val="22"/>
        </w:rPr>
        <w:t>2</w:t>
      </w:r>
      <w:r w:rsidR="00A20578" w:rsidRPr="003E6051">
        <w:rPr>
          <w:rFonts w:cs="Calibri Light"/>
          <w:sz w:val="22"/>
          <w:szCs w:val="22"/>
        </w:rPr>
        <w:t xml:space="preserve">. </w:t>
      </w:r>
      <w:r w:rsidR="00A20578" w:rsidRPr="003E6051">
        <w:rPr>
          <w:rFonts w:cs="Calibri Light"/>
          <w:sz w:val="22"/>
          <w:szCs w:val="22"/>
          <w:u w:val="single"/>
        </w:rPr>
        <w:t>Appendix</w:t>
      </w:r>
      <w:bookmarkEnd w:id="85"/>
      <w:r w:rsidR="00A20578" w:rsidRPr="003E6051">
        <w:rPr>
          <w:rFonts w:cs="Calibri Light"/>
          <w:sz w:val="22"/>
          <w:szCs w:val="22"/>
          <w:u w:val="single"/>
        </w:rPr>
        <w:t xml:space="preserve"> </w:t>
      </w:r>
    </w:p>
    <w:p w14:paraId="3B277B8C" w14:textId="77777777" w:rsidR="00A20578" w:rsidRPr="003E6051" w:rsidRDefault="00A20578" w:rsidP="00A20578">
      <w:pPr>
        <w:spacing w:after="0" w:line="360" w:lineRule="auto"/>
        <w:ind w:left="-576" w:right="-576"/>
        <w:jc w:val="both"/>
      </w:pPr>
    </w:p>
    <w:p w14:paraId="08E48B24" w14:textId="77777777" w:rsidR="00373AD1" w:rsidRPr="007050E3" w:rsidRDefault="00373AD1" w:rsidP="00373AD1">
      <w:pPr>
        <w:pStyle w:val="Heading2"/>
        <w:ind w:left="-576" w:right="-576"/>
        <w:rPr>
          <w:sz w:val="22"/>
          <w:szCs w:val="22"/>
        </w:rPr>
      </w:pPr>
      <w:bookmarkStart w:id="86" w:name="_Toc205129721"/>
      <w:bookmarkStart w:id="87" w:name="_Toc219216494"/>
      <w:r w:rsidRPr="007050E3">
        <w:rPr>
          <w:sz w:val="22"/>
          <w:szCs w:val="22"/>
        </w:rPr>
        <w:t xml:space="preserve">12.1. </w:t>
      </w:r>
      <w:r w:rsidRPr="007050E3">
        <w:rPr>
          <w:sz w:val="22"/>
          <w:szCs w:val="22"/>
          <w:u w:val="single"/>
        </w:rPr>
        <w:t>Survey Questionnaire.</w:t>
      </w:r>
      <w:bookmarkEnd w:id="86"/>
      <w:bookmarkEnd w:id="87"/>
      <w:r w:rsidRPr="007050E3">
        <w:rPr>
          <w:sz w:val="22"/>
          <w:szCs w:val="22"/>
        </w:rPr>
        <w:t xml:space="preserve"> </w:t>
      </w:r>
    </w:p>
    <w:p w14:paraId="42BA9A7A" w14:textId="77777777" w:rsidR="00373AD1" w:rsidRDefault="00373AD1" w:rsidP="00373AD1">
      <w:pPr>
        <w:spacing w:after="0" w:line="360" w:lineRule="auto"/>
        <w:ind w:left="-576" w:right="-576"/>
        <w:jc w:val="both"/>
      </w:pPr>
    </w:p>
    <w:p w14:paraId="0BC50F38" w14:textId="77777777" w:rsidR="00373AD1" w:rsidRDefault="00373AD1" w:rsidP="00373AD1">
      <w:pPr>
        <w:keepNext/>
        <w:spacing w:after="0" w:line="360" w:lineRule="auto"/>
        <w:ind w:left="-576" w:right="-576"/>
        <w:jc w:val="center"/>
      </w:pPr>
      <w:r>
        <w:rPr>
          <w:noProof/>
        </w:rPr>
        <w:drawing>
          <wp:inline distT="0" distB="0" distL="0" distR="0" wp14:anchorId="5ECAE239" wp14:editId="2855A06A">
            <wp:extent cx="5731510" cy="3472180"/>
            <wp:effectExtent l="0" t="0" r="2540" b="0"/>
            <wp:docPr id="1671847858" name="Picture 1" descr="A close-up of rolled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47858" name="Picture 1" descr="A close-up of rolled paper&#10;&#10;AI-generated content may be incorrect."/>
                    <pic:cNvPicPr/>
                  </pic:nvPicPr>
                  <pic:blipFill>
                    <a:blip r:embed="rId21"/>
                    <a:stretch>
                      <a:fillRect/>
                    </a:stretch>
                  </pic:blipFill>
                  <pic:spPr>
                    <a:xfrm>
                      <a:off x="0" y="0"/>
                      <a:ext cx="5731510" cy="3472180"/>
                    </a:xfrm>
                    <a:prstGeom prst="rect">
                      <a:avLst/>
                    </a:prstGeom>
                  </pic:spPr>
                </pic:pic>
              </a:graphicData>
            </a:graphic>
          </wp:inline>
        </w:drawing>
      </w:r>
    </w:p>
    <w:p w14:paraId="21E5831B" w14:textId="12581585" w:rsidR="00373AD1" w:rsidRPr="003E6051" w:rsidRDefault="00373AD1" w:rsidP="00373AD1">
      <w:pPr>
        <w:pStyle w:val="Caption"/>
        <w:jc w:val="center"/>
      </w:pPr>
      <w:bookmarkStart w:id="88" w:name="_Toc205122378"/>
      <w:bookmarkStart w:id="89" w:name="_Toc219216537"/>
      <w:r>
        <w:t xml:space="preserve">Figure </w:t>
      </w:r>
      <w:fldSimple w:instr=" SEQ Figure \* ARABIC ">
        <w:r w:rsidR="008D7EA1">
          <w:rPr>
            <w:noProof/>
          </w:rPr>
          <w:t>11</w:t>
        </w:r>
      </w:fldSimple>
      <w:r>
        <w:t xml:space="preserve"> - </w:t>
      </w:r>
      <w:r w:rsidRPr="00FF4FF5">
        <w:t xml:space="preserve">Survey Questionnaire - Section </w:t>
      </w:r>
      <w:r>
        <w:t>1</w:t>
      </w:r>
      <w:bookmarkEnd w:id="88"/>
      <w:bookmarkEnd w:id="89"/>
    </w:p>
    <w:p w14:paraId="7CE35947" w14:textId="77777777" w:rsidR="00373AD1" w:rsidRDefault="00373AD1" w:rsidP="00373AD1">
      <w:pPr>
        <w:keepNext/>
        <w:spacing w:after="0" w:line="360" w:lineRule="auto"/>
        <w:ind w:left="-576" w:right="-576"/>
        <w:jc w:val="center"/>
      </w:pPr>
      <w:r>
        <w:rPr>
          <w:noProof/>
        </w:rPr>
        <w:drawing>
          <wp:inline distT="0" distB="0" distL="0" distR="0" wp14:anchorId="77F7D813" wp14:editId="7A293B5F">
            <wp:extent cx="5717031" cy="3379167"/>
            <wp:effectExtent l="0" t="0" r="0" b="0"/>
            <wp:docPr id="14187045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04579" name="Picture 1" descr="A screenshot of a computer&#10;&#10;AI-generated content may be incorrect."/>
                    <pic:cNvPicPr/>
                  </pic:nvPicPr>
                  <pic:blipFill>
                    <a:blip r:embed="rId22"/>
                    <a:stretch>
                      <a:fillRect/>
                    </a:stretch>
                  </pic:blipFill>
                  <pic:spPr>
                    <a:xfrm>
                      <a:off x="0" y="0"/>
                      <a:ext cx="5721767" cy="3381966"/>
                    </a:xfrm>
                    <a:prstGeom prst="rect">
                      <a:avLst/>
                    </a:prstGeom>
                  </pic:spPr>
                </pic:pic>
              </a:graphicData>
            </a:graphic>
          </wp:inline>
        </w:drawing>
      </w:r>
    </w:p>
    <w:p w14:paraId="38E4FB05" w14:textId="781243BD" w:rsidR="00373AD1" w:rsidRDefault="00373AD1" w:rsidP="00373AD1">
      <w:pPr>
        <w:pStyle w:val="Caption"/>
        <w:jc w:val="center"/>
      </w:pPr>
      <w:bookmarkStart w:id="90" w:name="_Toc205122379"/>
      <w:bookmarkStart w:id="91" w:name="_Toc219216538"/>
      <w:r>
        <w:t xml:space="preserve">Figure </w:t>
      </w:r>
      <w:fldSimple w:instr=" SEQ Figure \* ARABIC ">
        <w:r w:rsidR="008D7EA1">
          <w:rPr>
            <w:noProof/>
          </w:rPr>
          <w:t>12</w:t>
        </w:r>
      </w:fldSimple>
      <w:r>
        <w:t xml:space="preserve"> - </w:t>
      </w:r>
      <w:r w:rsidRPr="00F750A0">
        <w:t xml:space="preserve">Survey Questionnaire - Section </w:t>
      </w:r>
      <w:r>
        <w:t>2</w:t>
      </w:r>
      <w:bookmarkEnd w:id="90"/>
      <w:bookmarkEnd w:id="91"/>
    </w:p>
    <w:p w14:paraId="437EBCF7" w14:textId="77777777" w:rsidR="00373AD1" w:rsidRDefault="00373AD1" w:rsidP="00373AD1">
      <w:pPr>
        <w:spacing w:after="0" w:line="360" w:lineRule="auto"/>
        <w:ind w:left="-576" w:right="-576"/>
        <w:jc w:val="both"/>
      </w:pPr>
    </w:p>
    <w:p w14:paraId="70243AE0" w14:textId="77777777" w:rsidR="00373AD1" w:rsidRDefault="00373AD1" w:rsidP="00373AD1">
      <w:pPr>
        <w:keepNext/>
        <w:spacing w:after="0" w:line="360" w:lineRule="auto"/>
        <w:ind w:left="-576" w:right="-576"/>
        <w:jc w:val="center"/>
      </w:pPr>
      <w:r>
        <w:rPr>
          <w:noProof/>
        </w:rPr>
        <w:lastRenderedPageBreak/>
        <w:drawing>
          <wp:inline distT="0" distB="0" distL="0" distR="0" wp14:anchorId="1AD7B010" wp14:editId="5F8A15BA">
            <wp:extent cx="5731510" cy="5367655"/>
            <wp:effectExtent l="0" t="0" r="2540" b="4445"/>
            <wp:docPr id="4458922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892266" name="Picture 1" descr="A screenshot of a computer&#10;&#10;AI-generated content may be incorrect."/>
                    <pic:cNvPicPr/>
                  </pic:nvPicPr>
                  <pic:blipFill>
                    <a:blip r:embed="rId23"/>
                    <a:stretch>
                      <a:fillRect/>
                    </a:stretch>
                  </pic:blipFill>
                  <pic:spPr>
                    <a:xfrm>
                      <a:off x="0" y="0"/>
                      <a:ext cx="5731510" cy="5367655"/>
                    </a:xfrm>
                    <a:prstGeom prst="rect">
                      <a:avLst/>
                    </a:prstGeom>
                  </pic:spPr>
                </pic:pic>
              </a:graphicData>
            </a:graphic>
          </wp:inline>
        </w:drawing>
      </w:r>
    </w:p>
    <w:p w14:paraId="38F399D6" w14:textId="2F4F0D03" w:rsidR="00373AD1" w:rsidRDefault="00373AD1" w:rsidP="00373AD1">
      <w:pPr>
        <w:pStyle w:val="Caption"/>
        <w:jc w:val="center"/>
      </w:pPr>
      <w:bookmarkStart w:id="92" w:name="_Toc205122380"/>
      <w:bookmarkStart w:id="93" w:name="_Toc219216539"/>
      <w:r>
        <w:t xml:space="preserve">Figure </w:t>
      </w:r>
      <w:fldSimple w:instr=" SEQ Figure \* ARABIC ">
        <w:r w:rsidR="008D7EA1">
          <w:rPr>
            <w:noProof/>
          </w:rPr>
          <w:t>13</w:t>
        </w:r>
      </w:fldSimple>
      <w:r>
        <w:t xml:space="preserve"> - </w:t>
      </w:r>
      <w:r w:rsidRPr="009641EA">
        <w:t xml:space="preserve">Survey Questionnaire - Section </w:t>
      </w:r>
      <w:r>
        <w:t>3</w:t>
      </w:r>
      <w:bookmarkEnd w:id="92"/>
      <w:bookmarkEnd w:id="93"/>
    </w:p>
    <w:p w14:paraId="74618752" w14:textId="77777777" w:rsidR="00373AD1" w:rsidRDefault="00373AD1" w:rsidP="00373AD1">
      <w:pPr>
        <w:keepNext/>
        <w:spacing w:after="0" w:line="360" w:lineRule="auto"/>
        <w:ind w:left="-576" w:right="-576"/>
        <w:jc w:val="center"/>
      </w:pPr>
      <w:r>
        <w:rPr>
          <w:noProof/>
        </w:rPr>
        <w:lastRenderedPageBreak/>
        <w:drawing>
          <wp:inline distT="0" distB="0" distL="0" distR="0" wp14:anchorId="4F705816" wp14:editId="23F023D4">
            <wp:extent cx="5731510" cy="6118860"/>
            <wp:effectExtent l="0" t="0" r="2540" b="0"/>
            <wp:docPr id="12208353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835391" name="Picture 1" descr="A screenshot of a computer&#10;&#10;AI-generated content may be incorrect."/>
                    <pic:cNvPicPr/>
                  </pic:nvPicPr>
                  <pic:blipFill>
                    <a:blip r:embed="rId24"/>
                    <a:stretch>
                      <a:fillRect/>
                    </a:stretch>
                  </pic:blipFill>
                  <pic:spPr>
                    <a:xfrm>
                      <a:off x="0" y="0"/>
                      <a:ext cx="5731510" cy="6118860"/>
                    </a:xfrm>
                    <a:prstGeom prst="rect">
                      <a:avLst/>
                    </a:prstGeom>
                  </pic:spPr>
                </pic:pic>
              </a:graphicData>
            </a:graphic>
          </wp:inline>
        </w:drawing>
      </w:r>
    </w:p>
    <w:p w14:paraId="5C915A29" w14:textId="677C9222" w:rsidR="00373AD1" w:rsidRDefault="00373AD1" w:rsidP="00373AD1">
      <w:pPr>
        <w:pStyle w:val="Caption"/>
        <w:jc w:val="center"/>
      </w:pPr>
      <w:bookmarkStart w:id="94" w:name="_Toc205122381"/>
      <w:bookmarkStart w:id="95" w:name="_Toc219216540"/>
      <w:r>
        <w:t xml:space="preserve">Figure </w:t>
      </w:r>
      <w:fldSimple w:instr=" SEQ Figure \* ARABIC ">
        <w:r w:rsidR="008D7EA1">
          <w:rPr>
            <w:noProof/>
          </w:rPr>
          <w:t>14</w:t>
        </w:r>
      </w:fldSimple>
      <w:r>
        <w:t xml:space="preserve"> - </w:t>
      </w:r>
      <w:r w:rsidRPr="004D76EB">
        <w:t xml:space="preserve">Survey Questionnaire - Section </w:t>
      </w:r>
      <w:r>
        <w:t>4</w:t>
      </w:r>
      <w:bookmarkEnd w:id="94"/>
      <w:bookmarkEnd w:id="95"/>
    </w:p>
    <w:p w14:paraId="4F3CBD05" w14:textId="77777777" w:rsidR="00373AD1" w:rsidRDefault="00373AD1" w:rsidP="00373AD1">
      <w:pPr>
        <w:spacing w:after="0" w:line="360" w:lineRule="auto"/>
        <w:ind w:left="-576" w:right="-576"/>
        <w:jc w:val="both"/>
      </w:pPr>
    </w:p>
    <w:p w14:paraId="682C58C2" w14:textId="77777777" w:rsidR="00373AD1" w:rsidRDefault="00373AD1" w:rsidP="00373AD1">
      <w:pPr>
        <w:keepNext/>
        <w:spacing w:after="0" w:line="360" w:lineRule="auto"/>
        <w:ind w:left="-576" w:right="-576"/>
        <w:jc w:val="center"/>
      </w:pPr>
      <w:r>
        <w:rPr>
          <w:noProof/>
        </w:rPr>
        <w:lastRenderedPageBreak/>
        <w:drawing>
          <wp:inline distT="0" distB="0" distL="0" distR="0" wp14:anchorId="4E9B3BB4" wp14:editId="344E515E">
            <wp:extent cx="5731510" cy="4500880"/>
            <wp:effectExtent l="0" t="0" r="2540" b="0"/>
            <wp:docPr id="60535333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53333" name="Picture 1" descr="A screenshot of a computer screen&#10;&#10;AI-generated content may be incorrect."/>
                    <pic:cNvPicPr/>
                  </pic:nvPicPr>
                  <pic:blipFill>
                    <a:blip r:embed="rId25"/>
                    <a:stretch>
                      <a:fillRect/>
                    </a:stretch>
                  </pic:blipFill>
                  <pic:spPr>
                    <a:xfrm>
                      <a:off x="0" y="0"/>
                      <a:ext cx="5731510" cy="4500880"/>
                    </a:xfrm>
                    <a:prstGeom prst="rect">
                      <a:avLst/>
                    </a:prstGeom>
                  </pic:spPr>
                </pic:pic>
              </a:graphicData>
            </a:graphic>
          </wp:inline>
        </w:drawing>
      </w:r>
    </w:p>
    <w:p w14:paraId="0855F28E" w14:textId="4D791AB2" w:rsidR="00373AD1" w:rsidRDefault="00373AD1" w:rsidP="00373AD1">
      <w:pPr>
        <w:pStyle w:val="Caption"/>
        <w:jc w:val="center"/>
      </w:pPr>
      <w:bookmarkStart w:id="96" w:name="_Toc205122382"/>
      <w:bookmarkStart w:id="97" w:name="_Toc219216541"/>
      <w:r>
        <w:t xml:space="preserve">Figure </w:t>
      </w:r>
      <w:fldSimple w:instr=" SEQ Figure \* ARABIC ">
        <w:r w:rsidR="008D7EA1">
          <w:rPr>
            <w:noProof/>
          </w:rPr>
          <w:t>15</w:t>
        </w:r>
      </w:fldSimple>
      <w:r>
        <w:t xml:space="preserve"> - </w:t>
      </w:r>
      <w:r w:rsidRPr="007D380E">
        <w:t xml:space="preserve">Survey Questionnaire - Section </w:t>
      </w:r>
      <w:r>
        <w:t>5</w:t>
      </w:r>
      <w:bookmarkEnd w:id="96"/>
      <w:bookmarkEnd w:id="97"/>
    </w:p>
    <w:p w14:paraId="6446F086" w14:textId="77777777" w:rsidR="00373AD1" w:rsidRDefault="00373AD1" w:rsidP="00373AD1">
      <w:pPr>
        <w:keepNext/>
        <w:spacing w:after="0" w:line="360" w:lineRule="auto"/>
        <w:ind w:left="-576" w:right="-576"/>
        <w:jc w:val="center"/>
      </w:pPr>
      <w:r>
        <w:rPr>
          <w:noProof/>
        </w:rPr>
        <w:drawing>
          <wp:inline distT="0" distB="0" distL="0" distR="0" wp14:anchorId="3B9448FB" wp14:editId="42C0AA1D">
            <wp:extent cx="5731510" cy="2625725"/>
            <wp:effectExtent l="0" t="0" r="2540" b="3175"/>
            <wp:docPr id="1374226665"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26665" name="Picture 1" descr="A screenshot of a chat&#10;&#10;AI-generated content may be incorrect."/>
                    <pic:cNvPicPr/>
                  </pic:nvPicPr>
                  <pic:blipFill>
                    <a:blip r:embed="rId26"/>
                    <a:stretch>
                      <a:fillRect/>
                    </a:stretch>
                  </pic:blipFill>
                  <pic:spPr>
                    <a:xfrm>
                      <a:off x="0" y="0"/>
                      <a:ext cx="5731510" cy="2625725"/>
                    </a:xfrm>
                    <a:prstGeom prst="rect">
                      <a:avLst/>
                    </a:prstGeom>
                  </pic:spPr>
                </pic:pic>
              </a:graphicData>
            </a:graphic>
          </wp:inline>
        </w:drawing>
      </w:r>
    </w:p>
    <w:p w14:paraId="108634B3" w14:textId="293DC2A8" w:rsidR="00373AD1" w:rsidRDefault="00373AD1" w:rsidP="00373AD1">
      <w:pPr>
        <w:pStyle w:val="Caption"/>
        <w:jc w:val="center"/>
      </w:pPr>
      <w:bookmarkStart w:id="98" w:name="_Toc205122383"/>
      <w:bookmarkStart w:id="99" w:name="_Toc219216542"/>
      <w:r>
        <w:t xml:space="preserve">Figure </w:t>
      </w:r>
      <w:fldSimple w:instr=" SEQ Figure \* ARABIC ">
        <w:r w:rsidR="008D7EA1">
          <w:rPr>
            <w:noProof/>
          </w:rPr>
          <w:t>16</w:t>
        </w:r>
      </w:fldSimple>
      <w:r>
        <w:t xml:space="preserve"> - Survey Questionnaire - Section 6</w:t>
      </w:r>
      <w:bookmarkEnd w:id="98"/>
      <w:bookmarkEnd w:id="99"/>
    </w:p>
    <w:p w14:paraId="07A07FB6" w14:textId="77777777" w:rsidR="00373AD1" w:rsidRDefault="00373AD1" w:rsidP="00373AD1"/>
    <w:p w14:paraId="335023F0" w14:textId="77777777" w:rsidR="00373AD1" w:rsidRDefault="00373AD1" w:rsidP="00373AD1">
      <w:hyperlink r:id="rId27" w:history="1">
        <w:r w:rsidRPr="00D8090D">
          <w:rPr>
            <w:rStyle w:val="Hyperlink"/>
          </w:rPr>
          <w:t>https://docs.google.com/forms/d/1Fnjj393c6TpvkQBeAsMNhDAD5PzUbqBf11emUogvz_c/edit</w:t>
        </w:r>
      </w:hyperlink>
    </w:p>
    <w:p w14:paraId="247F7838" w14:textId="1B4312AB" w:rsidR="00373AD1" w:rsidRDefault="00373AD1" w:rsidP="00373AD1">
      <w:pPr>
        <w:pStyle w:val="Caption"/>
        <w:jc w:val="center"/>
      </w:pPr>
      <w:bookmarkStart w:id="100" w:name="_Toc205122384"/>
      <w:bookmarkStart w:id="101" w:name="_Toc219216543"/>
      <w:r>
        <w:t xml:space="preserve">Figure </w:t>
      </w:r>
      <w:fldSimple w:instr=" SEQ Figure \* ARABIC ">
        <w:r w:rsidR="008D7EA1">
          <w:rPr>
            <w:noProof/>
          </w:rPr>
          <w:t>17</w:t>
        </w:r>
      </w:fldSimple>
      <w:r>
        <w:t xml:space="preserve"> - Link to Forms Survey</w:t>
      </w:r>
      <w:bookmarkEnd w:id="100"/>
      <w:bookmarkEnd w:id="101"/>
      <w:r>
        <w:br w:type="page"/>
      </w:r>
    </w:p>
    <w:p w14:paraId="4933C181" w14:textId="77777777" w:rsidR="00373AD1" w:rsidRPr="004B6B59" w:rsidRDefault="00373AD1" w:rsidP="00373AD1">
      <w:pPr>
        <w:pStyle w:val="Heading2"/>
        <w:ind w:left="-576" w:right="-576"/>
        <w:rPr>
          <w:sz w:val="22"/>
          <w:szCs w:val="22"/>
        </w:rPr>
      </w:pPr>
      <w:bookmarkStart w:id="102" w:name="_Toc205129722"/>
      <w:bookmarkStart w:id="103" w:name="_Toc219216495"/>
      <w:r w:rsidRPr="004B6B59">
        <w:rPr>
          <w:sz w:val="22"/>
          <w:szCs w:val="22"/>
        </w:rPr>
        <w:lastRenderedPageBreak/>
        <w:t xml:space="preserve">12.2. </w:t>
      </w:r>
      <w:r w:rsidRPr="004B6B59">
        <w:rPr>
          <w:sz w:val="22"/>
          <w:szCs w:val="22"/>
          <w:u w:val="single"/>
        </w:rPr>
        <w:t>Proposed Timeline Gantt Chart</w:t>
      </w:r>
      <w:r w:rsidRPr="004B6B59">
        <w:rPr>
          <w:sz w:val="22"/>
          <w:szCs w:val="22"/>
        </w:rPr>
        <w:t>.</w:t>
      </w:r>
      <w:bookmarkEnd w:id="102"/>
      <w:bookmarkEnd w:id="103"/>
    </w:p>
    <w:p w14:paraId="61933E70" w14:textId="77777777" w:rsidR="00373AD1" w:rsidRDefault="00373AD1" w:rsidP="00373AD1">
      <w:pPr>
        <w:spacing w:after="0" w:line="360" w:lineRule="auto"/>
        <w:ind w:left="-576" w:right="-576"/>
        <w:jc w:val="both"/>
      </w:pPr>
    </w:p>
    <w:p w14:paraId="68CF40F3" w14:textId="39981590" w:rsidR="00373AD1" w:rsidRDefault="00C67CBE" w:rsidP="00373AD1">
      <w:pPr>
        <w:keepNext/>
        <w:spacing w:after="0"/>
        <w:ind w:left="-576" w:right="-576"/>
        <w:jc w:val="center"/>
      </w:pPr>
      <w:r>
        <w:rPr>
          <w:noProof/>
        </w:rPr>
        <w:drawing>
          <wp:inline distT="0" distB="0" distL="0" distR="0" wp14:anchorId="1A7FFFB8" wp14:editId="45412F90">
            <wp:extent cx="8175829" cy="2795150"/>
            <wp:effectExtent l="4445" t="0" r="1270" b="1270"/>
            <wp:docPr id="1430964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964353" name=""/>
                    <pic:cNvPicPr/>
                  </pic:nvPicPr>
                  <pic:blipFill>
                    <a:blip r:embed="rId28"/>
                    <a:stretch>
                      <a:fillRect/>
                    </a:stretch>
                  </pic:blipFill>
                  <pic:spPr>
                    <a:xfrm rot="16200000">
                      <a:off x="0" y="0"/>
                      <a:ext cx="8215654" cy="2808766"/>
                    </a:xfrm>
                    <a:prstGeom prst="rect">
                      <a:avLst/>
                    </a:prstGeom>
                  </pic:spPr>
                </pic:pic>
              </a:graphicData>
            </a:graphic>
          </wp:inline>
        </w:drawing>
      </w:r>
    </w:p>
    <w:p w14:paraId="1BC5C92A" w14:textId="53E186FB" w:rsidR="00C67CBE" w:rsidRPr="00C67CBE" w:rsidRDefault="00373AD1" w:rsidP="00C67CBE">
      <w:pPr>
        <w:pStyle w:val="Caption"/>
        <w:jc w:val="center"/>
      </w:pPr>
      <w:bookmarkStart w:id="104" w:name="_Toc205122385"/>
      <w:bookmarkStart w:id="105" w:name="_Toc219216544"/>
      <w:r>
        <w:t xml:space="preserve">Figure </w:t>
      </w:r>
      <w:fldSimple w:instr=" SEQ Figure \* ARABIC ">
        <w:r w:rsidR="008D7EA1">
          <w:rPr>
            <w:noProof/>
          </w:rPr>
          <w:t>18</w:t>
        </w:r>
      </w:fldSimple>
      <w:r>
        <w:t xml:space="preserve"> - Proposed Project Timeline</w:t>
      </w:r>
      <w:bookmarkEnd w:id="104"/>
      <w:bookmarkEnd w:id="105"/>
    </w:p>
    <w:p w14:paraId="48F9B94C" w14:textId="647947D6" w:rsidR="00BB7C1D" w:rsidRPr="00BB7C1D" w:rsidRDefault="00BB7C1D" w:rsidP="00BB7C1D">
      <w:pPr>
        <w:pStyle w:val="Heading2"/>
        <w:ind w:left="-576" w:right="-576"/>
        <w:rPr>
          <w:sz w:val="22"/>
          <w:szCs w:val="22"/>
        </w:rPr>
      </w:pPr>
      <w:bookmarkStart w:id="106" w:name="_Toc219216496"/>
      <w:r w:rsidRPr="00BB7C1D">
        <w:rPr>
          <w:sz w:val="22"/>
          <w:szCs w:val="22"/>
        </w:rPr>
        <w:lastRenderedPageBreak/>
        <w:t xml:space="preserve">12.3. </w:t>
      </w:r>
      <w:r w:rsidRPr="00BB7C1D">
        <w:rPr>
          <w:sz w:val="22"/>
          <w:szCs w:val="22"/>
          <w:u w:val="single"/>
        </w:rPr>
        <w:t>Participant Demographics.</w:t>
      </w:r>
      <w:bookmarkEnd w:id="106"/>
    </w:p>
    <w:p w14:paraId="47E00193" w14:textId="77777777" w:rsidR="00BB7C1D" w:rsidRDefault="00BB7C1D" w:rsidP="00BB7C1D">
      <w:pPr>
        <w:spacing w:after="0"/>
        <w:ind w:left="-576" w:right="-576"/>
      </w:pPr>
    </w:p>
    <w:tbl>
      <w:tblPr>
        <w:tblW w:w="5655" w:type="dxa"/>
        <w:jc w:val="center"/>
        <w:tblLook w:val="04A0" w:firstRow="1" w:lastRow="0" w:firstColumn="1" w:lastColumn="0" w:noHBand="0" w:noVBand="1"/>
      </w:tblPr>
      <w:tblGrid>
        <w:gridCol w:w="498"/>
        <w:gridCol w:w="3780"/>
        <w:gridCol w:w="495"/>
        <w:gridCol w:w="882"/>
      </w:tblGrid>
      <w:tr w:rsidR="00BB7C1D" w:rsidRPr="00BB7C1D" w14:paraId="7B52C670" w14:textId="77777777" w:rsidTr="00BB7C1D">
        <w:trPr>
          <w:trHeight w:val="360"/>
          <w:jc w:val="center"/>
        </w:trPr>
        <w:tc>
          <w:tcPr>
            <w:tcW w:w="5655" w:type="dxa"/>
            <w:gridSpan w:val="4"/>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6B1AB9B2"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Participant Demographics</w:t>
            </w:r>
          </w:p>
        </w:tc>
      </w:tr>
      <w:tr w:rsidR="00BB7C1D" w:rsidRPr="00BB7C1D" w14:paraId="51939757" w14:textId="77777777" w:rsidTr="00BB7C1D">
        <w:trPr>
          <w:trHeight w:val="360"/>
          <w:jc w:val="center"/>
        </w:trPr>
        <w:tc>
          <w:tcPr>
            <w:tcW w:w="498" w:type="dxa"/>
            <w:vMerge w:val="restart"/>
            <w:tcBorders>
              <w:top w:val="nil"/>
              <w:left w:val="single" w:sz="4" w:space="0" w:color="000000"/>
              <w:bottom w:val="single" w:sz="4" w:space="0" w:color="000000"/>
              <w:right w:val="single" w:sz="4" w:space="0" w:color="000000"/>
            </w:tcBorders>
            <w:noWrap/>
            <w:textDirection w:val="btLr"/>
            <w:vAlign w:val="center"/>
            <w:hideMark/>
          </w:tcPr>
          <w:p w14:paraId="3193C2BB" w14:textId="27087B6C" w:rsidR="00BB7C1D" w:rsidRPr="00BB7C1D" w:rsidRDefault="00BB7C1D" w:rsidP="00BB7C1D">
            <w:pPr>
              <w:spacing w:after="0" w:line="240" w:lineRule="auto"/>
              <w:jc w:val="center"/>
              <w:rPr>
                <w:rFonts w:eastAsia="Times New Roman"/>
                <w:color w:val="000000"/>
                <w:lang w:eastAsia="en-GB"/>
              </w:rPr>
            </w:pPr>
            <w:r>
              <w:rPr>
                <w:rFonts w:eastAsia="Times New Roman"/>
                <w:color w:val="000000"/>
                <w:lang w:eastAsia="en-GB"/>
              </w:rPr>
              <w:t xml:space="preserve">Q1. </w:t>
            </w:r>
            <w:r w:rsidRPr="00BB7C1D">
              <w:rPr>
                <w:rFonts w:eastAsia="Times New Roman"/>
                <w:color w:val="000000"/>
                <w:lang w:eastAsia="en-GB"/>
              </w:rPr>
              <w:t>What is your job title?</w:t>
            </w:r>
          </w:p>
        </w:tc>
        <w:tc>
          <w:tcPr>
            <w:tcW w:w="3780" w:type="dxa"/>
            <w:tcBorders>
              <w:top w:val="nil"/>
              <w:left w:val="nil"/>
              <w:bottom w:val="single" w:sz="4" w:space="0" w:color="000000"/>
              <w:right w:val="single" w:sz="4" w:space="0" w:color="000000"/>
            </w:tcBorders>
            <w:shd w:val="clear" w:color="A6C9EC" w:fill="A6C9EC"/>
            <w:noWrap/>
            <w:vAlign w:val="bottom"/>
            <w:hideMark/>
          </w:tcPr>
          <w:p w14:paraId="0CA24625"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Job Role</w:t>
            </w:r>
          </w:p>
        </w:tc>
        <w:tc>
          <w:tcPr>
            <w:tcW w:w="495" w:type="dxa"/>
            <w:tcBorders>
              <w:top w:val="nil"/>
              <w:left w:val="nil"/>
              <w:bottom w:val="single" w:sz="4" w:space="0" w:color="000000"/>
              <w:right w:val="single" w:sz="4" w:space="0" w:color="000000"/>
            </w:tcBorders>
            <w:shd w:val="clear" w:color="A6C9EC" w:fill="A6C9EC"/>
            <w:noWrap/>
            <w:vAlign w:val="bottom"/>
            <w:hideMark/>
          </w:tcPr>
          <w:p w14:paraId="4869B47C"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No</w:t>
            </w:r>
          </w:p>
        </w:tc>
        <w:tc>
          <w:tcPr>
            <w:tcW w:w="882" w:type="dxa"/>
            <w:tcBorders>
              <w:top w:val="nil"/>
              <w:left w:val="nil"/>
              <w:bottom w:val="single" w:sz="4" w:space="0" w:color="000000"/>
              <w:right w:val="single" w:sz="4" w:space="0" w:color="000000"/>
            </w:tcBorders>
            <w:shd w:val="clear" w:color="A6C9EC" w:fill="A6C9EC"/>
            <w:noWrap/>
            <w:vAlign w:val="bottom"/>
            <w:hideMark/>
          </w:tcPr>
          <w:p w14:paraId="1A3DD7FC"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w:t>
            </w:r>
          </w:p>
        </w:tc>
      </w:tr>
      <w:tr w:rsidR="00BB7C1D" w:rsidRPr="00BB7C1D" w14:paraId="1CA9FACA"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2621D8AC"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7B81FFD2"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Works Engineer</w:t>
            </w:r>
          </w:p>
        </w:tc>
        <w:tc>
          <w:tcPr>
            <w:tcW w:w="495" w:type="dxa"/>
            <w:tcBorders>
              <w:top w:val="nil"/>
              <w:left w:val="nil"/>
              <w:bottom w:val="single" w:sz="4" w:space="0" w:color="000000"/>
              <w:right w:val="single" w:sz="4" w:space="0" w:color="000000"/>
            </w:tcBorders>
            <w:noWrap/>
            <w:vAlign w:val="bottom"/>
            <w:hideMark/>
          </w:tcPr>
          <w:p w14:paraId="4540041D"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882" w:type="dxa"/>
            <w:tcBorders>
              <w:top w:val="nil"/>
              <w:left w:val="nil"/>
              <w:bottom w:val="single" w:sz="4" w:space="0" w:color="000000"/>
              <w:right w:val="single" w:sz="4" w:space="0" w:color="000000"/>
            </w:tcBorders>
            <w:noWrap/>
            <w:vAlign w:val="bottom"/>
            <w:hideMark/>
          </w:tcPr>
          <w:p w14:paraId="43EAAADF"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r w:rsidR="00BB7C1D" w:rsidRPr="00BB7C1D" w14:paraId="3DA850E3"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4006DFB0"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62C047A4"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Engineering Manager</w:t>
            </w:r>
          </w:p>
        </w:tc>
        <w:tc>
          <w:tcPr>
            <w:tcW w:w="495" w:type="dxa"/>
            <w:tcBorders>
              <w:top w:val="nil"/>
              <w:left w:val="nil"/>
              <w:bottom w:val="single" w:sz="4" w:space="0" w:color="000000"/>
              <w:right w:val="single" w:sz="4" w:space="0" w:color="000000"/>
            </w:tcBorders>
            <w:noWrap/>
            <w:vAlign w:val="bottom"/>
            <w:hideMark/>
          </w:tcPr>
          <w:p w14:paraId="05893D37"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3</w:t>
            </w:r>
          </w:p>
        </w:tc>
        <w:tc>
          <w:tcPr>
            <w:tcW w:w="882" w:type="dxa"/>
            <w:tcBorders>
              <w:top w:val="nil"/>
              <w:left w:val="nil"/>
              <w:bottom w:val="single" w:sz="4" w:space="0" w:color="000000"/>
              <w:right w:val="single" w:sz="4" w:space="0" w:color="000000"/>
            </w:tcBorders>
            <w:noWrap/>
            <w:vAlign w:val="bottom"/>
            <w:hideMark/>
          </w:tcPr>
          <w:p w14:paraId="7CFE2A43"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8.33%</w:t>
            </w:r>
          </w:p>
        </w:tc>
      </w:tr>
      <w:tr w:rsidR="00BB7C1D" w:rsidRPr="00BB7C1D" w14:paraId="49A6E5A1"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7D33FABD"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4E27228A"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 xml:space="preserve">Departmental Electrical Engineer </w:t>
            </w:r>
          </w:p>
        </w:tc>
        <w:tc>
          <w:tcPr>
            <w:tcW w:w="495" w:type="dxa"/>
            <w:tcBorders>
              <w:top w:val="nil"/>
              <w:left w:val="nil"/>
              <w:bottom w:val="single" w:sz="4" w:space="0" w:color="000000"/>
              <w:right w:val="single" w:sz="4" w:space="0" w:color="000000"/>
            </w:tcBorders>
            <w:noWrap/>
            <w:vAlign w:val="bottom"/>
            <w:hideMark/>
          </w:tcPr>
          <w:p w14:paraId="4E64E7F7"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882" w:type="dxa"/>
            <w:tcBorders>
              <w:top w:val="nil"/>
              <w:left w:val="nil"/>
              <w:bottom w:val="single" w:sz="4" w:space="0" w:color="000000"/>
              <w:right w:val="single" w:sz="4" w:space="0" w:color="000000"/>
            </w:tcBorders>
            <w:noWrap/>
            <w:vAlign w:val="bottom"/>
            <w:hideMark/>
          </w:tcPr>
          <w:p w14:paraId="1023D4C9"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r w:rsidR="00BB7C1D" w:rsidRPr="00BB7C1D" w14:paraId="3C5897C1"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22C43DB0"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5D7F4780"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 xml:space="preserve">Departmental Engineer </w:t>
            </w:r>
          </w:p>
        </w:tc>
        <w:tc>
          <w:tcPr>
            <w:tcW w:w="495" w:type="dxa"/>
            <w:tcBorders>
              <w:top w:val="nil"/>
              <w:left w:val="nil"/>
              <w:bottom w:val="single" w:sz="4" w:space="0" w:color="000000"/>
              <w:right w:val="single" w:sz="4" w:space="0" w:color="000000"/>
            </w:tcBorders>
            <w:noWrap/>
            <w:vAlign w:val="bottom"/>
            <w:hideMark/>
          </w:tcPr>
          <w:p w14:paraId="76E6ED09"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w:t>
            </w:r>
          </w:p>
        </w:tc>
        <w:tc>
          <w:tcPr>
            <w:tcW w:w="882" w:type="dxa"/>
            <w:tcBorders>
              <w:top w:val="nil"/>
              <w:left w:val="nil"/>
              <w:bottom w:val="single" w:sz="4" w:space="0" w:color="000000"/>
              <w:right w:val="single" w:sz="4" w:space="0" w:color="000000"/>
            </w:tcBorders>
            <w:noWrap/>
            <w:vAlign w:val="bottom"/>
            <w:hideMark/>
          </w:tcPr>
          <w:p w14:paraId="142075EC"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5.56%</w:t>
            </w:r>
          </w:p>
        </w:tc>
      </w:tr>
      <w:tr w:rsidR="00BB7C1D" w:rsidRPr="00BB7C1D" w14:paraId="4AFE5013"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2DC2A9B8"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1FF5D32F"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Project Engineer</w:t>
            </w:r>
          </w:p>
        </w:tc>
        <w:tc>
          <w:tcPr>
            <w:tcW w:w="495" w:type="dxa"/>
            <w:tcBorders>
              <w:top w:val="nil"/>
              <w:left w:val="nil"/>
              <w:bottom w:val="single" w:sz="4" w:space="0" w:color="000000"/>
              <w:right w:val="single" w:sz="4" w:space="0" w:color="000000"/>
            </w:tcBorders>
            <w:noWrap/>
            <w:vAlign w:val="bottom"/>
            <w:hideMark/>
          </w:tcPr>
          <w:p w14:paraId="34B375A9"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12</w:t>
            </w:r>
          </w:p>
        </w:tc>
        <w:tc>
          <w:tcPr>
            <w:tcW w:w="882" w:type="dxa"/>
            <w:tcBorders>
              <w:top w:val="nil"/>
              <w:left w:val="nil"/>
              <w:bottom w:val="single" w:sz="4" w:space="0" w:color="000000"/>
              <w:right w:val="single" w:sz="4" w:space="0" w:color="000000"/>
            </w:tcBorders>
            <w:noWrap/>
            <w:vAlign w:val="bottom"/>
            <w:hideMark/>
          </w:tcPr>
          <w:p w14:paraId="63B5A816"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33.33%</w:t>
            </w:r>
          </w:p>
        </w:tc>
      </w:tr>
      <w:tr w:rsidR="00BB7C1D" w:rsidRPr="00BB7C1D" w14:paraId="6EA83F70"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1952BAF4"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15DAD226"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Electrical Engineer</w:t>
            </w:r>
          </w:p>
        </w:tc>
        <w:tc>
          <w:tcPr>
            <w:tcW w:w="495" w:type="dxa"/>
            <w:tcBorders>
              <w:top w:val="nil"/>
              <w:left w:val="nil"/>
              <w:bottom w:val="single" w:sz="4" w:space="0" w:color="000000"/>
              <w:right w:val="single" w:sz="4" w:space="0" w:color="000000"/>
            </w:tcBorders>
            <w:noWrap/>
            <w:vAlign w:val="bottom"/>
            <w:hideMark/>
          </w:tcPr>
          <w:p w14:paraId="06BCB56E"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6</w:t>
            </w:r>
          </w:p>
        </w:tc>
        <w:tc>
          <w:tcPr>
            <w:tcW w:w="882" w:type="dxa"/>
            <w:tcBorders>
              <w:top w:val="nil"/>
              <w:left w:val="nil"/>
              <w:bottom w:val="single" w:sz="4" w:space="0" w:color="000000"/>
              <w:right w:val="single" w:sz="4" w:space="0" w:color="000000"/>
            </w:tcBorders>
            <w:noWrap/>
            <w:vAlign w:val="bottom"/>
            <w:hideMark/>
          </w:tcPr>
          <w:p w14:paraId="1088E43A"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16.67%</w:t>
            </w:r>
          </w:p>
        </w:tc>
      </w:tr>
      <w:tr w:rsidR="00BB7C1D" w:rsidRPr="00BB7C1D" w14:paraId="5F258A27"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479698A2"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776A5CE2"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Mechanical Engineer</w:t>
            </w:r>
          </w:p>
        </w:tc>
        <w:tc>
          <w:tcPr>
            <w:tcW w:w="495" w:type="dxa"/>
            <w:tcBorders>
              <w:top w:val="nil"/>
              <w:left w:val="nil"/>
              <w:bottom w:val="single" w:sz="4" w:space="0" w:color="000000"/>
              <w:right w:val="single" w:sz="4" w:space="0" w:color="000000"/>
            </w:tcBorders>
            <w:noWrap/>
            <w:vAlign w:val="bottom"/>
            <w:hideMark/>
          </w:tcPr>
          <w:p w14:paraId="467A48BB"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6</w:t>
            </w:r>
          </w:p>
        </w:tc>
        <w:tc>
          <w:tcPr>
            <w:tcW w:w="882" w:type="dxa"/>
            <w:tcBorders>
              <w:top w:val="nil"/>
              <w:left w:val="nil"/>
              <w:bottom w:val="single" w:sz="4" w:space="0" w:color="000000"/>
              <w:right w:val="single" w:sz="4" w:space="0" w:color="000000"/>
            </w:tcBorders>
            <w:noWrap/>
            <w:vAlign w:val="bottom"/>
            <w:hideMark/>
          </w:tcPr>
          <w:p w14:paraId="5C4506DF"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16.67%</w:t>
            </w:r>
          </w:p>
        </w:tc>
      </w:tr>
      <w:tr w:rsidR="00BB7C1D" w:rsidRPr="00BB7C1D" w14:paraId="51C6A8BA"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3E31DEA6"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1A375009"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Fire Safety Engineer</w:t>
            </w:r>
          </w:p>
        </w:tc>
        <w:tc>
          <w:tcPr>
            <w:tcW w:w="495" w:type="dxa"/>
            <w:tcBorders>
              <w:top w:val="nil"/>
              <w:left w:val="nil"/>
              <w:bottom w:val="single" w:sz="4" w:space="0" w:color="000000"/>
              <w:right w:val="single" w:sz="4" w:space="0" w:color="000000"/>
            </w:tcBorders>
            <w:noWrap/>
            <w:vAlign w:val="bottom"/>
            <w:hideMark/>
          </w:tcPr>
          <w:p w14:paraId="570638EB"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882" w:type="dxa"/>
            <w:tcBorders>
              <w:top w:val="nil"/>
              <w:left w:val="nil"/>
              <w:bottom w:val="single" w:sz="4" w:space="0" w:color="000000"/>
              <w:right w:val="single" w:sz="4" w:space="0" w:color="000000"/>
            </w:tcBorders>
            <w:noWrap/>
            <w:vAlign w:val="bottom"/>
            <w:hideMark/>
          </w:tcPr>
          <w:p w14:paraId="24C26C6F"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r w:rsidR="00BB7C1D" w:rsidRPr="00BB7C1D" w14:paraId="15D5752A"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4D43CF92"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3D7EF260"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Programme Manager</w:t>
            </w:r>
          </w:p>
        </w:tc>
        <w:tc>
          <w:tcPr>
            <w:tcW w:w="495" w:type="dxa"/>
            <w:tcBorders>
              <w:top w:val="nil"/>
              <w:left w:val="nil"/>
              <w:bottom w:val="single" w:sz="4" w:space="0" w:color="000000"/>
              <w:right w:val="single" w:sz="4" w:space="0" w:color="000000"/>
            </w:tcBorders>
            <w:noWrap/>
            <w:vAlign w:val="bottom"/>
            <w:hideMark/>
          </w:tcPr>
          <w:p w14:paraId="4A251AA6"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882" w:type="dxa"/>
            <w:tcBorders>
              <w:top w:val="nil"/>
              <w:left w:val="nil"/>
              <w:bottom w:val="single" w:sz="4" w:space="0" w:color="000000"/>
              <w:right w:val="single" w:sz="4" w:space="0" w:color="000000"/>
            </w:tcBorders>
            <w:noWrap/>
            <w:vAlign w:val="bottom"/>
            <w:hideMark/>
          </w:tcPr>
          <w:p w14:paraId="0C7C40FA"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r w:rsidR="00BB7C1D" w:rsidRPr="00BB7C1D" w14:paraId="5B9312CC"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38FC8488"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4A7518B1"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 xml:space="preserve">Statutory Compliance Engineer </w:t>
            </w:r>
          </w:p>
        </w:tc>
        <w:tc>
          <w:tcPr>
            <w:tcW w:w="495" w:type="dxa"/>
            <w:tcBorders>
              <w:top w:val="nil"/>
              <w:left w:val="nil"/>
              <w:bottom w:val="single" w:sz="4" w:space="0" w:color="000000"/>
              <w:right w:val="single" w:sz="4" w:space="0" w:color="000000"/>
            </w:tcBorders>
            <w:noWrap/>
            <w:vAlign w:val="bottom"/>
            <w:hideMark/>
          </w:tcPr>
          <w:p w14:paraId="09411C7D"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882" w:type="dxa"/>
            <w:tcBorders>
              <w:top w:val="nil"/>
              <w:left w:val="nil"/>
              <w:bottom w:val="single" w:sz="4" w:space="0" w:color="000000"/>
              <w:right w:val="single" w:sz="4" w:space="0" w:color="000000"/>
            </w:tcBorders>
            <w:noWrap/>
            <w:vAlign w:val="bottom"/>
            <w:hideMark/>
          </w:tcPr>
          <w:p w14:paraId="21EEA740"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r w:rsidR="00BB7C1D" w:rsidRPr="00BB7C1D" w14:paraId="0A4771E7"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34450011"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56204B7D"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 xml:space="preserve">Engineer </w:t>
            </w:r>
          </w:p>
        </w:tc>
        <w:tc>
          <w:tcPr>
            <w:tcW w:w="495" w:type="dxa"/>
            <w:tcBorders>
              <w:top w:val="nil"/>
              <w:left w:val="nil"/>
              <w:bottom w:val="single" w:sz="4" w:space="0" w:color="000000"/>
              <w:right w:val="single" w:sz="4" w:space="0" w:color="000000"/>
            </w:tcBorders>
            <w:noWrap/>
            <w:vAlign w:val="bottom"/>
            <w:hideMark/>
          </w:tcPr>
          <w:p w14:paraId="2FFCE6E8"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882" w:type="dxa"/>
            <w:tcBorders>
              <w:top w:val="nil"/>
              <w:left w:val="nil"/>
              <w:bottom w:val="single" w:sz="4" w:space="0" w:color="000000"/>
              <w:right w:val="single" w:sz="4" w:space="0" w:color="000000"/>
            </w:tcBorders>
            <w:noWrap/>
            <w:vAlign w:val="bottom"/>
            <w:hideMark/>
          </w:tcPr>
          <w:p w14:paraId="14332CB9"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r w:rsidR="00BB7C1D" w:rsidRPr="00BB7C1D" w14:paraId="316C8883" w14:textId="77777777" w:rsidTr="00BB7C1D">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71E96356" w14:textId="77777777" w:rsidR="00BB7C1D" w:rsidRPr="00BB7C1D" w:rsidRDefault="00BB7C1D" w:rsidP="00BB7C1D">
            <w:pPr>
              <w:spacing w:after="0" w:line="240" w:lineRule="auto"/>
              <w:rPr>
                <w:rFonts w:eastAsia="Times New Roman"/>
                <w:color w:val="000000"/>
                <w:lang w:eastAsia="en-GB"/>
              </w:rPr>
            </w:pPr>
          </w:p>
        </w:tc>
        <w:tc>
          <w:tcPr>
            <w:tcW w:w="3780" w:type="dxa"/>
            <w:tcBorders>
              <w:top w:val="nil"/>
              <w:left w:val="nil"/>
              <w:bottom w:val="single" w:sz="4" w:space="0" w:color="000000"/>
              <w:right w:val="single" w:sz="4" w:space="0" w:color="000000"/>
            </w:tcBorders>
            <w:noWrap/>
            <w:vAlign w:val="bottom"/>
            <w:hideMark/>
          </w:tcPr>
          <w:p w14:paraId="2194D1D4"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HV Engineer</w:t>
            </w:r>
          </w:p>
        </w:tc>
        <w:tc>
          <w:tcPr>
            <w:tcW w:w="495" w:type="dxa"/>
            <w:tcBorders>
              <w:top w:val="nil"/>
              <w:left w:val="nil"/>
              <w:bottom w:val="single" w:sz="4" w:space="0" w:color="000000"/>
              <w:right w:val="single" w:sz="4" w:space="0" w:color="000000"/>
            </w:tcBorders>
            <w:noWrap/>
            <w:vAlign w:val="bottom"/>
            <w:hideMark/>
          </w:tcPr>
          <w:p w14:paraId="654287F5"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882" w:type="dxa"/>
            <w:tcBorders>
              <w:top w:val="nil"/>
              <w:left w:val="nil"/>
              <w:bottom w:val="single" w:sz="4" w:space="0" w:color="000000"/>
              <w:right w:val="single" w:sz="4" w:space="0" w:color="000000"/>
            </w:tcBorders>
            <w:noWrap/>
            <w:vAlign w:val="bottom"/>
            <w:hideMark/>
          </w:tcPr>
          <w:p w14:paraId="4466A8F5"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bl>
    <w:p w14:paraId="72A7E01E" w14:textId="7E72EB47" w:rsidR="00BB7C1D" w:rsidRDefault="00BB7C1D" w:rsidP="00BB7C1D">
      <w:pPr>
        <w:pStyle w:val="Caption"/>
        <w:jc w:val="center"/>
      </w:pPr>
      <w:bookmarkStart w:id="107" w:name="_Toc219216420"/>
      <w:r>
        <w:t xml:space="preserve">Table </w:t>
      </w:r>
      <w:fldSimple w:instr=" SEQ Table \* ARABIC ">
        <w:r w:rsidR="004239CB">
          <w:rPr>
            <w:noProof/>
          </w:rPr>
          <w:t>7</w:t>
        </w:r>
      </w:fldSimple>
      <w:r>
        <w:t xml:space="preserve"> - Questionnaire Q1 Data Set</w:t>
      </w:r>
      <w:bookmarkEnd w:id="107"/>
    </w:p>
    <w:p w14:paraId="2F561418" w14:textId="77777777" w:rsidR="00BB7C1D" w:rsidRDefault="00BB7C1D" w:rsidP="00BB7C1D">
      <w:pPr>
        <w:spacing w:after="0"/>
        <w:ind w:left="-576" w:right="-576"/>
      </w:pPr>
    </w:p>
    <w:tbl>
      <w:tblPr>
        <w:tblW w:w="5900" w:type="dxa"/>
        <w:jc w:val="center"/>
        <w:tblLook w:val="04A0" w:firstRow="1" w:lastRow="0" w:firstColumn="1" w:lastColumn="0" w:noHBand="0" w:noVBand="1"/>
      </w:tblPr>
      <w:tblGrid>
        <w:gridCol w:w="952"/>
        <w:gridCol w:w="3245"/>
        <w:gridCol w:w="529"/>
        <w:gridCol w:w="1174"/>
      </w:tblGrid>
      <w:tr w:rsidR="00BB7C1D" w:rsidRPr="00BB7C1D" w14:paraId="78816973" w14:textId="77777777" w:rsidTr="00BB7C1D">
        <w:trPr>
          <w:trHeight w:val="360"/>
          <w:jc w:val="center"/>
        </w:trPr>
        <w:tc>
          <w:tcPr>
            <w:tcW w:w="5900" w:type="dxa"/>
            <w:gridSpan w:val="4"/>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3A8E19D2"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Participant Demographics</w:t>
            </w:r>
          </w:p>
        </w:tc>
      </w:tr>
      <w:tr w:rsidR="00BB7C1D" w:rsidRPr="00BB7C1D" w14:paraId="360114DC" w14:textId="77777777" w:rsidTr="00BB7C1D">
        <w:trPr>
          <w:trHeight w:val="360"/>
          <w:jc w:val="center"/>
        </w:trPr>
        <w:tc>
          <w:tcPr>
            <w:tcW w:w="952" w:type="dxa"/>
            <w:vMerge w:val="restart"/>
            <w:tcBorders>
              <w:top w:val="nil"/>
              <w:left w:val="single" w:sz="4" w:space="0" w:color="000000"/>
              <w:bottom w:val="single" w:sz="4" w:space="0" w:color="000000"/>
              <w:right w:val="single" w:sz="4" w:space="0" w:color="000000"/>
            </w:tcBorders>
            <w:textDirection w:val="btLr"/>
            <w:vAlign w:val="center"/>
            <w:hideMark/>
          </w:tcPr>
          <w:p w14:paraId="17B74AA7" w14:textId="01F51BCB" w:rsidR="00BB7C1D" w:rsidRPr="00BB7C1D" w:rsidRDefault="00BB7C1D" w:rsidP="00BB7C1D">
            <w:pPr>
              <w:spacing w:after="0" w:line="240" w:lineRule="auto"/>
              <w:jc w:val="center"/>
              <w:rPr>
                <w:rFonts w:eastAsia="Times New Roman"/>
                <w:color w:val="000000"/>
                <w:lang w:eastAsia="en-GB"/>
              </w:rPr>
            </w:pPr>
            <w:r>
              <w:rPr>
                <w:rFonts w:eastAsia="Times New Roman"/>
                <w:color w:val="000000"/>
                <w:lang w:eastAsia="en-GB"/>
              </w:rPr>
              <w:t xml:space="preserve">Q2. </w:t>
            </w:r>
            <w:r w:rsidRPr="00BB7C1D">
              <w:rPr>
                <w:rFonts w:eastAsia="Times New Roman"/>
                <w:color w:val="000000"/>
                <w:lang w:eastAsia="en-GB"/>
              </w:rPr>
              <w:t>What sector do you primarily work in?</w:t>
            </w:r>
          </w:p>
        </w:tc>
        <w:tc>
          <w:tcPr>
            <w:tcW w:w="3245" w:type="dxa"/>
            <w:tcBorders>
              <w:top w:val="nil"/>
              <w:left w:val="nil"/>
              <w:bottom w:val="single" w:sz="4" w:space="0" w:color="000000"/>
              <w:right w:val="single" w:sz="4" w:space="0" w:color="000000"/>
            </w:tcBorders>
            <w:shd w:val="clear" w:color="A6C9EC" w:fill="A6C9EC"/>
            <w:noWrap/>
            <w:vAlign w:val="bottom"/>
            <w:hideMark/>
          </w:tcPr>
          <w:p w14:paraId="6DB7B578"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Sector</w:t>
            </w:r>
          </w:p>
        </w:tc>
        <w:tc>
          <w:tcPr>
            <w:tcW w:w="529" w:type="dxa"/>
            <w:tcBorders>
              <w:top w:val="nil"/>
              <w:left w:val="nil"/>
              <w:bottom w:val="single" w:sz="4" w:space="0" w:color="000000"/>
              <w:right w:val="single" w:sz="4" w:space="0" w:color="000000"/>
            </w:tcBorders>
            <w:shd w:val="clear" w:color="A6C9EC" w:fill="A6C9EC"/>
            <w:noWrap/>
            <w:vAlign w:val="bottom"/>
            <w:hideMark/>
          </w:tcPr>
          <w:p w14:paraId="3BB99D67"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No</w:t>
            </w:r>
          </w:p>
        </w:tc>
        <w:tc>
          <w:tcPr>
            <w:tcW w:w="1174" w:type="dxa"/>
            <w:tcBorders>
              <w:top w:val="nil"/>
              <w:left w:val="nil"/>
              <w:bottom w:val="single" w:sz="4" w:space="0" w:color="000000"/>
              <w:right w:val="single" w:sz="4" w:space="0" w:color="000000"/>
            </w:tcBorders>
            <w:shd w:val="clear" w:color="A6C9EC" w:fill="A6C9EC"/>
            <w:noWrap/>
            <w:vAlign w:val="bottom"/>
            <w:hideMark/>
          </w:tcPr>
          <w:p w14:paraId="5AD845F8"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w:t>
            </w:r>
          </w:p>
        </w:tc>
      </w:tr>
      <w:tr w:rsidR="00BB7C1D" w:rsidRPr="00BB7C1D" w14:paraId="48C7975C" w14:textId="77777777" w:rsidTr="00BB7C1D">
        <w:trPr>
          <w:trHeight w:val="360"/>
          <w:jc w:val="center"/>
        </w:trPr>
        <w:tc>
          <w:tcPr>
            <w:tcW w:w="952" w:type="dxa"/>
            <w:vMerge/>
            <w:tcBorders>
              <w:top w:val="nil"/>
              <w:left w:val="single" w:sz="4" w:space="0" w:color="000000"/>
              <w:bottom w:val="single" w:sz="4" w:space="0" w:color="000000"/>
              <w:right w:val="single" w:sz="4" w:space="0" w:color="000000"/>
            </w:tcBorders>
            <w:vAlign w:val="center"/>
            <w:hideMark/>
          </w:tcPr>
          <w:p w14:paraId="628A06A0" w14:textId="77777777" w:rsidR="00BB7C1D" w:rsidRPr="00BB7C1D" w:rsidRDefault="00BB7C1D" w:rsidP="00BB7C1D">
            <w:pPr>
              <w:spacing w:after="0" w:line="240" w:lineRule="auto"/>
              <w:rPr>
                <w:rFonts w:eastAsia="Times New Roman"/>
                <w:color w:val="000000"/>
                <w:lang w:eastAsia="en-GB"/>
              </w:rPr>
            </w:pPr>
          </w:p>
        </w:tc>
        <w:tc>
          <w:tcPr>
            <w:tcW w:w="3245" w:type="dxa"/>
            <w:tcBorders>
              <w:top w:val="nil"/>
              <w:left w:val="nil"/>
              <w:bottom w:val="single" w:sz="4" w:space="0" w:color="000000"/>
              <w:right w:val="single" w:sz="4" w:space="0" w:color="000000"/>
            </w:tcBorders>
            <w:noWrap/>
            <w:vAlign w:val="bottom"/>
            <w:hideMark/>
          </w:tcPr>
          <w:p w14:paraId="642D05A2"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Construction</w:t>
            </w:r>
          </w:p>
        </w:tc>
        <w:tc>
          <w:tcPr>
            <w:tcW w:w="529" w:type="dxa"/>
            <w:tcBorders>
              <w:top w:val="nil"/>
              <w:left w:val="nil"/>
              <w:bottom w:val="single" w:sz="4" w:space="0" w:color="000000"/>
              <w:right w:val="single" w:sz="4" w:space="0" w:color="000000"/>
            </w:tcBorders>
            <w:noWrap/>
            <w:vAlign w:val="bottom"/>
            <w:hideMark/>
          </w:tcPr>
          <w:p w14:paraId="2E3E0C11"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1174" w:type="dxa"/>
            <w:tcBorders>
              <w:top w:val="nil"/>
              <w:left w:val="nil"/>
              <w:bottom w:val="single" w:sz="4" w:space="0" w:color="000000"/>
              <w:right w:val="single" w:sz="4" w:space="0" w:color="000000"/>
            </w:tcBorders>
            <w:noWrap/>
            <w:vAlign w:val="bottom"/>
            <w:hideMark/>
          </w:tcPr>
          <w:p w14:paraId="1D61B774"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r w:rsidR="00BB7C1D" w:rsidRPr="00BB7C1D" w14:paraId="29A864EF" w14:textId="77777777" w:rsidTr="00BB7C1D">
        <w:trPr>
          <w:trHeight w:val="360"/>
          <w:jc w:val="center"/>
        </w:trPr>
        <w:tc>
          <w:tcPr>
            <w:tcW w:w="952" w:type="dxa"/>
            <w:vMerge/>
            <w:tcBorders>
              <w:top w:val="nil"/>
              <w:left w:val="single" w:sz="4" w:space="0" w:color="000000"/>
              <w:bottom w:val="single" w:sz="4" w:space="0" w:color="000000"/>
              <w:right w:val="single" w:sz="4" w:space="0" w:color="000000"/>
            </w:tcBorders>
            <w:vAlign w:val="center"/>
            <w:hideMark/>
          </w:tcPr>
          <w:p w14:paraId="2C06836F" w14:textId="77777777" w:rsidR="00BB7C1D" w:rsidRPr="00BB7C1D" w:rsidRDefault="00BB7C1D" w:rsidP="00BB7C1D">
            <w:pPr>
              <w:spacing w:after="0" w:line="240" w:lineRule="auto"/>
              <w:rPr>
                <w:rFonts w:eastAsia="Times New Roman"/>
                <w:color w:val="000000"/>
                <w:lang w:eastAsia="en-GB"/>
              </w:rPr>
            </w:pPr>
          </w:p>
        </w:tc>
        <w:tc>
          <w:tcPr>
            <w:tcW w:w="3245" w:type="dxa"/>
            <w:tcBorders>
              <w:top w:val="nil"/>
              <w:left w:val="nil"/>
              <w:bottom w:val="single" w:sz="4" w:space="0" w:color="000000"/>
              <w:right w:val="single" w:sz="4" w:space="0" w:color="000000"/>
            </w:tcBorders>
            <w:noWrap/>
            <w:vAlign w:val="bottom"/>
            <w:hideMark/>
          </w:tcPr>
          <w:p w14:paraId="10ECF917"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Engineering</w:t>
            </w:r>
          </w:p>
        </w:tc>
        <w:tc>
          <w:tcPr>
            <w:tcW w:w="529" w:type="dxa"/>
            <w:tcBorders>
              <w:top w:val="nil"/>
              <w:left w:val="nil"/>
              <w:bottom w:val="single" w:sz="4" w:space="0" w:color="000000"/>
              <w:right w:val="single" w:sz="4" w:space="0" w:color="000000"/>
            </w:tcBorders>
            <w:noWrap/>
            <w:vAlign w:val="bottom"/>
            <w:hideMark/>
          </w:tcPr>
          <w:p w14:paraId="6E1CB0EF"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29</w:t>
            </w:r>
          </w:p>
        </w:tc>
        <w:tc>
          <w:tcPr>
            <w:tcW w:w="1174" w:type="dxa"/>
            <w:tcBorders>
              <w:top w:val="nil"/>
              <w:left w:val="nil"/>
              <w:bottom w:val="single" w:sz="4" w:space="0" w:color="000000"/>
              <w:right w:val="single" w:sz="4" w:space="0" w:color="000000"/>
            </w:tcBorders>
            <w:noWrap/>
            <w:vAlign w:val="bottom"/>
            <w:hideMark/>
          </w:tcPr>
          <w:p w14:paraId="5DBCA8E6"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80.56%</w:t>
            </w:r>
          </w:p>
        </w:tc>
      </w:tr>
      <w:tr w:rsidR="00BB7C1D" w:rsidRPr="00BB7C1D" w14:paraId="0507231B" w14:textId="77777777" w:rsidTr="00BB7C1D">
        <w:trPr>
          <w:trHeight w:val="360"/>
          <w:jc w:val="center"/>
        </w:trPr>
        <w:tc>
          <w:tcPr>
            <w:tcW w:w="952" w:type="dxa"/>
            <w:vMerge/>
            <w:tcBorders>
              <w:top w:val="nil"/>
              <w:left w:val="single" w:sz="4" w:space="0" w:color="000000"/>
              <w:bottom w:val="single" w:sz="4" w:space="0" w:color="000000"/>
              <w:right w:val="single" w:sz="4" w:space="0" w:color="000000"/>
            </w:tcBorders>
            <w:vAlign w:val="center"/>
            <w:hideMark/>
          </w:tcPr>
          <w:p w14:paraId="3C34F573" w14:textId="77777777" w:rsidR="00BB7C1D" w:rsidRPr="00BB7C1D" w:rsidRDefault="00BB7C1D" w:rsidP="00BB7C1D">
            <w:pPr>
              <w:spacing w:after="0" w:line="240" w:lineRule="auto"/>
              <w:rPr>
                <w:rFonts w:eastAsia="Times New Roman"/>
                <w:color w:val="000000"/>
                <w:lang w:eastAsia="en-GB"/>
              </w:rPr>
            </w:pPr>
          </w:p>
        </w:tc>
        <w:tc>
          <w:tcPr>
            <w:tcW w:w="3245" w:type="dxa"/>
            <w:tcBorders>
              <w:top w:val="nil"/>
              <w:left w:val="nil"/>
              <w:bottom w:val="single" w:sz="4" w:space="0" w:color="000000"/>
              <w:right w:val="single" w:sz="4" w:space="0" w:color="000000"/>
            </w:tcBorders>
            <w:noWrap/>
            <w:vAlign w:val="bottom"/>
            <w:hideMark/>
          </w:tcPr>
          <w:p w14:paraId="56B90156"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IT &amp; Software</w:t>
            </w:r>
          </w:p>
        </w:tc>
        <w:tc>
          <w:tcPr>
            <w:tcW w:w="529" w:type="dxa"/>
            <w:tcBorders>
              <w:top w:val="nil"/>
              <w:left w:val="nil"/>
              <w:bottom w:val="single" w:sz="4" w:space="0" w:color="000000"/>
              <w:right w:val="single" w:sz="4" w:space="0" w:color="000000"/>
            </w:tcBorders>
            <w:noWrap/>
            <w:vAlign w:val="bottom"/>
            <w:hideMark/>
          </w:tcPr>
          <w:p w14:paraId="127521CD"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1174" w:type="dxa"/>
            <w:tcBorders>
              <w:top w:val="nil"/>
              <w:left w:val="nil"/>
              <w:bottom w:val="single" w:sz="4" w:space="0" w:color="000000"/>
              <w:right w:val="single" w:sz="4" w:space="0" w:color="000000"/>
            </w:tcBorders>
            <w:noWrap/>
            <w:vAlign w:val="bottom"/>
            <w:hideMark/>
          </w:tcPr>
          <w:p w14:paraId="329E7BFB"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r w:rsidR="00BB7C1D" w:rsidRPr="00BB7C1D" w14:paraId="77F332FD" w14:textId="77777777" w:rsidTr="00BB7C1D">
        <w:trPr>
          <w:trHeight w:val="360"/>
          <w:jc w:val="center"/>
        </w:trPr>
        <w:tc>
          <w:tcPr>
            <w:tcW w:w="952" w:type="dxa"/>
            <w:vMerge/>
            <w:tcBorders>
              <w:top w:val="nil"/>
              <w:left w:val="single" w:sz="4" w:space="0" w:color="000000"/>
              <w:bottom w:val="single" w:sz="4" w:space="0" w:color="000000"/>
              <w:right w:val="single" w:sz="4" w:space="0" w:color="000000"/>
            </w:tcBorders>
            <w:vAlign w:val="center"/>
            <w:hideMark/>
          </w:tcPr>
          <w:p w14:paraId="7DDA6AE4" w14:textId="77777777" w:rsidR="00BB7C1D" w:rsidRPr="00BB7C1D" w:rsidRDefault="00BB7C1D" w:rsidP="00BB7C1D">
            <w:pPr>
              <w:spacing w:after="0" w:line="240" w:lineRule="auto"/>
              <w:rPr>
                <w:rFonts w:eastAsia="Times New Roman"/>
                <w:color w:val="000000"/>
                <w:lang w:eastAsia="en-GB"/>
              </w:rPr>
            </w:pPr>
          </w:p>
        </w:tc>
        <w:tc>
          <w:tcPr>
            <w:tcW w:w="3245" w:type="dxa"/>
            <w:tcBorders>
              <w:top w:val="nil"/>
              <w:left w:val="nil"/>
              <w:bottom w:val="single" w:sz="4" w:space="0" w:color="000000"/>
              <w:right w:val="single" w:sz="4" w:space="0" w:color="000000"/>
            </w:tcBorders>
            <w:noWrap/>
            <w:vAlign w:val="bottom"/>
            <w:hideMark/>
          </w:tcPr>
          <w:p w14:paraId="3F43B3D9"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Project Management</w:t>
            </w:r>
          </w:p>
        </w:tc>
        <w:tc>
          <w:tcPr>
            <w:tcW w:w="529" w:type="dxa"/>
            <w:tcBorders>
              <w:top w:val="nil"/>
              <w:left w:val="nil"/>
              <w:bottom w:val="single" w:sz="4" w:space="0" w:color="000000"/>
              <w:right w:val="single" w:sz="4" w:space="0" w:color="000000"/>
            </w:tcBorders>
            <w:noWrap/>
            <w:vAlign w:val="bottom"/>
            <w:hideMark/>
          </w:tcPr>
          <w:p w14:paraId="235771F6"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3</w:t>
            </w:r>
          </w:p>
        </w:tc>
        <w:tc>
          <w:tcPr>
            <w:tcW w:w="1174" w:type="dxa"/>
            <w:tcBorders>
              <w:top w:val="nil"/>
              <w:left w:val="nil"/>
              <w:bottom w:val="single" w:sz="4" w:space="0" w:color="000000"/>
              <w:right w:val="single" w:sz="4" w:space="0" w:color="000000"/>
            </w:tcBorders>
            <w:noWrap/>
            <w:vAlign w:val="bottom"/>
            <w:hideMark/>
          </w:tcPr>
          <w:p w14:paraId="6CBBB3F2"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8.33%</w:t>
            </w:r>
          </w:p>
        </w:tc>
      </w:tr>
      <w:tr w:rsidR="00BB7C1D" w:rsidRPr="00BB7C1D" w14:paraId="3A73877A" w14:textId="77777777" w:rsidTr="00BB7C1D">
        <w:trPr>
          <w:trHeight w:val="360"/>
          <w:jc w:val="center"/>
        </w:trPr>
        <w:tc>
          <w:tcPr>
            <w:tcW w:w="952" w:type="dxa"/>
            <w:vMerge/>
            <w:tcBorders>
              <w:top w:val="nil"/>
              <w:left w:val="single" w:sz="4" w:space="0" w:color="000000"/>
              <w:bottom w:val="single" w:sz="4" w:space="0" w:color="000000"/>
              <w:right w:val="single" w:sz="4" w:space="0" w:color="000000"/>
            </w:tcBorders>
            <w:vAlign w:val="center"/>
            <w:hideMark/>
          </w:tcPr>
          <w:p w14:paraId="47F7F94A" w14:textId="77777777" w:rsidR="00BB7C1D" w:rsidRPr="00BB7C1D" w:rsidRDefault="00BB7C1D" w:rsidP="00BB7C1D">
            <w:pPr>
              <w:spacing w:after="0" w:line="240" w:lineRule="auto"/>
              <w:rPr>
                <w:rFonts w:eastAsia="Times New Roman"/>
                <w:color w:val="000000"/>
                <w:lang w:eastAsia="en-GB"/>
              </w:rPr>
            </w:pPr>
          </w:p>
        </w:tc>
        <w:tc>
          <w:tcPr>
            <w:tcW w:w="3245" w:type="dxa"/>
            <w:tcBorders>
              <w:top w:val="nil"/>
              <w:left w:val="nil"/>
              <w:bottom w:val="single" w:sz="4" w:space="0" w:color="000000"/>
              <w:right w:val="single" w:sz="4" w:space="0" w:color="000000"/>
            </w:tcBorders>
            <w:noWrap/>
            <w:vAlign w:val="bottom"/>
            <w:hideMark/>
          </w:tcPr>
          <w:p w14:paraId="0F235C95"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Manufacturing</w:t>
            </w:r>
          </w:p>
        </w:tc>
        <w:tc>
          <w:tcPr>
            <w:tcW w:w="529" w:type="dxa"/>
            <w:tcBorders>
              <w:top w:val="nil"/>
              <w:left w:val="nil"/>
              <w:bottom w:val="single" w:sz="4" w:space="0" w:color="000000"/>
              <w:right w:val="single" w:sz="4" w:space="0" w:color="000000"/>
            </w:tcBorders>
            <w:noWrap/>
            <w:vAlign w:val="bottom"/>
            <w:hideMark/>
          </w:tcPr>
          <w:p w14:paraId="5AA38BA8"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1174" w:type="dxa"/>
            <w:tcBorders>
              <w:top w:val="nil"/>
              <w:left w:val="nil"/>
              <w:bottom w:val="single" w:sz="4" w:space="0" w:color="000000"/>
              <w:right w:val="single" w:sz="4" w:space="0" w:color="000000"/>
            </w:tcBorders>
            <w:noWrap/>
            <w:vAlign w:val="bottom"/>
            <w:hideMark/>
          </w:tcPr>
          <w:p w14:paraId="4F318977"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r w:rsidR="00BB7C1D" w:rsidRPr="00BB7C1D" w14:paraId="7930324E" w14:textId="77777777" w:rsidTr="00BB7C1D">
        <w:trPr>
          <w:trHeight w:val="360"/>
          <w:jc w:val="center"/>
        </w:trPr>
        <w:tc>
          <w:tcPr>
            <w:tcW w:w="952" w:type="dxa"/>
            <w:vMerge/>
            <w:tcBorders>
              <w:top w:val="nil"/>
              <w:left w:val="single" w:sz="4" w:space="0" w:color="000000"/>
              <w:bottom w:val="single" w:sz="4" w:space="0" w:color="000000"/>
              <w:right w:val="single" w:sz="4" w:space="0" w:color="000000"/>
            </w:tcBorders>
            <w:vAlign w:val="center"/>
            <w:hideMark/>
          </w:tcPr>
          <w:p w14:paraId="7D2126B6" w14:textId="77777777" w:rsidR="00BB7C1D" w:rsidRPr="00BB7C1D" w:rsidRDefault="00BB7C1D" w:rsidP="00BB7C1D">
            <w:pPr>
              <w:spacing w:after="0" w:line="240" w:lineRule="auto"/>
              <w:rPr>
                <w:rFonts w:eastAsia="Times New Roman"/>
                <w:color w:val="000000"/>
                <w:lang w:eastAsia="en-GB"/>
              </w:rPr>
            </w:pPr>
          </w:p>
        </w:tc>
        <w:tc>
          <w:tcPr>
            <w:tcW w:w="3245" w:type="dxa"/>
            <w:tcBorders>
              <w:top w:val="nil"/>
              <w:left w:val="nil"/>
              <w:bottom w:val="single" w:sz="4" w:space="0" w:color="000000"/>
              <w:right w:val="single" w:sz="4" w:space="0" w:color="000000"/>
            </w:tcBorders>
            <w:noWrap/>
            <w:vAlign w:val="bottom"/>
            <w:hideMark/>
          </w:tcPr>
          <w:p w14:paraId="7BD71AAF"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 xml:space="preserve">Other </w:t>
            </w:r>
          </w:p>
        </w:tc>
        <w:tc>
          <w:tcPr>
            <w:tcW w:w="529" w:type="dxa"/>
            <w:tcBorders>
              <w:top w:val="nil"/>
              <w:left w:val="nil"/>
              <w:bottom w:val="single" w:sz="4" w:space="0" w:color="000000"/>
              <w:right w:val="single" w:sz="4" w:space="0" w:color="000000"/>
            </w:tcBorders>
            <w:noWrap/>
            <w:vAlign w:val="bottom"/>
            <w:hideMark/>
          </w:tcPr>
          <w:p w14:paraId="0627B479"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w:t>
            </w:r>
          </w:p>
        </w:tc>
        <w:tc>
          <w:tcPr>
            <w:tcW w:w="1174" w:type="dxa"/>
            <w:tcBorders>
              <w:top w:val="nil"/>
              <w:left w:val="nil"/>
              <w:bottom w:val="single" w:sz="4" w:space="0" w:color="000000"/>
              <w:right w:val="single" w:sz="4" w:space="0" w:color="000000"/>
            </w:tcBorders>
            <w:noWrap/>
            <w:vAlign w:val="bottom"/>
            <w:hideMark/>
          </w:tcPr>
          <w:p w14:paraId="3C43340A"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2.78%</w:t>
            </w:r>
          </w:p>
        </w:tc>
      </w:tr>
    </w:tbl>
    <w:p w14:paraId="1CB19A02" w14:textId="083B91B6" w:rsidR="00BB7C1D" w:rsidRDefault="00BB7C1D" w:rsidP="00BB7C1D">
      <w:pPr>
        <w:pStyle w:val="Caption"/>
        <w:jc w:val="center"/>
      </w:pPr>
      <w:bookmarkStart w:id="108" w:name="_Toc219216421"/>
      <w:r>
        <w:t xml:space="preserve">Table </w:t>
      </w:r>
      <w:fldSimple w:instr=" SEQ Table \* ARABIC ">
        <w:r w:rsidR="004239CB">
          <w:rPr>
            <w:noProof/>
          </w:rPr>
          <w:t>8</w:t>
        </w:r>
      </w:fldSimple>
      <w:r>
        <w:t xml:space="preserve"> - </w:t>
      </w:r>
      <w:r w:rsidRPr="00C924F8">
        <w:t>Questionnaire Q</w:t>
      </w:r>
      <w:r>
        <w:t>2</w:t>
      </w:r>
      <w:r w:rsidRPr="00C924F8">
        <w:t xml:space="preserve"> Data Set</w:t>
      </w:r>
      <w:bookmarkEnd w:id="108"/>
    </w:p>
    <w:p w14:paraId="2E9DEC50" w14:textId="77777777" w:rsidR="00BB7C1D" w:rsidRPr="00BB7C1D" w:rsidRDefault="00BB7C1D" w:rsidP="00BB7C1D"/>
    <w:tbl>
      <w:tblPr>
        <w:tblW w:w="6080" w:type="dxa"/>
        <w:jc w:val="center"/>
        <w:tblLook w:val="04A0" w:firstRow="1" w:lastRow="0" w:firstColumn="1" w:lastColumn="0" w:noHBand="0" w:noVBand="1"/>
      </w:tblPr>
      <w:tblGrid>
        <w:gridCol w:w="1670"/>
        <w:gridCol w:w="2222"/>
        <w:gridCol w:w="764"/>
        <w:gridCol w:w="1424"/>
      </w:tblGrid>
      <w:tr w:rsidR="00BB7C1D" w:rsidRPr="00BB7C1D" w14:paraId="1507F152" w14:textId="77777777" w:rsidTr="00BB7C1D">
        <w:trPr>
          <w:trHeight w:val="360"/>
          <w:jc w:val="center"/>
        </w:trPr>
        <w:tc>
          <w:tcPr>
            <w:tcW w:w="6080" w:type="dxa"/>
            <w:gridSpan w:val="4"/>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4C73E43E"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Participant Demographics</w:t>
            </w:r>
          </w:p>
        </w:tc>
      </w:tr>
      <w:tr w:rsidR="00BB7C1D" w:rsidRPr="00BB7C1D" w14:paraId="751107C9" w14:textId="77777777" w:rsidTr="00BB7C1D">
        <w:trPr>
          <w:trHeight w:val="360"/>
          <w:jc w:val="center"/>
        </w:trPr>
        <w:tc>
          <w:tcPr>
            <w:tcW w:w="1670" w:type="dxa"/>
            <w:vMerge w:val="restart"/>
            <w:tcBorders>
              <w:top w:val="nil"/>
              <w:left w:val="single" w:sz="4" w:space="0" w:color="000000"/>
              <w:bottom w:val="single" w:sz="4" w:space="0" w:color="000000"/>
              <w:right w:val="single" w:sz="4" w:space="0" w:color="000000"/>
            </w:tcBorders>
            <w:textDirection w:val="btLr"/>
            <w:vAlign w:val="center"/>
            <w:hideMark/>
          </w:tcPr>
          <w:p w14:paraId="6CC1A59C" w14:textId="59890023" w:rsidR="00BB7C1D" w:rsidRPr="00BB7C1D" w:rsidRDefault="00BB7C1D" w:rsidP="00BB7C1D">
            <w:pPr>
              <w:spacing w:after="0" w:line="240" w:lineRule="auto"/>
              <w:jc w:val="center"/>
              <w:rPr>
                <w:rFonts w:eastAsia="Times New Roman"/>
                <w:color w:val="000000"/>
                <w:lang w:eastAsia="en-GB"/>
              </w:rPr>
            </w:pPr>
            <w:r>
              <w:rPr>
                <w:rFonts w:eastAsia="Times New Roman"/>
                <w:color w:val="000000"/>
                <w:lang w:eastAsia="en-GB"/>
              </w:rPr>
              <w:t xml:space="preserve">Q3. </w:t>
            </w:r>
            <w:r w:rsidRPr="00BB7C1D">
              <w:rPr>
                <w:rFonts w:eastAsia="Times New Roman"/>
                <w:color w:val="000000"/>
                <w:lang w:eastAsia="en-GB"/>
              </w:rPr>
              <w:t xml:space="preserve">How many years of experience do you have </w:t>
            </w:r>
            <w:r w:rsidRPr="00BB7C1D">
              <w:rPr>
                <w:rFonts w:eastAsia="Times New Roman"/>
                <w:color w:val="000000"/>
                <w:lang w:eastAsia="en-GB"/>
              </w:rPr>
              <w:br/>
              <w:t>in project management?</w:t>
            </w:r>
          </w:p>
        </w:tc>
        <w:tc>
          <w:tcPr>
            <w:tcW w:w="2222" w:type="dxa"/>
            <w:tcBorders>
              <w:top w:val="nil"/>
              <w:left w:val="nil"/>
              <w:bottom w:val="single" w:sz="4" w:space="0" w:color="000000"/>
              <w:right w:val="single" w:sz="4" w:space="0" w:color="000000"/>
            </w:tcBorders>
            <w:shd w:val="clear" w:color="A6C9EC" w:fill="A6C9EC"/>
            <w:noWrap/>
            <w:vAlign w:val="bottom"/>
            <w:hideMark/>
          </w:tcPr>
          <w:p w14:paraId="5BFB552B"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Years</w:t>
            </w:r>
          </w:p>
        </w:tc>
        <w:tc>
          <w:tcPr>
            <w:tcW w:w="764" w:type="dxa"/>
            <w:tcBorders>
              <w:top w:val="nil"/>
              <w:left w:val="nil"/>
              <w:bottom w:val="single" w:sz="4" w:space="0" w:color="000000"/>
              <w:right w:val="single" w:sz="4" w:space="0" w:color="000000"/>
            </w:tcBorders>
            <w:shd w:val="clear" w:color="A6C9EC" w:fill="A6C9EC"/>
            <w:noWrap/>
            <w:vAlign w:val="bottom"/>
            <w:hideMark/>
          </w:tcPr>
          <w:p w14:paraId="53FF4A6E"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No.</w:t>
            </w:r>
          </w:p>
        </w:tc>
        <w:tc>
          <w:tcPr>
            <w:tcW w:w="1424" w:type="dxa"/>
            <w:tcBorders>
              <w:top w:val="nil"/>
              <w:left w:val="nil"/>
              <w:bottom w:val="single" w:sz="4" w:space="0" w:color="000000"/>
              <w:right w:val="single" w:sz="4" w:space="0" w:color="000000"/>
            </w:tcBorders>
            <w:shd w:val="clear" w:color="A6C9EC" w:fill="A6C9EC"/>
            <w:noWrap/>
            <w:vAlign w:val="bottom"/>
            <w:hideMark/>
          </w:tcPr>
          <w:p w14:paraId="03D748D0"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w:t>
            </w:r>
          </w:p>
        </w:tc>
      </w:tr>
      <w:tr w:rsidR="00BB7C1D" w:rsidRPr="00BB7C1D" w14:paraId="66156E53" w14:textId="77777777" w:rsidTr="00BB7C1D">
        <w:trPr>
          <w:trHeight w:val="360"/>
          <w:jc w:val="center"/>
        </w:trPr>
        <w:tc>
          <w:tcPr>
            <w:tcW w:w="1670" w:type="dxa"/>
            <w:vMerge/>
            <w:tcBorders>
              <w:top w:val="nil"/>
              <w:left w:val="single" w:sz="4" w:space="0" w:color="000000"/>
              <w:bottom w:val="single" w:sz="4" w:space="0" w:color="000000"/>
              <w:right w:val="single" w:sz="4" w:space="0" w:color="000000"/>
            </w:tcBorders>
            <w:vAlign w:val="center"/>
            <w:hideMark/>
          </w:tcPr>
          <w:p w14:paraId="29649B03" w14:textId="77777777" w:rsidR="00BB7C1D" w:rsidRPr="00BB7C1D" w:rsidRDefault="00BB7C1D" w:rsidP="00BB7C1D">
            <w:pPr>
              <w:spacing w:after="0" w:line="240" w:lineRule="auto"/>
              <w:rPr>
                <w:rFonts w:eastAsia="Times New Roman"/>
                <w:color w:val="000000"/>
                <w:lang w:eastAsia="en-GB"/>
              </w:rPr>
            </w:pPr>
          </w:p>
        </w:tc>
        <w:tc>
          <w:tcPr>
            <w:tcW w:w="2222" w:type="dxa"/>
            <w:tcBorders>
              <w:top w:val="nil"/>
              <w:left w:val="nil"/>
              <w:bottom w:val="single" w:sz="4" w:space="0" w:color="000000"/>
              <w:right w:val="single" w:sz="4" w:space="0" w:color="000000"/>
            </w:tcBorders>
            <w:noWrap/>
            <w:vAlign w:val="bottom"/>
            <w:hideMark/>
          </w:tcPr>
          <w:p w14:paraId="139B98A3"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0-2 Years</w:t>
            </w:r>
          </w:p>
        </w:tc>
        <w:tc>
          <w:tcPr>
            <w:tcW w:w="764" w:type="dxa"/>
            <w:tcBorders>
              <w:top w:val="nil"/>
              <w:left w:val="nil"/>
              <w:bottom w:val="single" w:sz="4" w:space="0" w:color="000000"/>
              <w:right w:val="single" w:sz="4" w:space="0" w:color="000000"/>
            </w:tcBorders>
            <w:noWrap/>
            <w:vAlign w:val="bottom"/>
            <w:hideMark/>
          </w:tcPr>
          <w:p w14:paraId="533B50D3"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3</w:t>
            </w:r>
          </w:p>
        </w:tc>
        <w:tc>
          <w:tcPr>
            <w:tcW w:w="1424" w:type="dxa"/>
            <w:tcBorders>
              <w:top w:val="nil"/>
              <w:left w:val="nil"/>
              <w:bottom w:val="single" w:sz="4" w:space="0" w:color="000000"/>
              <w:right w:val="single" w:sz="4" w:space="0" w:color="000000"/>
            </w:tcBorders>
            <w:noWrap/>
            <w:vAlign w:val="bottom"/>
            <w:hideMark/>
          </w:tcPr>
          <w:p w14:paraId="25987D8E"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8.33%</w:t>
            </w:r>
          </w:p>
        </w:tc>
      </w:tr>
      <w:tr w:rsidR="00BB7C1D" w:rsidRPr="00BB7C1D" w14:paraId="663F25FF" w14:textId="77777777" w:rsidTr="00BB7C1D">
        <w:trPr>
          <w:trHeight w:val="360"/>
          <w:jc w:val="center"/>
        </w:trPr>
        <w:tc>
          <w:tcPr>
            <w:tcW w:w="1670" w:type="dxa"/>
            <w:vMerge/>
            <w:tcBorders>
              <w:top w:val="nil"/>
              <w:left w:val="single" w:sz="4" w:space="0" w:color="000000"/>
              <w:bottom w:val="single" w:sz="4" w:space="0" w:color="000000"/>
              <w:right w:val="single" w:sz="4" w:space="0" w:color="000000"/>
            </w:tcBorders>
            <w:vAlign w:val="center"/>
            <w:hideMark/>
          </w:tcPr>
          <w:p w14:paraId="5F3659C4" w14:textId="77777777" w:rsidR="00BB7C1D" w:rsidRPr="00BB7C1D" w:rsidRDefault="00BB7C1D" w:rsidP="00BB7C1D">
            <w:pPr>
              <w:spacing w:after="0" w:line="240" w:lineRule="auto"/>
              <w:rPr>
                <w:rFonts w:eastAsia="Times New Roman"/>
                <w:color w:val="000000"/>
                <w:lang w:eastAsia="en-GB"/>
              </w:rPr>
            </w:pPr>
          </w:p>
        </w:tc>
        <w:tc>
          <w:tcPr>
            <w:tcW w:w="2222" w:type="dxa"/>
            <w:tcBorders>
              <w:top w:val="nil"/>
              <w:left w:val="nil"/>
              <w:bottom w:val="single" w:sz="4" w:space="0" w:color="000000"/>
              <w:right w:val="single" w:sz="4" w:space="0" w:color="000000"/>
            </w:tcBorders>
            <w:noWrap/>
            <w:vAlign w:val="bottom"/>
            <w:hideMark/>
          </w:tcPr>
          <w:p w14:paraId="431E9875"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2-5 Years</w:t>
            </w:r>
          </w:p>
        </w:tc>
        <w:tc>
          <w:tcPr>
            <w:tcW w:w="764" w:type="dxa"/>
            <w:tcBorders>
              <w:top w:val="nil"/>
              <w:left w:val="nil"/>
              <w:bottom w:val="single" w:sz="4" w:space="0" w:color="000000"/>
              <w:right w:val="single" w:sz="4" w:space="0" w:color="000000"/>
            </w:tcBorders>
            <w:noWrap/>
            <w:vAlign w:val="bottom"/>
            <w:hideMark/>
          </w:tcPr>
          <w:p w14:paraId="07CB9BB2"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7</w:t>
            </w:r>
          </w:p>
        </w:tc>
        <w:tc>
          <w:tcPr>
            <w:tcW w:w="1424" w:type="dxa"/>
            <w:tcBorders>
              <w:top w:val="nil"/>
              <w:left w:val="nil"/>
              <w:bottom w:val="single" w:sz="4" w:space="0" w:color="000000"/>
              <w:right w:val="single" w:sz="4" w:space="0" w:color="000000"/>
            </w:tcBorders>
            <w:noWrap/>
            <w:vAlign w:val="bottom"/>
            <w:hideMark/>
          </w:tcPr>
          <w:p w14:paraId="2920B150"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19.44%</w:t>
            </w:r>
          </w:p>
        </w:tc>
      </w:tr>
      <w:tr w:rsidR="00BB7C1D" w:rsidRPr="00BB7C1D" w14:paraId="5D5F2750" w14:textId="77777777" w:rsidTr="00BB7C1D">
        <w:trPr>
          <w:trHeight w:val="360"/>
          <w:jc w:val="center"/>
        </w:trPr>
        <w:tc>
          <w:tcPr>
            <w:tcW w:w="1670" w:type="dxa"/>
            <w:vMerge/>
            <w:tcBorders>
              <w:top w:val="nil"/>
              <w:left w:val="single" w:sz="4" w:space="0" w:color="000000"/>
              <w:bottom w:val="single" w:sz="4" w:space="0" w:color="000000"/>
              <w:right w:val="single" w:sz="4" w:space="0" w:color="000000"/>
            </w:tcBorders>
            <w:vAlign w:val="center"/>
            <w:hideMark/>
          </w:tcPr>
          <w:p w14:paraId="1FA1A2F9" w14:textId="77777777" w:rsidR="00BB7C1D" w:rsidRPr="00BB7C1D" w:rsidRDefault="00BB7C1D" w:rsidP="00BB7C1D">
            <w:pPr>
              <w:spacing w:after="0" w:line="240" w:lineRule="auto"/>
              <w:rPr>
                <w:rFonts w:eastAsia="Times New Roman"/>
                <w:color w:val="000000"/>
                <w:lang w:eastAsia="en-GB"/>
              </w:rPr>
            </w:pPr>
          </w:p>
        </w:tc>
        <w:tc>
          <w:tcPr>
            <w:tcW w:w="2222" w:type="dxa"/>
            <w:tcBorders>
              <w:top w:val="nil"/>
              <w:left w:val="nil"/>
              <w:bottom w:val="single" w:sz="4" w:space="0" w:color="000000"/>
              <w:right w:val="single" w:sz="4" w:space="0" w:color="000000"/>
            </w:tcBorders>
            <w:noWrap/>
            <w:vAlign w:val="bottom"/>
            <w:hideMark/>
          </w:tcPr>
          <w:p w14:paraId="16F5DD30"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5-10 Years</w:t>
            </w:r>
          </w:p>
        </w:tc>
        <w:tc>
          <w:tcPr>
            <w:tcW w:w="764" w:type="dxa"/>
            <w:tcBorders>
              <w:top w:val="nil"/>
              <w:left w:val="nil"/>
              <w:bottom w:val="single" w:sz="4" w:space="0" w:color="000000"/>
              <w:right w:val="single" w:sz="4" w:space="0" w:color="000000"/>
            </w:tcBorders>
            <w:noWrap/>
            <w:vAlign w:val="bottom"/>
            <w:hideMark/>
          </w:tcPr>
          <w:p w14:paraId="71332CC9"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7</w:t>
            </w:r>
          </w:p>
        </w:tc>
        <w:tc>
          <w:tcPr>
            <w:tcW w:w="1424" w:type="dxa"/>
            <w:tcBorders>
              <w:top w:val="nil"/>
              <w:left w:val="nil"/>
              <w:bottom w:val="single" w:sz="4" w:space="0" w:color="000000"/>
              <w:right w:val="single" w:sz="4" w:space="0" w:color="000000"/>
            </w:tcBorders>
            <w:noWrap/>
            <w:vAlign w:val="bottom"/>
            <w:hideMark/>
          </w:tcPr>
          <w:p w14:paraId="534A1D9E"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19.44%</w:t>
            </w:r>
          </w:p>
        </w:tc>
      </w:tr>
      <w:tr w:rsidR="00BB7C1D" w:rsidRPr="00BB7C1D" w14:paraId="3FC948A9" w14:textId="77777777" w:rsidTr="00BB7C1D">
        <w:trPr>
          <w:trHeight w:val="360"/>
          <w:jc w:val="center"/>
        </w:trPr>
        <w:tc>
          <w:tcPr>
            <w:tcW w:w="1670" w:type="dxa"/>
            <w:vMerge/>
            <w:tcBorders>
              <w:top w:val="nil"/>
              <w:left w:val="single" w:sz="4" w:space="0" w:color="000000"/>
              <w:bottom w:val="single" w:sz="4" w:space="0" w:color="000000"/>
              <w:right w:val="single" w:sz="4" w:space="0" w:color="000000"/>
            </w:tcBorders>
            <w:vAlign w:val="center"/>
            <w:hideMark/>
          </w:tcPr>
          <w:p w14:paraId="26741E00" w14:textId="77777777" w:rsidR="00BB7C1D" w:rsidRPr="00BB7C1D" w:rsidRDefault="00BB7C1D" w:rsidP="00BB7C1D">
            <w:pPr>
              <w:spacing w:after="0" w:line="240" w:lineRule="auto"/>
              <w:rPr>
                <w:rFonts w:eastAsia="Times New Roman"/>
                <w:color w:val="000000"/>
                <w:lang w:eastAsia="en-GB"/>
              </w:rPr>
            </w:pPr>
          </w:p>
        </w:tc>
        <w:tc>
          <w:tcPr>
            <w:tcW w:w="2222" w:type="dxa"/>
            <w:tcBorders>
              <w:top w:val="nil"/>
              <w:left w:val="nil"/>
              <w:bottom w:val="single" w:sz="4" w:space="0" w:color="000000"/>
              <w:right w:val="single" w:sz="4" w:space="0" w:color="000000"/>
            </w:tcBorders>
            <w:noWrap/>
            <w:vAlign w:val="bottom"/>
            <w:hideMark/>
          </w:tcPr>
          <w:p w14:paraId="4FAFBC18"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10-15 Years</w:t>
            </w:r>
          </w:p>
        </w:tc>
        <w:tc>
          <w:tcPr>
            <w:tcW w:w="764" w:type="dxa"/>
            <w:tcBorders>
              <w:top w:val="nil"/>
              <w:left w:val="nil"/>
              <w:bottom w:val="single" w:sz="4" w:space="0" w:color="000000"/>
              <w:right w:val="single" w:sz="4" w:space="0" w:color="000000"/>
            </w:tcBorders>
            <w:noWrap/>
            <w:vAlign w:val="bottom"/>
            <w:hideMark/>
          </w:tcPr>
          <w:p w14:paraId="23CFB33F"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5</w:t>
            </w:r>
          </w:p>
        </w:tc>
        <w:tc>
          <w:tcPr>
            <w:tcW w:w="1424" w:type="dxa"/>
            <w:tcBorders>
              <w:top w:val="nil"/>
              <w:left w:val="nil"/>
              <w:bottom w:val="single" w:sz="4" w:space="0" w:color="000000"/>
              <w:right w:val="single" w:sz="4" w:space="0" w:color="000000"/>
            </w:tcBorders>
            <w:noWrap/>
            <w:vAlign w:val="bottom"/>
            <w:hideMark/>
          </w:tcPr>
          <w:p w14:paraId="721C3926"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13.89%</w:t>
            </w:r>
          </w:p>
        </w:tc>
      </w:tr>
      <w:tr w:rsidR="00BB7C1D" w:rsidRPr="00BB7C1D" w14:paraId="5B4B9F7C" w14:textId="77777777" w:rsidTr="00BB7C1D">
        <w:trPr>
          <w:trHeight w:val="360"/>
          <w:jc w:val="center"/>
        </w:trPr>
        <w:tc>
          <w:tcPr>
            <w:tcW w:w="1670" w:type="dxa"/>
            <w:vMerge/>
            <w:tcBorders>
              <w:top w:val="nil"/>
              <w:left w:val="single" w:sz="4" w:space="0" w:color="000000"/>
              <w:bottom w:val="single" w:sz="4" w:space="0" w:color="000000"/>
              <w:right w:val="single" w:sz="4" w:space="0" w:color="000000"/>
            </w:tcBorders>
            <w:vAlign w:val="center"/>
            <w:hideMark/>
          </w:tcPr>
          <w:p w14:paraId="27F55DED" w14:textId="77777777" w:rsidR="00BB7C1D" w:rsidRPr="00BB7C1D" w:rsidRDefault="00BB7C1D" w:rsidP="00BB7C1D">
            <w:pPr>
              <w:spacing w:after="0" w:line="240" w:lineRule="auto"/>
              <w:rPr>
                <w:rFonts w:eastAsia="Times New Roman"/>
                <w:color w:val="000000"/>
                <w:lang w:eastAsia="en-GB"/>
              </w:rPr>
            </w:pPr>
          </w:p>
        </w:tc>
        <w:tc>
          <w:tcPr>
            <w:tcW w:w="2222" w:type="dxa"/>
            <w:tcBorders>
              <w:top w:val="nil"/>
              <w:left w:val="nil"/>
              <w:bottom w:val="single" w:sz="4" w:space="0" w:color="000000"/>
              <w:right w:val="single" w:sz="4" w:space="0" w:color="000000"/>
            </w:tcBorders>
            <w:noWrap/>
            <w:vAlign w:val="bottom"/>
            <w:hideMark/>
          </w:tcPr>
          <w:p w14:paraId="0B212178"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15-20 Years</w:t>
            </w:r>
          </w:p>
        </w:tc>
        <w:tc>
          <w:tcPr>
            <w:tcW w:w="764" w:type="dxa"/>
            <w:tcBorders>
              <w:top w:val="nil"/>
              <w:left w:val="nil"/>
              <w:bottom w:val="single" w:sz="4" w:space="0" w:color="000000"/>
              <w:right w:val="single" w:sz="4" w:space="0" w:color="000000"/>
            </w:tcBorders>
            <w:noWrap/>
            <w:vAlign w:val="bottom"/>
            <w:hideMark/>
          </w:tcPr>
          <w:p w14:paraId="110DC04E"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8</w:t>
            </w:r>
          </w:p>
        </w:tc>
        <w:tc>
          <w:tcPr>
            <w:tcW w:w="1424" w:type="dxa"/>
            <w:tcBorders>
              <w:top w:val="nil"/>
              <w:left w:val="nil"/>
              <w:bottom w:val="single" w:sz="4" w:space="0" w:color="000000"/>
              <w:right w:val="single" w:sz="4" w:space="0" w:color="000000"/>
            </w:tcBorders>
            <w:noWrap/>
            <w:vAlign w:val="bottom"/>
            <w:hideMark/>
          </w:tcPr>
          <w:p w14:paraId="57971D4B"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22.22%</w:t>
            </w:r>
          </w:p>
        </w:tc>
      </w:tr>
      <w:tr w:rsidR="00BB7C1D" w:rsidRPr="00BB7C1D" w14:paraId="7BF7A402" w14:textId="77777777" w:rsidTr="00BB7C1D">
        <w:trPr>
          <w:trHeight w:val="360"/>
          <w:jc w:val="center"/>
        </w:trPr>
        <w:tc>
          <w:tcPr>
            <w:tcW w:w="1670" w:type="dxa"/>
            <w:vMerge/>
            <w:tcBorders>
              <w:top w:val="nil"/>
              <w:left w:val="single" w:sz="4" w:space="0" w:color="000000"/>
              <w:bottom w:val="single" w:sz="4" w:space="0" w:color="000000"/>
              <w:right w:val="single" w:sz="4" w:space="0" w:color="000000"/>
            </w:tcBorders>
            <w:vAlign w:val="center"/>
            <w:hideMark/>
          </w:tcPr>
          <w:p w14:paraId="7F323EB2" w14:textId="77777777" w:rsidR="00BB7C1D" w:rsidRPr="00BB7C1D" w:rsidRDefault="00BB7C1D" w:rsidP="00BB7C1D">
            <w:pPr>
              <w:spacing w:after="0" w:line="240" w:lineRule="auto"/>
              <w:rPr>
                <w:rFonts w:eastAsia="Times New Roman"/>
                <w:color w:val="000000"/>
                <w:lang w:eastAsia="en-GB"/>
              </w:rPr>
            </w:pPr>
          </w:p>
        </w:tc>
        <w:tc>
          <w:tcPr>
            <w:tcW w:w="2222" w:type="dxa"/>
            <w:tcBorders>
              <w:top w:val="nil"/>
              <w:left w:val="nil"/>
              <w:bottom w:val="single" w:sz="4" w:space="0" w:color="000000"/>
              <w:right w:val="single" w:sz="4" w:space="0" w:color="000000"/>
            </w:tcBorders>
            <w:noWrap/>
            <w:vAlign w:val="bottom"/>
            <w:hideMark/>
          </w:tcPr>
          <w:p w14:paraId="459C2D06"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20+ Years</w:t>
            </w:r>
          </w:p>
        </w:tc>
        <w:tc>
          <w:tcPr>
            <w:tcW w:w="764" w:type="dxa"/>
            <w:tcBorders>
              <w:top w:val="nil"/>
              <w:left w:val="nil"/>
              <w:bottom w:val="single" w:sz="4" w:space="0" w:color="000000"/>
              <w:right w:val="single" w:sz="4" w:space="0" w:color="000000"/>
            </w:tcBorders>
            <w:noWrap/>
            <w:vAlign w:val="bottom"/>
            <w:hideMark/>
          </w:tcPr>
          <w:p w14:paraId="13780A7C"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6</w:t>
            </w:r>
          </w:p>
        </w:tc>
        <w:tc>
          <w:tcPr>
            <w:tcW w:w="1424" w:type="dxa"/>
            <w:tcBorders>
              <w:top w:val="nil"/>
              <w:left w:val="nil"/>
              <w:bottom w:val="single" w:sz="4" w:space="0" w:color="000000"/>
              <w:right w:val="single" w:sz="4" w:space="0" w:color="000000"/>
            </w:tcBorders>
            <w:noWrap/>
            <w:vAlign w:val="bottom"/>
            <w:hideMark/>
          </w:tcPr>
          <w:p w14:paraId="7F36FF93"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16.67%</w:t>
            </w:r>
          </w:p>
        </w:tc>
      </w:tr>
    </w:tbl>
    <w:p w14:paraId="719166C2" w14:textId="2ED603D5" w:rsidR="00BB7C1D" w:rsidRDefault="00BB7C1D" w:rsidP="00BB7C1D">
      <w:pPr>
        <w:pStyle w:val="Caption"/>
        <w:jc w:val="center"/>
      </w:pPr>
      <w:bookmarkStart w:id="109" w:name="_Toc219216422"/>
      <w:r>
        <w:t xml:space="preserve">Table </w:t>
      </w:r>
      <w:fldSimple w:instr=" SEQ Table \* ARABIC ">
        <w:r w:rsidR="004239CB">
          <w:rPr>
            <w:noProof/>
          </w:rPr>
          <w:t>9</w:t>
        </w:r>
      </w:fldSimple>
      <w:r>
        <w:t xml:space="preserve"> - Questionnaire Q3 Data Set</w:t>
      </w:r>
      <w:bookmarkEnd w:id="109"/>
    </w:p>
    <w:tbl>
      <w:tblPr>
        <w:tblW w:w="6125" w:type="dxa"/>
        <w:jc w:val="center"/>
        <w:tblLook w:val="04A0" w:firstRow="1" w:lastRow="0" w:firstColumn="1" w:lastColumn="0" w:noHBand="0" w:noVBand="1"/>
      </w:tblPr>
      <w:tblGrid>
        <w:gridCol w:w="976"/>
        <w:gridCol w:w="4595"/>
        <w:gridCol w:w="554"/>
      </w:tblGrid>
      <w:tr w:rsidR="00BB7C1D" w:rsidRPr="00BB7C1D" w14:paraId="6C0BD111" w14:textId="77777777" w:rsidTr="00BB7C1D">
        <w:trPr>
          <w:trHeight w:val="360"/>
          <w:jc w:val="center"/>
        </w:trPr>
        <w:tc>
          <w:tcPr>
            <w:tcW w:w="6125"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6427F5C1"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lastRenderedPageBreak/>
              <w:t>Participant Demographics</w:t>
            </w:r>
          </w:p>
        </w:tc>
      </w:tr>
      <w:tr w:rsidR="00BB7C1D" w:rsidRPr="00BB7C1D" w14:paraId="3895E49B" w14:textId="77777777" w:rsidTr="00BB7C1D">
        <w:trPr>
          <w:trHeight w:val="360"/>
          <w:jc w:val="center"/>
        </w:trPr>
        <w:tc>
          <w:tcPr>
            <w:tcW w:w="976" w:type="dxa"/>
            <w:vMerge w:val="restart"/>
            <w:tcBorders>
              <w:top w:val="nil"/>
              <w:left w:val="single" w:sz="4" w:space="0" w:color="000000"/>
              <w:bottom w:val="single" w:sz="4" w:space="0" w:color="000000"/>
              <w:right w:val="single" w:sz="4" w:space="0" w:color="000000"/>
            </w:tcBorders>
            <w:textDirection w:val="btLr"/>
            <w:vAlign w:val="center"/>
            <w:hideMark/>
          </w:tcPr>
          <w:p w14:paraId="1C605EDB" w14:textId="30946BA4" w:rsidR="00BB7C1D" w:rsidRPr="00BB7C1D" w:rsidRDefault="00BB7C1D" w:rsidP="00BB7C1D">
            <w:pPr>
              <w:spacing w:after="0" w:line="240" w:lineRule="auto"/>
              <w:jc w:val="center"/>
              <w:rPr>
                <w:rFonts w:eastAsia="Times New Roman"/>
                <w:color w:val="000000"/>
                <w:lang w:eastAsia="en-GB"/>
              </w:rPr>
            </w:pPr>
            <w:r>
              <w:rPr>
                <w:rFonts w:eastAsia="Times New Roman"/>
                <w:color w:val="000000"/>
                <w:lang w:eastAsia="en-GB"/>
              </w:rPr>
              <w:t xml:space="preserve">Q4. </w:t>
            </w:r>
            <w:r w:rsidRPr="00BB7C1D">
              <w:rPr>
                <w:rFonts w:eastAsia="Times New Roman"/>
                <w:color w:val="000000"/>
                <w:lang w:eastAsia="en-GB"/>
              </w:rPr>
              <w:t>What size/scale of projects do you typically manage?</w:t>
            </w:r>
          </w:p>
        </w:tc>
        <w:tc>
          <w:tcPr>
            <w:tcW w:w="4595" w:type="dxa"/>
            <w:tcBorders>
              <w:top w:val="nil"/>
              <w:left w:val="nil"/>
              <w:bottom w:val="single" w:sz="4" w:space="0" w:color="000000"/>
              <w:right w:val="single" w:sz="4" w:space="0" w:color="000000"/>
            </w:tcBorders>
            <w:shd w:val="clear" w:color="A6C9EC" w:fill="A6C9EC"/>
            <w:noWrap/>
            <w:vAlign w:val="bottom"/>
            <w:hideMark/>
          </w:tcPr>
          <w:p w14:paraId="3823BDC4"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Value</w:t>
            </w:r>
          </w:p>
        </w:tc>
        <w:tc>
          <w:tcPr>
            <w:tcW w:w="554" w:type="dxa"/>
            <w:tcBorders>
              <w:top w:val="nil"/>
              <w:left w:val="nil"/>
              <w:bottom w:val="single" w:sz="4" w:space="0" w:color="000000"/>
              <w:right w:val="single" w:sz="4" w:space="0" w:color="000000"/>
            </w:tcBorders>
            <w:shd w:val="clear" w:color="A6C9EC" w:fill="A6C9EC"/>
            <w:noWrap/>
            <w:vAlign w:val="bottom"/>
            <w:hideMark/>
          </w:tcPr>
          <w:p w14:paraId="4E33E99C" w14:textId="77777777" w:rsidR="00BB7C1D" w:rsidRPr="00BB7C1D" w:rsidRDefault="00BB7C1D" w:rsidP="00BB7C1D">
            <w:pPr>
              <w:spacing w:after="0" w:line="240" w:lineRule="auto"/>
              <w:jc w:val="center"/>
              <w:rPr>
                <w:rFonts w:eastAsia="Times New Roman"/>
                <w:color w:val="000000"/>
                <w:sz w:val="24"/>
                <w:szCs w:val="24"/>
                <w:lang w:eastAsia="en-GB"/>
              </w:rPr>
            </w:pPr>
            <w:r w:rsidRPr="00BB7C1D">
              <w:rPr>
                <w:rFonts w:eastAsia="Times New Roman"/>
                <w:color w:val="000000"/>
                <w:sz w:val="24"/>
                <w:szCs w:val="24"/>
                <w:lang w:eastAsia="en-GB"/>
              </w:rPr>
              <w:t>No.</w:t>
            </w:r>
          </w:p>
        </w:tc>
      </w:tr>
      <w:tr w:rsidR="00BB7C1D" w:rsidRPr="00BB7C1D" w14:paraId="5C36B2BD" w14:textId="77777777" w:rsidTr="00BB7C1D">
        <w:trPr>
          <w:trHeight w:val="360"/>
          <w:jc w:val="center"/>
        </w:trPr>
        <w:tc>
          <w:tcPr>
            <w:tcW w:w="976" w:type="dxa"/>
            <w:vMerge/>
            <w:tcBorders>
              <w:top w:val="nil"/>
              <w:left w:val="single" w:sz="4" w:space="0" w:color="000000"/>
              <w:bottom w:val="single" w:sz="4" w:space="0" w:color="000000"/>
              <w:right w:val="single" w:sz="4" w:space="0" w:color="000000"/>
            </w:tcBorders>
            <w:vAlign w:val="center"/>
            <w:hideMark/>
          </w:tcPr>
          <w:p w14:paraId="696FED77" w14:textId="77777777" w:rsidR="00BB7C1D" w:rsidRPr="00BB7C1D" w:rsidRDefault="00BB7C1D" w:rsidP="00BB7C1D">
            <w:pPr>
              <w:spacing w:after="0" w:line="240" w:lineRule="auto"/>
              <w:rPr>
                <w:rFonts w:eastAsia="Times New Roman"/>
                <w:color w:val="000000"/>
                <w:lang w:eastAsia="en-GB"/>
              </w:rPr>
            </w:pPr>
          </w:p>
        </w:tc>
        <w:tc>
          <w:tcPr>
            <w:tcW w:w="4595" w:type="dxa"/>
            <w:tcBorders>
              <w:top w:val="nil"/>
              <w:left w:val="nil"/>
              <w:bottom w:val="single" w:sz="4" w:space="0" w:color="000000"/>
              <w:right w:val="single" w:sz="4" w:space="0" w:color="000000"/>
            </w:tcBorders>
            <w:noWrap/>
            <w:vAlign w:val="bottom"/>
            <w:hideMark/>
          </w:tcPr>
          <w:p w14:paraId="05F5E24C"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Small - &lt;£50,000.</w:t>
            </w:r>
          </w:p>
        </w:tc>
        <w:tc>
          <w:tcPr>
            <w:tcW w:w="554" w:type="dxa"/>
            <w:tcBorders>
              <w:top w:val="nil"/>
              <w:left w:val="nil"/>
              <w:bottom w:val="single" w:sz="4" w:space="0" w:color="000000"/>
              <w:right w:val="single" w:sz="4" w:space="0" w:color="000000"/>
            </w:tcBorders>
            <w:noWrap/>
            <w:vAlign w:val="bottom"/>
            <w:hideMark/>
          </w:tcPr>
          <w:p w14:paraId="44F73EF2"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15</w:t>
            </w:r>
          </w:p>
        </w:tc>
      </w:tr>
      <w:tr w:rsidR="00BB7C1D" w:rsidRPr="00BB7C1D" w14:paraId="031AE811" w14:textId="77777777" w:rsidTr="00BB7C1D">
        <w:trPr>
          <w:trHeight w:val="360"/>
          <w:jc w:val="center"/>
        </w:trPr>
        <w:tc>
          <w:tcPr>
            <w:tcW w:w="976" w:type="dxa"/>
            <w:vMerge/>
            <w:tcBorders>
              <w:top w:val="nil"/>
              <w:left w:val="single" w:sz="4" w:space="0" w:color="000000"/>
              <w:bottom w:val="single" w:sz="4" w:space="0" w:color="000000"/>
              <w:right w:val="single" w:sz="4" w:space="0" w:color="000000"/>
            </w:tcBorders>
            <w:vAlign w:val="center"/>
            <w:hideMark/>
          </w:tcPr>
          <w:p w14:paraId="3973DAEC" w14:textId="77777777" w:rsidR="00BB7C1D" w:rsidRPr="00BB7C1D" w:rsidRDefault="00BB7C1D" w:rsidP="00BB7C1D">
            <w:pPr>
              <w:spacing w:after="0" w:line="240" w:lineRule="auto"/>
              <w:rPr>
                <w:rFonts w:eastAsia="Times New Roman"/>
                <w:color w:val="000000"/>
                <w:lang w:eastAsia="en-GB"/>
              </w:rPr>
            </w:pPr>
          </w:p>
        </w:tc>
        <w:tc>
          <w:tcPr>
            <w:tcW w:w="4595" w:type="dxa"/>
            <w:tcBorders>
              <w:top w:val="nil"/>
              <w:left w:val="nil"/>
              <w:bottom w:val="single" w:sz="4" w:space="0" w:color="000000"/>
              <w:right w:val="single" w:sz="4" w:space="0" w:color="000000"/>
            </w:tcBorders>
            <w:noWrap/>
            <w:vAlign w:val="bottom"/>
            <w:hideMark/>
          </w:tcPr>
          <w:p w14:paraId="2CA2568B"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Small to Medium - £50,000 to £100,000.</w:t>
            </w:r>
          </w:p>
        </w:tc>
        <w:tc>
          <w:tcPr>
            <w:tcW w:w="554" w:type="dxa"/>
            <w:tcBorders>
              <w:top w:val="nil"/>
              <w:left w:val="nil"/>
              <w:bottom w:val="single" w:sz="4" w:space="0" w:color="000000"/>
              <w:right w:val="single" w:sz="4" w:space="0" w:color="000000"/>
            </w:tcBorders>
            <w:noWrap/>
            <w:vAlign w:val="bottom"/>
            <w:hideMark/>
          </w:tcPr>
          <w:p w14:paraId="6ADEDEEC"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18</w:t>
            </w:r>
          </w:p>
        </w:tc>
      </w:tr>
      <w:tr w:rsidR="00BB7C1D" w:rsidRPr="00BB7C1D" w14:paraId="62FDE8DE" w14:textId="77777777" w:rsidTr="00BB7C1D">
        <w:trPr>
          <w:trHeight w:val="360"/>
          <w:jc w:val="center"/>
        </w:trPr>
        <w:tc>
          <w:tcPr>
            <w:tcW w:w="976" w:type="dxa"/>
            <w:vMerge/>
            <w:tcBorders>
              <w:top w:val="nil"/>
              <w:left w:val="single" w:sz="4" w:space="0" w:color="000000"/>
              <w:bottom w:val="single" w:sz="4" w:space="0" w:color="000000"/>
              <w:right w:val="single" w:sz="4" w:space="0" w:color="000000"/>
            </w:tcBorders>
            <w:vAlign w:val="center"/>
            <w:hideMark/>
          </w:tcPr>
          <w:p w14:paraId="3A45900B" w14:textId="77777777" w:rsidR="00BB7C1D" w:rsidRPr="00BB7C1D" w:rsidRDefault="00BB7C1D" w:rsidP="00BB7C1D">
            <w:pPr>
              <w:spacing w:after="0" w:line="240" w:lineRule="auto"/>
              <w:rPr>
                <w:rFonts w:eastAsia="Times New Roman"/>
                <w:color w:val="000000"/>
                <w:lang w:eastAsia="en-GB"/>
              </w:rPr>
            </w:pPr>
          </w:p>
        </w:tc>
        <w:tc>
          <w:tcPr>
            <w:tcW w:w="4595" w:type="dxa"/>
            <w:tcBorders>
              <w:top w:val="nil"/>
              <w:left w:val="nil"/>
              <w:bottom w:val="single" w:sz="4" w:space="0" w:color="000000"/>
              <w:right w:val="single" w:sz="4" w:space="0" w:color="000000"/>
            </w:tcBorders>
            <w:noWrap/>
            <w:vAlign w:val="bottom"/>
            <w:hideMark/>
          </w:tcPr>
          <w:p w14:paraId="19B3D4DC"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Medium - £100,000- £250,000.</w:t>
            </w:r>
          </w:p>
        </w:tc>
        <w:tc>
          <w:tcPr>
            <w:tcW w:w="554" w:type="dxa"/>
            <w:tcBorders>
              <w:top w:val="nil"/>
              <w:left w:val="nil"/>
              <w:bottom w:val="single" w:sz="4" w:space="0" w:color="000000"/>
              <w:right w:val="single" w:sz="4" w:space="0" w:color="000000"/>
            </w:tcBorders>
            <w:noWrap/>
            <w:vAlign w:val="bottom"/>
            <w:hideMark/>
          </w:tcPr>
          <w:p w14:paraId="22F9C4C1"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13</w:t>
            </w:r>
          </w:p>
        </w:tc>
      </w:tr>
      <w:tr w:rsidR="00BB7C1D" w:rsidRPr="00BB7C1D" w14:paraId="527EBAC5" w14:textId="77777777" w:rsidTr="00BB7C1D">
        <w:trPr>
          <w:trHeight w:val="360"/>
          <w:jc w:val="center"/>
        </w:trPr>
        <w:tc>
          <w:tcPr>
            <w:tcW w:w="976" w:type="dxa"/>
            <w:vMerge/>
            <w:tcBorders>
              <w:top w:val="nil"/>
              <w:left w:val="single" w:sz="4" w:space="0" w:color="000000"/>
              <w:bottom w:val="single" w:sz="4" w:space="0" w:color="000000"/>
              <w:right w:val="single" w:sz="4" w:space="0" w:color="000000"/>
            </w:tcBorders>
            <w:vAlign w:val="center"/>
            <w:hideMark/>
          </w:tcPr>
          <w:p w14:paraId="41DB74CD" w14:textId="77777777" w:rsidR="00BB7C1D" w:rsidRPr="00BB7C1D" w:rsidRDefault="00BB7C1D" w:rsidP="00BB7C1D">
            <w:pPr>
              <w:spacing w:after="0" w:line="240" w:lineRule="auto"/>
              <w:rPr>
                <w:rFonts w:eastAsia="Times New Roman"/>
                <w:color w:val="000000"/>
                <w:lang w:eastAsia="en-GB"/>
              </w:rPr>
            </w:pPr>
          </w:p>
        </w:tc>
        <w:tc>
          <w:tcPr>
            <w:tcW w:w="4595" w:type="dxa"/>
            <w:tcBorders>
              <w:top w:val="nil"/>
              <w:left w:val="nil"/>
              <w:bottom w:val="single" w:sz="4" w:space="0" w:color="000000"/>
              <w:right w:val="single" w:sz="4" w:space="0" w:color="000000"/>
            </w:tcBorders>
            <w:noWrap/>
            <w:vAlign w:val="bottom"/>
            <w:hideMark/>
          </w:tcPr>
          <w:p w14:paraId="1B1CA262"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Medium to Large - £250,000 - £500,000.</w:t>
            </w:r>
          </w:p>
        </w:tc>
        <w:tc>
          <w:tcPr>
            <w:tcW w:w="554" w:type="dxa"/>
            <w:tcBorders>
              <w:top w:val="nil"/>
              <w:left w:val="nil"/>
              <w:bottom w:val="single" w:sz="4" w:space="0" w:color="000000"/>
              <w:right w:val="single" w:sz="4" w:space="0" w:color="000000"/>
            </w:tcBorders>
            <w:noWrap/>
            <w:vAlign w:val="bottom"/>
            <w:hideMark/>
          </w:tcPr>
          <w:p w14:paraId="348E4F23"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13</w:t>
            </w:r>
          </w:p>
        </w:tc>
      </w:tr>
      <w:tr w:rsidR="00BB7C1D" w:rsidRPr="00BB7C1D" w14:paraId="39C22CF9" w14:textId="77777777" w:rsidTr="00BB7C1D">
        <w:trPr>
          <w:trHeight w:val="360"/>
          <w:jc w:val="center"/>
        </w:trPr>
        <w:tc>
          <w:tcPr>
            <w:tcW w:w="976" w:type="dxa"/>
            <w:vMerge/>
            <w:tcBorders>
              <w:top w:val="nil"/>
              <w:left w:val="single" w:sz="4" w:space="0" w:color="000000"/>
              <w:bottom w:val="single" w:sz="4" w:space="0" w:color="000000"/>
              <w:right w:val="single" w:sz="4" w:space="0" w:color="000000"/>
            </w:tcBorders>
            <w:vAlign w:val="center"/>
            <w:hideMark/>
          </w:tcPr>
          <w:p w14:paraId="62CFF53A" w14:textId="77777777" w:rsidR="00BB7C1D" w:rsidRPr="00BB7C1D" w:rsidRDefault="00BB7C1D" w:rsidP="00BB7C1D">
            <w:pPr>
              <w:spacing w:after="0" w:line="240" w:lineRule="auto"/>
              <w:rPr>
                <w:rFonts w:eastAsia="Times New Roman"/>
                <w:color w:val="000000"/>
                <w:lang w:eastAsia="en-GB"/>
              </w:rPr>
            </w:pPr>
          </w:p>
        </w:tc>
        <w:tc>
          <w:tcPr>
            <w:tcW w:w="4595" w:type="dxa"/>
            <w:tcBorders>
              <w:top w:val="nil"/>
              <w:left w:val="nil"/>
              <w:bottom w:val="single" w:sz="4" w:space="0" w:color="000000"/>
              <w:right w:val="single" w:sz="4" w:space="0" w:color="000000"/>
            </w:tcBorders>
            <w:noWrap/>
            <w:vAlign w:val="bottom"/>
            <w:hideMark/>
          </w:tcPr>
          <w:p w14:paraId="5EFF8DDB" w14:textId="77777777" w:rsidR="00BB7C1D" w:rsidRPr="00BB7C1D" w:rsidRDefault="00BB7C1D" w:rsidP="00BB7C1D">
            <w:pPr>
              <w:spacing w:after="0" w:line="240" w:lineRule="auto"/>
              <w:rPr>
                <w:rFonts w:eastAsia="Times New Roman"/>
                <w:color w:val="000000"/>
                <w:lang w:eastAsia="en-GB"/>
              </w:rPr>
            </w:pPr>
            <w:r w:rsidRPr="00BB7C1D">
              <w:rPr>
                <w:rFonts w:eastAsia="Times New Roman"/>
                <w:color w:val="000000"/>
                <w:lang w:eastAsia="en-GB"/>
              </w:rPr>
              <w:t>Large - &gt;£500,000.</w:t>
            </w:r>
          </w:p>
        </w:tc>
        <w:tc>
          <w:tcPr>
            <w:tcW w:w="554" w:type="dxa"/>
            <w:tcBorders>
              <w:top w:val="nil"/>
              <w:left w:val="nil"/>
              <w:bottom w:val="single" w:sz="4" w:space="0" w:color="000000"/>
              <w:right w:val="single" w:sz="4" w:space="0" w:color="000000"/>
            </w:tcBorders>
            <w:noWrap/>
            <w:vAlign w:val="bottom"/>
            <w:hideMark/>
          </w:tcPr>
          <w:p w14:paraId="0CF1F7F5" w14:textId="77777777" w:rsidR="00BB7C1D" w:rsidRPr="00BB7C1D" w:rsidRDefault="00BB7C1D" w:rsidP="00BB7C1D">
            <w:pPr>
              <w:spacing w:after="0" w:line="240" w:lineRule="auto"/>
              <w:jc w:val="right"/>
              <w:rPr>
                <w:rFonts w:eastAsia="Times New Roman"/>
                <w:color w:val="000000"/>
                <w:lang w:eastAsia="en-GB"/>
              </w:rPr>
            </w:pPr>
            <w:r w:rsidRPr="00BB7C1D">
              <w:rPr>
                <w:rFonts w:eastAsia="Times New Roman"/>
                <w:color w:val="000000"/>
                <w:lang w:eastAsia="en-GB"/>
              </w:rPr>
              <w:t>12</w:t>
            </w:r>
          </w:p>
        </w:tc>
      </w:tr>
    </w:tbl>
    <w:p w14:paraId="794C0710" w14:textId="21935742" w:rsidR="00BB7C1D" w:rsidRDefault="00BB7C1D" w:rsidP="00BB7C1D">
      <w:pPr>
        <w:pStyle w:val="Caption"/>
        <w:jc w:val="center"/>
      </w:pPr>
      <w:bookmarkStart w:id="110" w:name="_Toc219216423"/>
      <w:r>
        <w:t xml:space="preserve">Table </w:t>
      </w:r>
      <w:fldSimple w:instr=" SEQ Table \* ARABIC ">
        <w:r w:rsidR="004239CB">
          <w:rPr>
            <w:noProof/>
          </w:rPr>
          <w:t>10</w:t>
        </w:r>
      </w:fldSimple>
      <w:r>
        <w:t xml:space="preserve"> - </w:t>
      </w:r>
      <w:r w:rsidRPr="001851DA">
        <w:t>Questionnaire Q</w:t>
      </w:r>
      <w:r>
        <w:t>4</w:t>
      </w:r>
      <w:r w:rsidRPr="001851DA">
        <w:t xml:space="preserve"> Data Set</w:t>
      </w:r>
      <w:bookmarkEnd w:id="110"/>
    </w:p>
    <w:p w14:paraId="4CD6C3F6" w14:textId="6C2F5B4E" w:rsidR="004239CB" w:rsidRDefault="004239CB">
      <w:r>
        <w:br w:type="page"/>
      </w:r>
    </w:p>
    <w:p w14:paraId="6FCEBF03" w14:textId="45A783B5" w:rsidR="00BB7C1D" w:rsidRPr="004239CB" w:rsidRDefault="004239CB" w:rsidP="004239CB">
      <w:pPr>
        <w:pStyle w:val="Heading2"/>
        <w:ind w:left="-576"/>
        <w:rPr>
          <w:sz w:val="22"/>
          <w:szCs w:val="22"/>
        </w:rPr>
      </w:pPr>
      <w:bookmarkStart w:id="111" w:name="_Toc219216497"/>
      <w:r w:rsidRPr="004239CB">
        <w:rPr>
          <w:sz w:val="22"/>
          <w:szCs w:val="22"/>
        </w:rPr>
        <w:lastRenderedPageBreak/>
        <w:t xml:space="preserve">12.4. </w:t>
      </w:r>
      <w:r w:rsidRPr="004239CB">
        <w:rPr>
          <w:sz w:val="22"/>
          <w:szCs w:val="22"/>
          <w:u w:val="single"/>
        </w:rPr>
        <w:t>Current Use of Risk Assessment Tools.</w:t>
      </w:r>
      <w:bookmarkEnd w:id="111"/>
    </w:p>
    <w:p w14:paraId="7FB995F3" w14:textId="77777777" w:rsidR="004239CB" w:rsidRDefault="004239CB" w:rsidP="00BB7C1D">
      <w:pPr>
        <w:spacing w:after="0"/>
        <w:ind w:left="-576" w:right="-576"/>
      </w:pPr>
    </w:p>
    <w:tbl>
      <w:tblPr>
        <w:tblW w:w="6416" w:type="dxa"/>
        <w:jc w:val="center"/>
        <w:tblCellMar>
          <w:top w:w="15" w:type="dxa"/>
        </w:tblCellMar>
        <w:tblLook w:val="04A0" w:firstRow="1" w:lastRow="0" w:firstColumn="1" w:lastColumn="0" w:noHBand="0" w:noVBand="1"/>
      </w:tblPr>
      <w:tblGrid>
        <w:gridCol w:w="1773"/>
        <w:gridCol w:w="2077"/>
        <w:gridCol w:w="799"/>
        <w:gridCol w:w="1731"/>
        <w:gridCol w:w="222"/>
      </w:tblGrid>
      <w:tr w:rsidR="00932E71" w:rsidRPr="00932E71" w14:paraId="5CF18433" w14:textId="77777777" w:rsidTr="00932E71">
        <w:trPr>
          <w:gridAfter w:val="1"/>
          <w:wAfter w:w="36" w:type="dxa"/>
          <w:trHeight w:val="360"/>
          <w:jc w:val="center"/>
        </w:trPr>
        <w:tc>
          <w:tcPr>
            <w:tcW w:w="6380" w:type="dxa"/>
            <w:gridSpan w:val="4"/>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7FCC554E" w14:textId="77777777" w:rsidR="00932E71" w:rsidRPr="00932E71" w:rsidRDefault="00932E71" w:rsidP="00932E71">
            <w:pPr>
              <w:spacing w:after="0" w:line="240" w:lineRule="auto"/>
              <w:jc w:val="center"/>
              <w:rPr>
                <w:rFonts w:eastAsia="Times New Roman"/>
                <w:color w:val="000000"/>
                <w:sz w:val="24"/>
                <w:szCs w:val="24"/>
                <w:lang w:eastAsia="en-GB"/>
              </w:rPr>
            </w:pPr>
            <w:r w:rsidRPr="00932E71">
              <w:rPr>
                <w:rFonts w:eastAsia="Times New Roman"/>
                <w:color w:val="000000"/>
                <w:sz w:val="24"/>
                <w:szCs w:val="24"/>
                <w:lang w:eastAsia="en-GB"/>
              </w:rPr>
              <w:t>Current Use of Risk Assessment Tools.</w:t>
            </w:r>
          </w:p>
        </w:tc>
      </w:tr>
      <w:tr w:rsidR="00932E71" w:rsidRPr="00932E71" w14:paraId="75335BEF" w14:textId="77777777" w:rsidTr="00932E71">
        <w:trPr>
          <w:gridAfter w:val="1"/>
          <w:wAfter w:w="36" w:type="dxa"/>
          <w:trHeight w:val="360"/>
          <w:jc w:val="center"/>
        </w:trPr>
        <w:tc>
          <w:tcPr>
            <w:tcW w:w="1773" w:type="dxa"/>
            <w:vMerge w:val="restart"/>
            <w:tcBorders>
              <w:top w:val="nil"/>
              <w:left w:val="single" w:sz="4" w:space="0" w:color="000000"/>
              <w:bottom w:val="single" w:sz="4" w:space="0" w:color="000000"/>
              <w:right w:val="single" w:sz="4" w:space="0" w:color="000000"/>
            </w:tcBorders>
            <w:textDirection w:val="btLr"/>
            <w:vAlign w:val="center"/>
            <w:hideMark/>
          </w:tcPr>
          <w:p w14:paraId="386983E6"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Do you currently use risk assessment tools in your project management process?</w:t>
            </w:r>
          </w:p>
        </w:tc>
        <w:tc>
          <w:tcPr>
            <w:tcW w:w="2077" w:type="dxa"/>
            <w:tcBorders>
              <w:top w:val="nil"/>
              <w:left w:val="nil"/>
              <w:bottom w:val="single" w:sz="4" w:space="0" w:color="000000"/>
              <w:right w:val="single" w:sz="4" w:space="0" w:color="000000"/>
            </w:tcBorders>
            <w:shd w:val="clear" w:color="A6C9EC" w:fill="A6C9EC"/>
            <w:noWrap/>
            <w:vAlign w:val="bottom"/>
            <w:hideMark/>
          </w:tcPr>
          <w:p w14:paraId="42F5F38F" w14:textId="77777777" w:rsidR="00932E71" w:rsidRPr="00932E71" w:rsidRDefault="00932E71" w:rsidP="00932E71">
            <w:pPr>
              <w:spacing w:after="0" w:line="240" w:lineRule="auto"/>
              <w:jc w:val="center"/>
              <w:rPr>
                <w:rFonts w:eastAsia="Times New Roman"/>
                <w:color w:val="000000"/>
                <w:sz w:val="24"/>
                <w:szCs w:val="24"/>
                <w:lang w:eastAsia="en-GB"/>
              </w:rPr>
            </w:pPr>
            <w:r w:rsidRPr="00932E71">
              <w:rPr>
                <w:rFonts w:eastAsia="Times New Roman"/>
                <w:color w:val="000000"/>
                <w:sz w:val="24"/>
                <w:szCs w:val="24"/>
                <w:lang w:eastAsia="en-GB"/>
              </w:rPr>
              <w:t>Response</w:t>
            </w:r>
          </w:p>
        </w:tc>
        <w:tc>
          <w:tcPr>
            <w:tcW w:w="799" w:type="dxa"/>
            <w:tcBorders>
              <w:top w:val="nil"/>
              <w:left w:val="nil"/>
              <w:bottom w:val="single" w:sz="4" w:space="0" w:color="000000"/>
              <w:right w:val="single" w:sz="4" w:space="0" w:color="000000"/>
            </w:tcBorders>
            <w:shd w:val="clear" w:color="A6C9EC" w:fill="A6C9EC"/>
            <w:noWrap/>
            <w:vAlign w:val="bottom"/>
            <w:hideMark/>
          </w:tcPr>
          <w:p w14:paraId="708D8917" w14:textId="77777777" w:rsidR="00932E71" w:rsidRPr="00932E71" w:rsidRDefault="00932E71" w:rsidP="00932E71">
            <w:pPr>
              <w:spacing w:after="0" w:line="240" w:lineRule="auto"/>
              <w:jc w:val="center"/>
              <w:rPr>
                <w:rFonts w:eastAsia="Times New Roman"/>
                <w:color w:val="000000"/>
                <w:sz w:val="24"/>
                <w:szCs w:val="24"/>
                <w:lang w:eastAsia="en-GB"/>
              </w:rPr>
            </w:pPr>
            <w:r w:rsidRPr="00932E71">
              <w:rPr>
                <w:rFonts w:eastAsia="Times New Roman"/>
                <w:color w:val="000000"/>
                <w:sz w:val="24"/>
                <w:szCs w:val="24"/>
                <w:lang w:eastAsia="en-GB"/>
              </w:rPr>
              <w:t>No.</w:t>
            </w:r>
          </w:p>
        </w:tc>
        <w:tc>
          <w:tcPr>
            <w:tcW w:w="1731" w:type="dxa"/>
            <w:tcBorders>
              <w:top w:val="nil"/>
              <w:left w:val="nil"/>
              <w:bottom w:val="single" w:sz="4" w:space="0" w:color="000000"/>
              <w:right w:val="single" w:sz="4" w:space="0" w:color="000000"/>
            </w:tcBorders>
            <w:shd w:val="clear" w:color="A6C9EC" w:fill="A6C9EC"/>
            <w:noWrap/>
            <w:vAlign w:val="bottom"/>
            <w:hideMark/>
          </w:tcPr>
          <w:p w14:paraId="00D136E3" w14:textId="77777777" w:rsidR="00932E71" w:rsidRPr="00932E71" w:rsidRDefault="00932E71" w:rsidP="00932E71">
            <w:pPr>
              <w:spacing w:after="0" w:line="240" w:lineRule="auto"/>
              <w:jc w:val="center"/>
              <w:rPr>
                <w:rFonts w:eastAsia="Times New Roman"/>
                <w:color w:val="000000"/>
                <w:sz w:val="24"/>
                <w:szCs w:val="24"/>
                <w:lang w:eastAsia="en-GB"/>
              </w:rPr>
            </w:pPr>
            <w:r w:rsidRPr="00932E71">
              <w:rPr>
                <w:rFonts w:eastAsia="Times New Roman"/>
                <w:color w:val="000000"/>
                <w:sz w:val="24"/>
                <w:szCs w:val="24"/>
                <w:lang w:eastAsia="en-GB"/>
              </w:rPr>
              <w:t>%</w:t>
            </w:r>
          </w:p>
        </w:tc>
      </w:tr>
      <w:tr w:rsidR="00932E71" w:rsidRPr="00932E71" w14:paraId="47AAA8DC" w14:textId="77777777" w:rsidTr="00932E71">
        <w:trPr>
          <w:gridAfter w:val="1"/>
          <w:wAfter w:w="36" w:type="dxa"/>
          <w:trHeight w:val="450"/>
          <w:jc w:val="center"/>
        </w:trPr>
        <w:tc>
          <w:tcPr>
            <w:tcW w:w="1773" w:type="dxa"/>
            <w:vMerge/>
            <w:tcBorders>
              <w:top w:val="nil"/>
              <w:left w:val="single" w:sz="4" w:space="0" w:color="000000"/>
              <w:bottom w:val="single" w:sz="4" w:space="0" w:color="000000"/>
              <w:right w:val="single" w:sz="4" w:space="0" w:color="000000"/>
            </w:tcBorders>
            <w:vAlign w:val="center"/>
            <w:hideMark/>
          </w:tcPr>
          <w:p w14:paraId="4E5AC5E1" w14:textId="77777777" w:rsidR="00932E71" w:rsidRPr="00932E71" w:rsidRDefault="00932E71" w:rsidP="00932E71">
            <w:pPr>
              <w:spacing w:after="0" w:line="240" w:lineRule="auto"/>
              <w:jc w:val="center"/>
              <w:rPr>
                <w:rFonts w:eastAsia="Times New Roman"/>
                <w:color w:val="000000"/>
                <w:lang w:eastAsia="en-GB"/>
              </w:rPr>
            </w:pPr>
          </w:p>
        </w:tc>
        <w:tc>
          <w:tcPr>
            <w:tcW w:w="2077" w:type="dxa"/>
            <w:vMerge w:val="restart"/>
            <w:tcBorders>
              <w:top w:val="nil"/>
              <w:left w:val="single" w:sz="4" w:space="0" w:color="000000"/>
              <w:bottom w:val="single" w:sz="4" w:space="0" w:color="000000"/>
              <w:right w:val="single" w:sz="4" w:space="0" w:color="000000"/>
            </w:tcBorders>
            <w:noWrap/>
            <w:vAlign w:val="center"/>
            <w:hideMark/>
          </w:tcPr>
          <w:p w14:paraId="0B6616E4"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Yes</w:t>
            </w:r>
          </w:p>
        </w:tc>
        <w:tc>
          <w:tcPr>
            <w:tcW w:w="799" w:type="dxa"/>
            <w:vMerge w:val="restart"/>
            <w:tcBorders>
              <w:top w:val="nil"/>
              <w:left w:val="single" w:sz="4" w:space="0" w:color="000000"/>
              <w:bottom w:val="single" w:sz="4" w:space="0" w:color="000000"/>
              <w:right w:val="single" w:sz="4" w:space="0" w:color="000000"/>
            </w:tcBorders>
            <w:noWrap/>
            <w:vAlign w:val="center"/>
            <w:hideMark/>
          </w:tcPr>
          <w:p w14:paraId="6688ED9C"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36</w:t>
            </w:r>
          </w:p>
        </w:tc>
        <w:tc>
          <w:tcPr>
            <w:tcW w:w="1731" w:type="dxa"/>
            <w:vMerge w:val="restart"/>
            <w:tcBorders>
              <w:top w:val="nil"/>
              <w:left w:val="single" w:sz="4" w:space="0" w:color="000000"/>
              <w:bottom w:val="single" w:sz="4" w:space="0" w:color="000000"/>
              <w:right w:val="single" w:sz="4" w:space="0" w:color="000000"/>
            </w:tcBorders>
            <w:noWrap/>
            <w:vAlign w:val="center"/>
            <w:hideMark/>
          </w:tcPr>
          <w:p w14:paraId="2E107023"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100.00%</w:t>
            </w:r>
          </w:p>
        </w:tc>
      </w:tr>
      <w:tr w:rsidR="00932E71" w:rsidRPr="00932E71" w14:paraId="6F891D2E" w14:textId="77777777" w:rsidTr="00932E71">
        <w:trPr>
          <w:trHeight w:val="360"/>
          <w:jc w:val="center"/>
        </w:trPr>
        <w:tc>
          <w:tcPr>
            <w:tcW w:w="1773" w:type="dxa"/>
            <w:vMerge/>
            <w:tcBorders>
              <w:top w:val="nil"/>
              <w:left w:val="single" w:sz="4" w:space="0" w:color="000000"/>
              <w:bottom w:val="single" w:sz="4" w:space="0" w:color="000000"/>
              <w:right w:val="single" w:sz="4" w:space="0" w:color="000000"/>
            </w:tcBorders>
            <w:vAlign w:val="center"/>
            <w:hideMark/>
          </w:tcPr>
          <w:p w14:paraId="791CD7F6" w14:textId="77777777" w:rsidR="00932E71" w:rsidRPr="00932E71" w:rsidRDefault="00932E71" w:rsidP="00932E71">
            <w:pPr>
              <w:spacing w:after="0" w:line="240" w:lineRule="auto"/>
              <w:jc w:val="center"/>
              <w:rPr>
                <w:rFonts w:eastAsia="Times New Roman"/>
                <w:color w:val="000000"/>
                <w:lang w:eastAsia="en-GB"/>
              </w:rPr>
            </w:pPr>
          </w:p>
        </w:tc>
        <w:tc>
          <w:tcPr>
            <w:tcW w:w="2077" w:type="dxa"/>
            <w:vMerge/>
            <w:tcBorders>
              <w:top w:val="nil"/>
              <w:left w:val="single" w:sz="4" w:space="0" w:color="000000"/>
              <w:bottom w:val="single" w:sz="4" w:space="0" w:color="000000"/>
              <w:right w:val="single" w:sz="4" w:space="0" w:color="000000"/>
            </w:tcBorders>
            <w:vAlign w:val="center"/>
            <w:hideMark/>
          </w:tcPr>
          <w:p w14:paraId="6295E29D" w14:textId="77777777" w:rsidR="00932E71" w:rsidRPr="00932E71" w:rsidRDefault="00932E71" w:rsidP="00932E71">
            <w:pPr>
              <w:spacing w:after="0" w:line="240" w:lineRule="auto"/>
              <w:jc w:val="center"/>
              <w:rPr>
                <w:rFonts w:eastAsia="Times New Roman"/>
                <w:color w:val="000000"/>
                <w:lang w:eastAsia="en-GB"/>
              </w:rPr>
            </w:pPr>
          </w:p>
        </w:tc>
        <w:tc>
          <w:tcPr>
            <w:tcW w:w="799" w:type="dxa"/>
            <w:vMerge/>
            <w:tcBorders>
              <w:top w:val="nil"/>
              <w:left w:val="single" w:sz="4" w:space="0" w:color="000000"/>
              <w:bottom w:val="single" w:sz="4" w:space="0" w:color="000000"/>
              <w:right w:val="single" w:sz="4" w:space="0" w:color="000000"/>
            </w:tcBorders>
            <w:vAlign w:val="center"/>
            <w:hideMark/>
          </w:tcPr>
          <w:p w14:paraId="2B2390C1" w14:textId="77777777" w:rsidR="00932E71" w:rsidRPr="00932E71" w:rsidRDefault="00932E71" w:rsidP="00932E71">
            <w:pPr>
              <w:spacing w:after="0" w:line="240" w:lineRule="auto"/>
              <w:jc w:val="center"/>
              <w:rPr>
                <w:rFonts w:eastAsia="Times New Roman"/>
                <w:color w:val="000000"/>
                <w:lang w:eastAsia="en-GB"/>
              </w:rPr>
            </w:pPr>
          </w:p>
        </w:tc>
        <w:tc>
          <w:tcPr>
            <w:tcW w:w="1731" w:type="dxa"/>
            <w:vMerge/>
            <w:tcBorders>
              <w:top w:val="nil"/>
              <w:left w:val="single" w:sz="4" w:space="0" w:color="000000"/>
              <w:bottom w:val="single" w:sz="4" w:space="0" w:color="000000"/>
              <w:right w:val="single" w:sz="4" w:space="0" w:color="000000"/>
            </w:tcBorders>
            <w:vAlign w:val="center"/>
            <w:hideMark/>
          </w:tcPr>
          <w:p w14:paraId="0E750F49" w14:textId="77777777" w:rsidR="00932E71" w:rsidRPr="00932E71" w:rsidRDefault="00932E71" w:rsidP="00932E71">
            <w:pPr>
              <w:spacing w:after="0" w:line="240" w:lineRule="auto"/>
              <w:jc w:val="center"/>
              <w:rPr>
                <w:rFonts w:eastAsia="Times New Roman"/>
                <w:color w:val="000000"/>
                <w:lang w:eastAsia="en-GB"/>
              </w:rPr>
            </w:pPr>
          </w:p>
        </w:tc>
        <w:tc>
          <w:tcPr>
            <w:tcW w:w="36" w:type="dxa"/>
            <w:tcBorders>
              <w:top w:val="nil"/>
              <w:left w:val="nil"/>
              <w:bottom w:val="nil"/>
              <w:right w:val="nil"/>
            </w:tcBorders>
            <w:noWrap/>
            <w:vAlign w:val="bottom"/>
            <w:hideMark/>
          </w:tcPr>
          <w:p w14:paraId="3BD82ED3" w14:textId="77777777" w:rsidR="00932E71" w:rsidRPr="00932E71" w:rsidRDefault="00932E71" w:rsidP="00932E71">
            <w:pPr>
              <w:spacing w:after="0" w:line="240" w:lineRule="auto"/>
              <w:jc w:val="center"/>
              <w:rPr>
                <w:rFonts w:eastAsia="Times New Roman"/>
                <w:color w:val="000000"/>
                <w:lang w:eastAsia="en-GB"/>
              </w:rPr>
            </w:pPr>
          </w:p>
        </w:tc>
      </w:tr>
      <w:tr w:rsidR="00932E71" w:rsidRPr="00932E71" w14:paraId="0FAE7630" w14:textId="77777777" w:rsidTr="00932E71">
        <w:trPr>
          <w:trHeight w:val="360"/>
          <w:jc w:val="center"/>
        </w:trPr>
        <w:tc>
          <w:tcPr>
            <w:tcW w:w="1773" w:type="dxa"/>
            <w:vMerge/>
            <w:tcBorders>
              <w:top w:val="nil"/>
              <w:left w:val="single" w:sz="4" w:space="0" w:color="000000"/>
              <w:bottom w:val="single" w:sz="4" w:space="0" w:color="000000"/>
              <w:right w:val="single" w:sz="4" w:space="0" w:color="000000"/>
            </w:tcBorders>
            <w:vAlign w:val="center"/>
            <w:hideMark/>
          </w:tcPr>
          <w:p w14:paraId="7A316751" w14:textId="77777777" w:rsidR="00932E71" w:rsidRPr="00932E71" w:rsidRDefault="00932E71" w:rsidP="00932E71">
            <w:pPr>
              <w:spacing w:after="0" w:line="240" w:lineRule="auto"/>
              <w:jc w:val="center"/>
              <w:rPr>
                <w:rFonts w:eastAsia="Times New Roman"/>
                <w:color w:val="000000"/>
                <w:lang w:eastAsia="en-GB"/>
              </w:rPr>
            </w:pPr>
          </w:p>
        </w:tc>
        <w:tc>
          <w:tcPr>
            <w:tcW w:w="2077" w:type="dxa"/>
            <w:vMerge/>
            <w:tcBorders>
              <w:top w:val="nil"/>
              <w:left w:val="single" w:sz="4" w:space="0" w:color="000000"/>
              <w:bottom w:val="single" w:sz="4" w:space="0" w:color="000000"/>
              <w:right w:val="single" w:sz="4" w:space="0" w:color="000000"/>
            </w:tcBorders>
            <w:vAlign w:val="center"/>
            <w:hideMark/>
          </w:tcPr>
          <w:p w14:paraId="54558722" w14:textId="77777777" w:rsidR="00932E71" w:rsidRPr="00932E71" w:rsidRDefault="00932E71" w:rsidP="00932E71">
            <w:pPr>
              <w:spacing w:after="0" w:line="240" w:lineRule="auto"/>
              <w:jc w:val="center"/>
              <w:rPr>
                <w:rFonts w:eastAsia="Times New Roman"/>
                <w:color w:val="000000"/>
                <w:lang w:eastAsia="en-GB"/>
              </w:rPr>
            </w:pPr>
          </w:p>
        </w:tc>
        <w:tc>
          <w:tcPr>
            <w:tcW w:w="799" w:type="dxa"/>
            <w:vMerge/>
            <w:tcBorders>
              <w:top w:val="nil"/>
              <w:left w:val="single" w:sz="4" w:space="0" w:color="000000"/>
              <w:bottom w:val="single" w:sz="4" w:space="0" w:color="000000"/>
              <w:right w:val="single" w:sz="4" w:space="0" w:color="000000"/>
            </w:tcBorders>
            <w:vAlign w:val="center"/>
            <w:hideMark/>
          </w:tcPr>
          <w:p w14:paraId="702E152A" w14:textId="77777777" w:rsidR="00932E71" w:rsidRPr="00932E71" w:rsidRDefault="00932E71" w:rsidP="00932E71">
            <w:pPr>
              <w:spacing w:after="0" w:line="240" w:lineRule="auto"/>
              <w:jc w:val="center"/>
              <w:rPr>
                <w:rFonts w:eastAsia="Times New Roman"/>
                <w:color w:val="000000"/>
                <w:lang w:eastAsia="en-GB"/>
              </w:rPr>
            </w:pPr>
          </w:p>
        </w:tc>
        <w:tc>
          <w:tcPr>
            <w:tcW w:w="1731" w:type="dxa"/>
            <w:vMerge/>
            <w:tcBorders>
              <w:top w:val="nil"/>
              <w:left w:val="single" w:sz="4" w:space="0" w:color="000000"/>
              <w:bottom w:val="single" w:sz="4" w:space="0" w:color="000000"/>
              <w:right w:val="single" w:sz="4" w:space="0" w:color="000000"/>
            </w:tcBorders>
            <w:vAlign w:val="center"/>
            <w:hideMark/>
          </w:tcPr>
          <w:p w14:paraId="32EEE917" w14:textId="77777777" w:rsidR="00932E71" w:rsidRPr="00932E71" w:rsidRDefault="00932E71" w:rsidP="00932E71">
            <w:pPr>
              <w:spacing w:after="0" w:line="240" w:lineRule="auto"/>
              <w:jc w:val="center"/>
              <w:rPr>
                <w:rFonts w:eastAsia="Times New Roman"/>
                <w:color w:val="000000"/>
                <w:lang w:eastAsia="en-GB"/>
              </w:rPr>
            </w:pPr>
          </w:p>
        </w:tc>
        <w:tc>
          <w:tcPr>
            <w:tcW w:w="36" w:type="dxa"/>
            <w:tcBorders>
              <w:top w:val="nil"/>
              <w:left w:val="nil"/>
              <w:bottom w:val="nil"/>
              <w:right w:val="nil"/>
            </w:tcBorders>
            <w:noWrap/>
            <w:vAlign w:val="bottom"/>
            <w:hideMark/>
          </w:tcPr>
          <w:p w14:paraId="1270E283" w14:textId="77777777" w:rsidR="00932E71" w:rsidRPr="00932E71" w:rsidRDefault="00932E71" w:rsidP="00932E71">
            <w:pPr>
              <w:spacing w:after="0" w:line="240" w:lineRule="auto"/>
              <w:jc w:val="center"/>
              <w:rPr>
                <w:rFonts w:ascii="Times New Roman" w:eastAsia="Times New Roman" w:hAnsi="Times New Roman" w:cs="Times New Roman"/>
                <w:color w:val="auto"/>
                <w:sz w:val="20"/>
                <w:szCs w:val="20"/>
                <w:lang w:eastAsia="en-GB"/>
              </w:rPr>
            </w:pPr>
          </w:p>
        </w:tc>
      </w:tr>
      <w:tr w:rsidR="00932E71" w:rsidRPr="00932E71" w14:paraId="5AA7BF52" w14:textId="77777777" w:rsidTr="00932E71">
        <w:trPr>
          <w:trHeight w:val="360"/>
          <w:jc w:val="center"/>
        </w:trPr>
        <w:tc>
          <w:tcPr>
            <w:tcW w:w="1773" w:type="dxa"/>
            <w:vMerge/>
            <w:tcBorders>
              <w:top w:val="nil"/>
              <w:left w:val="single" w:sz="4" w:space="0" w:color="000000"/>
              <w:bottom w:val="single" w:sz="4" w:space="0" w:color="000000"/>
              <w:right w:val="single" w:sz="4" w:space="0" w:color="000000"/>
            </w:tcBorders>
            <w:vAlign w:val="center"/>
            <w:hideMark/>
          </w:tcPr>
          <w:p w14:paraId="32F8C490" w14:textId="77777777" w:rsidR="00932E71" w:rsidRPr="00932E71" w:rsidRDefault="00932E71" w:rsidP="00932E71">
            <w:pPr>
              <w:spacing w:after="0" w:line="240" w:lineRule="auto"/>
              <w:jc w:val="center"/>
              <w:rPr>
                <w:rFonts w:eastAsia="Times New Roman"/>
                <w:color w:val="000000"/>
                <w:lang w:eastAsia="en-GB"/>
              </w:rPr>
            </w:pPr>
          </w:p>
        </w:tc>
        <w:tc>
          <w:tcPr>
            <w:tcW w:w="2077" w:type="dxa"/>
            <w:vMerge w:val="restart"/>
            <w:tcBorders>
              <w:top w:val="nil"/>
              <w:left w:val="single" w:sz="4" w:space="0" w:color="000000"/>
              <w:bottom w:val="single" w:sz="4" w:space="0" w:color="000000"/>
              <w:right w:val="single" w:sz="4" w:space="0" w:color="000000"/>
            </w:tcBorders>
            <w:noWrap/>
            <w:vAlign w:val="center"/>
            <w:hideMark/>
          </w:tcPr>
          <w:p w14:paraId="0C9999D7"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No</w:t>
            </w:r>
          </w:p>
        </w:tc>
        <w:tc>
          <w:tcPr>
            <w:tcW w:w="799" w:type="dxa"/>
            <w:vMerge w:val="restart"/>
            <w:tcBorders>
              <w:top w:val="nil"/>
              <w:left w:val="single" w:sz="4" w:space="0" w:color="000000"/>
              <w:bottom w:val="single" w:sz="4" w:space="0" w:color="000000"/>
              <w:right w:val="single" w:sz="4" w:space="0" w:color="000000"/>
            </w:tcBorders>
            <w:noWrap/>
            <w:vAlign w:val="center"/>
            <w:hideMark/>
          </w:tcPr>
          <w:p w14:paraId="7BAF7231"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0</w:t>
            </w:r>
          </w:p>
        </w:tc>
        <w:tc>
          <w:tcPr>
            <w:tcW w:w="1731" w:type="dxa"/>
            <w:vMerge w:val="restart"/>
            <w:tcBorders>
              <w:top w:val="nil"/>
              <w:left w:val="single" w:sz="4" w:space="0" w:color="000000"/>
              <w:bottom w:val="single" w:sz="4" w:space="0" w:color="000000"/>
              <w:right w:val="single" w:sz="4" w:space="0" w:color="000000"/>
            </w:tcBorders>
            <w:noWrap/>
            <w:vAlign w:val="center"/>
            <w:hideMark/>
          </w:tcPr>
          <w:p w14:paraId="14BCBEA2"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0.00%</w:t>
            </w:r>
          </w:p>
        </w:tc>
        <w:tc>
          <w:tcPr>
            <w:tcW w:w="36" w:type="dxa"/>
            <w:vAlign w:val="center"/>
            <w:hideMark/>
          </w:tcPr>
          <w:p w14:paraId="27EA1802" w14:textId="77777777" w:rsidR="00932E71" w:rsidRPr="00932E71" w:rsidRDefault="00932E71" w:rsidP="00932E71">
            <w:pPr>
              <w:spacing w:after="0" w:line="240" w:lineRule="auto"/>
              <w:jc w:val="center"/>
              <w:rPr>
                <w:rFonts w:ascii="Times New Roman" w:eastAsia="Times New Roman" w:hAnsi="Times New Roman" w:cs="Times New Roman"/>
                <w:color w:val="auto"/>
                <w:sz w:val="20"/>
                <w:szCs w:val="20"/>
                <w:lang w:eastAsia="en-GB"/>
              </w:rPr>
            </w:pPr>
          </w:p>
        </w:tc>
      </w:tr>
      <w:tr w:rsidR="00932E71" w:rsidRPr="00932E71" w14:paraId="1B959400" w14:textId="77777777" w:rsidTr="00932E71">
        <w:trPr>
          <w:trHeight w:val="360"/>
          <w:jc w:val="center"/>
        </w:trPr>
        <w:tc>
          <w:tcPr>
            <w:tcW w:w="1773" w:type="dxa"/>
            <w:vMerge/>
            <w:tcBorders>
              <w:top w:val="nil"/>
              <w:left w:val="single" w:sz="4" w:space="0" w:color="000000"/>
              <w:bottom w:val="single" w:sz="4" w:space="0" w:color="000000"/>
              <w:right w:val="single" w:sz="4" w:space="0" w:color="000000"/>
            </w:tcBorders>
            <w:vAlign w:val="center"/>
            <w:hideMark/>
          </w:tcPr>
          <w:p w14:paraId="70638846" w14:textId="77777777" w:rsidR="00932E71" w:rsidRPr="00932E71" w:rsidRDefault="00932E71" w:rsidP="00932E71">
            <w:pPr>
              <w:spacing w:after="0" w:line="240" w:lineRule="auto"/>
              <w:jc w:val="center"/>
              <w:rPr>
                <w:rFonts w:eastAsia="Times New Roman"/>
                <w:color w:val="000000"/>
                <w:lang w:eastAsia="en-GB"/>
              </w:rPr>
            </w:pPr>
          </w:p>
        </w:tc>
        <w:tc>
          <w:tcPr>
            <w:tcW w:w="2077" w:type="dxa"/>
            <w:vMerge/>
            <w:tcBorders>
              <w:top w:val="nil"/>
              <w:left w:val="single" w:sz="4" w:space="0" w:color="000000"/>
              <w:bottom w:val="single" w:sz="4" w:space="0" w:color="000000"/>
              <w:right w:val="single" w:sz="4" w:space="0" w:color="000000"/>
            </w:tcBorders>
            <w:vAlign w:val="center"/>
            <w:hideMark/>
          </w:tcPr>
          <w:p w14:paraId="356FDD51" w14:textId="77777777" w:rsidR="00932E71" w:rsidRPr="00932E71" w:rsidRDefault="00932E71" w:rsidP="00932E71">
            <w:pPr>
              <w:spacing w:after="0" w:line="240" w:lineRule="auto"/>
              <w:jc w:val="center"/>
              <w:rPr>
                <w:rFonts w:eastAsia="Times New Roman"/>
                <w:color w:val="000000"/>
                <w:lang w:eastAsia="en-GB"/>
              </w:rPr>
            </w:pPr>
          </w:p>
        </w:tc>
        <w:tc>
          <w:tcPr>
            <w:tcW w:w="799" w:type="dxa"/>
            <w:vMerge/>
            <w:tcBorders>
              <w:top w:val="nil"/>
              <w:left w:val="single" w:sz="4" w:space="0" w:color="000000"/>
              <w:bottom w:val="single" w:sz="4" w:space="0" w:color="000000"/>
              <w:right w:val="single" w:sz="4" w:space="0" w:color="000000"/>
            </w:tcBorders>
            <w:vAlign w:val="center"/>
            <w:hideMark/>
          </w:tcPr>
          <w:p w14:paraId="1F8A37E2" w14:textId="77777777" w:rsidR="00932E71" w:rsidRPr="00932E71" w:rsidRDefault="00932E71" w:rsidP="00932E71">
            <w:pPr>
              <w:spacing w:after="0" w:line="240" w:lineRule="auto"/>
              <w:jc w:val="center"/>
              <w:rPr>
                <w:rFonts w:eastAsia="Times New Roman"/>
                <w:color w:val="000000"/>
                <w:lang w:eastAsia="en-GB"/>
              </w:rPr>
            </w:pPr>
          </w:p>
        </w:tc>
        <w:tc>
          <w:tcPr>
            <w:tcW w:w="1731" w:type="dxa"/>
            <w:vMerge/>
            <w:tcBorders>
              <w:top w:val="nil"/>
              <w:left w:val="single" w:sz="4" w:space="0" w:color="000000"/>
              <w:bottom w:val="single" w:sz="4" w:space="0" w:color="000000"/>
              <w:right w:val="single" w:sz="4" w:space="0" w:color="000000"/>
            </w:tcBorders>
            <w:vAlign w:val="center"/>
            <w:hideMark/>
          </w:tcPr>
          <w:p w14:paraId="148E8935" w14:textId="77777777" w:rsidR="00932E71" w:rsidRPr="00932E71" w:rsidRDefault="00932E71" w:rsidP="00932E71">
            <w:pPr>
              <w:spacing w:after="0" w:line="240" w:lineRule="auto"/>
              <w:jc w:val="center"/>
              <w:rPr>
                <w:rFonts w:eastAsia="Times New Roman"/>
                <w:color w:val="000000"/>
                <w:lang w:eastAsia="en-GB"/>
              </w:rPr>
            </w:pPr>
          </w:p>
        </w:tc>
        <w:tc>
          <w:tcPr>
            <w:tcW w:w="36" w:type="dxa"/>
            <w:tcBorders>
              <w:top w:val="nil"/>
              <w:left w:val="nil"/>
              <w:bottom w:val="nil"/>
              <w:right w:val="nil"/>
            </w:tcBorders>
            <w:noWrap/>
            <w:vAlign w:val="bottom"/>
            <w:hideMark/>
          </w:tcPr>
          <w:p w14:paraId="3B328142" w14:textId="77777777" w:rsidR="00932E71" w:rsidRPr="00932E71" w:rsidRDefault="00932E71" w:rsidP="00932E71">
            <w:pPr>
              <w:spacing w:after="0" w:line="240" w:lineRule="auto"/>
              <w:jc w:val="center"/>
              <w:rPr>
                <w:rFonts w:eastAsia="Times New Roman"/>
                <w:color w:val="000000"/>
                <w:lang w:eastAsia="en-GB"/>
              </w:rPr>
            </w:pPr>
          </w:p>
        </w:tc>
      </w:tr>
      <w:tr w:rsidR="00932E71" w:rsidRPr="00932E71" w14:paraId="256DA89A" w14:textId="77777777" w:rsidTr="00932E71">
        <w:trPr>
          <w:trHeight w:val="360"/>
          <w:jc w:val="center"/>
        </w:trPr>
        <w:tc>
          <w:tcPr>
            <w:tcW w:w="1773" w:type="dxa"/>
            <w:vMerge/>
            <w:tcBorders>
              <w:top w:val="nil"/>
              <w:left w:val="single" w:sz="4" w:space="0" w:color="000000"/>
              <w:bottom w:val="single" w:sz="4" w:space="0" w:color="000000"/>
              <w:right w:val="single" w:sz="4" w:space="0" w:color="000000"/>
            </w:tcBorders>
            <w:vAlign w:val="center"/>
            <w:hideMark/>
          </w:tcPr>
          <w:p w14:paraId="545B815E" w14:textId="77777777" w:rsidR="00932E71" w:rsidRPr="00932E71" w:rsidRDefault="00932E71" w:rsidP="00932E71">
            <w:pPr>
              <w:spacing w:after="0" w:line="240" w:lineRule="auto"/>
              <w:jc w:val="center"/>
              <w:rPr>
                <w:rFonts w:eastAsia="Times New Roman"/>
                <w:color w:val="000000"/>
                <w:lang w:eastAsia="en-GB"/>
              </w:rPr>
            </w:pPr>
          </w:p>
        </w:tc>
        <w:tc>
          <w:tcPr>
            <w:tcW w:w="2077" w:type="dxa"/>
            <w:vMerge/>
            <w:tcBorders>
              <w:top w:val="nil"/>
              <w:left w:val="single" w:sz="4" w:space="0" w:color="000000"/>
              <w:bottom w:val="single" w:sz="4" w:space="0" w:color="000000"/>
              <w:right w:val="single" w:sz="4" w:space="0" w:color="000000"/>
            </w:tcBorders>
            <w:vAlign w:val="center"/>
            <w:hideMark/>
          </w:tcPr>
          <w:p w14:paraId="557EC3EC" w14:textId="77777777" w:rsidR="00932E71" w:rsidRPr="00932E71" w:rsidRDefault="00932E71" w:rsidP="00932E71">
            <w:pPr>
              <w:spacing w:after="0" w:line="240" w:lineRule="auto"/>
              <w:jc w:val="center"/>
              <w:rPr>
                <w:rFonts w:eastAsia="Times New Roman"/>
                <w:color w:val="000000"/>
                <w:lang w:eastAsia="en-GB"/>
              </w:rPr>
            </w:pPr>
          </w:p>
        </w:tc>
        <w:tc>
          <w:tcPr>
            <w:tcW w:w="799" w:type="dxa"/>
            <w:vMerge/>
            <w:tcBorders>
              <w:top w:val="nil"/>
              <w:left w:val="single" w:sz="4" w:space="0" w:color="000000"/>
              <w:bottom w:val="single" w:sz="4" w:space="0" w:color="000000"/>
              <w:right w:val="single" w:sz="4" w:space="0" w:color="000000"/>
            </w:tcBorders>
            <w:vAlign w:val="center"/>
            <w:hideMark/>
          </w:tcPr>
          <w:p w14:paraId="7B2F073A" w14:textId="77777777" w:rsidR="00932E71" w:rsidRPr="00932E71" w:rsidRDefault="00932E71" w:rsidP="00932E71">
            <w:pPr>
              <w:spacing w:after="0" w:line="240" w:lineRule="auto"/>
              <w:jc w:val="center"/>
              <w:rPr>
                <w:rFonts w:eastAsia="Times New Roman"/>
                <w:color w:val="000000"/>
                <w:lang w:eastAsia="en-GB"/>
              </w:rPr>
            </w:pPr>
          </w:p>
        </w:tc>
        <w:tc>
          <w:tcPr>
            <w:tcW w:w="1731" w:type="dxa"/>
            <w:vMerge/>
            <w:tcBorders>
              <w:top w:val="nil"/>
              <w:left w:val="single" w:sz="4" w:space="0" w:color="000000"/>
              <w:bottom w:val="single" w:sz="4" w:space="0" w:color="000000"/>
              <w:right w:val="single" w:sz="4" w:space="0" w:color="000000"/>
            </w:tcBorders>
            <w:vAlign w:val="center"/>
            <w:hideMark/>
          </w:tcPr>
          <w:p w14:paraId="56353BBF" w14:textId="77777777" w:rsidR="00932E71" w:rsidRPr="00932E71" w:rsidRDefault="00932E71" w:rsidP="00932E71">
            <w:pPr>
              <w:spacing w:after="0" w:line="240" w:lineRule="auto"/>
              <w:jc w:val="center"/>
              <w:rPr>
                <w:rFonts w:eastAsia="Times New Roman"/>
                <w:color w:val="000000"/>
                <w:lang w:eastAsia="en-GB"/>
              </w:rPr>
            </w:pPr>
          </w:p>
        </w:tc>
        <w:tc>
          <w:tcPr>
            <w:tcW w:w="36" w:type="dxa"/>
            <w:tcBorders>
              <w:top w:val="nil"/>
              <w:left w:val="nil"/>
              <w:bottom w:val="nil"/>
              <w:right w:val="nil"/>
            </w:tcBorders>
            <w:noWrap/>
            <w:vAlign w:val="bottom"/>
            <w:hideMark/>
          </w:tcPr>
          <w:p w14:paraId="5341FC02" w14:textId="77777777" w:rsidR="00932E71" w:rsidRPr="00932E71" w:rsidRDefault="00932E71" w:rsidP="00932E71">
            <w:pPr>
              <w:spacing w:after="0" w:line="240" w:lineRule="auto"/>
              <w:jc w:val="center"/>
              <w:rPr>
                <w:rFonts w:ascii="Times New Roman" w:eastAsia="Times New Roman" w:hAnsi="Times New Roman" w:cs="Times New Roman"/>
                <w:color w:val="auto"/>
                <w:sz w:val="20"/>
                <w:szCs w:val="20"/>
                <w:lang w:eastAsia="en-GB"/>
              </w:rPr>
            </w:pPr>
          </w:p>
        </w:tc>
      </w:tr>
    </w:tbl>
    <w:p w14:paraId="3C62FEBF" w14:textId="0923D9A0" w:rsidR="00BB7C1D" w:rsidRDefault="00932E71" w:rsidP="00932E71">
      <w:pPr>
        <w:pStyle w:val="Caption"/>
        <w:jc w:val="center"/>
      </w:pPr>
      <w:bookmarkStart w:id="112" w:name="_Toc219216424"/>
      <w:r>
        <w:t xml:space="preserve">Table </w:t>
      </w:r>
      <w:fldSimple w:instr=" SEQ Table \* ARABIC ">
        <w:r w:rsidR="004239CB">
          <w:rPr>
            <w:noProof/>
          </w:rPr>
          <w:t>11</w:t>
        </w:r>
      </w:fldSimple>
      <w:r>
        <w:t xml:space="preserve"> - Questionnaire Q5 Data Set</w:t>
      </w:r>
      <w:bookmarkEnd w:id="112"/>
    </w:p>
    <w:p w14:paraId="17386A5F" w14:textId="77777777" w:rsidR="00932E71" w:rsidRDefault="00932E71" w:rsidP="00932E71">
      <w:pPr>
        <w:spacing w:after="0"/>
        <w:ind w:left="-576" w:right="-576"/>
        <w:jc w:val="center"/>
      </w:pPr>
    </w:p>
    <w:tbl>
      <w:tblPr>
        <w:tblW w:w="5575" w:type="dxa"/>
        <w:jc w:val="center"/>
        <w:tblLook w:val="04A0" w:firstRow="1" w:lastRow="0" w:firstColumn="1" w:lastColumn="0" w:noHBand="0" w:noVBand="1"/>
      </w:tblPr>
      <w:tblGrid>
        <w:gridCol w:w="498"/>
        <w:gridCol w:w="3997"/>
        <w:gridCol w:w="1080"/>
      </w:tblGrid>
      <w:tr w:rsidR="00932E71" w:rsidRPr="00932E71" w14:paraId="1F49082A" w14:textId="77777777" w:rsidTr="00932E71">
        <w:trPr>
          <w:trHeight w:val="360"/>
          <w:jc w:val="center"/>
        </w:trPr>
        <w:tc>
          <w:tcPr>
            <w:tcW w:w="5575"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0189D1FA"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Current Use of Risk Assessment Tools.</w:t>
            </w:r>
          </w:p>
        </w:tc>
      </w:tr>
      <w:tr w:rsidR="00932E71" w:rsidRPr="00932E71" w14:paraId="272FE55D" w14:textId="77777777" w:rsidTr="00932E71">
        <w:trPr>
          <w:trHeight w:val="360"/>
          <w:jc w:val="center"/>
        </w:trPr>
        <w:tc>
          <w:tcPr>
            <w:tcW w:w="498" w:type="dxa"/>
            <w:vMerge w:val="restart"/>
            <w:tcBorders>
              <w:top w:val="nil"/>
              <w:left w:val="single" w:sz="4" w:space="0" w:color="000000"/>
              <w:bottom w:val="single" w:sz="4" w:space="0" w:color="000000"/>
              <w:right w:val="single" w:sz="4" w:space="0" w:color="000000"/>
            </w:tcBorders>
            <w:textDirection w:val="btLr"/>
            <w:vAlign w:val="center"/>
            <w:hideMark/>
          </w:tcPr>
          <w:p w14:paraId="4FCAEA68"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Which risk assessment tools do you use?</w:t>
            </w:r>
          </w:p>
        </w:tc>
        <w:tc>
          <w:tcPr>
            <w:tcW w:w="3997" w:type="dxa"/>
            <w:tcBorders>
              <w:top w:val="nil"/>
              <w:left w:val="nil"/>
              <w:bottom w:val="single" w:sz="4" w:space="0" w:color="000000"/>
              <w:right w:val="single" w:sz="4" w:space="0" w:color="000000"/>
            </w:tcBorders>
            <w:shd w:val="clear" w:color="A6C9EC" w:fill="A6C9EC"/>
            <w:noWrap/>
            <w:vAlign w:val="bottom"/>
            <w:hideMark/>
          </w:tcPr>
          <w:p w14:paraId="368F7122"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Risk Assessment Tool</w:t>
            </w:r>
          </w:p>
        </w:tc>
        <w:tc>
          <w:tcPr>
            <w:tcW w:w="1080" w:type="dxa"/>
            <w:tcBorders>
              <w:top w:val="nil"/>
              <w:left w:val="nil"/>
              <w:bottom w:val="single" w:sz="4" w:space="0" w:color="000000"/>
              <w:right w:val="single" w:sz="4" w:space="0" w:color="000000"/>
            </w:tcBorders>
            <w:shd w:val="clear" w:color="A6C9EC" w:fill="A6C9EC"/>
            <w:noWrap/>
            <w:vAlign w:val="bottom"/>
            <w:hideMark/>
          </w:tcPr>
          <w:p w14:paraId="37F40350"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No</w:t>
            </w:r>
          </w:p>
        </w:tc>
      </w:tr>
      <w:tr w:rsidR="00932E71" w:rsidRPr="00932E71" w14:paraId="4BF07118"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737ED755"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6417BAB5"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Qualitative risk matrices.</w:t>
            </w:r>
          </w:p>
        </w:tc>
        <w:tc>
          <w:tcPr>
            <w:tcW w:w="1080" w:type="dxa"/>
            <w:tcBorders>
              <w:top w:val="nil"/>
              <w:left w:val="nil"/>
              <w:bottom w:val="single" w:sz="4" w:space="0" w:color="000000"/>
              <w:right w:val="single" w:sz="4" w:space="0" w:color="000000"/>
            </w:tcBorders>
            <w:noWrap/>
            <w:vAlign w:val="bottom"/>
            <w:hideMark/>
          </w:tcPr>
          <w:p w14:paraId="7D62A211"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8</w:t>
            </w:r>
          </w:p>
        </w:tc>
      </w:tr>
      <w:tr w:rsidR="00932E71" w:rsidRPr="00932E71" w14:paraId="27D9D910"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622F7691"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51E47224"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Monte Carlo Simulations</w:t>
            </w:r>
          </w:p>
        </w:tc>
        <w:tc>
          <w:tcPr>
            <w:tcW w:w="1080" w:type="dxa"/>
            <w:tcBorders>
              <w:top w:val="nil"/>
              <w:left w:val="nil"/>
              <w:bottom w:val="single" w:sz="4" w:space="0" w:color="000000"/>
              <w:right w:val="single" w:sz="4" w:space="0" w:color="000000"/>
            </w:tcBorders>
            <w:noWrap/>
            <w:vAlign w:val="bottom"/>
            <w:hideMark/>
          </w:tcPr>
          <w:p w14:paraId="43FBA446"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2</w:t>
            </w:r>
          </w:p>
        </w:tc>
      </w:tr>
      <w:tr w:rsidR="00932E71" w:rsidRPr="00932E71" w14:paraId="0F5F761C"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6B690729"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3744B39F"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Failure Mode and Effects Analysis (FMEA)</w:t>
            </w:r>
          </w:p>
        </w:tc>
        <w:tc>
          <w:tcPr>
            <w:tcW w:w="1080" w:type="dxa"/>
            <w:tcBorders>
              <w:top w:val="nil"/>
              <w:left w:val="nil"/>
              <w:bottom w:val="single" w:sz="4" w:space="0" w:color="000000"/>
              <w:right w:val="single" w:sz="4" w:space="0" w:color="000000"/>
            </w:tcBorders>
            <w:noWrap/>
            <w:vAlign w:val="bottom"/>
            <w:hideMark/>
          </w:tcPr>
          <w:p w14:paraId="61AB9AD3"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17</w:t>
            </w:r>
          </w:p>
        </w:tc>
      </w:tr>
      <w:tr w:rsidR="00932E71" w:rsidRPr="00932E71" w14:paraId="733557C2"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5C42C166"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08024CDC"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Risk Register</w:t>
            </w:r>
          </w:p>
        </w:tc>
        <w:tc>
          <w:tcPr>
            <w:tcW w:w="1080" w:type="dxa"/>
            <w:tcBorders>
              <w:top w:val="nil"/>
              <w:left w:val="nil"/>
              <w:bottom w:val="single" w:sz="4" w:space="0" w:color="000000"/>
              <w:right w:val="single" w:sz="4" w:space="0" w:color="000000"/>
            </w:tcBorders>
            <w:noWrap/>
            <w:vAlign w:val="bottom"/>
            <w:hideMark/>
          </w:tcPr>
          <w:p w14:paraId="5B4B4F7D"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18</w:t>
            </w:r>
          </w:p>
        </w:tc>
      </w:tr>
      <w:tr w:rsidR="00932E71" w:rsidRPr="00932E71" w14:paraId="113A9A39"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60749626"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nil"/>
              <w:right w:val="nil"/>
            </w:tcBorders>
            <w:noWrap/>
            <w:vAlign w:val="bottom"/>
            <w:hideMark/>
          </w:tcPr>
          <w:p w14:paraId="73B12690"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Functional Analysis (HASOP)</w:t>
            </w:r>
          </w:p>
        </w:tc>
        <w:tc>
          <w:tcPr>
            <w:tcW w:w="1080" w:type="dxa"/>
            <w:tcBorders>
              <w:top w:val="nil"/>
              <w:left w:val="single" w:sz="4" w:space="0" w:color="000000"/>
              <w:bottom w:val="single" w:sz="4" w:space="0" w:color="000000"/>
              <w:right w:val="single" w:sz="4" w:space="0" w:color="000000"/>
            </w:tcBorders>
            <w:noWrap/>
            <w:vAlign w:val="bottom"/>
            <w:hideMark/>
          </w:tcPr>
          <w:p w14:paraId="6E215EB1"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17</w:t>
            </w:r>
          </w:p>
        </w:tc>
      </w:tr>
      <w:tr w:rsidR="00932E71" w:rsidRPr="00932E71" w14:paraId="6742152E"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103B422B"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single" w:sz="4" w:space="0" w:color="000000"/>
              <w:left w:val="nil"/>
              <w:bottom w:val="single" w:sz="4" w:space="0" w:color="000000"/>
              <w:right w:val="single" w:sz="4" w:space="0" w:color="000000"/>
            </w:tcBorders>
            <w:vAlign w:val="bottom"/>
            <w:hideMark/>
          </w:tcPr>
          <w:p w14:paraId="4C662DB5"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Supporting Methods (Brainstorming)</w:t>
            </w:r>
          </w:p>
        </w:tc>
        <w:tc>
          <w:tcPr>
            <w:tcW w:w="1080" w:type="dxa"/>
            <w:tcBorders>
              <w:top w:val="nil"/>
              <w:left w:val="nil"/>
              <w:bottom w:val="single" w:sz="4" w:space="0" w:color="000000"/>
              <w:right w:val="single" w:sz="4" w:space="0" w:color="000000"/>
            </w:tcBorders>
            <w:noWrap/>
            <w:vAlign w:val="bottom"/>
            <w:hideMark/>
          </w:tcPr>
          <w:p w14:paraId="06F45A8A"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11</w:t>
            </w:r>
          </w:p>
        </w:tc>
      </w:tr>
      <w:tr w:rsidR="00932E71" w:rsidRPr="00932E71" w14:paraId="6FE17F8B"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6D3376A0"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6A5ACE0F"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Control Assessments (Bow Tie Analysis)</w:t>
            </w:r>
          </w:p>
        </w:tc>
        <w:tc>
          <w:tcPr>
            <w:tcW w:w="1080" w:type="dxa"/>
            <w:tcBorders>
              <w:top w:val="nil"/>
              <w:left w:val="nil"/>
              <w:bottom w:val="single" w:sz="4" w:space="0" w:color="000000"/>
              <w:right w:val="single" w:sz="4" w:space="0" w:color="000000"/>
            </w:tcBorders>
            <w:noWrap/>
            <w:vAlign w:val="bottom"/>
            <w:hideMark/>
          </w:tcPr>
          <w:p w14:paraId="38A0120E"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9</w:t>
            </w:r>
          </w:p>
        </w:tc>
      </w:tr>
      <w:tr w:rsidR="00932E71" w:rsidRPr="00932E71" w14:paraId="531282FE"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38E6FD3E"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108E1635"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Look Up Methods (Check Lists)</w:t>
            </w:r>
          </w:p>
        </w:tc>
        <w:tc>
          <w:tcPr>
            <w:tcW w:w="1080" w:type="dxa"/>
            <w:tcBorders>
              <w:top w:val="nil"/>
              <w:left w:val="nil"/>
              <w:bottom w:val="single" w:sz="4" w:space="0" w:color="000000"/>
              <w:right w:val="single" w:sz="4" w:space="0" w:color="000000"/>
            </w:tcBorders>
            <w:noWrap/>
            <w:vAlign w:val="bottom"/>
            <w:hideMark/>
          </w:tcPr>
          <w:p w14:paraId="35F6AB33"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11</w:t>
            </w:r>
          </w:p>
        </w:tc>
      </w:tr>
      <w:tr w:rsidR="00932E71" w:rsidRPr="00932E71" w14:paraId="7D6F788D"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08381E59"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6BF0E82A"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Custom Built Tools</w:t>
            </w:r>
          </w:p>
        </w:tc>
        <w:tc>
          <w:tcPr>
            <w:tcW w:w="1080" w:type="dxa"/>
            <w:tcBorders>
              <w:top w:val="nil"/>
              <w:left w:val="nil"/>
              <w:bottom w:val="single" w:sz="4" w:space="0" w:color="000000"/>
              <w:right w:val="single" w:sz="4" w:space="0" w:color="000000"/>
            </w:tcBorders>
            <w:noWrap/>
            <w:vAlign w:val="bottom"/>
            <w:hideMark/>
          </w:tcPr>
          <w:p w14:paraId="14077711"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4</w:t>
            </w:r>
          </w:p>
        </w:tc>
      </w:tr>
      <w:tr w:rsidR="00932E71" w:rsidRPr="00932E71" w14:paraId="5605E77C"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3870ADF6"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55CE9035"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Cost Benefit Analysis (CBA)</w:t>
            </w:r>
          </w:p>
        </w:tc>
        <w:tc>
          <w:tcPr>
            <w:tcW w:w="1080" w:type="dxa"/>
            <w:tcBorders>
              <w:top w:val="nil"/>
              <w:left w:val="nil"/>
              <w:bottom w:val="single" w:sz="4" w:space="0" w:color="000000"/>
              <w:right w:val="single" w:sz="4" w:space="0" w:color="000000"/>
            </w:tcBorders>
            <w:noWrap/>
            <w:vAlign w:val="bottom"/>
            <w:hideMark/>
          </w:tcPr>
          <w:p w14:paraId="707F12EC"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14</w:t>
            </w:r>
          </w:p>
        </w:tc>
      </w:tr>
      <w:tr w:rsidR="00932E71" w:rsidRPr="00932E71" w14:paraId="0CFF7DA1"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3B8E74B6"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63203CD6"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Ishikawa (Fishbone) Diagram</w:t>
            </w:r>
          </w:p>
        </w:tc>
        <w:tc>
          <w:tcPr>
            <w:tcW w:w="1080" w:type="dxa"/>
            <w:tcBorders>
              <w:top w:val="nil"/>
              <w:left w:val="nil"/>
              <w:bottom w:val="single" w:sz="4" w:space="0" w:color="000000"/>
              <w:right w:val="single" w:sz="4" w:space="0" w:color="000000"/>
            </w:tcBorders>
            <w:noWrap/>
            <w:vAlign w:val="bottom"/>
            <w:hideMark/>
          </w:tcPr>
          <w:p w14:paraId="66CACBF6"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15</w:t>
            </w:r>
          </w:p>
        </w:tc>
      </w:tr>
      <w:tr w:rsidR="00932E71" w:rsidRPr="00932E71" w14:paraId="6EC66C7F" w14:textId="77777777" w:rsidTr="00932E71">
        <w:trPr>
          <w:trHeight w:val="360"/>
          <w:jc w:val="center"/>
        </w:trPr>
        <w:tc>
          <w:tcPr>
            <w:tcW w:w="498" w:type="dxa"/>
            <w:vMerge/>
            <w:tcBorders>
              <w:top w:val="nil"/>
              <w:left w:val="single" w:sz="4" w:space="0" w:color="000000"/>
              <w:bottom w:val="single" w:sz="4" w:space="0" w:color="000000"/>
              <w:right w:val="single" w:sz="4" w:space="0" w:color="000000"/>
            </w:tcBorders>
            <w:vAlign w:val="center"/>
            <w:hideMark/>
          </w:tcPr>
          <w:p w14:paraId="4083341F"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047370AB"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None</w:t>
            </w:r>
          </w:p>
        </w:tc>
        <w:tc>
          <w:tcPr>
            <w:tcW w:w="1080" w:type="dxa"/>
            <w:tcBorders>
              <w:top w:val="nil"/>
              <w:left w:val="nil"/>
              <w:bottom w:val="single" w:sz="4" w:space="0" w:color="000000"/>
              <w:right w:val="single" w:sz="4" w:space="0" w:color="000000"/>
            </w:tcBorders>
            <w:noWrap/>
            <w:vAlign w:val="bottom"/>
            <w:hideMark/>
          </w:tcPr>
          <w:p w14:paraId="5BB5F6B5"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0</w:t>
            </w:r>
          </w:p>
        </w:tc>
      </w:tr>
      <w:tr w:rsidR="00932E71" w:rsidRPr="00932E71" w14:paraId="04111BA3" w14:textId="77777777" w:rsidTr="00932E71">
        <w:trPr>
          <w:trHeight w:val="300"/>
          <w:jc w:val="center"/>
        </w:trPr>
        <w:tc>
          <w:tcPr>
            <w:tcW w:w="498" w:type="dxa"/>
            <w:vMerge/>
            <w:tcBorders>
              <w:top w:val="nil"/>
              <w:left w:val="single" w:sz="4" w:space="0" w:color="000000"/>
              <w:bottom w:val="single" w:sz="4" w:space="0" w:color="000000"/>
              <w:right w:val="single" w:sz="4" w:space="0" w:color="000000"/>
            </w:tcBorders>
            <w:vAlign w:val="center"/>
            <w:hideMark/>
          </w:tcPr>
          <w:p w14:paraId="4D3D2FCF"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3F5FF2CA"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Other - Management of Change Process</w:t>
            </w:r>
          </w:p>
        </w:tc>
        <w:tc>
          <w:tcPr>
            <w:tcW w:w="1080" w:type="dxa"/>
            <w:tcBorders>
              <w:top w:val="nil"/>
              <w:left w:val="nil"/>
              <w:bottom w:val="single" w:sz="4" w:space="0" w:color="000000"/>
              <w:right w:val="single" w:sz="4" w:space="0" w:color="000000"/>
            </w:tcBorders>
            <w:noWrap/>
            <w:vAlign w:val="bottom"/>
            <w:hideMark/>
          </w:tcPr>
          <w:p w14:paraId="5EF1FA03"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4</w:t>
            </w:r>
          </w:p>
        </w:tc>
      </w:tr>
      <w:tr w:rsidR="00932E71" w:rsidRPr="00932E71" w14:paraId="56DB4CC4" w14:textId="77777777" w:rsidTr="00932E71">
        <w:trPr>
          <w:trHeight w:val="300"/>
          <w:jc w:val="center"/>
        </w:trPr>
        <w:tc>
          <w:tcPr>
            <w:tcW w:w="498" w:type="dxa"/>
            <w:vMerge/>
            <w:tcBorders>
              <w:top w:val="nil"/>
              <w:left w:val="single" w:sz="4" w:space="0" w:color="000000"/>
              <w:bottom w:val="single" w:sz="4" w:space="0" w:color="000000"/>
              <w:right w:val="single" w:sz="4" w:space="0" w:color="000000"/>
            </w:tcBorders>
            <w:vAlign w:val="center"/>
            <w:hideMark/>
          </w:tcPr>
          <w:p w14:paraId="1F5DE7D3" w14:textId="77777777" w:rsidR="00932E71" w:rsidRPr="00932E71" w:rsidRDefault="00932E71" w:rsidP="00932E71">
            <w:pPr>
              <w:spacing w:after="0" w:line="240" w:lineRule="auto"/>
              <w:jc w:val="center"/>
              <w:rPr>
                <w:rFonts w:eastAsia="Times New Roman"/>
                <w:color w:val="000000"/>
                <w:lang w:eastAsia="en-GB"/>
              </w:rPr>
            </w:pPr>
          </w:p>
        </w:tc>
        <w:tc>
          <w:tcPr>
            <w:tcW w:w="3997" w:type="dxa"/>
            <w:tcBorders>
              <w:top w:val="nil"/>
              <w:left w:val="nil"/>
              <w:bottom w:val="single" w:sz="4" w:space="0" w:color="000000"/>
              <w:right w:val="single" w:sz="4" w:space="0" w:color="000000"/>
            </w:tcBorders>
            <w:noWrap/>
            <w:vAlign w:val="bottom"/>
            <w:hideMark/>
          </w:tcPr>
          <w:p w14:paraId="7093588D"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Other - 4T's Approach</w:t>
            </w:r>
          </w:p>
        </w:tc>
        <w:tc>
          <w:tcPr>
            <w:tcW w:w="1080" w:type="dxa"/>
            <w:tcBorders>
              <w:top w:val="nil"/>
              <w:left w:val="nil"/>
              <w:bottom w:val="single" w:sz="4" w:space="0" w:color="000000"/>
              <w:right w:val="single" w:sz="4" w:space="0" w:color="000000"/>
            </w:tcBorders>
            <w:noWrap/>
            <w:vAlign w:val="bottom"/>
            <w:hideMark/>
          </w:tcPr>
          <w:p w14:paraId="5FB8FD53"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1</w:t>
            </w:r>
          </w:p>
        </w:tc>
      </w:tr>
    </w:tbl>
    <w:p w14:paraId="69C976AD" w14:textId="01B19BE5" w:rsidR="00932E71" w:rsidRDefault="00932E71" w:rsidP="00932E71">
      <w:pPr>
        <w:pStyle w:val="Caption"/>
        <w:jc w:val="center"/>
      </w:pPr>
      <w:bookmarkStart w:id="113" w:name="_Toc219216425"/>
      <w:r>
        <w:t xml:space="preserve">Table </w:t>
      </w:r>
      <w:fldSimple w:instr=" SEQ Table \* ARABIC ">
        <w:r w:rsidR="004239CB">
          <w:rPr>
            <w:noProof/>
          </w:rPr>
          <w:t>12</w:t>
        </w:r>
      </w:fldSimple>
      <w:r>
        <w:t xml:space="preserve"> - </w:t>
      </w:r>
      <w:r w:rsidRPr="008538F5">
        <w:t>Questionnaire Q</w:t>
      </w:r>
      <w:r>
        <w:t xml:space="preserve">6 </w:t>
      </w:r>
      <w:r w:rsidRPr="008538F5">
        <w:t>Data Set</w:t>
      </w:r>
      <w:bookmarkEnd w:id="113"/>
    </w:p>
    <w:p w14:paraId="11099182" w14:textId="77777777" w:rsidR="00932E71" w:rsidRDefault="00932E71" w:rsidP="00932E71"/>
    <w:tbl>
      <w:tblPr>
        <w:tblW w:w="6840" w:type="dxa"/>
        <w:jc w:val="center"/>
        <w:tblLook w:val="04A0" w:firstRow="1" w:lastRow="0" w:firstColumn="1" w:lastColumn="0" w:noHBand="0" w:noVBand="1"/>
      </w:tblPr>
      <w:tblGrid>
        <w:gridCol w:w="1246"/>
        <w:gridCol w:w="5122"/>
        <w:gridCol w:w="472"/>
      </w:tblGrid>
      <w:tr w:rsidR="00932E71" w:rsidRPr="00932E71" w14:paraId="6A51A959" w14:textId="77777777" w:rsidTr="00932E71">
        <w:trPr>
          <w:trHeight w:val="360"/>
          <w:jc w:val="center"/>
        </w:trPr>
        <w:tc>
          <w:tcPr>
            <w:tcW w:w="6840"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70C2555C"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Current Use of Risk Assessment Tools.</w:t>
            </w:r>
          </w:p>
        </w:tc>
      </w:tr>
      <w:tr w:rsidR="00932E71" w:rsidRPr="00932E71" w14:paraId="02914E76" w14:textId="77777777" w:rsidTr="00932E71">
        <w:trPr>
          <w:trHeight w:val="360"/>
          <w:jc w:val="center"/>
        </w:trPr>
        <w:tc>
          <w:tcPr>
            <w:tcW w:w="1443" w:type="dxa"/>
            <w:vMerge w:val="restart"/>
            <w:tcBorders>
              <w:top w:val="nil"/>
              <w:left w:val="single" w:sz="4" w:space="0" w:color="000000"/>
              <w:bottom w:val="single" w:sz="4" w:space="0" w:color="000000"/>
              <w:right w:val="single" w:sz="4" w:space="0" w:color="000000"/>
            </w:tcBorders>
            <w:textDirection w:val="btLr"/>
            <w:vAlign w:val="center"/>
            <w:hideMark/>
          </w:tcPr>
          <w:p w14:paraId="59DAB025"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How frequently do you conduct formal risk assessments in your projects?</w:t>
            </w:r>
          </w:p>
        </w:tc>
        <w:tc>
          <w:tcPr>
            <w:tcW w:w="5122" w:type="dxa"/>
            <w:tcBorders>
              <w:top w:val="nil"/>
              <w:left w:val="nil"/>
              <w:bottom w:val="single" w:sz="4" w:space="0" w:color="000000"/>
              <w:right w:val="single" w:sz="4" w:space="0" w:color="000000"/>
            </w:tcBorders>
            <w:shd w:val="clear" w:color="A6C9EC" w:fill="A6C9EC"/>
            <w:noWrap/>
            <w:vAlign w:val="bottom"/>
            <w:hideMark/>
          </w:tcPr>
          <w:p w14:paraId="35A45C1A"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Frequency</w:t>
            </w:r>
          </w:p>
        </w:tc>
        <w:tc>
          <w:tcPr>
            <w:tcW w:w="275" w:type="dxa"/>
            <w:tcBorders>
              <w:top w:val="nil"/>
              <w:left w:val="nil"/>
              <w:bottom w:val="single" w:sz="4" w:space="0" w:color="000000"/>
              <w:right w:val="single" w:sz="4" w:space="0" w:color="000000"/>
            </w:tcBorders>
            <w:shd w:val="clear" w:color="A6C9EC" w:fill="A6C9EC"/>
            <w:noWrap/>
            <w:vAlign w:val="bottom"/>
            <w:hideMark/>
          </w:tcPr>
          <w:p w14:paraId="7D6E110E"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No</w:t>
            </w:r>
          </w:p>
        </w:tc>
      </w:tr>
      <w:tr w:rsidR="00932E71" w:rsidRPr="00932E71" w14:paraId="6064A2A1" w14:textId="77777777" w:rsidTr="00932E71">
        <w:trPr>
          <w:trHeight w:val="360"/>
          <w:jc w:val="center"/>
        </w:trPr>
        <w:tc>
          <w:tcPr>
            <w:tcW w:w="1443" w:type="dxa"/>
            <w:vMerge/>
            <w:tcBorders>
              <w:top w:val="nil"/>
              <w:left w:val="single" w:sz="4" w:space="0" w:color="000000"/>
              <w:bottom w:val="single" w:sz="4" w:space="0" w:color="000000"/>
              <w:right w:val="single" w:sz="4" w:space="0" w:color="000000"/>
            </w:tcBorders>
            <w:vAlign w:val="center"/>
            <w:hideMark/>
          </w:tcPr>
          <w:p w14:paraId="1B7BA876" w14:textId="77777777" w:rsidR="00932E71" w:rsidRPr="00932E71" w:rsidRDefault="00932E71" w:rsidP="00932E71">
            <w:pPr>
              <w:spacing w:after="0" w:line="240" w:lineRule="auto"/>
              <w:rPr>
                <w:rFonts w:eastAsia="Times New Roman"/>
                <w:color w:val="000000"/>
                <w:lang w:eastAsia="en-GB"/>
              </w:rPr>
            </w:pPr>
          </w:p>
        </w:tc>
        <w:tc>
          <w:tcPr>
            <w:tcW w:w="5122" w:type="dxa"/>
            <w:tcBorders>
              <w:top w:val="nil"/>
              <w:left w:val="nil"/>
              <w:bottom w:val="single" w:sz="4" w:space="0" w:color="000000"/>
              <w:right w:val="single" w:sz="4" w:space="0" w:color="000000"/>
            </w:tcBorders>
            <w:noWrap/>
            <w:vAlign w:val="bottom"/>
            <w:hideMark/>
          </w:tcPr>
          <w:p w14:paraId="71FA750F"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Never</w:t>
            </w:r>
          </w:p>
        </w:tc>
        <w:tc>
          <w:tcPr>
            <w:tcW w:w="275" w:type="dxa"/>
            <w:tcBorders>
              <w:top w:val="nil"/>
              <w:left w:val="nil"/>
              <w:bottom w:val="single" w:sz="4" w:space="0" w:color="000000"/>
              <w:right w:val="single" w:sz="4" w:space="0" w:color="000000"/>
            </w:tcBorders>
            <w:noWrap/>
            <w:vAlign w:val="bottom"/>
            <w:hideMark/>
          </w:tcPr>
          <w:p w14:paraId="3069A827"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0</w:t>
            </w:r>
          </w:p>
        </w:tc>
      </w:tr>
      <w:tr w:rsidR="00932E71" w:rsidRPr="00932E71" w14:paraId="36A07D34" w14:textId="77777777" w:rsidTr="00932E71">
        <w:trPr>
          <w:trHeight w:val="360"/>
          <w:jc w:val="center"/>
        </w:trPr>
        <w:tc>
          <w:tcPr>
            <w:tcW w:w="1443" w:type="dxa"/>
            <w:vMerge/>
            <w:tcBorders>
              <w:top w:val="nil"/>
              <w:left w:val="single" w:sz="4" w:space="0" w:color="000000"/>
              <w:bottom w:val="single" w:sz="4" w:space="0" w:color="000000"/>
              <w:right w:val="single" w:sz="4" w:space="0" w:color="000000"/>
            </w:tcBorders>
            <w:vAlign w:val="center"/>
            <w:hideMark/>
          </w:tcPr>
          <w:p w14:paraId="0FBFD8C0" w14:textId="77777777" w:rsidR="00932E71" w:rsidRPr="00932E71" w:rsidRDefault="00932E71" w:rsidP="00932E71">
            <w:pPr>
              <w:spacing w:after="0" w:line="240" w:lineRule="auto"/>
              <w:rPr>
                <w:rFonts w:eastAsia="Times New Roman"/>
                <w:color w:val="000000"/>
                <w:lang w:eastAsia="en-GB"/>
              </w:rPr>
            </w:pPr>
          </w:p>
        </w:tc>
        <w:tc>
          <w:tcPr>
            <w:tcW w:w="5122" w:type="dxa"/>
            <w:tcBorders>
              <w:top w:val="nil"/>
              <w:left w:val="nil"/>
              <w:bottom w:val="single" w:sz="4" w:space="0" w:color="000000"/>
              <w:right w:val="single" w:sz="4" w:space="0" w:color="000000"/>
            </w:tcBorders>
            <w:noWrap/>
            <w:vAlign w:val="bottom"/>
            <w:hideMark/>
          </w:tcPr>
          <w:p w14:paraId="4DEB048F"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Only at Project Initiation Stage</w:t>
            </w:r>
          </w:p>
        </w:tc>
        <w:tc>
          <w:tcPr>
            <w:tcW w:w="275" w:type="dxa"/>
            <w:tcBorders>
              <w:top w:val="nil"/>
              <w:left w:val="nil"/>
              <w:bottom w:val="single" w:sz="4" w:space="0" w:color="000000"/>
              <w:right w:val="single" w:sz="4" w:space="0" w:color="000000"/>
            </w:tcBorders>
            <w:noWrap/>
            <w:vAlign w:val="bottom"/>
            <w:hideMark/>
          </w:tcPr>
          <w:p w14:paraId="4C1AAE60"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14</w:t>
            </w:r>
          </w:p>
        </w:tc>
      </w:tr>
      <w:tr w:rsidR="00932E71" w:rsidRPr="00932E71" w14:paraId="41CF5EC3" w14:textId="77777777" w:rsidTr="00932E71">
        <w:trPr>
          <w:trHeight w:val="360"/>
          <w:jc w:val="center"/>
        </w:trPr>
        <w:tc>
          <w:tcPr>
            <w:tcW w:w="1443" w:type="dxa"/>
            <w:vMerge/>
            <w:tcBorders>
              <w:top w:val="nil"/>
              <w:left w:val="single" w:sz="4" w:space="0" w:color="000000"/>
              <w:bottom w:val="single" w:sz="4" w:space="0" w:color="000000"/>
              <w:right w:val="single" w:sz="4" w:space="0" w:color="000000"/>
            </w:tcBorders>
            <w:vAlign w:val="center"/>
            <w:hideMark/>
          </w:tcPr>
          <w:p w14:paraId="45F0160C" w14:textId="77777777" w:rsidR="00932E71" w:rsidRPr="00932E71" w:rsidRDefault="00932E71" w:rsidP="00932E71">
            <w:pPr>
              <w:spacing w:after="0" w:line="240" w:lineRule="auto"/>
              <w:rPr>
                <w:rFonts w:eastAsia="Times New Roman"/>
                <w:color w:val="000000"/>
                <w:lang w:eastAsia="en-GB"/>
              </w:rPr>
            </w:pPr>
          </w:p>
        </w:tc>
        <w:tc>
          <w:tcPr>
            <w:tcW w:w="5122" w:type="dxa"/>
            <w:tcBorders>
              <w:top w:val="nil"/>
              <w:left w:val="nil"/>
              <w:bottom w:val="single" w:sz="4" w:space="0" w:color="000000"/>
              <w:right w:val="single" w:sz="4" w:space="0" w:color="000000"/>
            </w:tcBorders>
            <w:noWrap/>
            <w:vAlign w:val="bottom"/>
            <w:hideMark/>
          </w:tcPr>
          <w:p w14:paraId="268AA241"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Occasionally (As risks arise)</w:t>
            </w:r>
          </w:p>
        </w:tc>
        <w:tc>
          <w:tcPr>
            <w:tcW w:w="275" w:type="dxa"/>
            <w:tcBorders>
              <w:top w:val="nil"/>
              <w:left w:val="nil"/>
              <w:bottom w:val="single" w:sz="4" w:space="0" w:color="000000"/>
              <w:right w:val="single" w:sz="4" w:space="0" w:color="000000"/>
            </w:tcBorders>
            <w:noWrap/>
            <w:vAlign w:val="bottom"/>
            <w:hideMark/>
          </w:tcPr>
          <w:p w14:paraId="2F7F4D90"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11</w:t>
            </w:r>
          </w:p>
        </w:tc>
      </w:tr>
      <w:tr w:rsidR="00932E71" w:rsidRPr="00932E71" w14:paraId="0729FD37" w14:textId="77777777" w:rsidTr="00932E71">
        <w:trPr>
          <w:trHeight w:val="360"/>
          <w:jc w:val="center"/>
        </w:trPr>
        <w:tc>
          <w:tcPr>
            <w:tcW w:w="1443" w:type="dxa"/>
            <w:vMerge/>
            <w:tcBorders>
              <w:top w:val="nil"/>
              <w:left w:val="single" w:sz="4" w:space="0" w:color="000000"/>
              <w:bottom w:val="single" w:sz="4" w:space="0" w:color="000000"/>
              <w:right w:val="single" w:sz="4" w:space="0" w:color="000000"/>
            </w:tcBorders>
            <w:vAlign w:val="center"/>
            <w:hideMark/>
          </w:tcPr>
          <w:p w14:paraId="4B732353" w14:textId="77777777" w:rsidR="00932E71" w:rsidRPr="00932E71" w:rsidRDefault="00932E71" w:rsidP="00932E71">
            <w:pPr>
              <w:spacing w:after="0" w:line="240" w:lineRule="auto"/>
              <w:rPr>
                <w:rFonts w:eastAsia="Times New Roman"/>
                <w:color w:val="000000"/>
                <w:lang w:eastAsia="en-GB"/>
              </w:rPr>
            </w:pPr>
          </w:p>
        </w:tc>
        <w:tc>
          <w:tcPr>
            <w:tcW w:w="5122" w:type="dxa"/>
            <w:tcBorders>
              <w:top w:val="nil"/>
              <w:left w:val="nil"/>
              <w:bottom w:val="single" w:sz="4" w:space="0" w:color="000000"/>
              <w:right w:val="single" w:sz="4" w:space="0" w:color="000000"/>
            </w:tcBorders>
            <w:noWrap/>
            <w:vAlign w:val="bottom"/>
            <w:hideMark/>
          </w:tcPr>
          <w:p w14:paraId="1B1F01BE"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Regularly (Predefined intervals)</w:t>
            </w:r>
          </w:p>
        </w:tc>
        <w:tc>
          <w:tcPr>
            <w:tcW w:w="275" w:type="dxa"/>
            <w:tcBorders>
              <w:top w:val="nil"/>
              <w:left w:val="nil"/>
              <w:bottom w:val="single" w:sz="4" w:space="0" w:color="000000"/>
              <w:right w:val="single" w:sz="4" w:space="0" w:color="000000"/>
            </w:tcBorders>
            <w:noWrap/>
            <w:vAlign w:val="bottom"/>
            <w:hideMark/>
          </w:tcPr>
          <w:p w14:paraId="0F92A0A8"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12</w:t>
            </w:r>
          </w:p>
        </w:tc>
      </w:tr>
      <w:tr w:rsidR="00932E71" w:rsidRPr="00932E71" w14:paraId="3D70E28A" w14:textId="77777777" w:rsidTr="00932E71">
        <w:trPr>
          <w:trHeight w:val="300"/>
          <w:jc w:val="center"/>
        </w:trPr>
        <w:tc>
          <w:tcPr>
            <w:tcW w:w="1443" w:type="dxa"/>
            <w:vMerge/>
            <w:tcBorders>
              <w:top w:val="nil"/>
              <w:left w:val="single" w:sz="4" w:space="0" w:color="000000"/>
              <w:bottom w:val="single" w:sz="4" w:space="0" w:color="000000"/>
              <w:right w:val="single" w:sz="4" w:space="0" w:color="000000"/>
            </w:tcBorders>
            <w:vAlign w:val="center"/>
            <w:hideMark/>
          </w:tcPr>
          <w:p w14:paraId="70E3D296" w14:textId="77777777" w:rsidR="00932E71" w:rsidRPr="00932E71" w:rsidRDefault="00932E71" w:rsidP="00932E71">
            <w:pPr>
              <w:spacing w:after="0" w:line="240" w:lineRule="auto"/>
              <w:rPr>
                <w:rFonts w:eastAsia="Times New Roman"/>
                <w:color w:val="000000"/>
                <w:lang w:eastAsia="en-GB"/>
              </w:rPr>
            </w:pPr>
          </w:p>
        </w:tc>
        <w:tc>
          <w:tcPr>
            <w:tcW w:w="5122" w:type="dxa"/>
            <w:tcBorders>
              <w:top w:val="nil"/>
              <w:left w:val="nil"/>
              <w:bottom w:val="single" w:sz="4" w:space="0" w:color="000000"/>
              <w:right w:val="single" w:sz="4" w:space="0" w:color="000000"/>
            </w:tcBorders>
            <w:noWrap/>
            <w:vAlign w:val="bottom"/>
            <w:hideMark/>
          </w:tcPr>
          <w:p w14:paraId="6F12B9C1" w14:textId="1807343F"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Continuously (Throughout the</w:t>
            </w:r>
            <w:r>
              <w:rPr>
                <w:rFonts w:eastAsia="Times New Roman"/>
                <w:color w:val="000000"/>
                <w:lang w:eastAsia="en-GB"/>
              </w:rPr>
              <w:t xml:space="preserve"> </w:t>
            </w:r>
            <w:r w:rsidRPr="00932E71">
              <w:rPr>
                <w:rFonts w:eastAsia="Times New Roman"/>
                <w:color w:val="000000"/>
                <w:lang w:eastAsia="en-GB"/>
              </w:rPr>
              <w:t>project life cycle)</w:t>
            </w:r>
          </w:p>
        </w:tc>
        <w:tc>
          <w:tcPr>
            <w:tcW w:w="275" w:type="dxa"/>
            <w:tcBorders>
              <w:top w:val="nil"/>
              <w:left w:val="nil"/>
              <w:bottom w:val="single" w:sz="4" w:space="0" w:color="000000"/>
              <w:right w:val="single" w:sz="4" w:space="0" w:color="000000"/>
            </w:tcBorders>
            <w:noWrap/>
            <w:vAlign w:val="bottom"/>
            <w:hideMark/>
          </w:tcPr>
          <w:p w14:paraId="3C6D054B"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11</w:t>
            </w:r>
          </w:p>
        </w:tc>
      </w:tr>
    </w:tbl>
    <w:p w14:paraId="5EB1DDBD" w14:textId="3389CEA0" w:rsidR="00932E71" w:rsidRDefault="00932E71" w:rsidP="00932E71">
      <w:pPr>
        <w:pStyle w:val="Caption"/>
        <w:jc w:val="center"/>
      </w:pPr>
      <w:bookmarkStart w:id="114" w:name="_Toc219216426"/>
      <w:r>
        <w:t xml:space="preserve">Table </w:t>
      </w:r>
      <w:fldSimple w:instr=" SEQ Table \* ARABIC ">
        <w:r w:rsidR="004239CB">
          <w:rPr>
            <w:noProof/>
          </w:rPr>
          <w:t>13</w:t>
        </w:r>
      </w:fldSimple>
      <w:r>
        <w:t xml:space="preserve"> - </w:t>
      </w:r>
      <w:r w:rsidRPr="00D03C12">
        <w:t xml:space="preserve">Questionnaire </w:t>
      </w:r>
      <w:r>
        <w:t xml:space="preserve">Q7 </w:t>
      </w:r>
      <w:r w:rsidRPr="00D03C12">
        <w:t>Data Set</w:t>
      </w:r>
      <w:bookmarkEnd w:id="114"/>
    </w:p>
    <w:p w14:paraId="7D58ACDA" w14:textId="77777777" w:rsidR="00932E71" w:rsidRPr="00932E71" w:rsidRDefault="00932E71" w:rsidP="00932E71">
      <w:pPr>
        <w:spacing w:after="0"/>
      </w:pPr>
    </w:p>
    <w:tbl>
      <w:tblPr>
        <w:tblW w:w="6020" w:type="dxa"/>
        <w:jc w:val="center"/>
        <w:tblLook w:val="04A0" w:firstRow="1" w:lastRow="0" w:firstColumn="1" w:lastColumn="0" w:noHBand="0" w:noVBand="1"/>
      </w:tblPr>
      <w:tblGrid>
        <w:gridCol w:w="1320"/>
        <w:gridCol w:w="3740"/>
        <w:gridCol w:w="960"/>
      </w:tblGrid>
      <w:tr w:rsidR="00932E71" w:rsidRPr="00932E71" w14:paraId="560E751D" w14:textId="77777777" w:rsidTr="00932E71">
        <w:trPr>
          <w:trHeight w:val="360"/>
          <w:jc w:val="center"/>
        </w:trPr>
        <w:tc>
          <w:tcPr>
            <w:tcW w:w="6020"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5FDDABA3"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Current Use of Risk Assessment Tools.</w:t>
            </w:r>
          </w:p>
        </w:tc>
      </w:tr>
      <w:tr w:rsidR="00932E71" w:rsidRPr="00932E71" w14:paraId="7A2E5B4B" w14:textId="77777777" w:rsidTr="00932E71">
        <w:trPr>
          <w:trHeight w:val="360"/>
          <w:jc w:val="center"/>
        </w:trPr>
        <w:tc>
          <w:tcPr>
            <w:tcW w:w="1320" w:type="dxa"/>
            <w:vMerge w:val="restart"/>
            <w:tcBorders>
              <w:top w:val="nil"/>
              <w:left w:val="single" w:sz="4" w:space="0" w:color="000000"/>
              <w:bottom w:val="single" w:sz="4" w:space="0" w:color="000000"/>
              <w:right w:val="single" w:sz="4" w:space="0" w:color="000000"/>
            </w:tcBorders>
            <w:textDirection w:val="btLr"/>
            <w:vAlign w:val="center"/>
            <w:hideMark/>
          </w:tcPr>
          <w:p w14:paraId="03AFBEC4"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 xml:space="preserve">How effective do you </w:t>
            </w:r>
            <w:r w:rsidRPr="00932E71">
              <w:rPr>
                <w:rFonts w:eastAsia="Times New Roman"/>
                <w:color w:val="000000"/>
                <w:lang w:eastAsia="en-GB"/>
              </w:rPr>
              <w:br/>
              <w:t>find the current risk assessment tools you use?</w:t>
            </w:r>
          </w:p>
        </w:tc>
        <w:tc>
          <w:tcPr>
            <w:tcW w:w="3740" w:type="dxa"/>
            <w:tcBorders>
              <w:top w:val="nil"/>
              <w:left w:val="nil"/>
              <w:bottom w:val="single" w:sz="4" w:space="0" w:color="000000"/>
              <w:right w:val="single" w:sz="4" w:space="0" w:color="000000"/>
            </w:tcBorders>
            <w:shd w:val="clear" w:color="A6C9EC" w:fill="A6C9EC"/>
            <w:noWrap/>
            <w:vAlign w:val="bottom"/>
            <w:hideMark/>
          </w:tcPr>
          <w:p w14:paraId="083627E5"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Effectiveness</w:t>
            </w:r>
          </w:p>
        </w:tc>
        <w:tc>
          <w:tcPr>
            <w:tcW w:w="960" w:type="dxa"/>
            <w:tcBorders>
              <w:top w:val="nil"/>
              <w:left w:val="nil"/>
              <w:bottom w:val="single" w:sz="4" w:space="0" w:color="000000"/>
              <w:right w:val="single" w:sz="4" w:space="0" w:color="000000"/>
            </w:tcBorders>
            <w:shd w:val="clear" w:color="A6C9EC" w:fill="A6C9EC"/>
            <w:noWrap/>
            <w:vAlign w:val="bottom"/>
            <w:hideMark/>
          </w:tcPr>
          <w:p w14:paraId="20A522A2"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No</w:t>
            </w:r>
          </w:p>
        </w:tc>
      </w:tr>
      <w:tr w:rsidR="00932E71" w:rsidRPr="00932E71" w14:paraId="6F499A7B" w14:textId="77777777" w:rsidTr="00932E71">
        <w:trPr>
          <w:trHeight w:val="360"/>
          <w:jc w:val="center"/>
        </w:trPr>
        <w:tc>
          <w:tcPr>
            <w:tcW w:w="1320" w:type="dxa"/>
            <w:vMerge/>
            <w:tcBorders>
              <w:top w:val="nil"/>
              <w:left w:val="single" w:sz="4" w:space="0" w:color="000000"/>
              <w:bottom w:val="single" w:sz="4" w:space="0" w:color="000000"/>
              <w:right w:val="single" w:sz="4" w:space="0" w:color="000000"/>
            </w:tcBorders>
            <w:vAlign w:val="center"/>
            <w:hideMark/>
          </w:tcPr>
          <w:p w14:paraId="5F714029"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16B73EBD"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Not Effective</w:t>
            </w:r>
          </w:p>
        </w:tc>
        <w:tc>
          <w:tcPr>
            <w:tcW w:w="960" w:type="dxa"/>
            <w:tcBorders>
              <w:top w:val="nil"/>
              <w:left w:val="nil"/>
              <w:bottom w:val="single" w:sz="4" w:space="0" w:color="000000"/>
              <w:right w:val="single" w:sz="4" w:space="0" w:color="000000"/>
            </w:tcBorders>
            <w:noWrap/>
            <w:vAlign w:val="bottom"/>
            <w:hideMark/>
          </w:tcPr>
          <w:p w14:paraId="0EEE83F9"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w:t>
            </w:r>
          </w:p>
        </w:tc>
      </w:tr>
      <w:tr w:rsidR="00932E71" w:rsidRPr="00932E71" w14:paraId="2E5FC87A" w14:textId="77777777" w:rsidTr="00932E71">
        <w:trPr>
          <w:trHeight w:val="360"/>
          <w:jc w:val="center"/>
        </w:trPr>
        <w:tc>
          <w:tcPr>
            <w:tcW w:w="1320" w:type="dxa"/>
            <w:vMerge/>
            <w:tcBorders>
              <w:top w:val="nil"/>
              <w:left w:val="single" w:sz="4" w:space="0" w:color="000000"/>
              <w:bottom w:val="single" w:sz="4" w:space="0" w:color="000000"/>
              <w:right w:val="single" w:sz="4" w:space="0" w:color="000000"/>
            </w:tcBorders>
            <w:vAlign w:val="center"/>
            <w:hideMark/>
          </w:tcPr>
          <w:p w14:paraId="75B85545"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3BAC2A2F"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Somewhat Effective</w:t>
            </w:r>
          </w:p>
        </w:tc>
        <w:tc>
          <w:tcPr>
            <w:tcW w:w="960" w:type="dxa"/>
            <w:tcBorders>
              <w:top w:val="nil"/>
              <w:left w:val="nil"/>
              <w:bottom w:val="single" w:sz="4" w:space="0" w:color="000000"/>
              <w:right w:val="single" w:sz="4" w:space="0" w:color="000000"/>
            </w:tcBorders>
            <w:noWrap/>
            <w:vAlign w:val="bottom"/>
            <w:hideMark/>
          </w:tcPr>
          <w:p w14:paraId="56DB1920"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9</w:t>
            </w:r>
          </w:p>
        </w:tc>
      </w:tr>
      <w:tr w:rsidR="00932E71" w:rsidRPr="00932E71" w14:paraId="0A5EBCEE" w14:textId="77777777" w:rsidTr="00932E71">
        <w:trPr>
          <w:trHeight w:val="360"/>
          <w:jc w:val="center"/>
        </w:trPr>
        <w:tc>
          <w:tcPr>
            <w:tcW w:w="1320" w:type="dxa"/>
            <w:vMerge/>
            <w:tcBorders>
              <w:top w:val="nil"/>
              <w:left w:val="single" w:sz="4" w:space="0" w:color="000000"/>
              <w:bottom w:val="single" w:sz="4" w:space="0" w:color="000000"/>
              <w:right w:val="single" w:sz="4" w:space="0" w:color="000000"/>
            </w:tcBorders>
            <w:vAlign w:val="center"/>
            <w:hideMark/>
          </w:tcPr>
          <w:p w14:paraId="2B9AC0B8"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nil"/>
              <w:right w:val="nil"/>
            </w:tcBorders>
            <w:noWrap/>
            <w:vAlign w:val="bottom"/>
            <w:hideMark/>
          </w:tcPr>
          <w:p w14:paraId="6AE028DC"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Moderately Effective</w:t>
            </w:r>
          </w:p>
        </w:tc>
        <w:tc>
          <w:tcPr>
            <w:tcW w:w="960" w:type="dxa"/>
            <w:tcBorders>
              <w:top w:val="nil"/>
              <w:left w:val="single" w:sz="4" w:space="0" w:color="000000"/>
              <w:bottom w:val="single" w:sz="4" w:space="0" w:color="000000"/>
              <w:right w:val="single" w:sz="4" w:space="0" w:color="000000"/>
            </w:tcBorders>
            <w:noWrap/>
            <w:vAlign w:val="bottom"/>
            <w:hideMark/>
          </w:tcPr>
          <w:p w14:paraId="348C6DD8"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11</w:t>
            </w:r>
          </w:p>
        </w:tc>
      </w:tr>
      <w:tr w:rsidR="00932E71" w:rsidRPr="00932E71" w14:paraId="6C7204B2" w14:textId="77777777" w:rsidTr="00932E71">
        <w:trPr>
          <w:trHeight w:val="360"/>
          <w:jc w:val="center"/>
        </w:trPr>
        <w:tc>
          <w:tcPr>
            <w:tcW w:w="1320" w:type="dxa"/>
            <w:vMerge/>
            <w:tcBorders>
              <w:top w:val="nil"/>
              <w:left w:val="single" w:sz="4" w:space="0" w:color="000000"/>
              <w:bottom w:val="single" w:sz="4" w:space="0" w:color="000000"/>
              <w:right w:val="single" w:sz="4" w:space="0" w:color="000000"/>
            </w:tcBorders>
            <w:vAlign w:val="center"/>
            <w:hideMark/>
          </w:tcPr>
          <w:p w14:paraId="6F82B88C" w14:textId="77777777" w:rsidR="00932E71" w:rsidRPr="00932E71" w:rsidRDefault="00932E71" w:rsidP="00932E71">
            <w:pPr>
              <w:spacing w:after="0" w:line="240" w:lineRule="auto"/>
              <w:rPr>
                <w:rFonts w:eastAsia="Times New Roman"/>
                <w:color w:val="000000"/>
                <w:lang w:eastAsia="en-GB"/>
              </w:rPr>
            </w:pPr>
          </w:p>
        </w:tc>
        <w:tc>
          <w:tcPr>
            <w:tcW w:w="3740" w:type="dxa"/>
            <w:tcBorders>
              <w:top w:val="single" w:sz="4" w:space="0" w:color="000000"/>
              <w:left w:val="nil"/>
              <w:bottom w:val="single" w:sz="4" w:space="0" w:color="000000"/>
              <w:right w:val="single" w:sz="4" w:space="0" w:color="000000"/>
            </w:tcBorders>
            <w:noWrap/>
            <w:vAlign w:val="bottom"/>
            <w:hideMark/>
          </w:tcPr>
          <w:p w14:paraId="04EEB4A5"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Effective</w:t>
            </w:r>
          </w:p>
        </w:tc>
        <w:tc>
          <w:tcPr>
            <w:tcW w:w="960" w:type="dxa"/>
            <w:tcBorders>
              <w:top w:val="nil"/>
              <w:left w:val="nil"/>
              <w:bottom w:val="single" w:sz="4" w:space="0" w:color="000000"/>
              <w:right w:val="single" w:sz="4" w:space="0" w:color="000000"/>
            </w:tcBorders>
            <w:noWrap/>
            <w:vAlign w:val="bottom"/>
            <w:hideMark/>
          </w:tcPr>
          <w:p w14:paraId="5494D311"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19</w:t>
            </w:r>
          </w:p>
        </w:tc>
      </w:tr>
      <w:tr w:rsidR="00932E71" w:rsidRPr="00932E71" w14:paraId="1DB972C5" w14:textId="77777777" w:rsidTr="00932E71">
        <w:trPr>
          <w:trHeight w:val="300"/>
          <w:jc w:val="center"/>
        </w:trPr>
        <w:tc>
          <w:tcPr>
            <w:tcW w:w="1320" w:type="dxa"/>
            <w:vMerge/>
            <w:tcBorders>
              <w:top w:val="nil"/>
              <w:left w:val="single" w:sz="4" w:space="0" w:color="000000"/>
              <w:bottom w:val="single" w:sz="4" w:space="0" w:color="000000"/>
              <w:right w:val="single" w:sz="4" w:space="0" w:color="000000"/>
            </w:tcBorders>
            <w:vAlign w:val="center"/>
            <w:hideMark/>
          </w:tcPr>
          <w:p w14:paraId="6D2B127A"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vAlign w:val="bottom"/>
            <w:hideMark/>
          </w:tcPr>
          <w:p w14:paraId="2870CF3A"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Very Effective</w:t>
            </w:r>
          </w:p>
        </w:tc>
        <w:tc>
          <w:tcPr>
            <w:tcW w:w="960" w:type="dxa"/>
            <w:tcBorders>
              <w:top w:val="nil"/>
              <w:left w:val="nil"/>
              <w:bottom w:val="single" w:sz="4" w:space="0" w:color="000000"/>
              <w:right w:val="single" w:sz="4" w:space="0" w:color="000000"/>
            </w:tcBorders>
            <w:noWrap/>
            <w:vAlign w:val="bottom"/>
            <w:hideMark/>
          </w:tcPr>
          <w:p w14:paraId="0ACAB61F"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2</w:t>
            </w:r>
          </w:p>
        </w:tc>
      </w:tr>
      <w:tr w:rsidR="00932E71" w:rsidRPr="00932E71" w14:paraId="1257B372" w14:textId="77777777" w:rsidTr="00932E71">
        <w:trPr>
          <w:trHeight w:val="360"/>
          <w:jc w:val="center"/>
        </w:trPr>
        <w:tc>
          <w:tcPr>
            <w:tcW w:w="1320" w:type="dxa"/>
            <w:vMerge/>
            <w:tcBorders>
              <w:top w:val="nil"/>
              <w:left w:val="single" w:sz="4" w:space="0" w:color="000000"/>
              <w:bottom w:val="single" w:sz="4" w:space="0" w:color="000000"/>
              <w:right w:val="single" w:sz="4" w:space="0" w:color="000000"/>
            </w:tcBorders>
            <w:vAlign w:val="center"/>
            <w:hideMark/>
          </w:tcPr>
          <w:p w14:paraId="6E74A92F"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0C8B6411"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N/A</w:t>
            </w:r>
          </w:p>
        </w:tc>
        <w:tc>
          <w:tcPr>
            <w:tcW w:w="960" w:type="dxa"/>
            <w:tcBorders>
              <w:top w:val="nil"/>
              <w:left w:val="nil"/>
              <w:bottom w:val="single" w:sz="4" w:space="0" w:color="000000"/>
              <w:right w:val="single" w:sz="4" w:space="0" w:color="000000"/>
            </w:tcBorders>
            <w:noWrap/>
            <w:vAlign w:val="bottom"/>
            <w:hideMark/>
          </w:tcPr>
          <w:p w14:paraId="5A8A9A8B"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0</w:t>
            </w:r>
          </w:p>
        </w:tc>
      </w:tr>
    </w:tbl>
    <w:p w14:paraId="797AE619" w14:textId="5D2208A1" w:rsidR="00932E71" w:rsidRDefault="00932E71" w:rsidP="00932E71">
      <w:pPr>
        <w:pStyle w:val="Caption"/>
        <w:jc w:val="center"/>
      </w:pPr>
      <w:bookmarkStart w:id="115" w:name="_Toc219216427"/>
      <w:r>
        <w:t xml:space="preserve">Table </w:t>
      </w:r>
      <w:fldSimple w:instr=" SEQ Table \* ARABIC ">
        <w:r w:rsidR="004239CB">
          <w:rPr>
            <w:noProof/>
          </w:rPr>
          <w:t>14</w:t>
        </w:r>
      </w:fldSimple>
      <w:r>
        <w:t xml:space="preserve"> - </w:t>
      </w:r>
      <w:r w:rsidRPr="00E86140">
        <w:t>Questionnaire Q</w:t>
      </w:r>
      <w:r>
        <w:t>8</w:t>
      </w:r>
      <w:r w:rsidRPr="00E86140">
        <w:t xml:space="preserve"> Data Set</w:t>
      </w:r>
      <w:bookmarkEnd w:id="115"/>
    </w:p>
    <w:p w14:paraId="4FBF64C9" w14:textId="77777777" w:rsidR="00932E71" w:rsidRPr="00932E71" w:rsidRDefault="00932E71" w:rsidP="00932E71">
      <w:pPr>
        <w:spacing w:after="0"/>
      </w:pPr>
    </w:p>
    <w:tbl>
      <w:tblPr>
        <w:tblW w:w="5540" w:type="dxa"/>
        <w:jc w:val="center"/>
        <w:tblLook w:val="04A0" w:firstRow="1" w:lastRow="0" w:firstColumn="1" w:lastColumn="0" w:noHBand="0" w:noVBand="1"/>
      </w:tblPr>
      <w:tblGrid>
        <w:gridCol w:w="840"/>
        <w:gridCol w:w="3740"/>
        <w:gridCol w:w="960"/>
      </w:tblGrid>
      <w:tr w:rsidR="00932E71" w:rsidRPr="00932E71" w14:paraId="3595178D" w14:textId="77777777" w:rsidTr="00932E71">
        <w:trPr>
          <w:trHeight w:val="360"/>
          <w:jc w:val="center"/>
        </w:trPr>
        <w:tc>
          <w:tcPr>
            <w:tcW w:w="5540"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699288C0"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Current Use of Risk Assessment Tools.</w:t>
            </w:r>
          </w:p>
        </w:tc>
      </w:tr>
      <w:tr w:rsidR="00932E71" w:rsidRPr="00932E71" w14:paraId="3F407392" w14:textId="77777777" w:rsidTr="00932E71">
        <w:trPr>
          <w:trHeight w:val="360"/>
          <w:jc w:val="center"/>
        </w:trPr>
        <w:tc>
          <w:tcPr>
            <w:tcW w:w="840" w:type="dxa"/>
            <w:vMerge w:val="restart"/>
            <w:tcBorders>
              <w:top w:val="nil"/>
              <w:left w:val="single" w:sz="4" w:space="0" w:color="000000"/>
              <w:bottom w:val="single" w:sz="4" w:space="0" w:color="000000"/>
              <w:right w:val="single" w:sz="4" w:space="0" w:color="000000"/>
            </w:tcBorders>
            <w:textDirection w:val="btLr"/>
            <w:vAlign w:val="center"/>
            <w:hideMark/>
          </w:tcPr>
          <w:p w14:paraId="33B541FB"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What are the biggest challenges in using these tools?</w:t>
            </w:r>
          </w:p>
        </w:tc>
        <w:tc>
          <w:tcPr>
            <w:tcW w:w="3740" w:type="dxa"/>
            <w:tcBorders>
              <w:top w:val="nil"/>
              <w:left w:val="nil"/>
              <w:bottom w:val="single" w:sz="4" w:space="0" w:color="000000"/>
              <w:right w:val="single" w:sz="4" w:space="0" w:color="000000"/>
            </w:tcBorders>
            <w:shd w:val="clear" w:color="A6C9EC" w:fill="A6C9EC"/>
            <w:noWrap/>
            <w:vAlign w:val="bottom"/>
            <w:hideMark/>
          </w:tcPr>
          <w:p w14:paraId="4BB11825"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Challenges</w:t>
            </w:r>
          </w:p>
        </w:tc>
        <w:tc>
          <w:tcPr>
            <w:tcW w:w="960" w:type="dxa"/>
            <w:tcBorders>
              <w:top w:val="nil"/>
              <w:left w:val="nil"/>
              <w:bottom w:val="single" w:sz="4" w:space="0" w:color="000000"/>
              <w:right w:val="single" w:sz="4" w:space="0" w:color="000000"/>
            </w:tcBorders>
            <w:shd w:val="clear" w:color="A6C9EC" w:fill="A6C9EC"/>
            <w:noWrap/>
            <w:vAlign w:val="bottom"/>
            <w:hideMark/>
          </w:tcPr>
          <w:p w14:paraId="63F814BD"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No</w:t>
            </w:r>
          </w:p>
        </w:tc>
      </w:tr>
      <w:tr w:rsidR="00932E71" w:rsidRPr="00932E71" w14:paraId="10F62554" w14:textId="77777777" w:rsidTr="00932E71">
        <w:trPr>
          <w:trHeight w:val="360"/>
          <w:jc w:val="center"/>
        </w:trPr>
        <w:tc>
          <w:tcPr>
            <w:tcW w:w="840" w:type="dxa"/>
            <w:vMerge/>
            <w:tcBorders>
              <w:top w:val="nil"/>
              <w:left w:val="single" w:sz="4" w:space="0" w:color="000000"/>
              <w:bottom w:val="single" w:sz="4" w:space="0" w:color="000000"/>
              <w:right w:val="single" w:sz="4" w:space="0" w:color="000000"/>
            </w:tcBorders>
            <w:vAlign w:val="center"/>
            <w:hideMark/>
          </w:tcPr>
          <w:p w14:paraId="269E8ADF"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2B4256E5"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Too complex/difficult to use.</w:t>
            </w:r>
          </w:p>
        </w:tc>
        <w:tc>
          <w:tcPr>
            <w:tcW w:w="960" w:type="dxa"/>
            <w:tcBorders>
              <w:top w:val="nil"/>
              <w:left w:val="nil"/>
              <w:bottom w:val="single" w:sz="4" w:space="0" w:color="000000"/>
              <w:right w:val="single" w:sz="4" w:space="0" w:color="000000"/>
            </w:tcBorders>
            <w:noWrap/>
            <w:vAlign w:val="bottom"/>
            <w:hideMark/>
          </w:tcPr>
          <w:p w14:paraId="2B0C466A"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3</w:t>
            </w:r>
          </w:p>
        </w:tc>
      </w:tr>
      <w:tr w:rsidR="00932E71" w:rsidRPr="00932E71" w14:paraId="17DE52A3" w14:textId="77777777" w:rsidTr="00932E71">
        <w:trPr>
          <w:trHeight w:val="360"/>
          <w:jc w:val="center"/>
        </w:trPr>
        <w:tc>
          <w:tcPr>
            <w:tcW w:w="840" w:type="dxa"/>
            <w:vMerge/>
            <w:tcBorders>
              <w:top w:val="nil"/>
              <w:left w:val="single" w:sz="4" w:space="0" w:color="000000"/>
              <w:bottom w:val="single" w:sz="4" w:space="0" w:color="000000"/>
              <w:right w:val="single" w:sz="4" w:space="0" w:color="000000"/>
            </w:tcBorders>
            <w:vAlign w:val="center"/>
            <w:hideMark/>
          </w:tcPr>
          <w:p w14:paraId="4E02D2AB"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5D58CB14"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Requires too much time and effort.</w:t>
            </w:r>
          </w:p>
        </w:tc>
        <w:tc>
          <w:tcPr>
            <w:tcW w:w="960" w:type="dxa"/>
            <w:tcBorders>
              <w:top w:val="nil"/>
              <w:left w:val="nil"/>
              <w:bottom w:val="single" w:sz="4" w:space="0" w:color="000000"/>
              <w:right w:val="single" w:sz="4" w:space="0" w:color="000000"/>
            </w:tcBorders>
            <w:noWrap/>
            <w:vAlign w:val="bottom"/>
            <w:hideMark/>
          </w:tcPr>
          <w:p w14:paraId="327399C1"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19</w:t>
            </w:r>
          </w:p>
        </w:tc>
      </w:tr>
      <w:tr w:rsidR="00932E71" w:rsidRPr="00932E71" w14:paraId="6C3759F1" w14:textId="77777777" w:rsidTr="00932E71">
        <w:trPr>
          <w:trHeight w:val="360"/>
          <w:jc w:val="center"/>
        </w:trPr>
        <w:tc>
          <w:tcPr>
            <w:tcW w:w="840" w:type="dxa"/>
            <w:vMerge/>
            <w:tcBorders>
              <w:top w:val="nil"/>
              <w:left w:val="single" w:sz="4" w:space="0" w:color="000000"/>
              <w:bottom w:val="single" w:sz="4" w:space="0" w:color="000000"/>
              <w:right w:val="single" w:sz="4" w:space="0" w:color="000000"/>
            </w:tcBorders>
            <w:vAlign w:val="center"/>
            <w:hideMark/>
          </w:tcPr>
          <w:p w14:paraId="471502AB"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0C143098"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Not aligned with project needs.</w:t>
            </w:r>
          </w:p>
        </w:tc>
        <w:tc>
          <w:tcPr>
            <w:tcW w:w="960" w:type="dxa"/>
            <w:tcBorders>
              <w:top w:val="nil"/>
              <w:left w:val="nil"/>
              <w:bottom w:val="single" w:sz="4" w:space="0" w:color="000000"/>
              <w:right w:val="single" w:sz="4" w:space="0" w:color="000000"/>
            </w:tcBorders>
            <w:noWrap/>
            <w:vAlign w:val="bottom"/>
            <w:hideMark/>
          </w:tcPr>
          <w:p w14:paraId="7D98DBDB"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6</w:t>
            </w:r>
          </w:p>
        </w:tc>
      </w:tr>
      <w:tr w:rsidR="00932E71" w:rsidRPr="00932E71" w14:paraId="16729E5D" w14:textId="77777777" w:rsidTr="00932E71">
        <w:trPr>
          <w:trHeight w:val="360"/>
          <w:jc w:val="center"/>
        </w:trPr>
        <w:tc>
          <w:tcPr>
            <w:tcW w:w="840" w:type="dxa"/>
            <w:vMerge/>
            <w:tcBorders>
              <w:top w:val="nil"/>
              <w:left w:val="single" w:sz="4" w:space="0" w:color="000000"/>
              <w:bottom w:val="single" w:sz="4" w:space="0" w:color="000000"/>
              <w:right w:val="single" w:sz="4" w:space="0" w:color="000000"/>
            </w:tcBorders>
            <w:vAlign w:val="center"/>
            <w:hideMark/>
          </w:tcPr>
          <w:p w14:paraId="22825648"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7D34D900"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Lack of tool training.</w:t>
            </w:r>
          </w:p>
        </w:tc>
        <w:tc>
          <w:tcPr>
            <w:tcW w:w="960" w:type="dxa"/>
            <w:tcBorders>
              <w:top w:val="nil"/>
              <w:left w:val="nil"/>
              <w:bottom w:val="single" w:sz="4" w:space="0" w:color="000000"/>
              <w:right w:val="single" w:sz="4" w:space="0" w:color="000000"/>
            </w:tcBorders>
            <w:noWrap/>
            <w:vAlign w:val="bottom"/>
            <w:hideMark/>
          </w:tcPr>
          <w:p w14:paraId="6F75D4D3"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11</w:t>
            </w:r>
          </w:p>
        </w:tc>
      </w:tr>
      <w:tr w:rsidR="00932E71" w:rsidRPr="00932E71" w14:paraId="59EB368D" w14:textId="77777777" w:rsidTr="00932E71">
        <w:trPr>
          <w:trHeight w:val="300"/>
          <w:jc w:val="center"/>
        </w:trPr>
        <w:tc>
          <w:tcPr>
            <w:tcW w:w="840" w:type="dxa"/>
            <w:vMerge/>
            <w:tcBorders>
              <w:top w:val="nil"/>
              <w:left w:val="single" w:sz="4" w:space="0" w:color="000000"/>
              <w:bottom w:val="single" w:sz="4" w:space="0" w:color="000000"/>
              <w:right w:val="single" w:sz="4" w:space="0" w:color="000000"/>
            </w:tcBorders>
            <w:vAlign w:val="center"/>
            <w:hideMark/>
          </w:tcPr>
          <w:p w14:paraId="46320511"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vAlign w:val="bottom"/>
            <w:hideMark/>
          </w:tcPr>
          <w:p w14:paraId="07F92842"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Lack of tool awareness.</w:t>
            </w:r>
          </w:p>
        </w:tc>
        <w:tc>
          <w:tcPr>
            <w:tcW w:w="960" w:type="dxa"/>
            <w:tcBorders>
              <w:top w:val="nil"/>
              <w:left w:val="nil"/>
              <w:bottom w:val="single" w:sz="4" w:space="0" w:color="000000"/>
              <w:right w:val="single" w:sz="4" w:space="0" w:color="000000"/>
            </w:tcBorders>
            <w:noWrap/>
            <w:vAlign w:val="bottom"/>
            <w:hideMark/>
          </w:tcPr>
          <w:p w14:paraId="7C8A1F99"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15</w:t>
            </w:r>
          </w:p>
        </w:tc>
      </w:tr>
      <w:tr w:rsidR="00932E71" w:rsidRPr="00932E71" w14:paraId="7DF8C934" w14:textId="77777777" w:rsidTr="00932E71">
        <w:trPr>
          <w:trHeight w:val="360"/>
          <w:jc w:val="center"/>
        </w:trPr>
        <w:tc>
          <w:tcPr>
            <w:tcW w:w="840" w:type="dxa"/>
            <w:vMerge/>
            <w:tcBorders>
              <w:top w:val="nil"/>
              <w:left w:val="single" w:sz="4" w:space="0" w:color="000000"/>
              <w:bottom w:val="single" w:sz="4" w:space="0" w:color="000000"/>
              <w:right w:val="single" w:sz="4" w:space="0" w:color="000000"/>
            </w:tcBorders>
            <w:vAlign w:val="center"/>
            <w:hideMark/>
          </w:tcPr>
          <w:p w14:paraId="2F98B6BC"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10A71946"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Lack of risk knowledge/understanding.</w:t>
            </w:r>
          </w:p>
        </w:tc>
        <w:tc>
          <w:tcPr>
            <w:tcW w:w="960" w:type="dxa"/>
            <w:tcBorders>
              <w:top w:val="nil"/>
              <w:left w:val="nil"/>
              <w:bottom w:val="single" w:sz="4" w:space="0" w:color="000000"/>
              <w:right w:val="single" w:sz="4" w:space="0" w:color="000000"/>
            </w:tcBorders>
            <w:noWrap/>
            <w:vAlign w:val="bottom"/>
            <w:hideMark/>
          </w:tcPr>
          <w:p w14:paraId="75815723"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11</w:t>
            </w:r>
          </w:p>
        </w:tc>
      </w:tr>
      <w:tr w:rsidR="00932E71" w:rsidRPr="00932E71" w14:paraId="7B369328" w14:textId="77777777" w:rsidTr="00932E71">
        <w:trPr>
          <w:trHeight w:val="360"/>
          <w:jc w:val="center"/>
        </w:trPr>
        <w:tc>
          <w:tcPr>
            <w:tcW w:w="840" w:type="dxa"/>
            <w:vMerge/>
            <w:tcBorders>
              <w:top w:val="nil"/>
              <w:left w:val="single" w:sz="4" w:space="0" w:color="000000"/>
              <w:bottom w:val="single" w:sz="4" w:space="0" w:color="000000"/>
              <w:right w:val="single" w:sz="4" w:space="0" w:color="000000"/>
            </w:tcBorders>
            <w:vAlign w:val="center"/>
            <w:hideMark/>
          </w:tcPr>
          <w:p w14:paraId="4C4BDAE2"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1518E7D8"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Lack of tool flexibility.</w:t>
            </w:r>
          </w:p>
        </w:tc>
        <w:tc>
          <w:tcPr>
            <w:tcW w:w="960" w:type="dxa"/>
            <w:tcBorders>
              <w:top w:val="nil"/>
              <w:left w:val="nil"/>
              <w:bottom w:val="single" w:sz="4" w:space="0" w:color="000000"/>
              <w:right w:val="single" w:sz="4" w:space="0" w:color="000000"/>
            </w:tcBorders>
            <w:noWrap/>
            <w:vAlign w:val="bottom"/>
            <w:hideMark/>
          </w:tcPr>
          <w:p w14:paraId="778317D7"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8</w:t>
            </w:r>
          </w:p>
        </w:tc>
      </w:tr>
      <w:tr w:rsidR="00932E71" w:rsidRPr="00932E71" w14:paraId="0ADB4680" w14:textId="77777777" w:rsidTr="00932E71">
        <w:trPr>
          <w:trHeight w:val="360"/>
          <w:jc w:val="center"/>
        </w:trPr>
        <w:tc>
          <w:tcPr>
            <w:tcW w:w="840" w:type="dxa"/>
            <w:vMerge/>
            <w:tcBorders>
              <w:top w:val="nil"/>
              <w:left w:val="single" w:sz="4" w:space="0" w:color="000000"/>
              <w:bottom w:val="single" w:sz="4" w:space="0" w:color="000000"/>
              <w:right w:val="single" w:sz="4" w:space="0" w:color="000000"/>
            </w:tcBorders>
            <w:vAlign w:val="center"/>
            <w:hideMark/>
          </w:tcPr>
          <w:p w14:paraId="77B84FB4"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74D69510"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Lack of stakeholder engagement.</w:t>
            </w:r>
          </w:p>
        </w:tc>
        <w:tc>
          <w:tcPr>
            <w:tcW w:w="960" w:type="dxa"/>
            <w:tcBorders>
              <w:top w:val="nil"/>
              <w:left w:val="nil"/>
              <w:bottom w:val="single" w:sz="4" w:space="0" w:color="000000"/>
              <w:right w:val="single" w:sz="4" w:space="0" w:color="000000"/>
            </w:tcBorders>
            <w:noWrap/>
            <w:vAlign w:val="bottom"/>
            <w:hideMark/>
          </w:tcPr>
          <w:p w14:paraId="67217D92"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18</w:t>
            </w:r>
          </w:p>
        </w:tc>
      </w:tr>
      <w:tr w:rsidR="00932E71" w:rsidRPr="00932E71" w14:paraId="2390CCDE" w14:textId="77777777" w:rsidTr="00932E71">
        <w:trPr>
          <w:trHeight w:val="360"/>
          <w:jc w:val="center"/>
        </w:trPr>
        <w:tc>
          <w:tcPr>
            <w:tcW w:w="840" w:type="dxa"/>
            <w:vMerge/>
            <w:tcBorders>
              <w:top w:val="nil"/>
              <w:left w:val="single" w:sz="4" w:space="0" w:color="000000"/>
              <w:bottom w:val="single" w:sz="4" w:space="0" w:color="000000"/>
              <w:right w:val="single" w:sz="4" w:space="0" w:color="000000"/>
            </w:tcBorders>
            <w:vAlign w:val="center"/>
            <w:hideMark/>
          </w:tcPr>
          <w:p w14:paraId="192C44AA"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5252EF05"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Other - Lack of Risk Understanding</w:t>
            </w:r>
          </w:p>
        </w:tc>
        <w:tc>
          <w:tcPr>
            <w:tcW w:w="960" w:type="dxa"/>
            <w:tcBorders>
              <w:top w:val="nil"/>
              <w:left w:val="nil"/>
              <w:bottom w:val="single" w:sz="4" w:space="0" w:color="000000"/>
              <w:right w:val="single" w:sz="4" w:space="0" w:color="000000"/>
            </w:tcBorders>
            <w:noWrap/>
            <w:vAlign w:val="bottom"/>
            <w:hideMark/>
          </w:tcPr>
          <w:p w14:paraId="52A874AC"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2</w:t>
            </w:r>
          </w:p>
        </w:tc>
      </w:tr>
    </w:tbl>
    <w:p w14:paraId="1115EEE4" w14:textId="26A76C97" w:rsidR="00932E71" w:rsidRDefault="00932E71" w:rsidP="00932E71">
      <w:pPr>
        <w:pStyle w:val="Caption"/>
        <w:jc w:val="center"/>
      </w:pPr>
      <w:bookmarkStart w:id="116" w:name="_Toc219216428"/>
      <w:r>
        <w:t xml:space="preserve">Table </w:t>
      </w:r>
      <w:fldSimple w:instr=" SEQ Table \* ARABIC ">
        <w:r w:rsidR="004239CB">
          <w:rPr>
            <w:noProof/>
          </w:rPr>
          <w:t>15</w:t>
        </w:r>
      </w:fldSimple>
      <w:r>
        <w:t xml:space="preserve"> - </w:t>
      </w:r>
      <w:r w:rsidRPr="00DA6C3F">
        <w:t>Questionnaire Q</w:t>
      </w:r>
      <w:r>
        <w:t>9</w:t>
      </w:r>
      <w:r w:rsidRPr="00DA6C3F">
        <w:t xml:space="preserve"> Data Set</w:t>
      </w:r>
      <w:bookmarkEnd w:id="116"/>
    </w:p>
    <w:p w14:paraId="352F5419" w14:textId="77777777" w:rsidR="00932E71" w:rsidRDefault="00932E71" w:rsidP="00932E71"/>
    <w:p w14:paraId="41BE6BE7" w14:textId="77777777" w:rsidR="00932E71" w:rsidRDefault="00932E71" w:rsidP="00932E71"/>
    <w:p w14:paraId="1125900C" w14:textId="77777777" w:rsidR="00932E71" w:rsidRDefault="00932E71" w:rsidP="00932E71"/>
    <w:p w14:paraId="63910670" w14:textId="77777777" w:rsidR="00694445" w:rsidRDefault="00694445" w:rsidP="00932E71"/>
    <w:p w14:paraId="37CE59C7" w14:textId="77777777" w:rsidR="00932E71" w:rsidRDefault="00932E71" w:rsidP="00932E71"/>
    <w:p w14:paraId="5D915582" w14:textId="0DBA8544" w:rsidR="004239CB" w:rsidRDefault="004239CB">
      <w:r>
        <w:br w:type="page"/>
      </w:r>
    </w:p>
    <w:p w14:paraId="47972A17" w14:textId="51FC3C0A" w:rsidR="00932E71" w:rsidRPr="004239CB" w:rsidRDefault="004239CB" w:rsidP="004239CB">
      <w:pPr>
        <w:pStyle w:val="Heading2"/>
        <w:ind w:left="-576"/>
        <w:rPr>
          <w:sz w:val="22"/>
          <w:szCs w:val="22"/>
        </w:rPr>
      </w:pPr>
      <w:bookmarkStart w:id="117" w:name="_Toc219216498"/>
      <w:r w:rsidRPr="004239CB">
        <w:rPr>
          <w:sz w:val="22"/>
          <w:szCs w:val="22"/>
        </w:rPr>
        <w:lastRenderedPageBreak/>
        <w:t xml:space="preserve">12.5. </w:t>
      </w:r>
      <w:r w:rsidRPr="004239CB">
        <w:rPr>
          <w:sz w:val="22"/>
          <w:szCs w:val="22"/>
          <w:u w:val="single"/>
        </w:rPr>
        <w:t>Effectiveness of Risk Management</w:t>
      </w:r>
      <w:bookmarkEnd w:id="117"/>
    </w:p>
    <w:p w14:paraId="6F40BDD4" w14:textId="77777777" w:rsidR="004239CB" w:rsidRPr="00932E71" w:rsidRDefault="004239CB" w:rsidP="004239CB">
      <w:pPr>
        <w:spacing w:after="0"/>
        <w:ind w:left="-576" w:right="-576"/>
      </w:pPr>
    </w:p>
    <w:tbl>
      <w:tblPr>
        <w:tblW w:w="6040" w:type="dxa"/>
        <w:jc w:val="center"/>
        <w:tblLook w:val="04A0" w:firstRow="1" w:lastRow="0" w:firstColumn="1" w:lastColumn="0" w:noHBand="0" w:noVBand="1"/>
      </w:tblPr>
      <w:tblGrid>
        <w:gridCol w:w="1340"/>
        <w:gridCol w:w="3740"/>
        <w:gridCol w:w="960"/>
      </w:tblGrid>
      <w:tr w:rsidR="00932E71" w:rsidRPr="00932E71" w14:paraId="389E45E7" w14:textId="77777777" w:rsidTr="00932E71">
        <w:trPr>
          <w:trHeight w:val="375"/>
          <w:jc w:val="center"/>
        </w:trPr>
        <w:tc>
          <w:tcPr>
            <w:tcW w:w="6040"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2F144B6C"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Effectiveness of Risk Management</w:t>
            </w:r>
          </w:p>
        </w:tc>
      </w:tr>
      <w:tr w:rsidR="00932E71" w:rsidRPr="00932E71" w14:paraId="1C346583" w14:textId="77777777" w:rsidTr="00932E71">
        <w:trPr>
          <w:trHeight w:val="375"/>
          <w:jc w:val="center"/>
        </w:trPr>
        <w:tc>
          <w:tcPr>
            <w:tcW w:w="1340" w:type="dxa"/>
            <w:vMerge w:val="restart"/>
            <w:tcBorders>
              <w:top w:val="nil"/>
              <w:left w:val="single" w:sz="4" w:space="0" w:color="000000"/>
              <w:bottom w:val="single" w:sz="4" w:space="0" w:color="000000"/>
              <w:right w:val="single" w:sz="4" w:space="0" w:color="000000"/>
            </w:tcBorders>
            <w:textDirection w:val="btLr"/>
            <w:vAlign w:val="center"/>
            <w:hideMark/>
          </w:tcPr>
          <w:p w14:paraId="2AEC7654"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How often do you believe risk assessment has led to improved project outcomes?</w:t>
            </w:r>
          </w:p>
        </w:tc>
        <w:tc>
          <w:tcPr>
            <w:tcW w:w="3740" w:type="dxa"/>
            <w:tcBorders>
              <w:top w:val="nil"/>
              <w:left w:val="nil"/>
              <w:bottom w:val="single" w:sz="4" w:space="0" w:color="000000"/>
              <w:right w:val="single" w:sz="4" w:space="0" w:color="000000"/>
            </w:tcBorders>
            <w:shd w:val="clear" w:color="A6C9EC" w:fill="A6C9EC"/>
            <w:noWrap/>
            <w:vAlign w:val="bottom"/>
            <w:hideMark/>
          </w:tcPr>
          <w:p w14:paraId="4C842BF6"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 xml:space="preserve">Improved Project Outcomes </w:t>
            </w:r>
          </w:p>
        </w:tc>
        <w:tc>
          <w:tcPr>
            <w:tcW w:w="960" w:type="dxa"/>
            <w:tcBorders>
              <w:top w:val="nil"/>
              <w:left w:val="nil"/>
              <w:bottom w:val="single" w:sz="4" w:space="0" w:color="000000"/>
              <w:right w:val="single" w:sz="4" w:space="0" w:color="000000"/>
            </w:tcBorders>
            <w:shd w:val="clear" w:color="A6C9EC" w:fill="A6C9EC"/>
            <w:noWrap/>
            <w:vAlign w:val="bottom"/>
            <w:hideMark/>
          </w:tcPr>
          <w:p w14:paraId="05976618"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No</w:t>
            </w:r>
          </w:p>
        </w:tc>
      </w:tr>
      <w:tr w:rsidR="00932E71" w:rsidRPr="00932E71" w14:paraId="2F7B1850" w14:textId="77777777" w:rsidTr="00932E71">
        <w:trPr>
          <w:trHeight w:val="375"/>
          <w:jc w:val="center"/>
        </w:trPr>
        <w:tc>
          <w:tcPr>
            <w:tcW w:w="1340" w:type="dxa"/>
            <w:vMerge/>
            <w:tcBorders>
              <w:top w:val="nil"/>
              <w:left w:val="single" w:sz="4" w:space="0" w:color="000000"/>
              <w:bottom w:val="single" w:sz="4" w:space="0" w:color="000000"/>
              <w:right w:val="single" w:sz="4" w:space="0" w:color="000000"/>
            </w:tcBorders>
            <w:vAlign w:val="center"/>
            <w:hideMark/>
          </w:tcPr>
          <w:p w14:paraId="21270E4F"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725CBD9E"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Never</w:t>
            </w:r>
          </w:p>
        </w:tc>
        <w:tc>
          <w:tcPr>
            <w:tcW w:w="960" w:type="dxa"/>
            <w:tcBorders>
              <w:top w:val="nil"/>
              <w:left w:val="nil"/>
              <w:bottom w:val="single" w:sz="4" w:space="0" w:color="000000"/>
              <w:right w:val="single" w:sz="4" w:space="0" w:color="000000"/>
            </w:tcBorders>
            <w:noWrap/>
            <w:vAlign w:val="bottom"/>
            <w:hideMark/>
          </w:tcPr>
          <w:p w14:paraId="6AE35D31"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0</w:t>
            </w:r>
          </w:p>
        </w:tc>
      </w:tr>
      <w:tr w:rsidR="00932E71" w:rsidRPr="00932E71" w14:paraId="292C60EA" w14:textId="77777777" w:rsidTr="00932E71">
        <w:trPr>
          <w:trHeight w:val="375"/>
          <w:jc w:val="center"/>
        </w:trPr>
        <w:tc>
          <w:tcPr>
            <w:tcW w:w="1340" w:type="dxa"/>
            <w:vMerge/>
            <w:tcBorders>
              <w:top w:val="nil"/>
              <w:left w:val="single" w:sz="4" w:space="0" w:color="000000"/>
              <w:bottom w:val="single" w:sz="4" w:space="0" w:color="000000"/>
              <w:right w:val="single" w:sz="4" w:space="0" w:color="000000"/>
            </w:tcBorders>
            <w:vAlign w:val="center"/>
            <w:hideMark/>
          </w:tcPr>
          <w:p w14:paraId="2060841D"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31B91837"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Rarely</w:t>
            </w:r>
          </w:p>
        </w:tc>
        <w:tc>
          <w:tcPr>
            <w:tcW w:w="960" w:type="dxa"/>
            <w:tcBorders>
              <w:top w:val="nil"/>
              <w:left w:val="nil"/>
              <w:bottom w:val="single" w:sz="4" w:space="0" w:color="000000"/>
              <w:right w:val="single" w:sz="4" w:space="0" w:color="000000"/>
            </w:tcBorders>
            <w:noWrap/>
            <w:vAlign w:val="bottom"/>
            <w:hideMark/>
          </w:tcPr>
          <w:p w14:paraId="24E2BAFE"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4</w:t>
            </w:r>
          </w:p>
        </w:tc>
      </w:tr>
      <w:tr w:rsidR="00932E71" w:rsidRPr="00932E71" w14:paraId="07A3EA6F" w14:textId="77777777" w:rsidTr="00932E71">
        <w:trPr>
          <w:trHeight w:val="375"/>
          <w:jc w:val="center"/>
        </w:trPr>
        <w:tc>
          <w:tcPr>
            <w:tcW w:w="1340" w:type="dxa"/>
            <w:vMerge/>
            <w:tcBorders>
              <w:top w:val="nil"/>
              <w:left w:val="single" w:sz="4" w:space="0" w:color="000000"/>
              <w:bottom w:val="single" w:sz="4" w:space="0" w:color="000000"/>
              <w:right w:val="single" w:sz="4" w:space="0" w:color="000000"/>
            </w:tcBorders>
            <w:vAlign w:val="center"/>
            <w:hideMark/>
          </w:tcPr>
          <w:p w14:paraId="268EC527"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4E2E4255"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Sometimes</w:t>
            </w:r>
          </w:p>
        </w:tc>
        <w:tc>
          <w:tcPr>
            <w:tcW w:w="960" w:type="dxa"/>
            <w:tcBorders>
              <w:top w:val="nil"/>
              <w:left w:val="nil"/>
              <w:bottom w:val="single" w:sz="4" w:space="0" w:color="000000"/>
              <w:right w:val="single" w:sz="4" w:space="0" w:color="000000"/>
            </w:tcBorders>
            <w:noWrap/>
            <w:vAlign w:val="bottom"/>
            <w:hideMark/>
          </w:tcPr>
          <w:p w14:paraId="5FB39690"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14</w:t>
            </w:r>
          </w:p>
        </w:tc>
      </w:tr>
      <w:tr w:rsidR="00932E71" w:rsidRPr="00932E71" w14:paraId="7918720C" w14:textId="77777777" w:rsidTr="00932E71">
        <w:trPr>
          <w:trHeight w:val="375"/>
          <w:jc w:val="center"/>
        </w:trPr>
        <w:tc>
          <w:tcPr>
            <w:tcW w:w="1340" w:type="dxa"/>
            <w:vMerge/>
            <w:tcBorders>
              <w:top w:val="nil"/>
              <w:left w:val="single" w:sz="4" w:space="0" w:color="000000"/>
              <w:bottom w:val="single" w:sz="4" w:space="0" w:color="000000"/>
              <w:right w:val="single" w:sz="4" w:space="0" w:color="000000"/>
            </w:tcBorders>
            <w:vAlign w:val="center"/>
            <w:hideMark/>
          </w:tcPr>
          <w:p w14:paraId="366548D1"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66A73F02"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Often</w:t>
            </w:r>
          </w:p>
        </w:tc>
        <w:tc>
          <w:tcPr>
            <w:tcW w:w="960" w:type="dxa"/>
            <w:tcBorders>
              <w:top w:val="nil"/>
              <w:left w:val="nil"/>
              <w:bottom w:val="single" w:sz="4" w:space="0" w:color="000000"/>
              <w:right w:val="single" w:sz="4" w:space="0" w:color="000000"/>
            </w:tcBorders>
            <w:noWrap/>
            <w:vAlign w:val="bottom"/>
            <w:hideMark/>
          </w:tcPr>
          <w:p w14:paraId="39291BB3"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14</w:t>
            </w:r>
          </w:p>
        </w:tc>
      </w:tr>
      <w:tr w:rsidR="00932E71" w:rsidRPr="00932E71" w14:paraId="1BDFF57F" w14:textId="77777777" w:rsidTr="00932E71">
        <w:trPr>
          <w:trHeight w:val="375"/>
          <w:jc w:val="center"/>
        </w:trPr>
        <w:tc>
          <w:tcPr>
            <w:tcW w:w="1340" w:type="dxa"/>
            <w:vMerge/>
            <w:tcBorders>
              <w:top w:val="nil"/>
              <w:left w:val="single" w:sz="4" w:space="0" w:color="000000"/>
              <w:bottom w:val="single" w:sz="4" w:space="0" w:color="000000"/>
              <w:right w:val="single" w:sz="4" w:space="0" w:color="000000"/>
            </w:tcBorders>
            <w:vAlign w:val="center"/>
            <w:hideMark/>
          </w:tcPr>
          <w:p w14:paraId="39DC3643"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vAlign w:val="bottom"/>
            <w:hideMark/>
          </w:tcPr>
          <w:p w14:paraId="501A8493"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Always</w:t>
            </w:r>
          </w:p>
        </w:tc>
        <w:tc>
          <w:tcPr>
            <w:tcW w:w="960" w:type="dxa"/>
            <w:tcBorders>
              <w:top w:val="nil"/>
              <w:left w:val="nil"/>
              <w:bottom w:val="single" w:sz="4" w:space="0" w:color="000000"/>
              <w:right w:val="single" w:sz="4" w:space="0" w:color="000000"/>
            </w:tcBorders>
            <w:noWrap/>
            <w:vAlign w:val="bottom"/>
            <w:hideMark/>
          </w:tcPr>
          <w:p w14:paraId="245CEC3F"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6</w:t>
            </w:r>
          </w:p>
        </w:tc>
      </w:tr>
      <w:tr w:rsidR="00932E71" w:rsidRPr="00932E71" w14:paraId="34B0038D" w14:textId="77777777" w:rsidTr="00932E71">
        <w:trPr>
          <w:trHeight w:val="375"/>
          <w:jc w:val="center"/>
        </w:trPr>
        <w:tc>
          <w:tcPr>
            <w:tcW w:w="1340" w:type="dxa"/>
            <w:vMerge/>
            <w:tcBorders>
              <w:top w:val="nil"/>
              <w:left w:val="single" w:sz="4" w:space="0" w:color="000000"/>
              <w:bottom w:val="single" w:sz="4" w:space="0" w:color="000000"/>
              <w:right w:val="single" w:sz="4" w:space="0" w:color="000000"/>
            </w:tcBorders>
            <w:vAlign w:val="center"/>
            <w:hideMark/>
          </w:tcPr>
          <w:p w14:paraId="79D9BCFC"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31340410"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N/A</w:t>
            </w:r>
          </w:p>
        </w:tc>
        <w:tc>
          <w:tcPr>
            <w:tcW w:w="960" w:type="dxa"/>
            <w:tcBorders>
              <w:top w:val="nil"/>
              <w:left w:val="nil"/>
              <w:bottom w:val="single" w:sz="4" w:space="0" w:color="000000"/>
              <w:right w:val="single" w:sz="4" w:space="0" w:color="000000"/>
            </w:tcBorders>
            <w:noWrap/>
            <w:vAlign w:val="bottom"/>
            <w:hideMark/>
          </w:tcPr>
          <w:p w14:paraId="338C9EAC"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w:t>
            </w:r>
          </w:p>
        </w:tc>
      </w:tr>
    </w:tbl>
    <w:p w14:paraId="1E45D765" w14:textId="7350ADFF" w:rsidR="00932E71" w:rsidRDefault="00D73F5A" w:rsidP="00D73F5A">
      <w:pPr>
        <w:pStyle w:val="Caption"/>
        <w:jc w:val="center"/>
      </w:pPr>
      <w:bookmarkStart w:id="118" w:name="_Toc219216429"/>
      <w:r>
        <w:t xml:space="preserve">Table </w:t>
      </w:r>
      <w:fldSimple w:instr=" SEQ Table \* ARABIC ">
        <w:r w:rsidR="004239CB">
          <w:rPr>
            <w:noProof/>
          </w:rPr>
          <w:t>16</w:t>
        </w:r>
      </w:fldSimple>
      <w:r>
        <w:t xml:space="preserve"> - </w:t>
      </w:r>
      <w:r w:rsidRPr="00DD2528">
        <w:t>Questionnaire Q</w:t>
      </w:r>
      <w:r>
        <w:t>10</w:t>
      </w:r>
      <w:r w:rsidRPr="00DD2528">
        <w:t xml:space="preserve"> Data Set</w:t>
      </w:r>
      <w:bookmarkEnd w:id="118"/>
    </w:p>
    <w:p w14:paraId="7065D18E" w14:textId="77777777" w:rsidR="00932E71" w:rsidRDefault="00932E71" w:rsidP="00932E71">
      <w:pPr>
        <w:spacing w:after="0"/>
      </w:pPr>
    </w:p>
    <w:tbl>
      <w:tblPr>
        <w:tblW w:w="6100" w:type="dxa"/>
        <w:jc w:val="center"/>
        <w:tblLook w:val="04A0" w:firstRow="1" w:lastRow="0" w:firstColumn="1" w:lastColumn="0" w:noHBand="0" w:noVBand="1"/>
      </w:tblPr>
      <w:tblGrid>
        <w:gridCol w:w="1400"/>
        <w:gridCol w:w="3740"/>
        <w:gridCol w:w="960"/>
      </w:tblGrid>
      <w:tr w:rsidR="00932E71" w:rsidRPr="00932E71" w14:paraId="34113B7B" w14:textId="77777777" w:rsidTr="00D73F5A">
        <w:trPr>
          <w:trHeight w:val="360"/>
          <w:jc w:val="center"/>
        </w:trPr>
        <w:tc>
          <w:tcPr>
            <w:tcW w:w="6100"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3AB104C8"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Effectiveness of Risk Management</w:t>
            </w:r>
          </w:p>
        </w:tc>
      </w:tr>
      <w:tr w:rsidR="00932E71" w:rsidRPr="00932E71" w14:paraId="3ED04A24" w14:textId="77777777" w:rsidTr="00D73F5A">
        <w:trPr>
          <w:trHeight w:val="360"/>
          <w:jc w:val="center"/>
        </w:trPr>
        <w:tc>
          <w:tcPr>
            <w:tcW w:w="1400" w:type="dxa"/>
            <w:vMerge w:val="restart"/>
            <w:tcBorders>
              <w:top w:val="nil"/>
              <w:left w:val="single" w:sz="4" w:space="0" w:color="000000"/>
              <w:bottom w:val="single" w:sz="4" w:space="0" w:color="000000"/>
              <w:right w:val="single" w:sz="4" w:space="0" w:color="000000"/>
            </w:tcBorders>
            <w:textDirection w:val="btLr"/>
            <w:vAlign w:val="center"/>
            <w:hideMark/>
          </w:tcPr>
          <w:p w14:paraId="1423BAD3"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Have risk assessments in your projects successfully prevented major risks from materialising?</w:t>
            </w:r>
          </w:p>
        </w:tc>
        <w:tc>
          <w:tcPr>
            <w:tcW w:w="3740" w:type="dxa"/>
            <w:tcBorders>
              <w:top w:val="nil"/>
              <w:left w:val="nil"/>
              <w:bottom w:val="single" w:sz="4" w:space="0" w:color="000000"/>
              <w:right w:val="single" w:sz="4" w:space="0" w:color="000000"/>
            </w:tcBorders>
            <w:shd w:val="clear" w:color="A6C9EC" w:fill="A6C9EC"/>
            <w:noWrap/>
            <w:vAlign w:val="bottom"/>
            <w:hideMark/>
          </w:tcPr>
          <w:p w14:paraId="39C2DBA9"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Risk Prevention</w:t>
            </w:r>
          </w:p>
        </w:tc>
        <w:tc>
          <w:tcPr>
            <w:tcW w:w="960" w:type="dxa"/>
            <w:tcBorders>
              <w:top w:val="nil"/>
              <w:left w:val="nil"/>
              <w:bottom w:val="single" w:sz="4" w:space="0" w:color="000000"/>
              <w:right w:val="single" w:sz="4" w:space="0" w:color="000000"/>
            </w:tcBorders>
            <w:shd w:val="clear" w:color="A6C9EC" w:fill="A6C9EC"/>
            <w:noWrap/>
            <w:vAlign w:val="bottom"/>
            <w:hideMark/>
          </w:tcPr>
          <w:p w14:paraId="0371C647"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No</w:t>
            </w:r>
          </w:p>
        </w:tc>
      </w:tr>
      <w:tr w:rsidR="00932E71" w:rsidRPr="00932E71" w14:paraId="26324E17" w14:textId="77777777" w:rsidTr="00D73F5A">
        <w:trPr>
          <w:trHeight w:val="360"/>
          <w:jc w:val="center"/>
        </w:trPr>
        <w:tc>
          <w:tcPr>
            <w:tcW w:w="1400" w:type="dxa"/>
            <w:vMerge/>
            <w:tcBorders>
              <w:top w:val="nil"/>
              <w:left w:val="single" w:sz="4" w:space="0" w:color="000000"/>
              <w:bottom w:val="single" w:sz="4" w:space="0" w:color="000000"/>
              <w:right w:val="single" w:sz="4" w:space="0" w:color="000000"/>
            </w:tcBorders>
            <w:vAlign w:val="center"/>
            <w:hideMark/>
          </w:tcPr>
          <w:p w14:paraId="57B91155"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71DAC3F1"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Always ( Every time)</w:t>
            </w:r>
          </w:p>
        </w:tc>
        <w:tc>
          <w:tcPr>
            <w:tcW w:w="960" w:type="dxa"/>
            <w:tcBorders>
              <w:top w:val="nil"/>
              <w:left w:val="nil"/>
              <w:bottom w:val="single" w:sz="4" w:space="0" w:color="000000"/>
              <w:right w:val="single" w:sz="4" w:space="0" w:color="000000"/>
            </w:tcBorders>
            <w:noWrap/>
            <w:vAlign w:val="bottom"/>
            <w:hideMark/>
          </w:tcPr>
          <w:p w14:paraId="709BDB20"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0</w:t>
            </w:r>
          </w:p>
        </w:tc>
      </w:tr>
      <w:tr w:rsidR="00932E71" w:rsidRPr="00932E71" w14:paraId="52F90D40" w14:textId="77777777" w:rsidTr="00D73F5A">
        <w:trPr>
          <w:trHeight w:val="360"/>
          <w:jc w:val="center"/>
        </w:trPr>
        <w:tc>
          <w:tcPr>
            <w:tcW w:w="1400" w:type="dxa"/>
            <w:vMerge/>
            <w:tcBorders>
              <w:top w:val="nil"/>
              <w:left w:val="single" w:sz="4" w:space="0" w:color="000000"/>
              <w:bottom w:val="single" w:sz="4" w:space="0" w:color="000000"/>
              <w:right w:val="single" w:sz="4" w:space="0" w:color="000000"/>
            </w:tcBorders>
            <w:vAlign w:val="center"/>
            <w:hideMark/>
          </w:tcPr>
          <w:p w14:paraId="72EA9EBF"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2DD8EFC9"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Yes (Most of the time)</w:t>
            </w:r>
          </w:p>
        </w:tc>
        <w:tc>
          <w:tcPr>
            <w:tcW w:w="960" w:type="dxa"/>
            <w:tcBorders>
              <w:top w:val="nil"/>
              <w:left w:val="nil"/>
              <w:bottom w:val="single" w:sz="4" w:space="0" w:color="000000"/>
              <w:right w:val="single" w:sz="4" w:space="0" w:color="000000"/>
            </w:tcBorders>
            <w:noWrap/>
            <w:vAlign w:val="bottom"/>
            <w:hideMark/>
          </w:tcPr>
          <w:p w14:paraId="7673C928"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14</w:t>
            </w:r>
          </w:p>
        </w:tc>
      </w:tr>
      <w:tr w:rsidR="00932E71" w:rsidRPr="00932E71" w14:paraId="54047786" w14:textId="77777777" w:rsidTr="00D73F5A">
        <w:trPr>
          <w:trHeight w:val="360"/>
          <w:jc w:val="center"/>
        </w:trPr>
        <w:tc>
          <w:tcPr>
            <w:tcW w:w="1400" w:type="dxa"/>
            <w:vMerge/>
            <w:tcBorders>
              <w:top w:val="nil"/>
              <w:left w:val="single" w:sz="4" w:space="0" w:color="000000"/>
              <w:bottom w:val="single" w:sz="4" w:space="0" w:color="000000"/>
              <w:right w:val="single" w:sz="4" w:space="0" w:color="000000"/>
            </w:tcBorders>
            <w:vAlign w:val="center"/>
            <w:hideMark/>
          </w:tcPr>
          <w:p w14:paraId="377E24B2"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7D528F56"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Sometimes</w:t>
            </w:r>
          </w:p>
        </w:tc>
        <w:tc>
          <w:tcPr>
            <w:tcW w:w="960" w:type="dxa"/>
            <w:tcBorders>
              <w:top w:val="nil"/>
              <w:left w:val="nil"/>
              <w:bottom w:val="single" w:sz="4" w:space="0" w:color="000000"/>
              <w:right w:val="single" w:sz="4" w:space="0" w:color="000000"/>
            </w:tcBorders>
            <w:noWrap/>
            <w:vAlign w:val="bottom"/>
            <w:hideMark/>
          </w:tcPr>
          <w:p w14:paraId="6351CBCE"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19</w:t>
            </w:r>
          </w:p>
        </w:tc>
      </w:tr>
      <w:tr w:rsidR="00932E71" w:rsidRPr="00932E71" w14:paraId="7AFEEF32" w14:textId="77777777" w:rsidTr="00D73F5A">
        <w:trPr>
          <w:trHeight w:val="360"/>
          <w:jc w:val="center"/>
        </w:trPr>
        <w:tc>
          <w:tcPr>
            <w:tcW w:w="1400" w:type="dxa"/>
            <w:vMerge/>
            <w:tcBorders>
              <w:top w:val="nil"/>
              <w:left w:val="single" w:sz="4" w:space="0" w:color="000000"/>
              <w:bottom w:val="single" w:sz="4" w:space="0" w:color="000000"/>
              <w:right w:val="single" w:sz="4" w:space="0" w:color="000000"/>
            </w:tcBorders>
            <w:vAlign w:val="center"/>
            <w:hideMark/>
          </w:tcPr>
          <w:p w14:paraId="4A6A39C7"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683768EC"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Rarely</w:t>
            </w:r>
          </w:p>
        </w:tc>
        <w:tc>
          <w:tcPr>
            <w:tcW w:w="960" w:type="dxa"/>
            <w:tcBorders>
              <w:top w:val="nil"/>
              <w:left w:val="nil"/>
              <w:bottom w:val="single" w:sz="4" w:space="0" w:color="000000"/>
              <w:right w:val="single" w:sz="4" w:space="0" w:color="000000"/>
            </w:tcBorders>
            <w:noWrap/>
            <w:vAlign w:val="bottom"/>
            <w:hideMark/>
          </w:tcPr>
          <w:p w14:paraId="30C11993"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2</w:t>
            </w:r>
          </w:p>
        </w:tc>
      </w:tr>
      <w:tr w:rsidR="00932E71" w:rsidRPr="00932E71" w14:paraId="673F34A1" w14:textId="77777777" w:rsidTr="00D73F5A">
        <w:trPr>
          <w:trHeight w:val="300"/>
          <w:jc w:val="center"/>
        </w:trPr>
        <w:tc>
          <w:tcPr>
            <w:tcW w:w="1400" w:type="dxa"/>
            <w:vMerge/>
            <w:tcBorders>
              <w:top w:val="nil"/>
              <w:left w:val="single" w:sz="4" w:space="0" w:color="000000"/>
              <w:bottom w:val="single" w:sz="4" w:space="0" w:color="000000"/>
              <w:right w:val="single" w:sz="4" w:space="0" w:color="000000"/>
            </w:tcBorders>
            <w:vAlign w:val="center"/>
            <w:hideMark/>
          </w:tcPr>
          <w:p w14:paraId="212B465B"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vAlign w:val="bottom"/>
            <w:hideMark/>
          </w:tcPr>
          <w:p w14:paraId="1436C7D6"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No</w:t>
            </w:r>
          </w:p>
        </w:tc>
        <w:tc>
          <w:tcPr>
            <w:tcW w:w="960" w:type="dxa"/>
            <w:tcBorders>
              <w:top w:val="nil"/>
              <w:left w:val="nil"/>
              <w:bottom w:val="single" w:sz="4" w:space="0" w:color="000000"/>
              <w:right w:val="single" w:sz="4" w:space="0" w:color="000000"/>
            </w:tcBorders>
            <w:noWrap/>
            <w:vAlign w:val="bottom"/>
            <w:hideMark/>
          </w:tcPr>
          <w:p w14:paraId="149D07C1"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2</w:t>
            </w:r>
          </w:p>
        </w:tc>
      </w:tr>
      <w:tr w:rsidR="00932E71" w:rsidRPr="00932E71" w14:paraId="139C705F" w14:textId="77777777" w:rsidTr="00D73F5A">
        <w:trPr>
          <w:trHeight w:val="360"/>
          <w:jc w:val="center"/>
        </w:trPr>
        <w:tc>
          <w:tcPr>
            <w:tcW w:w="1400" w:type="dxa"/>
            <w:vMerge/>
            <w:tcBorders>
              <w:top w:val="nil"/>
              <w:left w:val="single" w:sz="4" w:space="0" w:color="000000"/>
              <w:bottom w:val="single" w:sz="4" w:space="0" w:color="000000"/>
              <w:right w:val="single" w:sz="4" w:space="0" w:color="000000"/>
            </w:tcBorders>
            <w:vAlign w:val="center"/>
            <w:hideMark/>
          </w:tcPr>
          <w:p w14:paraId="7ED2E332" w14:textId="77777777" w:rsidR="00932E71" w:rsidRPr="00932E71" w:rsidRDefault="00932E71" w:rsidP="00932E71">
            <w:pPr>
              <w:spacing w:after="0" w:line="240" w:lineRule="auto"/>
              <w:rPr>
                <w:rFonts w:eastAsia="Times New Roman"/>
                <w:color w:val="000000"/>
                <w:lang w:eastAsia="en-GB"/>
              </w:rPr>
            </w:pPr>
          </w:p>
        </w:tc>
        <w:tc>
          <w:tcPr>
            <w:tcW w:w="3740" w:type="dxa"/>
            <w:tcBorders>
              <w:top w:val="nil"/>
              <w:left w:val="nil"/>
              <w:bottom w:val="single" w:sz="4" w:space="0" w:color="000000"/>
              <w:right w:val="single" w:sz="4" w:space="0" w:color="000000"/>
            </w:tcBorders>
            <w:noWrap/>
            <w:vAlign w:val="bottom"/>
            <w:hideMark/>
          </w:tcPr>
          <w:p w14:paraId="7B62E5C7" w14:textId="77777777" w:rsidR="00932E71" w:rsidRPr="00932E71" w:rsidRDefault="00932E71" w:rsidP="00932E71">
            <w:pPr>
              <w:spacing w:after="0" w:line="240" w:lineRule="auto"/>
              <w:rPr>
                <w:rFonts w:eastAsia="Times New Roman"/>
                <w:color w:val="000000"/>
                <w:lang w:eastAsia="en-GB"/>
              </w:rPr>
            </w:pPr>
            <w:r w:rsidRPr="00932E71">
              <w:rPr>
                <w:rFonts w:eastAsia="Times New Roman"/>
                <w:color w:val="000000"/>
                <w:lang w:eastAsia="en-GB"/>
              </w:rPr>
              <w:t>N/A</w:t>
            </w:r>
          </w:p>
        </w:tc>
        <w:tc>
          <w:tcPr>
            <w:tcW w:w="960" w:type="dxa"/>
            <w:tcBorders>
              <w:top w:val="nil"/>
              <w:left w:val="nil"/>
              <w:bottom w:val="single" w:sz="4" w:space="0" w:color="000000"/>
              <w:right w:val="single" w:sz="4" w:space="0" w:color="000000"/>
            </w:tcBorders>
            <w:noWrap/>
            <w:vAlign w:val="bottom"/>
            <w:hideMark/>
          </w:tcPr>
          <w:p w14:paraId="1C1603CC" w14:textId="77777777" w:rsidR="00932E71" w:rsidRPr="00932E71" w:rsidRDefault="00932E71" w:rsidP="00932E71">
            <w:pPr>
              <w:spacing w:after="0" w:line="240" w:lineRule="auto"/>
              <w:jc w:val="right"/>
              <w:rPr>
                <w:rFonts w:eastAsia="Times New Roman"/>
                <w:color w:val="000000"/>
                <w:lang w:eastAsia="en-GB"/>
              </w:rPr>
            </w:pPr>
            <w:r w:rsidRPr="00932E71">
              <w:rPr>
                <w:rFonts w:eastAsia="Times New Roman"/>
                <w:color w:val="000000"/>
                <w:lang w:eastAsia="en-GB"/>
              </w:rPr>
              <w:t>1</w:t>
            </w:r>
          </w:p>
        </w:tc>
      </w:tr>
    </w:tbl>
    <w:p w14:paraId="07BA1FE1" w14:textId="1B21922B" w:rsidR="00932E71" w:rsidRDefault="00D73F5A" w:rsidP="00D73F5A">
      <w:pPr>
        <w:pStyle w:val="Caption"/>
        <w:jc w:val="center"/>
      </w:pPr>
      <w:bookmarkStart w:id="119" w:name="_Toc219216430"/>
      <w:r>
        <w:t xml:space="preserve">Table </w:t>
      </w:r>
      <w:fldSimple w:instr=" SEQ Table \* ARABIC ">
        <w:r w:rsidR="004239CB">
          <w:rPr>
            <w:noProof/>
          </w:rPr>
          <w:t>17</w:t>
        </w:r>
      </w:fldSimple>
      <w:r>
        <w:t xml:space="preserve"> - </w:t>
      </w:r>
      <w:r w:rsidRPr="0067406C">
        <w:t>Questionnaire Q</w:t>
      </w:r>
      <w:r>
        <w:t>11</w:t>
      </w:r>
      <w:r w:rsidRPr="0067406C">
        <w:t xml:space="preserve"> Data Set</w:t>
      </w:r>
      <w:bookmarkEnd w:id="119"/>
    </w:p>
    <w:p w14:paraId="3FE2A710" w14:textId="77777777" w:rsidR="00932E71" w:rsidRDefault="00932E71" w:rsidP="00932E71">
      <w:pPr>
        <w:spacing w:after="0"/>
      </w:pPr>
    </w:p>
    <w:tbl>
      <w:tblPr>
        <w:tblW w:w="6016" w:type="dxa"/>
        <w:jc w:val="center"/>
        <w:tblCellMar>
          <w:top w:w="15" w:type="dxa"/>
        </w:tblCellMar>
        <w:tblLook w:val="04A0" w:firstRow="1" w:lastRow="0" w:firstColumn="1" w:lastColumn="0" w:noHBand="0" w:noVBand="1"/>
      </w:tblPr>
      <w:tblGrid>
        <w:gridCol w:w="1949"/>
        <w:gridCol w:w="3331"/>
        <w:gridCol w:w="700"/>
        <w:gridCol w:w="222"/>
      </w:tblGrid>
      <w:tr w:rsidR="00932E71" w:rsidRPr="00932E71" w14:paraId="77E18834" w14:textId="77777777" w:rsidTr="00D73F5A">
        <w:trPr>
          <w:gridAfter w:val="1"/>
          <w:wAfter w:w="36" w:type="dxa"/>
          <w:trHeight w:val="360"/>
          <w:jc w:val="center"/>
        </w:trPr>
        <w:tc>
          <w:tcPr>
            <w:tcW w:w="5980"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43498E36"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Effectiveness of Risk Management</w:t>
            </w:r>
          </w:p>
        </w:tc>
      </w:tr>
      <w:tr w:rsidR="00932E71" w:rsidRPr="00932E71" w14:paraId="205C61E9" w14:textId="77777777" w:rsidTr="00D73F5A">
        <w:trPr>
          <w:gridAfter w:val="1"/>
          <w:wAfter w:w="36" w:type="dxa"/>
          <w:trHeight w:val="360"/>
          <w:jc w:val="center"/>
        </w:trPr>
        <w:tc>
          <w:tcPr>
            <w:tcW w:w="1949" w:type="dxa"/>
            <w:vMerge w:val="restart"/>
            <w:tcBorders>
              <w:top w:val="nil"/>
              <w:left w:val="single" w:sz="4" w:space="0" w:color="000000"/>
              <w:bottom w:val="single" w:sz="4" w:space="0" w:color="000000"/>
              <w:right w:val="single" w:sz="4" w:space="0" w:color="000000"/>
            </w:tcBorders>
            <w:textDirection w:val="btLr"/>
            <w:vAlign w:val="center"/>
            <w:hideMark/>
          </w:tcPr>
          <w:p w14:paraId="223323E2"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Have you encountered project failures due to ineffective risk management?</w:t>
            </w:r>
          </w:p>
        </w:tc>
        <w:tc>
          <w:tcPr>
            <w:tcW w:w="3331" w:type="dxa"/>
            <w:tcBorders>
              <w:top w:val="nil"/>
              <w:left w:val="nil"/>
              <w:bottom w:val="single" w:sz="4" w:space="0" w:color="000000"/>
              <w:right w:val="single" w:sz="4" w:space="0" w:color="000000"/>
            </w:tcBorders>
            <w:shd w:val="clear" w:color="A6C9EC" w:fill="A6C9EC"/>
            <w:noWrap/>
            <w:vAlign w:val="bottom"/>
            <w:hideMark/>
          </w:tcPr>
          <w:p w14:paraId="1EF46BA5"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Project Failings</w:t>
            </w:r>
          </w:p>
        </w:tc>
        <w:tc>
          <w:tcPr>
            <w:tcW w:w="700" w:type="dxa"/>
            <w:tcBorders>
              <w:top w:val="nil"/>
              <w:left w:val="nil"/>
              <w:bottom w:val="single" w:sz="4" w:space="0" w:color="000000"/>
              <w:right w:val="single" w:sz="4" w:space="0" w:color="000000"/>
            </w:tcBorders>
            <w:shd w:val="clear" w:color="A6C9EC" w:fill="A6C9EC"/>
            <w:noWrap/>
            <w:vAlign w:val="bottom"/>
            <w:hideMark/>
          </w:tcPr>
          <w:p w14:paraId="21D26AEA"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No</w:t>
            </w:r>
          </w:p>
        </w:tc>
      </w:tr>
      <w:tr w:rsidR="00932E71" w:rsidRPr="00932E71" w14:paraId="5379A6FC" w14:textId="77777777" w:rsidTr="00D73F5A">
        <w:trPr>
          <w:gridAfter w:val="1"/>
          <w:wAfter w:w="36" w:type="dxa"/>
          <w:trHeight w:val="450"/>
          <w:jc w:val="center"/>
        </w:trPr>
        <w:tc>
          <w:tcPr>
            <w:tcW w:w="1949" w:type="dxa"/>
            <w:vMerge/>
            <w:tcBorders>
              <w:top w:val="nil"/>
              <w:left w:val="single" w:sz="4" w:space="0" w:color="000000"/>
              <w:bottom w:val="single" w:sz="4" w:space="0" w:color="000000"/>
              <w:right w:val="single" w:sz="4" w:space="0" w:color="000000"/>
            </w:tcBorders>
            <w:vAlign w:val="center"/>
            <w:hideMark/>
          </w:tcPr>
          <w:p w14:paraId="1324E563" w14:textId="77777777" w:rsidR="00932E71" w:rsidRPr="00932E71" w:rsidRDefault="00932E71" w:rsidP="00932E71">
            <w:pPr>
              <w:spacing w:after="0" w:line="240" w:lineRule="auto"/>
              <w:rPr>
                <w:rFonts w:eastAsia="Times New Roman"/>
                <w:color w:val="000000"/>
                <w:lang w:eastAsia="en-GB"/>
              </w:rPr>
            </w:pPr>
          </w:p>
        </w:tc>
        <w:tc>
          <w:tcPr>
            <w:tcW w:w="3331" w:type="dxa"/>
            <w:vMerge w:val="restart"/>
            <w:tcBorders>
              <w:top w:val="nil"/>
              <w:left w:val="single" w:sz="4" w:space="0" w:color="000000"/>
              <w:bottom w:val="single" w:sz="4" w:space="0" w:color="000000"/>
              <w:right w:val="single" w:sz="4" w:space="0" w:color="000000"/>
            </w:tcBorders>
            <w:noWrap/>
            <w:vAlign w:val="center"/>
            <w:hideMark/>
          </w:tcPr>
          <w:p w14:paraId="0980D438"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Yes</w:t>
            </w:r>
          </w:p>
        </w:tc>
        <w:tc>
          <w:tcPr>
            <w:tcW w:w="700" w:type="dxa"/>
            <w:vMerge w:val="restart"/>
            <w:tcBorders>
              <w:top w:val="nil"/>
              <w:left w:val="single" w:sz="4" w:space="0" w:color="000000"/>
              <w:bottom w:val="single" w:sz="4" w:space="0" w:color="000000"/>
              <w:right w:val="single" w:sz="4" w:space="0" w:color="000000"/>
            </w:tcBorders>
            <w:noWrap/>
            <w:vAlign w:val="center"/>
            <w:hideMark/>
          </w:tcPr>
          <w:p w14:paraId="2E5A263C"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25</w:t>
            </w:r>
          </w:p>
        </w:tc>
      </w:tr>
      <w:tr w:rsidR="00932E71" w:rsidRPr="00932E71" w14:paraId="77DF1F1C" w14:textId="77777777" w:rsidTr="00D73F5A">
        <w:trPr>
          <w:trHeight w:val="360"/>
          <w:jc w:val="center"/>
        </w:trPr>
        <w:tc>
          <w:tcPr>
            <w:tcW w:w="1949" w:type="dxa"/>
            <w:vMerge/>
            <w:tcBorders>
              <w:top w:val="nil"/>
              <w:left w:val="single" w:sz="4" w:space="0" w:color="000000"/>
              <w:bottom w:val="single" w:sz="4" w:space="0" w:color="000000"/>
              <w:right w:val="single" w:sz="4" w:space="0" w:color="000000"/>
            </w:tcBorders>
            <w:vAlign w:val="center"/>
            <w:hideMark/>
          </w:tcPr>
          <w:p w14:paraId="7D07ED8E" w14:textId="77777777" w:rsidR="00932E71" w:rsidRPr="00932E71" w:rsidRDefault="00932E71" w:rsidP="00932E71">
            <w:pPr>
              <w:spacing w:after="0" w:line="240" w:lineRule="auto"/>
              <w:rPr>
                <w:rFonts w:eastAsia="Times New Roman"/>
                <w:color w:val="000000"/>
                <w:lang w:eastAsia="en-GB"/>
              </w:rPr>
            </w:pPr>
          </w:p>
        </w:tc>
        <w:tc>
          <w:tcPr>
            <w:tcW w:w="3331" w:type="dxa"/>
            <w:vMerge/>
            <w:tcBorders>
              <w:top w:val="nil"/>
              <w:left w:val="single" w:sz="4" w:space="0" w:color="000000"/>
              <w:bottom w:val="single" w:sz="4" w:space="0" w:color="000000"/>
              <w:right w:val="single" w:sz="4" w:space="0" w:color="000000"/>
            </w:tcBorders>
            <w:vAlign w:val="center"/>
            <w:hideMark/>
          </w:tcPr>
          <w:p w14:paraId="343162E3" w14:textId="77777777" w:rsidR="00932E71" w:rsidRPr="00932E71" w:rsidRDefault="00932E71" w:rsidP="00932E71">
            <w:pPr>
              <w:spacing w:after="0" w:line="240" w:lineRule="auto"/>
              <w:rPr>
                <w:rFonts w:eastAsia="Times New Roman"/>
                <w:color w:val="000000"/>
                <w:lang w:eastAsia="en-GB"/>
              </w:rPr>
            </w:pPr>
          </w:p>
        </w:tc>
        <w:tc>
          <w:tcPr>
            <w:tcW w:w="700" w:type="dxa"/>
            <w:vMerge/>
            <w:tcBorders>
              <w:top w:val="nil"/>
              <w:left w:val="single" w:sz="4" w:space="0" w:color="000000"/>
              <w:bottom w:val="single" w:sz="4" w:space="0" w:color="000000"/>
              <w:right w:val="single" w:sz="4" w:space="0" w:color="000000"/>
            </w:tcBorders>
            <w:vAlign w:val="center"/>
            <w:hideMark/>
          </w:tcPr>
          <w:p w14:paraId="65AB7382" w14:textId="77777777" w:rsidR="00932E71" w:rsidRPr="00932E71" w:rsidRDefault="00932E71" w:rsidP="00932E71">
            <w:pPr>
              <w:spacing w:after="0" w:line="240" w:lineRule="auto"/>
              <w:rPr>
                <w:rFonts w:eastAsia="Times New Roman"/>
                <w:color w:val="000000"/>
                <w:lang w:eastAsia="en-GB"/>
              </w:rPr>
            </w:pPr>
          </w:p>
        </w:tc>
        <w:tc>
          <w:tcPr>
            <w:tcW w:w="36" w:type="dxa"/>
            <w:tcBorders>
              <w:top w:val="nil"/>
              <w:left w:val="nil"/>
              <w:bottom w:val="nil"/>
              <w:right w:val="nil"/>
            </w:tcBorders>
            <w:noWrap/>
            <w:vAlign w:val="bottom"/>
            <w:hideMark/>
          </w:tcPr>
          <w:p w14:paraId="7D7B2248" w14:textId="77777777" w:rsidR="00932E71" w:rsidRPr="00932E71" w:rsidRDefault="00932E71" w:rsidP="00932E71">
            <w:pPr>
              <w:spacing w:after="0" w:line="240" w:lineRule="auto"/>
              <w:jc w:val="center"/>
              <w:rPr>
                <w:rFonts w:eastAsia="Times New Roman"/>
                <w:color w:val="000000"/>
                <w:lang w:eastAsia="en-GB"/>
              </w:rPr>
            </w:pPr>
          </w:p>
        </w:tc>
      </w:tr>
      <w:tr w:rsidR="00932E71" w:rsidRPr="00932E71" w14:paraId="06230A4D" w14:textId="77777777" w:rsidTr="00D73F5A">
        <w:trPr>
          <w:trHeight w:val="360"/>
          <w:jc w:val="center"/>
        </w:trPr>
        <w:tc>
          <w:tcPr>
            <w:tcW w:w="1949" w:type="dxa"/>
            <w:vMerge/>
            <w:tcBorders>
              <w:top w:val="nil"/>
              <w:left w:val="single" w:sz="4" w:space="0" w:color="000000"/>
              <w:bottom w:val="single" w:sz="4" w:space="0" w:color="000000"/>
              <w:right w:val="single" w:sz="4" w:space="0" w:color="000000"/>
            </w:tcBorders>
            <w:vAlign w:val="center"/>
            <w:hideMark/>
          </w:tcPr>
          <w:p w14:paraId="45B97839" w14:textId="77777777" w:rsidR="00932E71" w:rsidRPr="00932E71" w:rsidRDefault="00932E71" w:rsidP="00932E71">
            <w:pPr>
              <w:spacing w:after="0" w:line="240" w:lineRule="auto"/>
              <w:rPr>
                <w:rFonts w:eastAsia="Times New Roman"/>
                <w:color w:val="000000"/>
                <w:lang w:eastAsia="en-GB"/>
              </w:rPr>
            </w:pPr>
          </w:p>
        </w:tc>
        <w:tc>
          <w:tcPr>
            <w:tcW w:w="3331" w:type="dxa"/>
            <w:vMerge/>
            <w:tcBorders>
              <w:top w:val="nil"/>
              <w:left w:val="single" w:sz="4" w:space="0" w:color="000000"/>
              <w:bottom w:val="single" w:sz="4" w:space="0" w:color="000000"/>
              <w:right w:val="single" w:sz="4" w:space="0" w:color="000000"/>
            </w:tcBorders>
            <w:vAlign w:val="center"/>
            <w:hideMark/>
          </w:tcPr>
          <w:p w14:paraId="7745F0B4" w14:textId="77777777" w:rsidR="00932E71" w:rsidRPr="00932E71" w:rsidRDefault="00932E71" w:rsidP="00932E71">
            <w:pPr>
              <w:spacing w:after="0" w:line="240" w:lineRule="auto"/>
              <w:rPr>
                <w:rFonts w:eastAsia="Times New Roman"/>
                <w:color w:val="000000"/>
                <w:lang w:eastAsia="en-GB"/>
              </w:rPr>
            </w:pPr>
          </w:p>
        </w:tc>
        <w:tc>
          <w:tcPr>
            <w:tcW w:w="700" w:type="dxa"/>
            <w:vMerge/>
            <w:tcBorders>
              <w:top w:val="nil"/>
              <w:left w:val="single" w:sz="4" w:space="0" w:color="000000"/>
              <w:bottom w:val="single" w:sz="4" w:space="0" w:color="000000"/>
              <w:right w:val="single" w:sz="4" w:space="0" w:color="000000"/>
            </w:tcBorders>
            <w:vAlign w:val="center"/>
            <w:hideMark/>
          </w:tcPr>
          <w:p w14:paraId="51302CF7" w14:textId="77777777" w:rsidR="00932E71" w:rsidRPr="00932E71" w:rsidRDefault="00932E71" w:rsidP="00932E71">
            <w:pPr>
              <w:spacing w:after="0" w:line="240" w:lineRule="auto"/>
              <w:rPr>
                <w:rFonts w:eastAsia="Times New Roman"/>
                <w:color w:val="000000"/>
                <w:lang w:eastAsia="en-GB"/>
              </w:rPr>
            </w:pPr>
          </w:p>
        </w:tc>
        <w:tc>
          <w:tcPr>
            <w:tcW w:w="36" w:type="dxa"/>
            <w:tcBorders>
              <w:top w:val="nil"/>
              <w:left w:val="nil"/>
              <w:bottom w:val="nil"/>
              <w:right w:val="nil"/>
            </w:tcBorders>
            <w:noWrap/>
            <w:vAlign w:val="bottom"/>
            <w:hideMark/>
          </w:tcPr>
          <w:p w14:paraId="4039D812" w14:textId="77777777" w:rsidR="00932E71" w:rsidRPr="00932E71" w:rsidRDefault="00932E71" w:rsidP="00932E71">
            <w:pPr>
              <w:spacing w:after="0" w:line="240" w:lineRule="auto"/>
              <w:rPr>
                <w:rFonts w:ascii="Times New Roman" w:eastAsia="Times New Roman" w:hAnsi="Times New Roman" w:cs="Times New Roman"/>
                <w:color w:val="auto"/>
                <w:sz w:val="20"/>
                <w:szCs w:val="20"/>
                <w:lang w:eastAsia="en-GB"/>
              </w:rPr>
            </w:pPr>
          </w:p>
        </w:tc>
      </w:tr>
      <w:tr w:rsidR="00932E71" w:rsidRPr="00932E71" w14:paraId="357AE491" w14:textId="77777777" w:rsidTr="00D73F5A">
        <w:trPr>
          <w:trHeight w:val="360"/>
          <w:jc w:val="center"/>
        </w:trPr>
        <w:tc>
          <w:tcPr>
            <w:tcW w:w="1949" w:type="dxa"/>
            <w:vMerge/>
            <w:tcBorders>
              <w:top w:val="nil"/>
              <w:left w:val="single" w:sz="4" w:space="0" w:color="000000"/>
              <w:bottom w:val="single" w:sz="4" w:space="0" w:color="000000"/>
              <w:right w:val="single" w:sz="4" w:space="0" w:color="000000"/>
            </w:tcBorders>
            <w:vAlign w:val="center"/>
            <w:hideMark/>
          </w:tcPr>
          <w:p w14:paraId="094EE4B2" w14:textId="77777777" w:rsidR="00932E71" w:rsidRPr="00932E71" w:rsidRDefault="00932E71" w:rsidP="00932E71">
            <w:pPr>
              <w:spacing w:after="0" w:line="240" w:lineRule="auto"/>
              <w:rPr>
                <w:rFonts w:eastAsia="Times New Roman"/>
                <w:color w:val="000000"/>
                <w:lang w:eastAsia="en-GB"/>
              </w:rPr>
            </w:pPr>
          </w:p>
        </w:tc>
        <w:tc>
          <w:tcPr>
            <w:tcW w:w="3331" w:type="dxa"/>
            <w:vMerge w:val="restart"/>
            <w:tcBorders>
              <w:top w:val="nil"/>
              <w:left w:val="single" w:sz="4" w:space="0" w:color="000000"/>
              <w:bottom w:val="single" w:sz="4" w:space="0" w:color="000000"/>
              <w:right w:val="single" w:sz="4" w:space="0" w:color="000000"/>
            </w:tcBorders>
            <w:noWrap/>
            <w:vAlign w:val="center"/>
            <w:hideMark/>
          </w:tcPr>
          <w:p w14:paraId="32A84766"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No</w:t>
            </w:r>
          </w:p>
        </w:tc>
        <w:tc>
          <w:tcPr>
            <w:tcW w:w="700" w:type="dxa"/>
            <w:vMerge w:val="restart"/>
            <w:tcBorders>
              <w:top w:val="nil"/>
              <w:left w:val="single" w:sz="4" w:space="0" w:color="000000"/>
              <w:bottom w:val="single" w:sz="4" w:space="0" w:color="000000"/>
              <w:right w:val="single" w:sz="4" w:space="0" w:color="000000"/>
            </w:tcBorders>
            <w:noWrap/>
            <w:vAlign w:val="center"/>
            <w:hideMark/>
          </w:tcPr>
          <w:p w14:paraId="7CC7D983" w14:textId="77777777" w:rsidR="00932E71" w:rsidRPr="00932E71" w:rsidRDefault="00932E71" w:rsidP="00932E71">
            <w:pPr>
              <w:spacing w:after="0" w:line="240" w:lineRule="auto"/>
              <w:jc w:val="center"/>
              <w:rPr>
                <w:rFonts w:eastAsia="Times New Roman"/>
                <w:color w:val="000000"/>
                <w:lang w:eastAsia="en-GB"/>
              </w:rPr>
            </w:pPr>
            <w:r w:rsidRPr="00932E71">
              <w:rPr>
                <w:rFonts w:eastAsia="Times New Roman"/>
                <w:color w:val="000000"/>
                <w:lang w:eastAsia="en-GB"/>
              </w:rPr>
              <w:t>11</w:t>
            </w:r>
          </w:p>
        </w:tc>
        <w:tc>
          <w:tcPr>
            <w:tcW w:w="36" w:type="dxa"/>
            <w:vAlign w:val="center"/>
            <w:hideMark/>
          </w:tcPr>
          <w:p w14:paraId="19F05F0B" w14:textId="77777777" w:rsidR="00932E71" w:rsidRPr="00932E71" w:rsidRDefault="00932E71" w:rsidP="00932E71">
            <w:pPr>
              <w:spacing w:after="0" w:line="240" w:lineRule="auto"/>
              <w:rPr>
                <w:rFonts w:ascii="Times New Roman" w:eastAsia="Times New Roman" w:hAnsi="Times New Roman" w:cs="Times New Roman"/>
                <w:color w:val="auto"/>
                <w:sz w:val="20"/>
                <w:szCs w:val="20"/>
                <w:lang w:eastAsia="en-GB"/>
              </w:rPr>
            </w:pPr>
          </w:p>
        </w:tc>
      </w:tr>
      <w:tr w:rsidR="00932E71" w:rsidRPr="00932E71" w14:paraId="386526EC" w14:textId="77777777" w:rsidTr="00D73F5A">
        <w:trPr>
          <w:trHeight w:val="300"/>
          <w:jc w:val="center"/>
        </w:trPr>
        <w:tc>
          <w:tcPr>
            <w:tcW w:w="1949" w:type="dxa"/>
            <w:vMerge/>
            <w:tcBorders>
              <w:top w:val="nil"/>
              <w:left w:val="single" w:sz="4" w:space="0" w:color="000000"/>
              <w:bottom w:val="single" w:sz="4" w:space="0" w:color="000000"/>
              <w:right w:val="single" w:sz="4" w:space="0" w:color="000000"/>
            </w:tcBorders>
            <w:vAlign w:val="center"/>
            <w:hideMark/>
          </w:tcPr>
          <w:p w14:paraId="469F51A9" w14:textId="77777777" w:rsidR="00932E71" w:rsidRPr="00932E71" w:rsidRDefault="00932E71" w:rsidP="00932E71">
            <w:pPr>
              <w:spacing w:after="0" w:line="240" w:lineRule="auto"/>
              <w:rPr>
                <w:rFonts w:eastAsia="Times New Roman"/>
                <w:color w:val="000000"/>
                <w:lang w:eastAsia="en-GB"/>
              </w:rPr>
            </w:pPr>
          </w:p>
        </w:tc>
        <w:tc>
          <w:tcPr>
            <w:tcW w:w="3331" w:type="dxa"/>
            <w:vMerge/>
            <w:tcBorders>
              <w:top w:val="nil"/>
              <w:left w:val="single" w:sz="4" w:space="0" w:color="000000"/>
              <w:bottom w:val="single" w:sz="4" w:space="0" w:color="000000"/>
              <w:right w:val="single" w:sz="4" w:space="0" w:color="000000"/>
            </w:tcBorders>
            <w:vAlign w:val="center"/>
            <w:hideMark/>
          </w:tcPr>
          <w:p w14:paraId="690CA911" w14:textId="77777777" w:rsidR="00932E71" w:rsidRPr="00932E71" w:rsidRDefault="00932E71" w:rsidP="00932E71">
            <w:pPr>
              <w:spacing w:after="0" w:line="240" w:lineRule="auto"/>
              <w:rPr>
                <w:rFonts w:eastAsia="Times New Roman"/>
                <w:color w:val="000000"/>
                <w:lang w:eastAsia="en-GB"/>
              </w:rPr>
            </w:pPr>
          </w:p>
        </w:tc>
        <w:tc>
          <w:tcPr>
            <w:tcW w:w="700" w:type="dxa"/>
            <w:vMerge/>
            <w:tcBorders>
              <w:top w:val="nil"/>
              <w:left w:val="single" w:sz="4" w:space="0" w:color="000000"/>
              <w:bottom w:val="single" w:sz="4" w:space="0" w:color="000000"/>
              <w:right w:val="single" w:sz="4" w:space="0" w:color="000000"/>
            </w:tcBorders>
            <w:vAlign w:val="center"/>
            <w:hideMark/>
          </w:tcPr>
          <w:p w14:paraId="25BEE7DD" w14:textId="77777777" w:rsidR="00932E71" w:rsidRPr="00932E71" w:rsidRDefault="00932E71" w:rsidP="00932E71">
            <w:pPr>
              <w:spacing w:after="0" w:line="240" w:lineRule="auto"/>
              <w:rPr>
                <w:rFonts w:eastAsia="Times New Roman"/>
                <w:color w:val="000000"/>
                <w:lang w:eastAsia="en-GB"/>
              </w:rPr>
            </w:pPr>
          </w:p>
        </w:tc>
        <w:tc>
          <w:tcPr>
            <w:tcW w:w="36" w:type="dxa"/>
            <w:tcBorders>
              <w:top w:val="nil"/>
              <w:left w:val="nil"/>
              <w:bottom w:val="nil"/>
              <w:right w:val="nil"/>
            </w:tcBorders>
            <w:noWrap/>
            <w:vAlign w:val="bottom"/>
            <w:hideMark/>
          </w:tcPr>
          <w:p w14:paraId="27D1D856" w14:textId="77777777" w:rsidR="00932E71" w:rsidRPr="00932E71" w:rsidRDefault="00932E71" w:rsidP="00932E71">
            <w:pPr>
              <w:spacing w:after="0" w:line="240" w:lineRule="auto"/>
              <w:jc w:val="center"/>
              <w:rPr>
                <w:rFonts w:eastAsia="Times New Roman"/>
                <w:color w:val="000000"/>
                <w:lang w:eastAsia="en-GB"/>
              </w:rPr>
            </w:pPr>
          </w:p>
        </w:tc>
      </w:tr>
      <w:tr w:rsidR="00932E71" w:rsidRPr="00932E71" w14:paraId="5BD2FFFF" w14:textId="77777777" w:rsidTr="00D73F5A">
        <w:trPr>
          <w:trHeight w:val="360"/>
          <w:jc w:val="center"/>
        </w:trPr>
        <w:tc>
          <w:tcPr>
            <w:tcW w:w="1949" w:type="dxa"/>
            <w:vMerge/>
            <w:tcBorders>
              <w:top w:val="nil"/>
              <w:left w:val="single" w:sz="4" w:space="0" w:color="000000"/>
              <w:bottom w:val="single" w:sz="4" w:space="0" w:color="000000"/>
              <w:right w:val="single" w:sz="4" w:space="0" w:color="000000"/>
            </w:tcBorders>
            <w:vAlign w:val="center"/>
            <w:hideMark/>
          </w:tcPr>
          <w:p w14:paraId="1B92F0BF" w14:textId="77777777" w:rsidR="00932E71" w:rsidRPr="00932E71" w:rsidRDefault="00932E71" w:rsidP="00932E71">
            <w:pPr>
              <w:spacing w:after="0" w:line="240" w:lineRule="auto"/>
              <w:rPr>
                <w:rFonts w:eastAsia="Times New Roman"/>
                <w:color w:val="000000"/>
                <w:lang w:eastAsia="en-GB"/>
              </w:rPr>
            </w:pPr>
          </w:p>
        </w:tc>
        <w:tc>
          <w:tcPr>
            <w:tcW w:w="3331" w:type="dxa"/>
            <w:vMerge/>
            <w:tcBorders>
              <w:top w:val="nil"/>
              <w:left w:val="single" w:sz="4" w:space="0" w:color="000000"/>
              <w:bottom w:val="single" w:sz="4" w:space="0" w:color="000000"/>
              <w:right w:val="single" w:sz="4" w:space="0" w:color="000000"/>
            </w:tcBorders>
            <w:vAlign w:val="center"/>
            <w:hideMark/>
          </w:tcPr>
          <w:p w14:paraId="6F2A8E06" w14:textId="77777777" w:rsidR="00932E71" w:rsidRPr="00932E71" w:rsidRDefault="00932E71" w:rsidP="00932E71">
            <w:pPr>
              <w:spacing w:after="0" w:line="240" w:lineRule="auto"/>
              <w:rPr>
                <w:rFonts w:eastAsia="Times New Roman"/>
                <w:color w:val="000000"/>
                <w:lang w:eastAsia="en-GB"/>
              </w:rPr>
            </w:pPr>
          </w:p>
        </w:tc>
        <w:tc>
          <w:tcPr>
            <w:tcW w:w="700" w:type="dxa"/>
            <w:vMerge/>
            <w:tcBorders>
              <w:top w:val="nil"/>
              <w:left w:val="single" w:sz="4" w:space="0" w:color="000000"/>
              <w:bottom w:val="single" w:sz="4" w:space="0" w:color="000000"/>
              <w:right w:val="single" w:sz="4" w:space="0" w:color="000000"/>
            </w:tcBorders>
            <w:vAlign w:val="center"/>
            <w:hideMark/>
          </w:tcPr>
          <w:p w14:paraId="4E9776B0" w14:textId="77777777" w:rsidR="00932E71" w:rsidRPr="00932E71" w:rsidRDefault="00932E71" w:rsidP="00932E71">
            <w:pPr>
              <w:spacing w:after="0" w:line="240" w:lineRule="auto"/>
              <w:rPr>
                <w:rFonts w:eastAsia="Times New Roman"/>
                <w:color w:val="000000"/>
                <w:lang w:eastAsia="en-GB"/>
              </w:rPr>
            </w:pPr>
          </w:p>
        </w:tc>
        <w:tc>
          <w:tcPr>
            <w:tcW w:w="36" w:type="dxa"/>
            <w:tcBorders>
              <w:top w:val="nil"/>
              <w:left w:val="nil"/>
              <w:bottom w:val="nil"/>
              <w:right w:val="nil"/>
            </w:tcBorders>
            <w:noWrap/>
            <w:vAlign w:val="bottom"/>
            <w:hideMark/>
          </w:tcPr>
          <w:p w14:paraId="23B1172E" w14:textId="77777777" w:rsidR="00932E71" w:rsidRPr="00932E71" w:rsidRDefault="00932E71" w:rsidP="00932E71">
            <w:pPr>
              <w:spacing w:after="0" w:line="240" w:lineRule="auto"/>
              <w:rPr>
                <w:rFonts w:ascii="Times New Roman" w:eastAsia="Times New Roman" w:hAnsi="Times New Roman" w:cs="Times New Roman"/>
                <w:color w:val="auto"/>
                <w:sz w:val="20"/>
                <w:szCs w:val="20"/>
                <w:lang w:eastAsia="en-GB"/>
              </w:rPr>
            </w:pPr>
          </w:p>
        </w:tc>
      </w:tr>
    </w:tbl>
    <w:p w14:paraId="48FC6957" w14:textId="52BBAC65" w:rsidR="00932E71" w:rsidRDefault="00D73F5A" w:rsidP="00D73F5A">
      <w:pPr>
        <w:pStyle w:val="Caption"/>
        <w:jc w:val="center"/>
      </w:pPr>
      <w:bookmarkStart w:id="120" w:name="_Toc219216431"/>
      <w:r>
        <w:t xml:space="preserve">Table </w:t>
      </w:r>
      <w:fldSimple w:instr=" SEQ Table \* ARABIC ">
        <w:r w:rsidR="004239CB">
          <w:rPr>
            <w:noProof/>
          </w:rPr>
          <w:t>18</w:t>
        </w:r>
      </w:fldSimple>
      <w:r>
        <w:t xml:space="preserve"> - </w:t>
      </w:r>
      <w:r w:rsidRPr="00707DBB">
        <w:t>Questionnaire Q</w:t>
      </w:r>
      <w:r>
        <w:t>12</w:t>
      </w:r>
      <w:r w:rsidRPr="00707DBB">
        <w:t xml:space="preserve"> Data Set</w:t>
      </w:r>
      <w:bookmarkEnd w:id="120"/>
    </w:p>
    <w:p w14:paraId="658CB08B" w14:textId="77777777" w:rsidR="00932E71" w:rsidRDefault="00932E71" w:rsidP="00932E71">
      <w:pPr>
        <w:spacing w:after="0"/>
      </w:pPr>
    </w:p>
    <w:p w14:paraId="1D6B3336" w14:textId="77777777" w:rsidR="00D73F5A" w:rsidRDefault="00D73F5A" w:rsidP="00932E71">
      <w:pPr>
        <w:spacing w:after="0"/>
      </w:pPr>
    </w:p>
    <w:p w14:paraId="544CE079" w14:textId="77777777" w:rsidR="00D73F5A" w:rsidRDefault="00D73F5A" w:rsidP="00932E71">
      <w:pPr>
        <w:spacing w:after="0"/>
      </w:pPr>
    </w:p>
    <w:p w14:paraId="22F9D54C" w14:textId="77777777" w:rsidR="00D73F5A" w:rsidRDefault="00D73F5A" w:rsidP="00932E71">
      <w:pPr>
        <w:spacing w:after="0"/>
      </w:pPr>
    </w:p>
    <w:p w14:paraId="5C7DD4D0" w14:textId="77777777" w:rsidR="00D73F5A" w:rsidRDefault="00D73F5A" w:rsidP="00932E71">
      <w:pPr>
        <w:spacing w:after="0"/>
      </w:pPr>
    </w:p>
    <w:p w14:paraId="37325789" w14:textId="77777777" w:rsidR="00D73F5A" w:rsidRDefault="00D73F5A" w:rsidP="00932E71">
      <w:pPr>
        <w:spacing w:after="0"/>
      </w:pPr>
    </w:p>
    <w:p w14:paraId="507DAB9B" w14:textId="77777777" w:rsidR="00D73F5A" w:rsidRDefault="00D73F5A" w:rsidP="00932E71">
      <w:pPr>
        <w:spacing w:after="0"/>
      </w:pPr>
    </w:p>
    <w:p w14:paraId="646E63AD" w14:textId="77777777" w:rsidR="00D73F5A" w:rsidRDefault="00D73F5A" w:rsidP="00932E71">
      <w:pPr>
        <w:spacing w:after="0"/>
      </w:pPr>
    </w:p>
    <w:p w14:paraId="56B4AF31" w14:textId="77777777" w:rsidR="00D73F5A" w:rsidRDefault="00D73F5A" w:rsidP="00932E71">
      <w:pPr>
        <w:spacing w:after="0"/>
      </w:pPr>
    </w:p>
    <w:tbl>
      <w:tblPr>
        <w:tblW w:w="6300" w:type="dxa"/>
        <w:jc w:val="center"/>
        <w:tblLook w:val="04A0" w:firstRow="1" w:lastRow="0" w:firstColumn="1" w:lastColumn="0" w:noHBand="0" w:noVBand="1"/>
      </w:tblPr>
      <w:tblGrid>
        <w:gridCol w:w="980"/>
        <w:gridCol w:w="4360"/>
        <w:gridCol w:w="960"/>
      </w:tblGrid>
      <w:tr w:rsidR="00D73F5A" w:rsidRPr="00D73F5A" w14:paraId="1186AD80" w14:textId="77777777" w:rsidTr="00D73F5A">
        <w:trPr>
          <w:trHeight w:val="360"/>
          <w:jc w:val="center"/>
        </w:trPr>
        <w:tc>
          <w:tcPr>
            <w:tcW w:w="6300"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2BCA78BD"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Effectiveness of Risk Management</w:t>
            </w:r>
          </w:p>
        </w:tc>
      </w:tr>
      <w:tr w:rsidR="00D73F5A" w:rsidRPr="00D73F5A" w14:paraId="058DB4BC" w14:textId="77777777" w:rsidTr="00D73F5A">
        <w:trPr>
          <w:trHeight w:val="360"/>
          <w:jc w:val="center"/>
        </w:trPr>
        <w:tc>
          <w:tcPr>
            <w:tcW w:w="980" w:type="dxa"/>
            <w:vMerge w:val="restart"/>
            <w:tcBorders>
              <w:top w:val="nil"/>
              <w:left w:val="single" w:sz="4" w:space="0" w:color="000000"/>
              <w:bottom w:val="single" w:sz="4" w:space="0" w:color="000000"/>
              <w:right w:val="single" w:sz="4" w:space="0" w:color="000000"/>
            </w:tcBorders>
            <w:textDirection w:val="btLr"/>
            <w:vAlign w:val="center"/>
            <w:hideMark/>
          </w:tcPr>
          <w:p w14:paraId="76BABBDF"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 xml:space="preserve">In your opinion, what are the most common risk factors affecting </w:t>
            </w:r>
            <w:r w:rsidRPr="00D73F5A">
              <w:rPr>
                <w:rFonts w:eastAsia="Times New Roman"/>
                <w:color w:val="000000"/>
                <w:lang w:eastAsia="en-GB"/>
              </w:rPr>
              <w:br/>
              <w:t>project success?</w:t>
            </w:r>
          </w:p>
        </w:tc>
        <w:tc>
          <w:tcPr>
            <w:tcW w:w="4360" w:type="dxa"/>
            <w:tcBorders>
              <w:top w:val="nil"/>
              <w:left w:val="nil"/>
              <w:bottom w:val="single" w:sz="4" w:space="0" w:color="000000"/>
              <w:right w:val="single" w:sz="4" w:space="0" w:color="000000"/>
            </w:tcBorders>
            <w:shd w:val="clear" w:color="A6C9EC" w:fill="A6C9EC"/>
            <w:noWrap/>
            <w:vAlign w:val="bottom"/>
            <w:hideMark/>
          </w:tcPr>
          <w:p w14:paraId="74C658F0"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Project Failings</w:t>
            </w:r>
          </w:p>
        </w:tc>
        <w:tc>
          <w:tcPr>
            <w:tcW w:w="960" w:type="dxa"/>
            <w:tcBorders>
              <w:top w:val="nil"/>
              <w:left w:val="nil"/>
              <w:bottom w:val="single" w:sz="4" w:space="0" w:color="000000"/>
              <w:right w:val="single" w:sz="4" w:space="0" w:color="000000"/>
            </w:tcBorders>
            <w:shd w:val="clear" w:color="A6C9EC" w:fill="A6C9EC"/>
            <w:noWrap/>
            <w:vAlign w:val="bottom"/>
            <w:hideMark/>
          </w:tcPr>
          <w:p w14:paraId="784EE3FF"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No</w:t>
            </w:r>
          </w:p>
        </w:tc>
      </w:tr>
      <w:tr w:rsidR="00D73F5A" w:rsidRPr="00D73F5A" w14:paraId="5D6A7260" w14:textId="77777777" w:rsidTr="00D73F5A">
        <w:trPr>
          <w:trHeight w:val="360"/>
          <w:jc w:val="center"/>
        </w:trPr>
        <w:tc>
          <w:tcPr>
            <w:tcW w:w="980" w:type="dxa"/>
            <w:vMerge/>
            <w:tcBorders>
              <w:top w:val="nil"/>
              <w:left w:val="single" w:sz="4" w:space="0" w:color="000000"/>
              <w:bottom w:val="single" w:sz="4" w:space="0" w:color="000000"/>
              <w:right w:val="single" w:sz="4" w:space="0" w:color="000000"/>
            </w:tcBorders>
            <w:vAlign w:val="center"/>
            <w:hideMark/>
          </w:tcPr>
          <w:p w14:paraId="285B56F5" w14:textId="77777777" w:rsidR="00D73F5A" w:rsidRPr="00D73F5A" w:rsidRDefault="00D73F5A" w:rsidP="00D73F5A">
            <w:pPr>
              <w:spacing w:after="0" w:line="240" w:lineRule="auto"/>
              <w:rPr>
                <w:rFonts w:eastAsia="Times New Roman"/>
                <w:color w:val="000000"/>
                <w:lang w:eastAsia="en-GB"/>
              </w:rPr>
            </w:pPr>
          </w:p>
        </w:tc>
        <w:tc>
          <w:tcPr>
            <w:tcW w:w="4360" w:type="dxa"/>
            <w:tcBorders>
              <w:top w:val="nil"/>
              <w:left w:val="nil"/>
              <w:bottom w:val="single" w:sz="4" w:space="0" w:color="000000"/>
              <w:right w:val="single" w:sz="4" w:space="0" w:color="000000"/>
            </w:tcBorders>
            <w:noWrap/>
            <w:vAlign w:val="bottom"/>
            <w:hideMark/>
          </w:tcPr>
          <w:p w14:paraId="5323B37E" w14:textId="77777777" w:rsidR="00D73F5A" w:rsidRPr="00D73F5A" w:rsidRDefault="00D73F5A" w:rsidP="00D73F5A">
            <w:pPr>
              <w:spacing w:after="0" w:line="240" w:lineRule="auto"/>
              <w:rPr>
                <w:rFonts w:eastAsia="Times New Roman"/>
                <w:color w:val="000000"/>
                <w:lang w:eastAsia="en-GB"/>
              </w:rPr>
            </w:pPr>
            <w:r w:rsidRPr="00D73F5A">
              <w:rPr>
                <w:rFonts w:eastAsia="Times New Roman"/>
                <w:color w:val="000000"/>
                <w:lang w:eastAsia="en-GB"/>
              </w:rPr>
              <w:t>Budget Overruns</w:t>
            </w:r>
          </w:p>
        </w:tc>
        <w:tc>
          <w:tcPr>
            <w:tcW w:w="960" w:type="dxa"/>
            <w:tcBorders>
              <w:top w:val="nil"/>
              <w:left w:val="nil"/>
              <w:bottom w:val="single" w:sz="4" w:space="0" w:color="000000"/>
              <w:right w:val="single" w:sz="4" w:space="0" w:color="000000"/>
            </w:tcBorders>
            <w:noWrap/>
            <w:vAlign w:val="center"/>
            <w:hideMark/>
          </w:tcPr>
          <w:p w14:paraId="1BA9D559"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24</w:t>
            </w:r>
          </w:p>
        </w:tc>
      </w:tr>
      <w:tr w:rsidR="00D73F5A" w:rsidRPr="00D73F5A" w14:paraId="7C03C309" w14:textId="77777777" w:rsidTr="00D73F5A">
        <w:trPr>
          <w:trHeight w:val="360"/>
          <w:jc w:val="center"/>
        </w:trPr>
        <w:tc>
          <w:tcPr>
            <w:tcW w:w="980" w:type="dxa"/>
            <w:vMerge/>
            <w:tcBorders>
              <w:top w:val="nil"/>
              <w:left w:val="single" w:sz="4" w:space="0" w:color="000000"/>
              <w:bottom w:val="single" w:sz="4" w:space="0" w:color="000000"/>
              <w:right w:val="single" w:sz="4" w:space="0" w:color="000000"/>
            </w:tcBorders>
            <w:vAlign w:val="center"/>
            <w:hideMark/>
          </w:tcPr>
          <w:p w14:paraId="57B2ABCF" w14:textId="77777777" w:rsidR="00D73F5A" w:rsidRPr="00D73F5A" w:rsidRDefault="00D73F5A" w:rsidP="00D73F5A">
            <w:pPr>
              <w:spacing w:after="0" w:line="240" w:lineRule="auto"/>
              <w:rPr>
                <w:rFonts w:eastAsia="Times New Roman"/>
                <w:color w:val="000000"/>
                <w:lang w:eastAsia="en-GB"/>
              </w:rPr>
            </w:pPr>
          </w:p>
        </w:tc>
        <w:tc>
          <w:tcPr>
            <w:tcW w:w="4360" w:type="dxa"/>
            <w:tcBorders>
              <w:top w:val="nil"/>
              <w:left w:val="nil"/>
              <w:bottom w:val="single" w:sz="4" w:space="0" w:color="000000"/>
              <w:right w:val="single" w:sz="4" w:space="0" w:color="000000"/>
            </w:tcBorders>
            <w:noWrap/>
            <w:vAlign w:val="bottom"/>
            <w:hideMark/>
          </w:tcPr>
          <w:p w14:paraId="7C76035B" w14:textId="77777777" w:rsidR="00D73F5A" w:rsidRPr="00D73F5A" w:rsidRDefault="00D73F5A" w:rsidP="00D73F5A">
            <w:pPr>
              <w:spacing w:after="0" w:line="240" w:lineRule="auto"/>
              <w:rPr>
                <w:rFonts w:eastAsia="Times New Roman"/>
                <w:color w:val="000000"/>
                <w:lang w:eastAsia="en-GB"/>
              </w:rPr>
            </w:pPr>
            <w:r w:rsidRPr="00D73F5A">
              <w:rPr>
                <w:rFonts w:eastAsia="Times New Roman"/>
                <w:color w:val="000000"/>
                <w:lang w:eastAsia="en-GB"/>
              </w:rPr>
              <w:t>Schedule Delays</w:t>
            </w:r>
          </w:p>
        </w:tc>
        <w:tc>
          <w:tcPr>
            <w:tcW w:w="960" w:type="dxa"/>
            <w:tcBorders>
              <w:top w:val="nil"/>
              <w:left w:val="nil"/>
              <w:bottom w:val="single" w:sz="4" w:space="0" w:color="000000"/>
              <w:right w:val="single" w:sz="4" w:space="0" w:color="000000"/>
            </w:tcBorders>
            <w:noWrap/>
            <w:vAlign w:val="center"/>
            <w:hideMark/>
          </w:tcPr>
          <w:p w14:paraId="566BAE1F"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23</w:t>
            </w:r>
          </w:p>
        </w:tc>
      </w:tr>
      <w:tr w:rsidR="00D73F5A" w:rsidRPr="00D73F5A" w14:paraId="4E55198F" w14:textId="77777777" w:rsidTr="00D73F5A">
        <w:trPr>
          <w:trHeight w:val="360"/>
          <w:jc w:val="center"/>
        </w:trPr>
        <w:tc>
          <w:tcPr>
            <w:tcW w:w="980" w:type="dxa"/>
            <w:vMerge/>
            <w:tcBorders>
              <w:top w:val="nil"/>
              <w:left w:val="single" w:sz="4" w:space="0" w:color="000000"/>
              <w:bottom w:val="single" w:sz="4" w:space="0" w:color="000000"/>
              <w:right w:val="single" w:sz="4" w:space="0" w:color="000000"/>
            </w:tcBorders>
            <w:vAlign w:val="center"/>
            <w:hideMark/>
          </w:tcPr>
          <w:p w14:paraId="375E2010" w14:textId="77777777" w:rsidR="00D73F5A" w:rsidRPr="00D73F5A" w:rsidRDefault="00D73F5A" w:rsidP="00D73F5A">
            <w:pPr>
              <w:spacing w:after="0" w:line="240" w:lineRule="auto"/>
              <w:rPr>
                <w:rFonts w:eastAsia="Times New Roman"/>
                <w:color w:val="000000"/>
                <w:lang w:eastAsia="en-GB"/>
              </w:rPr>
            </w:pPr>
          </w:p>
        </w:tc>
        <w:tc>
          <w:tcPr>
            <w:tcW w:w="4360" w:type="dxa"/>
            <w:tcBorders>
              <w:top w:val="nil"/>
              <w:left w:val="nil"/>
              <w:bottom w:val="single" w:sz="4" w:space="0" w:color="000000"/>
              <w:right w:val="single" w:sz="4" w:space="0" w:color="000000"/>
            </w:tcBorders>
            <w:noWrap/>
            <w:vAlign w:val="bottom"/>
            <w:hideMark/>
          </w:tcPr>
          <w:p w14:paraId="3100DFF4" w14:textId="77777777" w:rsidR="00D73F5A" w:rsidRPr="00D73F5A" w:rsidRDefault="00D73F5A" w:rsidP="00D73F5A">
            <w:pPr>
              <w:spacing w:after="0" w:line="240" w:lineRule="auto"/>
              <w:rPr>
                <w:rFonts w:eastAsia="Times New Roman"/>
                <w:color w:val="000000"/>
                <w:lang w:eastAsia="en-GB"/>
              </w:rPr>
            </w:pPr>
            <w:r w:rsidRPr="00D73F5A">
              <w:rPr>
                <w:rFonts w:eastAsia="Times New Roman"/>
                <w:color w:val="000000"/>
                <w:lang w:eastAsia="en-GB"/>
              </w:rPr>
              <w:t>Scope Creep</w:t>
            </w:r>
          </w:p>
        </w:tc>
        <w:tc>
          <w:tcPr>
            <w:tcW w:w="960" w:type="dxa"/>
            <w:tcBorders>
              <w:top w:val="nil"/>
              <w:left w:val="nil"/>
              <w:bottom w:val="single" w:sz="4" w:space="0" w:color="000000"/>
              <w:right w:val="single" w:sz="4" w:space="0" w:color="000000"/>
            </w:tcBorders>
            <w:noWrap/>
            <w:vAlign w:val="center"/>
            <w:hideMark/>
          </w:tcPr>
          <w:p w14:paraId="099C5AD3"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21</w:t>
            </w:r>
          </w:p>
        </w:tc>
      </w:tr>
      <w:tr w:rsidR="00D73F5A" w:rsidRPr="00D73F5A" w14:paraId="5CB6902C" w14:textId="77777777" w:rsidTr="00D73F5A">
        <w:trPr>
          <w:trHeight w:val="360"/>
          <w:jc w:val="center"/>
        </w:trPr>
        <w:tc>
          <w:tcPr>
            <w:tcW w:w="980" w:type="dxa"/>
            <w:vMerge/>
            <w:tcBorders>
              <w:top w:val="nil"/>
              <w:left w:val="single" w:sz="4" w:space="0" w:color="000000"/>
              <w:bottom w:val="single" w:sz="4" w:space="0" w:color="000000"/>
              <w:right w:val="single" w:sz="4" w:space="0" w:color="000000"/>
            </w:tcBorders>
            <w:vAlign w:val="center"/>
            <w:hideMark/>
          </w:tcPr>
          <w:p w14:paraId="31C252AD" w14:textId="77777777" w:rsidR="00D73F5A" w:rsidRPr="00D73F5A" w:rsidRDefault="00D73F5A" w:rsidP="00D73F5A">
            <w:pPr>
              <w:spacing w:after="0" w:line="240" w:lineRule="auto"/>
              <w:rPr>
                <w:rFonts w:eastAsia="Times New Roman"/>
                <w:color w:val="000000"/>
                <w:lang w:eastAsia="en-GB"/>
              </w:rPr>
            </w:pPr>
          </w:p>
        </w:tc>
        <w:tc>
          <w:tcPr>
            <w:tcW w:w="4360" w:type="dxa"/>
            <w:tcBorders>
              <w:top w:val="nil"/>
              <w:left w:val="nil"/>
              <w:bottom w:val="single" w:sz="4" w:space="0" w:color="000000"/>
              <w:right w:val="single" w:sz="4" w:space="0" w:color="000000"/>
            </w:tcBorders>
            <w:noWrap/>
            <w:vAlign w:val="bottom"/>
            <w:hideMark/>
          </w:tcPr>
          <w:p w14:paraId="06EA7484" w14:textId="77777777" w:rsidR="00D73F5A" w:rsidRPr="00D73F5A" w:rsidRDefault="00D73F5A" w:rsidP="00D73F5A">
            <w:pPr>
              <w:spacing w:after="0" w:line="240" w:lineRule="auto"/>
              <w:rPr>
                <w:rFonts w:eastAsia="Times New Roman"/>
                <w:color w:val="000000"/>
                <w:lang w:eastAsia="en-GB"/>
              </w:rPr>
            </w:pPr>
            <w:r w:rsidRPr="00D73F5A">
              <w:rPr>
                <w:rFonts w:eastAsia="Times New Roman"/>
                <w:color w:val="000000"/>
                <w:lang w:eastAsia="en-GB"/>
              </w:rPr>
              <w:t>Resource Constraints</w:t>
            </w:r>
          </w:p>
        </w:tc>
        <w:tc>
          <w:tcPr>
            <w:tcW w:w="960" w:type="dxa"/>
            <w:tcBorders>
              <w:top w:val="nil"/>
              <w:left w:val="nil"/>
              <w:bottom w:val="single" w:sz="4" w:space="0" w:color="000000"/>
              <w:right w:val="single" w:sz="4" w:space="0" w:color="000000"/>
            </w:tcBorders>
            <w:noWrap/>
            <w:vAlign w:val="center"/>
            <w:hideMark/>
          </w:tcPr>
          <w:p w14:paraId="6B84B23C"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21</w:t>
            </w:r>
          </w:p>
        </w:tc>
      </w:tr>
      <w:tr w:rsidR="00D73F5A" w:rsidRPr="00D73F5A" w14:paraId="168C3F90" w14:textId="77777777" w:rsidTr="00D73F5A">
        <w:trPr>
          <w:trHeight w:val="300"/>
          <w:jc w:val="center"/>
        </w:trPr>
        <w:tc>
          <w:tcPr>
            <w:tcW w:w="980" w:type="dxa"/>
            <w:vMerge/>
            <w:tcBorders>
              <w:top w:val="nil"/>
              <w:left w:val="single" w:sz="4" w:space="0" w:color="000000"/>
              <w:bottom w:val="single" w:sz="4" w:space="0" w:color="000000"/>
              <w:right w:val="single" w:sz="4" w:space="0" w:color="000000"/>
            </w:tcBorders>
            <w:vAlign w:val="center"/>
            <w:hideMark/>
          </w:tcPr>
          <w:p w14:paraId="62C5C2DF" w14:textId="77777777" w:rsidR="00D73F5A" w:rsidRPr="00D73F5A" w:rsidRDefault="00D73F5A" w:rsidP="00D73F5A">
            <w:pPr>
              <w:spacing w:after="0" w:line="240" w:lineRule="auto"/>
              <w:rPr>
                <w:rFonts w:eastAsia="Times New Roman"/>
                <w:color w:val="000000"/>
                <w:lang w:eastAsia="en-GB"/>
              </w:rPr>
            </w:pPr>
          </w:p>
        </w:tc>
        <w:tc>
          <w:tcPr>
            <w:tcW w:w="4360" w:type="dxa"/>
            <w:tcBorders>
              <w:top w:val="nil"/>
              <w:left w:val="nil"/>
              <w:bottom w:val="single" w:sz="4" w:space="0" w:color="000000"/>
              <w:right w:val="single" w:sz="4" w:space="0" w:color="000000"/>
            </w:tcBorders>
            <w:vAlign w:val="bottom"/>
            <w:hideMark/>
          </w:tcPr>
          <w:p w14:paraId="57D1CB83" w14:textId="77777777" w:rsidR="00D73F5A" w:rsidRPr="00D73F5A" w:rsidRDefault="00D73F5A" w:rsidP="00D73F5A">
            <w:pPr>
              <w:spacing w:after="0" w:line="240" w:lineRule="auto"/>
              <w:rPr>
                <w:rFonts w:eastAsia="Times New Roman"/>
                <w:color w:val="000000"/>
                <w:lang w:eastAsia="en-GB"/>
              </w:rPr>
            </w:pPr>
            <w:r w:rsidRPr="00D73F5A">
              <w:rPr>
                <w:rFonts w:eastAsia="Times New Roman"/>
                <w:color w:val="000000"/>
                <w:lang w:eastAsia="en-GB"/>
              </w:rPr>
              <w:t>Stakeholder Conflicts</w:t>
            </w:r>
          </w:p>
        </w:tc>
        <w:tc>
          <w:tcPr>
            <w:tcW w:w="960" w:type="dxa"/>
            <w:tcBorders>
              <w:top w:val="nil"/>
              <w:left w:val="nil"/>
              <w:bottom w:val="single" w:sz="4" w:space="0" w:color="000000"/>
              <w:right w:val="single" w:sz="4" w:space="0" w:color="000000"/>
            </w:tcBorders>
            <w:noWrap/>
            <w:vAlign w:val="center"/>
            <w:hideMark/>
          </w:tcPr>
          <w:p w14:paraId="26794D03"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14</w:t>
            </w:r>
          </w:p>
        </w:tc>
      </w:tr>
      <w:tr w:rsidR="00D73F5A" w:rsidRPr="00D73F5A" w14:paraId="4A54A5A3" w14:textId="77777777" w:rsidTr="00D73F5A">
        <w:trPr>
          <w:trHeight w:val="360"/>
          <w:jc w:val="center"/>
        </w:trPr>
        <w:tc>
          <w:tcPr>
            <w:tcW w:w="980" w:type="dxa"/>
            <w:vMerge/>
            <w:tcBorders>
              <w:top w:val="nil"/>
              <w:left w:val="single" w:sz="4" w:space="0" w:color="000000"/>
              <w:bottom w:val="single" w:sz="4" w:space="0" w:color="000000"/>
              <w:right w:val="single" w:sz="4" w:space="0" w:color="000000"/>
            </w:tcBorders>
            <w:vAlign w:val="center"/>
            <w:hideMark/>
          </w:tcPr>
          <w:p w14:paraId="1D6F3821" w14:textId="77777777" w:rsidR="00D73F5A" w:rsidRPr="00D73F5A" w:rsidRDefault="00D73F5A" w:rsidP="00D73F5A">
            <w:pPr>
              <w:spacing w:after="0" w:line="240" w:lineRule="auto"/>
              <w:rPr>
                <w:rFonts w:eastAsia="Times New Roman"/>
                <w:color w:val="000000"/>
                <w:lang w:eastAsia="en-GB"/>
              </w:rPr>
            </w:pPr>
          </w:p>
        </w:tc>
        <w:tc>
          <w:tcPr>
            <w:tcW w:w="4360" w:type="dxa"/>
            <w:tcBorders>
              <w:top w:val="nil"/>
              <w:left w:val="nil"/>
              <w:bottom w:val="single" w:sz="4" w:space="0" w:color="000000"/>
              <w:right w:val="single" w:sz="4" w:space="0" w:color="000000"/>
            </w:tcBorders>
            <w:noWrap/>
            <w:vAlign w:val="bottom"/>
            <w:hideMark/>
          </w:tcPr>
          <w:p w14:paraId="4EC90209" w14:textId="77777777" w:rsidR="00D73F5A" w:rsidRPr="00D73F5A" w:rsidRDefault="00D73F5A" w:rsidP="00D73F5A">
            <w:pPr>
              <w:spacing w:after="0" w:line="240" w:lineRule="auto"/>
              <w:rPr>
                <w:rFonts w:eastAsia="Times New Roman"/>
                <w:color w:val="000000"/>
                <w:lang w:eastAsia="en-GB"/>
              </w:rPr>
            </w:pPr>
            <w:r w:rsidRPr="00D73F5A">
              <w:rPr>
                <w:rFonts w:eastAsia="Times New Roman"/>
                <w:color w:val="000000"/>
                <w:lang w:eastAsia="en-GB"/>
              </w:rPr>
              <w:t>Technical Failures</w:t>
            </w:r>
          </w:p>
        </w:tc>
        <w:tc>
          <w:tcPr>
            <w:tcW w:w="960" w:type="dxa"/>
            <w:tcBorders>
              <w:top w:val="nil"/>
              <w:left w:val="nil"/>
              <w:bottom w:val="single" w:sz="4" w:space="0" w:color="000000"/>
              <w:right w:val="single" w:sz="4" w:space="0" w:color="000000"/>
            </w:tcBorders>
            <w:noWrap/>
            <w:vAlign w:val="center"/>
            <w:hideMark/>
          </w:tcPr>
          <w:p w14:paraId="105FE804"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8</w:t>
            </w:r>
          </w:p>
        </w:tc>
      </w:tr>
      <w:tr w:rsidR="00D73F5A" w:rsidRPr="00D73F5A" w14:paraId="0229425E" w14:textId="77777777" w:rsidTr="00D73F5A">
        <w:trPr>
          <w:trHeight w:val="360"/>
          <w:jc w:val="center"/>
        </w:trPr>
        <w:tc>
          <w:tcPr>
            <w:tcW w:w="980" w:type="dxa"/>
            <w:vMerge/>
            <w:tcBorders>
              <w:top w:val="nil"/>
              <w:left w:val="single" w:sz="4" w:space="0" w:color="000000"/>
              <w:bottom w:val="single" w:sz="4" w:space="0" w:color="000000"/>
              <w:right w:val="single" w:sz="4" w:space="0" w:color="000000"/>
            </w:tcBorders>
            <w:vAlign w:val="center"/>
            <w:hideMark/>
          </w:tcPr>
          <w:p w14:paraId="2C63434B" w14:textId="77777777" w:rsidR="00D73F5A" w:rsidRPr="00D73F5A" w:rsidRDefault="00D73F5A" w:rsidP="00D73F5A">
            <w:pPr>
              <w:spacing w:after="0" w:line="240" w:lineRule="auto"/>
              <w:rPr>
                <w:rFonts w:eastAsia="Times New Roman"/>
                <w:color w:val="000000"/>
                <w:lang w:eastAsia="en-GB"/>
              </w:rPr>
            </w:pPr>
          </w:p>
        </w:tc>
        <w:tc>
          <w:tcPr>
            <w:tcW w:w="4360" w:type="dxa"/>
            <w:tcBorders>
              <w:top w:val="nil"/>
              <w:left w:val="nil"/>
              <w:bottom w:val="single" w:sz="4" w:space="0" w:color="000000"/>
              <w:right w:val="single" w:sz="4" w:space="0" w:color="000000"/>
            </w:tcBorders>
            <w:noWrap/>
            <w:vAlign w:val="bottom"/>
            <w:hideMark/>
          </w:tcPr>
          <w:p w14:paraId="77196F5B" w14:textId="77777777" w:rsidR="00D73F5A" w:rsidRPr="00D73F5A" w:rsidRDefault="00D73F5A" w:rsidP="00D73F5A">
            <w:pPr>
              <w:spacing w:after="0" w:line="240" w:lineRule="auto"/>
              <w:rPr>
                <w:rFonts w:eastAsia="Times New Roman"/>
                <w:color w:val="000000"/>
                <w:lang w:eastAsia="en-GB"/>
              </w:rPr>
            </w:pPr>
            <w:r w:rsidRPr="00D73F5A">
              <w:rPr>
                <w:rFonts w:eastAsia="Times New Roman"/>
                <w:color w:val="000000"/>
                <w:lang w:eastAsia="en-GB"/>
              </w:rPr>
              <w:t xml:space="preserve">Other - Project Dates Changed at Short Notice </w:t>
            </w:r>
          </w:p>
        </w:tc>
        <w:tc>
          <w:tcPr>
            <w:tcW w:w="960" w:type="dxa"/>
            <w:tcBorders>
              <w:top w:val="nil"/>
              <w:left w:val="nil"/>
              <w:bottom w:val="single" w:sz="4" w:space="0" w:color="000000"/>
              <w:right w:val="single" w:sz="4" w:space="0" w:color="000000"/>
            </w:tcBorders>
            <w:noWrap/>
            <w:vAlign w:val="center"/>
            <w:hideMark/>
          </w:tcPr>
          <w:p w14:paraId="25D1F178"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1</w:t>
            </w:r>
          </w:p>
        </w:tc>
      </w:tr>
      <w:tr w:rsidR="00D73F5A" w:rsidRPr="00D73F5A" w14:paraId="66A25EAC" w14:textId="77777777" w:rsidTr="00D73F5A">
        <w:trPr>
          <w:trHeight w:val="360"/>
          <w:jc w:val="center"/>
        </w:trPr>
        <w:tc>
          <w:tcPr>
            <w:tcW w:w="980" w:type="dxa"/>
            <w:vMerge/>
            <w:tcBorders>
              <w:top w:val="nil"/>
              <w:left w:val="single" w:sz="4" w:space="0" w:color="000000"/>
              <w:bottom w:val="single" w:sz="4" w:space="0" w:color="000000"/>
              <w:right w:val="single" w:sz="4" w:space="0" w:color="000000"/>
            </w:tcBorders>
            <w:vAlign w:val="center"/>
            <w:hideMark/>
          </w:tcPr>
          <w:p w14:paraId="03E3C55A" w14:textId="77777777" w:rsidR="00D73F5A" w:rsidRPr="00D73F5A" w:rsidRDefault="00D73F5A" w:rsidP="00D73F5A">
            <w:pPr>
              <w:spacing w:after="0" w:line="240" w:lineRule="auto"/>
              <w:rPr>
                <w:rFonts w:eastAsia="Times New Roman"/>
                <w:color w:val="000000"/>
                <w:lang w:eastAsia="en-GB"/>
              </w:rPr>
            </w:pPr>
          </w:p>
        </w:tc>
        <w:tc>
          <w:tcPr>
            <w:tcW w:w="4360" w:type="dxa"/>
            <w:tcBorders>
              <w:top w:val="nil"/>
              <w:left w:val="nil"/>
              <w:bottom w:val="single" w:sz="4" w:space="0" w:color="000000"/>
              <w:right w:val="single" w:sz="4" w:space="0" w:color="000000"/>
            </w:tcBorders>
            <w:noWrap/>
            <w:vAlign w:val="bottom"/>
            <w:hideMark/>
          </w:tcPr>
          <w:p w14:paraId="5416BFD3" w14:textId="1F56B9E4" w:rsidR="00D73F5A" w:rsidRPr="00D73F5A" w:rsidRDefault="00D73F5A" w:rsidP="00D73F5A">
            <w:pPr>
              <w:spacing w:after="0" w:line="240" w:lineRule="auto"/>
              <w:rPr>
                <w:rFonts w:eastAsia="Times New Roman"/>
                <w:color w:val="000000"/>
                <w:lang w:eastAsia="en-GB"/>
              </w:rPr>
            </w:pPr>
            <w:r w:rsidRPr="00D73F5A">
              <w:rPr>
                <w:rFonts w:eastAsia="Times New Roman"/>
                <w:color w:val="000000"/>
                <w:lang w:eastAsia="en-GB"/>
              </w:rPr>
              <w:t xml:space="preserve">Other - Non-Realistic Timeframes </w:t>
            </w:r>
          </w:p>
        </w:tc>
        <w:tc>
          <w:tcPr>
            <w:tcW w:w="960" w:type="dxa"/>
            <w:tcBorders>
              <w:top w:val="nil"/>
              <w:left w:val="nil"/>
              <w:bottom w:val="single" w:sz="4" w:space="0" w:color="000000"/>
              <w:right w:val="single" w:sz="4" w:space="0" w:color="000000"/>
            </w:tcBorders>
            <w:noWrap/>
            <w:vAlign w:val="center"/>
            <w:hideMark/>
          </w:tcPr>
          <w:p w14:paraId="07C9DFFB"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1</w:t>
            </w:r>
          </w:p>
        </w:tc>
      </w:tr>
      <w:tr w:rsidR="00D73F5A" w:rsidRPr="00D73F5A" w14:paraId="2A7F45EA" w14:textId="77777777" w:rsidTr="00D73F5A">
        <w:trPr>
          <w:trHeight w:val="360"/>
          <w:jc w:val="center"/>
        </w:trPr>
        <w:tc>
          <w:tcPr>
            <w:tcW w:w="980" w:type="dxa"/>
            <w:vMerge/>
            <w:tcBorders>
              <w:top w:val="nil"/>
              <w:left w:val="single" w:sz="4" w:space="0" w:color="000000"/>
              <w:bottom w:val="single" w:sz="4" w:space="0" w:color="000000"/>
              <w:right w:val="single" w:sz="4" w:space="0" w:color="000000"/>
            </w:tcBorders>
            <w:vAlign w:val="center"/>
            <w:hideMark/>
          </w:tcPr>
          <w:p w14:paraId="7E16D90D" w14:textId="77777777" w:rsidR="00D73F5A" w:rsidRPr="00D73F5A" w:rsidRDefault="00D73F5A" w:rsidP="00D73F5A">
            <w:pPr>
              <w:spacing w:after="0" w:line="240" w:lineRule="auto"/>
              <w:rPr>
                <w:rFonts w:eastAsia="Times New Roman"/>
                <w:color w:val="000000"/>
                <w:lang w:eastAsia="en-GB"/>
              </w:rPr>
            </w:pPr>
          </w:p>
        </w:tc>
        <w:tc>
          <w:tcPr>
            <w:tcW w:w="4360" w:type="dxa"/>
            <w:tcBorders>
              <w:top w:val="nil"/>
              <w:left w:val="nil"/>
              <w:bottom w:val="single" w:sz="4" w:space="0" w:color="000000"/>
              <w:right w:val="single" w:sz="4" w:space="0" w:color="000000"/>
            </w:tcBorders>
            <w:noWrap/>
            <w:vAlign w:val="bottom"/>
            <w:hideMark/>
          </w:tcPr>
          <w:p w14:paraId="4D91CF7E" w14:textId="77777777" w:rsidR="00D73F5A" w:rsidRPr="00D73F5A" w:rsidRDefault="00D73F5A" w:rsidP="00D73F5A">
            <w:pPr>
              <w:spacing w:after="0" w:line="240" w:lineRule="auto"/>
              <w:rPr>
                <w:rFonts w:eastAsia="Times New Roman"/>
                <w:color w:val="000000"/>
                <w:lang w:eastAsia="en-GB"/>
              </w:rPr>
            </w:pPr>
            <w:r w:rsidRPr="00D73F5A">
              <w:rPr>
                <w:rFonts w:eastAsia="Times New Roman"/>
                <w:color w:val="000000"/>
                <w:lang w:eastAsia="en-GB"/>
              </w:rPr>
              <w:t> </w:t>
            </w:r>
          </w:p>
        </w:tc>
        <w:tc>
          <w:tcPr>
            <w:tcW w:w="960" w:type="dxa"/>
            <w:tcBorders>
              <w:top w:val="nil"/>
              <w:left w:val="nil"/>
              <w:bottom w:val="single" w:sz="4" w:space="0" w:color="000000"/>
              <w:right w:val="single" w:sz="4" w:space="0" w:color="000000"/>
            </w:tcBorders>
            <w:noWrap/>
            <w:vAlign w:val="center"/>
            <w:hideMark/>
          </w:tcPr>
          <w:p w14:paraId="6DD1F3B5"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 </w:t>
            </w:r>
          </w:p>
        </w:tc>
      </w:tr>
    </w:tbl>
    <w:p w14:paraId="600035DE" w14:textId="39D22C45" w:rsidR="00932E71" w:rsidRDefault="00D73F5A" w:rsidP="00D73F5A">
      <w:pPr>
        <w:pStyle w:val="Caption"/>
        <w:jc w:val="center"/>
      </w:pPr>
      <w:bookmarkStart w:id="121" w:name="_Toc219216432"/>
      <w:r>
        <w:t xml:space="preserve">Table </w:t>
      </w:r>
      <w:fldSimple w:instr=" SEQ Table \* ARABIC ">
        <w:r w:rsidR="004239CB">
          <w:rPr>
            <w:noProof/>
          </w:rPr>
          <w:t>19</w:t>
        </w:r>
      </w:fldSimple>
      <w:r>
        <w:t xml:space="preserve"> - </w:t>
      </w:r>
      <w:r w:rsidRPr="009A4872">
        <w:t>Questionnaire Q</w:t>
      </w:r>
      <w:r>
        <w:t>13</w:t>
      </w:r>
      <w:r w:rsidRPr="009A4872">
        <w:t xml:space="preserve"> Data Set</w:t>
      </w:r>
      <w:bookmarkEnd w:id="121"/>
    </w:p>
    <w:p w14:paraId="6A36BB2F" w14:textId="77777777" w:rsidR="00932E71" w:rsidRDefault="00932E71" w:rsidP="00932E71">
      <w:pPr>
        <w:spacing w:after="0"/>
      </w:pPr>
    </w:p>
    <w:tbl>
      <w:tblPr>
        <w:tblW w:w="5717" w:type="dxa"/>
        <w:jc w:val="center"/>
        <w:tblCellMar>
          <w:top w:w="15" w:type="dxa"/>
        </w:tblCellMar>
        <w:tblLook w:val="04A0" w:firstRow="1" w:lastRow="0" w:firstColumn="1" w:lastColumn="0" w:noHBand="0" w:noVBand="1"/>
      </w:tblPr>
      <w:tblGrid>
        <w:gridCol w:w="913"/>
        <w:gridCol w:w="4296"/>
        <w:gridCol w:w="472"/>
        <w:gridCol w:w="222"/>
      </w:tblGrid>
      <w:tr w:rsidR="00D73F5A" w:rsidRPr="00D73F5A" w14:paraId="70B7C310" w14:textId="77777777" w:rsidTr="00D73F5A">
        <w:trPr>
          <w:gridAfter w:val="1"/>
          <w:wAfter w:w="36" w:type="dxa"/>
          <w:trHeight w:val="360"/>
          <w:jc w:val="center"/>
        </w:trPr>
        <w:tc>
          <w:tcPr>
            <w:tcW w:w="5681"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7DA2FC58"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Effectiveness of Risk Management</w:t>
            </w:r>
          </w:p>
        </w:tc>
      </w:tr>
      <w:tr w:rsidR="00D73F5A" w:rsidRPr="00D73F5A" w14:paraId="21EAC2AA" w14:textId="77777777" w:rsidTr="00D73F5A">
        <w:trPr>
          <w:gridAfter w:val="1"/>
          <w:wAfter w:w="36" w:type="dxa"/>
          <w:trHeight w:val="360"/>
          <w:jc w:val="center"/>
        </w:trPr>
        <w:tc>
          <w:tcPr>
            <w:tcW w:w="960" w:type="dxa"/>
            <w:vMerge w:val="restart"/>
            <w:tcBorders>
              <w:top w:val="nil"/>
              <w:left w:val="single" w:sz="4" w:space="0" w:color="000000"/>
              <w:bottom w:val="single" w:sz="4" w:space="0" w:color="000000"/>
              <w:right w:val="single" w:sz="4" w:space="0" w:color="000000"/>
            </w:tcBorders>
            <w:textDirection w:val="btLr"/>
            <w:vAlign w:val="center"/>
            <w:hideMark/>
          </w:tcPr>
          <w:p w14:paraId="54C329D5"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Do you believe that risk assessment tools need improvement to be more effective?</w:t>
            </w:r>
          </w:p>
        </w:tc>
        <w:tc>
          <w:tcPr>
            <w:tcW w:w="4296" w:type="dxa"/>
            <w:tcBorders>
              <w:top w:val="nil"/>
              <w:left w:val="nil"/>
              <w:bottom w:val="single" w:sz="4" w:space="0" w:color="000000"/>
              <w:right w:val="single" w:sz="4" w:space="0" w:color="000000"/>
            </w:tcBorders>
            <w:shd w:val="clear" w:color="A6C9EC" w:fill="A6C9EC"/>
            <w:noWrap/>
            <w:vAlign w:val="bottom"/>
            <w:hideMark/>
          </w:tcPr>
          <w:p w14:paraId="5E28B54E"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Improved Risk Assessment Tools</w:t>
            </w:r>
          </w:p>
        </w:tc>
        <w:tc>
          <w:tcPr>
            <w:tcW w:w="425" w:type="dxa"/>
            <w:tcBorders>
              <w:top w:val="nil"/>
              <w:left w:val="nil"/>
              <w:bottom w:val="single" w:sz="4" w:space="0" w:color="000000"/>
              <w:right w:val="single" w:sz="4" w:space="0" w:color="000000"/>
            </w:tcBorders>
            <w:shd w:val="clear" w:color="A6C9EC" w:fill="A6C9EC"/>
            <w:noWrap/>
            <w:vAlign w:val="bottom"/>
            <w:hideMark/>
          </w:tcPr>
          <w:p w14:paraId="5AC064E0"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No</w:t>
            </w:r>
          </w:p>
        </w:tc>
      </w:tr>
      <w:tr w:rsidR="00D73F5A" w:rsidRPr="00D73F5A" w14:paraId="1F303E94" w14:textId="77777777" w:rsidTr="00D73F5A">
        <w:trPr>
          <w:gridAfter w:val="1"/>
          <w:wAfter w:w="36" w:type="dxa"/>
          <w:trHeight w:val="450"/>
          <w:jc w:val="center"/>
        </w:trPr>
        <w:tc>
          <w:tcPr>
            <w:tcW w:w="960" w:type="dxa"/>
            <w:vMerge/>
            <w:tcBorders>
              <w:top w:val="nil"/>
              <w:left w:val="single" w:sz="4" w:space="0" w:color="000000"/>
              <w:bottom w:val="single" w:sz="4" w:space="0" w:color="000000"/>
              <w:right w:val="single" w:sz="4" w:space="0" w:color="000000"/>
            </w:tcBorders>
            <w:vAlign w:val="center"/>
            <w:hideMark/>
          </w:tcPr>
          <w:p w14:paraId="463AACB4" w14:textId="77777777" w:rsidR="00D73F5A" w:rsidRPr="00D73F5A" w:rsidRDefault="00D73F5A" w:rsidP="00D73F5A">
            <w:pPr>
              <w:spacing w:after="0" w:line="240" w:lineRule="auto"/>
              <w:jc w:val="center"/>
              <w:rPr>
                <w:rFonts w:eastAsia="Times New Roman"/>
                <w:color w:val="000000"/>
                <w:lang w:eastAsia="en-GB"/>
              </w:rPr>
            </w:pPr>
          </w:p>
        </w:tc>
        <w:tc>
          <w:tcPr>
            <w:tcW w:w="4296" w:type="dxa"/>
            <w:vMerge w:val="restart"/>
            <w:tcBorders>
              <w:top w:val="nil"/>
              <w:left w:val="single" w:sz="4" w:space="0" w:color="000000"/>
              <w:bottom w:val="single" w:sz="4" w:space="0" w:color="000000"/>
              <w:right w:val="single" w:sz="4" w:space="0" w:color="000000"/>
            </w:tcBorders>
            <w:noWrap/>
            <w:vAlign w:val="center"/>
            <w:hideMark/>
          </w:tcPr>
          <w:p w14:paraId="54005107"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Yes</w:t>
            </w:r>
          </w:p>
        </w:tc>
        <w:tc>
          <w:tcPr>
            <w:tcW w:w="425" w:type="dxa"/>
            <w:vMerge w:val="restart"/>
            <w:tcBorders>
              <w:top w:val="nil"/>
              <w:left w:val="single" w:sz="4" w:space="0" w:color="000000"/>
              <w:bottom w:val="single" w:sz="4" w:space="0" w:color="000000"/>
              <w:right w:val="single" w:sz="4" w:space="0" w:color="000000"/>
            </w:tcBorders>
            <w:noWrap/>
            <w:vAlign w:val="center"/>
            <w:hideMark/>
          </w:tcPr>
          <w:p w14:paraId="2B315901"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26</w:t>
            </w:r>
          </w:p>
        </w:tc>
      </w:tr>
      <w:tr w:rsidR="00D73F5A" w:rsidRPr="00D73F5A" w14:paraId="706226DC" w14:textId="77777777" w:rsidTr="00D73F5A">
        <w:trPr>
          <w:trHeight w:val="360"/>
          <w:jc w:val="center"/>
        </w:trPr>
        <w:tc>
          <w:tcPr>
            <w:tcW w:w="960" w:type="dxa"/>
            <w:vMerge/>
            <w:tcBorders>
              <w:top w:val="nil"/>
              <w:left w:val="single" w:sz="4" w:space="0" w:color="000000"/>
              <w:bottom w:val="single" w:sz="4" w:space="0" w:color="000000"/>
              <w:right w:val="single" w:sz="4" w:space="0" w:color="000000"/>
            </w:tcBorders>
            <w:vAlign w:val="center"/>
            <w:hideMark/>
          </w:tcPr>
          <w:p w14:paraId="18DD649F" w14:textId="77777777" w:rsidR="00D73F5A" w:rsidRPr="00D73F5A" w:rsidRDefault="00D73F5A" w:rsidP="00D73F5A">
            <w:pPr>
              <w:spacing w:after="0" w:line="240" w:lineRule="auto"/>
              <w:jc w:val="center"/>
              <w:rPr>
                <w:rFonts w:eastAsia="Times New Roman"/>
                <w:color w:val="000000"/>
                <w:lang w:eastAsia="en-GB"/>
              </w:rPr>
            </w:pPr>
          </w:p>
        </w:tc>
        <w:tc>
          <w:tcPr>
            <w:tcW w:w="4296" w:type="dxa"/>
            <w:vMerge/>
            <w:tcBorders>
              <w:top w:val="nil"/>
              <w:left w:val="single" w:sz="4" w:space="0" w:color="000000"/>
              <w:bottom w:val="single" w:sz="4" w:space="0" w:color="000000"/>
              <w:right w:val="single" w:sz="4" w:space="0" w:color="000000"/>
            </w:tcBorders>
            <w:vAlign w:val="center"/>
            <w:hideMark/>
          </w:tcPr>
          <w:p w14:paraId="0069EBBA" w14:textId="77777777" w:rsidR="00D73F5A" w:rsidRPr="00D73F5A" w:rsidRDefault="00D73F5A" w:rsidP="00D73F5A">
            <w:pPr>
              <w:spacing w:after="0" w:line="240" w:lineRule="auto"/>
              <w:jc w:val="center"/>
              <w:rPr>
                <w:rFonts w:eastAsia="Times New Roman"/>
                <w:color w:val="000000"/>
                <w:lang w:eastAsia="en-GB"/>
              </w:rPr>
            </w:pPr>
          </w:p>
        </w:tc>
        <w:tc>
          <w:tcPr>
            <w:tcW w:w="425" w:type="dxa"/>
            <w:vMerge/>
            <w:tcBorders>
              <w:top w:val="nil"/>
              <w:left w:val="single" w:sz="4" w:space="0" w:color="000000"/>
              <w:bottom w:val="single" w:sz="4" w:space="0" w:color="000000"/>
              <w:right w:val="single" w:sz="4" w:space="0" w:color="000000"/>
            </w:tcBorders>
            <w:vAlign w:val="center"/>
            <w:hideMark/>
          </w:tcPr>
          <w:p w14:paraId="7A84E861" w14:textId="77777777" w:rsidR="00D73F5A" w:rsidRPr="00D73F5A" w:rsidRDefault="00D73F5A" w:rsidP="00D73F5A">
            <w:pPr>
              <w:spacing w:after="0" w:line="240" w:lineRule="auto"/>
              <w:jc w:val="center"/>
              <w:rPr>
                <w:rFonts w:eastAsia="Times New Roman"/>
                <w:color w:val="000000"/>
                <w:lang w:eastAsia="en-GB"/>
              </w:rPr>
            </w:pPr>
          </w:p>
        </w:tc>
        <w:tc>
          <w:tcPr>
            <w:tcW w:w="36" w:type="dxa"/>
            <w:tcBorders>
              <w:top w:val="nil"/>
              <w:left w:val="nil"/>
              <w:bottom w:val="nil"/>
              <w:right w:val="nil"/>
            </w:tcBorders>
            <w:noWrap/>
            <w:vAlign w:val="bottom"/>
            <w:hideMark/>
          </w:tcPr>
          <w:p w14:paraId="57D3B8B7" w14:textId="77777777" w:rsidR="00D73F5A" w:rsidRPr="00D73F5A" w:rsidRDefault="00D73F5A" w:rsidP="00D73F5A">
            <w:pPr>
              <w:spacing w:after="0" w:line="240" w:lineRule="auto"/>
              <w:jc w:val="center"/>
              <w:rPr>
                <w:rFonts w:eastAsia="Times New Roman"/>
                <w:color w:val="000000"/>
                <w:lang w:eastAsia="en-GB"/>
              </w:rPr>
            </w:pPr>
          </w:p>
        </w:tc>
      </w:tr>
      <w:tr w:rsidR="00D73F5A" w:rsidRPr="00D73F5A" w14:paraId="2373D69E" w14:textId="77777777" w:rsidTr="00D73F5A">
        <w:trPr>
          <w:trHeight w:val="360"/>
          <w:jc w:val="center"/>
        </w:trPr>
        <w:tc>
          <w:tcPr>
            <w:tcW w:w="960" w:type="dxa"/>
            <w:vMerge/>
            <w:tcBorders>
              <w:top w:val="nil"/>
              <w:left w:val="single" w:sz="4" w:space="0" w:color="000000"/>
              <w:bottom w:val="single" w:sz="4" w:space="0" w:color="000000"/>
              <w:right w:val="single" w:sz="4" w:space="0" w:color="000000"/>
            </w:tcBorders>
            <w:vAlign w:val="center"/>
            <w:hideMark/>
          </w:tcPr>
          <w:p w14:paraId="0079B2B9" w14:textId="77777777" w:rsidR="00D73F5A" w:rsidRPr="00D73F5A" w:rsidRDefault="00D73F5A" w:rsidP="00D73F5A">
            <w:pPr>
              <w:spacing w:after="0" w:line="240" w:lineRule="auto"/>
              <w:jc w:val="center"/>
              <w:rPr>
                <w:rFonts w:eastAsia="Times New Roman"/>
                <w:color w:val="000000"/>
                <w:lang w:eastAsia="en-GB"/>
              </w:rPr>
            </w:pPr>
          </w:p>
        </w:tc>
        <w:tc>
          <w:tcPr>
            <w:tcW w:w="4296" w:type="dxa"/>
            <w:vMerge/>
            <w:tcBorders>
              <w:top w:val="nil"/>
              <w:left w:val="single" w:sz="4" w:space="0" w:color="000000"/>
              <w:bottom w:val="single" w:sz="4" w:space="0" w:color="000000"/>
              <w:right w:val="single" w:sz="4" w:space="0" w:color="000000"/>
            </w:tcBorders>
            <w:vAlign w:val="center"/>
            <w:hideMark/>
          </w:tcPr>
          <w:p w14:paraId="57CA0CCB" w14:textId="77777777" w:rsidR="00D73F5A" w:rsidRPr="00D73F5A" w:rsidRDefault="00D73F5A" w:rsidP="00D73F5A">
            <w:pPr>
              <w:spacing w:after="0" w:line="240" w:lineRule="auto"/>
              <w:jc w:val="center"/>
              <w:rPr>
                <w:rFonts w:eastAsia="Times New Roman"/>
                <w:color w:val="000000"/>
                <w:lang w:eastAsia="en-GB"/>
              </w:rPr>
            </w:pPr>
          </w:p>
        </w:tc>
        <w:tc>
          <w:tcPr>
            <w:tcW w:w="425" w:type="dxa"/>
            <w:vMerge/>
            <w:tcBorders>
              <w:top w:val="nil"/>
              <w:left w:val="single" w:sz="4" w:space="0" w:color="000000"/>
              <w:bottom w:val="single" w:sz="4" w:space="0" w:color="000000"/>
              <w:right w:val="single" w:sz="4" w:space="0" w:color="000000"/>
            </w:tcBorders>
            <w:vAlign w:val="center"/>
            <w:hideMark/>
          </w:tcPr>
          <w:p w14:paraId="7D599A51" w14:textId="77777777" w:rsidR="00D73F5A" w:rsidRPr="00D73F5A" w:rsidRDefault="00D73F5A" w:rsidP="00D73F5A">
            <w:pPr>
              <w:spacing w:after="0" w:line="240" w:lineRule="auto"/>
              <w:jc w:val="center"/>
              <w:rPr>
                <w:rFonts w:eastAsia="Times New Roman"/>
                <w:color w:val="000000"/>
                <w:lang w:eastAsia="en-GB"/>
              </w:rPr>
            </w:pPr>
          </w:p>
        </w:tc>
        <w:tc>
          <w:tcPr>
            <w:tcW w:w="36" w:type="dxa"/>
            <w:tcBorders>
              <w:top w:val="nil"/>
              <w:left w:val="nil"/>
              <w:bottom w:val="nil"/>
              <w:right w:val="nil"/>
            </w:tcBorders>
            <w:noWrap/>
            <w:vAlign w:val="bottom"/>
            <w:hideMark/>
          </w:tcPr>
          <w:p w14:paraId="7182012C" w14:textId="77777777" w:rsidR="00D73F5A" w:rsidRPr="00D73F5A" w:rsidRDefault="00D73F5A" w:rsidP="00D73F5A">
            <w:pPr>
              <w:spacing w:after="0" w:line="240" w:lineRule="auto"/>
              <w:jc w:val="center"/>
              <w:rPr>
                <w:rFonts w:ascii="Times New Roman" w:eastAsia="Times New Roman" w:hAnsi="Times New Roman" w:cs="Times New Roman"/>
                <w:color w:val="auto"/>
                <w:sz w:val="20"/>
                <w:szCs w:val="20"/>
                <w:lang w:eastAsia="en-GB"/>
              </w:rPr>
            </w:pPr>
          </w:p>
        </w:tc>
      </w:tr>
      <w:tr w:rsidR="00D73F5A" w:rsidRPr="00D73F5A" w14:paraId="520B67FC" w14:textId="77777777" w:rsidTr="00D73F5A">
        <w:trPr>
          <w:trHeight w:val="360"/>
          <w:jc w:val="center"/>
        </w:trPr>
        <w:tc>
          <w:tcPr>
            <w:tcW w:w="960" w:type="dxa"/>
            <w:vMerge/>
            <w:tcBorders>
              <w:top w:val="nil"/>
              <w:left w:val="single" w:sz="4" w:space="0" w:color="000000"/>
              <w:bottom w:val="single" w:sz="4" w:space="0" w:color="000000"/>
              <w:right w:val="single" w:sz="4" w:space="0" w:color="000000"/>
            </w:tcBorders>
            <w:vAlign w:val="center"/>
            <w:hideMark/>
          </w:tcPr>
          <w:p w14:paraId="2DFD38F3" w14:textId="77777777" w:rsidR="00D73F5A" w:rsidRPr="00D73F5A" w:rsidRDefault="00D73F5A" w:rsidP="00D73F5A">
            <w:pPr>
              <w:spacing w:after="0" w:line="240" w:lineRule="auto"/>
              <w:jc w:val="center"/>
              <w:rPr>
                <w:rFonts w:eastAsia="Times New Roman"/>
                <w:color w:val="000000"/>
                <w:lang w:eastAsia="en-GB"/>
              </w:rPr>
            </w:pPr>
          </w:p>
        </w:tc>
        <w:tc>
          <w:tcPr>
            <w:tcW w:w="4296" w:type="dxa"/>
            <w:vMerge w:val="restart"/>
            <w:tcBorders>
              <w:top w:val="nil"/>
              <w:left w:val="single" w:sz="4" w:space="0" w:color="000000"/>
              <w:bottom w:val="single" w:sz="4" w:space="0" w:color="000000"/>
              <w:right w:val="single" w:sz="4" w:space="0" w:color="000000"/>
            </w:tcBorders>
            <w:noWrap/>
            <w:vAlign w:val="center"/>
            <w:hideMark/>
          </w:tcPr>
          <w:p w14:paraId="667E9C0A" w14:textId="735A906B"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No</w:t>
            </w:r>
          </w:p>
        </w:tc>
        <w:tc>
          <w:tcPr>
            <w:tcW w:w="425" w:type="dxa"/>
            <w:vMerge w:val="restart"/>
            <w:tcBorders>
              <w:top w:val="nil"/>
              <w:left w:val="single" w:sz="4" w:space="0" w:color="000000"/>
              <w:bottom w:val="single" w:sz="4" w:space="0" w:color="000000"/>
              <w:right w:val="single" w:sz="4" w:space="0" w:color="000000"/>
            </w:tcBorders>
            <w:noWrap/>
            <w:vAlign w:val="center"/>
            <w:hideMark/>
          </w:tcPr>
          <w:p w14:paraId="22351CB4"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3</w:t>
            </w:r>
          </w:p>
        </w:tc>
        <w:tc>
          <w:tcPr>
            <w:tcW w:w="36" w:type="dxa"/>
            <w:vAlign w:val="center"/>
            <w:hideMark/>
          </w:tcPr>
          <w:p w14:paraId="6A9ADC89" w14:textId="77777777" w:rsidR="00D73F5A" w:rsidRPr="00D73F5A" w:rsidRDefault="00D73F5A" w:rsidP="00D73F5A">
            <w:pPr>
              <w:spacing w:after="0" w:line="240" w:lineRule="auto"/>
              <w:jc w:val="center"/>
              <w:rPr>
                <w:rFonts w:ascii="Times New Roman" w:eastAsia="Times New Roman" w:hAnsi="Times New Roman" w:cs="Times New Roman"/>
                <w:color w:val="auto"/>
                <w:sz w:val="20"/>
                <w:szCs w:val="20"/>
                <w:lang w:eastAsia="en-GB"/>
              </w:rPr>
            </w:pPr>
          </w:p>
        </w:tc>
      </w:tr>
      <w:tr w:rsidR="00D73F5A" w:rsidRPr="00D73F5A" w14:paraId="07755D7F" w14:textId="77777777" w:rsidTr="00D73F5A">
        <w:trPr>
          <w:trHeight w:val="300"/>
          <w:jc w:val="center"/>
        </w:trPr>
        <w:tc>
          <w:tcPr>
            <w:tcW w:w="960" w:type="dxa"/>
            <w:vMerge/>
            <w:tcBorders>
              <w:top w:val="nil"/>
              <w:left w:val="single" w:sz="4" w:space="0" w:color="000000"/>
              <w:bottom w:val="single" w:sz="4" w:space="0" w:color="000000"/>
              <w:right w:val="single" w:sz="4" w:space="0" w:color="000000"/>
            </w:tcBorders>
            <w:vAlign w:val="center"/>
            <w:hideMark/>
          </w:tcPr>
          <w:p w14:paraId="1AA0FDD3" w14:textId="77777777" w:rsidR="00D73F5A" w:rsidRPr="00D73F5A" w:rsidRDefault="00D73F5A" w:rsidP="00D73F5A">
            <w:pPr>
              <w:spacing w:after="0" w:line="240" w:lineRule="auto"/>
              <w:jc w:val="center"/>
              <w:rPr>
                <w:rFonts w:eastAsia="Times New Roman"/>
                <w:color w:val="000000"/>
                <w:lang w:eastAsia="en-GB"/>
              </w:rPr>
            </w:pPr>
          </w:p>
        </w:tc>
        <w:tc>
          <w:tcPr>
            <w:tcW w:w="4296" w:type="dxa"/>
            <w:vMerge/>
            <w:tcBorders>
              <w:top w:val="nil"/>
              <w:left w:val="single" w:sz="4" w:space="0" w:color="000000"/>
              <w:bottom w:val="single" w:sz="4" w:space="0" w:color="000000"/>
              <w:right w:val="single" w:sz="4" w:space="0" w:color="000000"/>
            </w:tcBorders>
            <w:vAlign w:val="center"/>
            <w:hideMark/>
          </w:tcPr>
          <w:p w14:paraId="2D3641E0" w14:textId="77777777" w:rsidR="00D73F5A" w:rsidRPr="00D73F5A" w:rsidRDefault="00D73F5A" w:rsidP="00D73F5A">
            <w:pPr>
              <w:spacing w:after="0" w:line="240" w:lineRule="auto"/>
              <w:jc w:val="center"/>
              <w:rPr>
                <w:rFonts w:eastAsia="Times New Roman"/>
                <w:color w:val="000000"/>
                <w:lang w:eastAsia="en-GB"/>
              </w:rPr>
            </w:pPr>
          </w:p>
        </w:tc>
        <w:tc>
          <w:tcPr>
            <w:tcW w:w="425" w:type="dxa"/>
            <w:vMerge/>
            <w:tcBorders>
              <w:top w:val="nil"/>
              <w:left w:val="single" w:sz="4" w:space="0" w:color="000000"/>
              <w:bottom w:val="single" w:sz="4" w:space="0" w:color="000000"/>
              <w:right w:val="single" w:sz="4" w:space="0" w:color="000000"/>
            </w:tcBorders>
            <w:vAlign w:val="center"/>
            <w:hideMark/>
          </w:tcPr>
          <w:p w14:paraId="1589E706" w14:textId="77777777" w:rsidR="00D73F5A" w:rsidRPr="00D73F5A" w:rsidRDefault="00D73F5A" w:rsidP="00D73F5A">
            <w:pPr>
              <w:spacing w:after="0" w:line="240" w:lineRule="auto"/>
              <w:jc w:val="center"/>
              <w:rPr>
                <w:rFonts w:eastAsia="Times New Roman"/>
                <w:color w:val="000000"/>
                <w:lang w:eastAsia="en-GB"/>
              </w:rPr>
            </w:pPr>
          </w:p>
        </w:tc>
        <w:tc>
          <w:tcPr>
            <w:tcW w:w="36" w:type="dxa"/>
            <w:tcBorders>
              <w:top w:val="nil"/>
              <w:left w:val="nil"/>
              <w:bottom w:val="nil"/>
              <w:right w:val="nil"/>
            </w:tcBorders>
            <w:noWrap/>
            <w:vAlign w:val="bottom"/>
            <w:hideMark/>
          </w:tcPr>
          <w:p w14:paraId="667090F1" w14:textId="77777777" w:rsidR="00D73F5A" w:rsidRPr="00D73F5A" w:rsidRDefault="00D73F5A" w:rsidP="00D73F5A">
            <w:pPr>
              <w:spacing w:after="0" w:line="240" w:lineRule="auto"/>
              <w:jc w:val="center"/>
              <w:rPr>
                <w:rFonts w:eastAsia="Times New Roman"/>
                <w:color w:val="000000"/>
                <w:lang w:eastAsia="en-GB"/>
              </w:rPr>
            </w:pPr>
          </w:p>
        </w:tc>
      </w:tr>
      <w:tr w:rsidR="00D73F5A" w:rsidRPr="00D73F5A" w14:paraId="3D2B9622" w14:textId="77777777" w:rsidTr="00D73F5A">
        <w:trPr>
          <w:trHeight w:val="360"/>
          <w:jc w:val="center"/>
        </w:trPr>
        <w:tc>
          <w:tcPr>
            <w:tcW w:w="960" w:type="dxa"/>
            <w:vMerge/>
            <w:tcBorders>
              <w:top w:val="nil"/>
              <w:left w:val="single" w:sz="4" w:space="0" w:color="000000"/>
              <w:bottom w:val="single" w:sz="4" w:space="0" w:color="000000"/>
              <w:right w:val="single" w:sz="4" w:space="0" w:color="000000"/>
            </w:tcBorders>
            <w:vAlign w:val="center"/>
            <w:hideMark/>
          </w:tcPr>
          <w:p w14:paraId="3C9092D9" w14:textId="77777777" w:rsidR="00D73F5A" w:rsidRPr="00D73F5A" w:rsidRDefault="00D73F5A" w:rsidP="00D73F5A">
            <w:pPr>
              <w:spacing w:after="0" w:line="240" w:lineRule="auto"/>
              <w:jc w:val="center"/>
              <w:rPr>
                <w:rFonts w:eastAsia="Times New Roman"/>
                <w:color w:val="000000"/>
                <w:lang w:eastAsia="en-GB"/>
              </w:rPr>
            </w:pPr>
          </w:p>
        </w:tc>
        <w:tc>
          <w:tcPr>
            <w:tcW w:w="4296" w:type="dxa"/>
            <w:vMerge/>
            <w:tcBorders>
              <w:top w:val="nil"/>
              <w:left w:val="single" w:sz="4" w:space="0" w:color="000000"/>
              <w:bottom w:val="single" w:sz="4" w:space="0" w:color="000000"/>
              <w:right w:val="single" w:sz="4" w:space="0" w:color="000000"/>
            </w:tcBorders>
            <w:vAlign w:val="center"/>
            <w:hideMark/>
          </w:tcPr>
          <w:p w14:paraId="115E7423" w14:textId="77777777" w:rsidR="00D73F5A" w:rsidRPr="00D73F5A" w:rsidRDefault="00D73F5A" w:rsidP="00D73F5A">
            <w:pPr>
              <w:spacing w:after="0" w:line="240" w:lineRule="auto"/>
              <w:jc w:val="center"/>
              <w:rPr>
                <w:rFonts w:eastAsia="Times New Roman"/>
                <w:color w:val="000000"/>
                <w:lang w:eastAsia="en-GB"/>
              </w:rPr>
            </w:pPr>
          </w:p>
        </w:tc>
        <w:tc>
          <w:tcPr>
            <w:tcW w:w="425" w:type="dxa"/>
            <w:vMerge/>
            <w:tcBorders>
              <w:top w:val="nil"/>
              <w:left w:val="single" w:sz="4" w:space="0" w:color="000000"/>
              <w:bottom w:val="single" w:sz="4" w:space="0" w:color="000000"/>
              <w:right w:val="single" w:sz="4" w:space="0" w:color="000000"/>
            </w:tcBorders>
            <w:vAlign w:val="center"/>
            <w:hideMark/>
          </w:tcPr>
          <w:p w14:paraId="6F9A2C5E" w14:textId="77777777" w:rsidR="00D73F5A" w:rsidRPr="00D73F5A" w:rsidRDefault="00D73F5A" w:rsidP="00D73F5A">
            <w:pPr>
              <w:spacing w:after="0" w:line="240" w:lineRule="auto"/>
              <w:jc w:val="center"/>
              <w:rPr>
                <w:rFonts w:eastAsia="Times New Roman"/>
                <w:color w:val="000000"/>
                <w:lang w:eastAsia="en-GB"/>
              </w:rPr>
            </w:pPr>
          </w:p>
        </w:tc>
        <w:tc>
          <w:tcPr>
            <w:tcW w:w="36" w:type="dxa"/>
            <w:tcBorders>
              <w:top w:val="nil"/>
              <w:left w:val="nil"/>
              <w:bottom w:val="nil"/>
              <w:right w:val="nil"/>
            </w:tcBorders>
            <w:noWrap/>
            <w:vAlign w:val="bottom"/>
            <w:hideMark/>
          </w:tcPr>
          <w:p w14:paraId="08A50132" w14:textId="77777777" w:rsidR="00D73F5A" w:rsidRPr="00D73F5A" w:rsidRDefault="00D73F5A" w:rsidP="00D73F5A">
            <w:pPr>
              <w:spacing w:after="0" w:line="240" w:lineRule="auto"/>
              <w:jc w:val="center"/>
              <w:rPr>
                <w:rFonts w:ascii="Times New Roman" w:eastAsia="Times New Roman" w:hAnsi="Times New Roman" w:cs="Times New Roman"/>
                <w:color w:val="auto"/>
                <w:sz w:val="20"/>
                <w:szCs w:val="20"/>
                <w:lang w:eastAsia="en-GB"/>
              </w:rPr>
            </w:pPr>
          </w:p>
        </w:tc>
      </w:tr>
      <w:tr w:rsidR="00D73F5A" w:rsidRPr="00D73F5A" w14:paraId="5AD9957A" w14:textId="77777777" w:rsidTr="00D73F5A">
        <w:trPr>
          <w:trHeight w:val="360"/>
          <w:jc w:val="center"/>
        </w:trPr>
        <w:tc>
          <w:tcPr>
            <w:tcW w:w="960" w:type="dxa"/>
            <w:vMerge/>
            <w:tcBorders>
              <w:top w:val="nil"/>
              <w:left w:val="single" w:sz="4" w:space="0" w:color="000000"/>
              <w:bottom w:val="single" w:sz="4" w:space="0" w:color="000000"/>
              <w:right w:val="single" w:sz="4" w:space="0" w:color="000000"/>
            </w:tcBorders>
            <w:vAlign w:val="center"/>
            <w:hideMark/>
          </w:tcPr>
          <w:p w14:paraId="4C2B6E51" w14:textId="77777777" w:rsidR="00D73F5A" w:rsidRPr="00D73F5A" w:rsidRDefault="00D73F5A" w:rsidP="00D73F5A">
            <w:pPr>
              <w:spacing w:after="0" w:line="240" w:lineRule="auto"/>
              <w:jc w:val="center"/>
              <w:rPr>
                <w:rFonts w:eastAsia="Times New Roman"/>
                <w:color w:val="000000"/>
                <w:lang w:eastAsia="en-GB"/>
              </w:rPr>
            </w:pPr>
          </w:p>
        </w:tc>
        <w:tc>
          <w:tcPr>
            <w:tcW w:w="4296" w:type="dxa"/>
            <w:vMerge w:val="restart"/>
            <w:tcBorders>
              <w:top w:val="nil"/>
              <w:left w:val="single" w:sz="4" w:space="0" w:color="000000"/>
              <w:bottom w:val="single" w:sz="4" w:space="0" w:color="000000"/>
              <w:right w:val="single" w:sz="4" w:space="0" w:color="000000"/>
            </w:tcBorders>
            <w:noWrap/>
            <w:vAlign w:val="center"/>
            <w:hideMark/>
          </w:tcPr>
          <w:p w14:paraId="3933FCB5"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Maybe</w:t>
            </w:r>
          </w:p>
        </w:tc>
        <w:tc>
          <w:tcPr>
            <w:tcW w:w="425" w:type="dxa"/>
            <w:vMerge w:val="restart"/>
            <w:tcBorders>
              <w:top w:val="nil"/>
              <w:left w:val="single" w:sz="4" w:space="0" w:color="000000"/>
              <w:bottom w:val="single" w:sz="4" w:space="0" w:color="000000"/>
              <w:right w:val="single" w:sz="4" w:space="0" w:color="000000"/>
            </w:tcBorders>
            <w:noWrap/>
            <w:vAlign w:val="center"/>
            <w:hideMark/>
          </w:tcPr>
          <w:p w14:paraId="1A727915" w14:textId="77777777" w:rsidR="00D73F5A" w:rsidRPr="00D73F5A" w:rsidRDefault="00D73F5A" w:rsidP="00D73F5A">
            <w:pPr>
              <w:spacing w:after="0" w:line="240" w:lineRule="auto"/>
              <w:jc w:val="center"/>
              <w:rPr>
                <w:rFonts w:eastAsia="Times New Roman"/>
                <w:color w:val="000000"/>
                <w:lang w:eastAsia="en-GB"/>
              </w:rPr>
            </w:pPr>
            <w:r w:rsidRPr="00D73F5A">
              <w:rPr>
                <w:rFonts w:eastAsia="Times New Roman"/>
                <w:color w:val="000000"/>
                <w:lang w:eastAsia="en-GB"/>
              </w:rPr>
              <w:t>7</w:t>
            </w:r>
          </w:p>
        </w:tc>
        <w:tc>
          <w:tcPr>
            <w:tcW w:w="36" w:type="dxa"/>
            <w:vAlign w:val="center"/>
            <w:hideMark/>
          </w:tcPr>
          <w:p w14:paraId="349BDF7D" w14:textId="77777777" w:rsidR="00D73F5A" w:rsidRPr="00D73F5A" w:rsidRDefault="00D73F5A" w:rsidP="00D73F5A">
            <w:pPr>
              <w:spacing w:after="0" w:line="240" w:lineRule="auto"/>
              <w:jc w:val="center"/>
              <w:rPr>
                <w:rFonts w:ascii="Times New Roman" w:eastAsia="Times New Roman" w:hAnsi="Times New Roman" w:cs="Times New Roman"/>
                <w:color w:val="auto"/>
                <w:sz w:val="20"/>
                <w:szCs w:val="20"/>
                <w:lang w:eastAsia="en-GB"/>
              </w:rPr>
            </w:pPr>
          </w:p>
        </w:tc>
      </w:tr>
      <w:tr w:rsidR="00D73F5A" w:rsidRPr="00D73F5A" w14:paraId="09553CB8" w14:textId="77777777" w:rsidTr="00D73F5A">
        <w:trPr>
          <w:trHeight w:val="360"/>
          <w:jc w:val="center"/>
        </w:trPr>
        <w:tc>
          <w:tcPr>
            <w:tcW w:w="960" w:type="dxa"/>
            <w:vMerge/>
            <w:tcBorders>
              <w:top w:val="nil"/>
              <w:left w:val="single" w:sz="4" w:space="0" w:color="000000"/>
              <w:bottom w:val="single" w:sz="4" w:space="0" w:color="000000"/>
              <w:right w:val="single" w:sz="4" w:space="0" w:color="000000"/>
            </w:tcBorders>
            <w:vAlign w:val="center"/>
            <w:hideMark/>
          </w:tcPr>
          <w:p w14:paraId="684845B4" w14:textId="77777777" w:rsidR="00D73F5A" w:rsidRPr="00D73F5A" w:rsidRDefault="00D73F5A" w:rsidP="00D73F5A">
            <w:pPr>
              <w:spacing w:after="0" w:line="240" w:lineRule="auto"/>
              <w:jc w:val="center"/>
              <w:rPr>
                <w:rFonts w:eastAsia="Times New Roman"/>
                <w:color w:val="000000"/>
                <w:lang w:eastAsia="en-GB"/>
              </w:rPr>
            </w:pPr>
          </w:p>
        </w:tc>
        <w:tc>
          <w:tcPr>
            <w:tcW w:w="4296" w:type="dxa"/>
            <w:vMerge/>
            <w:tcBorders>
              <w:top w:val="nil"/>
              <w:left w:val="single" w:sz="4" w:space="0" w:color="000000"/>
              <w:bottom w:val="single" w:sz="4" w:space="0" w:color="000000"/>
              <w:right w:val="single" w:sz="4" w:space="0" w:color="000000"/>
            </w:tcBorders>
            <w:vAlign w:val="center"/>
            <w:hideMark/>
          </w:tcPr>
          <w:p w14:paraId="37A7092C" w14:textId="77777777" w:rsidR="00D73F5A" w:rsidRPr="00D73F5A" w:rsidRDefault="00D73F5A" w:rsidP="00D73F5A">
            <w:pPr>
              <w:spacing w:after="0" w:line="240" w:lineRule="auto"/>
              <w:jc w:val="center"/>
              <w:rPr>
                <w:rFonts w:eastAsia="Times New Roman"/>
                <w:color w:val="000000"/>
                <w:lang w:eastAsia="en-GB"/>
              </w:rPr>
            </w:pPr>
          </w:p>
        </w:tc>
        <w:tc>
          <w:tcPr>
            <w:tcW w:w="425" w:type="dxa"/>
            <w:vMerge/>
            <w:tcBorders>
              <w:top w:val="nil"/>
              <w:left w:val="single" w:sz="4" w:space="0" w:color="000000"/>
              <w:bottom w:val="single" w:sz="4" w:space="0" w:color="000000"/>
              <w:right w:val="single" w:sz="4" w:space="0" w:color="000000"/>
            </w:tcBorders>
            <w:vAlign w:val="center"/>
            <w:hideMark/>
          </w:tcPr>
          <w:p w14:paraId="1E179D5A" w14:textId="77777777" w:rsidR="00D73F5A" w:rsidRPr="00D73F5A" w:rsidRDefault="00D73F5A" w:rsidP="00D73F5A">
            <w:pPr>
              <w:spacing w:after="0" w:line="240" w:lineRule="auto"/>
              <w:jc w:val="center"/>
              <w:rPr>
                <w:rFonts w:eastAsia="Times New Roman"/>
                <w:color w:val="000000"/>
                <w:lang w:eastAsia="en-GB"/>
              </w:rPr>
            </w:pPr>
          </w:p>
        </w:tc>
        <w:tc>
          <w:tcPr>
            <w:tcW w:w="36" w:type="dxa"/>
            <w:tcBorders>
              <w:top w:val="nil"/>
              <w:left w:val="nil"/>
              <w:bottom w:val="nil"/>
              <w:right w:val="nil"/>
            </w:tcBorders>
            <w:noWrap/>
            <w:vAlign w:val="bottom"/>
            <w:hideMark/>
          </w:tcPr>
          <w:p w14:paraId="0AFC3A4C" w14:textId="77777777" w:rsidR="00D73F5A" w:rsidRPr="00D73F5A" w:rsidRDefault="00D73F5A" w:rsidP="00D73F5A">
            <w:pPr>
              <w:spacing w:after="0" w:line="240" w:lineRule="auto"/>
              <w:jc w:val="center"/>
              <w:rPr>
                <w:rFonts w:eastAsia="Times New Roman"/>
                <w:color w:val="000000"/>
                <w:lang w:eastAsia="en-GB"/>
              </w:rPr>
            </w:pPr>
          </w:p>
        </w:tc>
      </w:tr>
      <w:tr w:rsidR="00D73F5A" w:rsidRPr="00D73F5A" w14:paraId="27015F9A" w14:textId="77777777" w:rsidTr="00D73F5A">
        <w:trPr>
          <w:trHeight w:val="360"/>
          <w:jc w:val="center"/>
        </w:trPr>
        <w:tc>
          <w:tcPr>
            <w:tcW w:w="960" w:type="dxa"/>
            <w:vMerge/>
            <w:tcBorders>
              <w:top w:val="nil"/>
              <w:left w:val="single" w:sz="4" w:space="0" w:color="000000"/>
              <w:bottom w:val="single" w:sz="4" w:space="0" w:color="000000"/>
              <w:right w:val="single" w:sz="4" w:space="0" w:color="000000"/>
            </w:tcBorders>
            <w:vAlign w:val="center"/>
            <w:hideMark/>
          </w:tcPr>
          <w:p w14:paraId="260720C8" w14:textId="77777777" w:rsidR="00D73F5A" w:rsidRPr="00D73F5A" w:rsidRDefault="00D73F5A" w:rsidP="00D73F5A">
            <w:pPr>
              <w:spacing w:after="0" w:line="240" w:lineRule="auto"/>
              <w:jc w:val="center"/>
              <w:rPr>
                <w:rFonts w:eastAsia="Times New Roman"/>
                <w:color w:val="000000"/>
                <w:lang w:eastAsia="en-GB"/>
              </w:rPr>
            </w:pPr>
          </w:p>
        </w:tc>
        <w:tc>
          <w:tcPr>
            <w:tcW w:w="4296" w:type="dxa"/>
            <w:vMerge/>
            <w:tcBorders>
              <w:top w:val="nil"/>
              <w:left w:val="single" w:sz="4" w:space="0" w:color="000000"/>
              <w:bottom w:val="single" w:sz="4" w:space="0" w:color="000000"/>
              <w:right w:val="single" w:sz="4" w:space="0" w:color="000000"/>
            </w:tcBorders>
            <w:vAlign w:val="center"/>
            <w:hideMark/>
          </w:tcPr>
          <w:p w14:paraId="7A816C7F" w14:textId="77777777" w:rsidR="00D73F5A" w:rsidRPr="00D73F5A" w:rsidRDefault="00D73F5A" w:rsidP="00D73F5A">
            <w:pPr>
              <w:spacing w:after="0" w:line="240" w:lineRule="auto"/>
              <w:jc w:val="center"/>
              <w:rPr>
                <w:rFonts w:eastAsia="Times New Roman"/>
                <w:color w:val="000000"/>
                <w:lang w:eastAsia="en-GB"/>
              </w:rPr>
            </w:pPr>
          </w:p>
        </w:tc>
        <w:tc>
          <w:tcPr>
            <w:tcW w:w="425" w:type="dxa"/>
            <w:vMerge/>
            <w:tcBorders>
              <w:top w:val="nil"/>
              <w:left w:val="single" w:sz="4" w:space="0" w:color="000000"/>
              <w:bottom w:val="single" w:sz="4" w:space="0" w:color="000000"/>
              <w:right w:val="single" w:sz="4" w:space="0" w:color="000000"/>
            </w:tcBorders>
            <w:vAlign w:val="center"/>
            <w:hideMark/>
          </w:tcPr>
          <w:p w14:paraId="522C4E27" w14:textId="77777777" w:rsidR="00D73F5A" w:rsidRPr="00D73F5A" w:rsidRDefault="00D73F5A" w:rsidP="00D73F5A">
            <w:pPr>
              <w:spacing w:after="0" w:line="240" w:lineRule="auto"/>
              <w:jc w:val="center"/>
              <w:rPr>
                <w:rFonts w:eastAsia="Times New Roman"/>
                <w:color w:val="000000"/>
                <w:lang w:eastAsia="en-GB"/>
              </w:rPr>
            </w:pPr>
          </w:p>
        </w:tc>
        <w:tc>
          <w:tcPr>
            <w:tcW w:w="36" w:type="dxa"/>
            <w:tcBorders>
              <w:top w:val="nil"/>
              <w:left w:val="nil"/>
              <w:bottom w:val="nil"/>
              <w:right w:val="nil"/>
            </w:tcBorders>
            <w:noWrap/>
            <w:vAlign w:val="bottom"/>
            <w:hideMark/>
          </w:tcPr>
          <w:p w14:paraId="08BF1E7D" w14:textId="77777777" w:rsidR="00D73F5A" w:rsidRPr="00D73F5A" w:rsidRDefault="00D73F5A" w:rsidP="00D73F5A">
            <w:pPr>
              <w:spacing w:after="0" w:line="240" w:lineRule="auto"/>
              <w:jc w:val="center"/>
              <w:rPr>
                <w:rFonts w:ascii="Times New Roman" w:eastAsia="Times New Roman" w:hAnsi="Times New Roman" w:cs="Times New Roman"/>
                <w:color w:val="auto"/>
                <w:sz w:val="20"/>
                <w:szCs w:val="20"/>
                <w:lang w:eastAsia="en-GB"/>
              </w:rPr>
            </w:pPr>
          </w:p>
        </w:tc>
      </w:tr>
    </w:tbl>
    <w:p w14:paraId="3E61EFC5" w14:textId="7787DDAD" w:rsidR="00D73F5A" w:rsidRDefault="00D73F5A" w:rsidP="00D73F5A">
      <w:pPr>
        <w:pStyle w:val="Caption"/>
        <w:jc w:val="center"/>
      </w:pPr>
      <w:bookmarkStart w:id="122" w:name="_Toc219216433"/>
      <w:r>
        <w:t xml:space="preserve">Table </w:t>
      </w:r>
      <w:fldSimple w:instr=" SEQ Table \* ARABIC ">
        <w:r w:rsidR="004239CB">
          <w:rPr>
            <w:noProof/>
          </w:rPr>
          <w:t>20</w:t>
        </w:r>
      </w:fldSimple>
      <w:r>
        <w:t xml:space="preserve"> - </w:t>
      </w:r>
      <w:r w:rsidRPr="000B6AC4">
        <w:t>Questionnaire Q</w:t>
      </w:r>
      <w:r>
        <w:t>14</w:t>
      </w:r>
      <w:r w:rsidRPr="000B6AC4">
        <w:t xml:space="preserve"> Data Set</w:t>
      </w:r>
      <w:bookmarkEnd w:id="122"/>
    </w:p>
    <w:p w14:paraId="7B7851BF" w14:textId="77777777" w:rsidR="00D73F5A" w:rsidRDefault="00D73F5A" w:rsidP="00932E71">
      <w:pPr>
        <w:spacing w:after="0"/>
      </w:pPr>
    </w:p>
    <w:p w14:paraId="5BE75405" w14:textId="77777777" w:rsidR="00694445" w:rsidRDefault="00694445" w:rsidP="00932E71">
      <w:pPr>
        <w:spacing w:after="0"/>
      </w:pPr>
    </w:p>
    <w:p w14:paraId="145CE615" w14:textId="77777777" w:rsidR="00694445" w:rsidRDefault="00694445" w:rsidP="00932E71">
      <w:pPr>
        <w:spacing w:after="0"/>
      </w:pPr>
    </w:p>
    <w:p w14:paraId="771D8499" w14:textId="77777777" w:rsidR="00694445" w:rsidRDefault="00694445" w:rsidP="00932E71">
      <w:pPr>
        <w:spacing w:after="0"/>
      </w:pPr>
    </w:p>
    <w:p w14:paraId="17ADBD4A" w14:textId="77777777" w:rsidR="00694445" w:rsidRDefault="00694445" w:rsidP="00932E71">
      <w:pPr>
        <w:spacing w:after="0"/>
      </w:pPr>
    </w:p>
    <w:p w14:paraId="5A067E15" w14:textId="77777777" w:rsidR="00694445" w:rsidRDefault="00694445" w:rsidP="00932E71">
      <w:pPr>
        <w:spacing w:after="0"/>
      </w:pPr>
    </w:p>
    <w:p w14:paraId="4FB2F28E" w14:textId="77777777" w:rsidR="00694445" w:rsidRDefault="00694445" w:rsidP="00932E71">
      <w:pPr>
        <w:spacing w:after="0"/>
      </w:pPr>
    </w:p>
    <w:p w14:paraId="43BBBB7B" w14:textId="77777777" w:rsidR="00694445" w:rsidRDefault="00694445" w:rsidP="00932E71">
      <w:pPr>
        <w:spacing w:after="0"/>
      </w:pPr>
    </w:p>
    <w:p w14:paraId="645E3B79" w14:textId="77777777" w:rsidR="00694445" w:rsidRDefault="00694445" w:rsidP="00932E71">
      <w:pPr>
        <w:spacing w:after="0"/>
      </w:pPr>
    </w:p>
    <w:p w14:paraId="772DB841" w14:textId="77777777" w:rsidR="00694445" w:rsidRDefault="00694445" w:rsidP="00932E71">
      <w:pPr>
        <w:spacing w:after="0"/>
      </w:pPr>
    </w:p>
    <w:p w14:paraId="6F3CF908" w14:textId="77777777" w:rsidR="00694445" w:rsidRDefault="00694445" w:rsidP="00932E71">
      <w:pPr>
        <w:spacing w:after="0"/>
      </w:pPr>
    </w:p>
    <w:p w14:paraId="29A30CD3" w14:textId="77777777" w:rsidR="00694445" w:rsidRDefault="00694445" w:rsidP="00932E71">
      <w:pPr>
        <w:spacing w:after="0"/>
      </w:pPr>
    </w:p>
    <w:p w14:paraId="15688072" w14:textId="77777777" w:rsidR="00694445" w:rsidRDefault="00694445" w:rsidP="00932E71">
      <w:pPr>
        <w:spacing w:after="0"/>
      </w:pPr>
    </w:p>
    <w:p w14:paraId="567C61A7" w14:textId="77777777" w:rsidR="00694445" w:rsidRDefault="00694445" w:rsidP="00932E71">
      <w:pPr>
        <w:spacing w:after="0"/>
      </w:pPr>
    </w:p>
    <w:tbl>
      <w:tblPr>
        <w:tblW w:w="11043" w:type="dxa"/>
        <w:tblInd w:w="-905" w:type="dxa"/>
        <w:tblLayout w:type="fixed"/>
        <w:tblLook w:val="04A0" w:firstRow="1" w:lastRow="0" w:firstColumn="1" w:lastColumn="0" w:noHBand="0" w:noVBand="1"/>
      </w:tblPr>
      <w:tblGrid>
        <w:gridCol w:w="445"/>
        <w:gridCol w:w="1595"/>
        <w:gridCol w:w="2378"/>
        <w:gridCol w:w="1283"/>
        <w:gridCol w:w="1278"/>
        <w:gridCol w:w="1225"/>
        <w:gridCol w:w="1133"/>
        <w:gridCol w:w="1463"/>
        <w:gridCol w:w="7"/>
        <w:gridCol w:w="236"/>
      </w:tblGrid>
      <w:tr w:rsidR="00694445" w:rsidRPr="00694445" w14:paraId="318E294B" w14:textId="77777777" w:rsidTr="00694445">
        <w:trPr>
          <w:gridAfter w:val="2"/>
          <w:wAfter w:w="243" w:type="dxa"/>
          <w:trHeight w:val="300"/>
        </w:trPr>
        <w:tc>
          <w:tcPr>
            <w:tcW w:w="10800" w:type="dxa"/>
            <w:gridSpan w:val="8"/>
            <w:tcBorders>
              <w:top w:val="single" w:sz="4" w:space="0" w:color="000000"/>
              <w:left w:val="single" w:sz="4" w:space="0" w:color="000000"/>
              <w:bottom w:val="single" w:sz="4" w:space="0" w:color="000000"/>
              <w:right w:val="single" w:sz="4" w:space="0" w:color="000000"/>
            </w:tcBorders>
            <w:shd w:val="clear" w:color="A6C9EC" w:fill="A6C9EC"/>
            <w:noWrap/>
            <w:vAlign w:val="center"/>
            <w:hideMark/>
          </w:tcPr>
          <w:p w14:paraId="3411FFC6"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lastRenderedPageBreak/>
              <w:t>Effectiveness of Risk Management</w:t>
            </w:r>
          </w:p>
        </w:tc>
      </w:tr>
      <w:tr w:rsidR="00694445" w:rsidRPr="00694445" w14:paraId="6950BE30" w14:textId="77777777" w:rsidTr="00694445">
        <w:trPr>
          <w:gridAfter w:val="2"/>
          <w:wAfter w:w="243" w:type="dxa"/>
          <w:trHeight w:val="300"/>
        </w:trPr>
        <w:tc>
          <w:tcPr>
            <w:tcW w:w="445" w:type="dxa"/>
            <w:vMerge w:val="restart"/>
            <w:tcBorders>
              <w:top w:val="nil"/>
              <w:left w:val="single" w:sz="4" w:space="0" w:color="000000"/>
              <w:bottom w:val="single" w:sz="4" w:space="0" w:color="000000"/>
              <w:right w:val="single" w:sz="4" w:space="0" w:color="000000"/>
            </w:tcBorders>
            <w:textDirection w:val="btLr"/>
            <w:vAlign w:val="center"/>
            <w:hideMark/>
          </w:tcPr>
          <w:p w14:paraId="35D2FE55"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Based on your understanding, categorise each of the risk assessment tools.</w:t>
            </w:r>
          </w:p>
        </w:tc>
        <w:tc>
          <w:tcPr>
            <w:tcW w:w="3973" w:type="dxa"/>
            <w:gridSpan w:val="2"/>
            <w:vMerge w:val="restart"/>
            <w:tcBorders>
              <w:top w:val="single" w:sz="4" w:space="0" w:color="000000"/>
              <w:left w:val="single" w:sz="4" w:space="0" w:color="000000"/>
              <w:bottom w:val="single" w:sz="4" w:space="0" w:color="000000"/>
              <w:right w:val="single" w:sz="4" w:space="0" w:color="000000"/>
            </w:tcBorders>
            <w:shd w:val="clear" w:color="A6C9EC" w:fill="A6C9EC"/>
            <w:noWrap/>
            <w:vAlign w:val="center"/>
            <w:hideMark/>
          </w:tcPr>
          <w:p w14:paraId="7A73E5C8"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Risk Category &amp; Associated  Risk Tool</w:t>
            </w:r>
          </w:p>
        </w:tc>
        <w:tc>
          <w:tcPr>
            <w:tcW w:w="6382" w:type="dxa"/>
            <w:gridSpan w:val="5"/>
            <w:tcBorders>
              <w:top w:val="single" w:sz="4" w:space="0" w:color="000000"/>
              <w:left w:val="nil"/>
              <w:bottom w:val="single" w:sz="4" w:space="0" w:color="000000"/>
              <w:right w:val="single" w:sz="4" w:space="0" w:color="000000"/>
            </w:tcBorders>
            <w:shd w:val="clear" w:color="A6C9EC" w:fill="A6C9EC"/>
            <w:noWrap/>
            <w:vAlign w:val="bottom"/>
            <w:hideMark/>
          </w:tcPr>
          <w:p w14:paraId="4B4320DE"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Risk Category</w:t>
            </w:r>
          </w:p>
        </w:tc>
      </w:tr>
      <w:tr w:rsidR="00694445" w:rsidRPr="00694445" w14:paraId="458D71D9" w14:textId="77777777" w:rsidTr="00694445">
        <w:trPr>
          <w:gridAfter w:val="1"/>
          <w:wAfter w:w="236" w:type="dxa"/>
          <w:trHeight w:val="450"/>
        </w:trPr>
        <w:tc>
          <w:tcPr>
            <w:tcW w:w="445" w:type="dxa"/>
            <w:vMerge/>
            <w:tcBorders>
              <w:top w:val="nil"/>
              <w:left w:val="single" w:sz="4" w:space="0" w:color="000000"/>
              <w:bottom w:val="single" w:sz="4" w:space="0" w:color="000000"/>
              <w:right w:val="single" w:sz="4" w:space="0" w:color="000000"/>
            </w:tcBorders>
            <w:vAlign w:val="center"/>
            <w:hideMark/>
          </w:tcPr>
          <w:p w14:paraId="599D1399" w14:textId="77777777" w:rsidR="00694445" w:rsidRPr="00694445" w:rsidRDefault="00694445" w:rsidP="00694445">
            <w:pPr>
              <w:spacing w:after="0" w:line="240" w:lineRule="auto"/>
              <w:rPr>
                <w:rFonts w:eastAsia="Times New Roman"/>
                <w:color w:val="000000"/>
                <w:lang w:eastAsia="en-GB"/>
              </w:rPr>
            </w:pPr>
          </w:p>
        </w:tc>
        <w:tc>
          <w:tcPr>
            <w:tcW w:w="3973" w:type="dxa"/>
            <w:gridSpan w:val="2"/>
            <w:vMerge/>
            <w:tcBorders>
              <w:top w:val="single" w:sz="4" w:space="0" w:color="000000"/>
              <w:left w:val="single" w:sz="4" w:space="0" w:color="000000"/>
              <w:bottom w:val="single" w:sz="4" w:space="0" w:color="000000"/>
              <w:right w:val="single" w:sz="4" w:space="0" w:color="000000"/>
            </w:tcBorders>
            <w:vAlign w:val="center"/>
            <w:hideMark/>
          </w:tcPr>
          <w:p w14:paraId="7A05BE74" w14:textId="77777777" w:rsidR="00694445" w:rsidRPr="00694445" w:rsidRDefault="00694445" w:rsidP="00694445">
            <w:pPr>
              <w:spacing w:after="0" w:line="240" w:lineRule="auto"/>
              <w:rPr>
                <w:rFonts w:eastAsia="Times New Roman"/>
                <w:color w:val="000000"/>
                <w:lang w:eastAsia="en-GB"/>
              </w:rPr>
            </w:pPr>
          </w:p>
        </w:tc>
        <w:tc>
          <w:tcPr>
            <w:tcW w:w="1283" w:type="dxa"/>
            <w:vMerge w:val="restart"/>
            <w:tcBorders>
              <w:top w:val="nil"/>
              <w:left w:val="single" w:sz="4" w:space="0" w:color="000000"/>
              <w:bottom w:val="single" w:sz="4" w:space="0" w:color="000000"/>
              <w:right w:val="single" w:sz="4" w:space="0" w:color="000000"/>
            </w:tcBorders>
            <w:vAlign w:val="center"/>
            <w:hideMark/>
          </w:tcPr>
          <w:p w14:paraId="49685B3B" w14:textId="77777777" w:rsidR="00694445" w:rsidRPr="00694445" w:rsidRDefault="00694445" w:rsidP="00694445">
            <w:pPr>
              <w:spacing w:after="0" w:line="240" w:lineRule="auto"/>
              <w:jc w:val="center"/>
              <w:rPr>
                <w:rFonts w:eastAsia="Times New Roman"/>
                <w:color w:val="000000"/>
                <w:sz w:val="20"/>
                <w:szCs w:val="20"/>
                <w:lang w:eastAsia="en-GB"/>
              </w:rPr>
            </w:pPr>
            <w:r w:rsidRPr="00694445">
              <w:rPr>
                <w:rFonts w:eastAsia="Times New Roman"/>
                <w:color w:val="000000"/>
                <w:sz w:val="20"/>
                <w:szCs w:val="20"/>
                <w:lang w:eastAsia="en-GB"/>
              </w:rPr>
              <w:t>Risk Identification Methods</w:t>
            </w:r>
          </w:p>
        </w:tc>
        <w:tc>
          <w:tcPr>
            <w:tcW w:w="1278" w:type="dxa"/>
            <w:vMerge w:val="restart"/>
            <w:tcBorders>
              <w:top w:val="nil"/>
              <w:left w:val="single" w:sz="4" w:space="0" w:color="000000"/>
              <w:bottom w:val="single" w:sz="4" w:space="0" w:color="000000"/>
              <w:right w:val="single" w:sz="4" w:space="0" w:color="000000"/>
            </w:tcBorders>
            <w:vAlign w:val="center"/>
            <w:hideMark/>
          </w:tcPr>
          <w:p w14:paraId="4380C046" w14:textId="77777777" w:rsidR="00694445" w:rsidRPr="00694445" w:rsidRDefault="00694445" w:rsidP="00694445">
            <w:pPr>
              <w:spacing w:after="0" w:line="240" w:lineRule="auto"/>
              <w:jc w:val="center"/>
              <w:rPr>
                <w:rFonts w:eastAsia="Times New Roman"/>
                <w:color w:val="000000"/>
                <w:sz w:val="20"/>
                <w:szCs w:val="20"/>
                <w:lang w:eastAsia="en-GB"/>
              </w:rPr>
            </w:pPr>
            <w:r w:rsidRPr="00694445">
              <w:rPr>
                <w:rFonts w:eastAsia="Times New Roman"/>
                <w:color w:val="000000"/>
                <w:sz w:val="20"/>
                <w:szCs w:val="20"/>
                <w:lang w:eastAsia="en-GB"/>
              </w:rPr>
              <w:t>Risk Analysis Tools (Qualitative &amp; Quantitative)</w:t>
            </w:r>
          </w:p>
        </w:tc>
        <w:tc>
          <w:tcPr>
            <w:tcW w:w="1225" w:type="dxa"/>
            <w:vMerge w:val="restart"/>
            <w:tcBorders>
              <w:top w:val="nil"/>
              <w:left w:val="single" w:sz="4" w:space="0" w:color="000000"/>
              <w:bottom w:val="single" w:sz="4" w:space="0" w:color="000000"/>
              <w:right w:val="single" w:sz="4" w:space="0" w:color="000000"/>
            </w:tcBorders>
            <w:vAlign w:val="center"/>
            <w:hideMark/>
          </w:tcPr>
          <w:p w14:paraId="3D5D0F1A" w14:textId="77777777" w:rsidR="00694445" w:rsidRPr="00694445" w:rsidRDefault="00694445" w:rsidP="00694445">
            <w:pPr>
              <w:spacing w:after="0" w:line="240" w:lineRule="auto"/>
              <w:jc w:val="center"/>
              <w:rPr>
                <w:rFonts w:eastAsia="Times New Roman"/>
                <w:color w:val="000000"/>
                <w:sz w:val="20"/>
                <w:szCs w:val="20"/>
                <w:lang w:eastAsia="en-GB"/>
              </w:rPr>
            </w:pPr>
            <w:r w:rsidRPr="00694445">
              <w:rPr>
                <w:rFonts w:eastAsia="Times New Roman"/>
                <w:color w:val="000000"/>
                <w:sz w:val="20"/>
                <w:szCs w:val="20"/>
                <w:lang w:eastAsia="en-GB"/>
              </w:rPr>
              <w:t>Risk Control &amp; Visualisation Methods</w:t>
            </w:r>
          </w:p>
        </w:tc>
        <w:tc>
          <w:tcPr>
            <w:tcW w:w="1133" w:type="dxa"/>
            <w:vMerge w:val="restart"/>
            <w:tcBorders>
              <w:top w:val="nil"/>
              <w:left w:val="single" w:sz="4" w:space="0" w:color="000000"/>
              <w:bottom w:val="single" w:sz="4" w:space="0" w:color="000000"/>
              <w:right w:val="single" w:sz="4" w:space="0" w:color="000000"/>
            </w:tcBorders>
            <w:vAlign w:val="center"/>
            <w:hideMark/>
          </w:tcPr>
          <w:p w14:paraId="361931D6" w14:textId="77777777" w:rsidR="00694445" w:rsidRPr="00694445" w:rsidRDefault="00694445" w:rsidP="00694445">
            <w:pPr>
              <w:spacing w:after="0" w:line="240" w:lineRule="auto"/>
              <w:jc w:val="center"/>
              <w:rPr>
                <w:rFonts w:eastAsia="Times New Roman"/>
                <w:color w:val="000000"/>
                <w:sz w:val="20"/>
                <w:szCs w:val="20"/>
                <w:lang w:eastAsia="en-GB"/>
              </w:rPr>
            </w:pPr>
            <w:r w:rsidRPr="00694445">
              <w:rPr>
                <w:rFonts w:eastAsia="Times New Roman"/>
                <w:color w:val="000000"/>
                <w:sz w:val="20"/>
                <w:szCs w:val="20"/>
                <w:lang w:eastAsia="en-GB"/>
              </w:rPr>
              <w:t>Functional &amp; Failure Analysis Techniques</w:t>
            </w:r>
          </w:p>
        </w:tc>
        <w:tc>
          <w:tcPr>
            <w:tcW w:w="1470" w:type="dxa"/>
            <w:gridSpan w:val="2"/>
            <w:vMerge w:val="restart"/>
            <w:tcBorders>
              <w:top w:val="nil"/>
              <w:left w:val="single" w:sz="4" w:space="0" w:color="000000"/>
              <w:bottom w:val="single" w:sz="4" w:space="0" w:color="000000"/>
              <w:right w:val="single" w:sz="4" w:space="0" w:color="000000"/>
            </w:tcBorders>
            <w:vAlign w:val="center"/>
            <w:hideMark/>
          </w:tcPr>
          <w:p w14:paraId="7F99ACF7" w14:textId="77777777" w:rsidR="00694445" w:rsidRPr="00694445" w:rsidRDefault="00694445" w:rsidP="00694445">
            <w:pPr>
              <w:spacing w:after="0" w:line="240" w:lineRule="auto"/>
              <w:jc w:val="center"/>
              <w:rPr>
                <w:rFonts w:eastAsia="Times New Roman"/>
                <w:color w:val="000000"/>
                <w:sz w:val="20"/>
                <w:szCs w:val="20"/>
                <w:lang w:eastAsia="en-GB"/>
              </w:rPr>
            </w:pPr>
            <w:r w:rsidRPr="00694445">
              <w:rPr>
                <w:rFonts w:eastAsia="Times New Roman"/>
                <w:color w:val="000000"/>
                <w:sz w:val="20"/>
                <w:szCs w:val="20"/>
                <w:lang w:eastAsia="en-GB"/>
              </w:rPr>
              <w:t>Risk Documentation &amp; Monitoring Tools</w:t>
            </w:r>
          </w:p>
        </w:tc>
      </w:tr>
      <w:tr w:rsidR="00694445" w:rsidRPr="00694445" w14:paraId="14A370CC" w14:textId="77777777" w:rsidTr="00694445">
        <w:trPr>
          <w:trHeight w:val="360"/>
        </w:trPr>
        <w:tc>
          <w:tcPr>
            <w:tcW w:w="445" w:type="dxa"/>
            <w:vMerge/>
            <w:tcBorders>
              <w:top w:val="nil"/>
              <w:left w:val="single" w:sz="4" w:space="0" w:color="000000"/>
              <w:bottom w:val="single" w:sz="4" w:space="0" w:color="000000"/>
              <w:right w:val="single" w:sz="4" w:space="0" w:color="000000"/>
            </w:tcBorders>
            <w:vAlign w:val="center"/>
            <w:hideMark/>
          </w:tcPr>
          <w:p w14:paraId="5E555DE2" w14:textId="77777777" w:rsidR="00694445" w:rsidRPr="00694445" w:rsidRDefault="00694445" w:rsidP="00694445">
            <w:pPr>
              <w:spacing w:after="0" w:line="240" w:lineRule="auto"/>
              <w:rPr>
                <w:rFonts w:eastAsia="Times New Roman"/>
                <w:color w:val="000000"/>
                <w:lang w:eastAsia="en-GB"/>
              </w:rPr>
            </w:pPr>
          </w:p>
        </w:tc>
        <w:tc>
          <w:tcPr>
            <w:tcW w:w="3973" w:type="dxa"/>
            <w:gridSpan w:val="2"/>
            <w:vMerge/>
            <w:tcBorders>
              <w:top w:val="single" w:sz="4" w:space="0" w:color="000000"/>
              <w:left w:val="single" w:sz="4" w:space="0" w:color="000000"/>
              <w:bottom w:val="single" w:sz="4" w:space="0" w:color="000000"/>
              <w:right w:val="single" w:sz="4" w:space="0" w:color="000000"/>
            </w:tcBorders>
            <w:vAlign w:val="center"/>
            <w:hideMark/>
          </w:tcPr>
          <w:p w14:paraId="0BFF8EF5" w14:textId="77777777" w:rsidR="00694445" w:rsidRPr="00694445" w:rsidRDefault="00694445" w:rsidP="00694445">
            <w:pPr>
              <w:spacing w:after="0" w:line="240" w:lineRule="auto"/>
              <w:rPr>
                <w:rFonts w:eastAsia="Times New Roman"/>
                <w:color w:val="000000"/>
                <w:lang w:eastAsia="en-GB"/>
              </w:rPr>
            </w:pPr>
          </w:p>
        </w:tc>
        <w:tc>
          <w:tcPr>
            <w:tcW w:w="1283" w:type="dxa"/>
            <w:vMerge/>
            <w:tcBorders>
              <w:top w:val="nil"/>
              <w:left w:val="single" w:sz="4" w:space="0" w:color="000000"/>
              <w:bottom w:val="single" w:sz="4" w:space="0" w:color="000000"/>
              <w:right w:val="single" w:sz="4" w:space="0" w:color="000000"/>
            </w:tcBorders>
            <w:vAlign w:val="center"/>
            <w:hideMark/>
          </w:tcPr>
          <w:p w14:paraId="661BF709" w14:textId="77777777" w:rsidR="00694445" w:rsidRPr="00694445" w:rsidRDefault="00694445" w:rsidP="00694445">
            <w:pPr>
              <w:spacing w:after="0" w:line="240" w:lineRule="auto"/>
              <w:rPr>
                <w:rFonts w:eastAsia="Times New Roman"/>
                <w:color w:val="000000"/>
                <w:sz w:val="20"/>
                <w:szCs w:val="20"/>
                <w:lang w:eastAsia="en-GB"/>
              </w:rPr>
            </w:pPr>
          </w:p>
        </w:tc>
        <w:tc>
          <w:tcPr>
            <w:tcW w:w="1278" w:type="dxa"/>
            <w:vMerge/>
            <w:tcBorders>
              <w:top w:val="nil"/>
              <w:left w:val="single" w:sz="4" w:space="0" w:color="000000"/>
              <w:bottom w:val="single" w:sz="4" w:space="0" w:color="000000"/>
              <w:right w:val="single" w:sz="4" w:space="0" w:color="000000"/>
            </w:tcBorders>
            <w:vAlign w:val="center"/>
            <w:hideMark/>
          </w:tcPr>
          <w:p w14:paraId="59E110A6" w14:textId="77777777" w:rsidR="00694445" w:rsidRPr="00694445" w:rsidRDefault="00694445" w:rsidP="00694445">
            <w:pPr>
              <w:spacing w:after="0" w:line="240" w:lineRule="auto"/>
              <w:rPr>
                <w:rFonts w:eastAsia="Times New Roman"/>
                <w:color w:val="000000"/>
                <w:sz w:val="20"/>
                <w:szCs w:val="20"/>
                <w:lang w:eastAsia="en-GB"/>
              </w:rPr>
            </w:pPr>
          </w:p>
        </w:tc>
        <w:tc>
          <w:tcPr>
            <w:tcW w:w="1225" w:type="dxa"/>
            <w:vMerge/>
            <w:tcBorders>
              <w:top w:val="nil"/>
              <w:left w:val="single" w:sz="4" w:space="0" w:color="000000"/>
              <w:bottom w:val="single" w:sz="4" w:space="0" w:color="000000"/>
              <w:right w:val="single" w:sz="4" w:space="0" w:color="000000"/>
            </w:tcBorders>
            <w:vAlign w:val="center"/>
            <w:hideMark/>
          </w:tcPr>
          <w:p w14:paraId="2A489E3A" w14:textId="77777777" w:rsidR="00694445" w:rsidRPr="00694445" w:rsidRDefault="00694445" w:rsidP="00694445">
            <w:pPr>
              <w:spacing w:after="0" w:line="240" w:lineRule="auto"/>
              <w:rPr>
                <w:rFonts w:eastAsia="Times New Roman"/>
                <w:color w:val="000000"/>
                <w:sz w:val="20"/>
                <w:szCs w:val="20"/>
                <w:lang w:eastAsia="en-GB"/>
              </w:rPr>
            </w:pPr>
          </w:p>
        </w:tc>
        <w:tc>
          <w:tcPr>
            <w:tcW w:w="1133" w:type="dxa"/>
            <w:vMerge/>
            <w:tcBorders>
              <w:top w:val="nil"/>
              <w:left w:val="single" w:sz="4" w:space="0" w:color="000000"/>
              <w:bottom w:val="single" w:sz="4" w:space="0" w:color="000000"/>
              <w:right w:val="single" w:sz="4" w:space="0" w:color="000000"/>
            </w:tcBorders>
            <w:vAlign w:val="center"/>
            <w:hideMark/>
          </w:tcPr>
          <w:p w14:paraId="3EEADC74" w14:textId="77777777" w:rsidR="00694445" w:rsidRPr="00694445" w:rsidRDefault="00694445" w:rsidP="00694445">
            <w:pPr>
              <w:spacing w:after="0" w:line="240" w:lineRule="auto"/>
              <w:rPr>
                <w:rFonts w:eastAsia="Times New Roman"/>
                <w:color w:val="000000"/>
                <w:sz w:val="20"/>
                <w:szCs w:val="20"/>
                <w:lang w:eastAsia="en-GB"/>
              </w:rPr>
            </w:pPr>
          </w:p>
        </w:tc>
        <w:tc>
          <w:tcPr>
            <w:tcW w:w="1470" w:type="dxa"/>
            <w:gridSpan w:val="2"/>
            <w:vMerge/>
            <w:tcBorders>
              <w:top w:val="nil"/>
              <w:left w:val="single" w:sz="4" w:space="0" w:color="000000"/>
              <w:bottom w:val="single" w:sz="4" w:space="0" w:color="000000"/>
              <w:right w:val="single" w:sz="4" w:space="0" w:color="000000"/>
            </w:tcBorders>
            <w:vAlign w:val="center"/>
            <w:hideMark/>
          </w:tcPr>
          <w:p w14:paraId="53182F9F" w14:textId="77777777" w:rsidR="00694445" w:rsidRPr="00694445" w:rsidRDefault="00694445" w:rsidP="00694445">
            <w:pPr>
              <w:spacing w:after="0" w:line="240" w:lineRule="auto"/>
              <w:rPr>
                <w:rFonts w:eastAsia="Times New Roman"/>
                <w:color w:val="000000"/>
                <w:sz w:val="20"/>
                <w:szCs w:val="20"/>
                <w:lang w:eastAsia="en-GB"/>
              </w:rPr>
            </w:pPr>
          </w:p>
        </w:tc>
        <w:tc>
          <w:tcPr>
            <w:tcW w:w="236" w:type="dxa"/>
            <w:tcBorders>
              <w:top w:val="nil"/>
              <w:left w:val="nil"/>
              <w:bottom w:val="nil"/>
              <w:right w:val="nil"/>
            </w:tcBorders>
            <w:noWrap/>
            <w:vAlign w:val="bottom"/>
            <w:hideMark/>
          </w:tcPr>
          <w:p w14:paraId="61E7CCAA" w14:textId="77777777" w:rsidR="00694445" w:rsidRPr="00694445" w:rsidRDefault="00694445" w:rsidP="00694445">
            <w:pPr>
              <w:spacing w:after="0" w:line="240" w:lineRule="auto"/>
              <w:jc w:val="center"/>
              <w:rPr>
                <w:rFonts w:eastAsia="Times New Roman"/>
                <w:color w:val="000000"/>
                <w:sz w:val="20"/>
                <w:szCs w:val="20"/>
                <w:lang w:eastAsia="en-GB"/>
              </w:rPr>
            </w:pPr>
          </w:p>
        </w:tc>
      </w:tr>
      <w:tr w:rsidR="00694445" w:rsidRPr="00694445" w14:paraId="0BAABB90" w14:textId="77777777" w:rsidTr="00694445">
        <w:trPr>
          <w:trHeight w:val="360"/>
        </w:trPr>
        <w:tc>
          <w:tcPr>
            <w:tcW w:w="445" w:type="dxa"/>
            <w:vMerge/>
            <w:tcBorders>
              <w:top w:val="nil"/>
              <w:left w:val="single" w:sz="4" w:space="0" w:color="000000"/>
              <w:bottom w:val="single" w:sz="4" w:space="0" w:color="000000"/>
              <w:right w:val="single" w:sz="4" w:space="0" w:color="000000"/>
            </w:tcBorders>
            <w:vAlign w:val="center"/>
            <w:hideMark/>
          </w:tcPr>
          <w:p w14:paraId="5D2B102F" w14:textId="77777777" w:rsidR="00694445" w:rsidRPr="00694445" w:rsidRDefault="00694445" w:rsidP="00694445">
            <w:pPr>
              <w:spacing w:after="0" w:line="240" w:lineRule="auto"/>
              <w:rPr>
                <w:rFonts w:eastAsia="Times New Roman"/>
                <w:color w:val="000000"/>
                <w:lang w:eastAsia="en-GB"/>
              </w:rPr>
            </w:pPr>
          </w:p>
        </w:tc>
        <w:tc>
          <w:tcPr>
            <w:tcW w:w="1595" w:type="dxa"/>
            <w:vMerge w:val="restart"/>
            <w:tcBorders>
              <w:top w:val="nil"/>
              <w:left w:val="single" w:sz="4" w:space="0" w:color="000000"/>
              <w:bottom w:val="single" w:sz="4" w:space="0" w:color="000000"/>
              <w:right w:val="single" w:sz="4" w:space="0" w:color="000000"/>
            </w:tcBorders>
            <w:vAlign w:val="center"/>
            <w:hideMark/>
          </w:tcPr>
          <w:p w14:paraId="5818BF41"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Risk Identification Methods</w:t>
            </w:r>
          </w:p>
        </w:tc>
        <w:tc>
          <w:tcPr>
            <w:tcW w:w="2378" w:type="dxa"/>
            <w:tcBorders>
              <w:top w:val="nil"/>
              <w:left w:val="nil"/>
              <w:bottom w:val="single" w:sz="4" w:space="0" w:color="000000"/>
              <w:right w:val="single" w:sz="4" w:space="0" w:color="000000"/>
            </w:tcBorders>
            <w:noWrap/>
            <w:vAlign w:val="center"/>
            <w:hideMark/>
          </w:tcPr>
          <w:p w14:paraId="486DF4D5"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Brainstorming (Supporting Methods)</w:t>
            </w:r>
          </w:p>
        </w:tc>
        <w:tc>
          <w:tcPr>
            <w:tcW w:w="1283" w:type="dxa"/>
            <w:tcBorders>
              <w:top w:val="single" w:sz="4" w:space="0" w:color="000000"/>
              <w:left w:val="single" w:sz="4" w:space="0" w:color="000000"/>
              <w:bottom w:val="single" w:sz="4" w:space="0" w:color="000000"/>
              <w:right w:val="single" w:sz="4" w:space="0" w:color="000000"/>
            </w:tcBorders>
            <w:shd w:val="clear" w:color="C6EFCE" w:fill="C6EFCE"/>
            <w:noWrap/>
            <w:vAlign w:val="center"/>
            <w:hideMark/>
          </w:tcPr>
          <w:p w14:paraId="3D566F83" w14:textId="77777777" w:rsidR="00694445" w:rsidRPr="00694445" w:rsidRDefault="00694445" w:rsidP="00694445">
            <w:pPr>
              <w:spacing w:after="0" w:line="240" w:lineRule="auto"/>
              <w:jc w:val="center"/>
              <w:rPr>
                <w:rFonts w:eastAsia="Times New Roman"/>
                <w:color w:val="006100"/>
                <w:lang w:eastAsia="en-GB"/>
              </w:rPr>
            </w:pPr>
            <w:r w:rsidRPr="00694445">
              <w:rPr>
                <w:rFonts w:eastAsia="Times New Roman"/>
                <w:color w:val="006100"/>
                <w:lang w:eastAsia="en-GB"/>
              </w:rPr>
              <w:t>16</w:t>
            </w:r>
          </w:p>
        </w:tc>
        <w:tc>
          <w:tcPr>
            <w:tcW w:w="1278" w:type="dxa"/>
            <w:tcBorders>
              <w:top w:val="nil"/>
              <w:left w:val="nil"/>
              <w:bottom w:val="single" w:sz="4" w:space="0" w:color="000000"/>
              <w:right w:val="single" w:sz="4" w:space="0" w:color="000000"/>
            </w:tcBorders>
            <w:vAlign w:val="center"/>
            <w:hideMark/>
          </w:tcPr>
          <w:p w14:paraId="3800D027"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5</w:t>
            </w:r>
          </w:p>
        </w:tc>
        <w:tc>
          <w:tcPr>
            <w:tcW w:w="1225" w:type="dxa"/>
            <w:tcBorders>
              <w:top w:val="nil"/>
              <w:left w:val="nil"/>
              <w:bottom w:val="single" w:sz="4" w:space="0" w:color="000000"/>
              <w:right w:val="single" w:sz="4" w:space="0" w:color="000000"/>
            </w:tcBorders>
            <w:noWrap/>
            <w:vAlign w:val="center"/>
            <w:hideMark/>
          </w:tcPr>
          <w:p w14:paraId="123E40A9"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16</w:t>
            </w:r>
          </w:p>
        </w:tc>
        <w:tc>
          <w:tcPr>
            <w:tcW w:w="1133" w:type="dxa"/>
            <w:tcBorders>
              <w:top w:val="nil"/>
              <w:left w:val="nil"/>
              <w:bottom w:val="single" w:sz="4" w:space="0" w:color="000000"/>
              <w:right w:val="single" w:sz="4" w:space="0" w:color="000000"/>
            </w:tcBorders>
            <w:vAlign w:val="center"/>
            <w:hideMark/>
          </w:tcPr>
          <w:p w14:paraId="79435AB9"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7</w:t>
            </w:r>
          </w:p>
        </w:tc>
        <w:tc>
          <w:tcPr>
            <w:tcW w:w="1470" w:type="dxa"/>
            <w:gridSpan w:val="2"/>
            <w:tcBorders>
              <w:top w:val="nil"/>
              <w:left w:val="nil"/>
              <w:bottom w:val="single" w:sz="4" w:space="0" w:color="000000"/>
              <w:right w:val="single" w:sz="4" w:space="0" w:color="000000"/>
            </w:tcBorders>
            <w:noWrap/>
            <w:vAlign w:val="center"/>
            <w:hideMark/>
          </w:tcPr>
          <w:p w14:paraId="27FC686A"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3</w:t>
            </w:r>
          </w:p>
        </w:tc>
        <w:tc>
          <w:tcPr>
            <w:tcW w:w="236" w:type="dxa"/>
            <w:vAlign w:val="center"/>
            <w:hideMark/>
          </w:tcPr>
          <w:p w14:paraId="193E7211"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59C47DCD" w14:textId="77777777" w:rsidTr="00694445">
        <w:trPr>
          <w:trHeight w:val="360"/>
        </w:trPr>
        <w:tc>
          <w:tcPr>
            <w:tcW w:w="445" w:type="dxa"/>
            <w:vMerge/>
            <w:tcBorders>
              <w:top w:val="nil"/>
              <w:left w:val="single" w:sz="4" w:space="0" w:color="000000"/>
              <w:bottom w:val="single" w:sz="4" w:space="0" w:color="000000"/>
              <w:right w:val="single" w:sz="4" w:space="0" w:color="000000"/>
            </w:tcBorders>
            <w:vAlign w:val="center"/>
            <w:hideMark/>
          </w:tcPr>
          <w:p w14:paraId="2FEA3E6F" w14:textId="77777777" w:rsidR="00694445" w:rsidRPr="00694445" w:rsidRDefault="00694445" w:rsidP="00694445">
            <w:pPr>
              <w:spacing w:after="0" w:line="240" w:lineRule="auto"/>
              <w:rPr>
                <w:rFonts w:eastAsia="Times New Roman"/>
                <w:color w:val="000000"/>
                <w:lang w:eastAsia="en-GB"/>
              </w:rPr>
            </w:pPr>
          </w:p>
        </w:tc>
        <w:tc>
          <w:tcPr>
            <w:tcW w:w="1595" w:type="dxa"/>
            <w:vMerge/>
            <w:tcBorders>
              <w:top w:val="nil"/>
              <w:left w:val="single" w:sz="4" w:space="0" w:color="000000"/>
              <w:bottom w:val="single" w:sz="4" w:space="0" w:color="000000"/>
              <w:right w:val="single" w:sz="4" w:space="0" w:color="000000"/>
            </w:tcBorders>
            <w:vAlign w:val="center"/>
            <w:hideMark/>
          </w:tcPr>
          <w:p w14:paraId="4869E7DD" w14:textId="77777777" w:rsidR="00694445" w:rsidRPr="00694445" w:rsidRDefault="00694445" w:rsidP="00694445">
            <w:pPr>
              <w:spacing w:after="0" w:line="240" w:lineRule="auto"/>
              <w:rPr>
                <w:rFonts w:eastAsia="Times New Roman"/>
                <w:color w:val="000000"/>
                <w:lang w:eastAsia="en-GB"/>
              </w:rPr>
            </w:pPr>
          </w:p>
        </w:tc>
        <w:tc>
          <w:tcPr>
            <w:tcW w:w="2378" w:type="dxa"/>
            <w:tcBorders>
              <w:top w:val="nil"/>
              <w:left w:val="nil"/>
              <w:bottom w:val="single" w:sz="4" w:space="0" w:color="000000"/>
              <w:right w:val="single" w:sz="4" w:space="0" w:color="000000"/>
            </w:tcBorders>
            <w:noWrap/>
            <w:vAlign w:val="center"/>
            <w:hideMark/>
          </w:tcPr>
          <w:p w14:paraId="21F0E453"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Checklists (Look-up Methods)</w:t>
            </w:r>
          </w:p>
        </w:tc>
        <w:tc>
          <w:tcPr>
            <w:tcW w:w="1283" w:type="dxa"/>
            <w:tcBorders>
              <w:top w:val="single" w:sz="4" w:space="0" w:color="000000"/>
              <w:left w:val="single" w:sz="4" w:space="0" w:color="000000"/>
              <w:bottom w:val="single" w:sz="4" w:space="0" w:color="000000"/>
              <w:right w:val="single" w:sz="4" w:space="0" w:color="000000"/>
            </w:tcBorders>
            <w:shd w:val="clear" w:color="C6EFCE" w:fill="C6EFCE"/>
            <w:noWrap/>
            <w:vAlign w:val="center"/>
            <w:hideMark/>
          </w:tcPr>
          <w:p w14:paraId="3174123B" w14:textId="77777777" w:rsidR="00694445" w:rsidRPr="00694445" w:rsidRDefault="00694445" w:rsidP="00694445">
            <w:pPr>
              <w:spacing w:after="0" w:line="240" w:lineRule="auto"/>
              <w:jc w:val="center"/>
              <w:rPr>
                <w:rFonts w:eastAsia="Times New Roman"/>
                <w:color w:val="006100"/>
                <w:lang w:eastAsia="en-GB"/>
              </w:rPr>
            </w:pPr>
            <w:r w:rsidRPr="00694445">
              <w:rPr>
                <w:rFonts w:eastAsia="Times New Roman"/>
                <w:color w:val="006100"/>
                <w:lang w:eastAsia="en-GB"/>
              </w:rPr>
              <w:t>17</w:t>
            </w:r>
          </w:p>
        </w:tc>
        <w:tc>
          <w:tcPr>
            <w:tcW w:w="1278" w:type="dxa"/>
            <w:tcBorders>
              <w:top w:val="nil"/>
              <w:left w:val="nil"/>
              <w:bottom w:val="single" w:sz="4" w:space="0" w:color="000000"/>
              <w:right w:val="single" w:sz="4" w:space="0" w:color="000000"/>
            </w:tcBorders>
            <w:noWrap/>
            <w:vAlign w:val="center"/>
            <w:hideMark/>
          </w:tcPr>
          <w:p w14:paraId="4CEC1F40"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5</w:t>
            </w:r>
          </w:p>
        </w:tc>
        <w:tc>
          <w:tcPr>
            <w:tcW w:w="1225" w:type="dxa"/>
            <w:tcBorders>
              <w:top w:val="nil"/>
              <w:left w:val="nil"/>
              <w:bottom w:val="single" w:sz="4" w:space="0" w:color="000000"/>
              <w:right w:val="single" w:sz="4" w:space="0" w:color="000000"/>
            </w:tcBorders>
            <w:noWrap/>
            <w:vAlign w:val="center"/>
            <w:hideMark/>
          </w:tcPr>
          <w:p w14:paraId="1977AE79"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11</w:t>
            </w:r>
          </w:p>
        </w:tc>
        <w:tc>
          <w:tcPr>
            <w:tcW w:w="1133" w:type="dxa"/>
            <w:tcBorders>
              <w:top w:val="nil"/>
              <w:left w:val="nil"/>
              <w:bottom w:val="single" w:sz="4" w:space="0" w:color="000000"/>
              <w:right w:val="single" w:sz="4" w:space="0" w:color="000000"/>
            </w:tcBorders>
            <w:noWrap/>
            <w:vAlign w:val="center"/>
            <w:hideMark/>
          </w:tcPr>
          <w:p w14:paraId="1F6D11BB"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2</w:t>
            </w:r>
          </w:p>
        </w:tc>
        <w:tc>
          <w:tcPr>
            <w:tcW w:w="1470" w:type="dxa"/>
            <w:gridSpan w:val="2"/>
            <w:tcBorders>
              <w:top w:val="nil"/>
              <w:left w:val="nil"/>
              <w:bottom w:val="single" w:sz="4" w:space="0" w:color="000000"/>
              <w:right w:val="single" w:sz="4" w:space="0" w:color="000000"/>
            </w:tcBorders>
            <w:noWrap/>
            <w:vAlign w:val="center"/>
            <w:hideMark/>
          </w:tcPr>
          <w:p w14:paraId="364DE822"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8</w:t>
            </w:r>
          </w:p>
        </w:tc>
        <w:tc>
          <w:tcPr>
            <w:tcW w:w="236" w:type="dxa"/>
            <w:vAlign w:val="center"/>
            <w:hideMark/>
          </w:tcPr>
          <w:p w14:paraId="65CF38D7"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189A97CD" w14:textId="77777777" w:rsidTr="00694445">
        <w:trPr>
          <w:trHeight w:val="360"/>
        </w:trPr>
        <w:tc>
          <w:tcPr>
            <w:tcW w:w="445" w:type="dxa"/>
            <w:vMerge/>
            <w:tcBorders>
              <w:top w:val="nil"/>
              <w:left w:val="single" w:sz="4" w:space="0" w:color="000000"/>
              <w:bottom w:val="single" w:sz="4" w:space="0" w:color="000000"/>
              <w:right w:val="single" w:sz="4" w:space="0" w:color="000000"/>
            </w:tcBorders>
            <w:vAlign w:val="center"/>
            <w:hideMark/>
          </w:tcPr>
          <w:p w14:paraId="621AF850" w14:textId="77777777" w:rsidR="00694445" w:rsidRPr="00694445" w:rsidRDefault="00694445" w:rsidP="00694445">
            <w:pPr>
              <w:spacing w:after="0" w:line="240" w:lineRule="auto"/>
              <w:rPr>
                <w:rFonts w:eastAsia="Times New Roman"/>
                <w:color w:val="000000"/>
                <w:lang w:eastAsia="en-GB"/>
              </w:rPr>
            </w:pPr>
          </w:p>
        </w:tc>
        <w:tc>
          <w:tcPr>
            <w:tcW w:w="1595" w:type="dxa"/>
            <w:vMerge w:val="restart"/>
            <w:tcBorders>
              <w:top w:val="nil"/>
              <w:left w:val="single" w:sz="4" w:space="0" w:color="000000"/>
              <w:bottom w:val="single" w:sz="4" w:space="0" w:color="000000"/>
              <w:right w:val="single" w:sz="4" w:space="0" w:color="000000"/>
            </w:tcBorders>
            <w:vAlign w:val="center"/>
            <w:hideMark/>
          </w:tcPr>
          <w:p w14:paraId="3FB502E8"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Risk Analysis Tools (Qualitative &amp; Quantitative)</w:t>
            </w:r>
          </w:p>
        </w:tc>
        <w:tc>
          <w:tcPr>
            <w:tcW w:w="2378" w:type="dxa"/>
            <w:tcBorders>
              <w:top w:val="nil"/>
              <w:left w:val="nil"/>
              <w:bottom w:val="single" w:sz="4" w:space="0" w:color="000000"/>
              <w:right w:val="single" w:sz="4" w:space="0" w:color="000000"/>
            </w:tcBorders>
            <w:noWrap/>
            <w:vAlign w:val="center"/>
            <w:hideMark/>
          </w:tcPr>
          <w:p w14:paraId="1E3D6310"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Qualitative Risk Matrices</w:t>
            </w:r>
          </w:p>
        </w:tc>
        <w:tc>
          <w:tcPr>
            <w:tcW w:w="1283" w:type="dxa"/>
            <w:tcBorders>
              <w:top w:val="nil"/>
              <w:left w:val="nil"/>
              <w:bottom w:val="single" w:sz="4" w:space="0" w:color="000000"/>
              <w:right w:val="single" w:sz="4" w:space="0" w:color="000000"/>
            </w:tcBorders>
            <w:noWrap/>
            <w:vAlign w:val="center"/>
            <w:hideMark/>
          </w:tcPr>
          <w:p w14:paraId="340E1C0E"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17</w:t>
            </w:r>
          </w:p>
        </w:tc>
        <w:tc>
          <w:tcPr>
            <w:tcW w:w="1278" w:type="dxa"/>
            <w:tcBorders>
              <w:top w:val="single" w:sz="4" w:space="0" w:color="000000"/>
              <w:left w:val="single" w:sz="4" w:space="0" w:color="000000"/>
              <w:bottom w:val="single" w:sz="4" w:space="0" w:color="000000"/>
              <w:right w:val="single" w:sz="4" w:space="0" w:color="000000"/>
            </w:tcBorders>
            <w:shd w:val="clear" w:color="C6EFCE" w:fill="C6EFCE"/>
            <w:noWrap/>
            <w:vAlign w:val="center"/>
            <w:hideMark/>
          </w:tcPr>
          <w:p w14:paraId="1C570441" w14:textId="77777777" w:rsidR="00694445" w:rsidRPr="00694445" w:rsidRDefault="00694445" w:rsidP="00694445">
            <w:pPr>
              <w:spacing w:after="0" w:line="240" w:lineRule="auto"/>
              <w:jc w:val="center"/>
              <w:rPr>
                <w:rFonts w:eastAsia="Times New Roman"/>
                <w:color w:val="006100"/>
                <w:lang w:eastAsia="en-GB"/>
              </w:rPr>
            </w:pPr>
            <w:r w:rsidRPr="00694445">
              <w:rPr>
                <w:rFonts w:eastAsia="Times New Roman"/>
                <w:color w:val="006100"/>
                <w:lang w:eastAsia="en-GB"/>
              </w:rPr>
              <w:t>18</w:t>
            </w:r>
          </w:p>
        </w:tc>
        <w:tc>
          <w:tcPr>
            <w:tcW w:w="1225" w:type="dxa"/>
            <w:tcBorders>
              <w:top w:val="nil"/>
              <w:left w:val="nil"/>
              <w:bottom w:val="single" w:sz="4" w:space="0" w:color="000000"/>
              <w:right w:val="single" w:sz="4" w:space="0" w:color="000000"/>
            </w:tcBorders>
            <w:noWrap/>
            <w:vAlign w:val="center"/>
            <w:hideMark/>
          </w:tcPr>
          <w:p w14:paraId="514AE9CF"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6</w:t>
            </w:r>
          </w:p>
        </w:tc>
        <w:tc>
          <w:tcPr>
            <w:tcW w:w="1133" w:type="dxa"/>
            <w:tcBorders>
              <w:top w:val="nil"/>
              <w:left w:val="nil"/>
              <w:bottom w:val="single" w:sz="4" w:space="0" w:color="000000"/>
              <w:right w:val="single" w:sz="4" w:space="0" w:color="000000"/>
            </w:tcBorders>
            <w:noWrap/>
            <w:vAlign w:val="center"/>
            <w:hideMark/>
          </w:tcPr>
          <w:p w14:paraId="41F88CE1"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w:t>
            </w:r>
          </w:p>
        </w:tc>
        <w:tc>
          <w:tcPr>
            <w:tcW w:w="1470" w:type="dxa"/>
            <w:gridSpan w:val="2"/>
            <w:tcBorders>
              <w:top w:val="nil"/>
              <w:left w:val="nil"/>
              <w:bottom w:val="single" w:sz="4" w:space="0" w:color="000000"/>
              <w:right w:val="single" w:sz="4" w:space="0" w:color="000000"/>
            </w:tcBorders>
            <w:noWrap/>
            <w:vAlign w:val="center"/>
            <w:hideMark/>
          </w:tcPr>
          <w:p w14:paraId="7741760B"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3</w:t>
            </w:r>
          </w:p>
        </w:tc>
        <w:tc>
          <w:tcPr>
            <w:tcW w:w="236" w:type="dxa"/>
            <w:vAlign w:val="center"/>
            <w:hideMark/>
          </w:tcPr>
          <w:p w14:paraId="255A69D3"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742DBE0B" w14:textId="77777777" w:rsidTr="00694445">
        <w:trPr>
          <w:trHeight w:val="360"/>
        </w:trPr>
        <w:tc>
          <w:tcPr>
            <w:tcW w:w="445" w:type="dxa"/>
            <w:vMerge/>
            <w:tcBorders>
              <w:top w:val="nil"/>
              <w:left w:val="single" w:sz="4" w:space="0" w:color="000000"/>
              <w:bottom w:val="single" w:sz="4" w:space="0" w:color="000000"/>
              <w:right w:val="single" w:sz="4" w:space="0" w:color="000000"/>
            </w:tcBorders>
            <w:vAlign w:val="center"/>
            <w:hideMark/>
          </w:tcPr>
          <w:p w14:paraId="7DBE4645" w14:textId="77777777" w:rsidR="00694445" w:rsidRPr="00694445" w:rsidRDefault="00694445" w:rsidP="00694445">
            <w:pPr>
              <w:spacing w:after="0" w:line="240" w:lineRule="auto"/>
              <w:rPr>
                <w:rFonts w:eastAsia="Times New Roman"/>
                <w:color w:val="000000"/>
                <w:lang w:eastAsia="en-GB"/>
              </w:rPr>
            </w:pPr>
          </w:p>
        </w:tc>
        <w:tc>
          <w:tcPr>
            <w:tcW w:w="1595" w:type="dxa"/>
            <w:vMerge/>
            <w:tcBorders>
              <w:top w:val="nil"/>
              <w:left w:val="single" w:sz="4" w:space="0" w:color="000000"/>
              <w:bottom w:val="single" w:sz="4" w:space="0" w:color="000000"/>
              <w:right w:val="single" w:sz="4" w:space="0" w:color="000000"/>
            </w:tcBorders>
            <w:vAlign w:val="center"/>
            <w:hideMark/>
          </w:tcPr>
          <w:p w14:paraId="079ACB1E" w14:textId="77777777" w:rsidR="00694445" w:rsidRPr="00694445" w:rsidRDefault="00694445" w:rsidP="00694445">
            <w:pPr>
              <w:spacing w:after="0" w:line="240" w:lineRule="auto"/>
              <w:rPr>
                <w:rFonts w:eastAsia="Times New Roman"/>
                <w:color w:val="000000"/>
                <w:lang w:eastAsia="en-GB"/>
              </w:rPr>
            </w:pPr>
          </w:p>
        </w:tc>
        <w:tc>
          <w:tcPr>
            <w:tcW w:w="2378" w:type="dxa"/>
            <w:tcBorders>
              <w:top w:val="nil"/>
              <w:left w:val="nil"/>
              <w:bottom w:val="single" w:sz="4" w:space="0" w:color="000000"/>
              <w:right w:val="single" w:sz="4" w:space="0" w:color="000000"/>
            </w:tcBorders>
            <w:noWrap/>
            <w:vAlign w:val="center"/>
            <w:hideMark/>
          </w:tcPr>
          <w:p w14:paraId="586EEFB9"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Monte Carlo Simulations</w:t>
            </w:r>
          </w:p>
        </w:tc>
        <w:tc>
          <w:tcPr>
            <w:tcW w:w="1283" w:type="dxa"/>
            <w:tcBorders>
              <w:top w:val="nil"/>
              <w:left w:val="nil"/>
              <w:bottom w:val="single" w:sz="4" w:space="0" w:color="000000"/>
              <w:right w:val="single" w:sz="4" w:space="0" w:color="000000"/>
            </w:tcBorders>
            <w:noWrap/>
            <w:vAlign w:val="center"/>
            <w:hideMark/>
          </w:tcPr>
          <w:p w14:paraId="32EF8465"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11</w:t>
            </w:r>
          </w:p>
        </w:tc>
        <w:tc>
          <w:tcPr>
            <w:tcW w:w="1278" w:type="dxa"/>
            <w:tcBorders>
              <w:top w:val="single" w:sz="4" w:space="0" w:color="000000"/>
              <w:left w:val="single" w:sz="4" w:space="0" w:color="000000"/>
              <w:bottom w:val="single" w:sz="4" w:space="0" w:color="000000"/>
              <w:right w:val="single" w:sz="4" w:space="0" w:color="000000"/>
            </w:tcBorders>
            <w:shd w:val="clear" w:color="C6EFCE" w:fill="C6EFCE"/>
            <w:noWrap/>
            <w:vAlign w:val="center"/>
            <w:hideMark/>
          </w:tcPr>
          <w:p w14:paraId="29B6D7A8" w14:textId="77777777" w:rsidR="00694445" w:rsidRPr="00694445" w:rsidRDefault="00694445" w:rsidP="00694445">
            <w:pPr>
              <w:spacing w:after="0" w:line="240" w:lineRule="auto"/>
              <w:jc w:val="center"/>
              <w:rPr>
                <w:rFonts w:eastAsia="Times New Roman"/>
                <w:color w:val="006100"/>
                <w:lang w:eastAsia="en-GB"/>
              </w:rPr>
            </w:pPr>
            <w:r w:rsidRPr="00694445">
              <w:rPr>
                <w:rFonts w:eastAsia="Times New Roman"/>
                <w:color w:val="006100"/>
                <w:lang w:eastAsia="en-GB"/>
              </w:rPr>
              <w:t>8</w:t>
            </w:r>
          </w:p>
        </w:tc>
        <w:tc>
          <w:tcPr>
            <w:tcW w:w="1225" w:type="dxa"/>
            <w:tcBorders>
              <w:top w:val="nil"/>
              <w:left w:val="nil"/>
              <w:bottom w:val="single" w:sz="4" w:space="0" w:color="000000"/>
              <w:right w:val="single" w:sz="4" w:space="0" w:color="000000"/>
            </w:tcBorders>
            <w:noWrap/>
            <w:vAlign w:val="center"/>
            <w:hideMark/>
          </w:tcPr>
          <w:p w14:paraId="667C0E03"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10</w:t>
            </w:r>
          </w:p>
        </w:tc>
        <w:tc>
          <w:tcPr>
            <w:tcW w:w="1133" w:type="dxa"/>
            <w:tcBorders>
              <w:top w:val="nil"/>
              <w:left w:val="nil"/>
              <w:bottom w:val="single" w:sz="4" w:space="0" w:color="000000"/>
              <w:right w:val="single" w:sz="4" w:space="0" w:color="000000"/>
            </w:tcBorders>
            <w:noWrap/>
            <w:vAlign w:val="center"/>
            <w:hideMark/>
          </w:tcPr>
          <w:p w14:paraId="40327BF5"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4</w:t>
            </w:r>
          </w:p>
        </w:tc>
        <w:tc>
          <w:tcPr>
            <w:tcW w:w="1470" w:type="dxa"/>
            <w:gridSpan w:val="2"/>
            <w:tcBorders>
              <w:top w:val="nil"/>
              <w:left w:val="nil"/>
              <w:bottom w:val="single" w:sz="4" w:space="0" w:color="000000"/>
              <w:right w:val="single" w:sz="4" w:space="0" w:color="000000"/>
            </w:tcBorders>
            <w:noWrap/>
            <w:vAlign w:val="center"/>
            <w:hideMark/>
          </w:tcPr>
          <w:p w14:paraId="6BCA2AF0"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7</w:t>
            </w:r>
          </w:p>
        </w:tc>
        <w:tc>
          <w:tcPr>
            <w:tcW w:w="236" w:type="dxa"/>
            <w:vAlign w:val="center"/>
            <w:hideMark/>
          </w:tcPr>
          <w:p w14:paraId="45DE1739"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600F96BB" w14:textId="77777777" w:rsidTr="00694445">
        <w:trPr>
          <w:trHeight w:val="300"/>
        </w:trPr>
        <w:tc>
          <w:tcPr>
            <w:tcW w:w="445" w:type="dxa"/>
            <w:vMerge/>
            <w:tcBorders>
              <w:top w:val="nil"/>
              <w:left w:val="single" w:sz="4" w:space="0" w:color="000000"/>
              <w:bottom w:val="single" w:sz="4" w:space="0" w:color="000000"/>
              <w:right w:val="single" w:sz="4" w:space="0" w:color="000000"/>
            </w:tcBorders>
            <w:vAlign w:val="center"/>
            <w:hideMark/>
          </w:tcPr>
          <w:p w14:paraId="19E0B21F" w14:textId="77777777" w:rsidR="00694445" w:rsidRPr="00694445" w:rsidRDefault="00694445" w:rsidP="00694445">
            <w:pPr>
              <w:spacing w:after="0" w:line="240" w:lineRule="auto"/>
              <w:rPr>
                <w:rFonts w:eastAsia="Times New Roman"/>
                <w:color w:val="000000"/>
                <w:lang w:eastAsia="en-GB"/>
              </w:rPr>
            </w:pPr>
          </w:p>
        </w:tc>
        <w:tc>
          <w:tcPr>
            <w:tcW w:w="1595" w:type="dxa"/>
            <w:vMerge/>
            <w:tcBorders>
              <w:top w:val="nil"/>
              <w:left w:val="single" w:sz="4" w:space="0" w:color="000000"/>
              <w:bottom w:val="single" w:sz="4" w:space="0" w:color="000000"/>
              <w:right w:val="single" w:sz="4" w:space="0" w:color="000000"/>
            </w:tcBorders>
            <w:vAlign w:val="center"/>
            <w:hideMark/>
          </w:tcPr>
          <w:p w14:paraId="5C1E0822" w14:textId="77777777" w:rsidR="00694445" w:rsidRPr="00694445" w:rsidRDefault="00694445" w:rsidP="00694445">
            <w:pPr>
              <w:spacing w:after="0" w:line="240" w:lineRule="auto"/>
              <w:rPr>
                <w:rFonts w:eastAsia="Times New Roman"/>
                <w:color w:val="000000"/>
                <w:lang w:eastAsia="en-GB"/>
              </w:rPr>
            </w:pPr>
          </w:p>
        </w:tc>
        <w:tc>
          <w:tcPr>
            <w:tcW w:w="2378" w:type="dxa"/>
            <w:tcBorders>
              <w:top w:val="nil"/>
              <w:left w:val="nil"/>
              <w:bottom w:val="single" w:sz="4" w:space="0" w:color="000000"/>
              <w:right w:val="single" w:sz="4" w:space="0" w:color="000000"/>
            </w:tcBorders>
            <w:noWrap/>
            <w:vAlign w:val="center"/>
            <w:hideMark/>
          </w:tcPr>
          <w:p w14:paraId="072AD506"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Cost-Benefit Analysis (CBA)</w:t>
            </w:r>
          </w:p>
        </w:tc>
        <w:tc>
          <w:tcPr>
            <w:tcW w:w="1283" w:type="dxa"/>
            <w:tcBorders>
              <w:top w:val="nil"/>
              <w:left w:val="nil"/>
              <w:bottom w:val="single" w:sz="4" w:space="0" w:color="000000"/>
              <w:right w:val="single" w:sz="4" w:space="0" w:color="000000"/>
            </w:tcBorders>
            <w:noWrap/>
            <w:vAlign w:val="center"/>
            <w:hideMark/>
          </w:tcPr>
          <w:p w14:paraId="113B0466"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11</w:t>
            </w:r>
          </w:p>
        </w:tc>
        <w:tc>
          <w:tcPr>
            <w:tcW w:w="1278" w:type="dxa"/>
            <w:tcBorders>
              <w:top w:val="single" w:sz="4" w:space="0" w:color="000000"/>
              <w:left w:val="single" w:sz="4" w:space="0" w:color="000000"/>
              <w:bottom w:val="single" w:sz="4" w:space="0" w:color="000000"/>
              <w:right w:val="single" w:sz="4" w:space="0" w:color="000000"/>
            </w:tcBorders>
            <w:shd w:val="clear" w:color="C6EFCE" w:fill="C6EFCE"/>
            <w:noWrap/>
            <w:vAlign w:val="center"/>
            <w:hideMark/>
          </w:tcPr>
          <w:p w14:paraId="20247FE5" w14:textId="77777777" w:rsidR="00694445" w:rsidRPr="00694445" w:rsidRDefault="00694445" w:rsidP="00694445">
            <w:pPr>
              <w:spacing w:after="0" w:line="240" w:lineRule="auto"/>
              <w:jc w:val="center"/>
              <w:rPr>
                <w:rFonts w:eastAsia="Times New Roman"/>
                <w:color w:val="006100"/>
                <w:lang w:eastAsia="en-GB"/>
              </w:rPr>
            </w:pPr>
            <w:r w:rsidRPr="00694445">
              <w:rPr>
                <w:rFonts w:eastAsia="Times New Roman"/>
                <w:color w:val="006100"/>
                <w:lang w:eastAsia="en-GB"/>
              </w:rPr>
              <w:t>11</w:t>
            </w:r>
          </w:p>
        </w:tc>
        <w:tc>
          <w:tcPr>
            <w:tcW w:w="1225" w:type="dxa"/>
            <w:tcBorders>
              <w:top w:val="nil"/>
              <w:left w:val="nil"/>
              <w:bottom w:val="single" w:sz="4" w:space="0" w:color="000000"/>
              <w:right w:val="single" w:sz="4" w:space="0" w:color="000000"/>
            </w:tcBorders>
            <w:noWrap/>
            <w:vAlign w:val="center"/>
            <w:hideMark/>
          </w:tcPr>
          <w:p w14:paraId="334B2891"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5</w:t>
            </w:r>
          </w:p>
        </w:tc>
        <w:tc>
          <w:tcPr>
            <w:tcW w:w="1133" w:type="dxa"/>
            <w:tcBorders>
              <w:top w:val="nil"/>
              <w:left w:val="nil"/>
              <w:bottom w:val="single" w:sz="4" w:space="0" w:color="000000"/>
              <w:right w:val="single" w:sz="4" w:space="0" w:color="000000"/>
            </w:tcBorders>
            <w:noWrap/>
            <w:vAlign w:val="center"/>
            <w:hideMark/>
          </w:tcPr>
          <w:p w14:paraId="65601B3D"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5</w:t>
            </w:r>
          </w:p>
        </w:tc>
        <w:tc>
          <w:tcPr>
            <w:tcW w:w="1470" w:type="dxa"/>
            <w:gridSpan w:val="2"/>
            <w:tcBorders>
              <w:top w:val="nil"/>
              <w:left w:val="nil"/>
              <w:bottom w:val="single" w:sz="4" w:space="0" w:color="000000"/>
              <w:right w:val="single" w:sz="4" w:space="0" w:color="000000"/>
            </w:tcBorders>
            <w:noWrap/>
            <w:vAlign w:val="center"/>
            <w:hideMark/>
          </w:tcPr>
          <w:p w14:paraId="3301E7D3"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6</w:t>
            </w:r>
          </w:p>
        </w:tc>
        <w:tc>
          <w:tcPr>
            <w:tcW w:w="236" w:type="dxa"/>
            <w:vAlign w:val="center"/>
            <w:hideMark/>
          </w:tcPr>
          <w:p w14:paraId="6B275C5F"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01958DE7" w14:textId="77777777" w:rsidTr="00694445">
        <w:trPr>
          <w:trHeight w:val="360"/>
        </w:trPr>
        <w:tc>
          <w:tcPr>
            <w:tcW w:w="445" w:type="dxa"/>
            <w:vMerge/>
            <w:tcBorders>
              <w:top w:val="nil"/>
              <w:left w:val="single" w:sz="4" w:space="0" w:color="000000"/>
              <w:bottom w:val="single" w:sz="4" w:space="0" w:color="000000"/>
              <w:right w:val="single" w:sz="4" w:space="0" w:color="000000"/>
            </w:tcBorders>
            <w:vAlign w:val="center"/>
            <w:hideMark/>
          </w:tcPr>
          <w:p w14:paraId="51166544" w14:textId="77777777" w:rsidR="00694445" w:rsidRPr="00694445" w:rsidRDefault="00694445" w:rsidP="00694445">
            <w:pPr>
              <w:spacing w:after="0" w:line="240" w:lineRule="auto"/>
              <w:rPr>
                <w:rFonts w:eastAsia="Times New Roman"/>
                <w:color w:val="000000"/>
                <w:lang w:eastAsia="en-GB"/>
              </w:rPr>
            </w:pPr>
          </w:p>
        </w:tc>
        <w:tc>
          <w:tcPr>
            <w:tcW w:w="1595" w:type="dxa"/>
            <w:vMerge w:val="restart"/>
            <w:tcBorders>
              <w:top w:val="nil"/>
              <w:left w:val="single" w:sz="4" w:space="0" w:color="000000"/>
              <w:bottom w:val="single" w:sz="4" w:space="0" w:color="000000"/>
              <w:right w:val="single" w:sz="4" w:space="0" w:color="000000"/>
            </w:tcBorders>
            <w:vAlign w:val="center"/>
            <w:hideMark/>
          </w:tcPr>
          <w:p w14:paraId="6337B9AB"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Functional &amp; Failure Analysis Techniques</w:t>
            </w:r>
          </w:p>
        </w:tc>
        <w:tc>
          <w:tcPr>
            <w:tcW w:w="2378" w:type="dxa"/>
            <w:tcBorders>
              <w:top w:val="nil"/>
              <w:left w:val="nil"/>
              <w:bottom w:val="single" w:sz="4" w:space="0" w:color="000000"/>
              <w:right w:val="single" w:sz="4" w:space="0" w:color="000000"/>
            </w:tcBorders>
            <w:noWrap/>
            <w:vAlign w:val="center"/>
            <w:hideMark/>
          </w:tcPr>
          <w:p w14:paraId="6BDAB866"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FMEA (Failure Mode and Effects Analysis)</w:t>
            </w:r>
          </w:p>
        </w:tc>
        <w:tc>
          <w:tcPr>
            <w:tcW w:w="1283" w:type="dxa"/>
            <w:tcBorders>
              <w:top w:val="nil"/>
              <w:left w:val="nil"/>
              <w:bottom w:val="single" w:sz="4" w:space="0" w:color="000000"/>
              <w:right w:val="single" w:sz="4" w:space="0" w:color="000000"/>
            </w:tcBorders>
            <w:noWrap/>
            <w:vAlign w:val="center"/>
            <w:hideMark/>
          </w:tcPr>
          <w:p w14:paraId="40E114BF"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11</w:t>
            </w:r>
          </w:p>
        </w:tc>
        <w:tc>
          <w:tcPr>
            <w:tcW w:w="1278" w:type="dxa"/>
            <w:tcBorders>
              <w:top w:val="nil"/>
              <w:left w:val="nil"/>
              <w:bottom w:val="single" w:sz="4" w:space="0" w:color="000000"/>
              <w:right w:val="single" w:sz="4" w:space="0" w:color="000000"/>
            </w:tcBorders>
            <w:noWrap/>
            <w:vAlign w:val="center"/>
            <w:hideMark/>
          </w:tcPr>
          <w:p w14:paraId="15E5A840"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5</w:t>
            </w:r>
          </w:p>
        </w:tc>
        <w:tc>
          <w:tcPr>
            <w:tcW w:w="1225" w:type="dxa"/>
            <w:tcBorders>
              <w:top w:val="nil"/>
              <w:left w:val="nil"/>
              <w:bottom w:val="single" w:sz="4" w:space="0" w:color="000000"/>
              <w:right w:val="single" w:sz="4" w:space="0" w:color="000000"/>
            </w:tcBorders>
            <w:noWrap/>
            <w:vAlign w:val="center"/>
            <w:hideMark/>
          </w:tcPr>
          <w:p w14:paraId="26744FF5"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6</w:t>
            </w:r>
          </w:p>
        </w:tc>
        <w:tc>
          <w:tcPr>
            <w:tcW w:w="1133" w:type="dxa"/>
            <w:tcBorders>
              <w:top w:val="single" w:sz="4" w:space="0" w:color="000000"/>
              <w:left w:val="single" w:sz="4" w:space="0" w:color="000000"/>
              <w:bottom w:val="single" w:sz="4" w:space="0" w:color="000000"/>
              <w:right w:val="single" w:sz="4" w:space="0" w:color="000000"/>
            </w:tcBorders>
            <w:shd w:val="clear" w:color="C6EFCE" w:fill="C6EFCE"/>
            <w:noWrap/>
            <w:vAlign w:val="center"/>
            <w:hideMark/>
          </w:tcPr>
          <w:p w14:paraId="572C2007" w14:textId="77777777" w:rsidR="00694445" w:rsidRPr="00694445" w:rsidRDefault="00694445" w:rsidP="00694445">
            <w:pPr>
              <w:spacing w:after="0" w:line="240" w:lineRule="auto"/>
              <w:jc w:val="center"/>
              <w:rPr>
                <w:rFonts w:eastAsia="Times New Roman"/>
                <w:color w:val="006100"/>
                <w:lang w:eastAsia="en-GB"/>
              </w:rPr>
            </w:pPr>
            <w:r w:rsidRPr="00694445">
              <w:rPr>
                <w:rFonts w:eastAsia="Times New Roman"/>
                <w:color w:val="006100"/>
                <w:lang w:eastAsia="en-GB"/>
              </w:rPr>
              <w:t>27</w:t>
            </w:r>
          </w:p>
        </w:tc>
        <w:tc>
          <w:tcPr>
            <w:tcW w:w="1470" w:type="dxa"/>
            <w:gridSpan w:val="2"/>
            <w:tcBorders>
              <w:top w:val="nil"/>
              <w:left w:val="nil"/>
              <w:bottom w:val="single" w:sz="4" w:space="0" w:color="000000"/>
              <w:right w:val="single" w:sz="4" w:space="0" w:color="000000"/>
            </w:tcBorders>
            <w:noWrap/>
            <w:vAlign w:val="center"/>
            <w:hideMark/>
          </w:tcPr>
          <w:p w14:paraId="52D584F5"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7</w:t>
            </w:r>
          </w:p>
        </w:tc>
        <w:tc>
          <w:tcPr>
            <w:tcW w:w="236" w:type="dxa"/>
            <w:vAlign w:val="center"/>
            <w:hideMark/>
          </w:tcPr>
          <w:p w14:paraId="645A91BB"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3F8A8A60" w14:textId="77777777" w:rsidTr="00694445">
        <w:trPr>
          <w:trHeight w:val="360"/>
        </w:trPr>
        <w:tc>
          <w:tcPr>
            <w:tcW w:w="445" w:type="dxa"/>
            <w:vMerge/>
            <w:tcBorders>
              <w:top w:val="nil"/>
              <w:left w:val="single" w:sz="4" w:space="0" w:color="000000"/>
              <w:bottom w:val="single" w:sz="4" w:space="0" w:color="000000"/>
              <w:right w:val="single" w:sz="4" w:space="0" w:color="000000"/>
            </w:tcBorders>
            <w:vAlign w:val="center"/>
            <w:hideMark/>
          </w:tcPr>
          <w:p w14:paraId="617177A9" w14:textId="77777777" w:rsidR="00694445" w:rsidRPr="00694445" w:rsidRDefault="00694445" w:rsidP="00694445">
            <w:pPr>
              <w:spacing w:after="0" w:line="240" w:lineRule="auto"/>
              <w:rPr>
                <w:rFonts w:eastAsia="Times New Roman"/>
                <w:color w:val="000000"/>
                <w:lang w:eastAsia="en-GB"/>
              </w:rPr>
            </w:pPr>
          </w:p>
        </w:tc>
        <w:tc>
          <w:tcPr>
            <w:tcW w:w="1595" w:type="dxa"/>
            <w:vMerge/>
            <w:tcBorders>
              <w:top w:val="nil"/>
              <w:left w:val="single" w:sz="4" w:space="0" w:color="000000"/>
              <w:bottom w:val="single" w:sz="4" w:space="0" w:color="000000"/>
              <w:right w:val="single" w:sz="4" w:space="0" w:color="000000"/>
            </w:tcBorders>
            <w:vAlign w:val="center"/>
            <w:hideMark/>
          </w:tcPr>
          <w:p w14:paraId="590876B2" w14:textId="77777777" w:rsidR="00694445" w:rsidRPr="00694445" w:rsidRDefault="00694445" w:rsidP="00694445">
            <w:pPr>
              <w:spacing w:after="0" w:line="240" w:lineRule="auto"/>
              <w:rPr>
                <w:rFonts w:eastAsia="Times New Roman"/>
                <w:color w:val="000000"/>
                <w:lang w:eastAsia="en-GB"/>
              </w:rPr>
            </w:pPr>
          </w:p>
        </w:tc>
        <w:tc>
          <w:tcPr>
            <w:tcW w:w="2378" w:type="dxa"/>
            <w:tcBorders>
              <w:top w:val="nil"/>
              <w:left w:val="nil"/>
              <w:bottom w:val="single" w:sz="4" w:space="0" w:color="000000"/>
              <w:right w:val="single" w:sz="4" w:space="0" w:color="000000"/>
            </w:tcBorders>
            <w:noWrap/>
            <w:vAlign w:val="center"/>
            <w:hideMark/>
          </w:tcPr>
          <w:p w14:paraId="34BE69F9"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HAZOP (Hazard and Operability Study)</w:t>
            </w:r>
          </w:p>
        </w:tc>
        <w:tc>
          <w:tcPr>
            <w:tcW w:w="1283" w:type="dxa"/>
            <w:tcBorders>
              <w:top w:val="nil"/>
              <w:left w:val="nil"/>
              <w:bottom w:val="single" w:sz="4" w:space="0" w:color="000000"/>
              <w:right w:val="single" w:sz="4" w:space="0" w:color="000000"/>
            </w:tcBorders>
            <w:noWrap/>
            <w:vAlign w:val="center"/>
            <w:hideMark/>
          </w:tcPr>
          <w:p w14:paraId="07F45119"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16</w:t>
            </w:r>
          </w:p>
        </w:tc>
        <w:tc>
          <w:tcPr>
            <w:tcW w:w="1278" w:type="dxa"/>
            <w:tcBorders>
              <w:top w:val="nil"/>
              <w:left w:val="nil"/>
              <w:bottom w:val="single" w:sz="4" w:space="0" w:color="000000"/>
              <w:right w:val="single" w:sz="4" w:space="0" w:color="000000"/>
            </w:tcBorders>
            <w:noWrap/>
            <w:vAlign w:val="center"/>
            <w:hideMark/>
          </w:tcPr>
          <w:p w14:paraId="42D7E52D"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11</w:t>
            </w:r>
          </w:p>
        </w:tc>
        <w:tc>
          <w:tcPr>
            <w:tcW w:w="1225" w:type="dxa"/>
            <w:tcBorders>
              <w:top w:val="nil"/>
              <w:left w:val="nil"/>
              <w:bottom w:val="single" w:sz="4" w:space="0" w:color="000000"/>
              <w:right w:val="single" w:sz="4" w:space="0" w:color="000000"/>
            </w:tcBorders>
            <w:noWrap/>
            <w:vAlign w:val="center"/>
            <w:hideMark/>
          </w:tcPr>
          <w:p w14:paraId="6F7FD8EB"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8</w:t>
            </w:r>
          </w:p>
        </w:tc>
        <w:tc>
          <w:tcPr>
            <w:tcW w:w="1133" w:type="dxa"/>
            <w:tcBorders>
              <w:top w:val="single" w:sz="4" w:space="0" w:color="000000"/>
              <w:left w:val="single" w:sz="4" w:space="0" w:color="000000"/>
              <w:bottom w:val="single" w:sz="4" w:space="0" w:color="000000"/>
              <w:right w:val="single" w:sz="4" w:space="0" w:color="000000"/>
            </w:tcBorders>
            <w:shd w:val="clear" w:color="C6EFCE" w:fill="C6EFCE"/>
            <w:noWrap/>
            <w:vAlign w:val="center"/>
            <w:hideMark/>
          </w:tcPr>
          <w:p w14:paraId="16B1ACF4" w14:textId="77777777" w:rsidR="00694445" w:rsidRPr="00694445" w:rsidRDefault="00694445" w:rsidP="00694445">
            <w:pPr>
              <w:spacing w:after="0" w:line="240" w:lineRule="auto"/>
              <w:jc w:val="center"/>
              <w:rPr>
                <w:rFonts w:eastAsia="Times New Roman"/>
                <w:color w:val="006100"/>
                <w:lang w:eastAsia="en-GB"/>
              </w:rPr>
            </w:pPr>
            <w:r w:rsidRPr="00694445">
              <w:rPr>
                <w:rFonts w:eastAsia="Times New Roman"/>
                <w:color w:val="006100"/>
                <w:lang w:eastAsia="en-GB"/>
              </w:rPr>
              <w:t>13</w:t>
            </w:r>
          </w:p>
        </w:tc>
        <w:tc>
          <w:tcPr>
            <w:tcW w:w="1470" w:type="dxa"/>
            <w:gridSpan w:val="2"/>
            <w:tcBorders>
              <w:top w:val="nil"/>
              <w:left w:val="nil"/>
              <w:bottom w:val="single" w:sz="4" w:space="0" w:color="000000"/>
              <w:right w:val="single" w:sz="4" w:space="0" w:color="000000"/>
            </w:tcBorders>
            <w:noWrap/>
            <w:vAlign w:val="center"/>
            <w:hideMark/>
          </w:tcPr>
          <w:p w14:paraId="3944D09A"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8</w:t>
            </w:r>
          </w:p>
        </w:tc>
        <w:tc>
          <w:tcPr>
            <w:tcW w:w="236" w:type="dxa"/>
            <w:vAlign w:val="center"/>
            <w:hideMark/>
          </w:tcPr>
          <w:p w14:paraId="2003741F"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6A912279" w14:textId="77777777" w:rsidTr="00694445">
        <w:trPr>
          <w:trHeight w:val="360"/>
        </w:trPr>
        <w:tc>
          <w:tcPr>
            <w:tcW w:w="445" w:type="dxa"/>
            <w:vMerge/>
            <w:tcBorders>
              <w:top w:val="nil"/>
              <w:left w:val="single" w:sz="4" w:space="0" w:color="000000"/>
              <w:bottom w:val="single" w:sz="4" w:space="0" w:color="000000"/>
              <w:right w:val="single" w:sz="4" w:space="0" w:color="000000"/>
            </w:tcBorders>
            <w:vAlign w:val="center"/>
            <w:hideMark/>
          </w:tcPr>
          <w:p w14:paraId="40EB58CC" w14:textId="77777777" w:rsidR="00694445" w:rsidRPr="00694445" w:rsidRDefault="00694445" w:rsidP="00694445">
            <w:pPr>
              <w:spacing w:after="0" w:line="240" w:lineRule="auto"/>
              <w:rPr>
                <w:rFonts w:eastAsia="Times New Roman"/>
                <w:color w:val="000000"/>
                <w:lang w:eastAsia="en-GB"/>
              </w:rPr>
            </w:pPr>
          </w:p>
        </w:tc>
        <w:tc>
          <w:tcPr>
            <w:tcW w:w="1595" w:type="dxa"/>
            <w:vMerge/>
            <w:tcBorders>
              <w:top w:val="nil"/>
              <w:left w:val="single" w:sz="4" w:space="0" w:color="000000"/>
              <w:bottom w:val="single" w:sz="4" w:space="0" w:color="000000"/>
              <w:right w:val="single" w:sz="4" w:space="0" w:color="000000"/>
            </w:tcBorders>
            <w:vAlign w:val="center"/>
            <w:hideMark/>
          </w:tcPr>
          <w:p w14:paraId="1FBA4E5F" w14:textId="77777777" w:rsidR="00694445" w:rsidRPr="00694445" w:rsidRDefault="00694445" w:rsidP="00694445">
            <w:pPr>
              <w:spacing w:after="0" w:line="240" w:lineRule="auto"/>
              <w:rPr>
                <w:rFonts w:eastAsia="Times New Roman"/>
                <w:color w:val="000000"/>
                <w:lang w:eastAsia="en-GB"/>
              </w:rPr>
            </w:pPr>
          </w:p>
        </w:tc>
        <w:tc>
          <w:tcPr>
            <w:tcW w:w="2378" w:type="dxa"/>
            <w:tcBorders>
              <w:top w:val="nil"/>
              <w:left w:val="nil"/>
              <w:bottom w:val="single" w:sz="4" w:space="0" w:color="000000"/>
              <w:right w:val="single" w:sz="4" w:space="0" w:color="000000"/>
            </w:tcBorders>
            <w:noWrap/>
            <w:vAlign w:val="center"/>
            <w:hideMark/>
          </w:tcPr>
          <w:p w14:paraId="495D5832"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Ishikawa (Fishbone) Diagrams</w:t>
            </w:r>
          </w:p>
        </w:tc>
        <w:tc>
          <w:tcPr>
            <w:tcW w:w="1283" w:type="dxa"/>
            <w:tcBorders>
              <w:top w:val="nil"/>
              <w:left w:val="nil"/>
              <w:bottom w:val="single" w:sz="4" w:space="0" w:color="000000"/>
              <w:right w:val="single" w:sz="4" w:space="0" w:color="000000"/>
            </w:tcBorders>
            <w:noWrap/>
            <w:vAlign w:val="center"/>
            <w:hideMark/>
          </w:tcPr>
          <w:p w14:paraId="1D0D4D29"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15</w:t>
            </w:r>
          </w:p>
        </w:tc>
        <w:tc>
          <w:tcPr>
            <w:tcW w:w="1278" w:type="dxa"/>
            <w:tcBorders>
              <w:top w:val="nil"/>
              <w:left w:val="nil"/>
              <w:bottom w:val="single" w:sz="4" w:space="0" w:color="000000"/>
              <w:right w:val="single" w:sz="4" w:space="0" w:color="000000"/>
            </w:tcBorders>
            <w:noWrap/>
            <w:vAlign w:val="center"/>
            <w:hideMark/>
          </w:tcPr>
          <w:p w14:paraId="2255CCF4"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5</w:t>
            </w:r>
          </w:p>
        </w:tc>
        <w:tc>
          <w:tcPr>
            <w:tcW w:w="1225" w:type="dxa"/>
            <w:tcBorders>
              <w:top w:val="nil"/>
              <w:left w:val="nil"/>
              <w:bottom w:val="single" w:sz="4" w:space="0" w:color="000000"/>
              <w:right w:val="single" w:sz="4" w:space="0" w:color="000000"/>
            </w:tcBorders>
            <w:noWrap/>
            <w:vAlign w:val="center"/>
            <w:hideMark/>
          </w:tcPr>
          <w:p w14:paraId="50A462D0"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15</w:t>
            </w:r>
          </w:p>
        </w:tc>
        <w:tc>
          <w:tcPr>
            <w:tcW w:w="1133" w:type="dxa"/>
            <w:tcBorders>
              <w:top w:val="single" w:sz="4" w:space="0" w:color="000000"/>
              <w:left w:val="single" w:sz="4" w:space="0" w:color="000000"/>
              <w:bottom w:val="single" w:sz="4" w:space="0" w:color="000000"/>
              <w:right w:val="single" w:sz="4" w:space="0" w:color="000000"/>
            </w:tcBorders>
            <w:shd w:val="clear" w:color="C6EFCE" w:fill="C6EFCE"/>
            <w:noWrap/>
            <w:vAlign w:val="center"/>
            <w:hideMark/>
          </w:tcPr>
          <w:p w14:paraId="4D6FABEA" w14:textId="77777777" w:rsidR="00694445" w:rsidRPr="00694445" w:rsidRDefault="00694445" w:rsidP="00694445">
            <w:pPr>
              <w:spacing w:after="0" w:line="240" w:lineRule="auto"/>
              <w:jc w:val="center"/>
              <w:rPr>
                <w:rFonts w:eastAsia="Times New Roman"/>
                <w:color w:val="006100"/>
                <w:lang w:eastAsia="en-GB"/>
              </w:rPr>
            </w:pPr>
            <w:r w:rsidRPr="00694445">
              <w:rPr>
                <w:rFonts w:eastAsia="Times New Roman"/>
                <w:color w:val="006100"/>
                <w:lang w:eastAsia="en-GB"/>
              </w:rPr>
              <w:t>9</w:t>
            </w:r>
          </w:p>
        </w:tc>
        <w:tc>
          <w:tcPr>
            <w:tcW w:w="1470" w:type="dxa"/>
            <w:gridSpan w:val="2"/>
            <w:tcBorders>
              <w:top w:val="nil"/>
              <w:left w:val="nil"/>
              <w:bottom w:val="single" w:sz="4" w:space="0" w:color="000000"/>
              <w:right w:val="single" w:sz="4" w:space="0" w:color="000000"/>
            </w:tcBorders>
            <w:noWrap/>
            <w:vAlign w:val="center"/>
            <w:hideMark/>
          </w:tcPr>
          <w:p w14:paraId="50230E7E"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7</w:t>
            </w:r>
          </w:p>
        </w:tc>
        <w:tc>
          <w:tcPr>
            <w:tcW w:w="236" w:type="dxa"/>
            <w:vAlign w:val="center"/>
            <w:hideMark/>
          </w:tcPr>
          <w:p w14:paraId="6BEFD37C"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6B41F372" w14:textId="77777777" w:rsidTr="00694445">
        <w:trPr>
          <w:trHeight w:val="360"/>
        </w:trPr>
        <w:tc>
          <w:tcPr>
            <w:tcW w:w="445" w:type="dxa"/>
            <w:vMerge/>
            <w:tcBorders>
              <w:top w:val="nil"/>
              <w:left w:val="single" w:sz="4" w:space="0" w:color="000000"/>
              <w:bottom w:val="single" w:sz="4" w:space="0" w:color="000000"/>
              <w:right w:val="single" w:sz="4" w:space="0" w:color="000000"/>
            </w:tcBorders>
            <w:vAlign w:val="center"/>
            <w:hideMark/>
          </w:tcPr>
          <w:p w14:paraId="5CE4617C" w14:textId="77777777" w:rsidR="00694445" w:rsidRPr="00694445" w:rsidRDefault="00694445" w:rsidP="00694445">
            <w:pPr>
              <w:spacing w:after="0" w:line="240" w:lineRule="auto"/>
              <w:rPr>
                <w:rFonts w:eastAsia="Times New Roman"/>
                <w:color w:val="000000"/>
                <w:lang w:eastAsia="en-GB"/>
              </w:rPr>
            </w:pPr>
          </w:p>
        </w:tc>
        <w:tc>
          <w:tcPr>
            <w:tcW w:w="1595" w:type="dxa"/>
            <w:tcBorders>
              <w:top w:val="nil"/>
              <w:left w:val="nil"/>
              <w:bottom w:val="single" w:sz="4" w:space="0" w:color="000000"/>
              <w:right w:val="single" w:sz="4" w:space="0" w:color="000000"/>
            </w:tcBorders>
            <w:vAlign w:val="center"/>
            <w:hideMark/>
          </w:tcPr>
          <w:p w14:paraId="407CB09B"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Risk Documentation &amp; Monitoring Tools</w:t>
            </w:r>
          </w:p>
        </w:tc>
        <w:tc>
          <w:tcPr>
            <w:tcW w:w="2378" w:type="dxa"/>
            <w:tcBorders>
              <w:top w:val="nil"/>
              <w:left w:val="nil"/>
              <w:bottom w:val="single" w:sz="4" w:space="0" w:color="000000"/>
              <w:right w:val="single" w:sz="4" w:space="0" w:color="000000"/>
            </w:tcBorders>
            <w:noWrap/>
            <w:vAlign w:val="center"/>
            <w:hideMark/>
          </w:tcPr>
          <w:p w14:paraId="0A900CFE"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Risk Registers</w:t>
            </w:r>
          </w:p>
        </w:tc>
        <w:tc>
          <w:tcPr>
            <w:tcW w:w="1283" w:type="dxa"/>
            <w:tcBorders>
              <w:top w:val="nil"/>
              <w:left w:val="nil"/>
              <w:bottom w:val="single" w:sz="4" w:space="0" w:color="000000"/>
              <w:right w:val="single" w:sz="4" w:space="0" w:color="000000"/>
            </w:tcBorders>
            <w:noWrap/>
            <w:vAlign w:val="center"/>
            <w:hideMark/>
          </w:tcPr>
          <w:p w14:paraId="534F2837"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20</w:t>
            </w:r>
          </w:p>
        </w:tc>
        <w:tc>
          <w:tcPr>
            <w:tcW w:w="1278" w:type="dxa"/>
            <w:tcBorders>
              <w:top w:val="nil"/>
              <w:left w:val="nil"/>
              <w:bottom w:val="single" w:sz="4" w:space="0" w:color="000000"/>
              <w:right w:val="single" w:sz="4" w:space="0" w:color="000000"/>
            </w:tcBorders>
            <w:noWrap/>
            <w:vAlign w:val="center"/>
            <w:hideMark/>
          </w:tcPr>
          <w:p w14:paraId="1EC6ABCF"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7</w:t>
            </w:r>
          </w:p>
        </w:tc>
        <w:tc>
          <w:tcPr>
            <w:tcW w:w="1225" w:type="dxa"/>
            <w:tcBorders>
              <w:top w:val="nil"/>
              <w:left w:val="nil"/>
              <w:bottom w:val="single" w:sz="4" w:space="0" w:color="000000"/>
              <w:right w:val="single" w:sz="4" w:space="0" w:color="000000"/>
            </w:tcBorders>
            <w:noWrap/>
            <w:vAlign w:val="center"/>
            <w:hideMark/>
          </w:tcPr>
          <w:p w14:paraId="46B9F845"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10</w:t>
            </w:r>
          </w:p>
        </w:tc>
        <w:tc>
          <w:tcPr>
            <w:tcW w:w="1133" w:type="dxa"/>
            <w:tcBorders>
              <w:top w:val="nil"/>
              <w:left w:val="nil"/>
              <w:bottom w:val="single" w:sz="4" w:space="0" w:color="000000"/>
              <w:right w:val="single" w:sz="4" w:space="0" w:color="000000"/>
            </w:tcBorders>
            <w:noWrap/>
            <w:vAlign w:val="center"/>
            <w:hideMark/>
          </w:tcPr>
          <w:p w14:paraId="67764143"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4</w:t>
            </w:r>
          </w:p>
        </w:tc>
        <w:tc>
          <w:tcPr>
            <w:tcW w:w="1470" w:type="dxa"/>
            <w:gridSpan w:val="2"/>
            <w:tcBorders>
              <w:top w:val="single" w:sz="4" w:space="0" w:color="000000"/>
              <w:left w:val="single" w:sz="4" w:space="0" w:color="000000"/>
              <w:bottom w:val="single" w:sz="4" w:space="0" w:color="000000"/>
              <w:right w:val="single" w:sz="4" w:space="0" w:color="000000"/>
            </w:tcBorders>
            <w:shd w:val="clear" w:color="C6EFCE" w:fill="C6EFCE"/>
            <w:noWrap/>
            <w:vAlign w:val="center"/>
            <w:hideMark/>
          </w:tcPr>
          <w:p w14:paraId="3EB28B25" w14:textId="77777777" w:rsidR="00694445" w:rsidRPr="00694445" w:rsidRDefault="00694445" w:rsidP="00694445">
            <w:pPr>
              <w:spacing w:after="0" w:line="240" w:lineRule="auto"/>
              <w:jc w:val="center"/>
              <w:rPr>
                <w:rFonts w:eastAsia="Times New Roman"/>
                <w:color w:val="006100"/>
                <w:lang w:eastAsia="en-GB"/>
              </w:rPr>
            </w:pPr>
            <w:r w:rsidRPr="00694445">
              <w:rPr>
                <w:rFonts w:eastAsia="Times New Roman"/>
                <w:color w:val="006100"/>
                <w:lang w:eastAsia="en-GB"/>
              </w:rPr>
              <w:t>10</w:t>
            </w:r>
          </w:p>
        </w:tc>
        <w:tc>
          <w:tcPr>
            <w:tcW w:w="236" w:type="dxa"/>
            <w:vAlign w:val="center"/>
            <w:hideMark/>
          </w:tcPr>
          <w:p w14:paraId="6290E22E"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588B5968" w14:textId="77777777" w:rsidTr="00694445">
        <w:trPr>
          <w:trHeight w:val="360"/>
        </w:trPr>
        <w:tc>
          <w:tcPr>
            <w:tcW w:w="445" w:type="dxa"/>
            <w:vMerge/>
            <w:tcBorders>
              <w:top w:val="nil"/>
              <w:left w:val="single" w:sz="4" w:space="0" w:color="000000"/>
              <w:bottom w:val="single" w:sz="4" w:space="0" w:color="000000"/>
              <w:right w:val="single" w:sz="4" w:space="0" w:color="000000"/>
            </w:tcBorders>
            <w:vAlign w:val="center"/>
            <w:hideMark/>
          </w:tcPr>
          <w:p w14:paraId="5C255C77" w14:textId="77777777" w:rsidR="00694445" w:rsidRPr="00694445" w:rsidRDefault="00694445" w:rsidP="00694445">
            <w:pPr>
              <w:spacing w:after="0" w:line="240" w:lineRule="auto"/>
              <w:rPr>
                <w:rFonts w:eastAsia="Times New Roman"/>
                <w:color w:val="000000"/>
                <w:lang w:eastAsia="en-GB"/>
              </w:rPr>
            </w:pPr>
          </w:p>
        </w:tc>
        <w:tc>
          <w:tcPr>
            <w:tcW w:w="1595" w:type="dxa"/>
            <w:tcBorders>
              <w:top w:val="nil"/>
              <w:left w:val="nil"/>
              <w:bottom w:val="single" w:sz="4" w:space="0" w:color="000000"/>
              <w:right w:val="single" w:sz="4" w:space="0" w:color="000000"/>
            </w:tcBorders>
            <w:vAlign w:val="center"/>
            <w:hideMark/>
          </w:tcPr>
          <w:p w14:paraId="20592B68"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Risk Control &amp; Visualisation Methods</w:t>
            </w:r>
          </w:p>
        </w:tc>
        <w:tc>
          <w:tcPr>
            <w:tcW w:w="2378" w:type="dxa"/>
            <w:tcBorders>
              <w:top w:val="nil"/>
              <w:left w:val="nil"/>
              <w:bottom w:val="single" w:sz="4" w:space="0" w:color="000000"/>
              <w:right w:val="single" w:sz="4" w:space="0" w:color="000000"/>
            </w:tcBorders>
            <w:noWrap/>
            <w:vAlign w:val="center"/>
            <w:hideMark/>
          </w:tcPr>
          <w:p w14:paraId="17E2F705"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Bow Tie Analysis (Control Assessments)</w:t>
            </w:r>
          </w:p>
        </w:tc>
        <w:tc>
          <w:tcPr>
            <w:tcW w:w="1283" w:type="dxa"/>
            <w:tcBorders>
              <w:top w:val="nil"/>
              <w:left w:val="nil"/>
              <w:bottom w:val="single" w:sz="4" w:space="0" w:color="000000"/>
              <w:right w:val="single" w:sz="4" w:space="0" w:color="000000"/>
            </w:tcBorders>
            <w:noWrap/>
            <w:vAlign w:val="center"/>
            <w:hideMark/>
          </w:tcPr>
          <w:p w14:paraId="792B442B"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15</w:t>
            </w:r>
          </w:p>
        </w:tc>
        <w:tc>
          <w:tcPr>
            <w:tcW w:w="1278" w:type="dxa"/>
            <w:tcBorders>
              <w:top w:val="nil"/>
              <w:left w:val="nil"/>
              <w:bottom w:val="single" w:sz="4" w:space="0" w:color="000000"/>
              <w:right w:val="single" w:sz="4" w:space="0" w:color="000000"/>
            </w:tcBorders>
            <w:noWrap/>
            <w:vAlign w:val="center"/>
            <w:hideMark/>
          </w:tcPr>
          <w:p w14:paraId="0BE31F29"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8</w:t>
            </w:r>
          </w:p>
        </w:tc>
        <w:tc>
          <w:tcPr>
            <w:tcW w:w="1225" w:type="dxa"/>
            <w:tcBorders>
              <w:top w:val="single" w:sz="4" w:space="0" w:color="000000"/>
              <w:left w:val="single" w:sz="4" w:space="0" w:color="000000"/>
              <w:bottom w:val="single" w:sz="4" w:space="0" w:color="000000"/>
              <w:right w:val="single" w:sz="4" w:space="0" w:color="000000"/>
            </w:tcBorders>
            <w:shd w:val="clear" w:color="C6EFCE" w:fill="C6EFCE"/>
            <w:noWrap/>
            <w:vAlign w:val="center"/>
            <w:hideMark/>
          </w:tcPr>
          <w:p w14:paraId="232F0CFC" w14:textId="77777777" w:rsidR="00694445" w:rsidRPr="00694445" w:rsidRDefault="00694445" w:rsidP="00694445">
            <w:pPr>
              <w:spacing w:after="0" w:line="240" w:lineRule="auto"/>
              <w:jc w:val="center"/>
              <w:rPr>
                <w:rFonts w:eastAsia="Times New Roman"/>
                <w:color w:val="006100"/>
                <w:lang w:eastAsia="en-GB"/>
              </w:rPr>
            </w:pPr>
            <w:r w:rsidRPr="00694445">
              <w:rPr>
                <w:rFonts w:eastAsia="Times New Roman"/>
                <w:color w:val="006100"/>
                <w:lang w:eastAsia="en-GB"/>
              </w:rPr>
              <w:t>16</w:t>
            </w:r>
          </w:p>
        </w:tc>
        <w:tc>
          <w:tcPr>
            <w:tcW w:w="1133" w:type="dxa"/>
            <w:tcBorders>
              <w:top w:val="nil"/>
              <w:left w:val="nil"/>
              <w:bottom w:val="single" w:sz="4" w:space="0" w:color="000000"/>
              <w:right w:val="single" w:sz="4" w:space="0" w:color="000000"/>
            </w:tcBorders>
            <w:noWrap/>
            <w:vAlign w:val="center"/>
            <w:hideMark/>
          </w:tcPr>
          <w:p w14:paraId="5F11F603"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10</w:t>
            </w:r>
          </w:p>
        </w:tc>
        <w:tc>
          <w:tcPr>
            <w:tcW w:w="1470" w:type="dxa"/>
            <w:gridSpan w:val="2"/>
            <w:tcBorders>
              <w:top w:val="nil"/>
              <w:left w:val="nil"/>
              <w:bottom w:val="single" w:sz="4" w:space="0" w:color="000000"/>
              <w:right w:val="single" w:sz="4" w:space="0" w:color="000000"/>
            </w:tcBorders>
            <w:noWrap/>
            <w:vAlign w:val="center"/>
            <w:hideMark/>
          </w:tcPr>
          <w:p w14:paraId="4F17C275"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8</w:t>
            </w:r>
          </w:p>
        </w:tc>
        <w:tc>
          <w:tcPr>
            <w:tcW w:w="236" w:type="dxa"/>
            <w:vAlign w:val="center"/>
            <w:hideMark/>
          </w:tcPr>
          <w:p w14:paraId="5D8BD586"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bl>
    <w:p w14:paraId="70748C76" w14:textId="74A6D202" w:rsidR="00694445" w:rsidRDefault="00694445" w:rsidP="00694445">
      <w:pPr>
        <w:pStyle w:val="Caption"/>
        <w:jc w:val="center"/>
      </w:pPr>
      <w:bookmarkStart w:id="123" w:name="_Toc219216434"/>
      <w:r>
        <w:t xml:space="preserve">Table </w:t>
      </w:r>
      <w:fldSimple w:instr=" SEQ Table \* ARABIC ">
        <w:r w:rsidR="004239CB">
          <w:rPr>
            <w:noProof/>
          </w:rPr>
          <w:t>21</w:t>
        </w:r>
      </w:fldSimple>
      <w:r>
        <w:t xml:space="preserve"> - </w:t>
      </w:r>
      <w:r w:rsidRPr="00346E1A">
        <w:t>Questionnaire Q1</w:t>
      </w:r>
      <w:r>
        <w:t>5</w:t>
      </w:r>
      <w:r w:rsidRPr="00346E1A">
        <w:t xml:space="preserve"> Data Set</w:t>
      </w:r>
      <w:bookmarkEnd w:id="123"/>
    </w:p>
    <w:p w14:paraId="4C833514" w14:textId="5B4E0471" w:rsidR="004239CB" w:rsidRDefault="004239CB">
      <w:r>
        <w:br w:type="page"/>
      </w:r>
    </w:p>
    <w:p w14:paraId="5B0D394B" w14:textId="5A49D34D" w:rsidR="00694445" w:rsidRPr="004239CB" w:rsidRDefault="004239CB" w:rsidP="004239CB">
      <w:pPr>
        <w:pStyle w:val="Heading2"/>
        <w:ind w:left="-576"/>
        <w:rPr>
          <w:rFonts w:eastAsia="Times New Roman"/>
          <w:color w:val="000000"/>
          <w:sz w:val="22"/>
          <w:szCs w:val="22"/>
          <w:lang w:eastAsia="en-GB"/>
        </w:rPr>
      </w:pPr>
      <w:bookmarkStart w:id="124" w:name="_Toc219216499"/>
      <w:r w:rsidRPr="004239CB">
        <w:rPr>
          <w:sz w:val="22"/>
          <w:szCs w:val="22"/>
        </w:rPr>
        <w:lastRenderedPageBreak/>
        <w:t xml:space="preserve">12.6. </w:t>
      </w:r>
      <w:r w:rsidRPr="00694445">
        <w:rPr>
          <w:rFonts w:eastAsia="Times New Roman"/>
          <w:color w:val="000000"/>
          <w:sz w:val="22"/>
          <w:szCs w:val="22"/>
          <w:u w:val="single"/>
          <w:lang w:eastAsia="en-GB"/>
        </w:rPr>
        <w:t>Need for a Customisable Framework</w:t>
      </w:r>
      <w:bookmarkEnd w:id="124"/>
    </w:p>
    <w:p w14:paraId="6623C074" w14:textId="77777777" w:rsidR="004239CB" w:rsidRDefault="004239CB" w:rsidP="00932E71">
      <w:pPr>
        <w:spacing w:after="0"/>
      </w:pPr>
    </w:p>
    <w:tbl>
      <w:tblPr>
        <w:tblW w:w="5917" w:type="dxa"/>
        <w:jc w:val="center"/>
        <w:tblCellMar>
          <w:top w:w="15" w:type="dxa"/>
        </w:tblCellMar>
        <w:tblLook w:val="04A0" w:firstRow="1" w:lastRow="0" w:firstColumn="1" w:lastColumn="0" w:noHBand="0" w:noVBand="1"/>
      </w:tblPr>
      <w:tblGrid>
        <w:gridCol w:w="1677"/>
        <w:gridCol w:w="3732"/>
        <w:gridCol w:w="472"/>
        <w:gridCol w:w="222"/>
      </w:tblGrid>
      <w:tr w:rsidR="00694445" w:rsidRPr="00694445" w14:paraId="2E9515A0" w14:textId="77777777" w:rsidTr="00694445">
        <w:trPr>
          <w:gridAfter w:val="1"/>
          <w:wAfter w:w="36" w:type="dxa"/>
          <w:trHeight w:val="360"/>
          <w:jc w:val="center"/>
        </w:trPr>
        <w:tc>
          <w:tcPr>
            <w:tcW w:w="5881"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48B6F9AC"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Need for a Customisable Framework</w:t>
            </w:r>
          </w:p>
        </w:tc>
      </w:tr>
      <w:tr w:rsidR="00694445" w:rsidRPr="00694445" w14:paraId="5A0279EF" w14:textId="77777777" w:rsidTr="00694445">
        <w:trPr>
          <w:gridAfter w:val="1"/>
          <w:wAfter w:w="36" w:type="dxa"/>
          <w:trHeight w:val="360"/>
          <w:jc w:val="center"/>
        </w:trPr>
        <w:tc>
          <w:tcPr>
            <w:tcW w:w="1679" w:type="dxa"/>
            <w:vMerge w:val="restart"/>
            <w:tcBorders>
              <w:top w:val="nil"/>
              <w:left w:val="single" w:sz="4" w:space="0" w:color="000000"/>
              <w:bottom w:val="single" w:sz="4" w:space="0" w:color="000000"/>
              <w:right w:val="single" w:sz="4" w:space="0" w:color="000000"/>
            </w:tcBorders>
            <w:textDirection w:val="btLr"/>
            <w:vAlign w:val="center"/>
            <w:hideMark/>
          </w:tcPr>
          <w:p w14:paraId="286B624F"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 xml:space="preserve">Do you think a more customisable </w:t>
            </w:r>
            <w:r w:rsidRPr="00694445">
              <w:rPr>
                <w:rFonts w:eastAsia="Times New Roman"/>
                <w:color w:val="000000"/>
                <w:lang w:eastAsia="en-GB"/>
              </w:rPr>
              <w:br/>
              <w:t>risk assessment framework could</w:t>
            </w:r>
            <w:r w:rsidRPr="00694445">
              <w:rPr>
                <w:rFonts w:eastAsia="Times New Roman"/>
                <w:color w:val="000000"/>
                <w:lang w:eastAsia="en-GB"/>
              </w:rPr>
              <w:br/>
              <w:t xml:space="preserve"> enhance risk management?</w:t>
            </w:r>
          </w:p>
        </w:tc>
        <w:tc>
          <w:tcPr>
            <w:tcW w:w="3732" w:type="dxa"/>
            <w:tcBorders>
              <w:top w:val="nil"/>
              <w:left w:val="nil"/>
              <w:bottom w:val="single" w:sz="4" w:space="0" w:color="000000"/>
              <w:right w:val="single" w:sz="4" w:space="0" w:color="000000"/>
            </w:tcBorders>
            <w:shd w:val="clear" w:color="A6C9EC" w:fill="A6C9EC"/>
            <w:noWrap/>
            <w:vAlign w:val="bottom"/>
            <w:hideMark/>
          </w:tcPr>
          <w:p w14:paraId="3AA7399B"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Customisable Framework</w:t>
            </w:r>
          </w:p>
        </w:tc>
        <w:tc>
          <w:tcPr>
            <w:tcW w:w="470" w:type="dxa"/>
            <w:tcBorders>
              <w:top w:val="nil"/>
              <w:left w:val="nil"/>
              <w:bottom w:val="single" w:sz="4" w:space="0" w:color="000000"/>
              <w:right w:val="single" w:sz="4" w:space="0" w:color="000000"/>
            </w:tcBorders>
            <w:shd w:val="clear" w:color="A6C9EC" w:fill="A6C9EC"/>
            <w:noWrap/>
            <w:vAlign w:val="bottom"/>
            <w:hideMark/>
          </w:tcPr>
          <w:p w14:paraId="3C59BF08"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No</w:t>
            </w:r>
          </w:p>
        </w:tc>
      </w:tr>
      <w:tr w:rsidR="00694445" w:rsidRPr="00694445" w14:paraId="5C19CCD0" w14:textId="77777777" w:rsidTr="00694445">
        <w:trPr>
          <w:gridAfter w:val="1"/>
          <w:wAfter w:w="36" w:type="dxa"/>
          <w:trHeight w:val="450"/>
          <w:jc w:val="center"/>
        </w:trPr>
        <w:tc>
          <w:tcPr>
            <w:tcW w:w="1679" w:type="dxa"/>
            <w:vMerge/>
            <w:tcBorders>
              <w:top w:val="nil"/>
              <w:left w:val="single" w:sz="4" w:space="0" w:color="000000"/>
              <w:bottom w:val="single" w:sz="4" w:space="0" w:color="000000"/>
              <w:right w:val="single" w:sz="4" w:space="0" w:color="000000"/>
            </w:tcBorders>
            <w:vAlign w:val="center"/>
            <w:hideMark/>
          </w:tcPr>
          <w:p w14:paraId="2C0CB279" w14:textId="77777777" w:rsidR="00694445" w:rsidRPr="00694445" w:rsidRDefault="00694445" w:rsidP="00694445">
            <w:pPr>
              <w:spacing w:after="0" w:line="240" w:lineRule="auto"/>
              <w:rPr>
                <w:rFonts w:eastAsia="Times New Roman"/>
                <w:color w:val="000000"/>
                <w:lang w:eastAsia="en-GB"/>
              </w:rPr>
            </w:pPr>
          </w:p>
        </w:tc>
        <w:tc>
          <w:tcPr>
            <w:tcW w:w="3732" w:type="dxa"/>
            <w:vMerge w:val="restart"/>
            <w:tcBorders>
              <w:top w:val="nil"/>
              <w:left w:val="single" w:sz="4" w:space="0" w:color="000000"/>
              <w:bottom w:val="single" w:sz="4" w:space="0" w:color="000000"/>
              <w:right w:val="single" w:sz="4" w:space="0" w:color="000000"/>
            </w:tcBorders>
            <w:noWrap/>
            <w:vAlign w:val="center"/>
            <w:hideMark/>
          </w:tcPr>
          <w:p w14:paraId="7E278DF7"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Yes</w:t>
            </w:r>
          </w:p>
        </w:tc>
        <w:tc>
          <w:tcPr>
            <w:tcW w:w="470" w:type="dxa"/>
            <w:vMerge w:val="restart"/>
            <w:tcBorders>
              <w:top w:val="nil"/>
              <w:left w:val="single" w:sz="4" w:space="0" w:color="000000"/>
              <w:bottom w:val="single" w:sz="4" w:space="0" w:color="000000"/>
              <w:right w:val="single" w:sz="4" w:space="0" w:color="000000"/>
            </w:tcBorders>
            <w:noWrap/>
            <w:vAlign w:val="center"/>
            <w:hideMark/>
          </w:tcPr>
          <w:p w14:paraId="4E7E3DE8"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30</w:t>
            </w:r>
          </w:p>
        </w:tc>
      </w:tr>
      <w:tr w:rsidR="00694445" w:rsidRPr="00694445" w14:paraId="43E1ED98" w14:textId="77777777" w:rsidTr="00694445">
        <w:trPr>
          <w:trHeight w:val="360"/>
          <w:jc w:val="center"/>
        </w:trPr>
        <w:tc>
          <w:tcPr>
            <w:tcW w:w="1679" w:type="dxa"/>
            <w:vMerge/>
            <w:tcBorders>
              <w:top w:val="nil"/>
              <w:left w:val="single" w:sz="4" w:space="0" w:color="000000"/>
              <w:bottom w:val="single" w:sz="4" w:space="0" w:color="000000"/>
              <w:right w:val="single" w:sz="4" w:space="0" w:color="000000"/>
            </w:tcBorders>
            <w:vAlign w:val="center"/>
            <w:hideMark/>
          </w:tcPr>
          <w:p w14:paraId="64D3381A" w14:textId="77777777" w:rsidR="00694445" w:rsidRPr="00694445" w:rsidRDefault="00694445" w:rsidP="00694445">
            <w:pPr>
              <w:spacing w:after="0" w:line="240" w:lineRule="auto"/>
              <w:rPr>
                <w:rFonts w:eastAsia="Times New Roman"/>
                <w:color w:val="000000"/>
                <w:lang w:eastAsia="en-GB"/>
              </w:rPr>
            </w:pPr>
          </w:p>
        </w:tc>
        <w:tc>
          <w:tcPr>
            <w:tcW w:w="3732" w:type="dxa"/>
            <w:vMerge/>
            <w:tcBorders>
              <w:top w:val="nil"/>
              <w:left w:val="single" w:sz="4" w:space="0" w:color="000000"/>
              <w:bottom w:val="single" w:sz="4" w:space="0" w:color="000000"/>
              <w:right w:val="single" w:sz="4" w:space="0" w:color="000000"/>
            </w:tcBorders>
            <w:vAlign w:val="center"/>
            <w:hideMark/>
          </w:tcPr>
          <w:p w14:paraId="161C36E8" w14:textId="77777777" w:rsidR="00694445" w:rsidRPr="00694445" w:rsidRDefault="00694445" w:rsidP="00694445">
            <w:pPr>
              <w:spacing w:after="0" w:line="240" w:lineRule="auto"/>
              <w:rPr>
                <w:rFonts w:eastAsia="Times New Roman"/>
                <w:color w:val="000000"/>
                <w:lang w:eastAsia="en-GB"/>
              </w:rPr>
            </w:pPr>
          </w:p>
        </w:tc>
        <w:tc>
          <w:tcPr>
            <w:tcW w:w="470" w:type="dxa"/>
            <w:vMerge/>
            <w:tcBorders>
              <w:top w:val="nil"/>
              <w:left w:val="single" w:sz="4" w:space="0" w:color="000000"/>
              <w:bottom w:val="single" w:sz="4" w:space="0" w:color="000000"/>
              <w:right w:val="single" w:sz="4" w:space="0" w:color="000000"/>
            </w:tcBorders>
            <w:vAlign w:val="center"/>
            <w:hideMark/>
          </w:tcPr>
          <w:p w14:paraId="5373269D" w14:textId="77777777" w:rsidR="00694445" w:rsidRPr="00694445" w:rsidRDefault="00694445" w:rsidP="00694445">
            <w:pPr>
              <w:spacing w:after="0" w:line="240" w:lineRule="auto"/>
              <w:rPr>
                <w:rFonts w:eastAsia="Times New Roman"/>
                <w:color w:val="000000"/>
                <w:lang w:eastAsia="en-GB"/>
              </w:rPr>
            </w:pPr>
          </w:p>
        </w:tc>
        <w:tc>
          <w:tcPr>
            <w:tcW w:w="36" w:type="dxa"/>
            <w:tcBorders>
              <w:top w:val="nil"/>
              <w:left w:val="nil"/>
              <w:bottom w:val="nil"/>
              <w:right w:val="nil"/>
            </w:tcBorders>
            <w:noWrap/>
            <w:vAlign w:val="bottom"/>
            <w:hideMark/>
          </w:tcPr>
          <w:p w14:paraId="039D480E" w14:textId="77777777" w:rsidR="00694445" w:rsidRPr="00694445" w:rsidRDefault="00694445" w:rsidP="00694445">
            <w:pPr>
              <w:spacing w:after="0" w:line="240" w:lineRule="auto"/>
              <w:jc w:val="center"/>
              <w:rPr>
                <w:rFonts w:eastAsia="Times New Roman"/>
                <w:color w:val="000000"/>
                <w:lang w:eastAsia="en-GB"/>
              </w:rPr>
            </w:pPr>
          </w:p>
        </w:tc>
      </w:tr>
      <w:tr w:rsidR="00694445" w:rsidRPr="00694445" w14:paraId="21DED005" w14:textId="77777777" w:rsidTr="00694445">
        <w:trPr>
          <w:trHeight w:val="360"/>
          <w:jc w:val="center"/>
        </w:trPr>
        <w:tc>
          <w:tcPr>
            <w:tcW w:w="1679" w:type="dxa"/>
            <w:vMerge/>
            <w:tcBorders>
              <w:top w:val="nil"/>
              <w:left w:val="single" w:sz="4" w:space="0" w:color="000000"/>
              <w:bottom w:val="single" w:sz="4" w:space="0" w:color="000000"/>
              <w:right w:val="single" w:sz="4" w:space="0" w:color="000000"/>
            </w:tcBorders>
            <w:vAlign w:val="center"/>
            <w:hideMark/>
          </w:tcPr>
          <w:p w14:paraId="4D64B603" w14:textId="77777777" w:rsidR="00694445" w:rsidRPr="00694445" w:rsidRDefault="00694445" w:rsidP="00694445">
            <w:pPr>
              <w:spacing w:after="0" w:line="240" w:lineRule="auto"/>
              <w:rPr>
                <w:rFonts w:eastAsia="Times New Roman"/>
                <w:color w:val="000000"/>
                <w:lang w:eastAsia="en-GB"/>
              </w:rPr>
            </w:pPr>
          </w:p>
        </w:tc>
        <w:tc>
          <w:tcPr>
            <w:tcW w:w="3732" w:type="dxa"/>
            <w:vMerge/>
            <w:tcBorders>
              <w:top w:val="nil"/>
              <w:left w:val="single" w:sz="4" w:space="0" w:color="000000"/>
              <w:bottom w:val="single" w:sz="4" w:space="0" w:color="000000"/>
              <w:right w:val="single" w:sz="4" w:space="0" w:color="000000"/>
            </w:tcBorders>
            <w:vAlign w:val="center"/>
            <w:hideMark/>
          </w:tcPr>
          <w:p w14:paraId="2BA76A1B" w14:textId="77777777" w:rsidR="00694445" w:rsidRPr="00694445" w:rsidRDefault="00694445" w:rsidP="00694445">
            <w:pPr>
              <w:spacing w:after="0" w:line="240" w:lineRule="auto"/>
              <w:rPr>
                <w:rFonts w:eastAsia="Times New Roman"/>
                <w:color w:val="000000"/>
                <w:lang w:eastAsia="en-GB"/>
              </w:rPr>
            </w:pPr>
          </w:p>
        </w:tc>
        <w:tc>
          <w:tcPr>
            <w:tcW w:w="470" w:type="dxa"/>
            <w:vMerge/>
            <w:tcBorders>
              <w:top w:val="nil"/>
              <w:left w:val="single" w:sz="4" w:space="0" w:color="000000"/>
              <w:bottom w:val="single" w:sz="4" w:space="0" w:color="000000"/>
              <w:right w:val="single" w:sz="4" w:space="0" w:color="000000"/>
            </w:tcBorders>
            <w:vAlign w:val="center"/>
            <w:hideMark/>
          </w:tcPr>
          <w:p w14:paraId="509E5F8E" w14:textId="77777777" w:rsidR="00694445" w:rsidRPr="00694445" w:rsidRDefault="00694445" w:rsidP="00694445">
            <w:pPr>
              <w:spacing w:after="0" w:line="240" w:lineRule="auto"/>
              <w:rPr>
                <w:rFonts w:eastAsia="Times New Roman"/>
                <w:color w:val="000000"/>
                <w:lang w:eastAsia="en-GB"/>
              </w:rPr>
            </w:pPr>
          </w:p>
        </w:tc>
        <w:tc>
          <w:tcPr>
            <w:tcW w:w="36" w:type="dxa"/>
            <w:tcBorders>
              <w:top w:val="nil"/>
              <w:left w:val="nil"/>
              <w:bottom w:val="nil"/>
              <w:right w:val="nil"/>
            </w:tcBorders>
            <w:noWrap/>
            <w:vAlign w:val="bottom"/>
            <w:hideMark/>
          </w:tcPr>
          <w:p w14:paraId="66C4AAF1"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05945E39" w14:textId="77777777" w:rsidTr="00694445">
        <w:trPr>
          <w:trHeight w:val="360"/>
          <w:jc w:val="center"/>
        </w:trPr>
        <w:tc>
          <w:tcPr>
            <w:tcW w:w="1679" w:type="dxa"/>
            <w:vMerge/>
            <w:tcBorders>
              <w:top w:val="nil"/>
              <w:left w:val="single" w:sz="4" w:space="0" w:color="000000"/>
              <w:bottom w:val="single" w:sz="4" w:space="0" w:color="000000"/>
              <w:right w:val="single" w:sz="4" w:space="0" w:color="000000"/>
            </w:tcBorders>
            <w:vAlign w:val="center"/>
            <w:hideMark/>
          </w:tcPr>
          <w:p w14:paraId="7BDF1BF1" w14:textId="77777777" w:rsidR="00694445" w:rsidRPr="00694445" w:rsidRDefault="00694445" w:rsidP="00694445">
            <w:pPr>
              <w:spacing w:after="0" w:line="240" w:lineRule="auto"/>
              <w:rPr>
                <w:rFonts w:eastAsia="Times New Roman"/>
                <w:color w:val="000000"/>
                <w:lang w:eastAsia="en-GB"/>
              </w:rPr>
            </w:pPr>
          </w:p>
        </w:tc>
        <w:tc>
          <w:tcPr>
            <w:tcW w:w="3732" w:type="dxa"/>
            <w:vMerge w:val="restart"/>
            <w:tcBorders>
              <w:top w:val="nil"/>
              <w:left w:val="single" w:sz="4" w:space="0" w:color="000000"/>
              <w:bottom w:val="single" w:sz="4" w:space="0" w:color="000000"/>
              <w:right w:val="single" w:sz="4" w:space="0" w:color="000000"/>
            </w:tcBorders>
            <w:noWrap/>
            <w:vAlign w:val="center"/>
            <w:hideMark/>
          </w:tcPr>
          <w:p w14:paraId="393FDB5F"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No</w:t>
            </w:r>
          </w:p>
        </w:tc>
        <w:tc>
          <w:tcPr>
            <w:tcW w:w="470" w:type="dxa"/>
            <w:vMerge w:val="restart"/>
            <w:tcBorders>
              <w:top w:val="nil"/>
              <w:left w:val="single" w:sz="4" w:space="0" w:color="000000"/>
              <w:bottom w:val="single" w:sz="4" w:space="0" w:color="000000"/>
              <w:right w:val="single" w:sz="4" w:space="0" w:color="000000"/>
            </w:tcBorders>
            <w:noWrap/>
            <w:vAlign w:val="center"/>
            <w:hideMark/>
          </w:tcPr>
          <w:p w14:paraId="61CF97DD"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0</w:t>
            </w:r>
          </w:p>
        </w:tc>
        <w:tc>
          <w:tcPr>
            <w:tcW w:w="36" w:type="dxa"/>
            <w:vAlign w:val="center"/>
            <w:hideMark/>
          </w:tcPr>
          <w:p w14:paraId="7401D6A5"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4A9AC500" w14:textId="77777777" w:rsidTr="00694445">
        <w:trPr>
          <w:trHeight w:val="300"/>
          <w:jc w:val="center"/>
        </w:trPr>
        <w:tc>
          <w:tcPr>
            <w:tcW w:w="1679" w:type="dxa"/>
            <w:vMerge/>
            <w:tcBorders>
              <w:top w:val="nil"/>
              <w:left w:val="single" w:sz="4" w:space="0" w:color="000000"/>
              <w:bottom w:val="single" w:sz="4" w:space="0" w:color="000000"/>
              <w:right w:val="single" w:sz="4" w:space="0" w:color="000000"/>
            </w:tcBorders>
            <w:vAlign w:val="center"/>
            <w:hideMark/>
          </w:tcPr>
          <w:p w14:paraId="27EF61F0" w14:textId="77777777" w:rsidR="00694445" w:rsidRPr="00694445" w:rsidRDefault="00694445" w:rsidP="00694445">
            <w:pPr>
              <w:spacing w:after="0" w:line="240" w:lineRule="auto"/>
              <w:rPr>
                <w:rFonts w:eastAsia="Times New Roman"/>
                <w:color w:val="000000"/>
                <w:lang w:eastAsia="en-GB"/>
              </w:rPr>
            </w:pPr>
          </w:p>
        </w:tc>
        <w:tc>
          <w:tcPr>
            <w:tcW w:w="3732" w:type="dxa"/>
            <w:vMerge/>
            <w:tcBorders>
              <w:top w:val="nil"/>
              <w:left w:val="single" w:sz="4" w:space="0" w:color="000000"/>
              <w:bottom w:val="single" w:sz="4" w:space="0" w:color="000000"/>
              <w:right w:val="single" w:sz="4" w:space="0" w:color="000000"/>
            </w:tcBorders>
            <w:vAlign w:val="center"/>
            <w:hideMark/>
          </w:tcPr>
          <w:p w14:paraId="258CF4A1" w14:textId="77777777" w:rsidR="00694445" w:rsidRPr="00694445" w:rsidRDefault="00694445" w:rsidP="00694445">
            <w:pPr>
              <w:spacing w:after="0" w:line="240" w:lineRule="auto"/>
              <w:rPr>
                <w:rFonts w:eastAsia="Times New Roman"/>
                <w:color w:val="000000"/>
                <w:lang w:eastAsia="en-GB"/>
              </w:rPr>
            </w:pPr>
          </w:p>
        </w:tc>
        <w:tc>
          <w:tcPr>
            <w:tcW w:w="470" w:type="dxa"/>
            <w:vMerge/>
            <w:tcBorders>
              <w:top w:val="nil"/>
              <w:left w:val="single" w:sz="4" w:space="0" w:color="000000"/>
              <w:bottom w:val="single" w:sz="4" w:space="0" w:color="000000"/>
              <w:right w:val="single" w:sz="4" w:space="0" w:color="000000"/>
            </w:tcBorders>
            <w:vAlign w:val="center"/>
            <w:hideMark/>
          </w:tcPr>
          <w:p w14:paraId="2B91800F" w14:textId="77777777" w:rsidR="00694445" w:rsidRPr="00694445" w:rsidRDefault="00694445" w:rsidP="00694445">
            <w:pPr>
              <w:spacing w:after="0" w:line="240" w:lineRule="auto"/>
              <w:rPr>
                <w:rFonts w:eastAsia="Times New Roman"/>
                <w:color w:val="000000"/>
                <w:lang w:eastAsia="en-GB"/>
              </w:rPr>
            </w:pPr>
          </w:p>
        </w:tc>
        <w:tc>
          <w:tcPr>
            <w:tcW w:w="36" w:type="dxa"/>
            <w:tcBorders>
              <w:top w:val="nil"/>
              <w:left w:val="nil"/>
              <w:bottom w:val="nil"/>
              <w:right w:val="nil"/>
            </w:tcBorders>
            <w:noWrap/>
            <w:vAlign w:val="bottom"/>
            <w:hideMark/>
          </w:tcPr>
          <w:p w14:paraId="07EA8270" w14:textId="77777777" w:rsidR="00694445" w:rsidRPr="00694445" w:rsidRDefault="00694445" w:rsidP="00694445">
            <w:pPr>
              <w:spacing w:after="0" w:line="240" w:lineRule="auto"/>
              <w:jc w:val="center"/>
              <w:rPr>
                <w:rFonts w:eastAsia="Times New Roman"/>
                <w:color w:val="000000"/>
                <w:lang w:eastAsia="en-GB"/>
              </w:rPr>
            </w:pPr>
          </w:p>
        </w:tc>
      </w:tr>
      <w:tr w:rsidR="00694445" w:rsidRPr="00694445" w14:paraId="0601315E" w14:textId="77777777" w:rsidTr="00694445">
        <w:trPr>
          <w:trHeight w:val="360"/>
          <w:jc w:val="center"/>
        </w:trPr>
        <w:tc>
          <w:tcPr>
            <w:tcW w:w="1679" w:type="dxa"/>
            <w:vMerge/>
            <w:tcBorders>
              <w:top w:val="nil"/>
              <w:left w:val="single" w:sz="4" w:space="0" w:color="000000"/>
              <w:bottom w:val="single" w:sz="4" w:space="0" w:color="000000"/>
              <w:right w:val="single" w:sz="4" w:space="0" w:color="000000"/>
            </w:tcBorders>
            <w:vAlign w:val="center"/>
            <w:hideMark/>
          </w:tcPr>
          <w:p w14:paraId="2E846153" w14:textId="77777777" w:rsidR="00694445" w:rsidRPr="00694445" w:rsidRDefault="00694445" w:rsidP="00694445">
            <w:pPr>
              <w:spacing w:after="0" w:line="240" w:lineRule="auto"/>
              <w:rPr>
                <w:rFonts w:eastAsia="Times New Roman"/>
                <w:color w:val="000000"/>
                <w:lang w:eastAsia="en-GB"/>
              </w:rPr>
            </w:pPr>
          </w:p>
        </w:tc>
        <w:tc>
          <w:tcPr>
            <w:tcW w:w="3732" w:type="dxa"/>
            <w:vMerge/>
            <w:tcBorders>
              <w:top w:val="nil"/>
              <w:left w:val="single" w:sz="4" w:space="0" w:color="000000"/>
              <w:bottom w:val="single" w:sz="4" w:space="0" w:color="000000"/>
              <w:right w:val="single" w:sz="4" w:space="0" w:color="000000"/>
            </w:tcBorders>
            <w:vAlign w:val="center"/>
            <w:hideMark/>
          </w:tcPr>
          <w:p w14:paraId="27967C34" w14:textId="77777777" w:rsidR="00694445" w:rsidRPr="00694445" w:rsidRDefault="00694445" w:rsidP="00694445">
            <w:pPr>
              <w:spacing w:after="0" w:line="240" w:lineRule="auto"/>
              <w:rPr>
                <w:rFonts w:eastAsia="Times New Roman"/>
                <w:color w:val="000000"/>
                <w:lang w:eastAsia="en-GB"/>
              </w:rPr>
            </w:pPr>
          </w:p>
        </w:tc>
        <w:tc>
          <w:tcPr>
            <w:tcW w:w="470" w:type="dxa"/>
            <w:vMerge/>
            <w:tcBorders>
              <w:top w:val="nil"/>
              <w:left w:val="single" w:sz="4" w:space="0" w:color="000000"/>
              <w:bottom w:val="single" w:sz="4" w:space="0" w:color="000000"/>
              <w:right w:val="single" w:sz="4" w:space="0" w:color="000000"/>
            </w:tcBorders>
            <w:vAlign w:val="center"/>
            <w:hideMark/>
          </w:tcPr>
          <w:p w14:paraId="5327A291" w14:textId="77777777" w:rsidR="00694445" w:rsidRPr="00694445" w:rsidRDefault="00694445" w:rsidP="00694445">
            <w:pPr>
              <w:spacing w:after="0" w:line="240" w:lineRule="auto"/>
              <w:rPr>
                <w:rFonts w:eastAsia="Times New Roman"/>
                <w:color w:val="000000"/>
                <w:lang w:eastAsia="en-GB"/>
              </w:rPr>
            </w:pPr>
          </w:p>
        </w:tc>
        <w:tc>
          <w:tcPr>
            <w:tcW w:w="36" w:type="dxa"/>
            <w:tcBorders>
              <w:top w:val="nil"/>
              <w:left w:val="nil"/>
              <w:bottom w:val="nil"/>
              <w:right w:val="nil"/>
            </w:tcBorders>
            <w:noWrap/>
            <w:vAlign w:val="bottom"/>
            <w:hideMark/>
          </w:tcPr>
          <w:p w14:paraId="3294800D"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2E358B10" w14:textId="77777777" w:rsidTr="00694445">
        <w:trPr>
          <w:trHeight w:val="360"/>
          <w:jc w:val="center"/>
        </w:trPr>
        <w:tc>
          <w:tcPr>
            <w:tcW w:w="1679" w:type="dxa"/>
            <w:vMerge/>
            <w:tcBorders>
              <w:top w:val="nil"/>
              <w:left w:val="single" w:sz="4" w:space="0" w:color="000000"/>
              <w:bottom w:val="single" w:sz="4" w:space="0" w:color="000000"/>
              <w:right w:val="single" w:sz="4" w:space="0" w:color="000000"/>
            </w:tcBorders>
            <w:vAlign w:val="center"/>
            <w:hideMark/>
          </w:tcPr>
          <w:p w14:paraId="76CF90ED" w14:textId="77777777" w:rsidR="00694445" w:rsidRPr="00694445" w:rsidRDefault="00694445" w:rsidP="00694445">
            <w:pPr>
              <w:spacing w:after="0" w:line="240" w:lineRule="auto"/>
              <w:rPr>
                <w:rFonts w:eastAsia="Times New Roman"/>
                <w:color w:val="000000"/>
                <w:lang w:eastAsia="en-GB"/>
              </w:rPr>
            </w:pPr>
          </w:p>
        </w:tc>
        <w:tc>
          <w:tcPr>
            <w:tcW w:w="3732" w:type="dxa"/>
            <w:vMerge w:val="restart"/>
            <w:tcBorders>
              <w:top w:val="nil"/>
              <w:left w:val="single" w:sz="4" w:space="0" w:color="000000"/>
              <w:bottom w:val="single" w:sz="4" w:space="0" w:color="000000"/>
              <w:right w:val="single" w:sz="4" w:space="0" w:color="000000"/>
            </w:tcBorders>
            <w:noWrap/>
            <w:vAlign w:val="center"/>
            <w:hideMark/>
          </w:tcPr>
          <w:p w14:paraId="13F7D3A1"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Maybe</w:t>
            </w:r>
          </w:p>
        </w:tc>
        <w:tc>
          <w:tcPr>
            <w:tcW w:w="470" w:type="dxa"/>
            <w:vMerge w:val="restart"/>
            <w:tcBorders>
              <w:top w:val="nil"/>
              <w:left w:val="single" w:sz="4" w:space="0" w:color="000000"/>
              <w:bottom w:val="single" w:sz="4" w:space="0" w:color="000000"/>
              <w:right w:val="single" w:sz="4" w:space="0" w:color="000000"/>
            </w:tcBorders>
            <w:noWrap/>
            <w:vAlign w:val="center"/>
            <w:hideMark/>
          </w:tcPr>
          <w:p w14:paraId="257E80F6"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6</w:t>
            </w:r>
          </w:p>
        </w:tc>
        <w:tc>
          <w:tcPr>
            <w:tcW w:w="36" w:type="dxa"/>
            <w:vAlign w:val="center"/>
            <w:hideMark/>
          </w:tcPr>
          <w:p w14:paraId="01261D0F"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660DD295" w14:textId="77777777" w:rsidTr="00694445">
        <w:trPr>
          <w:trHeight w:val="360"/>
          <w:jc w:val="center"/>
        </w:trPr>
        <w:tc>
          <w:tcPr>
            <w:tcW w:w="1679" w:type="dxa"/>
            <w:vMerge/>
            <w:tcBorders>
              <w:top w:val="nil"/>
              <w:left w:val="single" w:sz="4" w:space="0" w:color="000000"/>
              <w:bottom w:val="single" w:sz="4" w:space="0" w:color="000000"/>
              <w:right w:val="single" w:sz="4" w:space="0" w:color="000000"/>
            </w:tcBorders>
            <w:vAlign w:val="center"/>
            <w:hideMark/>
          </w:tcPr>
          <w:p w14:paraId="5724AAA5" w14:textId="77777777" w:rsidR="00694445" w:rsidRPr="00694445" w:rsidRDefault="00694445" w:rsidP="00694445">
            <w:pPr>
              <w:spacing w:after="0" w:line="240" w:lineRule="auto"/>
              <w:rPr>
                <w:rFonts w:eastAsia="Times New Roman"/>
                <w:color w:val="000000"/>
                <w:lang w:eastAsia="en-GB"/>
              </w:rPr>
            </w:pPr>
          </w:p>
        </w:tc>
        <w:tc>
          <w:tcPr>
            <w:tcW w:w="3732" w:type="dxa"/>
            <w:vMerge/>
            <w:tcBorders>
              <w:top w:val="nil"/>
              <w:left w:val="single" w:sz="4" w:space="0" w:color="000000"/>
              <w:bottom w:val="single" w:sz="4" w:space="0" w:color="000000"/>
              <w:right w:val="single" w:sz="4" w:space="0" w:color="000000"/>
            </w:tcBorders>
            <w:vAlign w:val="center"/>
            <w:hideMark/>
          </w:tcPr>
          <w:p w14:paraId="34B36C5F" w14:textId="77777777" w:rsidR="00694445" w:rsidRPr="00694445" w:rsidRDefault="00694445" w:rsidP="00694445">
            <w:pPr>
              <w:spacing w:after="0" w:line="240" w:lineRule="auto"/>
              <w:rPr>
                <w:rFonts w:eastAsia="Times New Roman"/>
                <w:color w:val="000000"/>
                <w:lang w:eastAsia="en-GB"/>
              </w:rPr>
            </w:pPr>
          </w:p>
        </w:tc>
        <w:tc>
          <w:tcPr>
            <w:tcW w:w="470" w:type="dxa"/>
            <w:vMerge/>
            <w:tcBorders>
              <w:top w:val="nil"/>
              <w:left w:val="single" w:sz="4" w:space="0" w:color="000000"/>
              <w:bottom w:val="single" w:sz="4" w:space="0" w:color="000000"/>
              <w:right w:val="single" w:sz="4" w:space="0" w:color="000000"/>
            </w:tcBorders>
            <w:vAlign w:val="center"/>
            <w:hideMark/>
          </w:tcPr>
          <w:p w14:paraId="6251545F" w14:textId="77777777" w:rsidR="00694445" w:rsidRPr="00694445" w:rsidRDefault="00694445" w:rsidP="00694445">
            <w:pPr>
              <w:spacing w:after="0" w:line="240" w:lineRule="auto"/>
              <w:rPr>
                <w:rFonts w:eastAsia="Times New Roman"/>
                <w:color w:val="000000"/>
                <w:lang w:eastAsia="en-GB"/>
              </w:rPr>
            </w:pPr>
          </w:p>
        </w:tc>
        <w:tc>
          <w:tcPr>
            <w:tcW w:w="36" w:type="dxa"/>
            <w:tcBorders>
              <w:top w:val="nil"/>
              <w:left w:val="nil"/>
              <w:bottom w:val="nil"/>
              <w:right w:val="nil"/>
            </w:tcBorders>
            <w:noWrap/>
            <w:vAlign w:val="bottom"/>
            <w:hideMark/>
          </w:tcPr>
          <w:p w14:paraId="651EB4E0" w14:textId="77777777" w:rsidR="00694445" w:rsidRPr="00694445" w:rsidRDefault="00694445" w:rsidP="00694445">
            <w:pPr>
              <w:spacing w:after="0" w:line="240" w:lineRule="auto"/>
              <w:jc w:val="center"/>
              <w:rPr>
                <w:rFonts w:eastAsia="Times New Roman"/>
                <w:color w:val="000000"/>
                <w:lang w:eastAsia="en-GB"/>
              </w:rPr>
            </w:pPr>
          </w:p>
        </w:tc>
      </w:tr>
      <w:tr w:rsidR="00694445" w:rsidRPr="00694445" w14:paraId="04ACF1B7" w14:textId="77777777" w:rsidTr="00694445">
        <w:trPr>
          <w:trHeight w:val="360"/>
          <w:jc w:val="center"/>
        </w:trPr>
        <w:tc>
          <w:tcPr>
            <w:tcW w:w="1679" w:type="dxa"/>
            <w:vMerge/>
            <w:tcBorders>
              <w:top w:val="nil"/>
              <w:left w:val="single" w:sz="4" w:space="0" w:color="000000"/>
              <w:bottom w:val="single" w:sz="4" w:space="0" w:color="000000"/>
              <w:right w:val="single" w:sz="4" w:space="0" w:color="000000"/>
            </w:tcBorders>
            <w:vAlign w:val="center"/>
            <w:hideMark/>
          </w:tcPr>
          <w:p w14:paraId="3B549CD5" w14:textId="77777777" w:rsidR="00694445" w:rsidRPr="00694445" w:rsidRDefault="00694445" w:rsidP="00694445">
            <w:pPr>
              <w:spacing w:after="0" w:line="240" w:lineRule="auto"/>
              <w:rPr>
                <w:rFonts w:eastAsia="Times New Roman"/>
                <w:color w:val="000000"/>
                <w:lang w:eastAsia="en-GB"/>
              </w:rPr>
            </w:pPr>
          </w:p>
        </w:tc>
        <w:tc>
          <w:tcPr>
            <w:tcW w:w="3732" w:type="dxa"/>
            <w:vMerge/>
            <w:tcBorders>
              <w:top w:val="nil"/>
              <w:left w:val="single" w:sz="4" w:space="0" w:color="000000"/>
              <w:bottom w:val="single" w:sz="4" w:space="0" w:color="000000"/>
              <w:right w:val="single" w:sz="4" w:space="0" w:color="000000"/>
            </w:tcBorders>
            <w:vAlign w:val="center"/>
            <w:hideMark/>
          </w:tcPr>
          <w:p w14:paraId="38117723" w14:textId="77777777" w:rsidR="00694445" w:rsidRPr="00694445" w:rsidRDefault="00694445" w:rsidP="00694445">
            <w:pPr>
              <w:spacing w:after="0" w:line="240" w:lineRule="auto"/>
              <w:rPr>
                <w:rFonts w:eastAsia="Times New Roman"/>
                <w:color w:val="000000"/>
                <w:lang w:eastAsia="en-GB"/>
              </w:rPr>
            </w:pPr>
          </w:p>
        </w:tc>
        <w:tc>
          <w:tcPr>
            <w:tcW w:w="470" w:type="dxa"/>
            <w:vMerge/>
            <w:tcBorders>
              <w:top w:val="nil"/>
              <w:left w:val="single" w:sz="4" w:space="0" w:color="000000"/>
              <w:bottom w:val="single" w:sz="4" w:space="0" w:color="000000"/>
              <w:right w:val="single" w:sz="4" w:space="0" w:color="000000"/>
            </w:tcBorders>
            <w:vAlign w:val="center"/>
            <w:hideMark/>
          </w:tcPr>
          <w:p w14:paraId="111458CD" w14:textId="77777777" w:rsidR="00694445" w:rsidRPr="00694445" w:rsidRDefault="00694445" w:rsidP="00694445">
            <w:pPr>
              <w:spacing w:after="0" w:line="240" w:lineRule="auto"/>
              <w:rPr>
                <w:rFonts w:eastAsia="Times New Roman"/>
                <w:color w:val="000000"/>
                <w:lang w:eastAsia="en-GB"/>
              </w:rPr>
            </w:pPr>
          </w:p>
        </w:tc>
        <w:tc>
          <w:tcPr>
            <w:tcW w:w="36" w:type="dxa"/>
            <w:tcBorders>
              <w:top w:val="nil"/>
              <w:left w:val="nil"/>
              <w:bottom w:val="nil"/>
              <w:right w:val="nil"/>
            </w:tcBorders>
            <w:noWrap/>
            <w:vAlign w:val="bottom"/>
            <w:hideMark/>
          </w:tcPr>
          <w:p w14:paraId="549F7734"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bl>
    <w:p w14:paraId="59BC5EA3" w14:textId="3069AD6A" w:rsidR="00D73F5A" w:rsidRDefault="00694445" w:rsidP="00694445">
      <w:pPr>
        <w:pStyle w:val="Caption"/>
        <w:jc w:val="center"/>
      </w:pPr>
      <w:bookmarkStart w:id="125" w:name="_Toc219216435"/>
      <w:r>
        <w:t xml:space="preserve">Table </w:t>
      </w:r>
      <w:fldSimple w:instr=" SEQ Table \* ARABIC ">
        <w:r w:rsidR="004239CB">
          <w:rPr>
            <w:noProof/>
          </w:rPr>
          <w:t>22</w:t>
        </w:r>
      </w:fldSimple>
      <w:r>
        <w:t xml:space="preserve"> - </w:t>
      </w:r>
      <w:r w:rsidRPr="005A19C3">
        <w:t>Questionnaire Q1</w:t>
      </w:r>
      <w:r>
        <w:t>6</w:t>
      </w:r>
      <w:r w:rsidRPr="005A19C3">
        <w:t xml:space="preserve"> Data Set</w:t>
      </w:r>
      <w:bookmarkEnd w:id="125"/>
    </w:p>
    <w:p w14:paraId="2B41034C" w14:textId="77777777" w:rsidR="00D73F5A" w:rsidRDefault="00D73F5A" w:rsidP="00932E71">
      <w:pPr>
        <w:spacing w:after="0"/>
      </w:pPr>
    </w:p>
    <w:tbl>
      <w:tblPr>
        <w:tblW w:w="7200" w:type="dxa"/>
        <w:jc w:val="center"/>
        <w:tblLook w:val="04A0" w:firstRow="1" w:lastRow="0" w:firstColumn="1" w:lastColumn="0" w:noHBand="0" w:noVBand="1"/>
      </w:tblPr>
      <w:tblGrid>
        <w:gridCol w:w="1380"/>
        <w:gridCol w:w="4860"/>
        <w:gridCol w:w="960"/>
      </w:tblGrid>
      <w:tr w:rsidR="00694445" w:rsidRPr="00694445" w14:paraId="64095228" w14:textId="77777777" w:rsidTr="00694445">
        <w:trPr>
          <w:trHeight w:val="360"/>
          <w:jc w:val="center"/>
        </w:trPr>
        <w:tc>
          <w:tcPr>
            <w:tcW w:w="7200"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711F97A4"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Need for a Customisable Framework</w:t>
            </w:r>
          </w:p>
        </w:tc>
      </w:tr>
      <w:tr w:rsidR="00694445" w:rsidRPr="00694445" w14:paraId="33E5293A" w14:textId="77777777" w:rsidTr="00694445">
        <w:trPr>
          <w:trHeight w:val="360"/>
          <w:jc w:val="center"/>
        </w:trPr>
        <w:tc>
          <w:tcPr>
            <w:tcW w:w="1380" w:type="dxa"/>
            <w:vMerge w:val="restart"/>
            <w:tcBorders>
              <w:top w:val="nil"/>
              <w:left w:val="single" w:sz="4" w:space="0" w:color="000000"/>
              <w:bottom w:val="single" w:sz="4" w:space="0" w:color="000000"/>
              <w:right w:val="single" w:sz="4" w:space="0" w:color="000000"/>
            </w:tcBorders>
            <w:textDirection w:val="btLr"/>
            <w:vAlign w:val="center"/>
            <w:hideMark/>
          </w:tcPr>
          <w:p w14:paraId="54A1B1CE"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What features would you like to see</w:t>
            </w:r>
            <w:r w:rsidRPr="00694445">
              <w:rPr>
                <w:rFonts w:eastAsia="Times New Roman"/>
                <w:color w:val="000000"/>
                <w:lang w:eastAsia="en-GB"/>
              </w:rPr>
              <w:br/>
              <w:t xml:space="preserve"> in a customisable risk assessment framework?</w:t>
            </w:r>
          </w:p>
        </w:tc>
        <w:tc>
          <w:tcPr>
            <w:tcW w:w="4860" w:type="dxa"/>
            <w:tcBorders>
              <w:top w:val="nil"/>
              <w:left w:val="nil"/>
              <w:bottom w:val="single" w:sz="4" w:space="0" w:color="000000"/>
              <w:right w:val="single" w:sz="4" w:space="0" w:color="000000"/>
            </w:tcBorders>
            <w:shd w:val="clear" w:color="A6C9EC" w:fill="A6C9EC"/>
            <w:noWrap/>
            <w:vAlign w:val="bottom"/>
            <w:hideMark/>
          </w:tcPr>
          <w:p w14:paraId="5A2F0D8B"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Features</w:t>
            </w:r>
          </w:p>
        </w:tc>
        <w:tc>
          <w:tcPr>
            <w:tcW w:w="960" w:type="dxa"/>
            <w:tcBorders>
              <w:top w:val="nil"/>
              <w:left w:val="nil"/>
              <w:bottom w:val="single" w:sz="4" w:space="0" w:color="000000"/>
              <w:right w:val="single" w:sz="4" w:space="0" w:color="000000"/>
            </w:tcBorders>
            <w:shd w:val="clear" w:color="A6C9EC" w:fill="A6C9EC"/>
            <w:noWrap/>
            <w:vAlign w:val="bottom"/>
            <w:hideMark/>
          </w:tcPr>
          <w:p w14:paraId="5A2761F0"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No</w:t>
            </w:r>
          </w:p>
        </w:tc>
      </w:tr>
      <w:tr w:rsidR="00694445" w:rsidRPr="00694445" w14:paraId="796AF65B" w14:textId="77777777" w:rsidTr="00694445">
        <w:trPr>
          <w:trHeight w:val="360"/>
          <w:jc w:val="center"/>
        </w:trPr>
        <w:tc>
          <w:tcPr>
            <w:tcW w:w="1380" w:type="dxa"/>
            <w:vMerge/>
            <w:tcBorders>
              <w:top w:val="nil"/>
              <w:left w:val="single" w:sz="4" w:space="0" w:color="000000"/>
              <w:bottom w:val="single" w:sz="4" w:space="0" w:color="000000"/>
              <w:right w:val="single" w:sz="4" w:space="0" w:color="000000"/>
            </w:tcBorders>
            <w:vAlign w:val="center"/>
            <w:hideMark/>
          </w:tcPr>
          <w:p w14:paraId="796B6544" w14:textId="77777777" w:rsidR="00694445" w:rsidRPr="00694445" w:rsidRDefault="00694445" w:rsidP="00694445">
            <w:pPr>
              <w:spacing w:after="0" w:line="240" w:lineRule="auto"/>
              <w:rPr>
                <w:rFonts w:eastAsia="Times New Roman"/>
                <w:color w:val="000000"/>
                <w:lang w:eastAsia="en-GB"/>
              </w:rPr>
            </w:pPr>
          </w:p>
        </w:tc>
        <w:tc>
          <w:tcPr>
            <w:tcW w:w="4860" w:type="dxa"/>
            <w:tcBorders>
              <w:top w:val="nil"/>
              <w:left w:val="nil"/>
              <w:bottom w:val="single" w:sz="4" w:space="0" w:color="000000"/>
              <w:right w:val="single" w:sz="4" w:space="0" w:color="000000"/>
            </w:tcBorders>
            <w:noWrap/>
            <w:vAlign w:val="bottom"/>
            <w:hideMark/>
          </w:tcPr>
          <w:p w14:paraId="2818E1AF"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Industry-specific risk identification.</w:t>
            </w:r>
          </w:p>
        </w:tc>
        <w:tc>
          <w:tcPr>
            <w:tcW w:w="960" w:type="dxa"/>
            <w:tcBorders>
              <w:top w:val="nil"/>
              <w:left w:val="nil"/>
              <w:bottom w:val="single" w:sz="4" w:space="0" w:color="000000"/>
              <w:right w:val="single" w:sz="4" w:space="0" w:color="000000"/>
            </w:tcBorders>
            <w:noWrap/>
            <w:vAlign w:val="center"/>
            <w:hideMark/>
          </w:tcPr>
          <w:p w14:paraId="5D96B357"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28</w:t>
            </w:r>
          </w:p>
        </w:tc>
      </w:tr>
      <w:tr w:rsidR="00694445" w:rsidRPr="00694445" w14:paraId="085DC155" w14:textId="77777777" w:rsidTr="00694445">
        <w:trPr>
          <w:trHeight w:val="360"/>
          <w:jc w:val="center"/>
        </w:trPr>
        <w:tc>
          <w:tcPr>
            <w:tcW w:w="1380" w:type="dxa"/>
            <w:vMerge/>
            <w:tcBorders>
              <w:top w:val="nil"/>
              <w:left w:val="single" w:sz="4" w:space="0" w:color="000000"/>
              <w:bottom w:val="single" w:sz="4" w:space="0" w:color="000000"/>
              <w:right w:val="single" w:sz="4" w:space="0" w:color="000000"/>
            </w:tcBorders>
            <w:vAlign w:val="center"/>
            <w:hideMark/>
          </w:tcPr>
          <w:p w14:paraId="1779F487" w14:textId="77777777" w:rsidR="00694445" w:rsidRPr="00694445" w:rsidRDefault="00694445" w:rsidP="00694445">
            <w:pPr>
              <w:spacing w:after="0" w:line="240" w:lineRule="auto"/>
              <w:rPr>
                <w:rFonts w:eastAsia="Times New Roman"/>
                <w:color w:val="000000"/>
                <w:lang w:eastAsia="en-GB"/>
              </w:rPr>
            </w:pPr>
          </w:p>
        </w:tc>
        <w:tc>
          <w:tcPr>
            <w:tcW w:w="4860" w:type="dxa"/>
            <w:tcBorders>
              <w:top w:val="nil"/>
              <w:left w:val="nil"/>
              <w:bottom w:val="single" w:sz="4" w:space="0" w:color="000000"/>
              <w:right w:val="single" w:sz="4" w:space="0" w:color="000000"/>
            </w:tcBorders>
            <w:noWrap/>
            <w:vAlign w:val="bottom"/>
            <w:hideMark/>
          </w:tcPr>
          <w:p w14:paraId="3CA68F13"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AI-based risk prediction.</w:t>
            </w:r>
          </w:p>
        </w:tc>
        <w:tc>
          <w:tcPr>
            <w:tcW w:w="960" w:type="dxa"/>
            <w:tcBorders>
              <w:top w:val="nil"/>
              <w:left w:val="nil"/>
              <w:bottom w:val="single" w:sz="4" w:space="0" w:color="000000"/>
              <w:right w:val="single" w:sz="4" w:space="0" w:color="000000"/>
            </w:tcBorders>
            <w:noWrap/>
            <w:vAlign w:val="center"/>
            <w:hideMark/>
          </w:tcPr>
          <w:p w14:paraId="5CCB8FF0"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15</w:t>
            </w:r>
          </w:p>
        </w:tc>
      </w:tr>
      <w:tr w:rsidR="00694445" w:rsidRPr="00694445" w14:paraId="6C81E020" w14:textId="77777777" w:rsidTr="00694445">
        <w:trPr>
          <w:trHeight w:val="360"/>
          <w:jc w:val="center"/>
        </w:trPr>
        <w:tc>
          <w:tcPr>
            <w:tcW w:w="1380" w:type="dxa"/>
            <w:vMerge/>
            <w:tcBorders>
              <w:top w:val="nil"/>
              <w:left w:val="single" w:sz="4" w:space="0" w:color="000000"/>
              <w:bottom w:val="single" w:sz="4" w:space="0" w:color="000000"/>
              <w:right w:val="single" w:sz="4" w:space="0" w:color="000000"/>
            </w:tcBorders>
            <w:vAlign w:val="center"/>
            <w:hideMark/>
          </w:tcPr>
          <w:p w14:paraId="0FCE96E0" w14:textId="77777777" w:rsidR="00694445" w:rsidRPr="00694445" w:rsidRDefault="00694445" w:rsidP="00694445">
            <w:pPr>
              <w:spacing w:after="0" w:line="240" w:lineRule="auto"/>
              <w:rPr>
                <w:rFonts w:eastAsia="Times New Roman"/>
                <w:color w:val="000000"/>
                <w:lang w:eastAsia="en-GB"/>
              </w:rPr>
            </w:pPr>
          </w:p>
        </w:tc>
        <w:tc>
          <w:tcPr>
            <w:tcW w:w="4860" w:type="dxa"/>
            <w:tcBorders>
              <w:top w:val="nil"/>
              <w:left w:val="nil"/>
              <w:bottom w:val="single" w:sz="4" w:space="0" w:color="000000"/>
              <w:right w:val="single" w:sz="4" w:space="0" w:color="000000"/>
            </w:tcBorders>
            <w:noWrap/>
            <w:vAlign w:val="bottom"/>
            <w:hideMark/>
          </w:tcPr>
          <w:p w14:paraId="037EBD4F"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Integration with project management software.</w:t>
            </w:r>
          </w:p>
        </w:tc>
        <w:tc>
          <w:tcPr>
            <w:tcW w:w="960" w:type="dxa"/>
            <w:tcBorders>
              <w:top w:val="nil"/>
              <w:left w:val="nil"/>
              <w:bottom w:val="single" w:sz="4" w:space="0" w:color="000000"/>
              <w:right w:val="single" w:sz="4" w:space="0" w:color="000000"/>
            </w:tcBorders>
            <w:noWrap/>
            <w:vAlign w:val="center"/>
            <w:hideMark/>
          </w:tcPr>
          <w:p w14:paraId="30314070"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20</w:t>
            </w:r>
          </w:p>
        </w:tc>
      </w:tr>
      <w:tr w:rsidR="00694445" w:rsidRPr="00694445" w14:paraId="3D5477E3" w14:textId="77777777" w:rsidTr="00694445">
        <w:trPr>
          <w:trHeight w:val="360"/>
          <w:jc w:val="center"/>
        </w:trPr>
        <w:tc>
          <w:tcPr>
            <w:tcW w:w="1380" w:type="dxa"/>
            <w:vMerge/>
            <w:tcBorders>
              <w:top w:val="nil"/>
              <w:left w:val="single" w:sz="4" w:space="0" w:color="000000"/>
              <w:bottom w:val="single" w:sz="4" w:space="0" w:color="000000"/>
              <w:right w:val="single" w:sz="4" w:space="0" w:color="000000"/>
            </w:tcBorders>
            <w:vAlign w:val="center"/>
            <w:hideMark/>
          </w:tcPr>
          <w:p w14:paraId="4D802ADA" w14:textId="77777777" w:rsidR="00694445" w:rsidRPr="00694445" w:rsidRDefault="00694445" w:rsidP="00694445">
            <w:pPr>
              <w:spacing w:after="0" w:line="240" w:lineRule="auto"/>
              <w:rPr>
                <w:rFonts w:eastAsia="Times New Roman"/>
                <w:color w:val="000000"/>
                <w:lang w:eastAsia="en-GB"/>
              </w:rPr>
            </w:pPr>
          </w:p>
        </w:tc>
        <w:tc>
          <w:tcPr>
            <w:tcW w:w="4860" w:type="dxa"/>
            <w:tcBorders>
              <w:top w:val="nil"/>
              <w:left w:val="nil"/>
              <w:bottom w:val="single" w:sz="4" w:space="0" w:color="000000"/>
              <w:right w:val="single" w:sz="4" w:space="0" w:color="000000"/>
            </w:tcBorders>
            <w:noWrap/>
            <w:vAlign w:val="bottom"/>
            <w:hideMark/>
          </w:tcPr>
          <w:p w14:paraId="48F8D785"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More user-friendly interfaces.</w:t>
            </w:r>
          </w:p>
        </w:tc>
        <w:tc>
          <w:tcPr>
            <w:tcW w:w="960" w:type="dxa"/>
            <w:tcBorders>
              <w:top w:val="nil"/>
              <w:left w:val="nil"/>
              <w:bottom w:val="single" w:sz="4" w:space="0" w:color="000000"/>
              <w:right w:val="single" w:sz="4" w:space="0" w:color="000000"/>
            </w:tcBorders>
            <w:noWrap/>
            <w:vAlign w:val="center"/>
            <w:hideMark/>
          </w:tcPr>
          <w:p w14:paraId="0D70D97E"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33</w:t>
            </w:r>
          </w:p>
        </w:tc>
      </w:tr>
      <w:tr w:rsidR="00694445" w:rsidRPr="00694445" w14:paraId="475AC9FA" w14:textId="77777777" w:rsidTr="00694445">
        <w:trPr>
          <w:trHeight w:val="300"/>
          <w:jc w:val="center"/>
        </w:trPr>
        <w:tc>
          <w:tcPr>
            <w:tcW w:w="1380" w:type="dxa"/>
            <w:vMerge/>
            <w:tcBorders>
              <w:top w:val="nil"/>
              <w:left w:val="single" w:sz="4" w:space="0" w:color="000000"/>
              <w:bottom w:val="single" w:sz="4" w:space="0" w:color="000000"/>
              <w:right w:val="single" w:sz="4" w:space="0" w:color="000000"/>
            </w:tcBorders>
            <w:vAlign w:val="center"/>
            <w:hideMark/>
          </w:tcPr>
          <w:p w14:paraId="6C881362" w14:textId="77777777" w:rsidR="00694445" w:rsidRPr="00694445" w:rsidRDefault="00694445" w:rsidP="00694445">
            <w:pPr>
              <w:spacing w:after="0" w:line="240" w:lineRule="auto"/>
              <w:rPr>
                <w:rFonts w:eastAsia="Times New Roman"/>
                <w:color w:val="000000"/>
                <w:lang w:eastAsia="en-GB"/>
              </w:rPr>
            </w:pPr>
          </w:p>
        </w:tc>
        <w:tc>
          <w:tcPr>
            <w:tcW w:w="4860" w:type="dxa"/>
            <w:tcBorders>
              <w:top w:val="nil"/>
              <w:left w:val="nil"/>
              <w:bottom w:val="single" w:sz="4" w:space="0" w:color="000000"/>
              <w:right w:val="single" w:sz="4" w:space="0" w:color="000000"/>
            </w:tcBorders>
            <w:vAlign w:val="bottom"/>
            <w:hideMark/>
          </w:tcPr>
          <w:p w14:paraId="3B5C813A"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Real-time collaboration and reporting</w:t>
            </w:r>
          </w:p>
        </w:tc>
        <w:tc>
          <w:tcPr>
            <w:tcW w:w="960" w:type="dxa"/>
            <w:tcBorders>
              <w:top w:val="nil"/>
              <w:left w:val="nil"/>
              <w:bottom w:val="single" w:sz="4" w:space="0" w:color="000000"/>
              <w:right w:val="single" w:sz="4" w:space="0" w:color="000000"/>
            </w:tcBorders>
            <w:noWrap/>
            <w:vAlign w:val="center"/>
            <w:hideMark/>
          </w:tcPr>
          <w:p w14:paraId="66D653D4"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18</w:t>
            </w:r>
          </w:p>
        </w:tc>
      </w:tr>
      <w:tr w:rsidR="00694445" w:rsidRPr="00694445" w14:paraId="04794467" w14:textId="77777777" w:rsidTr="00694445">
        <w:trPr>
          <w:trHeight w:val="360"/>
          <w:jc w:val="center"/>
        </w:trPr>
        <w:tc>
          <w:tcPr>
            <w:tcW w:w="1380" w:type="dxa"/>
            <w:vMerge/>
            <w:tcBorders>
              <w:top w:val="nil"/>
              <w:left w:val="single" w:sz="4" w:space="0" w:color="000000"/>
              <w:bottom w:val="single" w:sz="4" w:space="0" w:color="000000"/>
              <w:right w:val="single" w:sz="4" w:space="0" w:color="000000"/>
            </w:tcBorders>
            <w:vAlign w:val="center"/>
            <w:hideMark/>
          </w:tcPr>
          <w:p w14:paraId="01034D1F" w14:textId="77777777" w:rsidR="00694445" w:rsidRPr="00694445" w:rsidRDefault="00694445" w:rsidP="00694445">
            <w:pPr>
              <w:spacing w:after="0" w:line="240" w:lineRule="auto"/>
              <w:rPr>
                <w:rFonts w:eastAsia="Times New Roman"/>
                <w:color w:val="000000"/>
                <w:lang w:eastAsia="en-GB"/>
              </w:rPr>
            </w:pPr>
          </w:p>
        </w:tc>
        <w:tc>
          <w:tcPr>
            <w:tcW w:w="4860" w:type="dxa"/>
            <w:tcBorders>
              <w:top w:val="nil"/>
              <w:left w:val="nil"/>
              <w:bottom w:val="single" w:sz="4" w:space="0" w:color="000000"/>
              <w:right w:val="single" w:sz="4" w:space="0" w:color="000000"/>
            </w:tcBorders>
            <w:noWrap/>
            <w:vAlign w:val="bottom"/>
            <w:hideMark/>
          </w:tcPr>
          <w:p w14:paraId="76B254CE"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Other - Remote Contributions Collected for Analysis</w:t>
            </w:r>
          </w:p>
        </w:tc>
        <w:tc>
          <w:tcPr>
            <w:tcW w:w="960" w:type="dxa"/>
            <w:tcBorders>
              <w:top w:val="nil"/>
              <w:left w:val="nil"/>
              <w:bottom w:val="single" w:sz="4" w:space="0" w:color="000000"/>
              <w:right w:val="single" w:sz="4" w:space="0" w:color="000000"/>
            </w:tcBorders>
            <w:noWrap/>
            <w:vAlign w:val="center"/>
            <w:hideMark/>
          </w:tcPr>
          <w:p w14:paraId="326C6C08"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w:t>
            </w:r>
          </w:p>
        </w:tc>
      </w:tr>
    </w:tbl>
    <w:p w14:paraId="3D56FAFA" w14:textId="7C8B5115" w:rsidR="00932E71" w:rsidRDefault="00694445" w:rsidP="00694445">
      <w:pPr>
        <w:pStyle w:val="Caption"/>
        <w:jc w:val="center"/>
      </w:pPr>
      <w:bookmarkStart w:id="126" w:name="_Toc219216436"/>
      <w:r>
        <w:t xml:space="preserve">Table </w:t>
      </w:r>
      <w:fldSimple w:instr=" SEQ Table \* ARABIC ">
        <w:r w:rsidR="004239CB">
          <w:rPr>
            <w:noProof/>
          </w:rPr>
          <w:t>23</w:t>
        </w:r>
      </w:fldSimple>
      <w:r>
        <w:t xml:space="preserve"> - </w:t>
      </w:r>
      <w:r w:rsidRPr="000D3425">
        <w:t>Questionnaire Q1</w:t>
      </w:r>
      <w:r>
        <w:t>7</w:t>
      </w:r>
      <w:r w:rsidRPr="000D3425">
        <w:t xml:space="preserve"> Data Set</w:t>
      </w:r>
      <w:bookmarkEnd w:id="126"/>
    </w:p>
    <w:p w14:paraId="4CC53DD5" w14:textId="77777777" w:rsidR="00694445" w:rsidRDefault="00694445" w:rsidP="00932E71">
      <w:pPr>
        <w:spacing w:after="0"/>
      </w:pPr>
    </w:p>
    <w:tbl>
      <w:tblPr>
        <w:tblW w:w="6202" w:type="dxa"/>
        <w:jc w:val="center"/>
        <w:tblCellMar>
          <w:top w:w="15" w:type="dxa"/>
        </w:tblCellMar>
        <w:tblLook w:val="04A0" w:firstRow="1" w:lastRow="0" w:firstColumn="1" w:lastColumn="0" w:noHBand="0" w:noVBand="1"/>
      </w:tblPr>
      <w:tblGrid>
        <w:gridCol w:w="1391"/>
        <w:gridCol w:w="4090"/>
        <w:gridCol w:w="499"/>
        <w:gridCol w:w="222"/>
      </w:tblGrid>
      <w:tr w:rsidR="00694445" w:rsidRPr="00694445" w14:paraId="62E9CB41" w14:textId="77777777" w:rsidTr="00694445">
        <w:trPr>
          <w:gridAfter w:val="1"/>
          <w:wAfter w:w="222" w:type="dxa"/>
          <w:trHeight w:val="360"/>
          <w:jc w:val="center"/>
        </w:trPr>
        <w:tc>
          <w:tcPr>
            <w:tcW w:w="5980"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38F67B6D" w14:textId="3ED17E91"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Need for a Customisable Framework</w:t>
            </w:r>
          </w:p>
        </w:tc>
      </w:tr>
      <w:tr w:rsidR="00694445" w:rsidRPr="00694445" w14:paraId="5EEA99AC" w14:textId="77777777" w:rsidTr="00694445">
        <w:trPr>
          <w:gridAfter w:val="1"/>
          <w:wAfter w:w="222" w:type="dxa"/>
          <w:trHeight w:val="360"/>
          <w:jc w:val="center"/>
        </w:trPr>
        <w:tc>
          <w:tcPr>
            <w:tcW w:w="1391" w:type="dxa"/>
            <w:vMerge w:val="restart"/>
            <w:tcBorders>
              <w:top w:val="nil"/>
              <w:left w:val="single" w:sz="4" w:space="0" w:color="000000"/>
              <w:bottom w:val="single" w:sz="4" w:space="0" w:color="000000"/>
              <w:right w:val="single" w:sz="4" w:space="0" w:color="000000"/>
            </w:tcBorders>
            <w:textDirection w:val="btLr"/>
            <w:vAlign w:val="center"/>
            <w:hideMark/>
          </w:tcPr>
          <w:p w14:paraId="3E276178"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Would you be willing to adopt a new risk assessment framework if it improved risk identification and mitigation?</w:t>
            </w:r>
          </w:p>
        </w:tc>
        <w:tc>
          <w:tcPr>
            <w:tcW w:w="4090" w:type="dxa"/>
            <w:tcBorders>
              <w:top w:val="nil"/>
              <w:left w:val="nil"/>
              <w:bottom w:val="single" w:sz="4" w:space="0" w:color="000000"/>
              <w:right w:val="single" w:sz="4" w:space="0" w:color="000000"/>
            </w:tcBorders>
            <w:shd w:val="clear" w:color="A6C9EC" w:fill="A6C9EC"/>
            <w:noWrap/>
            <w:vAlign w:val="bottom"/>
            <w:hideMark/>
          </w:tcPr>
          <w:p w14:paraId="07D2FECE"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Adopt new RA Framework</w:t>
            </w:r>
          </w:p>
        </w:tc>
        <w:tc>
          <w:tcPr>
            <w:tcW w:w="499" w:type="dxa"/>
            <w:tcBorders>
              <w:top w:val="nil"/>
              <w:left w:val="nil"/>
              <w:bottom w:val="single" w:sz="4" w:space="0" w:color="000000"/>
              <w:right w:val="single" w:sz="4" w:space="0" w:color="000000"/>
            </w:tcBorders>
            <w:shd w:val="clear" w:color="A6C9EC" w:fill="A6C9EC"/>
            <w:noWrap/>
            <w:vAlign w:val="bottom"/>
            <w:hideMark/>
          </w:tcPr>
          <w:p w14:paraId="4485DFE1"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No</w:t>
            </w:r>
          </w:p>
        </w:tc>
      </w:tr>
      <w:tr w:rsidR="00694445" w:rsidRPr="00694445" w14:paraId="7ED85C9D" w14:textId="77777777" w:rsidTr="00694445">
        <w:trPr>
          <w:gridAfter w:val="1"/>
          <w:wAfter w:w="222" w:type="dxa"/>
          <w:trHeight w:val="450"/>
          <w:jc w:val="center"/>
        </w:trPr>
        <w:tc>
          <w:tcPr>
            <w:tcW w:w="1391" w:type="dxa"/>
            <w:vMerge/>
            <w:tcBorders>
              <w:top w:val="nil"/>
              <w:left w:val="single" w:sz="4" w:space="0" w:color="000000"/>
              <w:bottom w:val="single" w:sz="4" w:space="0" w:color="000000"/>
              <w:right w:val="single" w:sz="4" w:space="0" w:color="000000"/>
            </w:tcBorders>
            <w:vAlign w:val="center"/>
            <w:hideMark/>
          </w:tcPr>
          <w:p w14:paraId="69163AA4" w14:textId="77777777" w:rsidR="00694445" w:rsidRPr="00694445" w:rsidRDefault="00694445" w:rsidP="00694445">
            <w:pPr>
              <w:spacing w:after="0" w:line="240" w:lineRule="auto"/>
              <w:rPr>
                <w:rFonts w:eastAsia="Times New Roman"/>
                <w:color w:val="000000"/>
                <w:lang w:eastAsia="en-GB"/>
              </w:rPr>
            </w:pPr>
          </w:p>
        </w:tc>
        <w:tc>
          <w:tcPr>
            <w:tcW w:w="4090" w:type="dxa"/>
            <w:vMerge w:val="restart"/>
            <w:tcBorders>
              <w:top w:val="nil"/>
              <w:left w:val="single" w:sz="4" w:space="0" w:color="000000"/>
              <w:bottom w:val="single" w:sz="4" w:space="0" w:color="000000"/>
              <w:right w:val="single" w:sz="4" w:space="0" w:color="000000"/>
            </w:tcBorders>
            <w:noWrap/>
            <w:vAlign w:val="center"/>
            <w:hideMark/>
          </w:tcPr>
          <w:p w14:paraId="14D499A5"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Yes</w:t>
            </w:r>
          </w:p>
        </w:tc>
        <w:tc>
          <w:tcPr>
            <w:tcW w:w="499" w:type="dxa"/>
            <w:vMerge w:val="restart"/>
            <w:tcBorders>
              <w:top w:val="nil"/>
              <w:left w:val="single" w:sz="4" w:space="0" w:color="000000"/>
              <w:bottom w:val="single" w:sz="4" w:space="0" w:color="000000"/>
              <w:right w:val="single" w:sz="4" w:space="0" w:color="000000"/>
            </w:tcBorders>
            <w:noWrap/>
            <w:vAlign w:val="center"/>
            <w:hideMark/>
          </w:tcPr>
          <w:p w14:paraId="3B171048"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32</w:t>
            </w:r>
          </w:p>
        </w:tc>
      </w:tr>
      <w:tr w:rsidR="00694445" w:rsidRPr="00694445" w14:paraId="2137B1C1" w14:textId="77777777" w:rsidTr="00694445">
        <w:trPr>
          <w:trHeight w:val="360"/>
          <w:jc w:val="center"/>
        </w:trPr>
        <w:tc>
          <w:tcPr>
            <w:tcW w:w="1391" w:type="dxa"/>
            <w:vMerge/>
            <w:tcBorders>
              <w:top w:val="nil"/>
              <w:left w:val="single" w:sz="4" w:space="0" w:color="000000"/>
              <w:bottom w:val="single" w:sz="4" w:space="0" w:color="000000"/>
              <w:right w:val="single" w:sz="4" w:space="0" w:color="000000"/>
            </w:tcBorders>
            <w:vAlign w:val="center"/>
            <w:hideMark/>
          </w:tcPr>
          <w:p w14:paraId="4D65F7A8" w14:textId="77777777" w:rsidR="00694445" w:rsidRPr="00694445" w:rsidRDefault="00694445" w:rsidP="00694445">
            <w:pPr>
              <w:spacing w:after="0" w:line="240" w:lineRule="auto"/>
              <w:rPr>
                <w:rFonts w:eastAsia="Times New Roman"/>
                <w:color w:val="000000"/>
                <w:lang w:eastAsia="en-GB"/>
              </w:rPr>
            </w:pPr>
          </w:p>
        </w:tc>
        <w:tc>
          <w:tcPr>
            <w:tcW w:w="4090" w:type="dxa"/>
            <w:vMerge/>
            <w:tcBorders>
              <w:top w:val="nil"/>
              <w:left w:val="single" w:sz="4" w:space="0" w:color="000000"/>
              <w:bottom w:val="single" w:sz="4" w:space="0" w:color="000000"/>
              <w:right w:val="single" w:sz="4" w:space="0" w:color="000000"/>
            </w:tcBorders>
            <w:vAlign w:val="center"/>
            <w:hideMark/>
          </w:tcPr>
          <w:p w14:paraId="5BDAD55A" w14:textId="77777777" w:rsidR="00694445" w:rsidRPr="00694445" w:rsidRDefault="00694445" w:rsidP="00694445">
            <w:pPr>
              <w:spacing w:after="0" w:line="240" w:lineRule="auto"/>
              <w:rPr>
                <w:rFonts w:eastAsia="Times New Roman"/>
                <w:color w:val="000000"/>
                <w:lang w:eastAsia="en-GB"/>
              </w:rPr>
            </w:pPr>
          </w:p>
        </w:tc>
        <w:tc>
          <w:tcPr>
            <w:tcW w:w="499" w:type="dxa"/>
            <w:vMerge/>
            <w:tcBorders>
              <w:top w:val="nil"/>
              <w:left w:val="single" w:sz="4" w:space="0" w:color="000000"/>
              <w:bottom w:val="single" w:sz="4" w:space="0" w:color="000000"/>
              <w:right w:val="single" w:sz="4" w:space="0" w:color="000000"/>
            </w:tcBorders>
            <w:vAlign w:val="center"/>
            <w:hideMark/>
          </w:tcPr>
          <w:p w14:paraId="7537B80E" w14:textId="77777777" w:rsidR="00694445" w:rsidRPr="00694445" w:rsidRDefault="00694445" w:rsidP="00694445">
            <w:pPr>
              <w:spacing w:after="0" w:line="240" w:lineRule="auto"/>
              <w:rPr>
                <w:rFonts w:eastAsia="Times New Roman"/>
                <w:color w:val="000000"/>
                <w:lang w:eastAsia="en-GB"/>
              </w:rPr>
            </w:pPr>
          </w:p>
        </w:tc>
        <w:tc>
          <w:tcPr>
            <w:tcW w:w="222" w:type="dxa"/>
            <w:tcBorders>
              <w:top w:val="nil"/>
              <w:left w:val="nil"/>
              <w:bottom w:val="nil"/>
              <w:right w:val="nil"/>
            </w:tcBorders>
            <w:noWrap/>
            <w:vAlign w:val="bottom"/>
            <w:hideMark/>
          </w:tcPr>
          <w:p w14:paraId="759CF388" w14:textId="77777777" w:rsidR="00694445" w:rsidRPr="00694445" w:rsidRDefault="00694445" w:rsidP="00694445">
            <w:pPr>
              <w:spacing w:after="0" w:line="240" w:lineRule="auto"/>
              <w:jc w:val="center"/>
              <w:rPr>
                <w:rFonts w:eastAsia="Times New Roman"/>
                <w:color w:val="000000"/>
                <w:lang w:eastAsia="en-GB"/>
              </w:rPr>
            </w:pPr>
          </w:p>
        </w:tc>
      </w:tr>
      <w:tr w:rsidR="00694445" w:rsidRPr="00694445" w14:paraId="3B1A5762" w14:textId="77777777" w:rsidTr="00694445">
        <w:trPr>
          <w:trHeight w:val="360"/>
          <w:jc w:val="center"/>
        </w:trPr>
        <w:tc>
          <w:tcPr>
            <w:tcW w:w="1391" w:type="dxa"/>
            <w:vMerge/>
            <w:tcBorders>
              <w:top w:val="nil"/>
              <w:left w:val="single" w:sz="4" w:space="0" w:color="000000"/>
              <w:bottom w:val="single" w:sz="4" w:space="0" w:color="000000"/>
              <w:right w:val="single" w:sz="4" w:space="0" w:color="000000"/>
            </w:tcBorders>
            <w:vAlign w:val="center"/>
            <w:hideMark/>
          </w:tcPr>
          <w:p w14:paraId="70AAEAA3" w14:textId="77777777" w:rsidR="00694445" w:rsidRPr="00694445" w:rsidRDefault="00694445" w:rsidP="00694445">
            <w:pPr>
              <w:spacing w:after="0" w:line="240" w:lineRule="auto"/>
              <w:rPr>
                <w:rFonts w:eastAsia="Times New Roman"/>
                <w:color w:val="000000"/>
                <w:lang w:eastAsia="en-GB"/>
              </w:rPr>
            </w:pPr>
          </w:p>
        </w:tc>
        <w:tc>
          <w:tcPr>
            <w:tcW w:w="4090" w:type="dxa"/>
            <w:vMerge/>
            <w:tcBorders>
              <w:top w:val="nil"/>
              <w:left w:val="single" w:sz="4" w:space="0" w:color="000000"/>
              <w:bottom w:val="single" w:sz="4" w:space="0" w:color="000000"/>
              <w:right w:val="single" w:sz="4" w:space="0" w:color="000000"/>
            </w:tcBorders>
            <w:vAlign w:val="center"/>
            <w:hideMark/>
          </w:tcPr>
          <w:p w14:paraId="67F871E3" w14:textId="77777777" w:rsidR="00694445" w:rsidRPr="00694445" w:rsidRDefault="00694445" w:rsidP="00694445">
            <w:pPr>
              <w:spacing w:after="0" w:line="240" w:lineRule="auto"/>
              <w:rPr>
                <w:rFonts w:eastAsia="Times New Roman"/>
                <w:color w:val="000000"/>
                <w:lang w:eastAsia="en-GB"/>
              </w:rPr>
            </w:pPr>
          </w:p>
        </w:tc>
        <w:tc>
          <w:tcPr>
            <w:tcW w:w="499" w:type="dxa"/>
            <w:vMerge/>
            <w:tcBorders>
              <w:top w:val="nil"/>
              <w:left w:val="single" w:sz="4" w:space="0" w:color="000000"/>
              <w:bottom w:val="single" w:sz="4" w:space="0" w:color="000000"/>
              <w:right w:val="single" w:sz="4" w:space="0" w:color="000000"/>
            </w:tcBorders>
            <w:vAlign w:val="center"/>
            <w:hideMark/>
          </w:tcPr>
          <w:p w14:paraId="41360947" w14:textId="77777777" w:rsidR="00694445" w:rsidRPr="00694445" w:rsidRDefault="00694445" w:rsidP="00694445">
            <w:pPr>
              <w:spacing w:after="0" w:line="240" w:lineRule="auto"/>
              <w:rPr>
                <w:rFonts w:eastAsia="Times New Roman"/>
                <w:color w:val="000000"/>
                <w:lang w:eastAsia="en-GB"/>
              </w:rPr>
            </w:pPr>
          </w:p>
        </w:tc>
        <w:tc>
          <w:tcPr>
            <w:tcW w:w="222" w:type="dxa"/>
            <w:tcBorders>
              <w:top w:val="nil"/>
              <w:left w:val="nil"/>
              <w:bottom w:val="nil"/>
              <w:right w:val="nil"/>
            </w:tcBorders>
            <w:noWrap/>
            <w:vAlign w:val="bottom"/>
            <w:hideMark/>
          </w:tcPr>
          <w:p w14:paraId="510EAD47"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32BE27F0" w14:textId="77777777" w:rsidTr="00694445">
        <w:trPr>
          <w:trHeight w:val="360"/>
          <w:jc w:val="center"/>
        </w:trPr>
        <w:tc>
          <w:tcPr>
            <w:tcW w:w="1391" w:type="dxa"/>
            <w:vMerge/>
            <w:tcBorders>
              <w:top w:val="nil"/>
              <w:left w:val="single" w:sz="4" w:space="0" w:color="000000"/>
              <w:bottom w:val="single" w:sz="4" w:space="0" w:color="000000"/>
              <w:right w:val="single" w:sz="4" w:space="0" w:color="000000"/>
            </w:tcBorders>
            <w:vAlign w:val="center"/>
            <w:hideMark/>
          </w:tcPr>
          <w:p w14:paraId="7C97153A" w14:textId="77777777" w:rsidR="00694445" w:rsidRPr="00694445" w:rsidRDefault="00694445" w:rsidP="00694445">
            <w:pPr>
              <w:spacing w:after="0" w:line="240" w:lineRule="auto"/>
              <w:rPr>
                <w:rFonts w:eastAsia="Times New Roman"/>
                <w:color w:val="000000"/>
                <w:lang w:eastAsia="en-GB"/>
              </w:rPr>
            </w:pPr>
          </w:p>
        </w:tc>
        <w:tc>
          <w:tcPr>
            <w:tcW w:w="4090" w:type="dxa"/>
            <w:vMerge w:val="restart"/>
            <w:tcBorders>
              <w:top w:val="nil"/>
              <w:left w:val="single" w:sz="4" w:space="0" w:color="000000"/>
              <w:bottom w:val="single" w:sz="4" w:space="0" w:color="000000"/>
              <w:right w:val="single" w:sz="4" w:space="0" w:color="000000"/>
            </w:tcBorders>
            <w:noWrap/>
            <w:vAlign w:val="center"/>
            <w:hideMark/>
          </w:tcPr>
          <w:p w14:paraId="4B164EFA"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No</w:t>
            </w:r>
          </w:p>
        </w:tc>
        <w:tc>
          <w:tcPr>
            <w:tcW w:w="499" w:type="dxa"/>
            <w:vMerge w:val="restart"/>
            <w:tcBorders>
              <w:top w:val="nil"/>
              <w:left w:val="single" w:sz="4" w:space="0" w:color="000000"/>
              <w:bottom w:val="single" w:sz="4" w:space="0" w:color="000000"/>
              <w:right w:val="single" w:sz="4" w:space="0" w:color="000000"/>
            </w:tcBorders>
            <w:noWrap/>
            <w:vAlign w:val="center"/>
            <w:hideMark/>
          </w:tcPr>
          <w:p w14:paraId="31E09EDE"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0</w:t>
            </w:r>
          </w:p>
        </w:tc>
        <w:tc>
          <w:tcPr>
            <w:tcW w:w="222" w:type="dxa"/>
            <w:vAlign w:val="center"/>
            <w:hideMark/>
          </w:tcPr>
          <w:p w14:paraId="113B8085"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2BEDC045" w14:textId="77777777" w:rsidTr="00694445">
        <w:trPr>
          <w:trHeight w:val="300"/>
          <w:jc w:val="center"/>
        </w:trPr>
        <w:tc>
          <w:tcPr>
            <w:tcW w:w="1391" w:type="dxa"/>
            <w:vMerge/>
            <w:tcBorders>
              <w:top w:val="nil"/>
              <w:left w:val="single" w:sz="4" w:space="0" w:color="000000"/>
              <w:bottom w:val="single" w:sz="4" w:space="0" w:color="000000"/>
              <w:right w:val="single" w:sz="4" w:space="0" w:color="000000"/>
            </w:tcBorders>
            <w:vAlign w:val="center"/>
            <w:hideMark/>
          </w:tcPr>
          <w:p w14:paraId="440EEFD0" w14:textId="77777777" w:rsidR="00694445" w:rsidRPr="00694445" w:rsidRDefault="00694445" w:rsidP="00694445">
            <w:pPr>
              <w:spacing w:after="0" w:line="240" w:lineRule="auto"/>
              <w:rPr>
                <w:rFonts w:eastAsia="Times New Roman"/>
                <w:color w:val="000000"/>
                <w:lang w:eastAsia="en-GB"/>
              </w:rPr>
            </w:pPr>
          </w:p>
        </w:tc>
        <w:tc>
          <w:tcPr>
            <w:tcW w:w="4090" w:type="dxa"/>
            <w:vMerge/>
            <w:tcBorders>
              <w:top w:val="nil"/>
              <w:left w:val="single" w:sz="4" w:space="0" w:color="000000"/>
              <w:bottom w:val="single" w:sz="4" w:space="0" w:color="000000"/>
              <w:right w:val="single" w:sz="4" w:space="0" w:color="000000"/>
            </w:tcBorders>
            <w:vAlign w:val="center"/>
            <w:hideMark/>
          </w:tcPr>
          <w:p w14:paraId="0C12DF4C" w14:textId="77777777" w:rsidR="00694445" w:rsidRPr="00694445" w:rsidRDefault="00694445" w:rsidP="00694445">
            <w:pPr>
              <w:spacing w:after="0" w:line="240" w:lineRule="auto"/>
              <w:rPr>
                <w:rFonts w:eastAsia="Times New Roman"/>
                <w:color w:val="000000"/>
                <w:lang w:eastAsia="en-GB"/>
              </w:rPr>
            </w:pPr>
          </w:p>
        </w:tc>
        <w:tc>
          <w:tcPr>
            <w:tcW w:w="499" w:type="dxa"/>
            <w:vMerge/>
            <w:tcBorders>
              <w:top w:val="nil"/>
              <w:left w:val="single" w:sz="4" w:space="0" w:color="000000"/>
              <w:bottom w:val="single" w:sz="4" w:space="0" w:color="000000"/>
              <w:right w:val="single" w:sz="4" w:space="0" w:color="000000"/>
            </w:tcBorders>
            <w:vAlign w:val="center"/>
            <w:hideMark/>
          </w:tcPr>
          <w:p w14:paraId="4B0D2D31" w14:textId="77777777" w:rsidR="00694445" w:rsidRPr="00694445" w:rsidRDefault="00694445" w:rsidP="00694445">
            <w:pPr>
              <w:spacing w:after="0" w:line="240" w:lineRule="auto"/>
              <w:rPr>
                <w:rFonts w:eastAsia="Times New Roman"/>
                <w:color w:val="000000"/>
                <w:lang w:eastAsia="en-GB"/>
              </w:rPr>
            </w:pPr>
          </w:p>
        </w:tc>
        <w:tc>
          <w:tcPr>
            <w:tcW w:w="222" w:type="dxa"/>
            <w:tcBorders>
              <w:top w:val="nil"/>
              <w:left w:val="nil"/>
              <w:bottom w:val="nil"/>
              <w:right w:val="nil"/>
            </w:tcBorders>
            <w:noWrap/>
            <w:vAlign w:val="bottom"/>
            <w:hideMark/>
          </w:tcPr>
          <w:p w14:paraId="538B8EAF" w14:textId="77777777" w:rsidR="00694445" w:rsidRPr="00694445" w:rsidRDefault="00694445" w:rsidP="00694445">
            <w:pPr>
              <w:spacing w:after="0" w:line="240" w:lineRule="auto"/>
              <w:jc w:val="center"/>
              <w:rPr>
                <w:rFonts w:eastAsia="Times New Roman"/>
                <w:color w:val="000000"/>
                <w:lang w:eastAsia="en-GB"/>
              </w:rPr>
            </w:pPr>
          </w:p>
        </w:tc>
      </w:tr>
      <w:tr w:rsidR="00694445" w:rsidRPr="00694445" w14:paraId="62AD5A9A" w14:textId="77777777" w:rsidTr="00694445">
        <w:trPr>
          <w:trHeight w:val="360"/>
          <w:jc w:val="center"/>
        </w:trPr>
        <w:tc>
          <w:tcPr>
            <w:tcW w:w="1391" w:type="dxa"/>
            <w:vMerge/>
            <w:tcBorders>
              <w:top w:val="nil"/>
              <w:left w:val="single" w:sz="4" w:space="0" w:color="000000"/>
              <w:bottom w:val="single" w:sz="4" w:space="0" w:color="000000"/>
              <w:right w:val="single" w:sz="4" w:space="0" w:color="000000"/>
            </w:tcBorders>
            <w:vAlign w:val="center"/>
            <w:hideMark/>
          </w:tcPr>
          <w:p w14:paraId="5AF5D1BC" w14:textId="77777777" w:rsidR="00694445" w:rsidRPr="00694445" w:rsidRDefault="00694445" w:rsidP="00694445">
            <w:pPr>
              <w:spacing w:after="0" w:line="240" w:lineRule="auto"/>
              <w:rPr>
                <w:rFonts w:eastAsia="Times New Roman"/>
                <w:color w:val="000000"/>
                <w:lang w:eastAsia="en-GB"/>
              </w:rPr>
            </w:pPr>
          </w:p>
        </w:tc>
        <w:tc>
          <w:tcPr>
            <w:tcW w:w="4090" w:type="dxa"/>
            <w:vMerge/>
            <w:tcBorders>
              <w:top w:val="nil"/>
              <w:left w:val="single" w:sz="4" w:space="0" w:color="000000"/>
              <w:bottom w:val="single" w:sz="4" w:space="0" w:color="000000"/>
              <w:right w:val="single" w:sz="4" w:space="0" w:color="000000"/>
            </w:tcBorders>
            <w:vAlign w:val="center"/>
            <w:hideMark/>
          </w:tcPr>
          <w:p w14:paraId="237BFBC1" w14:textId="77777777" w:rsidR="00694445" w:rsidRPr="00694445" w:rsidRDefault="00694445" w:rsidP="00694445">
            <w:pPr>
              <w:spacing w:after="0" w:line="240" w:lineRule="auto"/>
              <w:rPr>
                <w:rFonts w:eastAsia="Times New Roman"/>
                <w:color w:val="000000"/>
                <w:lang w:eastAsia="en-GB"/>
              </w:rPr>
            </w:pPr>
          </w:p>
        </w:tc>
        <w:tc>
          <w:tcPr>
            <w:tcW w:w="499" w:type="dxa"/>
            <w:vMerge/>
            <w:tcBorders>
              <w:top w:val="nil"/>
              <w:left w:val="single" w:sz="4" w:space="0" w:color="000000"/>
              <w:bottom w:val="single" w:sz="4" w:space="0" w:color="000000"/>
              <w:right w:val="single" w:sz="4" w:space="0" w:color="000000"/>
            </w:tcBorders>
            <w:vAlign w:val="center"/>
            <w:hideMark/>
          </w:tcPr>
          <w:p w14:paraId="6675E883" w14:textId="77777777" w:rsidR="00694445" w:rsidRPr="00694445" w:rsidRDefault="00694445" w:rsidP="00694445">
            <w:pPr>
              <w:spacing w:after="0" w:line="240" w:lineRule="auto"/>
              <w:rPr>
                <w:rFonts w:eastAsia="Times New Roman"/>
                <w:color w:val="000000"/>
                <w:lang w:eastAsia="en-GB"/>
              </w:rPr>
            </w:pPr>
          </w:p>
        </w:tc>
        <w:tc>
          <w:tcPr>
            <w:tcW w:w="222" w:type="dxa"/>
            <w:tcBorders>
              <w:top w:val="nil"/>
              <w:left w:val="nil"/>
              <w:bottom w:val="nil"/>
              <w:right w:val="nil"/>
            </w:tcBorders>
            <w:noWrap/>
            <w:vAlign w:val="bottom"/>
            <w:hideMark/>
          </w:tcPr>
          <w:p w14:paraId="5465DBC8"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0A0A7031" w14:textId="77777777" w:rsidTr="00694445">
        <w:trPr>
          <w:trHeight w:val="360"/>
          <w:jc w:val="center"/>
        </w:trPr>
        <w:tc>
          <w:tcPr>
            <w:tcW w:w="1391" w:type="dxa"/>
            <w:vMerge/>
            <w:tcBorders>
              <w:top w:val="nil"/>
              <w:left w:val="single" w:sz="4" w:space="0" w:color="000000"/>
              <w:bottom w:val="single" w:sz="4" w:space="0" w:color="000000"/>
              <w:right w:val="single" w:sz="4" w:space="0" w:color="000000"/>
            </w:tcBorders>
            <w:vAlign w:val="center"/>
            <w:hideMark/>
          </w:tcPr>
          <w:p w14:paraId="2F79A2B5" w14:textId="77777777" w:rsidR="00694445" w:rsidRPr="00694445" w:rsidRDefault="00694445" w:rsidP="00694445">
            <w:pPr>
              <w:spacing w:after="0" w:line="240" w:lineRule="auto"/>
              <w:rPr>
                <w:rFonts w:eastAsia="Times New Roman"/>
                <w:color w:val="000000"/>
                <w:lang w:eastAsia="en-GB"/>
              </w:rPr>
            </w:pPr>
          </w:p>
        </w:tc>
        <w:tc>
          <w:tcPr>
            <w:tcW w:w="4090" w:type="dxa"/>
            <w:vMerge w:val="restart"/>
            <w:tcBorders>
              <w:top w:val="nil"/>
              <w:left w:val="single" w:sz="4" w:space="0" w:color="000000"/>
              <w:bottom w:val="single" w:sz="4" w:space="0" w:color="000000"/>
              <w:right w:val="single" w:sz="4" w:space="0" w:color="000000"/>
            </w:tcBorders>
            <w:noWrap/>
            <w:vAlign w:val="center"/>
            <w:hideMark/>
          </w:tcPr>
          <w:p w14:paraId="6863CEA5"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Maybe</w:t>
            </w:r>
          </w:p>
        </w:tc>
        <w:tc>
          <w:tcPr>
            <w:tcW w:w="499" w:type="dxa"/>
            <w:vMerge w:val="restart"/>
            <w:tcBorders>
              <w:top w:val="nil"/>
              <w:left w:val="single" w:sz="4" w:space="0" w:color="000000"/>
              <w:bottom w:val="single" w:sz="4" w:space="0" w:color="000000"/>
              <w:right w:val="single" w:sz="4" w:space="0" w:color="000000"/>
            </w:tcBorders>
            <w:noWrap/>
            <w:vAlign w:val="center"/>
            <w:hideMark/>
          </w:tcPr>
          <w:p w14:paraId="57FB886D"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4</w:t>
            </w:r>
          </w:p>
        </w:tc>
        <w:tc>
          <w:tcPr>
            <w:tcW w:w="222" w:type="dxa"/>
            <w:vAlign w:val="center"/>
            <w:hideMark/>
          </w:tcPr>
          <w:p w14:paraId="67AD9A6F"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r w:rsidR="00694445" w:rsidRPr="00694445" w14:paraId="7F3FD85C" w14:textId="77777777" w:rsidTr="00694445">
        <w:trPr>
          <w:trHeight w:val="360"/>
          <w:jc w:val="center"/>
        </w:trPr>
        <w:tc>
          <w:tcPr>
            <w:tcW w:w="1391" w:type="dxa"/>
            <w:vMerge/>
            <w:tcBorders>
              <w:top w:val="nil"/>
              <w:left w:val="single" w:sz="4" w:space="0" w:color="000000"/>
              <w:bottom w:val="single" w:sz="4" w:space="0" w:color="000000"/>
              <w:right w:val="single" w:sz="4" w:space="0" w:color="000000"/>
            </w:tcBorders>
            <w:vAlign w:val="center"/>
            <w:hideMark/>
          </w:tcPr>
          <w:p w14:paraId="4D7EAF70" w14:textId="77777777" w:rsidR="00694445" w:rsidRPr="00694445" w:rsidRDefault="00694445" w:rsidP="00694445">
            <w:pPr>
              <w:spacing w:after="0" w:line="240" w:lineRule="auto"/>
              <w:rPr>
                <w:rFonts w:eastAsia="Times New Roman"/>
                <w:color w:val="000000"/>
                <w:lang w:eastAsia="en-GB"/>
              </w:rPr>
            </w:pPr>
          </w:p>
        </w:tc>
        <w:tc>
          <w:tcPr>
            <w:tcW w:w="4090" w:type="dxa"/>
            <w:vMerge/>
            <w:tcBorders>
              <w:top w:val="nil"/>
              <w:left w:val="single" w:sz="4" w:space="0" w:color="000000"/>
              <w:bottom w:val="single" w:sz="4" w:space="0" w:color="000000"/>
              <w:right w:val="single" w:sz="4" w:space="0" w:color="000000"/>
            </w:tcBorders>
            <w:vAlign w:val="center"/>
            <w:hideMark/>
          </w:tcPr>
          <w:p w14:paraId="101D38E7" w14:textId="77777777" w:rsidR="00694445" w:rsidRPr="00694445" w:rsidRDefault="00694445" w:rsidP="00694445">
            <w:pPr>
              <w:spacing w:after="0" w:line="240" w:lineRule="auto"/>
              <w:rPr>
                <w:rFonts w:eastAsia="Times New Roman"/>
                <w:color w:val="000000"/>
                <w:lang w:eastAsia="en-GB"/>
              </w:rPr>
            </w:pPr>
          </w:p>
        </w:tc>
        <w:tc>
          <w:tcPr>
            <w:tcW w:w="499" w:type="dxa"/>
            <w:vMerge/>
            <w:tcBorders>
              <w:top w:val="nil"/>
              <w:left w:val="single" w:sz="4" w:space="0" w:color="000000"/>
              <w:bottom w:val="single" w:sz="4" w:space="0" w:color="000000"/>
              <w:right w:val="single" w:sz="4" w:space="0" w:color="000000"/>
            </w:tcBorders>
            <w:vAlign w:val="center"/>
            <w:hideMark/>
          </w:tcPr>
          <w:p w14:paraId="4C1CA7E5" w14:textId="77777777" w:rsidR="00694445" w:rsidRPr="00694445" w:rsidRDefault="00694445" w:rsidP="00694445">
            <w:pPr>
              <w:spacing w:after="0" w:line="240" w:lineRule="auto"/>
              <w:rPr>
                <w:rFonts w:eastAsia="Times New Roman"/>
                <w:color w:val="000000"/>
                <w:lang w:eastAsia="en-GB"/>
              </w:rPr>
            </w:pPr>
          </w:p>
        </w:tc>
        <w:tc>
          <w:tcPr>
            <w:tcW w:w="222" w:type="dxa"/>
            <w:tcBorders>
              <w:top w:val="nil"/>
              <w:left w:val="nil"/>
              <w:bottom w:val="nil"/>
              <w:right w:val="nil"/>
            </w:tcBorders>
            <w:noWrap/>
            <w:vAlign w:val="bottom"/>
            <w:hideMark/>
          </w:tcPr>
          <w:p w14:paraId="0261DBF4" w14:textId="77777777" w:rsidR="00694445" w:rsidRPr="00694445" w:rsidRDefault="00694445" w:rsidP="00694445">
            <w:pPr>
              <w:spacing w:after="0" w:line="240" w:lineRule="auto"/>
              <w:jc w:val="center"/>
              <w:rPr>
                <w:rFonts w:eastAsia="Times New Roman"/>
                <w:color w:val="000000"/>
                <w:lang w:eastAsia="en-GB"/>
              </w:rPr>
            </w:pPr>
          </w:p>
        </w:tc>
      </w:tr>
      <w:tr w:rsidR="00694445" w:rsidRPr="00694445" w14:paraId="6AA739AE" w14:textId="77777777" w:rsidTr="00694445">
        <w:trPr>
          <w:trHeight w:val="360"/>
          <w:jc w:val="center"/>
        </w:trPr>
        <w:tc>
          <w:tcPr>
            <w:tcW w:w="1391" w:type="dxa"/>
            <w:vMerge/>
            <w:tcBorders>
              <w:top w:val="nil"/>
              <w:left w:val="single" w:sz="4" w:space="0" w:color="000000"/>
              <w:bottom w:val="single" w:sz="4" w:space="0" w:color="000000"/>
              <w:right w:val="single" w:sz="4" w:space="0" w:color="000000"/>
            </w:tcBorders>
            <w:vAlign w:val="center"/>
            <w:hideMark/>
          </w:tcPr>
          <w:p w14:paraId="4F5C2E85" w14:textId="77777777" w:rsidR="00694445" w:rsidRPr="00694445" w:rsidRDefault="00694445" w:rsidP="00694445">
            <w:pPr>
              <w:spacing w:after="0" w:line="240" w:lineRule="auto"/>
              <w:rPr>
                <w:rFonts w:eastAsia="Times New Roman"/>
                <w:color w:val="000000"/>
                <w:lang w:eastAsia="en-GB"/>
              </w:rPr>
            </w:pPr>
          </w:p>
        </w:tc>
        <w:tc>
          <w:tcPr>
            <w:tcW w:w="4090" w:type="dxa"/>
            <w:vMerge/>
            <w:tcBorders>
              <w:top w:val="nil"/>
              <w:left w:val="single" w:sz="4" w:space="0" w:color="000000"/>
              <w:bottom w:val="single" w:sz="4" w:space="0" w:color="000000"/>
              <w:right w:val="single" w:sz="4" w:space="0" w:color="000000"/>
            </w:tcBorders>
            <w:vAlign w:val="center"/>
            <w:hideMark/>
          </w:tcPr>
          <w:p w14:paraId="1E7180DB" w14:textId="77777777" w:rsidR="00694445" w:rsidRPr="00694445" w:rsidRDefault="00694445" w:rsidP="00694445">
            <w:pPr>
              <w:spacing w:after="0" w:line="240" w:lineRule="auto"/>
              <w:rPr>
                <w:rFonts w:eastAsia="Times New Roman"/>
                <w:color w:val="000000"/>
                <w:lang w:eastAsia="en-GB"/>
              </w:rPr>
            </w:pPr>
          </w:p>
        </w:tc>
        <w:tc>
          <w:tcPr>
            <w:tcW w:w="499" w:type="dxa"/>
            <w:vMerge/>
            <w:tcBorders>
              <w:top w:val="nil"/>
              <w:left w:val="single" w:sz="4" w:space="0" w:color="000000"/>
              <w:bottom w:val="single" w:sz="4" w:space="0" w:color="000000"/>
              <w:right w:val="single" w:sz="4" w:space="0" w:color="000000"/>
            </w:tcBorders>
            <w:vAlign w:val="center"/>
            <w:hideMark/>
          </w:tcPr>
          <w:p w14:paraId="0369118D" w14:textId="77777777" w:rsidR="00694445" w:rsidRPr="00694445" w:rsidRDefault="00694445" w:rsidP="00694445">
            <w:pPr>
              <w:spacing w:after="0" w:line="240" w:lineRule="auto"/>
              <w:rPr>
                <w:rFonts w:eastAsia="Times New Roman"/>
                <w:color w:val="000000"/>
                <w:lang w:eastAsia="en-GB"/>
              </w:rPr>
            </w:pPr>
          </w:p>
        </w:tc>
        <w:tc>
          <w:tcPr>
            <w:tcW w:w="222" w:type="dxa"/>
            <w:tcBorders>
              <w:top w:val="nil"/>
              <w:left w:val="nil"/>
              <w:bottom w:val="nil"/>
              <w:right w:val="nil"/>
            </w:tcBorders>
            <w:noWrap/>
            <w:vAlign w:val="bottom"/>
            <w:hideMark/>
          </w:tcPr>
          <w:p w14:paraId="70D30657" w14:textId="77777777" w:rsidR="00694445" w:rsidRPr="00694445" w:rsidRDefault="00694445" w:rsidP="00694445">
            <w:pPr>
              <w:spacing w:after="0" w:line="240" w:lineRule="auto"/>
              <w:rPr>
                <w:rFonts w:ascii="Times New Roman" w:eastAsia="Times New Roman" w:hAnsi="Times New Roman" w:cs="Times New Roman"/>
                <w:color w:val="auto"/>
                <w:sz w:val="20"/>
                <w:szCs w:val="20"/>
                <w:lang w:eastAsia="en-GB"/>
              </w:rPr>
            </w:pPr>
          </w:p>
        </w:tc>
      </w:tr>
    </w:tbl>
    <w:p w14:paraId="09E99016" w14:textId="46915CC9" w:rsidR="00694445" w:rsidRDefault="00694445" w:rsidP="00694445">
      <w:pPr>
        <w:pStyle w:val="Caption"/>
        <w:jc w:val="center"/>
      </w:pPr>
      <w:bookmarkStart w:id="127" w:name="_Toc219216437"/>
      <w:r>
        <w:t xml:space="preserve">Table </w:t>
      </w:r>
      <w:fldSimple w:instr=" SEQ Table \* ARABIC ">
        <w:r w:rsidR="004239CB">
          <w:rPr>
            <w:noProof/>
          </w:rPr>
          <w:t>24</w:t>
        </w:r>
      </w:fldSimple>
      <w:r>
        <w:t xml:space="preserve"> - </w:t>
      </w:r>
      <w:r w:rsidRPr="00D15B01">
        <w:t>Questionnaire Q1</w:t>
      </w:r>
      <w:r>
        <w:t>8</w:t>
      </w:r>
      <w:r w:rsidRPr="00D15B01">
        <w:t xml:space="preserve"> Data Set</w:t>
      </w:r>
      <w:bookmarkEnd w:id="127"/>
    </w:p>
    <w:p w14:paraId="594F08E5" w14:textId="77777777" w:rsidR="00932E71" w:rsidRDefault="00932E71" w:rsidP="00932E71">
      <w:pPr>
        <w:spacing w:after="0"/>
      </w:pPr>
    </w:p>
    <w:tbl>
      <w:tblPr>
        <w:tblW w:w="6035" w:type="dxa"/>
        <w:jc w:val="center"/>
        <w:tblLook w:val="04A0" w:firstRow="1" w:lastRow="0" w:firstColumn="1" w:lastColumn="0" w:noHBand="0" w:noVBand="1"/>
      </w:tblPr>
      <w:tblGrid>
        <w:gridCol w:w="1098"/>
        <w:gridCol w:w="4465"/>
        <w:gridCol w:w="472"/>
      </w:tblGrid>
      <w:tr w:rsidR="00694445" w:rsidRPr="00694445" w14:paraId="3DE4F344" w14:textId="77777777" w:rsidTr="00694445">
        <w:trPr>
          <w:trHeight w:val="360"/>
          <w:jc w:val="center"/>
        </w:trPr>
        <w:tc>
          <w:tcPr>
            <w:tcW w:w="6035" w:type="dxa"/>
            <w:gridSpan w:val="3"/>
            <w:tcBorders>
              <w:top w:val="single" w:sz="4" w:space="0" w:color="000000"/>
              <w:left w:val="single" w:sz="4" w:space="0" w:color="000000"/>
              <w:bottom w:val="single" w:sz="4" w:space="0" w:color="000000"/>
              <w:right w:val="single" w:sz="4" w:space="0" w:color="000000"/>
            </w:tcBorders>
            <w:shd w:val="clear" w:color="A6C9EC" w:fill="A6C9EC"/>
            <w:noWrap/>
            <w:vAlign w:val="bottom"/>
            <w:hideMark/>
          </w:tcPr>
          <w:p w14:paraId="7D6F9CF2"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lastRenderedPageBreak/>
              <w:t>Need for a Customisable Framework</w:t>
            </w:r>
          </w:p>
        </w:tc>
      </w:tr>
      <w:tr w:rsidR="00694445" w:rsidRPr="00694445" w14:paraId="41480EE4" w14:textId="77777777" w:rsidTr="00694445">
        <w:trPr>
          <w:trHeight w:val="360"/>
          <w:jc w:val="center"/>
        </w:trPr>
        <w:tc>
          <w:tcPr>
            <w:tcW w:w="1098" w:type="dxa"/>
            <w:vMerge w:val="restart"/>
            <w:tcBorders>
              <w:top w:val="nil"/>
              <w:left w:val="single" w:sz="4" w:space="0" w:color="000000"/>
              <w:bottom w:val="single" w:sz="4" w:space="0" w:color="000000"/>
              <w:right w:val="single" w:sz="4" w:space="0" w:color="000000"/>
            </w:tcBorders>
            <w:textDirection w:val="btLr"/>
            <w:vAlign w:val="center"/>
            <w:hideMark/>
          </w:tcPr>
          <w:p w14:paraId="13553B37"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What are the main barriers to adopting a new risk assessment framework?</w:t>
            </w:r>
          </w:p>
        </w:tc>
        <w:tc>
          <w:tcPr>
            <w:tcW w:w="4465" w:type="dxa"/>
            <w:tcBorders>
              <w:top w:val="nil"/>
              <w:left w:val="nil"/>
              <w:bottom w:val="single" w:sz="4" w:space="0" w:color="000000"/>
              <w:right w:val="single" w:sz="4" w:space="0" w:color="000000"/>
            </w:tcBorders>
            <w:shd w:val="clear" w:color="A6C9EC" w:fill="A6C9EC"/>
            <w:noWrap/>
            <w:vAlign w:val="bottom"/>
            <w:hideMark/>
          </w:tcPr>
          <w:p w14:paraId="47CD79B5"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 xml:space="preserve">Barriers for Adopting new framework </w:t>
            </w:r>
          </w:p>
        </w:tc>
        <w:tc>
          <w:tcPr>
            <w:tcW w:w="472" w:type="dxa"/>
            <w:tcBorders>
              <w:top w:val="nil"/>
              <w:left w:val="nil"/>
              <w:bottom w:val="single" w:sz="4" w:space="0" w:color="000000"/>
              <w:right w:val="single" w:sz="4" w:space="0" w:color="000000"/>
            </w:tcBorders>
            <w:shd w:val="clear" w:color="A6C9EC" w:fill="A6C9EC"/>
            <w:noWrap/>
            <w:vAlign w:val="bottom"/>
            <w:hideMark/>
          </w:tcPr>
          <w:p w14:paraId="30C2EE98"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No</w:t>
            </w:r>
          </w:p>
        </w:tc>
      </w:tr>
      <w:tr w:rsidR="00694445" w:rsidRPr="00694445" w14:paraId="6C5A77B9" w14:textId="77777777" w:rsidTr="00694445">
        <w:trPr>
          <w:trHeight w:val="360"/>
          <w:jc w:val="center"/>
        </w:trPr>
        <w:tc>
          <w:tcPr>
            <w:tcW w:w="1098" w:type="dxa"/>
            <w:vMerge/>
            <w:tcBorders>
              <w:top w:val="nil"/>
              <w:left w:val="single" w:sz="4" w:space="0" w:color="000000"/>
              <w:bottom w:val="single" w:sz="4" w:space="0" w:color="000000"/>
              <w:right w:val="single" w:sz="4" w:space="0" w:color="000000"/>
            </w:tcBorders>
            <w:vAlign w:val="center"/>
            <w:hideMark/>
          </w:tcPr>
          <w:p w14:paraId="04701A39" w14:textId="77777777" w:rsidR="00694445" w:rsidRPr="00694445" w:rsidRDefault="00694445" w:rsidP="00694445">
            <w:pPr>
              <w:spacing w:after="0" w:line="240" w:lineRule="auto"/>
              <w:rPr>
                <w:rFonts w:eastAsia="Times New Roman"/>
                <w:color w:val="000000"/>
                <w:lang w:eastAsia="en-GB"/>
              </w:rPr>
            </w:pPr>
          </w:p>
        </w:tc>
        <w:tc>
          <w:tcPr>
            <w:tcW w:w="4465" w:type="dxa"/>
            <w:tcBorders>
              <w:top w:val="nil"/>
              <w:left w:val="nil"/>
              <w:bottom w:val="single" w:sz="4" w:space="0" w:color="000000"/>
              <w:right w:val="single" w:sz="4" w:space="0" w:color="000000"/>
            </w:tcBorders>
            <w:noWrap/>
            <w:vAlign w:val="bottom"/>
            <w:hideMark/>
          </w:tcPr>
          <w:p w14:paraId="5BAAA491" w14:textId="77777777" w:rsidR="00694445" w:rsidRPr="00694445" w:rsidRDefault="00694445" w:rsidP="00694445">
            <w:pPr>
              <w:spacing w:after="0" w:line="240" w:lineRule="auto"/>
              <w:rPr>
                <w:rFonts w:eastAsia="Times New Roman"/>
                <w:color w:val="202124"/>
                <w:sz w:val="24"/>
                <w:szCs w:val="24"/>
                <w:lang w:eastAsia="en-GB"/>
              </w:rPr>
            </w:pPr>
            <w:r w:rsidRPr="00694445">
              <w:rPr>
                <w:rFonts w:eastAsia="Times New Roman"/>
                <w:color w:val="202124"/>
                <w:sz w:val="24"/>
                <w:szCs w:val="24"/>
                <w:lang w:eastAsia="en-GB"/>
              </w:rPr>
              <w:t>Resistance to change.</w:t>
            </w:r>
          </w:p>
        </w:tc>
        <w:tc>
          <w:tcPr>
            <w:tcW w:w="472" w:type="dxa"/>
            <w:tcBorders>
              <w:top w:val="nil"/>
              <w:left w:val="nil"/>
              <w:bottom w:val="single" w:sz="4" w:space="0" w:color="000000"/>
              <w:right w:val="single" w:sz="4" w:space="0" w:color="000000"/>
            </w:tcBorders>
            <w:noWrap/>
            <w:vAlign w:val="center"/>
            <w:hideMark/>
          </w:tcPr>
          <w:p w14:paraId="3C7840CB"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24</w:t>
            </w:r>
          </w:p>
        </w:tc>
      </w:tr>
      <w:tr w:rsidR="00694445" w:rsidRPr="00694445" w14:paraId="33C57EC9" w14:textId="77777777" w:rsidTr="00694445">
        <w:trPr>
          <w:trHeight w:val="360"/>
          <w:jc w:val="center"/>
        </w:trPr>
        <w:tc>
          <w:tcPr>
            <w:tcW w:w="1098" w:type="dxa"/>
            <w:vMerge/>
            <w:tcBorders>
              <w:top w:val="nil"/>
              <w:left w:val="single" w:sz="4" w:space="0" w:color="000000"/>
              <w:bottom w:val="single" w:sz="4" w:space="0" w:color="000000"/>
              <w:right w:val="single" w:sz="4" w:space="0" w:color="000000"/>
            </w:tcBorders>
            <w:vAlign w:val="center"/>
            <w:hideMark/>
          </w:tcPr>
          <w:p w14:paraId="65AFD516" w14:textId="77777777" w:rsidR="00694445" w:rsidRPr="00694445" w:rsidRDefault="00694445" w:rsidP="00694445">
            <w:pPr>
              <w:spacing w:after="0" w:line="240" w:lineRule="auto"/>
              <w:rPr>
                <w:rFonts w:eastAsia="Times New Roman"/>
                <w:color w:val="000000"/>
                <w:lang w:eastAsia="en-GB"/>
              </w:rPr>
            </w:pPr>
          </w:p>
        </w:tc>
        <w:tc>
          <w:tcPr>
            <w:tcW w:w="4465" w:type="dxa"/>
            <w:tcBorders>
              <w:top w:val="nil"/>
              <w:left w:val="nil"/>
              <w:bottom w:val="single" w:sz="4" w:space="0" w:color="000000"/>
              <w:right w:val="single" w:sz="4" w:space="0" w:color="000000"/>
            </w:tcBorders>
            <w:noWrap/>
            <w:vAlign w:val="bottom"/>
            <w:hideMark/>
          </w:tcPr>
          <w:p w14:paraId="258EA7F4" w14:textId="77777777" w:rsidR="00694445" w:rsidRPr="00694445" w:rsidRDefault="00694445" w:rsidP="00694445">
            <w:pPr>
              <w:spacing w:after="0" w:line="240" w:lineRule="auto"/>
              <w:rPr>
                <w:rFonts w:eastAsia="Times New Roman"/>
                <w:color w:val="202124"/>
                <w:sz w:val="24"/>
                <w:szCs w:val="24"/>
                <w:lang w:eastAsia="en-GB"/>
              </w:rPr>
            </w:pPr>
            <w:r w:rsidRPr="00694445">
              <w:rPr>
                <w:rFonts w:eastAsia="Times New Roman"/>
                <w:color w:val="202124"/>
                <w:sz w:val="24"/>
                <w:szCs w:val="24"/>
                <w:lang w:eastAsia="en-GB"/>
              </w:rPr>
              <w:t>Lack of management support.</w:t>
            </w:r>
          </w:p>
        </w:tc>
        <w:tc>
          <w:tcPr>
            <w:tcW w:w="472" w:type="dxa"/>
            <w:tcBorders>
              <w:top w:val="nil"/>
              <w:left w:val="nil"/>
              <w:bottom w:val="single" w:sz="4" w:space="0" w:color="000000"/>
              <w:right w:val="single" w:sz="4" w:space="0" w:color="000000"/>
            </w:tcBorders>
            <w:noWrap/>
            <w:vAlign w:val="center"/>
            <w:hideMark/>
          </w:tcPr>
          <w:p w14:paraId="6CCDF1E3"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22</w:t>
            </w:r>
          </w:p>
        </w:tc>
      </w:tr>
      <w:tr w:rsidR="00694445" w:rsidRPr="00694445" w14:paraId="72145784" w14:textId="77777777" w:rsidTr="00694445">
        <w:trPr>
          <w:trHeight w:val="360"/>
          <w:jc w:val="center"/>
        </w:trPr>
        <w:tc>
          <w:tcPr>
            <w:tcW w:w="1098" w:type="dxa"/>
            <w:vMerge/>
            <w:tcBorders>
              <w:top w:val="nil"/>
              <w:left w:val="single" w:sz="4" w:space="0" w:color="000000"/>
              <w:bottom w:val="single" w:sz="4" w:space="0" w:color="000000"/>
              <w:right w:val="single" w:sz="4" w:space="0" w:color="000000"/>
            </w:tcBorders>
            <w:vAlign w:val="center"/>
            <w:hideMark/>
          </w:tcPr>
          <w:p w14:paraId="3A9DBF75" w14:textId="77777777" w:rsidR="00694445" w:rsidRPr="00694445" w:rsidRDefault="00694445" w:rsidP="00694445">
            <w:pPr>
              <w:spacing w:after="0" w:line="240" w:lineRule="auto"/>
              <w:rPr>
                <w:rFonts w:eastAsia="Times New Roman"/>
                <w:color w:val="000000"/>
                <w:lang w:eastAsia="en-GB"/>
              </w:rPr>
            </w:pPr>
          </w:p>
        </w:tc>
        <w:tc>
          <w:tcPr>
            <w:tcW w:w="4465" w:type="dxa"/>
            <w:tcBorders>
              <w:top w:val="nil"/>
              <w:left w:val="nil"/>
              <w:bottom w:val="single" w:sz="4" w:space="0" w:color="000000"/>
              <w:right w:val="single" w:sz="4" w:space="0" w:color="000000"/>
            </w:tcBorders>
            <w:noWrap/>
            <w:vAlign w:val="bottom"/>
            <w:hideMark/>
          </w:tcPr>
          <w:p w14:paraId="50C6CE8F" w14:textId="77777777" w:rsidR="00694445" w:rsidRPr="00694445" w:rsidRDefault="00694445" w:rsidP="00694445">
            <w:pPr>
              <w:spacing w:after="0" w:line="240" w:lineRule="auto"/>
              <w:rPr>
                <w:rFonts w:eastAsia="Times New Roman"/>
                <w:color w:val="202124"/>
                <w:sz w:val="24"/>
                <w:szCs w:val="24"/>
                <w:lang w:eastAsia="en-GB"/>
              </w:rPr>
            </w:pPr>
            <w:r w:rsidRPr="00694445">
              <w:rPr>
                <w:rFonts w:eastAsia="Times New Roman"/>
                <w:color w:val="202124"/>
                <w:sz w:val="24"/>
                <w:szCs w:val="24"/>
                <w:lang w:eastAsia="en-GB"/>
              </w:rPr>
              <w:t>Cost of implementation.</w:t>
            </w:r>
          </w:p>
        </w:tc>
        <w:tc>
          <w:tcPr>
            <w:tcW w:w="472" w:type="dxa"/>
            <w:tcBorders>
              <w:top w:val="nil"/>
              <w:left w:val="nil"/>
              <w:bottom w:val="single" w:sz="4" w:space="0" w:color="000000"/>
              <w:right w:val="single" w:sz="4" w:space="0" w:color="000000"/>
            </w:tcBorders>
            <w:noWrap/>
            <w:vAlign w:val="center"/>
            <w:hideMark/>
          </w:tcPr>
          <w:p w14:paraId="75EF22BB"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18</w:t>
            </w:r>
          </w:p>
        </w:tc>
      </w:tr>
      <w:tr w:rsidR="00694445" w:rsidRPr="00694445" w14:paraId="478A8ABA" w14:textId="77777777" w:rsidTr="00694445">
        <w:trPr>
          <w:trHeight w:val="360"/>
          <w:jc w:val="center"/>
        </w:trPr>
        <w:tc>
          <w:tcPr>
            <w:tcW w:w="1098" w:type="dxa"/>
            <w:vMerge/>
            <w:tcBorders>
              <w:top w:val="nil"/>
              <w:left w:val="single" w:sz="4" w:space="0" w:color="000000"/>
              <w:bottom w:val="single" w:sz="4" w:space="0" w:color="000000"/>
              <w:right w:val="single" w:sz="4" w:space="0" w:color="000000"/>
            </w:tcBorders>
            <w:vAlign w:val="center"/>
            <w:hideMark/>
          </w:tcPr>
          <w:p w14:paraId="116E5F43" w14:textId="77777777" w:rsidR="00694445" w:rsidRPr="00694445" w:rsidRDefault="00694445" w:rsidP="00694445">
            <w:pPr>
              <w:spacing w:after="0" w:line="240" w:lineRule="auto"/>
              <w:rPr>
                <w:rFonts w:eastAsia="Times New Roman"/>
                <w:color w:val="000000"/>
                <w:lang w:eastAsia="en-GB"/>
              </w:rPr>
            </w:pPr>
          </w:p>
        </w:tc>
        <w:tc>
          <w:tcPr>
            <w:tcW w:w="4465" w:type="dxa"/>
            <w:tcBorders>
              <w:top w:val="nil"/>
              <w:left w:val="nil"/>
              <w:bottom w:val="single" w:sz="4" w:space="0" w:color="000000"/>
              <w:right w:val="single" w:sz="4" w:space="0" w:color="000000"/>
            </w:tcBorders>
            <w:noWrap/>
            <w:vAlign w:val="bottom"/>
            <w:hideMark/>
          </w:tcPr>
          <w:p w14:paraId="52494E01" w14:textId="77777777" w:rsidR="00694445" w:rsidRPr="00694445" w:rsidRDefault="00694445" w:rsidP="00694445">
            <w:pPr>
              <w:spacing w:after="0" w:line="240" w:lineRule="auto"/>
              <w:rPr>
                <w:rFonts w:eastAsia="Times New Roman"/>
                <w:color w:val="202124"/>
                <w:sz w:val="24"/>
                <w:szCs w:val="24"/>
                <w:lang w:eastAsia="en-GB"/>
              </w:rPr>
            </w:pPr>
            <w:r w:rsidRPr="00694445">
              <w:rPr>
                <w:rFonts w:eastAsia="Times New Roman"/>
                <w:color w:val="202124"/>
                <w:sz w:val="24"/>
                <w:szCs w:val="24"/>
                <w:lang w:eastAsia="en-GB"/>
              </w:rPr>
              <w:t>Training requirements.</w:t>
            </w:r>
          </w:p>
        </w:tc>
        <w:tc>
          <w:tcPr>
            <w:tcW w:w="472" w:type="dxa"/>
            <w:tcBorders>
              <w:top w:val="nil"/>
              <w:left w:val="nil"/>
              <w:bottom w:val="single" w:sz="4" w:space="0" w:color="000000"/>
              <w:right w:val="single" w:sz="4" w:space="0" w:color="000000"/>
            </w:tcBorders>
            <w:noWrap/>
            <w:vAlign w:val="center"/>
            <w:hideMark/>
          </w:tcPr>
          <w:p w14:paraId="61424CD6"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26</w:t>
            </w:r>
          </w:p>
        </w:tc>
      </w:tr>
      <w:tr w:rsidR="00694445" w:rsidRPr="00694445" w14:paraId="107D47FE" w14:textId="77777777" w:rsidTr="00694445">
        <w:trPr>
          <w:trHeight w:val="315"/>
          <w:jc w:val="center"/>
        </w:trPr>
        <w:tc>
          <w:tcPr>
            <w:tcW w:w="1098" w:type="dxa"/>
            <w:vMerge/>
            <w:tcBorders>
              <w:top w:val="nil"/>
              <w:left w:val="single" w:sz="4" w:space="0" w:color="000000"/>
              <w:bottom w:val="single" w:sz="4" w:space="0" w:color="000000"/>
              <w:right w:val="single" w:sz="4" w:space="0" w:color="000000"/>
            </w:tcBorders>
            <w:vAlign w:val="center"/>
            <w:hideMark/>
          </w:tcPr>
          <w:p w14:paraId="28F8EB5F" w14:textId="77777777" w:rsidR="00694445" w:rsidRPr="00694445" w:rsidRDefault="00694445" w:rsidP="00694445">
            <w:pPr>
              <w:spacing w:after="0" w:line="240" w:lineRule="auto"/>
              <w:rPr>
                <w:rFonts w:eastAsia="Times New Roman"/>
                <w:color w:val="000000"/>
                <w:lang w:eastAsia="en-GB"/>
              </w:rPr>
            </w:pPr>
          </w:p>
        </w:tc>
        <w:tc>
          <w:tcPr>
            <w:tcW w:w="4465" w:type="dxa"/>
            <w:tcBorders>
              <w:top w:val="nil"/>
              <w:left w:val="nil"/>
              <w:bottom w:val="single" w:sz="4" w:space="0" w:color="000000"/>
              <w:right w:val="single" w:sz="4" w:space="0" w:color="000000"/>
            </w:tcBorders>
            <w:noWrap/>
            <w:vAlign w:val="bottom"/>
            <w:hideMark/>
          </w:tcPr>
          <w:p w14:paraId="706A6144" w14:textId="77777777" w:rsidR="00694445" w:rsidRPr="00694445" w:rsidRDefault="00694445" w:rsidP="00694445">
            <w:pPr>
              <w:spacing w:after="0" w:line="240" w:lineRule="auto"/>
              <w:rPr>
                <w:rFonts w:eastAsia="Times New Roman"/>
                <w:color w:val="202124"/>
                <w:sz w:val="24"/>
                <w:szCs w:val="24"/>
                <w:lang w:eastAsia="en-GB"/>
              </w:rPr>
            </w:pPr>
            <w:r w:rsidRPr="00694445">
              <w:rPr>
                <w:rFonts w:eastAsia="Times New Roman"/>
                <w:color w:val="202124"/>
                <w:sz w:val="24"/>
                <w:szCs w:val="24"/>
                <w:lang w:eastAsia="en-GB"/>
              </w:rPr>
              <w:t>Integration with existing tools.</w:t>
            </w:r>
          </w:p>
        </w:tc>
        <w:tc>
          <w:tcPr>
            <w:tcW w:w="472" w:type="dxa"/>
            <w:tcBorders>
              <w:top w:val="nil"/>
              <w:left w:val="nil"/>
              <w:bottom w:val="single" w:sz="4" w:space="0" w:color="000000"/>
              <w:right w:val="single" w:sz="4" w:space="0" w:color="000000"/>
            </w:tcBorders>
            <w:noWrap/>
            <w:vAlign w:val="center"/>
            <w:hideMark/>
          </w:tcPr>
          <w:p w14:paraId="3C227207"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19</w:t>
            </w:r>
          </w:p>
        </w:tc>
      </w:tr>
      <w:tr w:rsidR="00694445" w:rsidRPr="00694445" w14:paraId="08DC2362" w14:textId="77777777" w:rsidTr="00694445">
        <w:trPr>
          <w:trHeight w:val="360"/>
          <w:jc w:val="center"/>
        </w:trPr>
        <w:tc>
          <w:tcPr>
            <w:tcW w:w="1098" w:type="dxa"/>
            <w:vMerge/>
            <w:tcBorders>
              <w:top w:val="nil"/>
              <w:left w:val="single" w:sz="4" w:space="0" w:color="000000"/>
              <w:bottom w:val="single" w:sz="4" w:space="0" w:color="000000"/>
              <w:right w:val="single" w:sz="4" w:space="0" w:color="000000"/>
            </w:tcBorders>
            <w:vAlign w:val="center"/>
            <w:hideMark/>
          </w:tcPr>
          <w:p w14:paraId="313F9FC2" w14:textId="77777777" w:rsidR="00694445" w:rsidRPr="00694445" w:rsidRDefault="00694445" w:rsidP="00694445">
            <w:pPr>
              <w:spacing w:after="0" w:line="240" w:lineRule="auto"/>
              <w:rPr>
                <w:rFonts w:eastAsia="Times New Roman"/>
                <w:color w:val="000000"/>
                <w:lang w:eastAsia="en-GB"/>
              </w:rPr>
            </w:pPr>
          </w:p>
        </w:tc>
        <w:tc>
          <w:tcPr>
            <w:tcW w:w="4465" w:type="dxa"/>
            <w:tcBorders>
              <w:top w:val="nil"/>
              <w:left w:val="nil"/>
              <w:bottom w:val="single" w:sz="4" w:space="0" w:color="000000"/>
              <w:right w:val="single" w:sz="4" w:space="0" w:color="000000"/>
            </w:tcBorders>
            <w:noWrap/>
            <w:vAlign w:val="bottom"/>
            <w:hideMark/>
          </w:tcPr>
          <w:p w14:paraId="70E0B010" w14:textId="77777777" w:rsidR="00694445" w:rsidRPr="00694445" w:rsidRDefault="00694445" w:rsidP="00694445">
            <w:pPr>
              <w:spacing w:after="0" w:line="240" w:lineRule="auto"/>
              <w:rPr>
                <w:rFonts w:eastAsia="Times New Roman"/>
                <w:color w:val="202124"/>
                <w:sz w:val="24"/>
                <w:szCs w:val="24"/>
                <w:lang w:eastAsia="en-GB"/>
              </w:rPr>
            </w:pPr>
            <w:r w:rsidRPr="00694445">
              <w:rPr>
                <w:rFonts w:eastAsia="Times New Roman"/>
                <w:color w:val="202124"/>
                <w:sz w:val="24"/>
                <w:szCs w:val="24"/>
                <w:lang w:eastAsia="en-GB"/>
              </w:rPr>
              <w:t>Lack of knowledge/understanding.</w:t>
            </w:r>
          </w:p>
        </w:tc>
        <w:tc>
          <w:tcPr>
            <w:tcW w:w="472" w:type="dxa"/>
            <w:tcBorders>
              <w:top w:val="nil"/>
              <w:left w:val="nil"/>
              <w:bottom w:val="single" w:sz="4" w:space="0" w:color="000000"/>
              <w:right w:val="single" w:sz="4" w:space="0" w:color="000000"/>
            </w:tcBorders>
            <w:noWrap/>
            <w:vAlign w:val="center"/>
            <w:hideMark/>
          </w:tcPr>
          <w:p w14:paraId="76CF46CD"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19</w:t>
            </w:r>
          </w:p>
        </w:tc>
      </w:tr>
      <w:tr w:rsidR="00694445" w:rsidRPr="00694445" w14:paraId="3366D74A" w14:textId="77777777" w:rsidTr="00694445">
        <w:trPr>
          <w:trHeight w:val="360"/>
          <w:jc w:val="center"/>
        </w:trPr>
        <w:tc>
          <w:tcPr>
            <w:tcW w:w="1098" w:type="dxa"/>
            <w:vMerge/>
            <w:tcBorders>
              <w:top w:val="nil"/>
              <w:left w:val="single" w:sz="4" w:space="0" w:color="000000"/>
              <w:bottom w:val="single" w:sz="4" w:space="0" w:color="000000"/>
              <w:right w:val="single" w:sz="4" w:space="0" w:color="000000"/>
            </w:tcBorders>
            <w:vAlign w:val="center"/>
            <w:hideMark/>
          </w:tcPr>
          <w:p w14:paraId="0046124A" w14:textId="77777777" w:rsidR="00694445" w:rsidRPr="00694445" w:rsidRDefault="00694445" w:rsidP="00694445">
            <w:pPr>
              <w:spacing w:after="0" w:line="240" w:lineRule="auto"/>
              <w:rPr>
                <w:rFonts w:eastAsia="Times New Roman"/>
                <w:color w:val="000000"/>
                <w:lang w:eastAsia="en-GB"/>
              </w:rPr>
            </w:pPr>
          </w:p>
        </w:tc>
        <w:tc>
          <w:tcPr>
            <w:tcW w:w="4465" w:type="dxa"/>
            <w:tcBorders>
              <w:top w:val="nil"/>
              <w:left w:val="nil"/>
              <w:bottom w:val="single" w:sz="4" w:space="0" w:color="000000"/>
              <w:right w:val="single" w:sz="4" w:space="0" w:color="000000"/>
            </w:tcBorders>
            <w:noWrap/>
            <w:vAlign w:val="bottom"/>
            <w:hideMark/>
          </w:tcPr>
          <w:p w14:paraId="1B385064" w14:textId="77777777" w:rsidR="00694445" w:rsidRPr="00694445" w:rsidRDefault="00694445" w:rsidP="00694445">
            <w:pPr>
              <w:spacing w:after="0" w:line="240" w:lineRule="auto"/>
              <w:rPr>
                <w:rFonts w:eastAsia="Times New Roman"/>
                <w:color w:val="000000"/>
                <w:lang w:eastAsia="en-GB"/>
              </w:rPr>
            </w:pPr>
            <w:r w:rsidRPr="00694445">
              <w:rPr>
                <w:rFonts w:eastAsia="Times New Roman"/>
                <w:color w:val="000000"/>
                <w:lang w:eastAsia="en-GB"/>
              </w:rPr>
              <w:t>Other</w:t>
            </w:r>
          </w:p>
        </w:tc>
        <w:tc>
          <w:tcPr>
            <w:tcW w:w="472" w:type="dxa"/>
            <w:tcBorders>
              <w:top w:val="nil"/>
              <w:left w:val="nil"/>
              <w:bottom w:val="single" w:sz="4" w:space="0" w:color="000000"/>
              <w:right w:val="single" w:sz="4" w:space="0" w:color="000000"/>
            </w:tcBorders>
            <w:noWrap/>
            <w:vAlign w:val="center"/>
            <w:hideMark/>
          </w:tcPr>
          <w:p w14:paraId="5A70C5F3" w14:textId="77777777" w:rsidR="00694445" w:rsidRPr="00694445" w:rsidRDefault="00694445" w:rsidP="00694445">
            <w:pPr>
              <w:spacing w:after="0" w:line="240" w:lineRule="auto"/>
              <w:jc w:val="center"/>
              <w:rPr>
                <w:rFonts w:eastAsia="Times New Roman"/>
                <w:color w:val="000000"/>
                <w:lang w:eastAsia="en-GB"/>
              </w:rPr>
            </w:pPr>
            <w:r w:rsidRPr="00694445">
              <w:rPr>
                <w:rFonts w:eastAsia="Times New Roman"/>
                <w:color w:val="000000"/>
                <w:lang w:eastAsia="en-GB"/>
              </w:rPr>
              <w:t>0</w:t>
            </w:r>
          </w:p>
        </w:tc>
      </w:tr>
    </w:tbl>
    <w:p w14:paraId="6C68217D" w14:textId="2540AEA5" w:rsidR="00932E71" w:rsidRDefault="00694445" w:rsidP="00694445">
      <w:pPr>
        <w:pStyle w:val="Caption"/>
        <w:jc w:val="center"/>
      </w:pPr>
      <w:bookmarkStart w:id="128" w:name="_Toc219216438"/>
      <w:r>
        <w:t xml:space="preserve">Table </w:t>
      </w:r>
      <w:fldSimple w:instr=" SEQ Table \* ARABIC ">
        <w:r w:rsidR="004239CB">
          <w:rPr>
            <w:noProof/>
          </w:rPr>
          <w:t>25</w:t>
        </w:r>
      </w:fldSimple>
      <w:r>
        <w:t xml:space="preserve"> - </w:t>
      </w:r>
      <w:r w:rsidRPr="00C30125">
        <w:t>Questionnaire Q1</w:t>
      </w:r>
      <w:r>
        <w:t>9</w:t>
      </w:r>
      <w:r w:rsidRPr="00C30125">
        <w:t xml:space="preserve"> Data Set</w:t>
      </w:r>
      <w:bookmarkEnd w:id="128"/>
    </w:p>
    <w:p w14:paraId="7043CA3C" w14:textId="687B2281" w:rsidR="004239CB" w:rsidRDefault="004239CB">
      <w:r>
        <w:br w:type="page"/>
      </w:r>
    </w:p>
    <w:p w14:paraId="56E79DFB" w14:textId="2B4A27E4" w:rsidR="004239CB" w:rsidRDefault="004239CB" w:rsidP="004239CB">
      <w:pPr>
        <w:pStyle w:val="Heading2"/>
        <w:spacing w:line="360" w:lineRule="auto"/>
        <w:ind w:left="-576"/>
        <w:jc w:val="both"/>
        <w:rPr>
          <w:sz w:val="22"/>
          <w:szCs w:val="22"/>
          <w:u w:val="single"/>
        </w:rPr>
      </w:pPr>
      <w:bookmarkStart w:id="129" w:name="_Toc219216500"/>
      <w:r w:rsidRPr="004239CB">
        <w:rPr>
          <w:sz w:val="22"/>
          <w:szCs w:val="22"/>
        </w:rPr>
        <w:lastRenderedPageBreak/>
        <w:t xml:space="preserve">12.6. </w:t>
      </w:r>
      <w:r w:rsidRPr="004239CB">
        <w:rPr>
          <w:sz w:val="22"/>
          <w:szCs w:val="22"/>
          <w:u w:val="single"/>
        </w:rPr>
        <w:t>Open-ended Feedback.</w:t>
      </w:r>
      <w:bookmarkEnd w:id="129"/>
    </w:p>
    <w:p w14:paraId="364624D1" w14:textId="77777777" w:rsidR="004239CB" w:rsidRPr="004239CB" w:rsidRDefault="004239CB" w:rsidP="004239CB">
      <w:pPr>
        <w:spacing w:after="0" w:line="360" w:lineRule="auto"/>
      </w:pPr>
    </w:p>
    <w:tbl>
      <w:tblPr>
        <w:tblW w:w="9900" w:type="dxa"/>
        <w:jc w:val="center"/>
        <w:tblLook w:val="04A0" w:firstRow="1" w:lastRow="0" w:firstColumn="1" w:lastColumn="0" w:noHBand="0" w:noVBand="1"/>
      </w:tblPr>
      <w:tblGrid>
        <w:gridCol w:w="1140"/>
        <w:gridCol w:w="8760"/>
      </w:tblGrid>
      <w:tr w:rsidR="004239CB" w:rsidRPr="004239CB" w14:paraId="68880197" w14:textId="77777777" w:rsidTr="004239CB">
        <w:trPr>
          <w:trHeight w:val="360"/>
          <w:jc w:val="center"/>
        </w:trPr>
        <w:tc>
          <w:tcPr>
            <w:tcW w:w="9900" w:type="dxa"/>
            <w:gridSpan w:val="2"/>
            <w:tcBorders>
              <w:top w:val="single" w:sz="4" w:space="0" w:color="auto"/>
              <w:left w:val="single" w:sz="4" w:space="0" w:color="auto"/>
              <w:bottom w:val="single" w:sz="4" w:space="0" w:color="auto"/>
              <w:right w:val="single" w:sz="4" w:space="0" w:color="auto"/>
            </w:tcBorders>
            <w:shd w:val="clear" w:color="A6C9EC" w:fill="A6C9EC"/>
            <w:noWrap/>
            <w:vAlign w:val="bottom"/>
            <w:hideMark/>
          </w:tcPr>
          <w:p w14:paraId="236804AC" w14:textId="77777777" w:rsidR="004239CB" w:rsidRPr="004239CB" w:rsidRDefault="004239CB" w:rsidP="004239CB">
            <w:pPr>
              <w:spacing w:after="0" w:line="240" w:lineRule="auto"/>
              <w:jc w:val="center"/>
              <w:rPr>
                <w:rFonts w:eastAsia="Times New Roman"/>
                <w:color w:val="000000"/>
                <w:lang w:eastAsia="en-GB"/>
              </w:rPr>
            </w:pPr>
            <w:r w:rsidRPr="004239CB">
              <w:rPr>
                <w:rFonts w:eastAsia="Times New Roman"/>
                <w:color w:val="000000"/>
                <w:lang w:eastAsia="en-GB"/>
              </w:rPr>
              <w:t>Open-ended Feedback</w:t>
            </w:r>
          </w:p>
        </w:tc>
      </w:tr>
      <w:tr w:rsidR="004239CB" w:rsidRPr="004239CB" w14:paraId="1C992688" w14:textId="77777777" w:rsidTr="004239CB">
        <w:trPr>
          <w:trHeight w:val="360"/>
          <w:jc w:val="center"/>
        </w:trPr>
        <w:tc>
          <w:tcPr>
            <w:tcW w:w="1140" w:type="dxa"/>
            <w:vMerge w:val="restart"/>
            <w:tcBorders>
              <w:top w:val="nil"/>
              <w:left w:val="single" w:sz="4" w:space="0" w:color="auto"/>
              <w:bottom w:val="single" w:sz="4" w:space="0" w:color="auto"/>
              <w:right w:val="single" w:sz="4" w:space="0" w:color="auto"/>
            </w:tcBorders>
            <w:textDirection w:val="btLr"/>
            <w:vAlign w:val="center"/>
            <w:hideMark/>
          </w:tcPr>
          <w:p w14:paraId="44B1E628" w14:textId="77777777" w:rsidR="004239CB" w:rsidRPr="004239CB" w:rsidRDefault="004239CB" w:rsidP="004239CB">
            <w:pPr>
              <w:spacing w:after="0" w:line="240" w:lineRule="auto"/>
              <w:jc w:val="center"/>
              <w:rPr>
                <w:rFonts w:eastAsia="Times New Roman"/>
                <w:color w:val="000000"/>
                <w:lang w:eastAsia="en-GB"/>
              </w:rPr>
            </w:pPr>
            <w:r w:rsidRPr="004239CB">
              <w:rPr>
                <w:rFonts w:eastAsia="Times New Roman"/>
                <w:color w:val="000000"/>
                <w:lang w:eastAsia="en-GB"/>
              </w:rPr>
              <w:t xml:space="preserve">In your experience, what has been </w:t>
            </w:r>
            <w:r w:rsidRPr="004239CB">
              <w:rPr>
                <w:rFonts w:eastAsia="Times New Roman"/>
                <w:color w:val="000000"/>
                <w:lang w:eastAsia="en-GB"/>
              </w:rPr>
              <w:br/>
              <w:t>the most effective risk management strategy in your projects?</w:t>
            </w:r>
          </w:p>
        </w:tc>
        <w:tc>
          <w:tcPr>
            <w:tcW w:w="8760" w:type="dxa"/>
            <w:tcBorders>
              <w:top w:val="nil"/>
              <w:left w:val="nil"/>
              <w:bottom w:val="single" w:sz="4" w:space="0" w:color="auto"/>
              <w:right w:val="single" w:sz="4" w:space="0" w:color="auto"/>
            </w:tcBorders>
            <w:shd w:val="clear" w:color="A6C9EC" w:fill="A6C9EC"/>
            <w:noWrap/>
            <w:vAlign w:val="bottom"/>
            <w:hideMark/>
          </w:tcPr>
          <w:p w14:paraId="77D7605F" w14:textId="77777777" w:rsidR="004239CB" w:rsidRPr="004239CB" w:rsidRDefault="004239CB" w:rsidP="004239CB">
            <w:pPr>
              <w:spacing w:after="0" w:line="240" w:lineRule="auto"/>
              <w:jc w:val="center"/>
              <w:rPr>
                <w:rFonts w:eastAsia="Times New Roman"/>
                <w:color w:val="000000"/>
                <w:lang w:eastAsia="en-GB"/>
              </w:rPr>
            </w:pPr>
            <w:r w:rsidRPr="004239CB">
              <w:rPr>
                <w:rFonts w:eastAsia="Times New Roman"/>
                <w:color w:val="000000"/>
                <w:lang w:eastAsia="en-GB"/>
              </w:rPr>
              <w:t>Most effective risk management strategy</w:t>
            </w:r>
          </w:p>
        </w:tc>
      </w:tr>
      <w:tr w:rsidR="004239CB" w:rsidRPr="004239CB" w14:paraId="4F08A184"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3A67F95C"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41D622FA"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Building test rigs to mimic the project</w:t>
            </w:r>
          </w:p>
        </w:tc>
      </w:tr>
      <w:tr w:rsidR="004239CB" w:rsidRPr="004239CB" w14:paraId="2999602A"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192936D9"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5D29D9E7"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Risk Matrices</w:t>
            </w:r>
          </w:p>
        </w:tc>
      </w:tr>
      <w:tr w:rsidR="004239CB" w:rsidRPr="004239CB" w14:paraId="1C3E6FE9"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7C0AFEA6"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4CD82CE0"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Early identification of risk through brainstorming sessions</w:t>
            </w:r>
          </w:p>
        </w:tc>
      </w:tr>
      <w:tr w:rsidR="004239CB" w:rsidRPr="004239CB" w14:paraId="48F18F32"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2257EBA7"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21F82D60"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FEMA</w:t>
            </w:r>
          </w:p>
        </w:tc>
      </w:tr>
      <w:tr w:rsidR="004239CB" w:rsidRPr="004239CB" w14:paraId="5AC1DEAF" w14:textId="77777777" w:rsidTr="004239CB">
        <w:trPr>
          <w:trHeight w:val="300"/>
          <w:jc w:val="center"/>
        </w:trPr>
        <w:tc>
          <w:tcPr>
            <w:tcW w:w="1140" w:type="dxa"/>
            <w:vMerge/>
            <w:tcBorders>
              <w:top w:val="nil"/>
              <w:left w:val="single" w:sz="4" w:space="0" w:color="auto"/>
              <w:bottom w:val="single" w:sz="4" w:space="0" w:color="auto"/>
              <w:right w:val="single" w:sz="4" w:space="0" w:color="auto"/>
            </w:tcBorders>
            <w:vAlign w:val="center"/>
            <w:hideMark/>
          </w:tcPr>
          <w:p w14:paraId="760F4A67"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vAlign w:val="bottom"/>
            <w:hideMark/>
          </w:tcPr>
          <w:p w14:paraId="43A63812"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Risk register and aspects &amp; impacts register.</w:t>
            </w:r>
          </w:p>
        </w:tc>
      </w:tr>
      <w:tr w:rsidR="004239CB" w:rsidRPr="004239CB" w14:paraId="63ADAA15"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5A88B8BD"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4A240A58"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Forward planning due to technical delays to completing project</w:t>
            </w:r>
          </w:p>
        </w:tc>
      </w:tr>
      <w:tr w:rsidR="004239CB" w:rsidRPr="004239CB" w14:paraId="7A8D19FA"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1862D8D9"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2325C1EB"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Employ an experienced team made up from all disciplines, identify the key risks and agreed countermeasures or mitigation.</w:t>
            </w:r>
          </w:p>
        </w:tc>
      </w:tr>
      <w:tr w:rsidR="004239CB" w:rsidRPr="004239CB" w14:paraId="2B0EBBE9"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122A8236"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03D204CC"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Risk assessment matrix and hazop.</w:t>
            </w:r>
          </w:p>
        </w:tc>
      </w:tr>
      <w:tr w:rsidR="004239CB" w:rsidRPr="004239CB" w14:paraId="1353C1D2"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6F4B9D27"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42D8D442"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Continuous Review of Risk Process / Documentation</w:t>
            </w:r>
          </w:p>
        </w:tc>
      </w:tr>
      <w:tr w:rsidR="004239CB" w:rsidRPr="004239CB" w14:paraId="317E4CAF"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0F3F409A"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089E06FA"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Simple risk register with calibrated risk grid</w:t>
            </w:r>
          </w:p>
        </w:tc>
      </w:tr>
      <w:tr w:rsidR="004239CB" w:rsidRPr="004239CB" w14:paraId="5A0FC5A8"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5550A153"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1149DF7F"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using risk register to focus on risks that will have the highest business impact</w:t>
            </w:r>
          </w:p>
        </w:tc>
      </w:tr>
      <w:tr w:rsidR="004239CB" w:rsidRPr="004239CB" w14:paraId="12D30FBB" w14:textId="77777777" w:rsidTr="004239CB">
        <w:trPr>
          <w:trHeight w:val="360"/>
          <w:jc w:val="center"/>
        </w:trPr>
        <w:tc>
          <w:tcPr>
            <w:tcW w:w="1140" w:type="dxa"/>
            <w:vMerge/>
            <w:tcBorders>
              <w:top w:val="nil"/>
              <w:left w:val="single" w:sz="4" w:space="0" w:color="auto"/>
              <w:bottom w:val="single" w:sz="4" w:space="0" w:color="auto"/>
              <w:right w:val="single" w:sz="4" w:space="0" w:color="auto"/>
            </w:tcBorders>
            <w:vAlign w:val="center"/>
            <w:hideMark/>
          </w:tcPr>
          <w:p w14:paraId="2A1E928D"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71E900DD"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Planning, engagement with the parties actually doing the work, experience and leadership.</w:t>
            </w:r>
          </w:p>
        </w:tc>
      </w:tr>
      <w:tr w:rsidR="004239CB" w:rsidRPr="004239CB" w14:paraId="73F897E0" w14:textId="77777777" w:rsidTr="004239CB">
        <w:trPr>
          <w:trHeight w:val="300"/>
          <w:jc w:val="center"/>
        </w:trPr>
        <w:tc>
          <w:tcPr>
            <w:tcW w:w="1140" w:type="dxa"/>
            <w:vMerge/>
            <w:tcBorders>
              <w:top w:val="nil"/>
              <w:left w:val="single" w:sz="4" w:space="0" w:color="auto"/>
              <w:bottom w:val="single" w:sz="4" w:space="0" w:color="auto"/>
              <w:right w:val="single" w:sz="4" w:space="0" w:color="auto"/>
            </w:tcBorders>
            <w:vAlign w:val="center"/>
            <w:hideMark/>
          </w:tcPr>
          <w:p w14:paraId="460F2CB6" w14:textId="77777777" w:rsidR="004239CB" w:rsidRPr="004239CB" w:rsidRDefault="004239CB" w:rsidP="004239CB">
            <w:pPr>
              <w:spacing w:after="0" w:line="240" w:lineRule="auto"/>
              <w:rPr>
                <w:rFonts w:eastAsia="Times New Roman"/>
                <w:color w:val="000000"/>
                <w:lang w:eastAsia="en-GB"/>
              </w:rPr>
            </w:pPr>
          </w:p>
        </w:tc>
        <w:tc>
          <w:tcPr>
            <w:tcW w:w="8760" w:type="dxa"/>
            <w:tcBorders>
              <w:top w:val="nil"/>
              <w:left w:val="nil"/>
              <w:bottom w:val="single" w:sz="4" w:space="0" w:color="auto"/>
              <w:right w:val="single" w:sz="4" w:space="0" w:color="auto"/>
            </w:tcBorders>
            <w:noWrap/>
            <w:vAlign w:val="bottom"/>
            <w:hideMark/>
          </w:tcPr>
          <w:p w14:paraId="4F33094C"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Experience and Knowledge</w:t>
            </w:r>
          </w:p>
        </w:tc>
      </w:tr>
    </w:tbl>
    <w:p w14:paraId="464D4AA6" w14:textId="11D87495" w:rsidR="00932E71" w:rsidRDefault="004239CB" w:rsidP="004239CB">
      <w:pPr>
        <w:pStyle w:val="Caption"/>
        <w:jc w:val="center"/>
      </w:pPr>
      <w:bookmarkStart w:id="130" w:name="_Toc219216439"/>
      <w:r>
        <w:t xml:space="preserve">Table </w:t>
      </w:r>
      <w:fldSimple w:instr=" SEQ Table \* ARABIC ">
        <w:r>
          <w:rPr>
            <w:noProof/>
          </w:rPr>
          <w:t>26</w:t>
        </w:r>
      </w:fldSimple>
      <w:r>
        <w:t xml:space="preserve"> - </w:t>
      </w:r>
      <w:r w:rsidRPr="00EC736E">
        <w:t>Questionnaire Q</w:t>
      </w:r>
      <w:r>
        <w:t>20</w:t>
      </w:r>
      <w:r w:rsidRPr="00EC736E">
        <w:t xml:space="preserve"> Data Set</w:t>
      </w:r>
      <w:bookmarkEnd w:id="130"/>
    </w:p>
    <w:p w14:paraId="49F34384" w14:textId="77777777" w:rsidR="004239CB" w:rsidRDefault="004239CB" w:rsidP="00932E71">
      <w:pPr>
        <w:spacing w:after="0"/>
      </w:pPr>
    </w:p>
    <w:tbl>
      <w:tblPr>
        <w:tblW w:w="9900" w:type="dxa"/>
        <w:tblInd w:w="-455" w:type="dxa"/>
        <w:tblLook w:val="04A0" w:firstRow="1" w:lastRow="0" w:firstColumn="1" w:lastColumn="0" w:noHBand="0" w:noVBand="1"/>
      </w:tblPr>
      <w:tblGrid>
        <w:gridCol w:w="1170"/>
        <w:gridCol w:w="8730"/>
      </w:tblGrid>
      <w:tr w:rsidR="004239CB" w:rsidRPr="004239CB" w14:paraId="3027F292" w14:textId="77777777" w:rsidTr="004239CB">
        <w:trPr>
          <w:trHeight w:val="360"/>
        </w:trPr>
        <w:tc>
          <w:tcPr>
            <w:tcW w:w="9900" w:type="dxa"/>
            <w:gridSpan w:val="2"/>
            <w:tcBorders>
              <w:top w:val="single" w:sz="4" w:space="0" w:color="auto"/>
              <w:left w:val="single" w:sz="4" w:space="0" w:color="auto"/>
              <w:bottom w:val="single" w:sz="4" w:space="0" w:color="auto"/>
              <w:right w:val="single" w:sz="4" w:space="0" w:color="auto"/>
            </w:tcBorders>
            <w:shd w:val="clear" w:color="A6C9EC" w:fill="A6C9EC"/>
            <w:noWrap/>
            <w:vAlign w:val="bottom"/>
            <w:hideMark/>
          </w:tcPr>
          <w:p w14:paraId="4091B05F"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Open-ended Feedback</w:t>
            </w:r>
          </w:p>
        </w:tc>
      </w:tr>
      <w:tr w:rsidR="004239CB" w:rsidRPr="004239CB" w14:paraId="1966F5D5" w14:textId="77777777" w:rsidTr="004239CB">
        <w:trPr>
          <w:trHeight w:val="360"/>
        </w:trPr>
        <w:tc>
          <w:tcPr>
            <w:tcW w:w="117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7919E83" w14:textId="77777777" w:rsidR="004239CB" w:rsidRPr="004239CB" w:rsidRDefault="004239CB" w:rsidP="004239CB">
            <w:pPr>
              <w:spacing w:after="0" w:line="240" w:lineRule="auto"/>
              <w:jc w:val="center"/>
              <w:rPr>
                <w:rFonts w:eastAsia="Times New Roman"/>
                <w:color w:val="000000"/>
                <w:lang w:eastAsia="en-GB"/>
              </w:rPr>
            </w:pPr>
            <w:r w:rsidRPr="004239CB">
              <w:rPr>
                <w:rFonts w:eastAsia="Times New Roman"/>
                <w:color w:val="000000"/>
                <w:lang w:eastAsia="en-GB"/>
              </w:rPr>
              <w:t>What recommendations would you suggest for improving risk management practices in project management?</w:t>
            </w:r>
          </w:p>
        </w:tc>
        <w:tc>
          <w:tcPr>
            <w:tcW w:w="8730" w:type="dxa"/>
            <w:tcBorders>
              <w:top w:val="single" w:sz="4" w:space="0" w:color="auto"/>
              <w:left w:val="nil"/>
              <w:bottom w:val="single" w:sz="4" w:space="0" w:color="auto"/>
              <w:right w:val="single" w:sz="4" w:space="0" w:color="auto"/>
            </w:tcBorders>
            <w:shd w:val="clear" w:color="A6C9EC" w:fill="A6C9EC"/>
            <w:noWrap/>
            <w:vAlign w:val="bottom"/>
            <w:hideMark/>
          </w:tcPr>
          <w:p w14:paraId="787AC866"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 xml:space="preserve">Recommendations </w:t>
            </w:r>
          </w:p>
        </w:tc>
      </w:tr>
      <w:tr w:rsidR="004239CB" w:rsidRPr="004239CB" w14:paraId="7C409E41"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1DF19AC3"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58CAEF06"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More auditing</w:t>
            </w:r>
          </w:p>
        </w:tc>
      </w:tr>
      <w:tr w:rsidR="004239CB" w:rsidRPr="004239CB" w14:paraId="0E22011E"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56042517"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780FB865"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Training</w:t>
            </w:r>
          </w:p>
        </w:tc>
      </w:tr>
      <w:tr w:rsidR="004239CB" w:rsidRPr="004239CB" w14:paraId="1DE3DEB0"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49918A47"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6F72B057" w14:textId="5EA34774"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Integrating risk management into every stage of project regular reviews and not just at the start</w:t>
            </w:r>
          </w:p>
        </w:tc>
      </w:tr>
      <w:tr w:rsidR="004239CB" w:rsidRPr="004239CB" w14:paraId="64C4D521"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49E2BAC3"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1A23A6DB"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specific question relating to the project not general questions which could be open to different interpretation. Simple and quick to fill in, keep people engaged.</w:t>
            </w:r>
          </w:p>
        </w:tc>
      </w:tr>
      <w:tr w:rsidR="004239CB" w:rsidRPr="004239CB" w14:paraId="4BA82887" w14:textId="77777777" w:rsidTr="004239CB">
        <w:trPr>
          <w:trHeight w:val="9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6E314E51"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vAlign w:val="bottom"/>
            <w:hideMark/>
          </w:tcPr>
          <w:p w14:paraId="749678E0"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Real-time training, using real scenarios applicable to that Project Team. Must be simple to use and easily understood. Visually effective, so explain the risk and the mitigation easily. The risk management practice must be consistent across multiple workstreams, such as the template and the content within it should be the same from a Process Safety reporting aspect as it is for Environmental Aspects &amp; Impacts register.</w:t>
            </w:r>
          </w:p>
        </w:tc>
      </w:tr>
      <w:tr w:rsidR="004239CB" w:rsidRPr="004239CB" w14:paraId="2607B28B"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0D27A654"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45248B7A"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All team members using same metrics</w:t>
            </w:r>
          </w:p>
        </w:tc>
      </w:tr>
      <w:tr w:rsidR="004239CB" w:rsidRPr="004239CB" w14:paraId="482F1871"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10595591"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4E3451B3"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Have the correct level of competencies and experience on the team.</w:t>
            </w:r>
          </w:p>
        </w:tc>
      </w:tr>
      <w:tr w:rsidR="004239CB" w:rsidRPr="004239CB" w14:paraId="069E3916"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51C98DC7"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3C50E642"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Use 1 type of risk assessment/matrix to suit all circumstances.</w:t>
            </w:r>
          </w:p>
        </w:tc>
      </w:tr>
      <w:tr w:rsidR="004239CB" w:rsidRPr="004239CB" w14:paraId="333CAC11"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7F00C2ED"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5B42F84E"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Stakeholder Communication</w:t>
            </w:r>
          </w:p>
        </w:tc>
      </w:tr>
      <w:tr w:rsidR="004239CB" w:rsidRPr="004239CB" w14:paraId="2F7FE93F"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39A1D8F3"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110CB4C7"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Apply the appropriate tool for the job, normally governed by the size/cost of the project</w:t>
            </w:r>
          </w:p>
        </w:tc>
      </w:tr>
      <w:tr w:rsidR="004239CB" w:rsidRPr="004239CB" w14:paraId="04978308"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5923DD24"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4FE7A450"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The business should standardise to one set tool/approach so that continuity can be provided.</w:t>
            </w:r>
          </w:p>
        </w:tc>
      </w:tr>
      <w:tr w:rsidR="004239CB" w:rsidRPr="004239CB" w14:paraId="4F08AB67" w14:textId="77777777" w:rsidTr="004239CB">
        <w:trPr>
          <w:trHeight w:val="36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438A87F2"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bottom"/>
            <w:hideMark/>
          </w:tcPr>
          <w:p w14:paraId="348E380A" w14:textId="77777777" w:rsidR="004239CB" w:rsidRPr="004239CB" w:rsidRDefault="004239CB" w:rsidP="004239CB">
            <w:pPr>
              <w:spacing w:after="0" w:line="240" w:lineRule="auto"/>
              <w:rPr>
                <w:rFonts w:eastAsia="Times New Roman"/>
                <w:color w:val="000000"/>
                <w:lang w:eastAsia="en-GB"/>
              </w:rPr>
            </w:pPr>
            <w:r w:rsidRPr="004239CB">
              <w:rPr>
                <w:rFonts w:eastAsia="Times New Roman"/>
                <w:color w:val="000000"/>
                <w:lang w:eastAsia="en-GB"/>
              </w:rPr>
              <w:t>Setting the standard prior to undertaking the work</w:t>
            </w:r>
          </w:p>
        </w:tc>
      </w:tr>
      <w:tr w:rsidR="004239CB" w:rsidRPr="004239CB" w14:paraId="1394DA8B"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1AA46B1B"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center"/>
            <w:hideMark/>
          </w:tcPr>
          <w:p w14:paraId="30ADB8BC"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Stakeholder Communication</w:t>
            </w:r>
          </w:p>
        </w:tc>
      </w:tr>
      <w:tr w:rsidR="004239CB" w:rsidRPr="004239CB" w14:paraId="222AE08E"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5090BC98"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center"/>
            <w:hideMark/>
          </w:tcPr>
          <w:p w14:paraId="5B9FF29A"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Make it easier and simpler</w:t>
            </w:r>
          </w:p>
        </w:tc>
      </w:tr>
      <w:tr w:rsidR="004239CB" w:rsidRPr="004239CB" w14:paraId="42242240"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61F55C8F"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center"/>
            <w:hideMark/>
          </w:tcPr>
          <w:p w14:paraId="1CECC3E6"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Full stakeholder involvement</w:t>
            </w:r>
          </w:p>
        </w:tc>
      </w:tr>
      <w:tr w:rsidR="004239CB" w:rsidRPr="004239CB" w14:paraId="593E3D05"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7F42C6F7"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center"/>
            <w:hideMark/>
          </w:tcPr>
          <w:p w14:paraId="3FD7EA24"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Better awareness and understanding. A 'Buy in' from all stakeholders to understand the need for improving risk management practices.</w:t>
            </w:r>
          </w:p>
        </w:tc>
      </w:tr>
      <w:tr w:rsidR="004239CB" w:rsidRPr="004239CB" w14:paraId="114CCDA6"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43B7CFC5"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center"/>
            <w:hideMark/>
          </w:tcPr>
          <w:p w14:paraId="7DAA8211"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Apply the appropriate tool for the job, normally governed by the size/cost of the project</w:t>
            </w:r>
          </w:p>
        </w:tc>
      </w:tr>
      <w:tr w:rsidR="004239CB" w:rsidRPr="004239CB" w14:paraId="75864729"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4A7A1C5D"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center"/>
            <w:hideMark/>
          </w:tcPr>
          <w:p w14:paraId="499F0B6E"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Simplify RA and make them more manageable.</w:t>
            </w:r>
          </w:p>
        </w:tc>
      </w:tr>
      <w:tr w:rsidR="004239CB" w:rsidRPr="004239CB" w14:paraId="3CC306B3"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3B64E5AF"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center"/>
            <w:hideMark/>
          </w:tcPr>
          <w:p w14:paraId="28CC32BB"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More user friendly.</w:t>
            </w:r>
          </w:p>
        </w:tc>
      </w:tr>
      <w:tr w:rsidR="004239CB" w:rsidRPr="004239CB" w14:paraId="34984428"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20E4E7E8"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center"/>
            <w:hideMark/>
          </w:tcPr>
          <w:p w14:paraId="08A171D2"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The business should standardise to one set tool/approach so that continuity can be provided.</w:t>
            </w:r>
          </w:p>
        </w:tc>
      </w:tr>
      <w:tr w:rsidR="004239CB" w:rsidRPr="004239CB" w14:paraId="385B1640"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507B7537" w14:textId="77777777" w:rsidR="004239CB" w:rsidRPr="004239CB" w:rsidRDefault="004239CB" w:rsidP="004239CB">
            <w:pPr>
              <w:spacing w:after="0" w:line="240" w:lineRule="auto"/>
              <w:rPr>
                <w:rFonts w:eastAsia="Times New Roman"/>
                <w:color w:val="000000"/>
                <w:lang w:eastAsia="en-GB"/>
              </w:rPr>
            </w:pPr>
          </w:p>
        </w:tc>
        <w:tc>
          <w:tcPr>
            <w:tcW w:w="8730" w:type="dxa"/>
            <w:tcBorders>
              <w:top w:val="single" w:sz="4" w:space="0" w:color="auto"/>
              <w:left w:val="nil"/>
              <w:bottom w:val="single" w:sz="4" w:space="0" w:color="auto"/>
              <w:right w:val="single" w:sz="4" w:space="0" w:color="auto"/>
            </w:tcBorders>
            <w:noWrap/>
            <w:vAlign w:val="center"/>
            <w:hideMark/>
          </w:tcPr>
          <w:p w14:paraId="2B4CB226"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hands on training and use of specialist companies</w:t>
            </w:r>
          </w:p>
        </w:tc>
      </w:tr>
      <w:tr w:rsidR="004239CB" w:rsidRPr="004239CB" w14:paraId="3EF5EADD"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197162CE" w14:textId="77777777" w:rsidR="004239CB" w:rsidRPr="004239CB" w:rsidRDefault="004239CB" w:rsidP="004239CB">
            <w:pPr>
              <w:spacing w:after="0" w:line="240" w:lineRule="auto"/>
              <w:rPr>
                <w:rFonts w:eastAsia="Times New Roman"/>
                <w:color w:val="000000"/>
                <w:lang w:eastAsia="en-GB"/>
              </w:rPr>
            </w:pPr>
          </w:p>
        </w:tc>
        <w:tc>
          <w:tcPr>
            <w:tcW w:w="8730" w:type="dxa"/>
            <w:tcBorders>
              <w:top w:val="nil"/>
              <w:left w:val="nil"/>
              <w:bottom w:val="single" w:sz="4" w:space="0" w:color="auto"/>
              <w:right w:val="single" w:sz="4" w:space="0" w:color="auto"/>
            </w:tcBorders>
            <w:noWrap/>
            <w:vAlign w:val="center"/>
            <w:hideMark/>
          </w:tcPr>
          <w:p w14:paraId="2DE82C3D"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Setting the standard prior to undertaking the work</w:t>
            </w:r>
          </w:p>
        </w:tc>
      </w:tr>
      <w:tr w:rsidR="004239CB" w:rsidRPr="004239CB" w14:paraId="3013D4B8" w14:textId="77777777" w:rsidTr="004239CB">
        <w:trPr>
          <w:trHeight w:val="300"/>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7B3FFDCB" w14:textId="77777777" w:rsidR="004239CB" w:rsidRPr="004239CB" w:rsidRDefault="004239CB" w:rsidP="004239CB">
            <w:pPr>
              <w:spacing w:after="0" w:line="240" w:lineRule="auto"/>
              <w:rPr>
                <w:rFonts w:eastAsia="Times New Roman"/>
                <w:color w:val="000000"/>
                <w:lang w:eastAsia="en-GB"/>
              </w:rPr>
            </w:pPr>
          </w:p>
        </w:tc>
        <w:tc>
          <w:tcPr>
            <w:tcW w:w="8730" w:type="dxa"/>
            <w:tcBorders>
              <w:top w:val="nil"/>
              <w:left w:val="nil"/>
              <w:bottom w:val="single" w:sz="4" w:space="0" w:color="auto"/>
              <w:right w:val="single" w:sz="4" w:space="0" w:color="auto"/>
            </w:tcBorders>
            <w:noWrap/>
            <w:vAlign w:val="center"/>
            <w:hideMark/>
          </w:tcPr>
          <w:p w14:paraId="60F848F5" w14:textId="77777777" w:rsidR="004239CB" w:rsidRPr="004239CB" w:rsidRDefault="004239CB" w:rsidP="004239CB">
            <w:pPr>
              <w:spacing w:after="0" w:line="240" w:lineRule="auto"/>
              <w:rPr>
                <w:rFonts w:eastAsia="Times New Roman"/>
                <w:color w:val="202124"/>
                <w:lang w:eastAsia="en-GB"/>
              </w:rPr>
            </w:pPr>
            <w:r w:rsidRPr="004239CB">
              <w:rPr>
                <w:rFonts w:eastAsia="Times New Roman"/>
                <w:color w:val="202124"/>
                <w:lang w:eastAsia="en-GB"/>
              </w:rPr>
              <w:t>Make it easier and more user friendly</w:t>
            </w:r>
          </w:p>
        </w:tc>
      </w:tr>
    </w:tbl>
    <w:p w14:paraId="71B8E88E" w14:textId="7DE3BDE2" w:rsidR="004239CB" w:rsidRDefault="004239CB" w:rsidP="004239CB">
      <w:pPr>
        <w:pStyle w:val="Caption"/>
        <w:jc w:val="center"/>
      </w:pPr>
      <w:bookmarkStart w:id="131" w:name="_Toc219216440"/>
      <w:r>
        <w:t xml:space="preserve">Table </w:t>
      </w:r>
      <w:fldSimple w:instr=" SEQ Table \* ARABIC ">
        <w:r>
          <w:rPr>
            <w:noProof/>
          </w:rPr>
          <w:t>27</w:t>
        </w:r>
      </w:fldSimple>
      <w:r>
        <w:t xml:space="preserve"> - </w:t>
      </w:r>
      <w:r w:rsidRPr="00FF6264">
        <w:t>Questionnaire Q</w:t>
      </w:r>
      <w:r>
        <w:t>21</w:t>
      </w:r>
      <w:r w:rsidRPr="00FF6264">
        <w:t xml:space="preserve"> Data Set</w:t>
      </w:r>
      <w:bookmarkEnd w:id="131"/>
    </w:p>
    <w:p w14:paraId="506E9AF8" w14:textId="77777777" w:rsidR="004239CB" w:rsidRDefault="004239CB" w:rsidP="00932E71">
      <w:pPr>
        <w:spacing w:after="0"/>
      </w:pPr>
    </w:p>
    <w:p w14:paraId="20E8BA5F" w14:textId="77777777" w:rsidR="004239CB" w:rsidRDefault="004239CB" w:rsidP="00932E71">
      <w:pPr>
        <w:spacing w:after="0"/>
      </w:pPr>
    </w:p>
    <w:p w14:paraId="664461BF" w14:textId="77777777" w:rsidR="004239CB" w:rsidRPr="00932E71" w:rsidRDefault="004239CB" w:rsidP="00932E71">
      <w:pPr>
        <w:spacing w:after="0"/>
      </w:pPr>
    </w:p>
    <w:sectPr w:rsidR="004239CB" w:rsidRPr="00932E71" w:rsidSect="00C10077">
      <w:footerReference w:type="default" r:id="rId29"/>
      <w:pgSz w:w="11906" w:h="16838"/>
      <w:pgMar w:top="1350" w:right="1440" w:bottom="153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C0B65" w14:textId="77777777" w:rsidR="000E0AB6" w:rsidRDefault="000E0AB6" w:rsidP="002C5F60">
      <w:pPr>
        <w:spacing w:after="0" w:line="240" w:lineRule="auto"/>
      </w:pPr>
      <w:r>
        <w:separator/>
      </w:r>
    </w:p>
  </w:endnote>
  <w:endnote w:type="continuationSeparator" w:id="0">
    <w:p w14:paraId="29852A19" w14:textId="77777777" w:rsidR="000E0AB6" w:rsidRDefault="000E0AB6" w:rsidP="002C5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8671447"/>
      <w:docPartObj>
        <w:docPartGallery w:val="Page Numbers (Bottom of Page)"/>
        <w:docPartUnique/>
      </w:docPartObj>
    </w:sdtPr>
    <w:sdtContent>
      <w:sdt>
        <w:sdtPr>
          <w:id w:val="-1769616900"/>
          <w:docPartObj>
            <w:docPartGallery w:val="Page Numbers (Top of Page)"/>
            <w:docPartUnique/>
          </w:docPartObj>
        </w:sdtPr>
        <w:sdtContent>
          <w:p w14:paraId="5291B99B" w14:textId="7CE03847" w:rsidR="004346CF" w:rsidRPr="004346CF" w:rsidRDefault="004346CF">
            <w:pPr>
              <w:pStyle w:val="Footer"/>
              <w:jc w:val="right"/>
            </w:pPr>
            <w:r w:rsidRPr="004346CF">
              <w:t xml:space="preserve">Page </w:t>
            </w:r>
            <w:r w:rsidRPr="004346CF">
              <w:rPr>
                <w:sz w:val="24"/>
                <w:szCs w:val="24"/>
              </w:rPr>
              <w:fldChar w:fldCharType="begin"/>
            </w:r>
            <w:r w:rsidRPr="004346CF">
              <w:instrText xml:space="preserve"> PAGE </w:instrText>
            </w:r>
            <w:r w:rsidRPr="004346CF">
              <w:rPr>
                <w:sz w:val="24"/>
                <w:szCs w:val="24"/>
              </w:rPr>
              <w:fldChar w:fldCharType="separate"/>
            </w:r>
            <w:r w:rsidRPr="004346CF">
              <w:rPr>
                <w:noProof/>
              </w:rPr>
              <w:t>2</w:t>
            </w:r>
            <w:r w:rsidRPr="004346CF">
              <w:rPr>
                <w:sz w:val="24"/>
                <w:szCs w:val="24"/>
              </w:rPr>
              <w:fldChar w:fldCharType="end"/>
            </w:r>
            <w:r w:rsidRPr="004346CF">
              <w:t xml:space="preserve"> of </w:t>
            </w:r>
            <w:fldSimple w:instr=" NUMPAGES  ">
              <w:r w:rsidRPr="004346CF">
                <w:rPr>
                  <w:noProof/>
                </w:rPr>
                <w:t>2</w:t>
              </w:r>
            </w:fldSimple>
          </w:p>
        </w:sdtContent>
      </w:sdt>
    </w:sdtContent>
  </w:sdt>
  <w:p w14:paraId="5073136D" w14:textId="77777777" w:rsidR="004346CF" w:rsidRDefault="0043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3BC14" w14:textId="77777777" w:rsidR="000E0AB6" w:rsidRDefault="000E0AB6" w:rsidP="002C5F60">
      <w:pPr>
        <w:spacing w:after="0" w:line="240" w:lineRule="auto"/>
      </w:pPr>
      <w:r>
        <w:separator/>
      </w:r>
    </w:p>
  </w:footnote>
  <w:footnote w:type="continuationSeparator" w:id="0">
    <w:p w14:paraId="4E79CCD1" w14:textId="77777777" w:rsidR="000E0AB6" w:rsidRDefault="000E0AB6" w:rsidP="002C5F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23F21"/>
    <w:multiLevelType w:val="hybridMultilevel"/>
    <w:tmpl w:val="3EA25356"/>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abstractNum w:abstractNumId="1" w15:restartNumberingAfterBreak="0">
    <w:nsid w:val="0718569D"/>
    <w:multiLevelType w:val="hybridMultilevel"/>
    <w:tmpl w:val="F8A46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E0395"/>
    <w:multiLevelType w:val="hybridMultilevel"/>
    <w:tmpl w:val="9110ACE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72A9D"/>
    <w:multiLevelType w:val="hybridMultilevel"/>
    <w:tmpl w:val="683AE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95EC1"/>
    <w:multiLevelType w:val="hybridMultilevel"/>
    <w:tmpl w:val="CF880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F3598"/>
    <w:multiLevelType w:val="hybridMultilevel"/>
    <w:tmpl w:val="44EA1210"/>
    <w:lvl w:ilvl="0" w:tplc="0809000F">
      <w:start w:val="1"/>
      <w:numFmt w:val="decimal"/>
      <w:lvlText w:val="%1."/>
      <w:lvlJc w:val="left"/>
      <w:pPr>
        <w:ind w:left="144" w:hanging="360"/>
      </w:pPr>
    </w:lvl>
    <w:lvl w:ilvl="1" w:tplc="08090019" w:tentative="1">
      <w:start w:val="1"/>
      <w:numFmt w:val="lowerLetter"/>
      <w:lvlText w:val="%2."/>
      <w:lvlJc w:val="left"/>
      <w:pPr>
        <w:ind w:left="864" w:hanging="360"/>
      </w:pPr>
    </w:lvl>
    <w:lvl w:ilvl="2" w:tplc="0809001B" w:tentative="1">
      <w:start w:val="1"/>
      <w:numFmt w:val="lowerRoman"/>
      <w:lvlText w:val="%3."/>
      <w:lvlJc w:val="right"/>
      <w:pPr>
        <w:ind w:left="1584" w:hanging="180"/>
      </w:pPr>
    </w:lvl>
    <w:lvl w:ilvl="3" w:tplc="0809000F" w:tentative="1">
      <w:start w:val="1"/>
      <w:numFmt w:val="decimal"/>
      <w:lvlText w:val="%4."/>
      <w:lvlJc w:val="left"/>
      <w:pPr>
        <w:ind w:left="2304" w:hanging="360"/>
      </w:pPr>
    </w:lvl>
    <w:lvl w:ilvl="4" w:tplc="08090019" w:tentative="1">
      <w:start w:val="1"/>
      <w:numFmt w:val="lowerLetter"/>
      <w:lvlText w:val="%5."/>
      <w:lvlJc w:val="left"/>
      <w:pPr>
        <w:ind w:left="3024" w:hanging="360"/>
      </w:pPr>
    </w:lvl>
    <w:lvl w:ilvl="5" w:tplc="0809001B" w:tentative="1">
      <w:start w:val="1"/>
      <w:numFmt w:val="lowerRoman"/>
      <w:lvlText w:val="%6."/>
      <w:lvlJc w:val="right"/>
      <w:pPr>
        <w:ind w:left="3744" w:hanging="180"/>
      </w:pPr>
    </w:lvl>
    <w:lvl w:ilvl="6" w:tplc="0809000F" w:tentative="1">
      <w:start w:val="1"/>
      <w:numFmt w:val="decimal"/>
      <w:lvlText w:val="%7."/>
      <w:lvlJc w:val="left"/>
      <w:pPr>
        <w:ind w:left="4464" w:hanging="360"/>
      </w:pPr>
    </w:lvl>
    <w:lvl w:ilvl="7" w:tplc="08090019" w:tentative="1">
      <w:start w:val="1"/>
      <w:numFmt w:val="lowerLetter"/>
      <w:lvlText w:val="%8."/>
      <w:lvlJc w:val="left"/>
      <w:pPr>
        <w:ind w:left="5184" w:hanging="360"/>
      </w:pPr>
    </w:lvl>
    <w:lvl w:ilvl="8" w:tplc="0809001B" w:tentative="1">
      <w:start w:val="1"/>
      <w:numFmt w:val="lowerRoman"/>
      <w:lvlText w:val="%9."/>
      <w:lvlJc w:val="right"/>
      <w:pPr>
        <w:ind w:left="5904" w:hanging="180"/>
      </w:pPr>
    </w:lvl>
  </w:abstractNum>
  <w:abstractNum w:abstractNumId="6" w15:restartNumberingAfterBreak="0">
    <w:nsid w:val="17ED2720"/>
    <w:multiLevelType w:val="hybridMultilevel"/>
    <w:tmpl w:val="79D08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2A0206"/>
    <w:multiLevelType w:val="hybridMultilevel"/>
    <w:tmpl w:val="A350B308"/>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abstractNum w:abstractNumId="8" w15:restartNumberingAfterBreak="0">
    <w:nsid w:val="1A61347F"/>
    <w:multiLevelType w:val="hybridMultilevel"/>
    <w:tmpl w:val="464A0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41572B"/>
    <w:multiLevelType w:val="hybridMultilevel"/>
    <w:tmpl w:val="83E0C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17F6A"/>
    <w:multiLevelType w:val="hybridMultilevel"/>
    <w:tmpl w:val="8E3E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9D651A"/>
    <w:multiLevelType w:val="hybridMultilevel"/>
    <w:tmpl w:val="D8BAF87A"/>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abstractNum w:abstractNumId="12" w15:restartNumberingAfterBreak="0">
    <w:nsid w:val="244115DC"/>
    <w:multiLevelType w:val="multilevel"/>
    <w:tmpl w:val="5B706060"/>
    <w:lvl w:ilvl="0">
      <w:start w:val="1"/>
      <w:numFmt w:val="decimal"/>
      <w:lvlText w:val="%1."/>
      <w:lvlJc w:val="left"/>
      <w:pPr>
        <w:ind w:left="144" w:hanging="360"/>
      </w:pPr>
    </w:lvl>
    <w:lvl w:ilvl="1">
      <w:start w:val="1"/>
      <w:numFmt w:val="decimal"/>
      <w:isLgl/>
      <w:lvlText w:val="%1.%2."/>
      <w:lvlJc w:val="left"/>
      <w:pPr>
        <w:ind w:left="144" w:hanging="360"/>
      </w:pPr>
      <w:rPr>
        <w:rFonts w:hint="default"/>
      </w:rPr>
    </w:lvl>
    <w:lvl w:ilvl="2">
      <w:start w:val="1"/>
      <w:numFmt w:val="decimal"/>
      <w:isLgl/>
      <w:lvlText w:val="%1.%2.%3."/>
      <w:lvlJc w:val="left"/>
      <w:pPr>
        <w:ind w:left="504" w:hanging="720"/>
      </w:pPr>
      <w:rPr>
        <w:rFonts w:hint="default"/>
      </w:rPr>
    </w:lvl>
    <w:lvl w:ilvl="3">
      <w:start w:val="1"/>
      <w:numFmt w:val="decimal"/>
      <w:isLgl/>
      <w:lvlText w:val="%1.%2.%3.%4."/>
      <w:lvlJc w:val="left"/>
      <w:pPr>
        <w:ind w:left="504" w:hanging="720"/>
      </w:pPr>
      <w:rPr>
        <w:rFonts w:hint="default"/>
      </w:rPr>
    </w:lvl>
    <w:lvl w:ilvl="4">
      <w:start w:val="1"/>
      <w:numFmt w:val="decimal"/>
      <w:isLgl/>
      <w:lvlText w:val="%1.%2.%3.%4.%5."/>
      <w:lvlJc w:val="left"/>
      <w:pPr>
        <w:ind w:left="864" w:hanging="1080"/>
      </w:pPr>
      <w:rPr>
        <w:rFonts w:hint="default"/>
      </w:rPr>
    </w:lvl>
    <w:lvl w:ilvl="5">
      <w:start w:val="1"/>
      <w:numFmt w:val="decimal"/>
      <w:isLgl/>
      <w:lvlText w:val="%1.%2.%3.%4.%5.%6."/>
      <w:lvlJc w:val="left"/>
      <w:pPr>
        <w:ind w:left="864" w:hanging="1080"/>
      </w:pPr>
      <w:rPr>
        <w:rFonts w:hint="default"/>
      </w:rPr>
    </w:lvl>
    <w:lvl w:ilvl="6">
      <w:start w:val="1"/>
      <w:numFmt w:val="decimal"/>
      <w:isLgl/>
      <w:lvlText w:val="%1.%2.%3.%4.%5.%6.%7."/>
      <w:lvlJc w:val="left"/>
      <w:pPr>
        <w:ind w:left="1224" w:hanging="1440"/>
      </w:pPr>
      <w:rPr>
        <w:rFonts w:hint="default"/>
      </w:rPr>
    </w:lvl>
    <w:lvl w:ilvl="7">
      <w:start w:val="1"/>
      <w:numFmt w:val="decimal"/>
      <w:isLgl/>
      <w:lvlText w:val="%1.%2.%3.%4.%5.%6.%7.%8."/>
      <w:lvlJc w:val="left"/>
      <w:pPr>
        <w:ind w:left="1224" w:hanging="1440"/>
      </w:pPr>
      <w:rPr>
        <w:rFonts w:hint="default"/>
      </w:rPr>
    </w:lvl>
    <w:lvl w:ilvl="8">
      <w:start w:val="1"/>
      <w:numFmt w:val="decimal"/>
      <w:isLgl/>
      <w:lvlText w:val="%1.%2.%3.%4.%5.%6.%7.%8.%9."/>
      <w:lvlJc w:val="left"/>
      <w:pPr>
        <w:ind w:left="1584" w:hanging="1800"/>
      </w:pPr>
      <w:rPr>
        <w:rFonts w:hint="default"/>
      </w:rPr>
    </w:lvl>
  </w:abstractNum>
  <w:abstractNum w:abstractNumId="13" w15:restartNumberingAfterBreak="0">
    <w:nsid w:val="250C6DC4"/>
    <w:multiLevelType w:val="hybridMultilevel"/>
    <w:tmpl w:val="93A21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524E3"/>
    <w:multiLevelType w:val="hybridMultilevel"/>
    <w:tmpl w:val="8DA20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FC1B7C"/>
    <w:multiLevelType w:val="multilevel"/>
    <w:tmpl w:val="285A66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5705F6"/>
    <w:multiLevelType w:val="hybridMultilevel"/>
    <w:tmpl w:val="C3DA3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4D4BC9"/>
    <w:multiLevelType w:val="hybridMultilevel"/>
    <w:tmpl w:val="50C89708"/>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abstractNum w:abstractNumId="18" w15:restartNumberingAfterBreak="0">
    <w:nsid w:val="4162163C"/>
    <w:multiLevelType w:val="hybridMultilevel"/>
    <w:tmpl w:val="6D583D5A"/>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9" w15:restartNumberingAfterBreak="0">
    <w:nsid w:val="428F2908"/>
    <w:multiLevelType w:val="hybridMultilevel"/>
    <w:tmpl w:val="AA367260"/>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abstractNum w:abstractNumId="20" w15:restartNumberingAfterBreak="0">
    <w:nsid w:val="47EC6B49"/>
    <w:multiLevelType w:val="hybridMultilevel"/>
    <w:tmpl w:val="54CEB3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8383D6E"/>
    <w:multiLevelType w:val="hybridMultilevel"/>
    <w:tmpl w:val="C5247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3177BC"/>
    <w:multiLevelType w:val="hybridMultilevel"/>
    <w:tmpl w:val="991E85F0"/>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abstractNum w:abstractNumId="23" w15:restartNumberingAfterBreak="0">
    <w:nsid w:val="4B5420B0"/>
    <w:multiLevelType w:val="hybridMultilevel"/>
    <w:tmpl w:val="82C0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F67364"/>
    <w:multiLevelType w:val="hybridMultilevel"/>
    <w:tmpl w:val="2BD040B6"/>
    <w:lvl w:ilvl="0" w:tplc="3EC8D2CA">
      <w:start w:val="1"/>
      <w:numFmt w:val="decimal"/>
      <w:lvlText w:val="%1."/>
      <w:lvlJc w:val="left"/>
      <w:pPr>
        <w:ind w:left="7" w:hanging="585"/>
      </w:pPr>
      <w:rPr>
        <w:rFonts w:hint="default"/>
      </w:rPr>
    </w:lvl>
    <w:lvl w:ilvl="1" w:tplc="08090019" w:tentative="1">
      <w:start w:val="1"/>
      <w:numFmt w:val="lowerLetter"/>
      <w:lvlText w:val="%2."/>
      <w:lvlJc w:val="left"/>
      <w:pPr>
        <w:ind w:left="502" w:hanging="360"/>
      </w:pPr>
    </w:lvl>
    <w:lvl w:ilvl="2" w:tplc="0809001B" w:tentative="1">
      <w:start w:val="1"/>
      <w:numFmt w:val="lowerRoman"/>
      <w:lvlText w:val="%3."/>
      <w:lvlJc w:val="right"/>
      <w:pPr>
        <w:ind w:left="1222" w:hanging="180"/>
      </w:pPr>
    </w:lvl>
    <w:lvl w:ilvl="3" w:tplc="0809000F" w:tentative="1">
      <w:start w:val="1"/>
      <w:numFmt w:val="decimal"/>
      <w:lvlText w:val="%4."/>
      <w:lvlJc w:val="left"/>
      <w:pPr>
        <w:ind w:left="1942" w:hanging="360"/>
      </w:pPr>
    </w:lvl>
    <w:lvl w:ilvl="4" w:tplc="08090019" w:tentative="1">
      <w:start w:val="1"/>
      <w:numFmt w:val="lowerLetter"/>
      <w:lvlText w:val="%5."/>
      <w:lvlJc w:val="left"/>
      <w:pPr>
        <w:ind w:left="2662" w:hanging="360"/>
      </w:pPr>
    </w:lvl>
    <w:lvl w:ilvl="5" w:tplc="0809001B" w:tentative="1">
      <w:start w:val="1"/>
      <w:numFmt w:val="lowerRoman"/>
      <w:lvlText w:val="%6."/>
      <w:lvlJc w:val="right"/>
      <w:pPr>
        <w:ind w:left="3382" w:hanging="180"/>
      </w:pPr>
    </w:lvl>
    <w:lvl w:ilvl="6" w:tplc="0809000F" w:tentative="1">
      <w:start w:val="1"/>
      <w:numFmt w:val="decimal"/>
      <w:lvlText w:val="%7."/>
      <w:lvlJc w:val="left"/>
      <w:pPr>
        <w:ind w:left="4102" w:hanging="360"/>
      </w:pPr>
    </w:lvl>
    <w:lvl w:ilvl="7" w:tplc="08090019" w:tentative="1">
      <w:start w:val="1"/>
      <w:numFmt w:val="lowerLetter"/>
      <w:lvlText w:val="%8."/>
      <w:lvlJc w:val="left"/>
      <w:pPr>
        <w:ind w:left="4822" w:hanging="360"/>
      </w:pPr>
    </w:lvl>
    <w:lvl w:ilvl="8" w:tplc="0809001B" w:tentative="1">
      <w:start w:val="1"/>
      <w:numFmt w:val="lowerRoman"/>
      <w:lvlText w:val="%9."/>
      <w:lvlJc w:val="right"/>
      <w:pPr>
        <w:ind w:left="5542" w:hanging="180"/>
      </w:pPr>
    </w:lvl>
  </w:abstractNum>
  <w:abstractNum w:abstractNumId="25" w15:restartNumberingAfterBreak="0">
    <w:nsid w:val="52670D2F"/>
    <w:multiLevelType w:val="hybridMultilevel"/>
    <w:tmpl w:val="88F8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051A59"/>
    <w:multiLevelType w:val="hybridMultilevel"/>
    <w:tmpl w:val="28281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D22DD6"/>
    <w:multiLevelType w:val="hybridMultilevel"/>
    <w:tmpl w:val="6D06F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E85D4F"/>
    <w:multiLevelType w:val="hybridMultilevel"/>
    <w:tmpl w:val="BBD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176C55"/>
    <w:multiLevelType w:val="hybridMultilevel"/>
    <w:tmpl w:val="8CBA6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B7299"/>
    <w:multiLevelType w:val="multilevel"/>
    <w:tmpl w:val="379A71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DD6F25"/>
    <w:multiLevelType w:val="hybridMultilevel"/>
    <w:tmpl w:val="6BFAF598"/>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32" w15:restartNumberingAfterBreak="0">
    <w:nsid w:val="5CC121EB"/>
    <w:multiLevelType w:val="hybridMultilevel"/>
    <w:tmpl w:val="F56E1ACA"/>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abstractNum w:abstractNumId="33" w15:restartNumberingAfterBreak="0">
    <w:nsid w:val="63A45F57"/>
    <w:multiLevelType w:val="hybridMultilevel"/>
    <w:tmpl w:val="9E4421B8"/>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34" w15:restartNumberingAfterBreak="0">
    <w:nsid w:val="63D40E6F"/>
    <w:multiLevelType w:val="hybridMultilevel"/>
    <w:tmpl w:val="AFA4B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830484"/>
    <w:multiLevelType w:val="hybridMultilevel"/>
    <w:tmpl w:val="C3B69B34"/>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abstractNum w:abstractNumId="36" w15:restartNumberingAfterBreak="0">
    <w:nsid w:val="6FDE6BD2"/>
    <w:multiLevelType w:val="hybridMultilevel"/>
    <w:tmpl w:val="5824E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0070B74"/>
    <w:multiLevelType w:val="hybridMultilevel"/>
    <w:tmpl w:val="4B30D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60394C"/>
    <w:multiLevelType w:val="hybridMultilevel"/>
    <w:tmpl w:val="9580CAB6"/>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abstractNum w:abstractNumId="39" w15:restartNumberingAfterBreak="0">
    <w:nsid w:val="75C43F64"/>
    <w:multiLevelType w:val="hybridMultilevel"/>
    <w:tmpl w:val="5C6E6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B7076A"/>
    <w:multiLevelType w:val="hybridMultilevel"/>
    <w:tmpl w:val="3E92BAFE"/>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abstractNum w:abstractNumId="41" w15:restartNumberingAfterBreak="0">
    <w:nsid w:val="78F93625"/>
    <w:multiLevelType w:val="hybridMultilevel"/>
    <w:tmpl w:val="C03A0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9C9794D"/>
    <w:multiLevelType w:val="hybridMultilevel"/>
    <w:tmpl w:val="804A0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222D2F"/>
    <w:multiLevelType w:val="hybridMultilevel"/>
    <w:tmpl w:val="C910E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241F9C"/>
    <w:multiLevelType w:val="hybridMultilevel"/>
    <w:tmpl w:val="57EA1140"/>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45" w15:restartNumberingAfterBreak="0">
    <w:nsid w:val="7D701323"/>
    <w:multiLevelType w:val="multilevel"/>
    <w:tmpl w:val="D664556E"/>
    <w:lvl w:ilvl="0">
      <w:start w:val="1"/>
      <w:numFmt w:val="decimal"/>
      <w:lvlText w:val="%1.0"/>
      <w:lvlJc w:val="left"/>
      <w:pPr>
        <w:ind w:left="1080" w:hanging="540"/>
      </w:pPr>
      <w:rPr>
        <w:rFonts w:hint="default"/>
      </w:rPr>
    </w:lvl>
    <w:lvl w:ilvl="1">
      <w:start w:val="1"/>
      <w:numFmt w:val="decimal"/>
      <w:lvlText w:val="%1.%2"/>
      <w:lvlJc w:val="left"/>
      <w:pPr>
        <w:ind w:left="1800" w:hanging="54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22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020" w:hanging="1440"/>
      </w:pPr>
      <w:rPr>
        <w:rFonts w:hint="default"/>
      </w:rPr>
    </w:lvl>
    <w:lvl w:ilvl="8">
      <w:start w:val="1"/>
      <w:numFmt w:val="decimal"/>
      <w:lvlText w:val="%1.%2.%3.%4.%5.%6.%7.%8.%9"/>
      <w:lvlJc w:val="left"/>
      <w:pPr>
        <w:ind w:left="8100" w:hanging="1800"/>
      </w:pPr>
      <w:rPr>
        <w:rFonts w:hint="default"/>
      </w:rPr>
    </w:lvl>
  </w:abstractNum>
  <w:abstractNum w:abstractNumId="46" w15:restartNumberingAfterBreak="0">
    <w:nsid w:val="7F7B704C"/>
    <w:multiLevelType w:val="hybridMultilevel"/>
    <w:tmpl w:val="AD52BC18"/>
    <w:lvl w:ilvl="0" w:tplc="08090001">
      <w:start w:val="1"/>
      <w:numFmt w:val="bullet"/>
      <w:lvlText w:val=""/>
      <w:lvlJc w:val="left"/>
      <w:pPr>
        <w:ind w:left="144" w:hanging="360"/>
      </w:pPr>
      <w:rPr>
        <w:rFonts w:ascii="Symbol" w:hAnsi="Symbol" w:hint="default"/>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584" w:hanging="360"/>
      </w:pPr>
      <w:rPr>
        <w:rFonts w:ascii="Wingdings" w:hAnsi="Wingdings" w:hint="default"/>
      </w:rPr>
    </w:lvl>
    <w:lvl w:ilvl="3" w:tplc="08090001" w:tentative="1">
      <w:start w:val="1"/>
      <w:numFmt w:val="bullet"/>
      <w:lvlText w:val=""/>
      <w:lvlJc w:val="left"/>
      <w:pPr>
        <w:ind w:left="2304" w:hanging="360"/>
      </w:pPr>
      <w:rPr>
        <w:rFonts w:ascii="Symbol" w:hAnsi="Symbol" w:hint="default"/>
      </w:rPr>
    </w:lvl>
    <w:lvl w:ilvl="4" w:tplc="08090003" w:tentative="1">
      <w:start w:val="1"/>
      <w:numFmt w:val="bullet"/>
      <w:lvlText w:val="o"/>
      <w:lvlJc w:val="left"/>
      <w:pPr>
        <w:ind w:left="3024" w:hanging="360"/>
      </w:pPr>
      <w:rPr>
        <w:rFonts w:ascii="Courier New" w:hAnsi="Courier New" w:cs="Courier New" w:hint="default"/>
      </w:rPr>
    </w:lvl>
    <w:lvl w:ilvl="5" w:tplc="08090005" w:tentative="1">
      <w:start w:val="1"/>
      <w:numFmt w:val="bullet"/>
      <w:lvlText w:val=""/>
      <w:lvlJc w:val="left"/>
      <w:pPr>
        <w:ind w:left="3744" w:hanging="360"/>
      </w:pPr>
      <w:rPr>
        <w:rFonts w:ascii="Wingdings" w:hAnsi="Wingdings" w:hint="default"/>
      </w:rPr>
    </w:lvl>
    <w:lvl w:ilvl="6" w:tplc="08090001" w:tentative="1">
      <w:start w:val="1"/>
      <w:numFmt w:val="bullet"/>
      <w:lvlText w:val=""/>
      <w:lvlJc w:val="left"/>
      <w:pPr>
        <w:ind w:left="4464" w:hanging="360"/>
      </w:pPr>
      <w:rPr>
        <w:rFonts w:ascii="Symbol" w:hAnsi="Symbol" w:hint="default"/>
      </w:rPr>
    </w:lvl>
    <w:lvl w:ilvl="7" w:tplc="08090003" w:tentative="1">
      <w:start w:val="1"/>
      <w:numFmt w:val="bullet"/>
      <w:lvlText w:val="o"/>
      <w:lvlJc w:val="left"/>
      <w:pPr>
        <w:ind w:left="5184" w:hanging="360"/>
      </w:pPr>
      <w:rPr>
        <w:rFonts w:ascii="Courier New" w:hAnsi="Courier New" w:cs="Courier New" w:hint="default"/>
      </w:rPr>
    </w:lvl>
    <w:lvl w:ilvl="8" w:tplc="08090005" w:tentative="1">
      <w:start w:val="1"/>
      <w:numFmt w:val="bullet"/>
      <w:lvlText w:val=""/>
      <w:lvlJc w:val="left"/>
      <w:pPr>
        <w:ind w:left="5904" w:hanging="360"/>
      </w:pPr>
      <w:rPr>
        <w:rFonts w:ascii="Wingdings" w:hAnsi="Wingdings" w:hint="default"/>
      </w:rPr>
    </w:lvl>
  </w:abstractNum>
  <w:num w:numId="1" w16cid:durableId="299381864">
    <w:abstractNumId w:val="45"/>
  </w:num>
  <w:num w:numId="2" w16cid:durableId="58141460">
    <w:abstractNumId w:val="14"/>
  </w:num>
  <w:num w:numId="3" w16cid:durableId="905264793">
    <w:abstractNumId w:val="23"/>
  </w:num>
  <w:num w:numId="4" w16cid:durableId="1524325524">
    <w:abstractNumId w:val="42"/>
  </w:num>
  <w:num w:numId="5" w16cid:durableId="1783836234">
    <w:abstractNumId w:val="2"/>
  </w:num>
  <w:num w:numId="6" w16cid:durableId="586891597">
    <w:abstractNumId w:val="1"/>
  </w:num>
  <w:num w:numId="7" w16cid:durableId="1762949865">
    <w:abstractNumId w:val="6"/>
  </w:num>
  <w:num w:numId="8" w16cid:durableId="671957857">
    <w:abstractNumId w:val="9"/>
  </w:num>
  <w:num w:numId="9" w16cid:durableId="73936667">
    <w:abstractNumId w:val="26"/>
  </w:num>
  <w:num w:numId="10" w16cid:durableId="1574076260">
    <w:abstractNumId w:val="8"/>
  </w:num>
  <w:num w:numId="11" w16cid:durableId="1253274719">
    <w:abstractNumId w:val="39"/>
  </w:num>
  <w:num w:numId="12" w16cid:durableId="894438860">
    <w:abstractNumId w:val="13"/>
  </w:num>
  <w:num w:numId="13" w16cid:durableId="748117159">
    <w:abstractNumId w:val="28"/>
  </w:num>
  <w:num w:numId="14" w16cid:durableId="465390355">
    <w:abstractNumId w:val="25"/>
  </w:num>
  <w:num w:numId="15" w16cid:durableId="1253469321">
    <w:abstractNumId w:val="43"/>
  </w:num>
  <w:num w:numId="16" w16cid:durableId="1618099203">
    <w:abstractNumId w:val="3"/>
  </w:num>
  <w:num w:numId="17" w16cid:durableId="181552331">
    <w:abstractNumId w:val="10"/>
  </w:num>
  <w:num w:numId="18" w16cid:durableId="1673952595">
    <w:abstractNumId w:val="18"/>
  </w:num>
  <w:num w:numId="19" w16cid:durableId="566107642">
    <w:abstractNumId w:val="33"/>
  </w:num>
  <w:num w:numId="20" w16cid:durableId="1904607942">
    <w:abstractNumId w:val="31"/>
  </w:num>
  <w:num w:numId="21" w16cid:durableId="328336646">
    <w:abstractNumId w:val="44"/>
  </w:num>
  <w:num w:numId="22" w16cid:durableId="1621182781">
    <w:abstractNumId w:val="30"/>
  </w:num>
  <w:num w:numId="23" w16cid:durableId="2140218686">
    <w:abstractNumId w:val="36"/>
  </w:num>
  <w:num w:numId="24" w16cid:durableId="2072651380">
    <w:abstractNumId w:val="41"/>
  </w:num>
  <w:num w:numId="25" w16cid:durableId="1786270825">
    <w:abstractNumId w:val="29"/>
  </w:num>
  <w:num w:numId="26" w16cid:durableId="735857453">
    <w:abstractNumId w:val="37"/>
  </w:num>
  <w:num w:numId="27" w16cid:durableId="1395620260">
    <w:abstractNumId w:val="21"/>
  </w:num>
  <w:num w:numId="28" w16cid:durableId="484855537">
    <w:abstractNumId w:val="20"/>
  </w:num>
  <w:num w:numId="29" w16cid:durableId="594631976">
    <w:abstractNumId w:val="27"/>
  </w:num>
  <w:num w:numId="30" w16cid:durableId="648288030">
    <w:abstractNumId w:val="15"/>
  </w:num>
  <w:num w:numId="31" w16cid:durableId="1795902703">
    <w:abstractNumId w:val="16"/>
  </w:num>
  <w:num w:numId="32" w16cid:durableId="2098404539">
    <w:abstractNumId w:val="17"/>
  </w:num>
  <w:num w:numId="33" w16cid:durableId="1587836976">
    <w:abstractNumId w:val="7"/>
  </w:num>
  <w:num w:numId="34" w16cid:durableId="1480075093">
    <w:abstractNumId w:val="12"/>
  </w:num>
  <w:num w:numId="35" w16cid:durableId="1278443414">
    <w:abstractNumId w:val="40"/>
  </w:num>
  <w:num w:numId="36" w16cid:durableId="770006077">
    <w:abstractNumId w:val="22"/>
  </w:num>
  <w:num w:numId="37" w16cid:durableId="944650510">
    <w:abstractNumId w:val="46"/>
  </w:num>
  <w:num w:numId="38" w16cid:durableId="1881042113">
    <w:abstractNumId w:val="0"/>
  </w:num>
  <w:num w:numId="39" w16cid:durableId="807549515">
    <w:abstractNumId w:val="24"/>
  </w:num>
  <w:num w:numId="40" w16cid:durableId="618297381">
    <w:abstractNumId w:val="35"/>
  </w:num>
  <w:num w:numId="41" w16cid:durableId="1623263202">
    <w:abstractNumId w:val="5"/>
  </w:num>
  <w:num w:numId="42" w16cid:durableId="1886939602">
    <w:abstractNumId w:val="34"/>
  </w:num>
  <w:num w:numId="43" w16cid:durableId="66612231">
    <w:abstractNumId w:val="4"/>
  </w:num>
  <w:num w:numId="44" w16cid:durableId="472135419">
    <w:abstractNumId w:val="38"/>
  </w:num>
  <w:num w:numId="45" w16cid:durableId="652877139">
    <w:abstractNumId w:val="19"/>
  </w:num>
  <w:num w:numId="46" w16cid:durableId="518200829">
    <w:abstractNumId w:val="11"/>
  </w:num>
  <w:num w:numId="47" w16cid:durableId="99361037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101"/>
    <w:rsid w:val="000007A4"/>
    <w:rsid w:val="00000C41"/>
    <w:rsid w:val="00001240"/>
    <w:rsid w:val="000030D9"/>
    <w:rsid w:val="0000312C"/>
    <w:rsid w:val="00003788"/>
    <w:rsid w:val="00004C10"/>
    <w:rsid w:val="00004C7E"/>
    <w:rsid w:val="00005530"/>
    <w:rsid w:val="00006948"/>
    <w:rsid w:val="0000797B"/>
    <w:rsid w:val="00011429"/>
    <w:rsid w:val="00011AFA"/>
    <w:rsid w:val="0001227F"/>
    <w:rsid w:val="000130C4"/>
    <w:rsid w:val="00014356"/>
    <w:rsid w:val="00015386"/>
    <w:rsid w:val="00016573"/>
    <w:rsid w:val="00016B1C"/>
    <w:rsid w:val="00016B86"/>
    <w:rsid w:val="00017BB2"/>
    <w:rsid w:val="00021BD7"/>
    <w:rsid w:val="00022DBE"/>
    <w:rsid w:val="000236D6"/>
    <w:rsid w:val="000238A0"/>
    <w:rsid w:val="00023A95"/>
    <w:rsid w:val="00023BD8"/>
    <w:rsid w:val="00023C59"/>
    <w:rsid w:val="00024116"/>
    <w:rsid w:val="0002424C"/>
    <w:rsid w:val="000242BB"/>
    <w:rsid w:val="00024E00"/>
    <w:rsid w:val="00026514"/>
    <w:rsid w:val="00026C69"/>
    <w:rsid w:val="00026E5C"/>
    <w:rsid w:val="00027015"/>
    <w:rsid w:val="000275F8"/>
    <w:rsid w:val="00027820"/>
    <w:rsid w:val="0003027B"/>
    <w:rsid w:val="000302E4"/>
    <w:rsid w:val="00030581"/>
    <w:rsid w:val="000321E2"/>
    <w:rsid w:val="000329AF"/>
    <w:rsid w:val="00033BB7"/>
    <w:rsid w:val="00033FCB"/>
    <w:rsid w:val="0003426E"/>
    <w:rsid w:val="00034742"/>
    <w:rsid w:val="00035480"/>
    <w:rsid w:val="0003563C"/>
    <w:rsid w:val="00037455"/>
    <w:rsid w:val="00037691"/>
    <w:rsid w:val="000379FA"/>
    <w:rsid w:val="00037A8C"/>
    <w:rsid w:val="00041023"/>
    <w:rsid w:val="000413E2"/>
    <w:rsid w:val="000416BD"/>
    <w:rsid w:val="000425FE"/>
    <w:rsid w:val="00042A7D"/>
    <w:rsid w:val="00043409"/>
    <w:rsid w:val="00044389"/>
    <w:rsid w:val="0004472F"/>
    <w:rsid w:val="000453F2"/>
    <w:rsid w:val="000457C6"/>
    <w:rsid w:val="000457D9"/>
    <w:rsid w:val="00045E26"/>
    <w:rsid w:val="00046F68"/>
    <w:rsid w:val="00046FD6"/>
    <w:rsid w:val="0004741B"/>
    <w:rsid w:val="0005034F"/>
    <w:rsid w:val="00051A99"/>
    <w:rsid w:val="00051B45"/>
    <w:rsid w:val="0005253C"/>
    <w:rsid w:val="0005293E"/>
    <w:rsid w:val="00052D16"/>
    <w:rsid w:val="00053009"/>
    <w:rsid w:val="00053962"/>
    <w:rsid w:val="00054421"/>
    <w:rsid w:val="0005452A"/>
    <w:rsid w:val="000550EE"/>
    <w:rsid w:val="000553F3"/>
    <w:rsid w:val="00055496"/>
    <w:rsid w:val="000555A2"/>
    <w:rsid w:val="000556E1"/>
    <w:rsid w:val="000557A0"/>
    <w:rsid w:val="00055C64"/>
    <w:rsid w:val="00055E15"/>
    <w:rsid w:val="00056C7A"/>
    <w:rsid w:val="00057710"/>
    <w:rsid w:val="0005796F"/>
    <w:rsid w:val="00060790"/>
    <w:rsid w:val="000607F0"/>
    <w:rsid w:val="0006093C"/>
    <w:rsid w:val="0006275E"/>
    <w:rsid w:val="000636E6"/>
    <w:rsid w:val="000642D6"/>
    <w:rsid w:val="0006434A"/>
    <w:rsid w:val="00064AA1"/>
    <w:rsid w:val="00064E70"/>
    <w:rsid w:val="00065451"/>
    <w:rsid w:val="0006566A"/>
    <w:rsid w:val="00065C64"/>
    <w:rsid w:val="00065F2F"/>
    <w:rsid w:val="00070102"/>
    <w:rsid w:val="00073822"/>
    <w:rsid w:val="00073A7A"/>
    <w:rsid w:val="00073F75"/>
    <w:rsid w:val="00074B08"/>
    <w:rsid w:val="00075827"/>
    <w:rsid w:val="00075D59"/>
    <w:rsid w:val="00075FD0"/>
    <w:rsid w:val="00076B6A"/>
    <w:rsid w:val="00076E00"/>
    <w:rsid w:val="00077CE6"/>
    <w:rsid w:val="00080220"/>
    <w:rsid w:val="0008153E"/>
    <w:rsid w:val="000819A2"/>
    <w:rsid w:val="00083D42"/>
    <w:rsid w:val="00083FFC"/>
    <w:rsid w:val="00084C81"/>
    <w:rsid w:val="00085812"/>
    <w:rsid w:val="00086D79"/>
    <w:rsid w:val="0008720A"/>
    <w:rsid w:val="00087739"/>
    <w:rsid w:val="000900B5"/>
    <w:rsid w:val="00090F40"/>
    <w:rsid w:val="00091EAE"/>
    <w:rsid w:val="00092AE6"/>
    <w:rsid w:val="0009370D"/>
    <w:rsid w:val="000938C9"/>
    <w:rsid w:val="00093A81"/>
    <w:rsid w:val="00093C72"/>
    <w:rsid w:val="000942E2"/>
    <w:rsid w:val="000972F6"/>
    <w:rsid w:val="00097B16"/>
    <w:rsid w:val="000A066C"/>
    <w:rsid w:val="000A08DA"/>
    <w:rsid w:val="000A16D5"/>
    <w:rsid w:val="000A1E40"/>
    <w:rsid w:val="000A261B"/>
    <w:rsid w:val="000A2A5E"/>
    <w:rsid w:val="000A2D0F"/>
    <w:rsid w:val="000A46C5"/>
    <w:rsid w:val="000A4845"/>
    <w:rsid w:val="000A49C8"/>
    <w:rsid w:val="000A504B"/>
    <w:rsid w:val="000A741D"/>
    <w:rsid w:val="000A744B"/>
    <w:rsid w:val="000A76B3"/>
    <w:rsid w:val="000B1244"/>
    <w:rsid w:val="000B1397"/>
    <w:rsid w:val="000B2816"/>
    <w:rsid w:val="000B2E18"/>
    <w:rsid w:val="000B3256"/>
    <w:rsid w:val="000B3455"/>
    <w:rsid w:val="000B3DD1"/>
    <w:rsid w:val="000B52BD"/>
    <w:rsid w:val="000B5727"/>
    <w:rsid w:val="000B7015"/>
    <w:rsid w:val="000B70F6"/>
    <w:rsid w:val="000B72FD"/>
    <w:rsid w:val="000B7F46"/>
    <w:rsid w:val="000C00E9"/>
    <w:rsid w:val="000C1B97"/>
    <w:rsid w:val="000C3042"/>
    <w:rsid w:val="000C44A8"/>
    <w:rsid w:val="000C4954"/>
    <w:rsid w:val="000C52A8"/>
    <w:rsid w:val="000C594B"/>
    <w:rsid w:val="000C5BC6"/>
    <w:rsid w:val="000C6B60"/>
    <w:rsid w:val="000C6FBD"/>
    <w:rsid w:val="000C70C5"/>
    <w:rsid w:val="000C7815"/>
    <w:rsid w:val="000C799A"/>
    <w:rsid w:val="000C79DE"/>
    <w:rsid w:val="000C7C76"/>
    <w:rsid w:val="000C7D37"/>
    <w:rsid w:val="000D05CD"/>
    <w:rsid w:val="000D1A41"/>
    <w:rsid w:val="000D2712"/>
    <w:rsid w:val="000D28E8"/>
    <w:rsid w:val="000D3B17"/>
    <w:rsid w:val="000D4741"/>
    <w:rsid w:val="000D47B6"/>
    <w:rsid w:val="000D575F"/>
    <w:rsid w:val="000D5908"/>
    <w:rsid w:val="000D5D64"/>
    <w:rsid w:val="000D6118"/>
    <w:rsid w:val="000D687A"/>
    <w:rsid w:val="000D6BEB"/>
    <w:rsid w:val="000D6F30"/>
    <w:rsid w:val="000D6FE8"/>
    <w:rsid w:val="000D70F5"/>
    <w:rsid w:val="000D7D6E"/>
    <w:rsid w:val="000E03CE"/>
    <w:rsid w:val="000E07A1"/>
    <w:rsid w:val="000E087A"/>
    <w:rsid w:val="000E0AB6"/>
    <w:rsid w:val="000E15BA"/>
    <w:rsid w:val="000E1B64"/>
    <w:rsid w:val="000E2333"/>
    <w:rsid w:val="000E321D"/>
    <w:rsid w:val="000E3316"/>
    <w:rsid w:val="000E3AE2"/>
    <w:rsid w:val="000E42C3"/>
    <w:rsid w:val="000E4885"/>
    <w:rsid w:val="000E49A5"/>
    <w:rsid w:val="000E4B4A"/>
    <w:rsid w:val="000E4EEF"/>
    <w:rsid w:val="000E5F72"/>
    <w:rsid w:val="000E6509"/>
    <w:rsid w:val="000E7A84"/>
    <w:rsid w:val="000F004C"/>
    <w:rsid w:val="000F01B6"/>
    <w:rsid w:val="000F129A"/>
    <w:rsid w:val="000F1A8E"/>
    <w:rsid w:val="000F1E11"/>
    <w:rsid w:val="000F3D1B"/>
    <w:rsid w:val="000F41B4"/>
    <w:rsid w:val="000F4FD1"/>
    <w:rsid w:val="000F5024"/>
    <w:rsid w:val="000F51B2"/>
    <w:rsid w:val="000F537D"/>
    <w:rsid w:val="000F560E"/>
    <w:rsid w:val="000F5ED0"/>
    <w:rsid w:val="000F6654"/>
    <w:rsid w:val="000F6E94"/>
    <w:rsid w:val="000F774A"/>
    <w:rsid w:val="000F7882"/>
    <w:rsid w:val="00100313"/>
    <w:rsid w:val="00100804"/>
    <w:rsid w:val="00100BD1"/>
    <w:rsid w:val="00100E5A"/>
    <w:rsid w:val="00101EF5"/>
    <w:rsid w:val="00106B3E"/>
    <w:rsid w:val="00106BBD"/>
    <w:rsid w:val="00106E3D"/>
    <w:rsid w:val="001075D9"/>
    <w:rsid w:val="001078B3"/>
    <w:rsid w:val="00111B8D"/>
    <w:rsid w:val="00112159"/>
    <w:rsid w:val="00113DAA"/>
    <w:rsid w:val="0011679F"/>
    <w:rsid w:val="00116BB4"/>
    <w:rsid w:val="00116DB0"/>
    <w:rsid w:val="00117641"/>
    <w:rsid w:val="001179C1"/>
    <w:rsid w:val="00117B56"/>
    <w:rsid w:val="00120089"/>
    <w:rsid w:val="001200B6"/>
    <w:rsid w:val="0012022F"/>
    <w:rsid w:val="00120ACD"/>
    <w:rsid w:val="00120F71"/>
    <w:rsid w:val="00121247"/>
    <w:rsid w:val="00121AF1"/>
    <w:rsid w:val="001220D8"/>
    <w:rsid w:val="001220DA"/>
    <w:rsid w:val="00122149"/>
    <w:rsid w:val="00122363"/>
    <w:rsid w:val="00122591"/>
    <w:rsid w:val="00122B3B"/>
    <w:rsid w:val="00123644"/>
    <w:rsid w:val="00123BDC"/>
    <w:rsid w:val="00124320"/>
    <w:rsid w:val="00124579"/>
    <w:rsid w:val="0012598D"/>
    <w:rsid w:val="00125A46"/>
    <w:rsid w:val="00125F97"/>
    <w:rsid w:val="00126589"/>
    <w:rsid w:val="001268AD"/>
    <w:rsid w:val="00126FE8"/>
    <w:rsid w:val="00127D0F"/>
    <w:rsid w:val="00127EC0"/>
    <w:rsid w:val="00130049"/>
    <w:rsid w:val="00130AD8"/>
    <w:rsid w:val="00131EB4"/>
    <w:rsid w:val="0013221F"/>
    <w:rsid w:val="001336ED"/>
    <w:rsid w:val="00135DBB"/>
    <w:rsid w:val="001363D4"/>
    <w:rsid w:val="00136F69"/>
    <w:rsid w:val="0013741E"/>
    <w:rsid w:val="00140CA3"/>
    <w:rsid w:val="00142D74"/>
    <w:rsid w:val="00143384"/>
    <w:rsid w:val="0014388E"/>
    <w:rsid w:val="00143D10"/>
    <w:rsid w:val="001443C4"/>
    <w:rsid w:val="0014489F"/>
    <w:rsid w:val="0014527B"/>
    <w:rsid w:val="00145F2F"/>
    <w:rsid w:val="00146ECD"/>
    <w:rsid w:val="001507B8"/>
    <w:rsid w:val="0015127F"/>
    <w:rsid w:val="00151969"/>
    <w:rsid w:val="00152838"/>
    <w:rsid w:val="00152CEB"/>
    <w:rsid w:val="00153999"/>
    <w:rsid w:val="001540DA"/>
    <w:rsid w:val="0015415A"/>
    <w:rsid w:val="0015442F"/>
    <w:rsid w:val="001547AA"/>
    <w:rsid w:val="00154CA4"/>
    <w:rsid w:val="0015573F"/>
    <w:rsid w:val="00155869"/>
    <w:rsid w:val="00156C3B"/>
    <w:rsid w:val="001576D2"/>
    <w:rsid w:val="00157EA1"/>
    <w:rsid w:val="00161807"/>
    <w:rsid w:val="00161C4F"/>
    <w:rsid w:val="00161CE7"/>
    <w:rsid w:val="00161DAA"/>
    <w:rsid w:val="00161F1E"/>
    <w:rsid w:val="00161F47"/>
    <w:rsid w:val="001627BD"/>
    <w:rsid w:val="00162C43"/>
    <w:rsid w:val="00162EB0"/>
    <w:rsid w:val="0016369B"/>
    <w:rsid w:val="00163746"/>
    <w:rsid w:val="0016504C"/>
    <w:rsid w:val="00165ABD"/>
    <w:rsid w:val="001661CA"/>
    <w:rsid w:val="001667C9"/>
    <w:rsid w:val="001667CE"/>
    <w:rsid w:val="001668C3"/>
    <w:rsid w:val="001669E1"/>
    <w:rsid w:val="0017110A"/>
    <w:rsid w:val="00171CF5"/>
    <w:rsid w:val="00172102"/>
    <w:rsid w:val="0017248A"/>
    <w:rsid w:val="001724C4"/>
    <w:rsid w:val="001738E8"/>
    <w:rsid w:val="00174594"/>
    <w:rsid w:val="00174C66"/>
    <w:rsid w:val="00176C70"/>
    <w:rsid w:val="00177689"/>
    <w:rsid w:val="001804F5"/>
    <w:rsid w:val="00180C0D"/>
    <w:rsid w:val="00181755"/>
    <w:rsid w:val="00182EE2"/>
    <w:rsid w:val="00183EF9"/>
    <w:rsid w:val="00184788"/>
    <w:rsid w:val="001849BC"/>
    <w:rsid w:val="001857A2"/>
    <w:rsid w:val="00186A55"/>
    <w:rsid w:val="00186FF7"/>
    <w:rsid w:val="00187309"/>
    <w:rsid w:val="001878BA"/>
    <w:rsid w:val="00187A0E"/>
    <w:rsid w:val="00187D1D"/>
    <w:rsid w:val="00190992"/>
    <w:rsid w:val="00191847"/>
    <w:rsid w:val="00191ED4"/>
    <w:rsid w:val="00192123"/>
    <w:rsid w:val="001928DF"/>
    <w:rsid w:val="00194A22"/>
    <w:rsid w:val="00194EF3"/>
    <w:rsid w:val="001951B3"/>
    <w:rsid w:val="0019560A"/>
    <w:rsid w:val="001959B5"/>
    <w:rsid w:val="00196ABF"/>
    <w:rsid w:val="00196D33"/>
    <w:rsid w:val="001971FB"/>
    <w:rsid w:val="001979B5"/>
    <w:rsid w:val="00197AB4"/>
    <w:rsid w:val="001A0D4A"/>
    <w:rsid w:val="001A103F"/>
    <w:rsid w:val="001A1247"/>
    <w:rsid w:val="001A13E9"/>
    <w:rsid w:val="001A4191"/>
    <w:rsid w:val="001A4219"/>
    <w:rsid w:val="001A4A19"/>
    <w:rsid w:val="001A66A5"/>
    <w:rsid w:val="001A6A20"/>
    <w:rsid w:val="001A772E"/>
    <w:rsid w:val="001A7D9F"/>
    <w:rsid w:val="001A7EE4"/>
    <w:rsid w:val="001A7F78"/>
    <w:rsid w:val="001B0E57"/>
    <w:rsid w:val="001B0EB3"/>
    <w:rsid w:val="001B222E"/>
    <w:rsid w:val="001B366F"/>
    <w:rsid w:val="001B393C"/>
    <w:rsid w:val="001B3FB0"/>
    <w:rsid w:val="001B4268"/>
    <w:rsid w:val="001B5616"/>
    <w:rsid w:val="001B5E4D"/>
    <w:rsid w:val="001B798C"/>
    <w:rsid w:val="001B7CEA"/>
    <w:rsid w:val="001C020D"/>
    <w:rsid w:val="001C047E"/>
    <w:rsid w:val="001C0548"/>
    <w:rsid w:val="001C1715"/>
    <w:rsid w:val="001C1909"/>
    <w:rsid w:val="001C1ED7"/>
    <w:rsid w:val="001C2E68"/>
    <w:rsid w:val="001C41C0"/>
    <w:rsid w:val="001C42B0"/>
    <w:rsid w:val="001C58AB"/>
    <w:rsid w:val="001C5AF7"/>
    <w:rsid w:val="001C618B"/>
    <w:rsid w:val="001C638F"/>
    <w:rsid w:val="001C7102"/>
    <w:rsid w:val="001C767C"/>
    <w:rsid w:val="001C78C5"/>
    <w:rsid w:val="001D130F"/>
    <w:rsid w:val="001D1B58"/>
    <w:rsid w:val="001D1D69"/>
    <w:rsid w:val="001D22A1"/>
    <w:rsid w:val="001D2962"/>
    <w:rsid w:val="001D2E67"/>
    <w:rsid w:val="001D34F4"/>
    <w:rsid w:val="001D35EB"/>
    <w:rsid w:val="001D3C95"/>
    <w:rsid w:val="001D4158"/>
    <w:rsid w:val="001D5056"/>
    <w:rsid w:val="001D58B5"/>
    <w:rsid w:val="001D5E0B"/>
    <w:rsid w:val="001D5F87"/>
    <w:rsid w:val="001D60B3"/>
    <w:rsid w:val="001D6528"/>
    <w:rsid w:val="001D67D4"/>
    <w:rsid w:val="001D7666"/>
    <w:rsid w:val="001D77DA"/>
    <w:rsid w:val="001D79B9"/>
    <w:rsid w:val="001E07AC"/>
    <w:rsid w:val="001E09F8"/>
    <w:rsid w:val="001E4015"/>
    <w:rsid w:val="001E4467"/>
    <w:rsid w:val="001E449B"/>
    <w:rsid w:val="001E4A56"/>
    <w:rsid w:val="001E500C"/>
    <w:rsid w:val="001E5271"/>
    <w:rsid w:val="001E6C1A"/>
    <w:rsid w:val="001E6D32"/>
    <w:rsid w:val="001E7557"/>
    <w:rsid w:val="001E7883"/>
    <w:rsid w:val="001E7A24"/>
    <w:rsid w:val="001E7DC5"/>
    <w:rsid w:val="001E7E05"/>
    <w:rsid w:val="001E7EE7"/>
    <w:rsid w:val="001F02A6"/>
    <w:rsid w:val="001F0760"/>
    <w:rsid w:val="001F08B2"/>
    <w:rsid w:val="001F174B"/>
    <w:rsid w:val="001F179F"/>
    <w:rsid w:val="001F2440"/>
    <w:rsid w:val="001F2B46"/>
    <w:rsid w:val="001F33BE"/>
    <w:rsid w:val="001F46CC"/>
    <w:rsid w:val="001F519E"/>
    <w:rsid w:val="001F581C"/>
    <w:rsid w:val="001F5D1A"/>
    <w:rsid w:val="001F604A"/>
    <w:rsid w:val="001F604D"/>
    <w:rsid w:val="001F787C"/>
    <w:rsid w:val="001F7900"/>
    <w:rsid w:val="001F7B1C"/>
    <w:rsid w:val="00200171"/>
    <w:rsid w:val="00200906"/>
    <w:rsid w:val="00201505"/>
    <w:rsid w:val="002028B6"/>
    <w:rsid w:val="002029C7"/>
    <w:rsid w:val="00202E7C"/>
    <w:rsid w:val="00202F85"/>
    <w:rsid w:val="00203237"/>
    <w:rsid w:val="00203E5B"/>
    <w:rsid w:val="00204854"/>
    <w:rsid w:val="00204A30"/>
    <w:rsid w:val="00205101"/>
    <w:rsid w:val="00205145"/>
    <w:rsid w:val="00205E9B"/>
    <w:rsid w:val="00205FD5"/>
    <w:rsid w:val="00206E0E"/>
    <w:rsid w:val="00206EE7"/>
    <w:rsid w:val="00207BCE"/>
    <w:rsid w:val="00210D73"/>
    <w:rsid w:val="00211394"/>
    <w:rsid w:val="002118F4"/>
    <w:rsid w:val="002119E0"/>
    <w:rsid w:val="002123CC"/>
    <w:rsid w:val="002135AB"/>
    <w:rsid w:val="00213E2F"/>
    <w:rsid w:val="00213F31"/>
    <w:rsid w:val="00214EF0"/>
    <w:rsid w:val="00214FB2"/>
    <w:rsid w:val="00215EE2"/>
    <w:rsid w:val="00216993"/>
    <w:rsid w:val="0021758D"/>
    <w:rsid w:val="002175B6"/>
    <w:rsid w:val="00220A60"/>
    <w:rsid w:val="00221104"/>
    <w:rsid w:val="00222453"/>
    <w:rsid w:val="00222923"/>
    <w:rsid w:val="00224858"/>
    <w:rsid w:val="0022588F"/>
    <w:rsid w:val="002268A1"/>
    <w:rsid w:val="00226C6E"/>
    <w:rsid w:val="00226DB6"/>
    <w:rsid w:val="00226E06"/>
    <w:rsid w:val="002315ED"/>
    <w:rsid w:val="00231B72"/>
    <w:rsid w:val="002323BC"/>
    <w:rsid w:val="002332E9"/>
    <w:rsid w:val="00233420"/>
    <w:rsid w:val="00233A6B"/>
    <w:rsid w:val="00233ABD"/>
    <w:rsid w:val="002344CF"/>
    <w:rsid w:val="00235146"/>
    <w:rsid w:val="00236279"/>
    <w:rsid w:val="0023679A"/>
    <w:rsid w:val="00236932"/>
    <w:rsid w:val="002374CC"/>
    <w:rsid w:val="00240BAA"/>
    <w:rsid w:val="00241E4F"/>
    <w:rsid w:val="00243A67"/>
    <w:rsid w:val="002442D9"/>
    <w:rsid w:val="0024452E"/>
    <w:rsid w:val="00244F4B"/>
    <w:rsid w:val="00245406"/>
    <w:rsid w:val="00245498"/>
    <w:rsid w:val="0024574B"/>
    <w:rsid w:val="002457D0"/>
    <w:rsid w:val="00246047"/>
    <w:rsid w:val="0024701F"/>
    <w:rsid w:val="0024779C"/>
    <w:rsid w:val="00247F53"/>
    <w:rsid w:val="002509C4"/>
    <w:rsid w:val="002512B8"/>
    <w:rsid w:val="002512BA"/>
    <w:rsid w:val="00252101"/>
    <w:rsid w:val="0025225E"/>
    <w:rsid w:val="00252640"/>
    <w:rsid w:val="00252A69"/>
    <w:rsid w:val="00254776"/>
    <w:rsid w:val="00254E71"/>
    <w:rsid w:val="00254EFB"/>
    <w:rsid w:val="002553DE"/>
    <w:rsid w:val="0025558A"/>
    <w:rsid w:val="00256B28"/>
    <w:rsid w:val="002624E6"/>
    <w:rsid w:val="00262CD7"/>
    <w:rsid w:val="002638D4"/>
    <w:rsid w:val="00263A91"/>
    <w:rsid w:val="00264407"/>
    <w:rsid w:val="00264D55"/>
    <w:rsid w:val="00264D5D"/>
    <w:rsid w:val="00266044"/>
    <w:rsid w:val="00266316"/>
    <w:rsid w:val="00267F5D"/>
    <w:rsid w:val="00270D21"/>
    <w:rsid w:val="00270D32"/>
    <w:rsid w:val="00270D8E"/>
    <w:rsid w:val="00270E88"/>
    <w:rsid w:val="00271119"/>
    <w:rsid w:val="00271C24"/>
    <w:rsid w:val="00271DE9"/>
    <w:rsid w:val="002722D4"/>
    <w:rsid w:val="002726CB"/>
    <w:rsid w:val="00272914"/>
    <w:rsid w:val="00272972"/>
    <w:rsid w:val="002729B7"/>
    <w:rsid w:val="00272A95"/>
    <w:rsid w:val="002738D2"/>
    <w:rsid w:val="00274FD2"/>
    <w:rsid w:val="002751F5"/>
    <w:rsid w:val="00275837"/>
    <w:rsid w:val="00275AA1"/>
    <w:rsid w:val="0027630C"/>
    <w:rsid w:val="002764ED"/>
    <w:rsid w:val="00276A50"/>
    <w:rsid w:val="00277E11"/>
    <w:rsid w:val="00281051"/>
    <w:rsid w:val="0028129E"/>
    <w:rsid w:val="00283046"/>
    <w:rsid w:val="00283251"/>
    <w:rsid w:val="00283521"/>
    <w:rsid w:val="00283A0F"/>
    <w:rsid w:val="00283E0C"/>
    <w:rsid w:val="00284251"/>
    <w:rsid w:val="0028485A"/>
    <w:rsid w:val="00284C55"/>
    <w:rsid w:val="0028687B"/>
    <w:rsid w:val="00287A37"/>
    <w:rsid w:val="00287A6C"/>
    <w:rsid w:val="00291B53"/>
    <w:rsid w:val="00293589"/>
    <w:rsid w:val="0029394C"/>
    <w:rsid w:val="00293EED"/>
    <w:rsid w:val="0029436A"/>
    <w:rsid w:val="0029492E"/>
    <w:rsid w:val="0029535C"/>
    <w:rsid w:val="00295620"/>
    <w:rsid w:val="00295AA4"/>
    <w:rsid w:val="00295B95"/>
    <w:rsid w:val="0029609E"/>
    <w:rsid w:val="00296174"/>
    <w:rsid w:val="00296E14"/>
    <w:rsid w:val="002970BC"/>
    <w:rsid w:val="002A0EE9"/>
    <w:rsid w:val="002A1435"/>
    <w:rsid w:val="002A17DA"/>
    <w:rsid w:val="002A18D8"/>
    <w:rsid w:val="002A1955"/>
    <w:rsid w:val="002A27E0"/>
    <w:rsid w:val="002A3093"/>
    <w:rsid w:val="002A32E6"/>
    <w:rsid w:val="002A364D"/>
    <w:rsid w:val="002A37EC"/>
    <w:rsid w:val="002A41D3"/>
    <w:rsid w:val="002A4541"/>
    <w:rsid w:val="002A4F53"/>
    <w:rsid w:val="002A505B"/>
    <w:rsid w:val="002A5399"/>
    <w:rsid w:val="002A6572"/>
    <w:rsid w:val="002A6F9B"/>
    <w:rsid w:val="002A7FC2"/>
    <w:rsid w:val="002B05BD"/>
    <w:rsid w:val="002B05C8"/>
    <w:rsid w:val="002B0DAA"/>
    <w:rsid w:val="002B23BD"/>
    <w:rsid w:val="002B24BA"/>
    <w:rsid w:val="002B25F6"/>
    <w:rsid w:val="002B2E74"/>
    <w:rsid w:val="002B34C3"/>
    <w:rsid w:val="002B409F"/>
    <w:rsid w:val="002B5F9A"/>
    <w:rsid w:val="002B63D1"/>
    <w:rsid w:val="002B6B9F"/>
    <w:rsid w:val="002B6EE8"/>
    <w:rsid w:val="002C0FFE"/>
    <w:rsid w:val="002C1C29"/>
    <w:rsid w:val="002C2047"/>
    <w:rsid w:val="002C319C"/>
    <w:rsid w:val="002C34F6"/>
    <w:rsid w:val="002C35AF"/>
    <w:rsid w:val="002C35F1"/>
    <w:rsid w:val="002C3A3B"/>
    <w:rsid w:val="002C3CE1"/>
    <w:rsid w:val="002C4AB2"/>
    <w:rsid w:val="002C4D1D"/>
    <w:rsid w:val="002C59A4"/>
    <w:rsid w:val="002C5F33"/>
    <w:rsid w:val="002C5F60"/>
    <w:rsid w:val="002C67F9"/>
    <w:rsid w:val="002C6C66"/>
    <w:rsid w:val="002C799B"/>
    <w:rsid w:val="002D02B1"/>
    <w:rsid w:val="002D12FE"/>
    <w:rsid w:val="002D1B69"/>
    <w:rsid w:val="002D1D57"/>
    <w:rsid w:val="002D3266"/>
    <w:rsid w:val="002D3F43"/>
    <w:rsid w:val="002D4476"/>
    <w:rsid w:val="002D487F"/>
    <w:rsid w:val="002D5907"/>
    <w:rsid w:val="002D5DF0"/>
    <w:rsid w:val="002D61E0"/>
    <w:rsid w:val="002D6FD2"/>
    <w:rsid w:val="002D7929"/>
    <w:rsid w:val="002E0641"/>
    <w:rsid w:val="002E06F2"/>
    <w:rsid w:val="002E1147"/>
    <w:rsid w:val="002E244A"/>
    <w:rsid w:val="002E2A1F"/>
    <w:rsid w:val="002E41ED"/>
    <w:rsid w:val="002E558C"/>
    <w:rsid w:val="002E56FE"/>
    <w:rsid w:val="002E5EE8"/>
    <w:rsid w:val="002E64FB"/>
    <w:rsid w:val="002E6867"/>
    <w:rsid w:val="002F0254"/>
    <w:rsid w:val="002F0CF5"/>
    <w:rsid w:val="002F1014"/>
    <w:rsid w:val="002F3750"/>
    <w:rsid w:val="002F3EE9"/>
    <w:rsid w:val="002F4430"/>
    <w:rsid w:val="002F4559"/>
    <w:rsid w:val="002F5B9C"/>
    <w:rsid w:val="002F6274"/>
    <w:rsid w:val="002F7FA8"/>
    <w:rsid w:val="00300F80"/>
    <w:rsid w:val="0030169F"/>
    <w:rsid w:val="00301AFF"/>
    <w:rsid w:val="003038C9"/>
    <w:rsid w:val="003052F5"/>
    <w:rsid w:val="00305814"/>
    <w:rsid w:val="00305C68"/>
    <w:rsid w:val="00305DB5"/>
    <w:rsid w:val="00311F63"/>
    <w:rsid w:val="0031214E"/>
    <w:rsid w:val="00312228"/>
    <w:rsid w:val="00312238"/>
    <w:rsid w:val="0031238B"/>
    <w:rsid w:val="003134FF"/>
    <w:rsid w:val="003153F8"/>
    <w:rsid w:val="00315495"/>
    <w:rsid w:val="0031552D"/>
    <w:rsid w:val="0031584D"/>
    <w:rsid w:val="00315AC3"/>
    <w:rsid w:val="00316110"/>
    <w:rsid w:val="00316628"/>
    <w:rsid w:val="003167F7"/>
    <w:rsid w:val="00316FE7"/>
    <w:rsid w:val="00317709"/>
    <w:rsid w:val="003203FD"/>
    <w:rsid w:val="00320D27"/>
    <w:rsid w:val="00320FDB"/>
    <w:rsid w:val="0032116D"/>
    <w:rsid w:val="00321546"/>
    <w:rsid w:val="0032168D"/>
    <w:rsid w:val="00321775"/>
    <w:rsid w:val="003218D4"/>
    <w:rsid w:val="00322991"/>
    <w:rsid w:val="00324CA9"/>
    <w:rsid w:val="00325FF9"/>
    <w:rsid w:val="00327CA2"/>
    <w:rsid w:val="0033026E"/>
    <w:rsid w:val="00330909"/>
    <w:rsid w:val="00330CE6"/>
    <w:rsid w:val="00331CD0"/>
    <w:rsid w:val="00332280"/>
    <w:rsid w:val="003323A2"/>
    <w:rsid w:val="00332510"/>
    <w:rsid w:val="00332AEC"/>
    <w:rsid w:val="00333A37"/>
    <w:rsid w:val="00333F85"/>
    <w:rsid w:val="00334233"/>
    <w:rsid w:val="003345A3"/>
    <w:rsid w:val="003345BB"/>
    <w:rsid w:val="003345FA"/>
    <w:rsid w:val="003358CE"/>
    <w:rsid w:val="00335FA7"/>
    <w:rsid w:val="00336939"/>
    <w:rsid w:val="0033724E"/>
    <w:rsid w:val="00340C8D"/>
    <w:rsid w:val="00340E82"/>
    <w:rsid w:val="0034134F"/>
    <w:rsid w:val="003415C9"/>
    <w:rsid w:val="00342262"/>
    <w:rsid w:val="00342A5D"/>
    <w:rsid w:val="00343DF6"/>
    <w:rsid w:val="003445DF"/>
    <w:rsid w:val="0034538B"/>
    <w:rsid w:val="00345473"/>
    <w:rsid w:val="00345BF5"/>
    <w:rsid w:val="0034655E"/>
    <w:rsid w:val="00347412"/>
    <w:rsid w:val="003474B0"/>
    <w:rsid w:val="0034753E"/>
    <w:rsid w:val="00347746"/>
    <w:rsid w:val="003500C4"/>
    <w:rsid w:val="00350E33"/>
    <w:rsid w:val="00351198"/>
    <w:rsid w:val="00351B50"/>
    <w:rsid w:val="00352046"/>
    <w:rsid w:val="00354424"/>
    <w:rsid w:val="003551E2"/>
    <w:rsid w:val="00356101"/>
    <w:rsid w:val="00356BA0"/>
    <w:rsid w:val="0035768F"/>
    <w:rsid w:val="00360EBF"/>
    <w:rsid w:val="003612D1"/>
    <w:rsid w:val="0036187C"/>
    <w:rsid w:val="003627CA"/>
    <w:rsid w:val="00363FD9"/>
    <w:rsid w:val="003642F1"/>
    <w:rsid w:val="003651EA"/>
    <w:rsid w:val="00365D3F"/>
    <w:rsid w:val="00366853"/>
    <w:rsid w:val="00367ED0"/>
    <w:rsid w:val="00370E23"/>
    <w:rsid w:val="003713A9"/>
    <w:rsid w:val="003726AF"/>
    <w:rsid w:val="0037383D"/>
    <w:rsid w:val="00373AD1"/>
    <w:rsid w:val="0037411A"/>
    <w:rsid w:val="003750BF"/>
    <w:rsid w:val="00375763"/>
    <w:rsid w:val="00375B19"/>
    <w:rsid w:val="00375DBD"/>
    <w:rsid w:val="0037663B"/>
    <w:rsid w:val="0037753B"/>
    <w:rsid w:val="003775FA"/>
    <w:rsid w:val="003802AF"/>
    <w:rsid w:val="003805C1"/>
    <w:rsid w:val="00380DE3"/>
    <w:rsid w:val="003810FA"/>
    <w:rsid w:val="00381A68"/>
    <w:rsid w:val="00381DD9"/>
    <w:rsid w:val="00383119"/>
    <w:rsid w:val="0038323C"/>
    <w:rsid w:val="00383644"/>
    <w:rsid w:val="003838FF"/>
    <w:rsid w:val="003845FD"/>
    <w:rsid w:val="0038477D"/>
    <w:rsid w:val="00384B07"/>
    <w:rsid w:val="0038578E"/>
    <w:rsid w:val="00385A9B"/>
    <w:rsid w:val="0038674A"/>
    <w:rsid w:val="00386FDA"/>
    <w:rsid w:val="00387151"/>
    <w:rsid w:val="00387E0F"/>
    <w:rsid w:val="003905C5"/>
    <w:rsid w:val="00391009"/>
    <w:rsid w:val="00391EDE"/>
    <w:rsid w:val="00393064"/>
    <w:rsid w:val="003934D6"/>
    <w:rsid w:val="00393918"/>
    <w:rsid w:val="00394C0D"/>
    <w:rsid w:val="00394C87"/>
    <w:rsid w:val="00396E54"/>
    <w:rsid w:val="00397D7C"/>
    <w:rsid w:val="003A077F"/>
    <w:rsid w:val="003A0A74"/>
    <w:rsid w:val="003A1A55"/>
    <w:rsid w:val="003A1C79"/>
    <w:rsid w:val="003A1D3C"/>
    <w:rsid w:val="003A2C9B"/>
    <w:rsid w:val="003A2F05"/>
    <w:rsid w:val="003A31C4"/>
    <w:rsid w:val="003A51C1"/>
    <w:rsid w:val="003A5D05"/>
    <w:rsid w:val="003A6076"/>
    <w:rsid w:val="003A6430"/>
    <w:rsid w:val="003A6C40"/>
    <w:rsid w:val="003A70BE"/>
    <w:rsid w:val="003A7349"/>
    <w:rsid w:val="003A74C3"/>
    <w:rsid w:val="003A79E8"/>
    <w:rsid w:val="003A7C86"/>
    <w:rsid w:val="003B00A0"/>
    <w:rsid w:val="003B0289"/>
    <w:rsid w:val="003B03E3"/>
    <w:rsid w:val="003B092E"/>
    <w:rsid w:val="003B1280"/>
    <w:rsid w:val="003B29F2"/>
    <w:rsid w:val="003B2C2B"/>
    <w:rsid w:val="003B309E"/>
    <w:rsid w:val="003B364B"/>
    <w:rsid w:val="003B3A8D"/>
    <w:rsid w:val="003B3B93"/>
    <w:rsid w:val="003B3F36"/>
    <w:rsid w:val="003B4579"/>
    <w:rsid w:val="003B5C1C"/>
    <w:rsid w:val="003B5CB7"/>
    <w:rsid w:val="003B5D4C"/>
    <w:rsid w:val="003B630C"/>
    <w:rsid w:val="003B6A2A"/>
    <w:rsid w:val="003B6A2B"/>
    <w:rsid w:val="003B6E10"/>
    <w:rsid w:val="003B7B17"/>
    <w:rsid w:val="003C059D"/>
    <w:rsid w:val="003C113A"/>
    <w:rsid w:val="003C1220"/>
    <w:rsid w:val="003C1CB1"/>
    <w:rsid w:val="003C29F3"/>
    <w:rsid w:val="003C3199"/>
    <w:rsid w:val="003C3F4B"/>
    <w:rsid w:val="003C563D"/>
    <w:rsid w:val="003C5CCC"/>
    <w:rsid w:val="003C609C"/>
    <w:rsid w:val="003D026A"/>
    <w:rsid w:val="003D17C7"/>
    <w:rsid w:val="003D1A77"/>
    <w:rsid w:val="003D2792"/>
    <w:rsid w:val="003D2DFD"/>
    <w:rsid w:val="003D2E29"/>
    <w:rsid w:val="003D2E7F"/>
    <w:rsid w:val="003D32E1"/>
    <w:rsid w:val="003D348E"/>
    <w:rsid w:val="003D4DEF"/>
    <w:rsid w:val="003D5CDB"/>
    <w:rsid w:val="003D625F"/>
    <w:rsid w:val="003D6D42"/>
    <w:rsid w:val="003D6F1A"/>
    <w:rsid w:val="003D6FD8"/>
    <w:rsid w:val="003E0527"/>
    <w:rsid w:val="003E0FF6"/>
    <w:rsid w:val="003E106B"/>
    <w:rsid w:val="003E2192"/>
    <w:rsid w:val="003E25C4"/>
    <w:rsid w:val="003E2838"/>
    <w:rsid w:val="003E2C92"/>
    <w:rsid w:val="003E2D0A"/>
    <w:rsid w:val="003E3252"/>
    <w:rsid w:val="003E37A2"/>
    <w:rsid w:val="003E37CB"/>
    <w:rsid w:val="003E3833"/>
    <w:rsid w:val="003E3EF4"/>
    <w:rsid w:val="003E43EC"/>
    <w:rsid w:val="003E499E"/>
    <w:rsid w:val="003E5131"/>
    <w:rsid w:val="003E59F4"/>
    <w:rsid w:val="003E5DA9"/>
    <w:rsid w:val="003E6051"/>
    <w:rsid w:val="003E70F7"/>
    <w:rsid w:val="003E73B6"/>
    <w:rsid w:val="003F1FD3"/>
    <w:rsid w:val="003F26F6"/>
    <w:rsid w:val="003F2747"/>
    <w:rsid w:val="003F2835"/>
    <w:rsid w:val="003F35F0"/>
    <w:rsid w:val="003F3C14"/>
    <w:rsid w:val="003F537D"/>
    <w:rsid w:val="003F6009"/>
    <w:rsid w:val="003F60D3"/>
    <w:rsid w:val="0040043D"/>
    <w:rsid w:val="004007F1"/>
    <w:rsid w:val="00401757"/>
    <w:rsid w:val="00401BD3"/>
    <w:rsid w:val="00402814"/>
    <w:rsid w:val="004031B3"/>
    <w:rsid w:val="004046E1"/>
    <w:rsid w:val="00405C90"/>
    <w:rsid w:val="004062C2"/>
    <w:rsid w:val="00406CBE"/>
    <w:rsid w:val="004124C9"/>
    <w:rsid w:val="00412C0D"/>
    <w:rsid w:val="00412D03"/>
    <w:rsid w:val="00413B4A"/>
    <w:rsid w:val="00413C7A"/>
    <w:rsid w:val="00414B5D"/>
    <w:rsid w:val="00415600"/>
    <w:rsid w:val="00416965"/>
    <w:rsid w:val="00416FDA"/>
    <w:rsid w:val="0041759F"/>
    <w:rsid w:val="00421349"/>
    <w:rsid w:val="004213F3"/>
    <w:rsid w:val="004219E1"/>
    <w:rsid w:val="00421D2E"/>
    <w:rsid w:val="00422095"/>
    <w:rsid w:val="004236A8"/>
    <w:rsid w:val="004239CB"/>
    <w:rsid w:val="00423DCD"/>
    <w:rsid w:val="0042425D"/>
    <w:rsid w:val="0042428E"/>
    <w:rsid w:val="00424A08"/>
    <w:rsid w:val="00425453"/>
    <w:rsid w:val="00425B7E"/>
    <w:rsid w:val="00425F62"/>
    <w:rsid w:val="00425FC7"/>
    <w:rsid w:val="004260C3"/>
    <w:rsid w:val="004264B1"/>
    <w:rsid w:val="0042707B"/>
    <w:rsid w:val="00427D5F"/>
    <w:rsid w:val="0043071B"/>
    <w:rsid w:val="00431652"/>
    <w:rsid w:val="004319B8"/>
    <w:rsid w:val="0043279B"/>
    <w:rsid w:val="00432BFD"/>
    <w:rsid w:val="00432DB6"/>
    <w:rsid w:val="004335B9"/>
    <w:rsid w:val="00433780"/>
    <w:rsid w:val="004346CF"/>
    <w:rsid w:val="00434DB0"/>
    <w:rsid w:val="00436330"/>
    <w:rsid w:val="00437B1E"/>
    <w:rsid w:val="00437E47"/>
    <w:rsid w:val="00437F79"/>
    <w:rsid w:val="0044052A"/>
    <w:rsid w:val="0044102B"/>
    <w:rsid w:val="0044183B"/>
    <w:rsid w:val="00442273"/>
    <w:rsid w:val="00442C5C"/>
    <w:rsid w:val="00443A43"/>
    <w:rsid w:val="00443B6E"/>
    <w:rsid w:val="0044466B"/>
    <w:rsid w:val="004449B0"/>
    <w:rsid w:val="00444EDA"/>
    <w:rsid w:val="00445C61"/>
    <w:rsid w:val="00446901"/>
    <w:rsid w:val="00446CB4"/>
    <w:rsid w:val="004472C5"/>
    <w:rsid w:val="004476E6"/>
    <w:rsid w:val="0045113A"/>
    <w:rsid w:val="00451639"/>
    <w:rsid w:val="00451AB1"/>
    <w:rsid w:val="00452881"/>
    <w:rsid w:val="00452D0D"/>
    <w:rsid w:val="00452D66"/>
    <w:rsid w:val="004534AD"/>
    <w:rsid w:val="00453EB5"/>
    <w:rsid w:val="00454A31"/>
    <w:rsid w:val="00455159"/>
    <w:rsid w:val="00455FD9"/>
    <w:rsid w:val="004575D0"/>
    <w:rsid w:val="00457690"/>
    <w:rsid w:val="00457987"/>
    <w:rsid w:val="00460F31"/>
    <w:rsid w:val="0046192E"/>
    <w:rsid w:val="00462FD1"/>
    <w:rsid w:val="004637D9"/>
    <w:rsid w:val="00463FDA"/>
    <w:rsid w:val="004642CB"/>
    <w:rsid w:val="00464D94"/>
    <w:rsid w:val="0046597A"/>
    <w:rsid w:val="00466392"/>
    <w:rsid w:val="00466EF9"/>
    <w:rsid w:val="00467228"/>
    <w:rsid w:val="0047128C"/>
    <w:rsid w:val="00471434"/>
    <w:rsid w:val="00471606"/>
    <w:rsid w:val="00471952"/>
    <w:rsid w:val="00471B10"/>
    <w:rsid w:val="00471EE0"/>
    <w:rsid w:val="00473496"/>
    <w:rsid w:val="0047414B"/>
    <w:rsid w:val="00474314"/>
    <w:rsid w:val="00474759"/>
    <w:rsid w:val="0047511F"/>
    <w:rsid w:val="00475A1C"/>
    <w:rsid w:val="00476303"/>
    <w:rsid w:val="00476868"/>
    <w:rsid w:val="00476C69"/>
    <w:rsid w:val="00476E85"/>
    <w:rsid w:val="00477C11"/>
    <w:rsid w:val="00480CF3"/>
    <w:rsid w:val="00481E41"/>
    <w:rsid w:val="004827D1"/>
    <w:rsid w:val="004829BB"/>
    <w:rsid w:val="00483B9A"/>
    <w:rsid w:val="00483CA6"/>
    <w:rsid w:val="00483FD9"/>
    <w:rsid w:val="004854DF"/>
    <w:rsid w:val="004859B8"/>
    <w:rsid w:val="00485A99"/>
    <w:rsid w:val="00487161"/>
    <w:rsid w:val="0048759D"/>
    <w:rsid w:val="0049115D"/>
    <w:rsid w:val="00491226"/>
    <w:rsid w:val="004913EF"/>
    <w:rsid w:val="004914D1"/>
    <w:rsid w:val="00492AC0"/>
    <w:rsid w:val="00493721"/>
    <w:rsid w:val="00493C7A"/>
    <w:rsid w:val="00496078"/>
    <w:rsid w:val="004968FE"/>
    <w:rsid w:val="00496E9C"/>
    <w:rsid w:val="00496F44"/>
    <w:rsid w:val="00497584"/>
    <w:rsid w:val="00497A2B"/>
    <w:rsid w:val="00497C6D"/>
    <w:rsid w:val="00497D8D"/>
    <w:rsid w:val="004A0727"/>
    <w:rsid w:val="004A1E18"/>
    <w:rsid w:val="004A361A"/>
    <w:rsid w:val="004A4079"/>
    <w:rsid w:val="004A428F"/>
    <w:rsid w:val="004A46AF"/>
    <w:rsid w:val="004A4F67"/>
    <w:rsid w:val="004A5338"/>
    <w:rsid w:val="004A663E"/>
    <w:rsid w:val="004A6698"/>
    <w:rsid w:val="004A6FF0"/>
    <w:rsid w:val="004A7165"/>
    <w:rsid w:val="004A79DA"/>
    <w:rsid w:val="004B0B3E"/>
    <w:rsid w:val="004B10D1"/>
    <w:rsid w:val="004B1141"/>
    <w:rsid w:val="004B132F"/>
    <w:rsid w:val="004B15C7"/>
    <w:rsid w:val="004B16A5"/>
    <w:rsid w:val="004B1FB2"/>
    <w:rsid w:val="004B2595"/>
    <w:rsid w:val="004B2BBE"/>
    <w:rsid w:val="004B2E09"/>
    <w:rsid w:val="004B2FC6"/>
    <w:rsid w:val="004B3E87"/>
    <w:rsid w:val="004B5DC2"/>
    <w:rsid w:val="004B658B"/>
    <w:rsid w:val="004B7F65"/>
    <w:rsid w:val="004C006D"/>
    <w:rsid w:val="004C0702"/>
    <w:rsid w:val="004C2485"/>
    <w:rsid w:val="004C2873"/>
    <w:rsid w:val="004C35DA"/>
    <w:rsid w:val="004C530E"/>
    <w:rsid w:val="004C5446"/>
    <w:rsid w:val="004C5605"/>
    <w:rsid w:val="004C59EE"/>
    <w:rsid w:val="004C5F3B"/>
    <w:rsid w:val="004C71FC"/>
    <w:rsid w:val="004C7516"/>
    <w:rsid w:val="004C7606"/>
    <w:rsid w:val="004C7CE1"/>
    <w:rsid w:val="004C7DF4"/>
    <w:rsid w:val="004D0876"/>
    <w:rsid w:val="004D10CD"/>
    <w:rsid w:val="004D2A2C"/>
    <w:rsid w:val="004D31BE"/>
    <w:rsid w:val="004D41C6"/>
    <w:rsid w:val="004D4A09"/>
    <w:rsid w:val="004D4A0F"/>
    <w:rsid w:val="004D4EAC"/>
    <w:rsid w:val="004D4F1D"/>
    <w:rsid w:val="004D505D"/>
    <w:rsid w:val="004D5B27"/>
    <w:rsid w:val="004D60A5"/>
    <w:rsid w:val="004D6359"/>
    <w:rsid w:val="004D6970"/>
    <w:rsid w:val="004D6BC3"/>
    <w:rsid w:val="004D6EF5"/>
    <w:rsid w:val="004D78C4"/>
    <w:rsid w:val="004D7D21"/>
    <w:rsid w:val="004D7EFE"/>
    <w:rsid w:val="004E0013"/>
    <w:rsid w:val="004E00B6"/>
    <w:rsid w:val="004E047A"/>
    <w:rsid w:val="004E0E82"/>
    <w:rsid w:val="004E164B"/>
    <w:rsid w:val="004E2E75"/>
    <w:rsid w:val="004E2F31"/>
    <w:rsid w:val="004E35A0"/>
    <w:rsid w:val="004E3C14"/>
    <w:rsid w:val="004E3EDD"/>
    <w:rsid w:val="004E4FC6"/>
    <w:rsid w:val="004E5000"/>
    <w:rsid w:val="004E5A4C"/>
    <w:rsid w:val="004E5ACC"/>
    <w:rsid w:val="004E636B"/>
    <w:rsid w:val="004E6580"/>
    <w:rsid w:val="004E65F4"/>
    <w:rsid w:val="004E70EE"/>
    <w:rsid w:val="004F04B2"/>
    <w:rsid w:val="004F085B"/>
    <w:rsid w:val="004F0979"/>
    <w:rsid w:val="004F0D89"/>
    <w:rsid w:val="004F140F"/>
    <w:rsid w:val="004F1598"/>
    <w:rsid w:val="004F15D8"/>
    <w:rsid w:val="004F1B76"/>
    <w:rsid w:val="004F21FE"/>
    <w:rsid w:val="004F27C5"/>
    <w:rsid w:val="004F3FA9"/>
    <w:rsid w:val="004F43DD"/>
    <w:rsid w:val="004F4540"/>
    <w:rsid w:val="004F4E12"/>
    <w:rsid w:val="004F53CD"/>
    <w:rsid w:val="004F557D"/>
    <w:rsid w:val="004F5B6E"/>
    <w:rsid w:val="004F7172"/>
    <w:rsid w:val="0050041F"/>
    <w:rsid w:val="00501296"/>
    <w:rsid w:val="005012FF"/>
    <w:rsid w:val="00501428"/>
    <w:rsid w:val="00501E2B"/>
    <w:rsid w:val="00501FF6"/>
    <w:rsid w:val="005026B3"/>
    <w:rsid w:val="00503E18"/>
    <w:rsid w:val="00504942"/>
    <w:rsid w:val="00504FEE"/>
    <w:rsid w:val="00506417"/>
    <w:rsid w:val="00506B05"/>
    <w:rsid w:val="005077DC"/>
    <w:rsid w:val="00507DD0"/>
    <w:rsid w:val="00507E87"/>
    <w:rsid w:val="00510896"/>
    <w:rsid w:val="00511341"/>
    <w:rsid w:val="005127B7"/>
    <w:rsid w:val="005127EE"/>
    <w:rsid w:val="00512916"/>
    <w:rsid w:val="00513974"/>
    <w:rsid w:val="00513C61"/>
    <w:rsid w:val="00515E7C"/>
    <w:rsid w:val="005161C1"/>
    <w:rsid w:val="0051784C"/>
    <w:rsid w:val="00521DFC"/>
    <w:rsid w:val="00522CCC"/>
    <w:rsid w:val="00522E56"/>
    <w:rsid w:val="005232A7"/>
    <w:rsid w:val="005236DE"/>
    <w:rsid w:val="00523AA8"/>
    <w:rsid w:val="00524044"/>
    <w:rsid w:val="00524248"/>
    <w:rsid w:val="005242CE"/>
    <w:rsid w:val="005243FE"/>
    <w:rsid w:val="00526B3C"/>
    <w:rsid w:val="00526DA8"/>
    <w:rsid w:val="00526EB9"/>
    <w:rsid w:val="005322D9"/>
    <w:rsid w:val="00532CA1"/>
    <w:rsid w:val="0053392C"/>
    <w:rsid w:val="005341A5"/>
    <w:rsid w:val="00535726"/>
    <w:rsid w:val="0053584F"/>
    <w:rsid w:val="00535ABE"/>
    <w:rsid w:val="00537441"/>
    <w:rsid w:val="00537F91"/>
    <w:rsid w:val="005400C1"/>
    <w:rsid w:val="00540714"/>
    <w:rsid w:val="005422EF"/>
    <w:rsid w:val="00542349"/>
    <w:rsid w:val="00542830"/>
    <w:rsid w:val="00544316"/>
    <w:rsid w:val="00544412"/>
    <w:rsid w:val="005444F9"/>
    <w:rsid w:val="00544B4A"/>
    <w:rsid w:val="00545AB3"/>
    <w:rsid w:val="0055056F"/>
    <w:rsid w:val="00550839"/>
    <w:rsid w:val="005522B1"/>
    <w:rsid w:val="00552538"/>
    <w:rsid w:val="00552786"/>
    <w:rsid w:val="00552842"/>
    <w:rsid w:val="00552D72"/>
    <w:rsid w:val="005530BD"/>
    <w:rsid w:val="0055334E"/>
    <w:rsid w:val="005536D9"/>
    <w:rsid w:val="00553AD2"/>
    <w:rsid w:val="0055466B"/>
    <w:rsid w:val="005549E2"/>
    <w:rsid w:val="0055600C"/>
    <w:rsid w:val="00556AD7"/>
    <w:rsid w:val="00560A79"/>
    <w:rsid w:val="00560E86"/>
    <w:rsid w:val="00561ABF"/>
    <w:rsid w:val="005623D6"/>
    <w:rsid w:val="005623DB"/>
    <w:rsid w:val="00563907"/>
    <w:rsid w:val="00563C15"/>
    <w:rsid w:val="00563C55"/>
    <w:rsid w:val="00564736"/>
    <w:rsid w:val="00564DCA"/>
    <w:rsid w:val="00564FA6"/>
    <w:rsid w:val="00565172"/>
    <w:rsid w:val="0056552B"/>
    <w:rsid w:val="00565E45"/>
    <w:rsid w:val="00565F23"/>
    <w:rsid w:val="0056700A"/>
    <w:rsid w:val="0057050B"/>
    <w:rsid w:val="0057116D"/>
    <w:rsid w:val="00571331"/>
    <w:rsid w:val="005714ED"/>
    <w:rsid w:val="00571BDF"/>
    <w:rsid w:val="00572158"/>
    <w:rsid w:val="00572461"/>
    <w:rsid w:val="005726D5"/>
    <w:rsid w:val="00572CC5"/>
    <w:rsid w:val="00573275"/>
    <w:rsid w:val="005733C6"/>
    <w:rsid w:val="00574280"/>
    <w:rsid w:val="00574CE0"/>
    <w:rsid w:val="005758D6"/>
    <w:rsid w:val="00575D4E"/>
    <w:rsid w:val="00575F62"/>
    <w:rsid w:val="005765C6"/>
    <w:rsid w:val="00576F86"/>
    <w:rsid w:val="0057746B"/>
    <w:rsid w:val="00580623"/>
    <w:rsid w:val="0058077C"/>
    <w:rsid w:val="00580A0C"/>
    <w:rsid w:val="00581774"/>
    <w:rsid w:val="00581A9F"/>
    <w:rsid w:val="00581B13"/>
    <w:rsid w:val="005823DE"/>
    <w:rsid w:val="005826D8"/>
    <w:rsid w:val="00582950"/>
    <w:rsid w:val="00583D95"/>
    <w:rsid w:val="00583EEB"/>
    <w:rsid w:val="0058421F"/>
    <w:rsid w:val="005844E1"/>
    <w:rsid w:val="005858F3"/>
    <w:rsid w:val="00585B7B"/>
    <w:rsid w:val="00587F03"/>
    <w:rsid w:val="005901BC"/>
    <w:rsid w:val="005905D6"/>
    <w:rsid w:val="00590EF2"/>
    <w:rsid w:val="00591B63"/>
    <w:rsid w:val="00591C60"/>
    <w:rsid w:val="00591C6E"/>
    <w:rsid w:val="005929CD"/>
    <w:rsid w:val="00592AA8"/>
    <w:rsid w:val="00594553"/>
    <w:rsid w:val="00595EB9"/>
    <w:rsid w:val="00596F28"/>
    <w:rsid w:val="00597CEF"/>
    <w:rsid w:val="005A0024"/>
    <w:rsid w:val="005A0A5D"/>
    <w:rsid w:val="005A0B92"/>
    <w:rsid w:val="005A2A90"/>
    <w:rsid w:val="005A3100"/>
    <w:rsid w:val="005A3F21"/>
    <w:rsid w:val="005A3F9E"/>
    <w:rsid w:val="005A4C74"/>
    <w:rsid w:val="005A5554"/>
    <w:rsid w:val="005A5D47"/>
    <w:rsid w:val="005A6314"/>
    <w:rsid w:val="005A7B85"/>
    <w:rsid w:val="005A7BFE"/>
    <w:rsid w:val="005A7F45"/>
    <w:rsid w:val="005B0079"/>
    <w:rsid w:val="005B035E"/>
    <w:rsid w:val="005B05C4"/>
    <w:rsid w:val="005B0819"/>
    <w:rsid w:val="005B12CB"/>
    <w:rsid w:val="005B2B9B"/>
    <w:rsid w:val="005B3400"/>
    <w:rsid w:val="005B39B1"/>
    <w:rsid w:val="005B5021"/>
    <w:rsid w:val="005B6326"/>
    <w:rsid w:val="005B6576"/>
    <w:rsid w:val="005B6800"/>
    <w:rsid w:val="005B6E26"/>
    <w:rsid w:val="005B6F0A"/>
    <w:rsid w:val="005B7F50"/>
    <w:rsid w:val="005C01E0"/>
    <w:rsid w:val="005C0612"/>
    <w:rsid w:val="005C0945"/>
    <w:rsid w:val="005C0C4D"/>
    <w:rsid w:val="005C127D"/>
    <w:rsid w:val="005C2424"/>
    <w:rsid w:val="005C2477"/>
    <w:rsid w:val="005C26AE"/>
    <w:rsid w:val="005C35A1"/>
    <w:rsid w:val="005C36B6"/>
    <w:rsid w:val="005C3B5D"/>
    <w:rsid w:val="005C4270"/>
    <w:rsid w:val="005C4E37"/>
    <w:rsid w:val="005C5147"/>
    <w:rsid w:val="005C5534"/>
    <w:rsid w:val="005C62C0"/>
    <w:rsid w:val="005C660A"/>
    <w:rsid w:val="005C6945"/>
    <w:rsid w:val="005C6BD8"/>
    <w:rsid w:val="005C6DF4"/>
    <w:rsid w:val="005C7433"/>
    <w:rsid w:val="005C765D"/>
    <w:rsid w:val="005C7824"/>
    <w:rsid w:val="005C7C10"/>
    <w:rsid w:val="005C7E86"/>
    <w:rsid w:val="005D03D0"/>
    <w:rsid w:val="005D137C"/>
    <w:rsid w:val="005D14E8"/>
    <w:rsid w:val="005D1677"/>
    <w:rsid w:val="005D17ED"/>
    <w:rsid w:val="005D1AE3"/>
    <w:rsid w:val="005D22B0"/>
    <w:rsid w:val="005D22FF"/>
    <w:rsid w:val="005D3172"/>
    <w:rsid w:val="005D3276"/>
    <w:rsid w:val="005D34F3"/>
    <w:rsid w:val="005D3DDF"/>
    <w:rsid w:val="005D49B5"/>
    <w:rsid w:val="005D4D22"/>
    <w:rsid w:val="005D5390"/>
    <w:rsid w:val="005D587B"/>
    <w:rsid w:val="005D5ED4"/>
    <w:rsid w:val="005D7519"/>
    <w:rsid w:val="005E0E5B"/>
    <w:rsid w:val="005E0F85"/>
    <w:rsid w:val="005E1EA2"/>
    <w:rsid w:val="005E22A8"/>
    <w:rsid w:val="005E2FBD"/>
    <w:rsid w:val="005E40CE"/>
    <w:rsid w:val="005E47F2"/>
    <w:rsid w:val="005E5E26"/>
    <w:rsid w:val="005E6946"/>
    <w:rsid w:val="005E6C74"/>
    <w:rsid w:val="005E6D7F"/>
    <w:rsid w:val="005F0678"/>
    <w:rsid w:val="005F0BF1"/>
    <w:rsid w:val="005F177F"/>
    <w:rsid w:val="005F1A7C"/>
    <w:rsid w:val="005F3A54"/>
    <w:rsid w:val="005F3D6E"/>
    <w:rsid w:val="005F4024"/>
    <w:rsid w:val="005F50A2"/>
    <w:rsid w:val="005F5AFA"/>
    <w:rsid w:val="005F5D6B"/>
    <w:rsid w:val="005F60F8"/>
    <w:rsid w:val="005F682E"/>
    <w:rsid w:val="005F6A85"/>
    <w:rsid w:val="00600301"/>
    <w:rsid w:val="00600944"/>
    <w:rsid w:val="00601FDB"/>
    <w:rsid w:val="006021C9"/>
    <w:rsid w:val="006032CC"/>
    <w:rsid w:val="00604DA8"/>
    <w:rsid w:val="00604EFB"/>
    <w:rsid w:val="006050E5"/>
    <w:rsid w:val="00605CF7"/>
    <w:rsid w:val="00605FD6"/>
    <w:rsid w:val="0060705F"/>
    <w:rsid w:val="00607153"/>
    <w:rsid w:val="006079F2"/>
    <w:rsid w:val="00607B1E"/>
    <w:rsid w:val="00610E88"/>
    <w:rsid w:val="00611119"/>
    <w:rsid w:val="006111AF"/>
    <w:rsid w:val="00611222"/>
    <w:rsid w:val="006114CB"/>
    <w:rsid w:val="00611E81"/>
    <w:rsid w:val="00612362"/>
    <w:rsid w:val="00612AE4"/>
    <w:rsid w:val="00612E51"/>
    <w:rsid w:val="0061313F"/>
    <w:rsid w:val="00613CB1"/>
    <w:rsid w:val="00613E78"/>
    <w:rsid w:val="00613FFE"/>
    <w:rsid w:val="006144A5"/>
    <w:rsid w:val="006152BF"/>
    <w:rsid w:val="006158AA"/>
    <w:rsid w:val="00616759"/>
    <w:rsid w:val="00616AA7"/>
    <w:rsid w:val="00616E6F"/>
    <w:rsid w:val="00617C4A"/>
    <w:rsid w:val="00620CA8"/>
    <w:rsid w:val="00621796"/>
    <w:rsid w:val="0062241E"/>
    <w:rsid w:val="006225D6"/>
    <w:rsid w:val="00622B43"/>
    <w:rsid w:val="00622D8A"/>
    <w:rsid w:val="00622E82"/>
    <w:rsid w:val="00623440"/>
    <w:rsid w:val="006239D3"/>
    <w:rsid w:val="00624519"/>
    <w:rsid w:val="00624BF9"/>
    <w:rsid w:val="00625066"/>
    <w:rsid w:val="00625615"/>
    <w:rsid w:val="00626E0A"/>
    <w:rsid w:val="00626FB8"/>
    <w:rsid w:val="0062752F"/>
    <w:rsid w:val="00627F9D"/>
    <w:rsid w:val="006301BE"/>
    <w:rsid w:val="00630814"/>
    <w:rsid w:val="00630962"/>
    <w:rsid w:val="00631B2D"/>
    <w:rsid w:val="00632CDA"/>
    <w:rsid w:val="0063416D"/>
    <w:rsid w:val="00635643"/>
    <w:rsid w:val="006359AD"/>
    <w:rsid w:val="00635E43"/>
    <w:rsid w:val="00635F1B"/>
    <w:rsid w:val="006363D0"/>
    <w:rsid w:val="006372E1"/>
    <w:rsid w:val="00637FAD"/>
    <w:rsid w:val="006403E5"/>
    <w:rsid w:val="006407A2"/>
    <w:rsid w:val="00640BE2"/>
    <w:rsid w:val="00641DA5"/>
    <w:rsid w:val="00641F1F"/>
    <w:rsid w:val="00642A1D"/>
    <w:rsid w:val="00642C95"/>
    <w:rsid w:val="006436A9"/>
    <w:rsid w:val="00643A0E"/>
    <w:rsid w:val="00644A26"/>
    <w:rsid w:val="00644C3D"/>
    <w:rsid w:val="00646EE0"/>
    <w:rsid w:val="00647134"/>
    <w:rsid w:val="006477A7"/>
    <w:rsid w:val="00647CE4"/>
    <w:rsid w:val="0065024A"/>
    <w:rsid w:val="0065061D"/>
    <w:rsid w:val="00650951"/>
    <w:rsid w:val="00650AE1"/>
    <w:rsid w:val="00652460"/>
    <w:rsid w:val="006524A0"/>
    <w:rsid w:val="0065259F"/>
    <w:rsid w:val="00653860"/>
    <w:rsid w:val="00653F71"/>
    <w:rsid w:val="0065426E"/>
    <w:rsid w:val="006543DD"/>
    <w:rsid w:val="006545C8"/>
    <w:rsid w:val="00654AD2"/>
    <w:rsid w:val="00654AED"/>
    <w:rsid w:val="00654D7E"/>
    <w:rsid w:val="006550E0"/>
    <w:rsid w:val="006551D1"/>
    <w:rsid w:val="006551F5"/>
    <w:rsid w:val="00656DE7"/>
    <w:rsid w:val="00656E0D"/>
    <w:rsid w:val="00657A7C"/>
    <w:rsid w:val="00657B25"/>
    <w:rsid w:val="00657BE0"/>
    <w:rsid w:val="00657C43"/>
    <w:rsid w:val="00657E08"/>
    <w:rsid w:val="00660CE4"/>
    <w:rsid w:val="00660F7E"/>
    <w:rsid w:val="0066186E"/>
    <w:rsid w:val="006629F6"/>
    <w:rsid w:val="00662D3C"/>
    <w:rsid w:val="00664239"/>
    <w:rsid w:val="0066469E"/>
    <w:rsid w:val="00665C11"/>
    <w:rsid w:val="006660A1"/>
    <w:rsid w:val="00667E16"/>
    <w:rsid w:val="00667F8F"/>
    <w:rsid w:val="006705A7"/>
    <w:rsid w:val="0067061D"/>
    <w:rsid w:val="00671322"/>
    <w:rsid w:val="006716FD"/>
    <w:rsid w:val="00671817"/>
    <w:rsid w:val="00671F58"/>
    <w:rsid w:val="00672685"/>
    <w:rsid w:val="0067268A"/>
    <w:rsid w:val="0067269D"/>
    <w:rsid w:val="00672A2B"/>
    <w:rsid w:val="00672ADF"/>
    <w:rsid w:val="00672BE6"/>
    <w:rsid w:val="00673F7D"/>
    <w:rsid w:val="00674355"/>
    <w:rsid w:val="00675266"/>
    <w:rsid w:val="00675527"/>
    <w:rsid w:val="00676EBC"/>
    <w:rsid w:val="00677A88"/>
    <w:rsid w:val="00680D98"/>
    <w:rsid w:val="006810F3"/>
    <w:rsid w:val="0068168D"/>
    <w:rsid w:val="00682EFF"/>
    <w:rsid w:val="0068342E"/>
    <w:rsid w:val="006838BC"/>
    <w:rsid w:val="00683AAA"/>
    <w:rsid w:val="00685795"/>
    <w:rsid w:val="006859AA"/>
    <w:rsid w:val="006859D7"/>
    <w:rsid w:val="0068704D"/>
    <w:rsid w:val="00687398"/>
    <w:rsid w:val="00687452"/>
    <w:rsid w:val="0068746C"/>
    <w:rsid w:val="006902B4"/>
    <w:rsid w:val="0069082C"/>
    <w:rsid w:val="006910AD"/>
    <w:rsid w:val="0069120B"/>
    <w:rsid w:val="006918DE"/>
    <w:rsid w:val="00691A72"/>
    <w:rsid w:val="00691F6C"/>
    <w:rsid w:val="00692C9C"/>
    <w:rsid w:val="00692EDB"/>
    <w:rsid w:val="006943FC"/>
    <w:rsid w:val="00694445"/>
    <w:rsid w:val="00694821"/>
    <w:rsid w:val="006951AB"/>
    <w:rsid w:val="00695A47"/>
    <w:rsid w:val="00695FBB"/>
    <w:rsid w:val="006960D2"/>
    <w:rsid w:val="006962ED"/>
    <w:rsid w:val="00697311"/>
    <w:rsid w:val="006A04FD"/>
    <w:rsid w:val="006A0B47"/>
    <w:rsid w:val="006A0C26"/>
    <w:rsid w:val="006A190E"/>
    <w:rsid w:val="006A1CD5"/>
    <w:rsid w:val="006A3532"/>
    <w:rsid w:val="006A3F31"/>
    <w:rsid w:val="006A4294"/>
    <w:rsid w:val="006A4B85"/>
    <w:rsid w:val="006A5235"/>
    <w:rsid w:val="006A5379"/>
    <w:rsid w:val="006A5C81"/>
    <w:rsid w:val="006A6A0F"/>
    <w:rsid w:val="006A766A"/>
    <w:rsid w:val="006A7951"/>
    <w:rsid w:val="006B1339"/>
    <w:rsid w:val="006B13D4"/>
    <w:rsid w:val="006B1856"/>
    <w:rsid w:val="006B26F2"/>
    <w:rsid w:val="006B2BA2"/>
    <w:rsid w:val="006B2E34"/>
    <w:rsid w:val="006B34EC"/>
    <w:rsid w:val="006B3643"/>
    <w:rsid w:val="006B53DD"/>
    <w:rsid w:val="006B5773"/>
    <w:rsid w:val="006B6CE5"/>
    <w:rsid w:val="006B71F4"/>
    <w:rsid w:val="006B7215"/>
    <w:rsid w:val="006B74D7"/>
    <w:rsid w:val="006B796D"/>
    <w:rsid w:val="006C149A"/>
    <w:rsid w:val="006C1CCB"/>
    <w:rsid w:val="006C24D7"/>
    <w:rsid w:val="006C2DC4"/>
    <w:rsid w:val="006C3F20"/>
    <w:rsid w:val="006C40A8"/>
    <w:rsid w:val="006C4460"/>
    <w:rsid w:val="006C4E1A"/>
    <w:rsid w:val="006C5137"/>
    <w:rsid w:val="006C56D7"/>
    <w:rsid w:val="006C5C1A"/>
    <w:rsid w:val="006C5D9B"/>
    <w:rsid w:val="006C752E"/>
    <w:rsid w:val="006C7725"/>
    <w:rsid w:val="006D0FAA"/>
    <w:rsid w:val="006D10D2"/>
    <w:rsid w:val="006D11DB"/>
    <w:rsid w:val="006D1D69"/>
    <w:rsid w:val="006D1DE1"/>
    <w:rsid w:val="006D2176"/>
    <w:rsid w:val="006D3CD1"/>
    <w:rsid w:val="006D44F9"/>
    <w:rsid w:val="006D6493"/>
    <w:rsid w:val="006D6836"/>
    <w:rsid w:val="006D687F"/>
    <w:rsid w:val="006D73CB"/>
    <w:rsid w:val="006D751C"/>
    <w:rsid w:val="006D79B1"/>
    <w:rsid w:val="006D7D1E"/>
    <w:rsid w:val="006E0003"/>
    <w:rsid w:val="006E0216"/>
    <w:rsid w:val="006E0F1F"/>
    <w:rsid w:val="006E1848"/>
    <w:rsid w:val="006E222B"/>
    <w:rsid w:val="006E2C09"/>
    <w:rsid w:val="006E30C2"/>
    <w:rsid w:val="006E33AB"/>
    <w:rsid w:val="006E47BF"/>
    <w:rsid w:val="006E538A"/>
    <w:rsid w:val="006E6409"/>
    <w:rsid w:val="006E6644"/>
    <w:rsid w:val="006E6CA5"/>
    <w:rsid w:val="006E7345"/>
    <w:rsid w:val="006E7803"/>
    <w:rsid w:val="006E7849"/>
    <w:rsid w:val="006E7B10"/>
    <w:rsid w:val="006F01CB"/>
    <w:rsid w:val="006F0535"/>
    <w:rsid w:val="006F079A"/>
    <w:rsid w:val="006F160E"/>
    <w:rsid w:val="006F17DB"/>
    <w:rsid w:val="006F2353"/>
    <w:rsid w:val="006F23D8"/>
    <w:rsid w:val="006F342E"/>
    <w:rsid w:val="006F36B5"/>
    <w:rsid w:val="006F3BFA"/>
    <w:rsid w:val="006F4172"/>
    <w:rsid w:val="006F51A0"/>
    <w:rsid w:val="006F55AD"/>
    <w:rsid w:val="006F5A80"/>
    <w:rsid w:val="006F6380"/>
    <w:rsid w:val="006F6E90"/>
    <w:rsid w:val="006F76C7"/>
    <w:rsid w:val="006F7B9B"/>
    <w:rsid w:val="006F7BF7"/>
    <w:rsid w:val="0070054E"/>
    <w:rsid w:val="0070300F"/>
    <w:rsid w:val="0070396D"/>
    <w:rsid w:val="00703C50"/>
    <w:rsid w:val="00703C91"/>
    <w:rsid w:val="00704285"/>
    <w:rsid w:val="00704505"/>
    <w:rsid w:val="00704FCD"/>
    <w:rsid w:val="00704FD5"/>
    <w:rsid w:val="007050EC"/>
    <w:rsid w:val="00705B7E"/>
    <w:rsid w:val="007064C0"/>
    <w:rsid w:val="007072F8"/>
    <w:rsid w:val="00710A61"/>
    <w:rsid w:val="007110C3"/>
    <w:rsid w:val="00711AAD"/>
    <w:rsid w:val="007124AA"/>
    <w:rsid w:val="007126E7"/>
    <w:rsid w:val="007132FD"/>
    <w:rsid w:val="007148B1"/>
    <w:rsid w:val="0071495C"/>
    <w:rsid w:val="00714A06"/>
    <w:rsid w:val="00716127"/>
    <w:rsid w:val="00716A32"/>
    <w:rsid w:val="00717287"/>
    <w:rsid w:val="007177CA"/>
    <w:rsid w:val="00720659"/>
    <w:rsid w:val="00720F79"/>
    <w:rsid w:val="007212C6"/>
    <w:rsid w:val="00721497"/>
    <w:rsid w:val="007217A9"/>
    <w:rsid w:val="00722DBB"/>
    <w:rsid w:val="00723848"/>
    <w:rsid w:val="00723871"/>
    <w:rsid w:val="00723D33"/>
    <w:rsid w:val="007246CC"/>
    <w:rsid w:val="00724A10"/>
    <w:rsid w:val="00724FD5"/>
    <w:rsid w:val="007256B9"/>
    <w:rsid w:val="00725B0D"/>
    <w:rsid w:val="00726E9D"/>
    <w:rsid w:val="0073053B"/>
    <w:rsid w:val="00730554"/>
    <w:rsid w:val="007307A1"/>
    <w:rsid w:val="0073087F"/>
    <w:rsid w:val="00731913"/>
    <w:rsid w:val="00731E20"/>
    <w:rsid w:val="00732AD1"/>
    <w:rsid w:val="00732BFA"/>
    <w:rsid w:val="007338AB"/>
    <w:rsid w:val="00733DBA"/>
    <w:rsid w:val="00733E18"/>
    <w:rsid w:val="00735C90"/>
    <w:rsid w:val="00736EE1"/>
    <w:rsid w:val="00737A86"/>
    <w:rsid w:val="00737CDC"/>
    <w:rsid w:val="007411FA"/>
    <w:rsid w:val="00741639"/>
    <w:rsid w:val="00741973"/>
    <w:rsid w:val="00741F77"/>
    <w:rsid w:val="00742AC9"/>
    <w:rsid w:val="00743B09"/>
    <w:rsid w:val="00743E07"/>
    <w:rsid w:val="007443F1"/>
    <w:rsid w:val="00744B8A"/>
    <w:rsid w:val="00745BF7"/>
    <w:rsid w:val="00746AC1"/>
    <w:rsid w:val="0074788E"/>
    <w:rsid w:val="00747A94"/>
    <w:rsid w:val="00747CC2"/>
    <w:rsid w:val="00747D61"/>
    <w:rsid w:val="0075006E"/>
    <w:rsid w:val="0075113E"/>
    <w:rsid w:val="0075148C"/>
    <w:rsid w:val="007515E4"/>
    <w:rsid w:val="00751F65"/>
    <w:rsid w:val="00752813"/>
    <w:rsid w:val="00752C0F"/>
    <w:rsid w:val="007539C6"/>
    <w:rsid w:val="00753AF0"/>
    <w:rsid w:val="00753FBA"/>
    <w:rsid w:val="0075411D"/>
    <w:rsid w:val="007551F5"/>
    <w:rsid w:val="007553CF"/>
    <w:rsid w:val="00756048"/>
    <w:rsid w:val="00756117"/>
    <w:rsid w:val="00756411"/>
    <w:rsid w:val="00756569"/>
    <w:rsid w:val="00757E02"/>
    <w:rsid w:val="00757EC5"/>
    <w:rsid w:val="007601C8"/>
    <w:rsid w:val="0076068C"/>
    <w:rsid w:val="00760723"/>
    <w:rsid w:val="00760F10"/>
    <w:rsid w:val="007616CD"/>
    <w:rsid w:val="0076277E"/>
    <w:rsid w:val="0076318A"/>
    <w:rsid w:val="00763758"/>
    <w:rsid w:val="00763CE9"/>
    <w:rsid w:val="007653DD"/>
    <w:rsid w:val="0076638F"/>
    <w:rsid w:val="007666A4"/>
    <w:rsid w:val="00770342"/>
    <w:rsid w:val="007714E4"/>
    <w:rsid w:val="00771ED0"/>
    <w:rsid w:val="00772BBE"/>
    <w:rsid w:val="00773242"/>
    <w:rsid w:val="00774552"/>
    <w:rsid w:val="00774A53"/>
    <w:rsid w:val="00774BA0"/>
    <w:rsid w:val="00775215"/>
    <w:rsid w:val="00776044"/>
    <w:rsid w:val="0077673F"/>
    <w:rsid w:val="00776B76"/>
    <w:rsid w:val="00777531"/>
    <w:rsid w:val="007778A2"/>
    <w:rsid w:val="00777C85"/>
    <w:rsid w:val="00777D91"/>
    <w:rsid w:val="0078148C"/>
    <w:rsid w:val="00782C75"/>
    <w:rsid w:val="00782DBC"/>
    <w:rsid w:val="00783478"/>
    <w:rsid w:val="00783846"/>
    <w:rsid w:val="007838DC"/>
    <w:rsid w:val="00783BF5"/>
    <w:rsid w:val="00784714"/>
    <w:rsid w:val="0078490A"/>
    <w:rsid w:val="00784FEB"/>
    <w:rsid w:val="00785106"/>
    <w:rsid w:val="00785222"/>
    <w:rsid w:val="0078598F"/>
    <w:rsid w:val="00785B5E"/>
    <w:rsid w:val="00786E1F"/>
    <w:rsid w:val="007872E8"/>
    <w:rsid w:val="0078769F"/>
    <w:rsid w:val="00787E38"/>
    <w:rsid w:val="0079051E"/>
    <w:rsid w:val="007906D4"/>
    <w:rsid w:val="00790E1F"/>
    <w:rsid w:val="00791B50"/>
    <w:rsid w:val="00791F4D"/>
    <w:rsid w:val="0079302F"/>
    <w:rsid w:val="00793BF4"/>
    <w:rsid w:val="00794AE7"/>
    <w:rsid w:val="007951F4"/>
    <w:rsid w:val="00795353"/>
    <w:rsid w:val="007957EE"/>
    <w:rsid w:val="00796919"/>
    <w:rsid w:val="00796B1F"/>
    <w:rsid w:val="00796D86"/>
    <w:rsid w:val="00796EA0"/>
    <w:rsid w:val="00796F0B"/>
    <w:rsid w:val="0079773B"/>
    <w:rsid w:val="00797BCB"/>
    <w:rsid w:val="007A0BEC"/>
    <w:rsid w:val="007A276B"/>
    <w:rsid w:val="007A27E3"/>
    <w:rsid w:val="007A2E3C"/>
    <w:rsid w:val="007A3131"/>
    <w:rsid w:val="007A327F"/>
    <w:rsid w:val="007A41E0"/>
    <w:rsid w:val="007A42F4"/>
    <w:rsid w:val="007A464C"/>
    <w:rsid w:val="007A4B72"/>
    <w:rsid w:val="007A5312"/>
    <w:rsid w:val="007A5668"/>
    <w:rsid w:val="007A6AB7"/>
    <w:rsid w:val="007A7095"/>
    <w:rsid w:val="007A7163"/>
    <w:rsid w:val="007A767A"/>
    <w:rsid w:val="007A7C2D"/>
    <w:rsid w:val="007B0411"/>
    <w:rsid w:val="007B15F5"/>
    <w:rsid w:val="007B1827"/>
    <w:rsid w:val="007B2571"/>
    <w:rsid w:val="007B2FF6"/>
    <w:rsid w:val="007B3966"/>
    <w:rsid w:val="007B5742"/>
    <w:rsid w:val="007B5992"/>
    <w:rsid w:val="007B5A39"/>
    <w:rsid w:val="007B7D0A"/>
    <w:rsid w:val="007C1BEE"/>
    <w:rsid w:val="007C20AB"/>
    <w:rsid w:val="007C21DD"/>
    <w:rsid w:val="007C31EA"/>
    <w:rsid w:val="007C46D2"/>
    <w:rsid w:val="007C56AB"/>
    <w:rsid w:val="007C6C51"/>
    <w:rsid w:val="007D046C"/>
    <w:rsid w:val="007D06B9"/>
    <w:rsid w:val="007D0EF7"/>
    <w:rsid w:val="007D1C12"/>
    <w:rsid w:val="007D1C55"/>
    <w:rsid w:val="007D2D25"/>
    <w:rsid w:val="007D3BA4"/>
    <w:rsid w:val="007D4643"/>
    <w:rsid w:val="007D468C"/>
    <w:rsid w:val="007D4A71"/>
    <w:rsid w:val="007D4BC5"/>
    <w:rsid w:val="007D50F2"/>
    <w:rsid w:val="007D5246"/>
    <w:rsid w:val="007D5705"/>
    <w:rsid w:val="007D5EFA"/>
    <w:rsid w:val="007D7009"/>
    <w:rsid w:val="007D70D7"/>
    <w:rsid w:val="007D79BE"/>
    <w:rsid w:val="007E001C"/>
    <w:rsid w:val="007E101C"/>
    <w:rsid w:val="007E1D49"/>
    <w:rsid w:val="007E1F76"/>
    <w:rsid w:val="007E27DE"/>
    <w:rsid w:val="007E2A4F"/>
    <w:rsid w:val="007E334B"/>
    <w:rsid w:val="007E379D"/>
    <w:rsid w:val="007E3B1F"/>
    <w:rsid w:val="007E4ABD"/>
    <w:rsid w:val="007E58C0"/>
    <w:rsid w:val="007E5D3F"/>
    <w:rsid w:val="007E615C"/>
    <w:rsid w:val="007E66BB"/>
    <w:rsid w:val="007E776C"/>
    <w:rsid w:val="007E789E"/>
    <w:rsid w:val="007E793A"/>
    <w:rsid w:val="007E7DEF"/>
    <w:rsid w:val="007F1A58"/>
    <w:rsid w:val="007F1D71"/>
    <w:rsid w:val="007F1DEB"/>
    <w:rsid w:val="007F2498"/>
    <w:rsid w:val="007F2A83"/>
    <w:rsid w:val="007F2BA3"/>
    <w:rsid w:val="007F60E6"/>
    <w:rsid w:val="007F688A"/>
    <w:rsid w:val="007F777A"/>
    <w:rsid w:val="007F7C29"/>
    <w:rsid w:val="00800348"/>
    <w:rsid w:val="008003C9"/>
    <w:rsid w:val="0080044B"/>
    <w:rsid w:val="00801736"/>
    <w:rsid w:val="00802914"/>
    <w:rsid w:val="00806849"/>
    <w:rsid w:val="00806C93"/>
    <w:rsid w:val="00806D40"/>
    <w:rsid w:val="0081006D"/>
    <w:rsid w:val="008109F2"/>
    <w:rsid w:val="00811262"/>
    <w:rsid w:val="00812A6B"/>
    <w:rsid w:val="00814669"/>
    <w:rsid w:val="00814F26"/>
    <w:rsid w:val="00817720"/>
    <w:rsid w:val="00820405"/>
    <w:rsid w:val="00820A52"/>
    <w:rsid w:val="00820A65"/>
    <w:rsid w:val="00821DF1"/>
    <w:rsid w:val="00821E87"/>
    <w:rsid w:val="008220C5"/>
    <w:rsid w:val="0082214E"/>
    <w:rsid w:val="008226C4"/>
    <w:rsid w:val="00822BB5"/>
    <w:rsid w:val="00822BC5"/>
    <w:rsid w:val="00823734"/>
    <w:rsid w:val="008238C1"/>
    <w:rsid w:val="00824234"/>
    <w:rsid w:val="00824239"/>
    <w:rsid w:val="00824AFD"/>
    <w:rsid w:val="00824DB2"/>
    <w:rsid w:val="00826018"/>
    <w:rsid w:val="008260EA"/>
    <w:rsid w:val="008268B8"/>
    <w:rsid w:val="008273E7"/>
    <w:rsid w:val="00827EAA"/>
    <w:rsid w:val="00830213"/>
    <w:rsid w:val="00831120"/>
    <w:rsid w:val="008313E4"/>
    <w:rsid w:val="00831A69"/>
    <w:rsid w:val="00832FD9"/>
    <w:rsid w:val="008330FF"/>
    <w:rsid w:val="008335BD"/>
    <w:rsid w:val="00833830"/>
    <w:rsid w:val="008338B2"/>
    <w:rsid w:val="00834A66"/>
    <w:rsid w:val="00835FFE"/>
    <w:rsid w:val="00836B70"/>
    <w:rsid w:val="00837517"/>
    <w:rsid w:val="008407D6"/>
    <w:rsid w:val="008410E2"/>
    <w:rsid w:val="0084290C"/>
    <w:rsid w:val="008434F4"/>
    <w:rsid w:val="00843610"/>
    <w:rsid w:val="00844006"/>
    <w:rsid w:val="008440D1"/>
    <w:rsid w:val="00847DA8"/>
    <w:rsid w:val="008500A8"/>
    <w:rsid w:val="00850657"/>
    <w:rsid w:val="008510FB"/>
    <w:rsid w:val="00851164"/>
    <w:rsid w:val="00852C64"/>
    <w:rsid w:val="00853476"/>
    <w:rsid w:val="00853E38"/>
    <w:rsid w:val="0085764F"/>
    <w:rsid w:val="00857AD3"/>
    <w:rsid w:val="00857C07"/>
    <w:rsid w:val="00857C19"/>
    <w:rsid w:val="00861A8A"/>
    <w:rsid w:val="00861CC8"/>
    <w:rsid w:val="008631F0"/>
    <w:rsid w:val="00864A53"/>
    <w:rsid w:val="00864F16"/>
    <w:rsid w:val="00864FCE"/>
    <w:rsid w:val="0086575D"/>
    <w:rsid w:val="00865D19"/>
    <w:rsid w:val="00867498"/>
    <w:rsid w:val="00867526"/>
    <w:rsid w:val="00867C86"/>
    <w:rsid w:val="00867EE0"/>
    <w:rsid w:val="0087004D"/>
    <w:rsid w:val="00870331"/>
    <w:rsid w:val="008710C3"/>
    <w:rsid w:val="00872108"/>
    <w:rsid w:val="008728C0"/>
    <w:rsid w:val="00872BE7"/>
    <w:rsid w:val="00872DA3"/>
    <w:rsid w:val="00873567"/>
    <w:rsid w:val="008753C7"/>
    <w:rsid w:val="00876B27"/>
    <w:rsid w:val="00880212"/>
    <w:rsid w:val="00880B23"/>
    <w:rsid w:val="0088116F"/>
    <w:rsid w:val="00881CF3"/>
    <w:rsid w:val="00882832"/>
    <w:rsid w:val="00882D20"/>
    <w:rsid w:val="00883D2B"/>
    <w:rsid w:val="00884011"/>
    <w:rsid w:val="00884FCC"/>
    <w:rsid w:val="00885651"/>
    <w:rsid w:val="00885792"/>
    <w:rsid w:val="00885A32"/>
    <w:rsid w:val="00885E92"/>
    <w:rsid w:val="00886CEB"/>
    <w:rsid w:val="00886FDE"/>
    <w:rsid w:val="00887B29"/>
    <w:rsid w:val="00890657"/>
    <w:rsid w:val="00890AEE"/>
    <w:rsid w:val="00893297"/>
    <w:rsid w:val="00895157"/>
    <w:rsid w:val="0089543D"/>
    <w:rsid w:val="0089576E"/>
    <w:rsid w:val="00895886"/>
    <w:rsid w:val="00896B19"/>
    <w:rsid w:val="008973CD"/>
    <w:rsid w:val="00897EE4"/>
    <w:rsid w:val="008A15D1"/>
    <w:rsid w:val="008A1A99"/>
    <w:rsid w:val="008A1EFA"/>
    <w:rsid w:val="008A2F5D"/>
    <w:rsid w:val="008A30A2"/>
    <w:rsid w:val="008A383E"/>
    <w:rsid w:val="008A47F2"/>
    <w:rsid w:val="008A4D7A"/>
    <w:rsid w:val="008A4D93"/>
    <w:rsid w:val="008A52C2"/>
    <w:rsid w:val="008A6595"/>
    <w:rsid w:val="008A6783"/>
    <w:rsid w:val="008A67FA"/>
    <w:rsid w:val="008A6818"/>
    <w:rsid w:val="008A6CE2"/>
    <w:rsid w:val="008A6EED"/>
    <w:rsid w:val="008A72EC"/>
    <w:rsid w:val="008A7B07"/>
    <w:rsid w:val="008A7E1D"/>
    <w:rsid w:val="008B0B47"/>
    <w:rsid w:val="008B15CF"/>
    <w:rsid w:val="008B1961"/>
    <w:rsid w:val="008B1FE7"/>
    <w:rsid w:val="008B2AFE"/>
    <w:rsid w:val="008B2F5E"/>
    <w:rsid w:val="008B3299"/>
    <w:rsid w:val="008B350A"/>
    <w:rsid w:val="008B359D"/>
    <w:rsid w:val="008B362E"/>
    <w:rsid w:val="008B39C4"/>
    <w:rsid w:val="008B4372"/>
    <w:rsid w:val="008B44DB"/>
    <w:rsid w:val="008B4C68"/>
    <w:rsid w:val="008B5152"/>
    <w:rsid w:val="008B60A6"/>
    <w:rsid w:val="008B616D"/>
    <w:rsid w:val="008B653C"/>
    <w:rsid w:val="008B6C20"/>
    <w:rsid w:val="008B6F11"/>
    <w:rsid w:val="008B7372"/>
    <w:rsid w:val="008B7DC9"/>
    <w:rsid w:val="008B7DF4"/>
    <w:rsid w:val="008C0481"/>
    <w:rsid w:val="008C09A7"/>
    <w:rsid w:val="008C1076"/>
    <w:rsid w:val="008C12D0"/>
    <w:rsid w:val="008C2084"/>
    <w:rsid w:val="008C2591"/>
    <w:rsid w:val="008C2733"/>
    <w:rsid w:val="008C299E"/>
    <w:rsid w:val="008C2A33"/>
    <w:rsid w:val="008C2E8B"/>
    <w:rsid w:val="008C33D9"/>
    <w:rsid w:val="008C3718"/>
    <w:rsid w:val="008C4A8B"/>
    <w:rsid w:val="008C4AA0"/>
    <w:rsid w:val="008C5C51"/>
    <w:rsid w:val="008C611C"/>
    <w:rsid w:val="008C7443"/>
    <w:rsid w:val="008D057F"/>
    <w:rsid w:val="008D1E01"/>
    <w:rsid w:val="008D2430"/>
    <w:rsid w:val="008D25BC"/>
    <w:rsid w:val="008D3460"/>
    <w:rsid w:val="008D354A"/>
    <w:rsid w:val="008D3583"/>
    <w:rsid w:val="008D4D4C"/>
    <w:rsid w:val="008D4EB2"/>
    <w:rsid w:val="008D4F1F"/>
    <w:rsid w:val="008D52C6"/>
    <w:rsid w:val="008D5327"/>
    <w:rsid w:val="008D5837"/>
    <w:rsid w:val="008D61DC"/>
    <w:rsid w:val="008D6265"/>
    <w:rsid w:val="008D72B1"/>
    <w:rsid w:val="008D7392"/>
    <w:rsid w:val="008D7622"/>
    <w:rsid w:val="008D7C9E"/>
    <w:rsid w:val="008D7CA1"/>
    <w:rsid w:val="008D7EA1"/>
    <w:rsid w:val="008E1190"/>
    <w:rsid w:val="008E16F4"/>
    <w:rsid w:val="008E2F8D"/>
    <w:rsid w:val="008E37B7"/>
    <w:rsid w:val="008E3880"/>
    <w:rsid w:val="008E4019"/>
    <w:rsid w:val="008E54A7"/>
    <w:rsid w:val="008E5904"/>
    <w:rsid w:val="008E5A19"/>
    <w:rsid w:val="008E5C1D"/>
    <w:rsid w:val="008E5C85"/>
    <w:rsid w:val="008E6E04"/>
    <w:rsid w:val="008E6E37"/>
    <w:rsid w:val="008E7E27"/>
    <w:rsid w:val="008F0893"/>
    <w:rsid w:val="008F1147"/>
    <w:rsid w:val="008F16FD"/>
    <w:rsid w:val="008F17EA"/>
    <w:rsid w:val="008F2167"/>
    <w:rsid w:val="008F2259"/>
    <w:rsid w:val="008F2296"/>
    <w:rsid w:val="008F2774"/>
    <w:rsid w:val="008F3100"/>
    <w:rsid w:val="008F3193"/>
    <w:rsid w:val="008F360C"/>
    <w:rsid w:val="008F411D"/>
    <w:rsid w:val="008F44B9"/>
    <w:rsid w:val="008F4F0B"/>
    <w:rsid w:val="008F4F93"/>
    <w:rsid w:val="008F50E5"/>
    <w:rsid w:val="008F598A"/>
    <w:rsid w:val="008F5D2E"/>
    <w:rsid w:val="008F5EBB"/>
    <w:rsid w:val="008F6726"/>
    <w:rsid w:val="008F675C"/>
    <w:rsid w:val="008F6C61"/>
    <w:rsid w:val="008F6E0E"/>
    <w:rsid w:val="008F7D7A"/>
    <w:rsid w:val="00901142"/>
    <w:rsid w:val="00901650"/>
    <w:rsid w:val="009016AF"/>
    <w:rsid w:val="00901BB7"/>
    <w:rsid w:val="00903BC0"/>
    <w:rsid w:val="00904E5E"/>
    <w:rsid w:val="0090595B"/>
    <w:rsid w:val="00905E6E"/>
    <w:rsid w:val="00906059"/>
    <w:rsid w:val="00906192"/>
    <w:rsid w:val="00906CFB"/>
    <w:rsid w:val="009074F9"/>
    <w:rsid w:val="009103D3"/>
    <w:rsid w:val="0091098C"/>
    <w:rsid w:val="00910A70"/>
    <w:rsid w:val="00910DA5"/>
    <w:rsid w:val="0091119C"/>
    <w:rsid w:val="00911A94"/>
    <w:rsid w:val="00912327"/>
    <w:rsid w:val="009123E7"/>
    <w:rsid w:val="00912B93"/>
    <w:rsid w:val="0091391F"/>
    <w:rsid w:val="00913F4A"/>
    <w:rsid w:val="009143FB"/>
    <w:rsid w:val="009147B3"/>
    <w:rsid w:val="00914F19"/>
    <w:rsid w:val="00915373"/>
    <w:rsid w:val="009157F4"/>
    <w:rsid w:val="00915BE5"/>
    <w:rsid w:val="00915C12"/>
    <w:rsid w:val="00915F36"/>
    <w:rsid w:val="009160C7"/>
    <w:rsid w:val="009162AF"/>
    <w:rsid w:val="00916AF7"/>
    <w:rsid w:val="009171F9"/>
    <w:rsid w:val="00917674"/>
    <w:rsid w:val="00917879"/>
    <w:rsid w:val="00917D56"/>
    <w:rsid w:val="009203B7"/>
    <w:rsid w:val="009208C3"/>
    <w:rsid w:val="00922382"/>
    <w:rsid w:val="0092286C"/>
    <w:rsid w:val="00922EB5"/>
    <w:rsid w:val="00922ED5"/>
    <w:rsid w:val="00924CDD"/>
    <w:rsid w:val="00926817"/>
    <w:rsid w:val="0092725B"/>
    <w:rsid w:val="0092752F"/>
    <w:rsid w:val="009302BC"/>
    <w:rsid w:val="00932253"/>
    <w:rsid w:val="009323AA"/>
    <w:rsid w:val="00932E71"/>
    <w:rsid w:val="00932EC4"/>
    <w:rsid w:val="0093321A"/>
    <w:rsid w:val="00933550"/>
    <w:rsid w:val="00933A31"/>
    <w:rsid w:val="009349B0"/>
    <w:rsid w:val="00934AFB"/>
    <w:rsid w:val="00934BAD"/>
    <w:rsid w:val="00934E12"/>
    <w:rsid w:val="00935415"/>
    <w:rsid w:val="009359D0"/>
    <w:rsid w:val="00935D55"/>
    <w:rsid w:val="00936901"/>
    <w:rsid w:val="00940A99"/>
    <w:rsid w:val="00941417"/>
    <w:rsid w:val="0094147F"/>
    <w:rsid w:val="00941599"/>
    <w:rsid w:val="009422C4"/>
    <w:rsid w:val="009422FC"/>
    <w:rsid w:val="009424AA"/>
    <w:rsid w:val="0094368E"/>
    <w:rsid w:val="00943E14"/>
    <w:rsid w:val="009449E3"/>
    <w:rsid w:val="00944F56"/>
    <w:rsid w:val="00945AB2"/>
    <w:rsid w:val="00945BCC"/>
    <w:rsid w:val="00946292"/>
    <w:rsid w:val="00946EA3"/>
    <w:rsid w:val="009502D3"/>
    <w:rsid w:val="00950959"/>
    <w:rsid w:val="00950D38"/>
    <w:rsid w:val="00952ACF"/>
    <w:rsid w:val="00952BA8"/>
    <w:rsid w:val="0095342E"/>
    <w:rsid w:val="009535E5"/>
    <w:rsid w:val="009537B6"/>
    <w:rsid w:val="00953BA0"/>
    <w:rsid w:val="00953F60"/>
    <w:rsid w:val="00954BE2"/>
    <w:rsid w:val="00955DEC"/>
    <w:rsid w:val="00957D79"/>
    <w:rsid w:val="00960A6D"/>
    <w:rsid w:val="00960D9A"/>
    <w:rsid w:val="00962229"/>
    <w:rsid w:val="009626A4"/>
    <w:rsid w:val="00962B44"/>
    <w:rsid w:val="00964668"/>
    <w:rsid w:val="0096573D"/>
    <w:rsid w:val="00965CAF"/>
    <w:rsid w:val="00966628"/>
    <w:rsid w:val="009676EC"/>
    <w:rsid w:val="00971811"/>
    <w:rsid w:val="00971F56"/>
    <w:rsid w:val="0097235C"/>
    <w:rsid w:val="009726AF"/>
    <w:rsid w:val="00972FD6"/>
    <w:rsid w:val="00972FE8"/>
    <w:rsid w:val="009736A9"/>
    <w:rsid w:val="009737E0"/>
    <w:rsid w:val="00973AA7"/>
    <w:rsid w:val="00973B08"/>
    <w:rsid w:val="00973BCD"/>
    <w:rsid w:val="00974413"/>
    <w:rsid w:val="00974C18"/>
    <w:rsid w:val="0097516D"/>
    <w:rsid w:val="009759D0"/>
    <w:rsid w:val="009766E3"/>
    <w:rsid w:val="00976F7A"/>
    <w:rsid w:val="00980EED"/>
    <w:rsid w:val="0098110F"/>
    <w:rsid w:val="009815BD"/>
    <w:rsid w:val="009822C8"/>
    <w:rsid w:val="0098245F"/>
    <w:rsid w:val="00983288"/>
    <w:rsid w:val="00983A91"/>
    <w:rsid w:val="00983D6D"/>
    <w:rsid w:val="00984060"/>
    <w:rsid w:val="00984B4E"/>
    <w:rsid w:val="00984E9C"/>
    <w:rsid w:val="0098565C"/>
    <w:rsid w:val="00985DCD"/>
    <w:rsid w:val="00985F8E"/>
    <w:rsid w:val="0098632B"/>
    <w:rsid w:val="00986344"/>
    <w:rsid w:val="00986755"/>
    <w:rsid w:val="009868B7"/>
    <w:rsid w:val="00987372"/>
    <w:rsid w:val="00987B26"/>
    <w:rsid w:val="00990622"/>
    <w:rsid w:val="0099063B"/>
    <w:rsid w:val="009907EF"/>
    <w:rsid w:val="0099095C"/>
    <w:rsid w:val="00991229"/>
    <w:rsid w:val="0099206A"/>
    <w:rsid w:val="00992113"/>
    <w:rsid w:val="0099258E"/>
    <w:rsid w:val="00994964"/>
    <w:rsid w:val="0099528B"/>
    <w:rsid w:val="0099535F"/>
    <w:rsid w:val="00995709"/>
    <w:rsid w:val="00997213"/>
    <w:rsid w:val="00997539"/>
    <w:rsid w:val="00997935"/>
    <w:rsid w:val="009A073B"/>
    <w:rsid w:val="009A0EBB"/>
    <w:rsid w:val="009A1D84"/>
    <w:rsid w:val="009A1F2D"/>
    <w:rsid w:val="009A2B32"/>
    <w:rsid w:val="009A44B6"/>
    <w:rsid w:val="009A4829"/>
    <w:rsid w:val="009A4AED"/>
    <w:rsid w:val="009A5857"/>
    <w:rsid w:val="009A5CB6"/>
    <w:rsid w:val="009A6047"/>
    <w:rsid w:val="009A751B"/>
    <w:rsid w:val="009A76DB"/>
    <w:rsid w:val="009B0515"/>
    <w:rsid w:val="009B0AA5"/>
    <w:rsid w:val="009B1466"/>
    <w:rsid w:val="009B2B19"/>
    <w:rsid w:val="009B2BAA"/>
    <w:rsid w:val="009B3416"/>
    <w:rsid w:val="009B3448"/>
    <w:rsid w:val="009B364B"/>
    <w:rsid w:val="009B4137"/>
    <w:rsid w:val="009B5624"/>
    <w:rsid w:val="009B5844"/>
    <w:rsid w:val="009B5AC2"/>
    <w:rsid w:val="009B5DD3"/>
    <w:rsid w:val="009B637A"/>
    <w:rsid w:val="009B70A8"/>
    <w:rsid w:val="009B713D"/>
    <w:rsid w:val="009C0AE4"/>
    <w:rsid w:val="009C1E5C"/>
    <w:rsid w:val="009C2DF6"/>
    <w:rsid w:val="009C3BE6"/>
    <w:rsid w:val="009C3DBD"/>
    <w:rsid w:val="009C4BC1"/>
    <w:rsid w:val="009C4E01"/>
    <w:rsid w:val="009C592C"/>
    <w:rsid w:val="009C5F2B"/>
    <w:rsid w:val="009C6274"/>
    <w:rsid w:val="009C6748"/>
    <w:rsid w:val="009C70AF"/>
    <w:rsid w:val="009C7A18"/>
    <w:rsid w:val="009C7A86"/>
    <w:rsid w:val="009C7E26"/>
    <w:rsid w:val="009C7E6E"/>
    <w:rsid w:val="009D1202"/>
    <w:rsid w:val="009D1D27"/>
    <w:rsid w:val="009D313B"/>
    <w:rsid w:val="009D39EB"/>
    <w:rsid w:val="009D4144"/>
    <w:rsid w:val="009D606C"/>
    <w:rsid w:val="009D6209"/>
    <w:rsid w:val="009D6BCB"/>
    <w:rsid w:val="009D6D45"/>
    <w:rsid w:val="009D7556"/>
    <w:rsid w:val="009D7847"/>
    <w:rsid w:val="009E0495"/>
    <w:rsid w:val="009E04FE"/>
    <w:rsid w:val="009E0541"/>
    <w:rsid w:val="009E13BD"/>
    <w:rsid w:val="009E28FD"/>
    <w:rsid w:val="009E3101"/>
    <w:rsid w:val="009E3B75"/>
    <w:rsid w:val="009E3C9A"/>
    <w:rsid w:val="009E3D59"/>
    <w:rsid w:val="009E4157"/>
    <w:rsid w:val="009E64F0"/>
    <w:rsid w:val="009E74B2"/>
    <w:rsid w:val="009E7621"/>
    <w:rsid w:val="009F0022"/>
    <w:rsid w:val="009F0273"/>
    <w:rsid w:val="009F13B3"/>
    <w:rsid w:val="009F2E79"/>
    <w:rsid w:val="009F3EC1"/>
    <w:rsid w:val="009F41CA"/>
    <w:rsid w:val="009F5328"/>
    <w:rsid w:val="009F542A"/>
    <w:rsid w:val="009F702E"/>
    <w:rsid w:val="009F7DF7"/>
    <w:rsid w:val="00A0118E"/>
    <w:rsid w:val="00A01EC8"/>
    <w:rsid w:val="00A02821"/>
    <w:rsid w:val="00A028BF"/>
    <w:rsid w:val="00A035B9"/>
    <w:rsid w:val="00A03945"/>
    <w:rsid w:val="00A04AFE"/>
    <w:rsid w:val="00A04C13"/>
    <w:rsid w:val="00A0549B"/>
    <w:rsid w:val="00A054A7"/>
    <w:rsid w:val="00A06604"/>
    <w:rsid w:val="00A07440"/>
    <w:rsid w:val="00A07AD1"/>
    <w:rsid w:val="00A07F31"/>
    <w:rsid w:val="00A10D19"/>
    <w:rsid w:val="00A10D22"/>
    <w:rsid w:val="00A12091"/>
    <w:rsid w:val="00A121E6"/>
    <w:rsid w:val="00A12B2E"/>
    <w:rsid w:val="00A12EF9"/>
    <w:rsid w:val="00A148A8"/>
    <w:rsid w:val="00A149C9"/>
    <w:rsid w:val="00A150D3"/>
    <w:rsid w:val="00A15265"/>
    <w:rsid w:val="00A16655"/>
    <w:rsid w:val="00A16CB5"/>
    <w:rsid w:val="00A17764"/>
    <w:rsid w:val="00A179E0"/>
    <w:rsid w:val="00A17B1C"/>
    <w:rsid w:val="00A20578"/>
    <w:rsid w:val="00A20859"/>
    <w:rsid w:val="00A20C22"/>
    <w:rsid w:val="00A21C05"/>
    <w:rsid w:val="00A21C19"/>
    <w:rsid w:val="00A227C5"/>
    <w:rsid w:val="00A23EF8"/>
    <w:rsid w:val="00A24CCE"/>
    <w:rsid w:val="00A251CF"/>
    <w:rsid w:val="00A254CD"/>
    <w:rsid w:val="00A25E86"/>
    <w:rsid w:val="00A25E94"/>
    <w:rsid w:val="00A267EE"/>
    <w:rsid w:val="00A26F1F"/>
    <w:rsid w:val="00A27D73"/>
    <w:rsid w:val="00A30C09"/>
    <w:rsid w:val="00A31B78"/>
    <w:rsid w:val="00A321DB"/>
    <w:rsid w:val="00A334FE"/>
    <w:rsid w:val="00A33883"/>
    <w:rsid w:val="00A3458B"/>
    <w:rsid w:val="00A34A19"/>
    <w:rsid w:val="00A34BCC"/>
    <w:rsid w:val="00A35096"/>
    <w:rsid w:val="00A401D5"/>
    <w:rsid w:val="00A4059C"/>
    <w:rsid w:val="00A41896"/>
    <w:rsid w:val="00A42554"/>
    <w:rsid w:val="00A42D2B"/>
    <w:rsid w:val="00A44511"/>
    <w:rsid w:val="00A446EF"/>
    <w:rsid w:val="00A449B7"/>
    <w:rsid w:val="00A455C3"/>
    <w:rsid w:val="00A4569D"/>
    <w:rsid w:val="00A466EF"/>
    <w:rsid w:val="00A46E20"/>
    <w:rsid w:val="00A46FA3"/>
    <w:rsid w:val="00A47D4E"/>
    <w:rsid w:val="00A5029B"/>
    <w:rsid w:val="00A502B5"/>
    <w:rsid w:val="00A50767"/>
    <w:rsid w:val="00A50DCF"/>
    <w:rsid w:val="00A51271"/>
    <w:rsid w:val="00A51275"/>
    <w:rsid w:val="00A51342"/>
    <w:rsid w:val="00A51460"/>
    <w:rsid w:val="00A52166"/>
    <w:rsid w:val="00A545E7"/>
    <w:rsid w:val="00A5517C"/>
    <w:rsid w:val="00A55959"/>
    <w:rsid w:val="00A55C37"/>
    <w:rsid w:val="00A5655D"/>
    <w:rsid w:val="00A568BF"/>
    <w:rsid w:val="00A57A4D"/>
    <w:rsid w:val="00A57EC1"/>
    <w:rsid w:val="00A60DDD"/>
    <w:rsid w:val="00A61942"/>
    <w:rsid w:val="00A61E4B"/>
    <w:rsid w:val="00A62A3C"/>
    <w:rsid w:val="00A63254"/>
    <w:rsid w:val="00A63E33"/>
    <w:rsid w:val="00A6453B"/>
    <w:rsid w:val="00A65345"/>
    <w:rsid w:val="00A661A6"/>
    <w:rsid w:val="00A6651E"/>
    <w:rsid w:val="00A66D7B"/>
    <w:rsid w:val="00A67BAA"/>
    <w:rsid w:val="00A72152"/>
    <w:rsid w:val="00A72431"/>
    <w:rsid w:val="00A726D3"/>
    <w:rsid w:val="00A72C53"/>
    <w:rsid w:val="00A72C9C"/>
    <w:rsid w:val="00A743EA"/>
    <w:rsid w:val="00A75327"/>
    <w:rsid w:val="00A7567F"/>
    <w:rsid w:val="00A7604E"/>
    <w:rsid w:val="00A76C79"/>
    <w:rsid w:val="00A7710E"/>
    <w:rsid w:val="00A80D05"/>
    <w:rsid w:val="00A816D7"/>
    <w:rsid w:val="00A81B8A"/>
    <w:rsid w:val="00A830B1"/>
    <w:rsid w:val="00A838B3"/>
    <w:rsid w:val="00A83C9B"/>
    <w:rsid w:val="00A85CFF"/>
    <w:rsid w:val="00A860FE"/>
    <w:rsid w:val="00A86322"/>
    <w:rsid w:val="00A86AA7"/>
    <w:rsid w:val="00A86DC9"/>
    <w:rsid w:val="00A86EB1"/>
    <w:rsid w:val="00A87668"/>
    <w:rsid w:val="00A903FB"/>
    <w:rsid w:val="00A911E6"/>
    <w:rsid w:val="00A917DB"/>
    <w:rsid w:val="00A928BB"/>
    <w:rsid w:val="00A92AAE"/>
    <w:rsid w:val="00A92DA4"/>
    <w:rsid w:val="00A93234"/>
    <w:rsid w:val="00A945E2"/>
    <w:rsid w:val="00A9537B"/>
    <w:rsid w:val="00A95415"/>
    <w:rsid w:val="00A956BB"/>
    <w:rsid w:val="00A95E41"/>
    <w:rsid w:val="00A95EF5"/>
    <w:rsid w:val="00A96F3B"/>
    <w:rsid w:val="00A979B4"/>
    <w:rsid w:val="00A97F97"/>
    <w:rsid w:val="00AA0D5B"/>
    <w:rsid w:val="00AA18B3"/>
    <w:rsid w:val="00AA1F4D"/>
    <w:rsid w:val="00AA1FEF"/>
    <w:rsid w:val="00AA32F9"/>
    <w:rsid w:val="00AA35DE"/>
    <w:rsid w:val="00AA36E7"/>
    <w:rsid w:val="00AA3CAA"/>
    <w:rsid w:val="00AA4BEE"/>
    <w:rsid w:val="00AA596A"/>
    <w:rsid w:val="00AA635E"/>
    <w:rsid w:val="00AA6DCC"/>
    <w:rsid w:val="00AA7D3F"/>
    <w:rsid w:val="00AA7EFA"/>
    <w:rsid w:val="00AA7F0A"/>
    <w:rsid w:val="00AB13B8"/>
    <w:rsid w:val="00AB1530"/>
    <w:rsid w:val="00AB28C6"/>
    <w:rsid w:val="00AB2D20"/>
    <w:rsid w:val="00AB398D"/>
    <w:rsid w:val="00AB3CCE"/>
    <w:rsid w:val="00AB43E9"/>
    <w:rsid w:val="00AB4CF7"/>
    <w:rsid w:val="00AB4E40"/>
    <w:rsid w:val="00AB5166"/>
    <w:rsid w:val="00AB5D2E"/>
    <w:rsid w:val="00AB630D"/>
    <w:rsid w:val="00AB755C"/>
    <w:rsid w:val="00AB75CC"/>
    <w:rsid w:val="00AC052A"/>
    <w:rsid w:val="00AC115B"/>
    <w:rsid w:val="00AC246B"/>
    <w:rsid w:val="00AC2495"/>
    <w:rsid w:val="00AC264B"/>
    <w:rsid w:val="00AC28C8"/>
    <w:rsid w:val="00AC2D79"/>
    <w:rsid w:val="00AC4C87"/>
    <w:rsid w:val="00AC4D03"/>
    <w:rsid w:val="00AC504D"/>
    <w:rsid w:val="00AC64B2"/>
    <w:rsid w:val="00AC655E"/>
    <w:rsid w:val="00AC6BA1"/>
    <w:rsid w:val="00AC7220"/>
    <w:rsid w:val="00AC7DDD"/>
    <w:rsid w:val="00AC7EF7"/>
    <w:rsid w:val="00AD0405"/>
    <w:rsid w:val="00AD0E07"/>
    <w:rsid w:val="00AD16D7"/>
    <w:rsid w:val="00AD197B"/>
    <w:rsid w:val="00AD3860"/>
    <w:rsid w:val="00AD3B92"/>
    <w:rsid w:val="00AD4D8A"/>
    <w:rsid w:val="00AD57B8"/>
    <w:rsid w:val="00AD6067"/>
    <w:rsid w:val="00AD648A"/>
    <w:rsid w:val="00AD6BD7"/>
    <w:rsid w:val="00AD75B9"/>
    <w:rsid w:val="00AD7748"/>
    <w:rsid w:val="00AD7D14"/>
    <w:rsid w:val="00AE042D"/>
    <w:rsid w:val="00AE04FF"/>
    <w:rsid w:val="00AE0E71"/>
    <w:rsid w:val="00AE1C17"/>
    <w:rsid w:val="00AE2A6D"/>
    <w:rsid w:val="00AE2EE9"/>
    <w:rsid w:val="00AE301C"/>
    <w:rsid w:val="00AE463C"/>
    <w:rsid w:val="00AE48A0"/>
    <w:rsid w:val="00AE4BDC"/>
    <w:rsid w:val="00AE50FE"/>
    <w:rsid w:val="00AE74CF"/>
    <w:rsid w:val="00AF0086"/>
    <w:rsid w:val="00AF10E6"/>
    <w:rsid w:val="00AF1601"/>
    <w:rsid w:val="00AF29E8"/>
    <w:rsid w:val="00AF3860"/>
    <w:rsid w:val="00AF42A7"/>
    <w:rsid w:val="00AF43EC"/>
    <w:rsid w:val="00AF524C"/>
    <w:rsid w:val="00B0001E"/>
    <w:rsid w:val="00B00967"/>
    <w:rsid w:val="00B018EB"/>
    <w:rsid w:val="00B01F22"/>
    <w:rsid w:val="00B02029"/>
    <w:rsid w:val="00B039E1"/>
    <w:rsid w:val="00B04FDC"/>
    <w:rsid w:val="00B05C2B"/>
    <w:rsid w:val="00B06166"/>
    <w:rsid w:val="00B076F5"/>
    <w:rsid w:val="00B10C63"/>
    <w:rsid w:val="00B1102F"/>
    <w:rsid w:val="00B118A6"/>
    <w:rsid w:val="00B12174"/>
    <w:rsid w:val="00B13122"/>
    <w:rsid w:val="00B135C8"/>
    <w:rsid w:val="00B153ED"/>
    <w:rsid w:val="00B15C4E"/>
    <w:rsid w:val="00B15C8E"/>
    <w:rsid w:val="00B16E28"/>
    <w:rsid w:val="00B17610"/>
    <w:rsid w:val="00B209CD"/>
    <w:rsid w:val="00B2130E"/>
    <w:rsid w:val="00B22CF4"/>
    <w:rsid w:val="00B22F13"/>
    <w:rsid w:val="00B24897"/>
    <w:rsid w:val="00B27396"/>
    <w:rsid w:val="00B275CA"/>
    <w:rsid w:val="00B276B5"/>
    <w:rsid w:val="00B278BD"/>
    <w:rsid w:val="00B3049F"/>
    <w:rsid w:val="00B3055D"/>
    <w:rsid w:val="00B31168"/>
    <w:rsid w:val="00B317F3"/>
    <w:rsid w:val="00B34FFD"/>
    <w:rsid w:val="00B3522D"/>
    <w:rsid w:val="00B35346"/>
    <w:rsid w:val="00B35722"/>
    <w:rsid w:val="00B36042"/>
    <w:rsid w:val="00B362CE"/>
    <w:rsid w:val="00B36805"/>
    <w:rsid w:val="00B36852"/>
    <w:rsid w:val="00B37275"/>
    <w:rsid w:val="00B377C1"/>
    <w:rsid w:val="00B413B7"/>
    <w:rsid w:val="00B4397C"/>
    <w:rsid w:val="00B43ADB"/>
    <w:rsid w:val="00B449BF"/>
    <w:rsid w:val="00B44C7B"/>
    <w:rsid w:val="00B45A77"/>
    <w:rsid w:val="00B46818"/>
    <w:rsid w:val="00B46A4C"/>
    <w:rsid w:val="00B46F84"/>
    <w:rsid w:val="00B472EE"/>
    <w:rsid w:val="00B50348"/>
    <w:rsid w:val="00B50508"/>
    <w:rsid w:val="00B50779"/>
    <w:rsid w:val="00B517EA"/>
    <w:rsid w:val="00B51B62"/>
    <w:rsid w:val="00B52610"/>
    <w:rsid w:val="00B52754"/>
    <w:rsid w:val="00B5318D"/>
    <w:rsid w:val="00B531C8"/>
    <w:rsid w:val="00B541DD"/>
    <w:rsid w:val="00B552BC"/>
    <w:rsid w:val="00B554FE"/>
    <w:rsid w:val="00B55AE4"/>
    <w:rsid w:val="00B55C60"/>
    <w:rsid w:val="00B55EA8"/>
    <w:rsid w:val="00B56170"/>
    <w:rsid w:val="00B56C10"/>
    <w:rsid w:val="00B57794"/>
    <w:rsid w:val="00B57B58"/>
    <w:rsid w:val="00B60286"/>
    <w:rsid w:val="00B611B5"/>
    <w:rsid w:val="00B61B06"/>
    <w:rsid w:val="00B6279E"/>
    <w:rsid w:val="00B6308E"/>
    <w:rsid w:val="00B631DA"/>
    <w:rsid w:val="00B6330C"/>
    <w:rsid w:val="00B63621"/>
    <w:rsid w:val="00B6411F"/>
    <w:rsid w:val="00B64148"/>
    <w:rsid w:val="00B64AB3"/>
    <w:rsid w:val="00B64EC9"/>
    <w:rsid w:val="00B65BCC"/>
    <w:rsid w:val="00B65E07"/>
    <w:rsid w:val="00B6693F"/>
    <w:rsid w:val="00B66943"/>
    <w:rsid w:val="00B670F1"/>
    <w:rsid w:val="00B674AA"/>
    <w:rsid w:val="00B67873"/>
    <w:rsid w:val="00B7054C"/>
    <w:rsid w:val="00B70AD6"/>
    <w:rsid w:val="00B70C9B"/>
    <w:rsid w:val="00B7114B"/>
    <w:rsid w:val="00B713F8"/>
    <w:rsid w:val="00B71F7D"/>
    <w:rsid w:val="00B72082"/>
    <w:rsid w:val="00B74398"/>
    <w:rsid w:val="00B74E72"/>
    <w:rsid w:val="00B75E11"/>
    <w:rsid w:val="00B75FF7"/>
    <w:rsid w:val="00B7647A"/>
    <w:rsid w:val="00B7666C"/>
    <w:rsid w:val="00B7675F"/>
    <w:rsid w:val="00B76AAA"/>
    <w:rsid w:val="00B7789A"/>
    <w:rsid w:val="00B814B7"/>
    <w:rsid w:val="00B8381E"/>
    <w:rsid w:val="00B84BC4"/>
    <w:rsid w:val="00B85D9C"/>
    <w:rsid w:val="00B863EB"/>
    <w:rsid w:val="00B86556"/>
    <w:rsid w:val="00B8658F"/>
    <w:rsid w:val="00B866F4"/>
    <w:rsid w:val="00B86819"/>
    <w:rsid w:val="00B86A3A"/>
    <w:rsid w:val="00B86AA6"/>
    <w:rsid w:val="00B918B3"/>
    <w:rsid w:val="00B91E34"/>
    <w:rsid w:val="00B925B8"/>
    <w:rsid w:val="00B93100"/>
    <w:rsid w:val="00B940CE"/>
    <w:rsid w:val="00B941DB"/>
    <w:rsid w:val="00B9435E"/>
    <w:rsid w:val="00B94733"/>
    <w:rsid w:val="00B948F8"/>
    <w:rsid w:val="00B94CA4"/>
    <w:rsid w:val="00B94D0D"/>
    <w:rsid w:val="00B94DA5"/>
    <w:rsid w:val="00B950E8"/>
    <w:rsid w:val="00B962FC"/>
    <w:rsid w:val="00B96948"/>
    <w:rsid w:val="00B96E38"/>
    <w:rsid w:val="00BA023B"/>
    <w:rsid w:val="00BA0C28"/>
    <w:rsid w:val="00BA0D48"/>
    <w:rsid w:val="00BA0FFF"/>
    <w:rsid w:val="00BA160C"/>
    <w:rsid w:val="00BA22EC"/>
    <w:rsid w:val="00BA336A"/>
    <w:rsid w:val="00BA3CB9"/>
    <w:rsid w:val="00BA3EE1"/>
    <w:rsid w:val="00BA3FAC"/>
    <w:rsid w:val="00BA482D"/>
    <w:rsid w:val="00BA499A"/>
    <w:rsid w:val="00BA4C00"/>
    <w:rsid w:val="00BA51E9"/>
    <w:rsid w:val="00BA5AA2"/>
    <w:rsid w:val="00BA631F"/>
    <w:rsid w:val="00BA6807"/>
    <w:rsid w:val="00BA75E8"/>
    <w:rsid w:val="00BA7C19"/>
    <w:rsid w:val="00BB00FD"/>
    <w:rsid w:val="00BB04A2"/>
    <w:rsid w:val="00BB07DA"/>
    <w:rsid w:val="00BB0BBD"/>
    <w:rsid w:val="00BB1C1A"/>
    <w:rsid w:val="00BB1DE6"/>
    <w:rsid w:val="00BB2ED7"/>
    <w:rsid w:val="00BB33E4"/>
    <w:rsid w:val="00BB40ED"/>
    <w:rsid w:val="00BB5836"/>
    <w:rsid w:val="00BB5E09"/>
    <w:rsid w:val="00BB7672"/>
    <w:rsid w:val="00BB7C1D"/>
    <w:rsid w:val="00BC0808"/>
    <w:rsid w:val="00BC14E5"/>
    <w:rsid w:val="00BC176D"/>
    <w:rsid w:val="00BC17E1"/>
    <w:rsid w:val="00BC1AC7"/>
    <w:rsid w:val="00BC1B94"/>
    <w:rsid w:val="00BC1C1A"/>
    <w:rsid w:val="00BC42BA"/>
    <w:rsid w:val="00BC4D7A"/>
    <w:rsid w:val="00BC5E16"/>
    <w:rsid w:val="00BC7467"/>
    <w:rsid w:val="00BD2402"/>
    <w:rsid w:val="00BD26DD"/>
    <w:rsid w:val="00BD29A0"/>
    <w:rsid w:val="00BD29A6"/>
    <w:rsid w:val="00BD4E7C"/>
    <w:rsid w:val="00BD528F"/>
    <w:rsid w:val="00BD5DF7"/>
    <w:rsid w:val="00BD70BB"/>
    <w:rsid w:val="00BD737B"/>
    <w:rsid w:val="00BD77ED"/>
    <w:rsid w:val="00BE0F78"/>
    <w:rsid w:val="00BE2B64"/>
    <w:rsid w:val="00BE3BBB"/>
    <w:rsid w:val="00BE402C"/>
    <w:rsid w:val="00BE4FCB"/>
    <w:rsid w:val="00BE53E2"/>
    <w:rsid w:val="00BE7570"/>
    <w:rsid w:val="00BF06B3"/>
    <w:rsid w:val="00BF296A"/>
    <w:rsid w:val="00BF40CB"/>
    <w:rsid w:val="00BF5744"/>
    <w:rsid w:val="00BF61D1"/>
    <w:rsid w:val="00BF6EC8"/>
    <w:rsid w:val="00BF7B8E"/>
    <w:rsid w:val="00C000B5"/>
    <w:rsid w:val="00C00645"/>
    <w:rsid w:val="00C011A2"/>
    <w:rsid w:val="00C037EB"/>
    <w:rsid w:val="00C04A9E"/>
    <w:rsid w:val="00C0541C"/>
    <w:rsid w:val="00C054F7"/>
    <w:rsid w:val="00C05AC1"/>
    <w:rsid w:val="00C05B80"/>
    <w:rsid w:val="00C07CA6"/>
    <w:rsid w:val="00C07F4B"/>
    <w:rsid w:val="00C10077"/>
    <w:rsid w:val="00C10819"/>
    <w:rsid w:val="00C10E8F"/>
    <w:rsid w:val="00C11400"/>
    <w:rsid w:val="00C116FE"/>
    <w:rsid w:val="00C12141"/>
    <w:rsid w:val="00C12973"/>
    <w:rsid w:val="00C13617"/>
    <w:rsid w:val="00C14148"/>
    <w:rsid w:val="00C14499"/>
    <w:rsid w:val="00C1477D"/>
    <w:rsid w:val="00C15362"/>
    <w:rsid w:val="00C15EDF"/>
    <w:rsid w:val="00C1656E"/>
    <w:rsid w:val="00C16B0B"/>
    <w:rsid w:val="00C16E70"/>
    <w:rsid w:val="00C17D02"/>
    <w:rsid w:val="00C200C5"/>
    <w:rsid w:val="00C20D18"/>
    <w:rsid w:val="00C22500"/>
    <w:rsid w:val="00C22890"/>
    <w:rsid w:val="00C240EC"/>
    <w:rsid w:val="00C246C7"/>
    <w:rsid w:val="00C24815"/>
    <w:rsid w:val="00C24CEF"/>
    <w:rsid w:val="00C25AA4"/>
    <w:rsid w:val="00C26903"/>
    <w:rsid w:val="00C270B7"/>
    <w:rsid w:val="00C3091B"/>
    <w:rsid w:val="00C311BB"/>
    <w:rsid w:val="00C3144D"/>
    <w:rsid w:val="00C31FA6"/>
    <w:rsid w:val="00C32999"/>
    <w:rsid w:val="00C32DC2"/>
    <w:rsid w:val="00C3315E"/>
    <w:rsid w:val="00C336C0"/>
    <w:rsid w:val="00C338AE"/>
    <w:rsid w:val="00C349F3"/>
    <w:rsid w:val="00C354E7"/>
    <w:rsid w:val="00C35967"/>
    <w:rsid w:val="00C36B00"/>
    <w:rsid w:val="00C36D4A"/>
    <w:rsid w:val="00C37F15"/>
    <w:rsid w:val="00C40196"/>
    <w:rsid w:val="00C406FD"/>
    <w:rsid w:val="00C40CA9"/>
    <w:rsid w:val="00C40D45"/>
    <w:rsid w:val="00C42B18"/>
    <w:rsid w:val="00C42FF5"/>
    <w:rsid w:val="00C43CE9"/>
    <w:rsid w:val="00C4414B"/>
    <w:rsid w:val="00C44E84"/>
    <w:rsid w:val="00C45558"/>
    <w:rsid w:val="00C45AC5"/>
    <w:rsid w:val="00C45D34"/>
    <w:rsid w:val="00C4695C"/>
    <w:rsid w:val="00C46BE9"/>
    <w:rsid w:val="00C46E93"/>
    <w:rsid w:val="00C47186"/>
    <w:rsid w:val="00C47251"/>
    <w:rsid w:val="00C4786C"/>
    <w:rsid w:val="00C47E54"/>
    <w:rsid w:val="00C51481"/>
    <w:rsid w:val="00C5183A"/>
    <w:rsid w:val="00C525E1"/>
    <w:rsid w:val="00C53B15"/>
    <w:rsid w:val="00C5412A"/>
    <w:rsid w:val="00C54A73"/>
    <w:rsid w:val="00C56C69"/>
    <w:rsid w:val="00C57493"/>
    <w:rsid w:val="00C6018F"/>
    <w:rsid w:val="00C6026B"/>
    <w:rsid w:val="00C6149C"/>
    <w:rsid w:val="00C61800"/>
    <w:rsid w:val="00C61AB4"/>
    <w:rsid w:val="00C6383C"/>
    <w:rsid w:val="00C643B4"/>
    <w:rsid w:val="00C64747"/>
    <w:rsid w:val="00C64C4D"/>
    <w:rsid w:val="00C653C2"/>
    <w:rsid w:val="00C66C7C"/>
    <w:rsid w:val="00C67CBE"/>
    <w:rsid w:val="00C704E1"/>
    <w:rsid w:val="00C712B8"/>
    <w:rsid w:val="00C7371C"/>
    <w:rsid w:val="00C741B7"/>
    <w:rsid w:val="00C74786"/>
    <w:rsid w:val="00C74788"/>
    <w:rsid w:val="00C74FCB"/>
    <w:rsid w:val="00C7557E"/>
    <w:rsid w:val="00C76819"/>
    <w:rsid w:val="00C76A61"/>
    <w:rsid w:val="00C76DB7"/>
    <w:rsid w:val="00C76F36"/>
    <w:rsid w:val="00C7729A"/>
    <w:rsid w:val="00C77A47"/>
    <w:rsid w:val="00C80CEA"/>
    <w:rsid w:val="00C810BB"/>
    <w:rsid w:val="00C81112"/>
    <w:rsid w:val="00C8126C"/>
    <w:rsid w:val="00C813AB"/>
    <w:rsid w:val="00C8278F"/>
    <w:rsid w:val="00C82D24"/>
    <w:rsid w:val="00C83B6B"/>
    <w:rsid w:val="00C844C4"/>
    <w:rsid w:val="00C85AAD"/>
    <w:rsid w:val="00C85BAC"/>
    <w:rsid w:val="00C85FFF"/>
    <w:rsid w:val="00C86554"/>
    <w:rsid w:val="00C87478"/>
    <w:rsid w:val="00C87792"/>
    <w:rsid w:val="00C87A3B"/>
    <w:rsid w:val="00C90473"/>
    <w:rsid w:val="00C9074F"/>
    <w:rsid w:val="00C91AD5"/>
    <w:rsid w:val="00C91CAD"/>
    <w:rsid w:val="00C93040"/>
    <w:rsid w:val="00C946FB"/>
    <w:rsid w:val="00C95533"/>
    <w:rsid w:val="00C95EAA"/>
    <w:rsid w:val="00C96771"/>
    <w:rsid w:val="00C96A1E"/>
    <w:rsid w:val="00C96F05"/>
    <w:rsid w:val="00C97F12"/>
    <w:rsid w:val="00CA1777"/>
    <w:rsid w:val="00CA40AA"/>
    <w:rsid w:val="00CA46F0"/>
    <w:rsid w:val="00CA5278"/>
    <w:rsid w:val="00CA5E8C"/>
    <w:rsid w:val="00CA5ECB"/>
    <w:rsid w:val="00CA6533"/>
    <w:rsid w:val="00CA6580"/>
    <w:rsid w:val="00CA72F5"/>
    <w:rsid w:val="00CA7AA5"/>
    <w:rsid w:val="00CB0150"/>
    <w:rsid w:val="00CB0CCA"/>
    <w:rsid w:val="00CB0DD4"/>
    <w:rsid w:val="00CB121C"/>
    <w:rsid w:val="00CB3331"/>
    <w:rsid w:val="00CB3C74"/>
    <w:rsid w:val="00CB3CFC"/>
    <w:rsid w:val="00CB48DF"/>
    <w:rsid w:val="00CB541D"/>
    <w:rsid w:val="00CB5727"/>
    <w:rsid w:val="00CB577C"/>
    <w:rsid w:val="00CB5E72"/>
    <w:rsid w:val="00CB618B"/>
    <w:rsid w:val="00CB6BCE"/>
    <w:rsid w:val="00CB7E56"/>
    <w:rsid w:val="00CC1878"/>
    <w:rsid w:val="00CC21F2"/>
    <w:rsid w:val="00CC25D3"/>
    <w:rsid w:val="00CC2BD2"/>
    <w:rsid w:val="00CC2D1A"/>
    <w:rsid w:val="00CC470F"/>
    <w:rsid w:val="00CC5659"/>
    <w:rsid w:val="00CC5DA2"/>
    <w:rsid w:val="00CC66C6"/>
    <w:rsid w:val="00CC69C5"/>
    <w:rsid w:val="00CC7478"/>
    <w:rsid w:val="00CC758A"/>
    <w:rsid w:val="00CC76F1"/>
    <w:rsid w:val="00CD003D"/>
    <w:rsid w:val="00CD02BD"/>
    <w:rsid w:val="00CD0BF4"/>
    <w:rsid w:val="00CD14AB"/>
    <w:rsid w:val="00CD2602"/>
    <w:rsid w:val="00CD2623"/>
    <w:rsid w:val="00CD2856"/>
    <w:rsid w:val="00CD2BB8"/>
    <w:rsid w:val="00CD32E5"/>
    <w:rsid w:val="00CD3422"/>
    <w:rsid w:val="00CD48E8"/>
    <w:rsid w:val="00CD6093"/>
    <w:rsid w:val="00CD61CF"/>
    <w:rsid w:val="00CD6E76"/>
    <w:rsid w:val="00CD75BC"/>
    <w:rsid w:val="00CE0785"/>
    <w:rsid w:val="00CE2D2B"/>
    <w:rsid w:val="00CE33F2"/>
    <w:rsid w:val="00CE40B1"/>
    <w:rsid w:val="00CE4161"/>
    <w:rsid w:val="00CE4745"/>
    <w:rsid w:val="00CE486D"/>
    <w:rsid w:val="00CE49D5"/>
    <w:rsid w:val="00CE4C5C"/>
    <w:rsid w:val="00CE5C3A"/>
    <w:rsid w:val="00CE6F40"/>
    <w:rsid w:val="00CE7253"/>
    <w:rsid w:val="00CE73F0"/>
    <w:rsid w:val="00CF2822"/>
    <w:rsid w:val="00CF44BB"/>
    <w:rsid w:val="00CF4DD3"/>
    <w:rsid w:val="00CF6504"/>
    <w:rsid w:val="00CF65C4"/>
    <w:rsid w:val="00CF6894"/>
    <w:rsid w:val="00CF6AF8"/>
    <w:rsid w:val="00CF6E7A"/>
    <w:rsid w:val="00CF6FE6"/>
    <w:rsid w:val="00CF7067"/>
    <w:rsid w:val="00D006EF"/>
    <w:rsid w:val="00D008AF"/>
    <w:rsid w:val="00D01F5A"/>
    <w:rsid w:val="00D021AD"/>
    <w:rsid w:val="00D02A1E"/>
    <w:rsid w:val="00D02B82"/>
    <w:rsid w:val="00D03371"/>
    <w:rsid w:val="00D036F8"/>
    <w:rsid w:val="00D038C9"/>
    <w:rsid w:val="00D04304"/>
    <w:rsid w:val="00D04454"/>
    <w:rsid w:val="00D04A59"/>
    <w:rsid w:val="00D07A77"/>
    <w:rsid w:val="00D07AC7"/>
    <w:rsid w:val="00D07DE2"/>
    <w:rsid w:val="00D07F79"/>
    <w:rsid w:val="00D113B5"/>
    <w:rsid w:val="00D11413"/>
    <w:rsid w:val="00D124DF"/>
    <w:rsid w:val="00D1327D"/>
    <w:rsid w:val="00D134A7"/>
    <w:rsid w:val="00D1375C"/>
    <w:rsid w:val="00D14DE7"/>
    <w:rsid w:val="00D153FC"/>
    <w:rsid w:val="00D15B66"/>
    <w:rsid w:val="00D15E64"/>
    <w:rsid w:val="00D17009"/>
    <w:rsid w:val="00D175F9"/>
    <w:rsid w:val="00D215AF"/>
    <w:rsid w:val="00D23455"/>
    <w:rsid w:val="00D236E9"/>
    <w:rsid w:val="00D24E97"/>
    <w:rsid w:val="00D25866"/>
    <w:rsid w:val="00D2588B"/>
    <w:rsid w:val="00D25E4B"/>
    <w:rsid w:val="00D26848"/>
    <w:rsid w:val="00D26A93"/>
    <w:rsid w:val="00D2722D"/>
    <w:rsid w:val="00D27254"/>
    <w:rsid w:val="00D2742A"/>
    <w:rsid w:val="00D277BE"/>
    <w:rsid w:val="00D30ADD"/>
    <w:rsid w:val="00D30F82"/>
    <w:rsid w:val="00D31BA4"/>
    <w:rsid w:val="00D32007"/>
    <w:rsid w:val="00D32573"/>
    <w:rsid w:val="00D328B4"/>
    <w:rsid w:val="00D32BE3"/>
    <w:rsid w:val="00D33937"/>
    <w:rsid w:val="00D339A3"/>
    <w:rsid w:val="00D34FAD"/>
    <w:rsid w:val="00D354FA"/>
    <w:rsid w:val="00D40273"/>
    <w:rsid w:val="00D405B9"/>
    <w:rsid w:val="00D408CC"/>
    <w:rsid w:val="00D40B62"/>
    <w:rsid w:val="00D40CCF"/>
    <w:rsid w:val="00D40FE5"/>
    <w:rsid w:val="00D4114B"/>
    <w:rsid w:val="00D41737"/>
    <w:rsid w:val="00D429BF"/>
    <w:rsid w:val="00D42F90"/>
    <w:rsid w:val="00D4354E"/>
    <w:rsid w:val="00D43BE3"/>
    <w:rsid w:val="00D440F1"/>
    <w:rsid w:val="00D443DE"/>
    <w:rsid w:val="00D44589"/>
    <w:rsid w:val="00D44B99"/>
    <w:rsid w:val="00D44F70"/>
    <w:rsid w:val="00D4624C"/>
    <w:rsid w:val="00D46521"/>
    <w:rsid w:val="00D471B1"/>
    <w:rsid w:val="00D472C0"/>
    <w:rsid w:val="00D47634"/>
    <w:rsid w:val="00D47949"/>
    <w:rsid w:val="00D50006"/>
    <w:rsid w:val="00D50733"/>
    <w:rsid w:val="00D50B96"/>
    <w:rsid w:val="00D50E63"/>
    <w:rsid w:val="00D51449"/>
    <w:rsid w:val="00D51945"/>
    <w:rsid w:val="00D52B37"/>
    <w:rsid w:val="00D53391"/>
    <w:rsid w:val="00D53F6D"/>
    <w:rsid w:val="00D54228"/>
    <w:rsid w:val="00D55377"/>
    <w:rsid w:val="00D55EED"/>
    <w:rsid w:val="00D564C7"/>
    <w:rsid w:val="00D57377"/>
    <w:rsid w:val="00D57E67"/>
    <w:rsid w:val="00D600C7"/>
    <w:rsid w:val="00D61AC2"/>
    <w:rsid w:val="00D61C5E"/>
    <w:rsid w:val="00D6304A"/>
    <w:rsid w:val="00D636EB"/>
    <w:rsid w:val="00D63A00"/>
    <w:rsid w:val="00D63A08"/>
    <w:rsid w:val="00D64367"/>
    <w:rsid w:val="00D64CC6"/>
    <w:rsid w:val="00D666C3"/>
    <w:rsid w:val="00D709C8"/>
    <w:rsid w:val="00D70CF4"/>
    <w:rsid w:val="00D713BA"/>
    <w:rsid w:val="00D71698"/>
    <w:rsid w:val="00D71C8F"/>
    <w:rsid w:val="00D72E40"/>
    <w:rsid w:val="00D72FB6"/>
    <w:rsid w:val="00D73B54"/>
    <w:rsid w:val="00D73F5A"/>
    <w:rsid w:val="00D757DE"/>
    <w:rsid w:val="00D76ACD"/>
    <w:rsid w:val="00D77CCE"/>
    <w:rsid w:val="00D8053C"/>
    <w:rsid w:val="00D81594"/>
    <w:rsid w:val="00D83004"/>
    <w:rsid w:val="00D83243"/>
    <w:rsid w:val="00D848D4"/>
    <w:rsid w:val="00D85D9C"/>
    <w:rsid w:val="00D85FB7"/>
    <w:rsid w:val="00D86729"/>
    <w:rsid w:val="00D86D26"/>
    <w:rsid w:val="00D870AE"/>
    <w:rsid w:val="00D871CB"/>
    <w:rsid w:val="00D90B84"/>
    <w:rsid w:val="00D90E08"/>
    <w:rsid w:val="00D9175E"/>
    <w:rsid w:val="00D91A60"/>
    <w:rsid w:val="00D91D82"/>
    <w:rsid w:val="00D91E43"/>
    <w:rsid w:val="00D92C13"/>
    <w:rsid w:val="00D92C8A"/>
    <w:rsid w:val="00D933EC"/>
    <w:rsid w:val="00D941B0"/>
    <w:rsid w:val="00D941CB"/>
    <w:rsid w:val="00D94290"/>
    <w:rsid w:val="00D94A47"/>
    <w:rsid w:val="00D94ED1"/>
    <w:rsid w:val="00D95C15"/>
    <w:rsid w:val="00D95C90"/>
    <w:rsid w:val="00D95CC9"/>
    <w:rsid w:val="00D9615A"/>
    <w:rsid w:val="00D96182"/>
    <w:rsid w:val="00D961AA"/>
    <w:rsid w:val="00D9684C"/>
    <w:rsid w:val="00D97326"/>
    <w:rsid w:val="00D97ACF"/>
    <w:rsid w:val="00D97B77"/>
    <w:rsid w:val="00DA14A4"/>
    <w:rsid w:val="00DA2121"/>
    <w:rsid w:val="00DA2581"/>
    <w:rsid w:val="00DA25D1"/>
    <w:rsid w:val="00DA4979"/>
    <w:rsid w:val="00DA519C"/>
    <w:rsid w:val="00DA5B97"/>
    <w:rsid w:val="00DA5EFD"/>
    <w:rsid w:val="00DA6274"/>
    <w:rsid w:val="00DA72C1"/>
    <w:rsid w:val="00DA7B72"/>
    <w:rsid w:val="00DB0857"/>
    <w:rsid w:val="00DB0A63"/>
    <w:rsid w:val="00DB2756"/>
    <w:rsid w:val="00DB36FD"/>
    <w:rsid w:val="00DB408B"/>
    <w:rsid w:val="00DB4525"/>
    <w:rsid w:val="00DB4B70"/>
    <w:rsid w:val="00DB5467"/>
    <w:rsid w:val="00DB693D"/>
    <w:rsid w:val="00DB6C39"/>
    <w:rsid w:val="00DB6E1B"/>
    <w:rsid w:val="00DB7DA2"/>
    <w:rsid w:val="00DB7DD7"/>
    <w:rsid w:val="00DC07C5"/>
    <w:rsid w:val="00DC240F"/>
    <w:rsid w:val="00DC2E0B"/>
    <w:rsid w:val="00DC353F"/>
    <w:rsid w:val="00DC3B49"/>
    <w:rsid w:val="00DC3DB2"/>
    <w:rsid w:val="00DC4549"/>
    <w:rsid w:val="00DC5467"/>
    <w:rsid w:val="00DC5A0A"/>
    <w:rsid w:val="00DC5D9D"/>
    <w:rsid w:val="00DC620B"/>
    <w:rsid w:val="00DC674B"/>
    <w:rsid w:val="00DC6AF0"/>
    <w:rsid w:val="00DC770B"/>
    <w:rsid w:val="00DC7AD6"/>
    <w:rsid w:val="00DD11BE"/>
    <w:rsid w:val="00DD14E5"/>
    <w:rsid w:val="00DD2249"/>
    <w:rsid w:val="00DD2FF0"/>
    <w:rsid w:val="00DD3A35"/>
    <w:rsid w:val="00DD3C71"/>
    <w:rsid w:val="00DD4194"/>
    <w:rsid w:val="00DD4327"/>
    <w:rsid w:val="00DD4A4C"/>
    <w:rsid w:val="00DD5ABD"/>
    <w:rsid w:val="00DD63E0"/>
    <w:rsid w:val="00DD6D21"/>
    <w:rsid w:val="00DD7ED7"/>
    <w:rsid w:val="00DE0BEE"/>
    <w:rsid w:val="00DE0C53"/>
    <w:rsid w:val="00DE0E08"/>
    <w:rsid w:val="00DE1474"/>
    <w:rsid w:val="00DE1562"/>
    <w:rsid w:val="00DE2D24"/>
    <w:rsid w:val="00DE3580"/>
    <w:rsid w:val="00DE46FC"/>
    <w:rsid w:val="00DE499E"/>
    <w:rsid w:val="00DE53DE"/>
    <w:rsid w:val="00DE5498"/>
    <w:rsid w:val="00DE57C4"/>
    <w:rsid w:val="00DE5993"/>
    <w:rsid w:val="00DE696A"/>
    <w:rsid w:val="00DE7358"/>
    <w:rsid w:val="00DE7A36"/>
    <w:rsid w:val="00DE7DBF"/>
    <w:rsid w:val="00DF07DE"/>
    <w:rsid w:val="00DF0933"/>
    <w:rsid w:val="00DF1456"/>
    <w:rsid w:val="00DF22F0"/>
    <w:rsid w:val="00DF247D"/>
    <w:rsid w:val="00DF2ACB"/>
    <w:rsid w:val="00DF2B2A"/>
    <w:rsid w:val="00DF2C5F"/>
    <w:rsid w:val="00DF3C45"/>
    <w:rsid w:val="00DF46E8"/>
    <w:rsid w:val="00DF525A"/>
    <w:rsid w:val="00DF77C0"/>
    <w:rsid w:val="00E01E03"/>
    <w:rsid w:val="00E026A4"/>
    <w:rsid w:val="00E03864"/>
    <w:rsid w:val="00E03CB2"/>
    <w:rsid w:val="00E045D9"/>
    <w:rsid w:val="00E04777"/>
    <w:rsid w:val="00E051BE"/>
    <w:rsid w:val="00E05AD3"/>
    <w:rsid w:val="00E05B08"/>
    <w:rsid w:val="00E05D58"/>
    <w:rsid w:val="00E06F13"/>
    <w:rsid w:val="00E074A6"/>
    <w:rsid w:val="00E10C0C"/>
    <w:rsid w:val="00E117A7"/>
    <w:rsid w:val="00E11E47"/>
    <w:rsid w:val="00E1222F"/>
    <w:rsid w:val="00E13C54"/>
    <w:rsid w:val="00E14141"/>
    <w:rsid w:val="00E14AF1"/>
    <w:rsid w:val="00E1513C"/>
    <w:rsid w:val="00E159AC"/>
    <w:rsid w:val="00E171D2"/>
    <w:rsid w:val="00E17FBD"/>
    <w:rsid w:val="00E209FB"/>
    <w:rsid w:val="00E20B64"/>
    <w:rsid w:val="00E22444"/>
    <w:rsid w:val="00E22498"/>
    <w:rsid w:val="00E22B3E"/>
    <w:rsid w:val="00E23757"/>
    <w:rsid w:val="00E24CD9"/>
    <w:rsid w:val="00E25226"/>
    <w:rsid w:val="00E26B6F"/>
    <w:rsid w:val="00E27029"/>
    <w:rsid w:val="00E27942"/>
    <w:rsid w:val="00E27B3C"/>
    <w:rsid w:val="00E30C83"/>
    <w:rsid w:val="00E31ED1"/>
    <w:rsid w:val="00E32A07"/>
    <w:rsid w:val="00E338F1"/>
    <w:rsid w:val="00E338F5"/>
    <w:rsid w:val="00E33994"/>
    <w:rsid w:val="00E339E9"/>
    <w:rsid w:val="00E346A7"/>
    <w:rsid w:val="00E35846"/>
    <w:rsid w:val="00E3588C"/>
    <w:rsid w:val="00E35B90"/>
    <w:rsid w:val="00E35CB4"/>
    <w:rsid w:val="00E37B7F"/>
    <w:rsid w:val="00E40746"/>
    <w:rsid w:val="00E413A2"/>
    <w:rsid w:val="00E4141E"/>
    <w:rsid w:val="00E416E9"/>
    <w:rsid w:val="00E41CC4"/>
    <w:rsid w:val="00E422BD"/>
    <w:rsid w:val="00E42A5D"/>
    <w:rsid w:val="00E431FD"/>
    <w:rsid w:val="00E43237"/>
    <w:rsid w:val="00E43B84"/>
    <w:rsid w:val="00E43BE7"/>
    <w:rsid w:val="00E43C43"/>
    <w:rsid w:val="00E441B1"/>
    <w:rsid w:val="00E46583"/>
    <w:rsid w:val="00E46D1F"/>
    <w:rsid w:val="00E473DF"/>
    <w:rsid w:val="00E47AE8"/>
    <w:rsid w:val="00E5015A"/>
    <w:rsid w:val="00E50ACF"/>
    <w:rsid w:val="00E50B59"/>
    <w:rsid w:val="00E50FFD"/>
    <w:rsid w:val="00E51C7B"/>
    <w:rsid w:val="00E522A5"/>
    <w:rsid w:val="00E5237D"/>
    <w:rsid w:val="00E52E34"/>
    <w:rsid w:val="00E531CC"/>
    <w:rsid w:val="00E535D8"/>
    <w:rsid w:val="00E53607"/>
    <w:rsid w:val="00E558FE"/>
    <w:rsid w:val="00E57DFC"/>
    <w:rsid w:val="00E603E8"/>
    <w:rsid w:val="00E61379"/>
    <w:rsid w:val="00E6150C"/>
    <w:rsid w:val="00E61563"/>
    <w:rsid w:val="00E61A73"/>
    <w:rsid w:val="00E62582"/>
    <w:rsid w:val="00E65DE5"/>
    <w:rsid w:val="00E65E16"/>
    <w:rsid w:val="00E660FD"/>
    <w:rsid w:val="00E67E3E"/>
    <w:rsid w:val="00E70604"/>
    <w:rsid w:val="00E71A54"/>
    <w:rsid w:val="00E71C78"/>
    <w:rsid w:val="00E728E4"/>
    <w:rsid w:val="00E7326C"/>
    <w:rsid w:val="00E73952"/>
    <w:rsid w:val="00E7417A"/>
    <w:rsid w:val="00E74FD9"/>
    <w:rsid w:val="00E75300"/>
    <w:rsid w:val="00E754C7"/>
    <w:rsid w:val="00E76204"/>
    <w:rsid w:val="00E76878"/>
    <w:rsid w:val="00E7691F"/>
    <w:rsid w:val="00E77137"/>
    <w:rsid w:val="00E775C7"/>
    <w:rsid w:val="00E7790C"/>
    <w:rsid w:val="00E77AAF"/>
    <w:rsid w:val="00E80604"/>
    <w:rsid w:val="00E80F2C"/>
    <w:rsid w:val="00E8166F"/>
    <w:rsid w:val="00E82F39"/>
    <w:rsid w:val="00E8390A"/>
    <w:rsid w:val="00E83ED8"/>
    <w:rsid w:val="00E842C2"/>
    <w:rsid w:val="00E84D22"/>
    <w:rsid w:val="00E85F8D"/>
    <w:rsid w:val="00E876E7"/>
    <w:rsid w:val="00E90A8F"/>
    <w:rsid w:val="00E90E31"/>
    <w:rsid w:val="00E916DD"/>
    <w:rsid w:val="00E91834"/>
    <w:rsid w:val="00E921EC"/>
    <w:rsid w:val="00E92353"/>
    <w:rsid w:val="00E93F76"/>
    <w:rsid w:val="00E945E5"/>
    <w:rsid w:val="00E94B10"/>
    <w:rsid w:val="00E96B0C"/>
    <w:rsid w:val="00E96C5E"/>
    <w:rsid w:val="00E9705F"/>
    <w:rsid w:val="00E97229"/>
    <w:rsid w:val="00E97AE4"/>
    <w:rsid w:val="00E97B80"/>
    <w:rsid w:val="00EA0C67"/>
    <w:rsid w:val="00EA28F7"/>
    <w:rsid w:val="00EA3826"/>
    <w:rsid w:val="00EA5341"/>
    <w:rsid w:val="00EA5AC8"/>
    <w:rsid w:val="00EA5FFD"/>
    <w:rsid w:val="00EA66A7"/>
    <w:rsid w:val="00EA7CC1"/>
    <w:rsid w:val="00EA7CCA"/>
    <w:rsid w:val="00EA7D1C"/>
    <w:rsid w:val="00EB01B8"/>
    <w:rsid w:val="00EB051B"/>
    <w:rsid w:val="00EB0D73"/>
    <w:rsid w:val="00EB29B9"/>
    <w:rsid w:val="00EB4157"/>
    <w:rsid w:val="00EC067E"/>
    <w:rsid w:val="00EC10EC"/>
    <w:rsid w:val="00EC2875"/>
    <w:rsid w:val="00EC3ACB"/>
    <w:rsid w:val="00EC3E6F"/>
    <w:rsid w:val="00EC5009"/>
    <w:rsid w:val="00EC5EC7"/>
    <w:rsid w:val="00EC6316"/>
    <w:rsid w:val="00EC6373"/>
    <w:rsid w:val="00EC6E05"/>
    <w:rsid w:val="00EC6E72"/>
    <w:rsid w:val="00ED00E1"/>
    <w:rsid w:val="00ED00EE"/>
    <w:rsid w:val="00ED0117"/>
    <w:rsid w:val="00ED09A3"/>
    <w:rsid w:val="00ED3717"/>
    <w:rsid w:val="00ED3D1F"/>
    <w:rsid w:val="00ED457E"/>
    <w:rsid w:val="00ED5824"/>
    <w:rsid w:val="00ED5F1D"/>
    <w:rsid w:val="00ED75E9"/>
    <w:rsid w:val="00EE033D"/>
    <w:rsid w:val="00EE036A"/>
    <w:rsid w:val="00EE0559"/>
    <w:rsid w:val="00EE05CE"/>
    <w:rsid w:val="00EE07B5"/>
    <w:rsid w:val="00EE0849"/>
    <w:rsid w:val="00EE085A"/>
    <w:rsid w:val="00EE0925"/>
    <w:rsid w:val="00EE1341"/>
    <w:rsid w:val="00EE14E1"/>
    <w:rsid w:val="00EE1C0B"/>
    <w:rsid w:val="00EE23AC"/>
    <w:rsid w:val="00EE2914"/>
    <w:rsid w:val="00EE2FE0"/>
    <w:rsid w:val="00EE3330"/>
    <w:rsid w:val="00EE3A52"/>
    <w:rsid w:val="00EE46C8"/>
    <w:rsid w:val="00EE4DD1"/>
    <w:rsid w:val="00EE5114"/>
    <w:rsid w:val="00EE548E"/>
    <w:rsid w:val="00EE58BC"/>
    <w:rsid w:val="00EE59C1"/>
    <w:rsid w:val="00EE5BFD"/>
    <w:rsid w:val="00EE60C6"/>
    <w:rsid w:val="00EE7031"/>
    <w:rsid w:val="00EE7251"/>
    <w:rsid w:val="00EE7A2F"/>
    <w:rsid w:val="00EE7D6A"/>
    <w:rsid w:val="00EF0590"/>
    <w:rsid w:val="00EF15B2"/>
    <w:rsid w:val="00EF22AF"/>
    <w:rsid w:val="00EF2F8C"/>
    <w:rsid w:val="00EF3023"/>
    <w:rsid w:val="00EF3A51"/>
    <w:rsid w:val="00EF484C"/>
    <w:rsid w:val="00EF4FE0"/>
    <w:rsid w:val="00EF5394"/>
    <w:rsid w:val="00EF6369"/>
    <w:rsid w:val="00EF64F6"/>
    <w:rsid w:val="00EF6EB5"/>
    <w:rsid w:val="00EF70CF"/>
    <w:rsid w:val="00EF7A1B"/>
    <w:rsid w:val="00F00106"/>
    <w:rsid w:val="00F00746"/>
    <w:rsid w:val="00F009CC"/>
    <w:rsid w:val="00F00E7F"/>
    <w:rsid w:val="00F01240"/>
    <w:rsid w:val="00F01FE7"/>
    <w:rsid w:val="00F0375F"/>
    <w:rsid w:val="00F03FFB"/>
    <w:rsid w:val="00F04198"/>
    <w:rsid w:val="00F041D7"/>
    <w:rsid w:val="00F04D69"/>
    <w:rsid w:val="00F05181"/>
    <w:rsid w:val="00F05479"/>
    <w:rsid w:val="00F0620A"/>
    <w:rsid w:val="00F06666"/>
    <w:rsid w:val="00F07CBA"/>
    <w:rsid w:val="00F1003D"/>
    <w:rsid w:val="00F114FC"/>
    <w:rsid w:val="00F115FE"/>
    <w:rsid w:val="00F117E3"/>
    <w:rsid w:val="00F11D1C"/>
    <w:rsid w:val="00F125FE"/>
    <w:rsid w:val="00F12850"/>
    <w:rsid w:val="00F12B25"/>
    <w:rsid w:val="00F12BE6"/>
    <w:rsid w:val="00F12F1D"/>
    <w:rsid w:val="00F16673"/>
    <w:rsid w:val="00F17536"/>
    <w:rsid w:val="00F17E32"/>
    <w:rsid w:val="00F20404"/>
    <w:rsid w:val="00F21A3F"/>
    <w:rsid w:val="00F21E97"/>
    <w:rsid w:val="00F22A97"/>
    <w:rsid w:val="00F22ED0"/>
    <w:rsid w:val="00F22FF4"/>
    <w:rsid w:val="00F241DC"/>
    <w:rsid w:val="00F254DD"/>
    <w:rsid w:val="00F255A7"/>
    <w:rsid w:val="00F26544"/>
    <w:rsid w:val="00F2689F"/>
    <w:rsid w:val="00F271FC"/>
    <w:rsid w:val="00F2761E"/>
    <w:rsid w:val="00F27876"/>
    <w:rsid w:val="00F3102A"/>
    <w:rsid w:val="00F31609"/>
    <w:rsid w:val="00F31A2E"/>
    <w:rsid w:val="00F34518"/>
    <w:rsid w:val="00F34A23"/>
    <w:rsid w:val="00F36733"/>
    <w:rsid w:val="00F3690F"/>
    <w:rsid w:val="00F37386"/>
    <w:rsid w:val="00F37597"/>
    <w:rsid w:val="00F37D0B"/>
    <w:rsid w:val="00F37D99"/>
    <w:rsid w:val="00F41622"/>
    <w:rsid w:val="00F41F56"/>
    <w:rsid w:val="00F41F83"/>
    <w:rsid w:val="00F432A1"/>
    <w:rsid w:val="00F44A38"/>
    <w:rsid w:val="00F4520C"/>
    <w:rsid w:val="00F45EE5"/>
    <w:rsid w:val="00F465CD"/>
    <w:rsid w:val="00F47D2D"/>
    <w:rsid w:val="00F501F7"/>
    <w:rsid w:val="00F502BA"/>
    <w:rsid w:val="00F50EC4"/>
    <w:rsid w:val="00F525DD"/>
    <w:rsid w:val="00F539EB"/>
    <w:rsid w:val="00F54284"/>
    <w:rsid w:val="00F54CA6"/>
    <w:rsid w:val="00F54EAD"/>
    <w:rsid w:val="00F54EE5"/>
    <w:rsid w:val="00F555EB"/>
    <w:rsid w:val="00F55BF3"/>
    <w:rsid w:val="00F56550"/>
    <w:rsid w:val="00F56B0B"/>
    <w:rsid w:val="00F57B47"/>
    <w:rsid w:val="00F613C5"/>
    <w:rsid w:val="00F6258F"/>
    <w:rsid w:val="00F64297"/>
    <w:rsid w:val="00F655BF"/>
    <w:rsid w:val="00F65648"/>
    <w:rsid w:val="00F65DA5"/>
    <w:rsid w:val="00F66528"/>
    <w:rsid w:val="00F66E56"/>
    <w:rsid w:val="00F673C7"/>
    <w:rsid w:val="00F675EE"/>
    <w:rsid w:val="00F67891"/>
    <w:rsid w:val="00F67AA4"/>
    <w:rsid w:val="00F67B79"/>
    <w:rsid w:val="00F701CC"/>
    <w:rsid w:val="00F70496"/>
    <w:rsid w:val="00F70AA2"/>
    <w:rsid w:val="00F70C0A"/>
    <w:rsid w:val="00F717BA"/>
    <w:rsid w:val="00F723BB"/>
    <w:rsid w:val="00F724A0"/>
    <w:rsid w:val="00F72B1A"/>
    <w:rsid w:val="00F72D9A"/>
    <w:rsid w:val="00F742EF"/>
    <w:rsid w:val="00F7543F"/>
    <w:rsid w:val="00F75499"/>
    <w:rsid w:val="00F75854"/>
    <w:rsid w:val="00F76091"/>
    <w:rsid w:val="00F8044C"/>
    <w:rsid w:val="00F805DB"/>
    <w:rsid w:val="00F80E4E"/>
    <w:rsid w:val="00F8113D"/>
    <w:rsid w:val="00F816BA"/>
    <w:rsid w:val="00F81879"/>
    <w:rsid w:val="00F824B2"/>
    <w:rsid w:val="00F82B75"/>
    <w:rsid w:val="00F82C95"/>
    <w:rsid w:val="00F831DA"/>
    <w:rsid w:val="00F8370B"/>
    <w:rsid w:val="00F8399F"/>
    <w:rsid w:val="00F83BFF"/>
    <w:rsid w:val="00F83D5C"/>
    <w:rsid w:val="00F83EE1"/>
    <w:rsid w:val="00F843D5"/>
    <w:rsid w:val="00F843FD"/>
    <w:rsid w:val="00F84828"/>
    <w:rsid w:val="00F8542E"/>
    <w:rsid w:val="00F86DF9"/>
    <w:rsid w:val="00F87506"/>
    <w:rsid w:val="00F87B80"/>
    <w:rsid w:val="00F90683"/>
    <w:rsid w:val="00F91819"/>
    <w:rsid w:val="00F918FC"/>
    <w:rsid w:val="00F91E82"/>
    <w:rsid w:val="00F920E0"/>
    <w:rsid w:val="00F93D39"/>
    <w:rsid w:val="00F947CA"/>
    <w:rsid w:val="00F94813"/>
    <w:rsid w:val="00F95A1B"/>
    <w:rsid w:val="00F97BD1"/>
    <w:rsid w:val="00FA0696"/>
    <w:rsid w:val="00FA11CD"/>
    <w:rsid w:val="00FA128D"/>
    <w:rsid w:val="00FA1329"/>
    <w:rsid w:val="00FA1BDF"/>
    <w:rsid w:val="00FA1E68"/>
    <w:rsid w:val="00FA2B90"/>
    <w:rsid w:val="00FA311D"/>
    <w:rsid w:val="00FA333C"/>
    <w:rsid w:val="00FA4ABA"/>
    <w:rsid w:val="00FA4E8A"/>
    <w:rsid w:val="00FA4FE6"/>
    <w:rsid w:val="00FA54A5"/>
    <w:rsid w:val="00FA66E7"/>
    <w:rsid w:val="00FA76DF"/>
    <w:rsid w:val="00FA7E20"/>
    <w:rsid w:val="00FB057A"/>
    <w:rsid w:val="00FB058A"/>
    <w:rsid w:val="00FB09E7"/>
    <w:rsid w:val="00FB0C3A"/>
    <w:rsid w:val="00FB29C2"/>
    <w:rsid w:val="00FB3273"/>
    <w:rsid w:val="00FB4341"/>
    <w:rsid w:val="00FB4C4B"/>
    <w:rsid w:val="00FB5477"/>
    <w:rsid w:val="00FB5A56"/>
    <w:rsid w:val="00FB5C1A"/>
    <w:rsid w:val="00FB768E"/>
    <w:rsid w:val="00FC07EC"/>
    <w:rsid w:val="00FC1021"/>
    <w:rsid w:val="00FC1782"/>
    <w:rsid w:val="00FC1813"/>
    <w:rsid w:val="00FC20B9"/>
    <w:rsid w:val="00FC4211"/>
    <w:rsid w:val="00FC458E"/>
    <w:rsid w:val="00FC497B"/>
    <w:rsid w:val="00FC4C47"/>
    <w:rsid w:val="00FC4F11"/>
    <w:rsid w:val="00FC50DC"/>
    <w:rsid w:val="00FC523B"/>
    <w:rsid w:val="00FC574B"/>
    <w:rsid w:val="00FC6467"/>
    <w:rsid w:val="00FC6BB7"/>
    <w:rsid w:val="00FD0031"/>
    <w:rsid w:val="00FD0195"/>
    <w:rsid w:val="00FD1895"/>
    <w:rsid w:val="00FD1B3F"/>
    <w:rsid w:val="00FD2133"/>
    <w:rsid w:val="00FD389E"/>
    <w:rsid w:val="00FD40E8"/>
    <w:rsid w:val="00FD4147"/>
    <w:rsid w:val="00FD435B"/>
    <w:rsid w:val="00FD48DC"/>
    <w:rsid w:val="00FD4FF8"/>
    <w:rsid w:val="00FD60BD"/>
    <w:rsid w:val="00FD6901"/>
    <w:rsid w:val="00FD694D"/>
    <w:rsid w:val="00FD7158"/>
    <w:rsid w:val="00FD7AAA"/>
    <w:rsid w:val="00FE1396"/>
    <w:rsid w:val="00FE15F0"/>
    <w:rsid w:val="00FE15F9"/>
    <w:rsid w:val="00FE168D"/>
    <w:rsid w:val="00FE1E8A"/>
    <w:rsid w:val="00FE2445"/>
    <w:rsid w:val="00FE291D"/>
    <w:rsid w:val="00FE2B09"/>
    <w:rsid w:val="00FE305B"/>
    <w:rsid w:val="00FE50C2"/>
    <w:rsid w:val="00FE5D00"/>
    <w:rsid w:val="00FE5E81"/>
    <w:rsid w:val="00FE63B4"/>
    <w:rsid w:val="00FE65D2"/>
    <w:rsid w:val="00FE6C36"/>
    <w:rsid w:val="00FE77E3"/>
    <w:rsid w:val="00FE7E01"/>
    <w:rsid w:val="00FE7F5E"/>
    <w:rsid w:val="00FF021E"/>
    <w:rsid w:val="00FF060C"/>
    <w:rsid w:val="00FF0714"/>
    <w:rsid w:val="00FF094B"/>
    <w:rsid w:val="00FF09AD"/>
    <w:rsid w:val="00FF0A4C"/>
    <w:rsid w:val="00FF0E33"/>
    <w:rsid w:val="00FF14A0"/>
    <w:rsid w:val="00FF27B1"/>
    <w:rsid w:val="00FF2B38"/>
    <w:rsid w:val="00FF2C75"/>
    <w:rsid w:val="00FF3316"/>
    <w:rsid w:val="00FF371A"/>
    <w:rsid w:val="00FF3C70"/>
    <w:rsid w:val="00FF3F7B"/>
    <w:rsid w:val="00FF470A"/>
    <w:rsid w:val="00FF6463"/>
    <w:rsid w:val="00FF699D"/>
    <w:rsid w:val="00FF7582"/>
    <w:rsid w:val="00FF7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75B223"/>
  <w15:chartTrackingRefBased/>
  <w15:docId w15:val="{6DF5D39D-1F5E-45A2-9DB3-823271C45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Calibri Light"/>
        <w:color w:val="000000" w:themeColor="text1"/>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101"/>
  </w:style>
  <w:style w:type="paragraph" w:styleId="Heading1">
    <w:name w:val="heading 1"/>
    <w:basedOn w:val="Normal"/>
    <w:next w:val="Normal"/>
    <w:link w:val="Heading1Char"/>
    <w:uiPriority w:val="9"/>
    <w:qFormat/>
    <w:rsid w:val="00356101"/>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56101"/>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9535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101"/>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56101"/>
    <w:rPr>
      <w:rFonts w:ascii="Arial" w:eastAsiaTheme="majorEastAsia" w:hAnsi="Arial" w:cstheme="majorBidi"/>
      <w:sz w:val="26"/>
      <w:szCs w:val="26"/>
    </w:rPr>
  </w:style>
  <w:style w:type="character" w:styleId="Hyperlink">
    <w:name w:val="Hyperlink"/>
    <w:basedOn w:val="DefaultParagraphFont"/>
    <w:uiPriority w:val="99"/>
    <w:unhideWhenUsed/>
    <w:rsid w:val="00356101"/>
    <w:rPr>
      <w:color w:val="0563C1" w:themeColor="hyperlink"/>
      <w:u w:val="single"/>
    </w:rPr>
  </w:style>
  <w:style w:type="paragraph" w:styleId="ListParagraph">
    <w:name w:val="List Paragraph"/>
    <w:basedOn w:val="Normal"/>
    <w:uiPriority w:val="34"/>
    <w:qFormat/>
    <w:rsid w:val="008C1076"/>
    <w:pPr>
      <w:ind w:left="720"/>
      <w:contextualSpacing/>
    </w:pPr>
  </w:style>
  <w:style w:type="paragraph" w:styleId="NormalWeb">
    <w:name w:val="Normal (Web)"/>
    <w:basedOn w:val="Normal"/>
    <w:uiPriority w:val="99"/>
    <w:semiHidden/>
    <w:unhideWhenUsed/>
    <w:rsid w:val="000425F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71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536D9"/>
    <w:pPr>
      <w:outlineLvl w:val="9"/>
    </w:pPr>
    <w:rPr>
      <w:rFonts w:asciiTheme="majorHAnsi" w:hAnsiTheme="majorHAnsi"/>
      <w:color w:val="2F5496" w:themeColor="accent1" w:themeShade="BF"/>
      <w:lang w:val="en-US"/>
    </w:rPr>
  </w:style>
  <w:style w:type="character" w:customStyle="1" w:styleId="Heading3Char">
    <w:name w:val="Heading 3 Char"/>
    <w:basedOn w:val="DefaultParagraphFont"/>
    <w:link w:val="Heading3"/>
    <w:uiPriority w:val="9"/>
    <w:semiHidden/>
    <w:rsid w:val="009535E5"/>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D197B"/>
    <w:pPr>
      <w:tabs>
        <w:tab w:val="right" w:leader="dot" w:pos="9016"/>
      </w:tabs>
      <w:spacing w:after="100"/>
      <w:ind w:left="220"/>
    </w:pPr>
  </w:style>
  <w:style w:type="paragraph" w:styleId="Caption">
    <w:name w:val="caption"/>
    <w:basedOn w:val="Normal"/>
    <w:next w:val="Normal"/>
    <w:uiPriority w:val="35"/>
    <w:unhideWhenUsed/>
    <w:qFormat/>
    <w:rsid w:val="006F36B5"/>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8226C4"/>
  </w:style>
  <w:style w:type="paragraph" w:styleId="TableofFigures">
    <w:name w:val="table of figures"/>
    <w:basedOn w:val="Normal"/>
    <w:next w:val="Normal"/>
    <w:uiPriority w:val="99"/>
    <w:unhideWhenUsed/>
    <w:rsid w:val="00E33994"/>
    <w:pPr>
      <w:spacing w:after="0"/>
    </w:pPr>
  </w:style>
  <w:style w:type="character" w:styleId="FollowedHyperlink">
    <w:name w:val="FollowedHyperlink"/>
    <w:basedOn w:val="DefaultParagraphFont"/>
    <w:uiPriority w:val="99"/>
    <w:semiHidden/>
    <w:unhideWhenUsed/>
    <w:rsid w:val="0031552D"/>
    <w:rPr>
      <w:color w:val="954F72" w:themeColor="followedHyperlink"/>
      <w:u w:val="single"/>
    </w:rPr>
  </w:style>
  <w:style w:type="paragraph" w:styleId="Header">
    <w:name w:val="header"/>
    <w:basedOn w:val="Normal"/>
    <w:link w:val="HeaderChar"/>
    <w:uiPriority w:val="99"/>
    <w:unhideWhenUsed/>
    <w:rsid w:val="002C5F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F60"/>
    <w:rPr>
      <w:rFonts w:ascii="Arial" w:hAnsi="Arial"/>
    </w:rPr>
  </w:style>
  <w:style w:type="paragraph" w:styleId="Footer">
    <w:name w:val="footer"/>
    <w:basedOn w:val="Normal"/>
    <w:link w:val="FooterChar"/>
    <w:uiPriority w:val="99"/>
    <w:unhideWhenUsed/>
    <w:rsid w:val="002C5F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F60"/>
    <w:rPr>
      <w:rFonts w:ascii="Arial" w:hAnsi="Arial"/>
    </w:rPr>
  </w:style>
  <w:style w:type="character" w:styleId="Strong">
    <w:name w:val="Strong"/>
    <w:basedOn w:val="DefaultParagraphFont"/>
    <w:uiPriority w:val="22"/>
    <w:qFormat/>
    <w:rsid w:val="009C0AE4"/>
    <w:rPr>
      <w:b/>
      <w:bCs/>
    </w:rPr>
  </w:style>
  <w:style w:type="paragraph" w:styleId="TOC1">
    <w:name w:val="toc 1"/>
    <w:basedOn w:val="Normal"/>
    <w:next w:val="Normal"/>
    <w:autoRedefine/>
    <w:uiPriority w:val="39"/>
    <w:unhideWhenUsed/>
    <w:rsid w:val="00F94813"/>
    <w:pPr>
      <w:spacing w:after="100"/>
    </w:pPr>
  </w:style>
  <w:style w:type="character" w:customStyle="1" w:styleId="UnresolvedMention1">
    <w:name w:val="Unresolved Mention1"/>
    <w:basedOn w:val="DefaultParagraphFont"/>
    <w:uiPriority w:val="99"/>
    <w:semiHidden/>
    <w:unhideWhenUsed/>
    <w:rsid w:val="00AD57B8"/>
    <w:rPr>
      <w:color w:val="605E5C"/>
      <w:shd w:val="clear" w:color="auto" w:fill="E1DFDD"/>
    </w:rPr>
  </w:style>
  <w:style w:type="paragraph" w:styleId="BalloonText">
    <w:name w:val="Balloon Text"/>
    <w:basedOn w:val="Normal"/>
    <w:link w:val="BalloonTextChar"/>
    <w:uiPriority w:val="99"/>
    <w:semiHidden/>
    <w:unhideWhenUsed/>
    <w:rsid w:val="004A46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46AF"/>
    <w:rPr>
      <w:rFonts w:ascii="Segoe UI" w:hAnsi="Segoe UI" w:cs="Segoe UI"/>
      <w:sz w:val="18"/>
      <w:szCs w:val="18"/>
    </w:rPr>
  </w:style>
  <w:style w:type="character" w:styleId="CommentReference">
    <w:name w:val="annotation reference"/>
    <w:basedOn w:val="DefaultParagraphFont"/>
    <w:uiPriority w:val="99"/>
    <w:semiHidden/>
    <w:unhideWhenUsed/>
    <w:rsid w:val="008268B8"/>
    <w:rPr>
      <w:sz w:val="16"/>
      <w:szCs w:val="16"/>
    </w:rPr>
  </w:style>
  <w:style w:type="paragraph" w:styleId="CommentText">
    <w:name w:val="annotation text"/>
    <w:basedOn w:val="Normal"/>
    <w:link w:val="CommentTextChar"/>
    <w:uiPriority w:val="99"/>
    <w:unhideWhenUsed/>
    <w:rsid w:val="008268B8"/>
    <w:pPr>
      <w:spacing w:line="240" w:lineRule="auto"/>
    </w:pPr>
    <w:rPr>
      <w:sz w:val="20"/>
      <w:szCs w:val="20"/>
    </w:rPr>
  </w:style>
  <w:style w:type="character" w:customStyle="1" w:styleId="CommentTextChar">
    <w:name w:val="Comment Text Char"/>
    <w:basedOn w:val="DefaultParagraphFont"/>
    <w:link w:val="CommentText"/>
    <w:uiPriority w:val="99"/>
    <w:rsid w:val="008268B8"/>
    <w:rPr>
      <w:sz w:val="20"/>
      <w:szCs w:val="20"/>
    </w:rPr>
  </w:style>
  <w:style w:type="paragraph" w:styleId="CommentSubject">
    <w:name w:val="annotation subject"/>
    <w:basedOn w:val="CommentText"/>
    <w:next w:val="CommentText"/>
    <w:link w:val="CommentSubjectChar"/>
    <w:uiPriority w:val="99"/>
    <w:semiHidden/>
    <w:unhideWhenUsed/>
    <w:rsid w:val="008268B8"/>
    <w:rPr>
      <w:b/>
      <w:bCs/>
    </w:rPr>
  </w:style>
  <w:style w:type="character" w:customStyle="1" w:styleId="CommentSubjectChar">
    <w:name w:val="Comment Subject Char"/>
    <w:basedOn w:val="CommentTextChar"/>
    <w:link w:val="CommentSubject"/>
    <w:uiPriority w:val="99"/>
    <w:semiHidden/>
    <w:rsid w:val="008268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8161">
      <w:bodyDiv w:val="1"/>
      <w:marLeft w:val="0"/>
      <w:marRight w:val="0"/>
      <w:marTop w:val="0"/>
      <w:marBottom w:val="0"/>
      <w:divBdr>
        <w:top w:val="none" w:sz="0" w:space="0" w:color="auto"/>
        <w:left w:val="none" w:sz="0" w:space="0" w:color="auto"/>
        <w:bottom w:val="none" w:sz="0" w:space="0" w:color="auto"/>
        <w:right w:val="none" w:sz="0" w:space="0" w:color="auto"/>
      </w:divBdr>
    </w:div>
    <w:div w:id="8875486">
      <w:bodyDiv w:val="1"/>
      <w:marLeft w:val="0"/>
      <w:marRight w:val="0"/>
      <w:marTop w:val="0"/>
      <w:marBottom w:val="0"/>
      <w:divBdr>
        <w:top w:val="none" w:sz="0" w:space="0" w:color="auto"/>
        <w:left w:val="none" w:sz="0" w:space="0" w:color="auto"/>
        <w:bottom w:val="none" w:sz="0" w:space="0" w:color="auto"/>
        <w:right w:val="none" w:sz="0" w:space="0" w:color="auto"/>
      </w:divBdr>
    </w:div>
    <w:div w:id="9141754">
      <w:bodyDiv w:val="1"/>
      <w:marLeft w:val="0"/>
      <w:marRight w:val="0"/>
      <w:marTop w:val="0"/>
      <w:marBottom w:val="0"/>
      <w:divBdr>
        <w:top w:val="none" w:sz="0" w:space="0" w:color="auto"/>
        <w:left w:val="none" w:sz="0" w:space="0" w:color="auto"/>
        <w:bottom w:val="none" w:sz="0" w:space="0" w:color="auto"/>
        <w:right w:val="none" w:sz="0" w:space="0" w:color="auto"/>
      </w:divBdr>
    </w:div>
    <w:div w:id="10767882">
      <w:bodyDiv w:val="1"/>
      <w:marLeft w:val="0"/>
      <w:marRight w:val="0"/>
      <w:marTop w:val="0"/>
      <w:marBottom w:val="0"/>
      <w:divBdr>
        <w:top w:val="none" w:sz="0" w:space="0" w:color="auto"/>
        <w:left w:val="none" w:sz="0" w:space="0" w:color="auto"/>
        <w:bottom w:val="none" w:sz="0" w:space="0" w:color="auto"/>
        <w:right w:val="none" w:sz="0" w:space="0" w:color="auto"/>
      </w:divBdr>
    </w:div>
    <w:div w:id="14776456">
      <w:bodyDiv w:val="1"/>
      <w:marLeft w:val="0"/>
      <w:marRight w:val="0"/>
      <w:marTop w:val="0"/>
      <w:marBottom w:val="0"/>
      <w:divBdr>
        <w:top w:val="none" w:sz="0" w:space="0" w:color="auto"/>
        <w:left w:val="none" w:sz="0" w:space="0" w:color="auto"/>
        <w:bottom w:val="none" w:sz="0" w:space="0" w:color="auto"/>
        <w:right w:val="none" w:sz="0" w:space="0" w:color="auto"/>
      </w:divBdr>
    </w:div>
    <w:div w:id="15623269">
      <w:bodyDiv w:val="1"/>
      <w:marLeft w:val="0"/>
      <w:marRight w:val="0"/>
      <w:marTop w:val="0"/>
      <w:marBottom w:val="0"/>
      <w:divBdr>
        <w:top w:val="none" w:sz="0" w:space="0" w:color="auto"/>
        <w:left w:val="none" w:sz="0" w:space="0" w:color="auto"/>
        <w:bottom w:val="none" w:sz="0" w:space="0" w:color="auto"/>
        <w:right w:val="none" w:sz="0" w:space="0" w:color="auto"/>
      </w:divBdr>
    </w:div>
    <w:div w:id="18626851">
      <w:bodyDiv w:val="1"/>
      <w:marLeft w:val="0"/>
      <w:marRight w:val="0"/>
      <w:marTop w:val="0"/>
      <w:marBottom w:val="0"/>
      <w:divBdr>
        <w:top w:val="none" w:sz="0" w:space="0" w:color="auto"/>
        <w:left w:val="none" w:sz="0" w:space="0" w:color="auto"/>
        <w:bottom w:val="none" w:sz="0" w:space="0" w:color="auto"/>
        <w:right w:val="none" w:sz="0" w:space="0" w:color="auto"/>
      </w:divBdr>
    </w:div>
    <w:div w:id="19863887">
      <w:bodyDiv w:val="1"/>
      <w:marLeft w:val="0"/>
      <w:marRight w:val="0"/>
      <w:marTop w:val="0"/>
      <w:marBottom w:val="0"/>
      <w:divBdr>
        <w:top w:val="none" w:sz="0" w:space="0" w:color="auto"/>
        <w:left w:val="none" w:sz="0" w:space="0" w:color="auto"/>
        <w:bottom w:val="none" w:sz="0" w:space="0" w:color="auto"/>
        <w:right w:val="none" w:sz="0" w:space="0" w:color="auto"/>
      </w:divBdr>
    </w:div>
    <w:div w:id="20859817">
      <w:bodyDiv w:val="1"/>
      <w:marLeft w:val="0"/>
      <w:marRight w:val="0"/>
      <w:marTop w:val="0"/>
      <w:marBottom w:val="0"/>
      <w:divBdr>
        <w:top w:val="none" w:sz="0" w:space="0" w:color="auto"/>
        <w:left w:val="none" w:sz="0" w:space="0" w:color="auto"/>
        <w:bottom w:val="none" w:sz="0" w:space="0" w:color="auto"/>
        <w:right w:val="none" w:sz="0" w:space="0" w:color="auto"/>
      </w:divBdr>
    </w:div>
    <w:div w:id="23944428">
      <w:bodyDiv w:val="1"/>
      <w:marLeft w:val="0"/>
      <w:marRight w:val="0"/>
      <w:marTop w:val="0"/>
      <w:marBottom w:val="0"/>
      <w:divBdr>
        <w:top w:val="none" w:sz="0" w:space="0" w:color="auto"/>
        <w:left w:val="none" w:sz="0" w:space="0" w:color="auto"/>
        <w:bottom w:val="none" w:sz="0" w:space="0" w:color="auto"/>
        <w:right w:val="none" w:sz="0" w:space="0" w:color="auto"/>
      </w:divBdr>
    </w:div>
    <w:div w:id="25523838">
      <w:bodyDiv w:val="1"/>
      <w:marLeft w:val="0"/>
      <w:marRight w:val="0"/>
      <w:marTop w:val="0"/>
      <w:marBottom w:val="0"/>
      <w:divBdr>
        <w:top w:val="none" w:sz="0" w:space="0" w:color="auto"/>
        <w:left w:val="none" w:sz="0" w:space="0" w:color="auto"/>
        <w:bottom w:val="none" w:sz="0" w:space="0" w:color="auto"/>
        <w:right w:val="none" w:sz="0" w:space="0" w:color="auto"/>
      </w:divBdr>
    </w:div>
    <w:div w:id="26760911">
      <w:bodyDiv w:val="1"/>
      <w:marLeft w:val="0"/>
      <w:marRight w:val="0"/>
      <w:marTop w:val="0"/>
      <w:marBottom w:val="0"/>
      <w:divBdr>
        <w:top w:val="none" w:sz="0" w:space="0" w:color="auto"/>
        <w:left w:val="none" w:sz="0" w:space="0" w:color="auto"/>
        <w:bottom w:val="none" w:sz="0" w:space="0" w:color="auto"/>
        <w:right w:val="none" w:sz="0" w:space="0" w:color="auto"/>
      </w:divBdr>
    </w:div>
    <w:div w:id="31462759">
      <w:bodyDiv w:val="1"/>
      <w:marLeft w:val="0"/>
      <w:marRight w:val="0"/>
      <w:marTop w:val="0"/>
      <w:marBottom w:val="0"/>
      <w:divBdr>
        <w:top w:val="none" w:sz="0" w:space="0" w:color="auto"/>
        <w:left w:val="none" w:sz="0" w:space="0" w:color="auto"/>
        <w:bottom w:val="none" w:sz="0" w:space="0" w:color="auto"/>
        <w:right w:val="none" w:sz="0" w:space="0" w:color="auto"/>
      </w:divBdr>
    </w:div>
    <w:div w:id="34627471">
      <w:bodyDiv w:val="1"/>
      <w:marLeft w:val="0"/>
      <w:marRight w:val="0"/>
      <w:marTop w:val="0"/>
      <w:marBottom w:val="0"/>
      <w:divBdr>
        <w:top w:val="none" w:sz="0" w:space="0" w:color="auto"/>
        <w:left w:val="none" w:sz="0" w:space="0" w:color="auto"/>
        <w:bottom w:val="none" w:sz="0" w:space="0" w:color="auto"/>
        <w:right w:val="none" w:sz="0" w:space="0" w:color="auto"/>
      </w:divBdr>
    </w:div>
    <w:div w:id="36245521">
      <w:bodyDiv w:val="1"/>
      <w:marLeft w:val="0"/>
      <w:marRight w:val="0"/>
      <w:marTop w:val="0"/>
      <w:marBottom w:val="0"/>
      <w:divBdr>
        <w:top w:val="none" w:sz="0" w:space="0" w:color="auto"/>
        <w:left w:val="none" w:sz="0" w:space="0" w:color="auto"/>
        <w:bottom w:val="none" w:sz="0" w:space="0" w:color="auto"/>
        <w:right w:val="none" w:sz="0" w:space="0" w:color="auto"/>
      </w:divBdr>
    </w:div>
    <w:div w:id="40137200">
      <w:bodyDiv w:val="1"/>
      <w:marLeft w:val="0"/>
      <w:marRight w:val="0"/>
      <w:marTop w:val="0"/>
      <w:marBottom w:val="0"/>
      <w:divBdr>
        <w:top w:val="none" w:sz="0" w:space="0" w:color="auto"/>
        <w:left w:val="none" w:sz="0" w:space="0" w:color="auto"/>
        <w:bottom w:val="none" w:sz="0" w:space="0" w:color="auto"/>
        <w:right w:val="none" w:sz="0" w:space="0" w:color="auto"/>
      </w:divBdr>
    </w:div>
    <w:div w:id="40635476">
      <w:bodyDiv w:val="1"/>
      <w:marLeft w:val="0"/>
      <w:marRight w:val="0"/>
      <w:marTop w:val="0"/>
      <w:marBottom w:val="0"/>
      <w:divBdr>
        <w:top w:val="none" w:sz="0" w:space="0" w:color="auto"/>
        <w:left w:val="none" w:sz="0" w:space="0" w:color="auto"/>
        <w:bottom w:val="none" w:sz="0" w:space="0" w:color="auto"/>
        <w:right w:val="none" w:sz="0" w:space="0" w:color="auto"/>
      </w:divBdr>
    </w:div>
    <w:div w:id="43219323">
      <w:bodyDiv w:val="1"/>
      <w:marLeft w:val="0"/>
      <w:marRight w:val="0"/>
      <w:marTop w:val="0"/>
      <w:marBottom w:val="0"/>
      <w:divBdr>
        <w:top w:val="none" w:sz="0" w:space="0" w:color="auto"/>
        <w:left w:val="none" w:sz="0" w:space="0" w:color="auto"/>
        <w:bottom w:val="none" w:sz="0" w:space="0" w:color="auto"/>
        <w:right w:val="none" w:sz="0" w:space="0" w:color="auto"/>
      </w:divBdr>
    </w:div>
    <w:div w:id="43599626">
      <w:bodyDiv w:val="1"/>
      <w:marLeft w:val="0"/>
      <w:marRight w:val="0"/>
      <w:marTop w:val="0"/>
      <w:marBottom w:val="0"/>
      <w:divBdr>
        <w:top w:val="none" w:sz="0" w:space="0" w:color="auto"/>
        <w:left w:val="none" w:sz="0" w:space="0" w:color="auto"/>
        <w:bottom w:val="none" w:sz="0" w:space="0" w:color="auto"/>
        <w:right w:val="none" w:sz="0" w:space="0" w:color="auto"/>
      </w:divBdr>
    </w:div>
    <w:div w:id="46803033">
      <w:bodyDiv w:val="1"/>
      <w:marLeft w:val="0"/>
      <w:marRight w:val="0"/>
      <w:marTop w:val="0"/>
      <w:marBottom w:val="0"/>
      <w:divBdr>
        <w:top w:val="none" w:sz="0" w:space="0" w:color="auto"/>
        <w:left w:val="none" w:sz="0" w:space="0" w:color="auto"/>
        <w:bottom w:val="none" w:sz="0" w:space="0" w:color="auto"/>
        <w:right w:val="none" w:sz="0" w:space="0" w:color="auto"/>
      </w:divBdr>
    </w:div>
    <w:div w:id="55473148">
      <w:bodyDiv w:val="1"/>
      <w:marLeft w:val="0"/>
      <w:marRight w:val="0"/>
      <w:marTop w:val="0"/>
      <w:marBottom w:val="0"/>
      <w:divBdr>
        <w:top w:val="none" w:sz="0" w:space="0" w:color="auto"/>
        <w:left w:val="none" w:sz="0" w:space="0" w:color="auto"/>
        <w:bottom w:val="none" w:sz="0" w:space="0" w:color="auto"/>
        <w:right w:val="none" w:sz="0" w:space="0" w:color="auto"/>
      </w:divBdr>
    </w:div>
    <w:div w:id="55932801">
      <w:bodyDiv w:val="1"/>
      <w:marLeft w:val="0"/>
      <w:marRight w:val="0"/>
      <w:marTop w:val="0"/>
      <w:marBottom w:val="0"/>
      <w:divBdr>
        <w:top w:val="none" w:sz="0" w:space="0" w:color="auto"/>
        <w:left w:val="none" w:sz="0" w:space="0" w:color="auto"/>
        <w:bottom w:val="none" w:sz="0" w:space="0" w:color="auto"/>
        <w:right w:val="none" w:sz="0" w:space="0" w:color="auto"/>
      </w:divBdr>
    </w:div>
    <w:div w:id="59594045">
      <w:bodyDiv w:val="1"/>
      <w:marLeft w:val="0"/>
      <w:marRight w:val="0"/>
      <w:marTop w:val="0"/>
      <w:marBottom w:val="0"/>
      <w:divBdr>
        <w:top w:val="none" w:sz="0" w:space="0" w:color="auto"/>
        <w:left w:val="none" w:sz="0" w:space="0" w:color="auto"/>
        <w:bottom w:val="none" w:sz="0" w:space="0" w:color="auto"/>
        <w:right w:val="none" w:sz="0" w:space="0" w:color="auto"/>
      </w:divBdr>
    </w:div>
    <w:div w:id="60258377">
      <w:bodyDiv w:val="1"/>
      <w:marLeft w:val="0"/>
      <w:marRight w:val="0"/>
      <w:marTop w:val="0"/>
      <w:marBottom w:val="0"/>
      <w:divBdr>
        <w:top w:val="none" w:sz="0" w:space="0" w:color="auto"/>
        <w:left w:val="none" w:sz="0" w:space="0" w:color="auto"/>
        <w:bottom w:val="none" w:sz="0" w:space="0" w:color="auto"/>
        <w:right w:val="none" w:sz="0" w:space="0" w:color="auto"/>
      </w:divBdr>
    </w:div>
    <w:div w:id="64768838">
      <w:bodyDiv w:val="1"/>
      <w:marLeft w:val="0"/>
      <w:marRight w:val="0"/>
      <w:marTop w:val="0"/>
      <w:marBottom w:val="0"/>
      <w:divBdr>
        <w:top w:val="none" w:sz="0" w:space="0" w:color="auto"/>
        <w:left w:val="none" w:sz="0" w:space="0" w:color="auto"/>
        <w:bottom w:val="none" w:sz="0" w:space="0" w:color="auto"/>
        <w:right w:val="none" w:sz="0" w:space="0" w:color="auto"/>
      </w:divBdr>
    </w:div>
    <w:div w:id="67114939">
      <w:bodyDiv w:val="1"/>
      <w:marLeft w:val="0"/>
      <w:marRight w:val="0"/>
      <w:marTop w:val="0"/>
      <w:marBottom w:val="0"/>
      <w:divBdr>
        <w:top w:val="none" w:sz="0" w:space="0" w:color="auto"/>
        <w:left w:val="none" w:sz="0" w:space="0" w:color="auto"/>
        <w:bottom w:val="none" w:sz="0" w:space="0" w:color="auto"/>
        <w:right w:val="none" w:sz="0" w:space="0" w:color="auto"/>
      </w:divBdr>
    </w:div>
    <w:div w:id="69235125">
      <w:bodyDiv w:val="1"/>
      <w:marLeft w:val="0"/>
      <w:marRight w:val="0"/>
      <w:marTop w:val="0"/>
      <w:marBottom w:val="0"/>
      <w:divBdr>
        <w:top w:val="none" w:sz="0" w:space="0" w:color="auto"/>
        <w:left w:val="none" w:sz="0" w:space="0" w:color="auto"/>
        <w:bottom w:val="none" w:sz="0" w:space="0" w:color="auto"/>
        <w:right w:val="none" w:sz="0" w:space="0" w:color="auto"/>
      </w:divBdr>
    </w:div>
    <w:div w:id="69622425">
      <w:bodyDiv w:val="1"/>
      <w:marLeft w:val="0"/>
      <w:marRight w:val="0"/>
      <w:marTop w:val="0"/>
      <w:marBottom w:val="0"/>
      <w:divBdr>
        <w:top w:val="none" w:sz="0" w:space="0" w:color="auto"/>
        <w:left w:val="none" w:sz="0" w:space="0" w:color="auto"/>
        <w:bottom w:val="none" w:sz="0" w:space="0" w:color="auto"/>
        <w:right w:val="none" w:sz="0" w:space="0" w:color="auto"/>
      </w:divBdr>
    </w:div>
    <w:div w:id="74980989">
      <w:bodyDiv w:val="1"/>
      <w:marLeft w:val="0"/>
      <w:marRight w:val="0"/>
      <w:marTop w:val="0"/>
      <w:marBottom w:val="0"/>
      <w:divBdr>
        <w:top w:val="none" w:sz="0" w:space="0" w:color="auto"/>
        <w:left w:val="none" w:sz="0" w:space="0" w:color="auto"/>
        <w:bottom w:val="none" w:sz="0" w:space="0" w:color="auto"/>
        <w:right w:val="none" w:sz="0" w:space="0" w:color="auto"/>
      </w:divBdr>
    </w:div>
    <w:div w:id="75447710">
      <w:bodyDiv w:val="1"/>
      <w:marLeft w:val="0"/>
      <w:marRight w:val="0"/>
      <w:marTop w:val="0"/>
      <w:marBottom w:val="0"/>
      <w:divBdr>
        <w:top w:val="none" w:sz="0" w:space="0" w:color="auto"/>
        <w:left w:val="none" w:sz="0" w:space="0" w:color="auto"/>
        <w:bottom w:val="none" w:sz="0" w:space="0" w:color="auto"/>
        <w:right w:val="none" w:sz="0" w:space="0" w:color="auto"/>
      </w:divBdr>
    </w:div>
    <w:div w:id="77943769">
      <w:bodyDiv w:val="1"/>
      <w:marLeft w:val="0"/>
      <w:marRight w:val="0"/>
      <w:marTop w:val="0"/>
      <w:marBottom w:val="0"/>
      <w:divBdr>
        <w:top w:val="none" w:sz="0" w:space="0" w:color="auto"/>
        <w:left w:val="none" w:sz="0" w:space="0" w:color="auto"/>
        <w:bottom w:val="none" w:sz="0" w:space="0" w:color="auto"/>
        <w:right w:val="none" w:sz="0" w:space="0" w:color="auto"/>
      </w:divBdr>
    </w:div>
    <w:div w:id="86923058">
      <w:bodyDiv w:val="1"/>
      <w:marLeft w:val="0"/>
      <w:marRight w:val="0"/>
      <w:marTop w:val="0"/>
      <w:marBottom w:val="0"/>
      <w:divBdr>
        <w:top w:val="none" w:sz="0" w:space="0" w:color="auto"/>
        <w:left w:val="none" w:sz="0" w:space="0" w:color="auto"/>
        <w:bottom w:val="none" w:sz="0" w:space="0" w:color="auto"/>
        <w:right w:val="none" w:sz="0" w:space="0" w:color="auto"/>
      </w:divBdr>
    </w:div>
    <w:div w:id="87315630">
      <w:bodyDiv w:val="1"/>
      <w:marLeft w:val="0"/>
      <w:marRight w:val="0"/>
      <w:marTop w:val="0"/>
      <w:marBottom w:val="0"/>
      <w:divBdr>
        <w:top w:val="none" w:sz="0" w:space="0" w:color="auto"/>
        <w:left w:val="none" w:sz="0" w:space="0" w:color="auto"/>
        <w:bottom w:val="none" w:sz="0" w:space="0" w:color="auto"/>
        <w:right w:val="none" w:sz="0" w:space="0" w:color="auto"/>
      </w:divBdr>
    </w:div>
    <w:div w:id="92480576">
      <w:bodyDiv w:val="1"/>
      <w:marLeft w:val="0"/>
      <w:marRight w:val="0"/>
      <w:marTop w:val="0"/>
      <w:marBottom w:val="0"/>
      <w:divBdr>
        <w:top w:val="none" w:sz="0" w:space="0" w:color="auto"/>
        <w:left w:val="none" w:sz="0" w:space="0" w:color="auto"/>
        <w:bottom w:val="none" w:sz="0" w:space="0" w:color="auto"/>
        <w:right w:val="none" w:sz="0" w:space="0" w:color="auto"/>
      </w:divBdr>
    </w:div>
    <w:div w:id="93718361">
      <w:bodyDiv w:val="1"/>
      <w:marLeft w:val="0"/>
      <w:marRight w:val="0"/>
      <w:marTop w:val="0"/>
      <w:marBottom w:val="0"/>
      <w:divBdr>
        <w:top w:val="none" w:sz="0" w:space="0" w:color="auto"/>
        <w:left w:val="none" w:sz="0" w:space="0" w:color="auto"/>
        <w:bottom w:val="none" w:sz="0" w:space="0" w:color="auto"/>
        <w:right w:val="none" w:sz="0" w:space="0" w:color="auto"/>
      </w:divBdr>
    </w:div>
    <w:div w:id="95030073">
      <w:bodyDiv w:val="1"/>
      <w:marLeft w:val="0"/>
      <w:marRight w:val="0"/>
      <w:marTop w:val="0"/>
      <w:marBottom w:val="0"/>
      <w:divBdr>
        <w:top w:val="none" w:sz="0" w:space="0" w:color="auto"/>
        <w:left w:val="none" w:sz="0" w:space="0" w:color="auto"/>
        <w:bottom w:val="none" w:sz="0" w:space="0" w:color="auto"/>
        <w:right w:val="none" w:sz="0" w:space="0" w:color="auto"/>
      </w:divBdr>
    </w:div>
    <w:div w:id="97022061">
      <w:bodyDiv w:val="1"/>
      <w:marLeft w:val="0"/>
      <w:marRight w:val="0"/>
      <w:marTop w:val="0"/>
      <w:marBottom w:val="0"/>
      <w:divBdr>
        <w:top w:val="none" w:sz="0" w:space="0" w:color="auto"/>
        <w:left w:val="none" w:sz="0" w:space="0" w:color="auto"/>
        <w:bottom w:val="none" w:sz="0" w:space="0" w:color="auto"/>
        <w:right w:val="none" w:sz="0" w:space="0" w:color="auto"/>
      </w:divBdr>
    </w:div>
    <w:div w:id="101844418">
      <w:bodyDiv w:val="1"/>
      <w:marLeft w:val="0"/>
      <w:marRight w:val="0"/>
      <w:marTop w:val="0"/>
      <w:marBottom w:val="0"/>
      <w:divBdr>
        <w:top w:val="none" w:sz="0" w:space="0" w:color="auto"/>
        <w:left w:val="none" w:sz="0" w:space="0" w:color="auto"/>
        <w:bottom w:val="none" w:sz="0" w:space="0" w:color="auto"/>
        <w:right w:val="none" w:sz="0" w:space="0" w:color="auto"/>
      </w:divBdr>
    </w:div>
    <w:div w:id="105393443">
      <w:bodyDiv w:val="1"/>
      <w:marLeft w:val="0"/>
      <w:marRight w:val="0"/>
      <w:marTop w:val="0"/>
      <w:marBottom w:val="0"/>
      <w:divBdr>
        <w:top w:val="none" w:sz="0" w:space="0" w:color="auto"/>
        <w:left w:val="none" w:sz="0" w:space="0" w:color="auto"/>
        <w:bottom w:val="none" w:sz="0" w:space="0" w:color="auto"/>
        <w:right w:val="none" w:sz="0" w:space="0" w:color="auto"/>
      </w:divBdr>
    </w:div>
    <w:div w:id="107706385">
      <w:bodyDiv w:val="1"/>
      <w:marLeft w:val="0"/>
      <w:marRight w:val="0"/>
      <w:marTop w:val="0"/>
      <w:marBottom w:val="0"/>
      <w:divBdr>
        <w:top w:val="none" w:sz="0" w:space="0" w:color="auto"/>
        <w:left w:val="none" w:sz="0" w:space="0" w:color="auto"/>
        <w:bottom w:val="none" w:sz="0" w:space="0" w:color="auto"/>
        <w:right w:val="none" w:sz="0" w:space="0" w:color="auto"/>
      </w:divBdr>
    </w:div>
    <w:div w:id="108667406">
      <w:bodyDiv w:val="1"/>
      <w:marLeft w:val="0"/>
      <w:marRight w:val="0"/>
      <w:marTop w:val="0"/>
      <w:marBottom w:val="0"/>
      <w:divBdr>
        <w:top w:val="none" w:sz="0" w:space="0" w:color="auto"/>
        <w:left w:val="none" w:sz="0" w:space="0" w:color="auto"/>
        <w:bottom w:val="none" w:sz="0" w:space="0" w:color="auto"/>
        <w:right w:val="none" w:sz="0" w:space="0" w:color="auto"/>
      </w:divBdr>
    </w:div>
    <w:div w:id="113259088">
      <w:bodyDiv w:val="1"/>
      <w:marLeft w:val="0"/>
      <w:marRight w:val="0"/>
      <w:marTop w:val="0"/>
      <w:marBottom w:val="0"/>
      <w:divBdr>
        <w:top w:val="none" w:sz="0" w:space="0" w:color="auto"/>
        <w:left w:val="none" w:sz="0" w:space="0" w:color="auto"/>
        <w:bottom w:val="none" w:sz="0" w:space="0" w:color="auto"/>
        <w:right w:val="none" w:sz="0" w:space="0" w:color="auto"/>
      </w:divBdr>
    </w:div>
    <w:div w:id="116721763">
      <w:bodyDiv w:val="1"/>
      <w:marLeft w:val="0"/>
      <w:marRight w:val="0"/>
      <w:marTop w:val="0"/>
      <w:marBottom w:val="0"/>
      <w:divBdr>
        <w:top w:val="none" w:sz="0" w:space="0" w:color="auto"/>
        <w:left w:val="none" w:sz="0" w:space="0" w:color="auto"/>
        <w:bottom w:val="none" w:sz="0" w:space="0" w:color="auto"/>
        <w:right w:val="none" w:sz="0" w:space="0" w:color="auto"/>
      </w:divBdr>
    </w:div>
    <w:div w:id="117342172">
      <w:bodyDiv w:val="1"/>
      <w:marLeft w:val="0"/>
      <w:marRight w:val="0"/>
      <w:marTop w:val="0"/>
      <w:marBottom w:val="0"/>
      <w:divBdr>
        <w:top w:val="none" w:sz="0" w:space="0" w:color="auto"/>
        <w:left w:val="none" w:sz="0" w:space="0" w:color="auto"/>
        <w:bottom w:val="none" w:sz="0" w:space="0" w:color="auto"/>
        <w:right w:val="none" w:sz="0" w:space="0" w:color="auto"/>
      </w:divBdr>
    </w:div>
    <w:div w:id="122037993">
      <w:bodyDiv w:val="1"/>
      <w:marLeft w:val="0"/>
      <w:marRight w:val="0"/>
      <w:marTop w:val="0"/>
      <w:marBottom w:val="0"/>
      <w:divBdr>
        <w:top w:val="none" w:sz="0" w:space="0" w:color="auto"/>
        <w:left w:val="none" w:sz="0" w:space="0" w:color="auto"/>
        <w:bottom w:val="none" w:sz="0" w:space="0" w:color="auto"/>
        <w:right w:val="none" w:sz="0" w:space="0" w:color="auto"/>
      </w:divBdr>
    </w:div>
    <w:div w:id="122426534">
      <w:bodyDiv w:val="1"/>
      <w:marLeft w:val="0"/>
      <w:marRight w:val="0"/>
      <w:marTop w:val="0"/>
      <w:marBottom w:val="0"/>
      <w:divBdr>
        <w:top w:val="none" w:sz="0" w:space="0" w:color="auto"/>
        <w:left w:val="none" w:sz="0" w:space="0" w:color="auto"/>
        <w:bottom w:val="none" w:sz="0" w:space="0" w:color="auto"/>
        <w:right w:val="none" w:sz="0" w:space="0" w:color="auto"/>
      </w:divBdr>
    </w:div>
    <w:div w:id="123281784">
      <w:bodyDiv w:val="1"/>
      <w:marLeft w:val="0"/>
      <w:marRight w:val="0"/>
      <w:marTop w:val="0"/>
      <w:marBottom w:val="0"/>
      <w:divBdr>
        <w:top w:val="none" w:sz="0" w:space="0" w:color="auto"/>
        <w:left w:val="none" w:sz="0" w:space="0" w:color="auto"/>
        <w:bottom w:val="none" w:sz="0" w:space="0" w:color="auto"/>
        <w:right w:val="none" w:sz="0" w:space="0" w:color="auto"/>
      </w:divBdr>
    </w:div>
    <w:div w:id="123738813">
      <w:bodyDiv w:val="1"/>
      <w:marLeft w:val="0"/>
      <w:marRight w:val="0"/>
      <w:marTop w:val="0"/>
      <w:marBottom w:val="0"/>
      <w:divBdr>
        <w:top w:val="none" w:sz="0" w:space="0" w:color="auto"/>
        <w:left w:val="none" w:sz="0" w:space="0" w:color="auto"/>
        <w:bottom w:val="none" w:sz="0" w:space="0" w:color="auto"/>
        <w:right w:val="none" w:sz="0" w:space="0" w:color="auto"/>
      </w:divBdr>
    </w:div>
    <w:div w:id="131211828">
      <w:bodyDiv w:val="1"/>
      <w:marLeft w:val="0"/>
      <w:marRight w:val="0"/>
      <w:marTop w:val="0"/>
      <w:marBottom w:val="0"/>
      <w:divBdr>
        <w:top w:val="none" w:sz="0" w:space="0" w:color="auto"/>
        <w:left w:val="none" w:sz="0" w:space="0" w:color="auto"/>
        <w:bottom w:val="none" w:sz="0" w:space="0" w:color="auto"/>
        <w:right w:val="none" w:sz="0" w:space="0" w:color="auto"/>
      </w:divBdr>
    </w:div>
    <w:div w:id="131874774">
      <w:bodyDiv w:val="1"/>
      <w:marLeft w:val="0"/>
      <w:marRight w:val="0"/>
      <w:marTop w:val="0"/>
      <w:marBottom w:val="0"/>
      <w:divBdr>
        <w:top w:val="none" w:sz="0" w:space="0" w:color="auto"/>
        <w:left w:val="none" w:sz="0" w:space="0" w:color="auto"/>
        <w:bottom w:val="none" w:sz="0" w:space="0" w:color="auto"/>
        <w:right w:val="none" w:sz="0" w:space="0" w:color="auto"/>
      </w:divBdr>
    </w:div>
    <w:div w:id="136580823">
      <w:bodyDiv w:val="1"/>
      <w:marLeft w:val="0"/>
      <w:marRight w:val="0"/>
      <w:marTop w:val="0"/>
      <w:marBottom w:val="0"/>
      <w:divBdr>
        <w:top w:val="none" w:sz="0" w:space="0" w:color="auto"/>
        <w:left w:val="none" w:sz="0" w:space="0" w:color="auto"/>
        <w:bottom w:val="none" w:sz="0" w:space="0" w:color="auto"/>
        <w:right w:val="none" w:sz="0" w:space="0" w:color="auto"/>
      </w:divBdr>
    </w:div>
    <w:div w:id="137232432">
      <w:bodyDiv w:val="1"/>
      <w:marLeft w:val="0"/>
      <w:marRight w:val="0"/>
      <w:marTop w:val="0"/>
      <w:marBottom w:val="0"/>
      <w:divBdr>
        <w:top w:val="none" w:sz="0" w:space="0" w:color="auto"/>
        <w:left w:val="none" w:sz="0" w:space="0" w:color="auto"/>
        <w:bottom w:val="none" w:sz="0" w:space="0" w:color="auto"/>
        <w:right w:val="none" w:sz="0" w:space="0" w:color="auto"/>
      </w:divBdr>
    </w:div>
    <w:div w:id="138155327">
      <w:bodyDiv w:val="1"/>
      <w:marLeft w:val="0"/>
      <w:marRight w:val="0"/>
      <w:marTop w:val="0"/>
      <w:marBottom w:val="0"/>
      <w:divBdr>
        <w:top w:val="none" w:sz="0" w:space="0" w:color="auto"/>
        <w:left w:val="none" w:sz="0" w:space="0" w:color="auto"/>
        <w:bottom w:val="none" w:sz="0" w:space="0" w:color="auto"/>
        <w:right w:val="none" w:sz="0" w:space="0" w:color="auto"/>
      </w:divBdr>
    </w:div>
    <w:div w:id="139924283">
      <w:bodyDiv w:val="1"/>
      <w:marLeft w:val="0"/>
      <w:marRight w:val="0"/>
      <w:marTop w:val="0"/>
      <w:marBottom w:val="0"/>
      <w:divBdr>
        <w:top w:val="none" w:sz="0" w:space="0" w:color="auto"/>
        <w:left w:val="none" w:sz="0" w:space="0" w:color="auto"/>
        <w:bottom w:val="none" w:sz="0" w:space="0" w:color="auto"/>
        <w:right w:val="none" w:sz="0" w:space="0" w:color="auto"/>
      </w:divBdr>
    </w:div>
    <w:div w:id="142282468">
      <w:bodyDiv w:val="1"/>
      <w:marLeft w:val="0"/>
      <w:marRight w:val="0"/>
      <w:marTop w:val="0"/>
      <w:marBottom w:val="0"/>
      <w:divBdr>
        <w:top w:val="none" w:sz="0" w:space="0" w:color="auto"/>
        <w:left w:val="none" w:sz="0" w:space="0" w:color="auto"/>
        <w:bottom w:val="none" w:sz="0" w:space="0" w:color="auto"/>
        <w:right w:val="none" w:sz="0" w:space="0" w:color="auto"/>
      </w:divBdr>
    </w:div>
    <w:div w:id="145364274">
      <w:bodyDiv w:val="1"/>
      <w:marLeft w:val="0"/>
      <w:marRight w:val="0"/>
      <w:marTop w:val="0"/>
      <w:marBottom w:val="0"/>
      <w:divBdr>
        <w:top w:val="none" w:sz="0" w:space="0" w:color="auto"/>
        <w:left w:val="none" w:sz="0" w:space="0" w:color="auto"/>
        <w:bottom w:val="none" w:sz="0" w:space="0" w:color="auto"/>
        <w:right w:val="none" w:sz="0" w:space="0" w:color="auto"/>
      </w:divBdr>
    </w:div>
    <w:div w:id="148637280">
      <w:bodyDiv w:val="1"/>
      <w:marLeft w:val="0"/>
      <w:marRight w:val="0"/>
      <w:marTop w:val="0"/>
      <w:marBottom w:val="0"/>
      <w:divBdr>
        <w:top w:val="none" w:sz="0" w:space="0" w:color="auto"/>
        <w:left w:val="none" w:sz="0" w:space="0" w:color="auto"/>
        <w:bottom w:val="none" w:sz="0" w:space="0" w:color="auto"/>
        <w:right w:val="none" w:sz="0" w:space="0" w:color="auto"/>
      </w:divBdr>
    </w:div>
    <w:div w:id="149298558">
      <w:bodyDiv w:val="1"/>
      <w:marLeft w:val="0"/>
      <w:marRight w:val="0"/>
      <w:marTop w:val="0"/>
      <w:marBottom w:val="0"/>
      <w:divBdr>
        <w:top w:val="none" w:sz="0" w:space="0" w:color="auto"/>
        <w:left w:val="none" w:sz="0" w:space="0" w:color="auto"/>
        <w:bottom w:val="none" w:sz="0" w:space="0" w:color="auto"/>
        <w:right w:val="none" w:sz="0" w:space="0" w:color="auto"/>
      </w:divBdr>
    </w:div>
    <w:div w:id="150340218">
      <w:bodyDiv w:val="1"/>
      <w:marLeft w:val="0"/>
      <w:marRight w:val="0"/>
      <w:marTop w:val="0"/>
      <w:marBottom w:val="0"/>
      <w:divBdr>
        <w:top w:val="none" w:sz="0" w:space="0" w:color="auto"/>
        <w:left w:val="none" w:sz="0" w:space="0" w:color="auto"/>
        <w:bottom w:val="none" w:sz="0" w:space="0" w:color="auto"/>
        <w:right w:val="none" w:sz="0" w:space="0" w:color="auto"/>
      </w:divBdr>
    </w:div>
    <w:div w:id="151336273">
      <w:bodyDiv w:val="1"/>
      <w:marLeft w:val="0"/>
      <w:marRight w:val="0"/>
      <w:marTop w:val="0"/>
      <w:marBottom w:val="0"/>
      <w:divBdr>
        <w:top w:val="none" w:sz="0" w:space="0" w:color="auto"/>
        <w:left w:val="none" w:sz="0" w:space="0" w:color="auto"/>
        <w:bottom w:val="none" w:sz="0" w:space="0" w:color="auto"/>
        <w:right w:val="none" w:sz="0" w:space="0" w:color="auto"/>
      </w:divBdr>
    </w:div>
    <w:div w:id="153223910">
      <w:bodyDiv w:val="1"/>
      <w:marLeft w:val="0"/>
      <w:marRight w:val="0"/>
      <w:marTop w:val="0"/>
      <w:marBottom w:val="0"/>
      <w:divBdr>
        <w:top w:val="none" w:sz="0" w:space="0" w:color="auto"/>
        <w:left w:val="none" w:sz="0" w:space="0" w:color="auto"/>
        <w:bottom w:val="none" w:sz="0" w:space="0" w:color="auto"/>
        <w:right w:val="none" w:sz="0" w:space="0" w:color="auto"/>
      </w:divBdr>
    </w:div>
    <w:div w:id="153759719">
      <w:bodyDiv w:val="1"/>
      <w:marLeft w:val="0"/>
      <w:marRight w:val="0"/>
      <w:marTop w:val="0"/>
      <w:marBottom w:val="0"/>
      <w:divBdr>
        <w:top w:val="none" w:sz="0" w:space="0" w:color="auto"/>
        <w:left w:val="none" w:sz="0" w:space="0" w:color="auto"/>
        <w:bottom w:val="none" w:sz="0" w:space="0" w:color="auto"/>
        <w:right w:val="none" w:sz="0" w:space="0" w:color="auto"/>
      </w:divBdr>
    </w:div>
    <w:div w:id="167645705">
      <w:bodyDiv w:val="1"/>
      <w:marLeft w:val="0"/>
      <w:marRight w:val="0"/>
      <w:marTop w:val="0"/>
      <w:marBottom w:val="0"/>
      <w:divBdr>
        <w:top w:val="none" w:sz="0" w:space="0" w:color="auto"/>
        <w:left w:val="none" w:sz="0" w:space="0" w:color="auto"/>
        <w:bottom w:val="none" w:sz="0" w:space="0" w:color="auto"/>
        <w:right w:val="none" w:sz="0" w:space="0" w:color="auto"/>
      </w:divBdr>
    </w:div>
    <w:div w:id="170147984">
      <w:bodyDiv w:val="1"/>
      <w:marLeft w:val="0"/>
      <w:marRight w:val="0"/>
      <w:marTop w:val="0"/>
      <w:marBottom w:val="0"/>
      <w:divBdr>
        <w:top w:val="none" w:sz="0" w:space="0" w:color="auto"/>
        <w:left w:val="none" w:sz="0" w:space="0" w:color="auto"/>
        <w:bottom w:val="none" w:sz="0" w:space="0" w:color="auto"/>
        <w:right w:val="none" w:sz="0" w:space="0" w:color="auto"/>
      </w:divBdr>
    </w:div>
    <w:div w:id="172576697">
      <w:bodyDiv w:val="1"/>
      <w:marLeft w:val="0"/>
      <w:marRight w:val="0"/>
      <w:marTop w:val="0"/>
      <w:marBottom w:val="0"/>
      <w:divBdr>
        <w:top w:val="none" w:sz="0" w:space="0" w:color="auto"/>
        <w:left w:val="none" w:sz="0" w:space="0" w:color="auto"/>
        <w:bottom w:val="none" w:sz="0" w:space="0" w:color="auto"/>
        <w:right w:val="none" w:sz="0" w:space="0" w:color="auto"/>
      </w:divBdr>
    </w:div>
    <w:div w:id="175315975">
      <w:bodyDiv w:val="1"/>
      <w:marLeft w:val="0"/>
      <w:marRight w:val="0"/>
      <w:marTop w:val="0"/>
      <w:marBottom w:val="0"/>
      <w:divBdr>
        <w:top w:val="none" w:sz="0" w:space="0" w:color="auto"/>
        <w:left w:val="none" w:sz="0" w:space="0" w:color="auto"/>
        <w:bottom w:val="none" w:sz="0" w:space="0" w:color="auto"/>
        <w:right w:val="none" w:sz="0" w:space="0" w:color="auto"/>
      </w:divBdr>
    </w:div>
    <w:div w:id="177352973">
      <w:bodyDiv w:val="1"/>
      <w:marLeft w:val="0"/>
      <w:marRight w:val="0"/>
      <w:marTop w:val="0"/>
      <w:marBottom w:val="0"/>
      <w:divBdr>
        <w:top w:val="none" w:sz="0" w:space="0" w:color="auto"/>
        <w:left w:val="none" w:sz="0" w:space="0" w:color="auto"/>
        <w:bottom w:val="none" w:sz="0" w:space="0" w:color="auto"/>
        <w:right w:val="none" w:sz="0" w:space="0" w:color="auto"/>
      </w:divBdr>
    </w:div>
    <w:div w:id="189300290">
      <w:bodyDiv w:val="1"/>
      <w:marLeft w:val="0"/>
      <w:marRight w:val="0"/>
      <w:marTop w:val="0"/>
      <w:marBottom w:val="0"/>
      <w:divBdr>
        <w:top w:val="none" w:sz="0" w:space="0" w:color="auto"/>
        <w:left w:val="none" w:sz="0" w:space="0" w:color="auto"/>
        <w:bottom w:val="none" w:sz="0" w:space="0" w:color="auto"/>
        <w:right w:val="none" w:sz="0" w:space="0" w:color="auto"/>
      </w:divBdr>
    </w:div>
    <w:div w:id="193925199">
      <w:bodyDiv w:val="1"/>
      <w:marLeft w:val="0"/>
      <w:marRight w:val="0"/>
      <w:marTop w:val="0"/>
      <w:marBottom w:val="0"/>
      <w:divBdr>
        <w:top w:val="none" w:sz="0" w:space="0" w:color="auto"/>
        <w:left w:val="none" w:sz="0" w:space="0" w:color="auto"/>
        <w:bottom w:val="none" w:sz="0" w:space="0" w:color="auto"/>
        <w:right w:val="none" w:sz="0" w:space="0" w:color="auto"/>
      </w:divBdr>
    </w:div>
    <w:div w:id="195898295">
      <w:bodyDiv w:val="1"/>
      <w:marLeft w:val="0"/>
      <w:marRight w:val="0"/>
      <w:marTop w:val="0"/>
      <w:marBottom w:val="0"/>
      <w:divBdr>
        <w:top w:val="none" w:sz="0" w:space="0" w:color="auto"/>
        <w:left w:val="none" w:sz="0" w:space="0" w:color="auto"/>
        <w:bottom w:val="none" w:sz="0" w:space="0" w:color="auto"/>
        <w:right w:val="none" w:sz="0" w:space="0" w:color="auto"/>
      </w:divBdr>
    </w:div>
    <w:div w:id="197396269">
      <w:bodyDiv w:val="1"/>
      <w:marLeft w:val="0"/>
      <w:marRight w:val="0"/>
      <w:marTop w:val="0"/>
      <w:marBottom w:val="0"/>
      <w:divBdr>
        <w:top w:val="none" w:sz="0" w:space="0" w:color="auto"/>
        <w:left w:val="none" w:sz="0" w:space="0" w:color="auto"/>
        <w:bottom w:val="none" w:sz="0" w:space="0" w:color="auto"/>
        <w:right w:val="none" w:sz="0" w:space="0" w:color="auto"/>
      </w:divBdr>
    </w:div>
    <w:div w:id="207649842">
      <w:bodyDiv w:val="1"/>
      <w:marLeft w:val="0"/>
      <w:marRight w:val="0"/>
      <w:marTop w:val="0"/>
      <w:marBottom w:val="0"/>
      <w:divBdr>
        <w:top w:val="none" w:sz="0" w:space="0" w:color="auto"/>
        <w:left w:val="none" w:sz="0" w:space="0" w:color="auto"/>
        <w:bottom w:val="none" w:sz="0" w:space="0" w:color="auto"/>
        <w:right w:val="none" w:sz="0" w:space="0" w:color="auto"/>
      </w:divBdr>
    </w:div>
    <w:div w:id="209541603">
      <w:bodyDiv w:val="1"/>
      <w:marLeft w:val="0"/>
      <w:marRight w:val="0"/>
      <w:marTop w:val="0"/>
      <w:marBottom w:val="0"/>
      <w:divBdr>
        <w:top w:val="none" w:sz="0" w:space="0" w:color="auto"/>
        <w:left w:val="none" w:sz="0" w:space="0" w:color="auto"/>
        <w:bottom w:val="none" w:sz="0" w:space="0" w:color="auto"/>
        <w:right w:val="none" w:sz="0" w:space="0" w:color="auto"/>
      </w:divBdr>
    </w:div>
    <w:div w:id="213780532">
      <w:bodyDiv w:val="1"/>
      <w:marLeft w:val="0"/>
      <w:marRight w:val="0"/>
      <w:marTop w:val="0"/>
      <w:marBottom w:val="0"/>
      <w:divBdr>
        <w:top w:val="none" w:sz="0" w:space="0" w:color="auto"/>
        <w:left w:val="none" w:sz="0" w:space="0" w:color="auto"/>
        <w:bottom w:val="none" w:sz="0" w:space="0" w:color="auto"/>
        <w:right w:val="none" w:sz="0" w:space="0" w:color="auto"/>
      </w:divBdr>
    </w:div>
    <w:div w:id="215706346">
      <w:bodyDiv w:val="1"/>
      <w:marLeft w:val="0"/>
      <w:marRight w:val="0"/>
      <w:marTop w:val="0"/>
      <w:marBottom w:val="0"/>
      <w:divBdr>
        <w:top w:val="none" w:sz="0" w:space="0" w:color="auto"/>
        <w:left w:val="none" w:sz="0" w:space="0" w:color="auto"/>
        <w:bottom w:val="none" w:sz="0" w:space="0" w:color="auto"/>
        <w:right w:val="none" w:sz="0" w:space="0" w:color="auto"/>
      </w:divBdr>
    </w:div>
    <w:div w:id="217475638">
      <w:bodyDiv w:val="1"/>
      <w:marLeft w:val="0"/>
      <w:marRight w:val="0"/>
      <w:marTop w:val="0"/>
      <w:marBottom w:val="0"/>
      <w:divBdr>
        <w:top w:val="none" w:sz="0" w:space="0" w:color="auto"/>
        <w:left w:val="none" w:sz="0" w:space="0" w:color="auto"/>
        <w:bottom w:val="none" w:sz="0" w:space="0" w:color="auto"/>
        <w:right w:val="none" w:sz="0" w:space="0" w:color="auto"/>
      </w:divBdr>
    </w:div>
    <w:div w:id="222106401">
      <w:bodyDiv w:val="1"/>
      <w:marLeft w:val="0"/>
      <w:marRight w:val="0"/>
      <w:marTop w:val="0"/>
      <w:marBottom w:val="0"/>
      <w:divBdr>
        <w:top w:val="none" w:sz="0" w:space="0" w:color="auto"/>
        <w:left w:val="none" w:sz="0" w:space="0" w:color="auto"/>
        <w:bottom w:val="none" w:sz="0" w:space="0" w:color="auto"/>
        <w:right w:val="none" w:sz="0" w:space="0" w:color="auto"/>
      </w:divBdr>
    </w:div>
    <w:div w:id="224411264">
      <w:bodyDiv w:val="1"/>
      <w:marLeft w:val="0"/>
      <w:marRight w:val="0"/>
      <w:marTop w:val="0"/>
      <w:marBottom w:val="0"/>
      <w:divBdr>
        <w:top w:val="none" w:sz="0" w:space="0" w:color="auto"/>
        <w:left w:val="none" w:sz="0" w:space="0" w:color="auto"/>
        <w:bottom w:val="none" w:sz="0" w:space="0" w:color="auto"/>
        <w:right w:val="none" w:sz="0" w:space="0" w:color="auto"/>
      </w:divBdr>
    </w:div>
    <w:div w:id="229120659">
      <w:bodyDiv w:val="1"/>
      <w:marLeft w:val="0"/>
      <w:marRight w:val="0"/>
      <w:marTop w:val="0"/>
      <w:marBottom w:val="0"/>
      <w:divBdr>
        <w:top w:val="none" w:sz="0" w:space="0" w:color="auto"/>
        <w:left w:val="none" w:sz="0" w:space="0" w:color="auto"/>
        <w:bottom w:val="none" w:sz="0" w:space="0" w:color="auto"/>
        <w:right w:val="none" w:sz="0" w:space="0" w:color="auto"/>
      </w:divBdr>
    </w:div>
    <w:div w:id="230771855">
      <w:bodyDiv w:val="1"/>
      <w:marLeft w:val="0"/>
      <w:marRight w:val="0"/>
      <w:marTop w:val="0"/>
      <w:marBottom w:val="0"/>
      <w:divBdr>
        <w:top w:val="none" w:sz="0" w:space="0" w:color="auto"/>
        <w:left w:val="none" w:sz="0" w:space="0" w:color="auto"/>
        <w:bottom w:val="none" w:sz="0" w:space="0" w:color="auto"/>
        <w:right w:val="none" w:sz="0" w:space="0" w:color="auto"/>
      </w:divBdr>
    </w:div>
    <w:div w:id="231081938">
      <w:bodyDiv w:val="1"/>
      <w:marLeft w:val="0"/>
      <w:marRight w:val="0"/>
      <w:marTop w:val="0"/>
      <w:marBottom w:val="0"/>
      <w:divBdr>
        <w:top w:val="none" w:sz="0" w:space="0" w:color="auto"/>
        <w:left w:val="none" w:sz="0" w:space="0" w:color="auto"/>
        <w:bottom w:val="none" w:sz="0" w:space="0" w:color="auto"/>
        <w:right w:val="none" w:sz="0" w:space="0" w:color="auto"/>
      </w:divBdr>
    </w:div>
    <w:div w:id="250747108">
      <w:bodyDiv w:val="1"/>
      <w:marLeft w:val="0"/>
      <w:marRight w:val="0"/>
      <w:marTop w:val="0"/>
      <w:marBottom w:val="0"/>
      <w:divBdr>
        <w:top w:val="none" w:sz="0" w:space="0" w:color="auto"/>
        <w:left w:val="none" w:sz="0" w:space="0" w:color="auto"/>
        <w:bottom w:val="none" w:sz="0" w:space="0" w:color="auto"/>
        <w:right w:val="none" w:sz="0" w:space="0" w:color="auto"/>
      </w:divBdr>
    </w:div>
    <w:div w:id="256669314">
      <w:bodyDiv w:val="1"/>
      <w:marLeft w:val="0"/>
      <w:marRight w:val="0"/>
      <w:marTop w:val="0"/>
      <w:marBottom w:val="0"/>
      <w:divBdr>
        <w:top w:val="none" w:sz="0" w:space="0" w:color="auto"/>
        <w:left w:val="none" w:sz="0" w:space="0" w:color="auto"/>
        <w:bottom w:val="none" w:sz="0" w:space="0" w:color="auto"/>
        <w:right w:val="none" w:sz="0" w:space="0" w:color="auto"/>
      </w:divBdr>
    </w:div>
    <w:div w:id="258414854">
      <w:bodyDiv w:val="1"/>
      <w:marLeft w:val="0"/>
      <w:marRight w:val="0"/>
      <w:marTop w:val="0"/>
      <w:marBottom w:val="0"/>
      <w:divBdr>
        <w:top w:val="none" w:sz="0" w:space="0" w:color="auto"/>
        <w:left w:val="none" w:sz="0" w:space="0" w:color="auto"/>
        <w:bottom w:val="none" w:sz="0" w:space="0" w:color="auto"/>
        <w:right w:val="none" w:sz="0" w:space="0" w:color="auto"/>
      </w:divBdr>
    </w:div>
    <w:div w:id="260451347">
      <w:bodyDiv w:val="1"/>
      <w:marLeft w:val="0"/>
      <w:marRight w:val="0"/>
      <w:marTop w:val="0"/>
      <w:marBottom w:val="0"/>
      <w:divBdr>
        <w:top w:val="none" w:sz="0" w:space="0" w:color="auto"/>
        <w:left w:val="none" w:sz="0" w:space="0" w:color="auto"/>
        <w:bottom w:val="none" w:sz="0" w:space="0" w:color="auto"/>
        <w:right w:val="none" w:sz="0" w:space="0" w:color="auto"/>
      </w:divBdr>
    </w:div>
    <w:div w:id="273949715">
      <w:bodyDiv w:val="1"/>
      <w:marLeft w:val="0"/>
      <w:marRight w:val="0"/>
      <w:marTop w:val="0"/>
      <w:marBottom w:val="0"/>
      <w:divBdr>
        <w:top w:val="none" w:sz="0" w:space="0" w:color="auto"/>
        <w:left w:val="none" w:sz="0" w:space="0" w:color="auto"/>
        <w:bottom w:val="none" w:sz="0" w:space="0" w:color="auto"/>
        <w:right w:val="none" w:sz="0" w:space="0" w:color="auto"/>
      </w:divBdr>
    </w:div>
    <w:div w:id="275259143">
      <w:bodyDiv w:val="1"/>
      <w:marLeft w:val="0"/>
      <w:marRight w:val="0"/>
      <w:marTop w:val="0"/>
      <w:marBottom w:val="0"/>
      <w:divBdr>
        <w:top w:val="none" w:sz="0" w:space="0" w:color="auto"/>
        <w:left w:val="none" w:sz="0" w:space="0" w:color="auto"/>
        <w:bottom w:val="none" w:sz="0" w:space="0" w:color="auto"/>
        <w:right w:val="none" w:sz="0" w:space="0" w:color="auto"/>
      </w:divBdr>
    </w:div>
    <w:div w:id="280116672">
      <w:bodyDiv w:val="1"/>
      <w:marLeft w:val="0"/>
      <w:marRight w:val="0"/>
      <w:marTop w:val="0"/>
      <w:marBottom w:val="0"/>
      <w:divBdr>
        <w:top w:val="none" w:sz="0" w:space="0" w:color="auto"/>
        <w:left w:val="none" w:sz="0" w:space="0" w:color="auto"/>
        <w:bottom w:val="none" w:sz="0" w:space="0" w:color="auto"/>
        <w:right w:val="none" w:sz="0" w:space="0" w:color="auto"/>
      </w:divBdr>
    </w:div>
    <w:div w:id="280765645">
      <w:bodyDiv w:val="1"/>
      <w:marLeft w:val="0"/>
      <w:marRight w:val="0"/>
      <w:marTop w:val="0"/>
      <w:marBottom w:val="0"/>
      <w:divBdr>
        <w:top w:val="none" w:sz="0" w:space="0" w:color="auto"/>
        <w:left w:val="none" w:sz="0" w:space="0" w:color="auto"/>
        <w:bottom w:val="none" w:sz="0" w:space="0" w:color="auto"/>
        <w:right w:val="none" w:sz="0" w:space="0" w:color="auto"/>
      </w:divBdr>
    </w:div>
    <w:div w:id="284773167">
      <w:bodyDiv w:val="1"/>
      <w:marLeft w:val="0"/>
      <w:marRight w:val="0"/>
      <w:marTop w:val="0"/>
      <w:marBottom w:val="0"/>
      <w:divBdr>
        <w:top w:val="none" w:sz="0" w:space="0" w:color="auto"/>
        <w:left w:val="none" w:sz="0" w:space="0" w:color="auto"/>
        <w:bottom w:val="none" w:sz="0" w:space="0" w:color="auto"/>
        <w:right w:val="none" w:sz="0" w:space="0" w:color="auto"/>
      </w:divBdr>
    </w:div>
    <w:div w:id="287050551">
      <w:bodyDiv w:val="1"/>
      <w:marLeft w:val="0"/>
      <w:marRight w:val="0"/>
      <w:marTop w:val="0"/>
      <w:marBottom w:val="0"/>
      <w:divBdr>
        <w:top w:val="none" w:sz="0" w:space="0" w:color="auto"/>
        <w:left w:val="none" w:sz="0" w:space="0" w:color="auto"/>
        <w:bottom w:val="none" w:sz="0" w:space="0" w:color="auto"/>
        <w:right w:val="none" w:sz="0" w:space="0" w:color="auto"/>
      </w:divBdr>
    </w:div>
    <w:div w:id="287976596">
      <w:bodyDiv w:val="1"/>
      <w:marLeft w:val="0"/>
      <w:marRight w:val="0"/>
      <w:marTop w:val="0"/>
      <w:marBottom w:val="0"/>
      <w:divBdr>
        <w:top w:val="none" w:sz="0" w:space="0" w:color="auto"/>
        <w:left w:val="none" w:sz="0" w:space="0" w:color="auto"/>
        <w:bottom w:val="none" w:sz="0" w:space="0" w:color="auto"/>
        <w:right w:val="none" w:sz="0" w:space="0" w:color="auto"/>
      </w:divBdr>
    </w:div>
    <w:div w:id="292172757">
      <w:bodyDiv w:val="1"/>
      <w:marLeft w:val="0"/>
      <w:marRight w:val="0"/>
      <w:marTop w:val="0"/>
      <w:marBottom w:val="0"/>
      <w:divBdr>
        <w:top w:val="none" w:sz="0" w:space="0" w:color="auto"/>
        <w:left w:val="none" w:sz="0" w:space="0" w:color="auto"/>
        <w:bottom w:val="none" w:sz="0" w:space="0" w:color="auto"/>
        <w:right w:val="none" w:sz="0" w:space="0" w:color="auto"/>
      </w:divBdr>
    </w:div>
    <w:div w:id="294719469">
      <w:bodyDiv w:val="1"/>
      <w:marLeft w:val="0"/>
      <w:marRight w:val="0"/>
      <w:marTop w:val="0"/>
      <w:marBottom w:val="0"/>
      <w:divBdr>
        <w:top w:val="none" w:sz="0" w:space="0" w:color="auto"/>
        <w:left w:val="none" w:sz="0" w:space="0" w:color="auto"/>
        <w:bottom w:val="none" w:sz="0" w:space="0" w:color="auto"/>
        <w:right w:val="none" w:sz="0" w:space="0" w:color="auto"/>
      </w:divBdr>
    </w:div>
    <w:div w:id="296111525">
      <w:bodyDiv w:val="1"/>
      <w:marLeft w:val="0"/>
      <w:marRight w:val="0"/>
      <w:marTop w:val="0"/>
      <w:marBottom w:val="0"/>
      <w:divBdr>
        <w:top w:val="none" w:sz="0" w:space="0" w:color="auto"/>
        <w:left w:val="none" w:sz="0" w:space="0" w:color="auto"/>
        <w:bottom w:val="none" w:sz="0" w:space="0" w:color="auto"/>
        <w:right w:val="none" w:sz="0" w:space="0" w:color="auto"/>
      </w:divBdr>
    </w:div>
    <w:div w:id="310524711">
      <w:bodyDiv w:val="1"/>
      <w:marLeft w:val="0"/>
      <w:marRight w:val="0"/>
      <w:marTop w:val="0"/>
      <w:marBottom w:val="0"/>
      <w:divBdr>
        <w:top w:val="none" w:sz="0" w:space="0" w:color="auto"/>
        <w:left w:val="none" w:sz="0" w:space="0" w:color="auto"/>
        <w:bottom w:val="none" w:sz="0" w:space="0" w:color="auto"/>
        <w:right w:val="none" w:sz="0" w:space="0" w:color="auto"/>
      </w:divBdr>
    </w:div>
    <w:div w:id="310716133">
      <w:bodyDiv w:val="1"/>
      <w:marLeft w:val="0"/>
      <w:marRight w:val="0"/>
      <w:marTop w:val="0"/>
      <w:marBottom w:val="0"/>
      <w:divBdr>
        <w:top w:val="none" w:sz="0" w:space="0" w:color="auto"/>
        <w:left w:val="none" w:sz="0" w:space="0" w:color="auto"/>
        <w:bottom w:val="none" w:sz="0" w:space="0" w:color="auto"/>
        <w:right w:val="none" w:sz="0" w:space="0" w:color="auto"/>
      </w:divBdr>
    </w:div>
    <w:div w:id="311177239">
      <w:bodyDiv w:val="1"/>
      <w:marLeft w:val="0"/>
      <w:marRight w:val="0"/>
      <w:marTop w:val="0"/>
      <w:marBottom w:val="0"/>
      <w:divBdr>
        <w:top w:val="none" w:sz="0" w:space="0" w:color="auto"/>
        <w:left w:val="none" w:sz="0" w:space="0" w:color="auto"/>
        <w:bottom w:val="none" w:sz="0" w:space="0" w:color="auto"/>
        <w:right w:val="none" w:sz="0" w:space="0" w:color="auto"/>
      </w:divBdr>
    </w:div>
    <w:div w:id="312682847">
      <w:bodyDiv w:val="1"/>
      <w:marLeft w:val="0"/>
      <w:marRight w:val="0"/>
      <w:marTop w:val="0"/>
      <w:marBottom w:val="0"/>
      <w:divBdr>
        <w:top w:val="none" w:sz="0" w:space="0" w:color="auto"/>
        <w:left w:val="none" w:sz="0" w:space="0" w:color="auto"/>
        <w:bottom w:val="none" w:sz="0" w:space="0" w:color="auto"/>
        <w:right w:val="none" w:sz="0" w:space="0" w:color="auto"/>
      </w:divBdr>
    </w:div>
    <w:div w:id="313801465">
      <w:bodyDiv w:val="1"/>
      <w:marLeft w:val="0"/>
      <w:marRight w:val="0"/>
      <w:marTop w:val="0"/>
      <w:marBottom w:val="0"/>
      <w:divBdr>
        <w:top w:val="none" w:sz="0" w:space="0" w:color="auto"/>
        <w:left w:val="none" w:sz="0" w:space="0" w:color="auto"/>
        <w:bottom w:val="none" w:sz="0" w:space="0" w:color="auto"/>
        <w:right w:val="none" w:sz="0" w:space="0" w:color="auto"/>
      </w:divBdr>
    </w:div>
    <w:div w:id="317078733">
      <w:bodyDiv w:val="1"/>
      <w:marLeft w:val="0"/>
      <w:marRight w:val="0"/>
      <w:marTop w:val="0"/>
      <w:marBottom w:val="0"/>
      <w:divBdr>
        <w:top w:val="none" w:sz="0" w:space="0" w:color="auto"/>
        <w:left w:val="none" w:sz="0" w:space="0" w:color="auto"/>
        <w:bottom w:val="none" w:sz="0" w:space="0" w:color="auto"/>
        <w:right w:val="none" w:sz="0" w:space="0" w:color="auto"/>
      </w:divBdr>
    </w:div>
    <w:div w:id="324020032">
      <w:bodyDiv w:val="1"/>
      <w:marLeft w:val="0"/>
      <w:marRight w:val="0"/>
      <w:marTop w:val="0"/>
      <w:marBottom w:val="0"/>
      <w:divBdr>
        <w:top w:val="none" w:sz="0" w:space="0" w:color="auto"/>
        <w:left w:val="none" w:sz="0" w:space="0" w:color="auto"/>
        <w:bottom w:val="none" w:sz="0" w:space="0" w:color="auto"/>
        <w:right w:val="none" w:sz="0" w:space="0" w:color="auto"/>
      </w:divBdr>
    </w:div>
    <w:div w:id="328100626">
      <w:bodyDiv w:val="1"/>
      <w:marLeft w:val="0"/>
      <w:marRight w:val="0"/>
      <w:marTop w:val="0"/>
      <w:marBottom w:val="0"/>
      <w:divBdr>
        <w:top w:val="none" w:sz="0" w:space="0" w:color="auto"/>
        <w:left w:val="none" w:sz="0" w:space="0" w:color="auto"/>
        <w:bottom w:val="none" w:sz="0" w:space="0" w:color="auto"/>
        <w:right w:val="none" w:sz="0" w:space="0" w:color="auto"/>
      </w:divBdr>
    </w:div>
    <w:div w:id="331877105">
      <w:bodyDiv w:val="1"/>
      <w:marLeft w:val="0"/>
      <w:marRight w:val="0"/>
      <w:marTop w:val="0"/>
      <w:marBottom w:val="0"/>
      <w:divBdr>
        <w:top w:val="none" w:sz="0" w:space="0" w:color="auto"/>
        <w:left w:val="none" w:sz="0" w:space="0" w:color="auto"/>
        <w:bottom w:val="none" w:sz="0" w:space="0" w:color="auto"/>
        <w:right w:val="none" w:sz="0" w:space="0" w:color="auto"/>
      </w:divBdr>
    </w:div>
    <w:div w:id="335889462">
      <w:bodyDiv w:val="1"/>
      <w:marLeft w:val="0"/>
      <w:marRight w:val="0"/>
      <w:marTop w:val="0"/>
      <w:marBottom w:val="0"/>
      <w:divBdr>
        <w:top w:val="none" w:sz="0" w:space="0" w:color="auto"/>
        <w:left w:val="none" w:sz="0" w:space="0" w:color="auto"/>
        <w:bottom w:val="none" w:sz="0" w:space="0" w:color="auto"/>
        <w:right w:val="none" w:sz="0" w:space="0" w:color="auto"/>
      </w:divBdr>
    </w:div>
    <w:div w:id="338583403">
      <w:bodyDiv w:val="1"/>
      <w:marLeft w:val="0"/>
      <w:marRight w:val="0"/>
      <w:marTop w:val="0"/>
      <w:marBottom w:val="0"/>
      <w:divBdr>
        <w:top w:val="none" w:sz="0" w:space="0" w:color="auto"/>
        <w:left w:val="none" w:sz="0" w:space="0" w:color="auto"/>
        <w:bottom w:val="none" w:sz="0" w:space="0" w:color="auto"/>
        <w:right w:val="none" w:sz="0" w:space="0" w:color="auto"/>
      </w:divBdr>
    </w:div>
    <w:div w:id="338700115">
      <w:bodyDiv w:val="1"/>
      <w:marLeft w:val="0"/>
      <w:marRight w:val="0"/>
      <w:marTop w:val="0"/>
      <w:marBottom w:val="0"/>
      <w:divBdr>
        <w:top w:val="none" w:sz="0" w:space="0" w:color="auto"/>
        <w:left w:val="none" w:sz="0" w:space="0" w:color="auto"/>
        <w:bottom w:val="none" w:sz="0" w:space="0" w:color="auto"/>
        <w:right w:val="none" w:sz="0" w:space="0" w:color="auto"/>
      </w:divBdr>
    </w:div>
    <w:div w:id="339354516">
      <w:bodyDiv w:val="1"/>
      <w:marLeft w:val="0"/>
      <w:marRight w:val="0"/>
      <w:marTop w:val="0"/>
      <w:marBottom w:val="0"/>
      <w:divBdr>
        <w:top w:val="none" w:sz="0" w:space="0" w:color="auto"/>
        <w:left w:val="none" w:sz="0" w:space="0" w:color="auto"/>
        <w:bottom w:val="none" w:sz="0" w:space="0" w:color="auto"/>
        <w:right w:val="none" w:sz="0" w:space="0" w:color="auto"/>
      </w:divBdr>
    </w:div>
    <w:div w:id="341930253">
      <w:bodyDiv w:val="1"/>
      <w:marLeft w:val="0"/>
      <w:marRight w:val="0"/>
      <w:marTop w:val="0"/>
      <w:marBottom w:val="0"/>
      <w:divBdr>
        <w:top w:val="none" w:sz="0" w:space="0" w:color="auto"/>
        <w:left w:val="none" w:sz="0" w:space="0" w:color="auto"/>
        <w:bottom w:val="none" w:sz="0" w:space="0" w:color="auto"/>
        <w:right w:val="none" w:sz="0" w:space="0" w:color="auto"/>
      </w:divBdr>
    </w:div>
    <w:div w:id="347366206">
      <w:bodyDiv w:val="1"/>
      <w:marLeft w:val="0"/>
      <w:marRight w:val="0"/>
      <w:marTop w:val="0"/>
      <w:marBottom w:val="0"/>
      <w:divBdr>
        <w:top w:val="none" w:sz="0" w:space="0" w:color="auto"/>
        <w:left w:val="none" w:sz="0" w:space="0" w:color="auto"/>
        <w:bottom w:val="none" w:sz="0" w:space="0" w:color="auto"/>
        <w:right w:val="none" w:sz="0" w:space="0" w:color="auto"/>
      </w:divBdr>
    </w:div>
    <w:div w:id="349916485">
      <w:bodyDiv w:val="1"/>
      <w:marLeft w:val="0"/>
      <w:marRight w:val="0"/>
      <w:marTop w:val="0"/>
      <w:marBottom w:val="0"/>
      <w:divBdr>
        <w:top w:val="none" w:sz="0" w:space="0" w:color="auto"/>
        <w:left w:val="none" w:sz="0" w:space="0" w:color="auto"/>
        <w:bottom w:val="none" w:sz="0" w:space="0" w:color="auto"/>
        <w:right w:val="none" w:sz="0" w:space="0" w:color="auto"/>
      </w:divBdr>
    </w:div>
    <w:div w:id="352734179">
      <w:bodyDiv w:val="1"/>
      <w:marLeft w:val="0"/>
      <w:marRight w:val="0"/>
      <w:marTop w:val="0"/>
      <w:marBottom w:val="0"/>
      <w:divBdr>
        <w:top w:val="none" w:sz="0" w:space="0" w:color="auto"/>
        <w:left w:val="none" w:sz="0" w:space="0" w:color="auto"/>
        <w:bottom w:val="none" w:sz="0" w:space="0" w:color="auto"/>
        <w:right w:val="none" w:sz="0" w:space="0" w:color="auto"/>
      </w:divBdr>
    </w:div>
    <w:div w:id="353456469">
      <w:bodyDiv w:val="1"/>
      <w:marLeft w:val="0"/>
      <w:marRight w:val="0"/>
      <w:marTop w:val="0"/>
      <w:marBottom w:val="0"/>
      <w:divBdr>
        <w:top w:val="none" w:sz="0" w:space="0" w:color="auto"/>
        <w:left w:val="none" w:sz="0" w:space="0" w:color="auto"/>
        <w:bottom w:val="none" w:sz="0" w:space="0" w:color="auto"/>
        <w:right w:val="none" w:sz="0" w:space="0" w:color="auto"/>
      </w:divBdr>
    </w:div>
    <w:div w:id="354771278">
      <w:bodyDiv w:val="1"/>
      <w:marLeft w:val="0"/>
      <w:marRight w:val="0"/>
      <w:marTop w:val="0"/>
      <w:marBottom w:val="0"/>
      <w:divBdr>
        <w:top w:val="none" w:sz="0" w:space="0" w:color="auto"/>
        <w:left w:val="none" w:sz="0" w:space="0" w:color="auto"/>
        <w:bottom w:val="none" w:sz="0" w:space="0" w:color="auto"/>
        <w:right w:val="none" w:sz="0" w:space="0" w:color="auto"/>
      </w:divBdr>
    </w:div>
    <w:div w:id="360206263">
      <w:bodyDiv w:val="1"/>
      <w:marLeft w:val="0"/>
      <w:marRight w:val="0"/>
      <w:marTop w:val="0"/>
      <w:marBottom w:val="0"/>
      <w:divBdr>
        <w:top w:val="none" w:sz="0" w:space="0" w:color="auto"/>
        <w:left w:val="none" w:sz="0" w:space="0" w:color="auto"/>
        <w:bottom w:val="none" w:sz="0" w:space="0" w:color="auto"/>
        <w:right w:val="none" w:sz="0" w:space="0" w:color="auto"/>
      </w:divBdr>
    </w:div>
    <w:div w:id="361053963">
      <w:bodyDiv w:val="1"/>
      <w:marLeft w:val="0"/>
      <w:marRight w:val="0"/>
      <w:marTop w:val="0"/>
      <w:marBottom w:val="0"/>
      <w:divBdr>
        <w:top w:val="none" w:sz="0" w:space="0" w:color="auto"/>
        <w:left w:val="none" w:sz="0" w:space="0" w:color="auto"/>
        <w:bottom w:val="none" w:sz="0" w:space="0" w:color="auto"/>
        <w:right w:val="none" w:sz="0" w:space="0" w:color="auto"/>
      </w:divBdr>
    </w:div>
    <w:div w:id="361173801">
      <w:bodyDiv w:val="1"/>
      <w:marLeft w:val="0"/>
      <w:marRight w:val="0"/>
      <w:marTop w:val="0"/>
      <w:marBottom w:val="0"/>
      <w:divBdr>
        <w:top w:val="none" w:sz="0" w:space="0" w:color="auto"/>
        <w:left w:val="none" w:sz="0" w:space="0" w:color="auto"/>
        <w:bottom w:val="none" w:sz="0" w:space="0" w:color="auto"/>
        <w:right w:val="none" w:sz="0" w:space="0" w:color="auto"/>
      </w:divBdr>
    </w:div>
    <w:div w:id="363822225">
      <w:bodyDiv w:val="1"/>
      <w:marLeft w:val="0"/>
      <w:marRight w:val="0"/>
      <w:marTop w:val="0"/>
      <w:marBottom w:val="0"/>
      <w:divBdr>
        <w:top w:val="none" w:sz="0" w:space="0" w:color="auto"/>
        <w:left w:val="none" w:sz="0" w:space="0" w:color="auto"/>
        <w:bottom w:val="none" w:sz="0" w:space="0" w:color="auto"/>
        <w:right w:val="none" w:sz="0" w:space="0" w:color="auto"/>
      </w:divBdr>
    </w:div>
    <w:div w:id="374352455">
      <w:bodyDiv w:val="1"/>
      <w:marLeft w:val="0"/>
      <w:marRight w:val="0"/>
      <w:marTop w:val="0"/>
      <w:marBottom w:val="0"/>
      <w:divBdr>
        <w:top w:val="none" w:sz="0" w:space="0" w:color="auto"/>
        <w:left w:val="none" w:sz="0" w:space="0" w:color="auto"/>
        <w:bottom w:val="none" w:sz="0" w:space="0" w:color="auto"/>
        <w:right w:val="none" w:sz="0" w:space="0" w:color="auto"/>
      </w:divBdr>
    </w:div>
    <w:div w:id="375277977">
      <w:bodyDiv w:val="1"/>
      <w:marLeft w:val="0"/>
      <w:marRight w:val="0"/>
      <w:marTop w:val="0"/>
      <w:marBottom w:val="0"/>
      <w:divBdr>
        <w:top w:val="none" w:sz="0" w:space="0" w:color="auto"/>
        <w:left w:val="none" w:sz="0" w:space="0" w:color="auto"/>
        <w:bottom w:val="none" w:sz="0" w:space="0" w:color="auto"/>
        <w:right w:val="none" w:sz="0" w:space="0" w:color="auto"/>
      </w:divBdr>
    </w:div>
    <w:div w:id="378750337">
      <w:bodyDiv w:val="1"/>
      <w:marLeft w:val="0"/>
      <w:marRight w:val="0"/>
      <w:marTop w:val="0"/>
      <w:marBottom w:val="0"/>
      <w:divBdr>
        <w:top w:val="none" w:sz="0" w:space="0" w:color="auto"/>
        <w:left w:val="none" w:sz="0" w:space="0" w:color="auto"/>
        <w:bottom w:val="none" w:sz="0" w:space="0" w:color="auto"/>
        <w:right w:val="none" w:sz="0" w:space="0" w:color="auto"/>
      </w:divBdr>
    </w:div>
    <w:div w:id="382869162">
      <w:bodyDiv w:val="1"/>
      <w:marLeft w:val="0"/>
      <w:marRight w:val="0"/>
      <w:marTop w:val="0"/>
      <w:marBottom w:val="0"/>
      <w:divBdr>
        <w:top w:val="none" w:sz="0" w:space="0" w:color="auto"/>
        <w:left w:val="none" w:sz="0" w:space="0" w:color="auto"/>
        <w:bottom w:val="none" w:sz="0" w:space="0" w:color="auto"/>
        <w:right w:val="none" w:sz="0" w:space="0" w:color="auto"/>
      </w:divBdr>
    </w:div>
    <w:div w:id="384717010">
      <w:bodyDiv w:val="1"/>
      <w:marLeft w:val="0"/>
      <w:marRight w:val="0"/>
      <w:marTop w:val="0"/>
      <w:marBottom w:val="0"/>
      <w:divBdr>
        <w:top w:val="none" w:sz="0" w:space="0" w:color="auto"/>
        <w:left w:val="none" w:sz="0" w:space="0" w:color="auto"/>
        <w:bottom w:val="none" w:sz="0" w:space="0" w:color="auto"/>
        <w:right w:val="none" w:sz="0" w:space="0" w:color="auto"/>
      </w:divBdr>
    </w:div>
    <w:div w:id="386563416">
      <w:bodyDiv w:val="1"/>
      <w:marLeft w:val="0"/>
      <w:marRight w:val="0"/>
      <w:marTop w:val="0"/>
      <w:marBottom w:val="0"/>
      <w:divBdr>
        <w:top w:val="none" w:sz="0" w:space="0" w:color="auto"/>
        <w:left w:val="none" w:sz="0" w:space="0" w:color="auto"/>
        <w:bottom w:val="none" w:sz="0" w:space="0" w:color="auto"/>
        <w:right w:val="none" w:sz="0" w:space="0" w:color="auto"/>
      </w:divBdr>
    </w:div>
    <w:div w:id="388311359">
      <w:bodyDiv w:val="1"/>
      <w:marLeft w:val="0"/>
      <w:marRight w:val="0"/>
      <w:marTop w:val="0"/>
      <w:marBottom w:val="0"/>
      <w:divBdr>
        <w:top w:val="none" w:sz="0" w:space="0" w:color="auto"/>
        <w:left w:val="none" w:sz="0" w:space="0" w:color="auto"/>
        <w:bottom w:val="none" w:sz="0" w:space="0" w:color="auto"/>
        <w:right w:val="none" w:sz="0" w:space="0" w:color="auto"/>
      </w:divBdr>
    </w:div>
    <w:div w:id="390159528">
      <w:bodyDiv w:val="1"/>
      <w:marLeft w:val="0"/>
      <w:marRight w:val="0"/>
      <w:marTop w:val="0"/>
      <w:marBottom w:val="0"/>
      <w:divBdr>
        <w:top w:val="none" w:sz="0" w:space="0" w:color="auto"/>
        <w:left w:val="none" w:sz="0" w:space="0" w:color="auto"/>
        <w:bottom w:val="none" w:sz="0" w:space="0" w:color="auto"/>
        <w:right w:val="none" w:sz="0" w:space="0" w:color="auto"/>
      </w:divBdr>
    </w:div>
    <w:div w:id="392315346">
      <w:bodyDiv w:val="1"/>
      <w:marLeft w:val="0"/>
      <w:marRight w:val="0"/>
      <w:marTop w:val="0"/>
      <w:marBottom w:val="0"/>
      <w:divBdr>
        <w:top w:val="none" w:sz="0" w:space="0" w:color="auto"/>
        <w:left w:val="none" w:sz="0" w:space="0" w:color="auto"/>
        <w:bottom w:val="none" w:sz="0" w:space="0" w:color="auto"/>
        <w:right w:val="none" w:sz="0" w:space="0" w:color="auto"/>
      </w:divBdr>
    </w:div>
    <w:div w:id="392392565">
      <w:bodyDiv w:val="1"/>
      <w:marLeft w:val="0"/>
      <w:marRight w:val="0"/>
      <w:marTop w:val="0"/>
      <w:marBottom w:val="0"/>
      <w:divBdr>
        <w:top w:val="none" w:sz="0" w:space="0" w:color="auto"/>
        <w:left w:val="none" w:sz="0" w:space="0" w:color="auto"/>
        <w:bottom w:val="none" w:sz="0" w:space="0" w:color="auto"/>
        <w:right w:val="none" w:sz="0" w:space="0" w:color="auto"/>
      </w:divBdr>
    </w:div>
    <w:div w:id="397948314">
      <w:bodyDiv w:val="1"/>
      <w:marLeft w:val="0"/>
      <w:marRight w:val="0"/>
      <w:marTop w:val="0"/>
      <w:marBottom w:val="0"/>
      <w:divBdr>
        <w:top w:val="none" w:sz="0" w:space="0" w:color="auto"/>
        <w:left w:val="none" w:sz="0" w:space="0" w:color="auto"/>
        <w:bottom w:val="none" w:sz="0" w:space="0" w:color="auto"/>
        <w:right w:val="none" w:sz="0" w:space="0" w:color="auto"/>
      </w:divBdr>
    </w:div>
    <w:div w:id="402527341">
      <w:bodyDiv w:val="1"/>
      <w:marLeft w:val="0"/>
      <w:marRight w:val="0"/>
      <w:marTop w:val="0"/>
      <w:marBottom w:val="0"/>
      <w:divBdr>
        <w:top w:val="none" w:sz="0" w:space="0" w:color="auto"/>
        <w:left w:val="none" w:sz="0" w:space="0" w:color="auto"/>
        <w:bottom w:val="none" w:sz="0" w:space="0" w:color="auto"/>
        <w:right w:val="none" w:sz="0" w:space="0" w:color="auto"/>
      </w:divBdr>
    </w:div>
    <w:div w:id="405879838">
      <w:bodyDiv w:val="1"/>
      <w:marLeft w:val="0"/>
      <w:marRight w:val="0"/>
      <w:marTop w:val="0"/>
      <w:marBottom w:val="0"/>
      <w:divBdr>
        <w:top w:val="none" w:sz="0" w:space="0" w:color="auto"/>
        <w:left w:val="none" w:sz="0" w:space="0" w:color="auto"/>
        <w:bottom w:val="none" w:sz="0" w:space="0" w:color="auto"/>
        <w:right w:val="none" w:sz="0" w:space="0" w:color="auto"/>
      </w:divBdr>
    </w:div>
    <w:div w:id="407968995">
      <w:bodyDiv w:val="1"/>
      <w:marLeft w:val="0"/>
      <w:marRight w:val="0"/>
      <w:marTop w:val="0"/>
      <w:marBottom w:val="0"/>
      <w:divBdr>
        <w:top w:val="none" w:sz="0" w:space="0" w:color="auto"/>
        <w:left w:val="none" w:sz="0" w:space="0" w:color="auto"/>
        <w:bottom w:val="none" w:sz="0" w:space="0" w:color="auto"/>
        <w:right w:val="none" w:sz="0" w:space="0" w:color="auto"/>
      </w:divBdr>
    </w:div>
    <w:div w:id="422919371">
      <w:bodyDiv w:val="1"/>
      <w:marLeft w:val="0"/>
      <w:marRight w:val="0"/>
      <w:marTop w:val="0"/>
      <w:marBottom w:val="0"/>
      <w:divBdr>
        <w:top w:val="none" w:sz="0" w:space="0" w:color="auto"/>
        <w:left w:val="none" w:sz="0" w:space="0" w:color="auto"/>
        <w:bottom w:val="none" w:sz="0" w:space="0" w:color="auto"/>
        <w:right w:val="none" w:sz="0" w:space="0" w:color="auto"/>
      </w:divBdr>
    </w:div>
    <w:div w:id="425350588">
      <w:bodyDiv w:val="1"/>
      <w:marLeft w:val="0"/>
      <w:marRight w:val="0"/>
      <w:marTop w:val="0"/>
      <w:marBottom w:val="0"/>
      <w:divBdr>
        <w:top w:val="none" w:sz="0" w:space="0" w:color="auto"/>
        <w:left w:val="none" w:sz="0" w:space="0" w:color="auto"/>
        <w:bottom w:val="none" w:sz="0" w:space="0" w:color="auto"/>
        <w:right w:val="none" w:sz="0" w:space="0" w:color="auto"/>
      </w:divBdr>
    </w:div>
    <w:div w:id="428476657">
      <w:bodyDiv w:val="1"/>
      <w:marLeft w:val="0"/>
      <w:marRight w:val="0"/>
      <w:marTop w:val="0"/>
      <w:marBottom w:val="0"/>
      <w:divBdr>
        <w:top w:val="none" w:sz="0" w:space="0" w:color="auto"/>
        <w:left w:val="none" w:sz="0" w:space="0" w:color="auto"/>
        <w:bottom w:val="none" w:sz="0" w:space="0" w:color="auto"/>
        <w:right w:val="none" w:sz="0" w:space="0" w:color="auto"/>
      </w:divBdr>
    </w:div>
    <w:div w:id="430123471">
      <w:bodyDiv w:val="1"/>
      <w:marLeft w:val="0"/>
      <w:marRight w:val="0"/>
      <w:marTop w:val="0"/>
      <w:marBottom w:val="0"/>
      <w:divBdr>
        <w:top w:val="none" w:sz="0" w:space="0" w:color="auto"/>
        <w:left w:val="none" w:sz="0" w:space="0" w:color="auto"/>
        <w:bottom w:val="none" w:sz="0" w:space="0" w:color="auto"/>
        <w:right w:val="none" w:sz="0" w:space="0" w:color="auto"/>
      </w:divBdr>
    </w:div>
    <w:div w:id="432095504">
      <w:bodyDiv w:val="1"/>
      <w:marLeft w:val="0"/>
      <w:marRight w:val="0"/>
      <w:marTop w:val="0"/>
      <w:marBottom w:val="0"/>
      <w:divBdr>
        <w:top w:val="none" w:sz="0" w:space="0" w:color="auto"/>
        <w:left w:val="none" w:sz="0" w:space="0" w:color="auto"/>
        <w:bottom w:val="none" w:sz="0" w:space="0" w:color="auto"/>
        <w:right w:val="none" w:sz="0" w:space="0" w:color="auto"/>
      </w:divBdr>
    </w:div>
    <w:div w:id="439029182">
      <w:bodyDiv w:val="1"/>
      <w:marLeft w:val="0"/>
      <w:marRight w:val="0"/>
      <w:marTop w:val="0"/>
      <w:marBottom w:val="0"/>
      <w:divBdr>
        <w:top w:val="none" w:sz="0" w:space="0" w:color="auto"/>
        <w:left w:val="none" w:sz="0" w:space="0" w:color="auto"/>
        <w:bottom w:val="none" w:sz="0" w:space="0" w:color="auto"/>
        <w:right w:val="none" w:sz="0" w:space="0" w:color="auto"/>
      </w:divBdr>
    </w:div>
    <w:div w:id="442921287">
      <w:bodyDiv w:val="1"/>
      <w:marLeft w:val="0"/>
      <w:marRight w:val="0"/>
      <w:marTop w:val="0"/>
      <w:marBottom w:val="0"/>
      <w:divBdr>
        <w:top w:val="none" w:sz="0" w:space="0" w:color="auto"/>
        <w:left w:val="none" w:sz="0" w:space="0" w:color="auto"/>
        <w:bottom w:val="none" w:sz="0" w:space="0" w:color="auto"/>
        <w:right w:val="none" w:sz="0" w:space="0" w:color="auto"/>
      </w:divBdr>
    </w:div>
    <w:div w:id="442921621">
      <w:bodyDiv w:val="1"/>
      <w:marLeft w:val="0"/>
      <w:marRight w:val="0"/>
      <w:marTop w:val="0"/>
      <w:marBottom w:val="0"/>
      <w:divBdr>
        <w:top w:val="none" w:sz="0" w:space="0" w:color="auto"/>
        <w:left w:val="none" w:sz="0" w:space="0" w:color="auto"/>
        <w:bottom w:val="none" w:sz="0" w:space="0" w:color="auto"/>
        <w:right w:val="none" w:sz="0" w:space="0" w:color="auto"/>
      </w:divBdr>
    </w:div>
    <w:div w:id="447041447">
      <w:bodyDiv w:val="1"/>
      <w:marLeft w:val="0"/>
      <w:marRight w:val="0"/>
      <w:marTop w:val="0"/>
      <w:marBottom w:val="0"/>
      <w:divBdr>
        <w:top w:val="none" w:sz="0" w:space="0" w:color="auto"/>
        <w:left w:val="none" w:sz="0" w:space="0" w:color="auto"/>
        <w:bottom w:val="none" w:sz="0" w:space="0" w:color="auto"/>
        <w:right w:val="none" w:sz="0" w:space="0" w:color="auto"/>
      </w:divBdr>
    </w:div>
    <w:div w:id="451243998">
      <w:bodyDiv w:val="1"/>
      <w:marLeft w:val="0"/>
      <w:marRight w:val="0"/>
      <w:marTop w:val="0"/>
      <w:marBottom w:val="0"/>
      <w:divBdr>
        <w:top w:val="none" w:sz="0" w:space="0" w:color="auto"/>
        <w:left w:val="none" w:sz="0" w:space="0" w:color="auto"/>
        <w:bottom w:val="none" w:sz="0" w:space="0" w:color="auto"/>
        <w:right w:val="none" w:sz="0" w:space="0" w:color="auto"/>
      </w:divBdr>
    </w:div>
    <w:div w:id="451821892">
      <w:bodyDiv w:val="1"/>
      <w:marLeft w:val="0"/>
      <w:marRight w:val="0"/>
      <w:marTop w:val="0"/>
      <w:marBottom w:val="0"/>
      <w:divBdr>
        <w:top w:val="none" w:sz="0" w:space="0" w:color="auto"/>
        <w:left w:val="none" w:sz="0" w:space="0" w:color="auto"/>
        <w:bottom w:val="none" w:sz="0" w:space="0" w:color="auto"/>
        <w:right w:val="none" w:sz="0" w:space="0" w:color="auto"/>
      </w:divBdr>
    </w:div>
    <w:div w:id="457071086">
      <w:bodyDiv w:val="1"/>
      <w:marLeft w:val="0"/>
      <w:marRight w:val="0"/>
      <w:marTop w:val="0"/>
      <w:marBottom w:val="0"/>
      <w:divBdr>
        <w:top w:val="none" w:sz="0" w:space="0" w:color="auto"/>
        <w:left w:val="none" w:sz="0" w:space="0" w:color="auto"/>
        <w:bottom w:val="none" w:sz="0" w:space="0" w:color="auto"/>
        <w:right w:val="none" w:sz="0" w:space="0" w:color="auto"/>
      </w:divBdr>
    </w:div>
    <w:div w:id="457266276">
      <w:bodyDiv w:val="1"/>
      <w:marLeft w:val="0"/>
      <w:marRight w:val="0"/>
      <w:marTop w:val="0"/>
      <w:marBottom w:val="0"/>
      <w:divBdr>
        <w:top w:val="none" w:sz="0" w:space="0" w:color="auto"/>
        <w:left w:val="none" w:sz="0" w:space="0" w:color="auto"/>
        <w:bottom w:val="none" w:sz="0" w:space="0" w:color="auto"/>
        <w:right w:val="none" w:sz="0" w:space="0" w:color="auto"/>
      </w:divBdr>
    </w:div>
    <w:div w:id="458452421">
      <w:bodyDiv w:val="1"/>
      <w:marLeft w:val="0"/>
      <w:marRight w:val="0"/>
      <w:marTop w:val="0"/>
      <w:marBottom w:val="0"/>
      <w:divBdr>
        <w:top w:val="none" w:sz="0" w:space="0" w:color="auto"/>
        <w:left w:val="none" w:sz="0" w:space="0" w:color="auto"/>
        <w:bottom w:val="none" w:sz="0" w:space="0" w:color="auto"/>
        <w:right w:val="none" w:sz="0" w:space="0" w:color="auto"/>
      </w:divBdr>
    </w:div>
    <w:div w:id="463044495">
      <w:bodyDiv w:val="1"/>
      <w:marLeft w:val="0"/>
      <w:marRight w:val="0"/>
      <w:marTop w:val="0"/>
      <w:marBottom w:val="0"/>
      <w:divBdr>
        <w:top w:val="none" w:sz="0" w:space="0" w:color="auto"/>
        <w:left w:val="none" w:sz="0" w:space="0" w:color="auto"/>
        <w:bottom w:val="none" w:sz="0" w:space="0" w:color="auto"/>
        <w:right w:val="none" w:sz="0" w:space="0" w:color="auto"/>
      </w:divBdr>
    </w:div>
    <w:div w:id="463236188">
      <w:bodyDiv w:val="1"/>
      <w:marLeft w:val="0"/>
      <w:marRight w:val="0"/>
      <w:marTop w:val="0"/>
      <w:marBottom w:val="0"/>
      <w:divBdr>
        <w:top w:val="none" w:sz="0" w:space="0" w:color="auto"/>
        <w:left w:val="none" w:sz="0" w:space="0" w:color="auto"/>
        <w:bottom w:val="none" w:sz="0" w:space="0" w:color="auto"/>
        <w:right w:val="none" w:sz="0" w:space="0" w:color="auto"/>
      </w:divBdr>
    </w:div>
    <w:div w:id="465853737">
      <w:bodyDiv w:val="1"/>
      <w:marLeft w:val="0"/>
      <w:marRight w:val="0"/>
      <w:marTop w:val="0"/>
      <w:marBottom w:val="0"/>
      <w:divBdr>
        <w:top w:val="none" w:sz="0" w:space="0" w:color="auto"/>
        <w:left w:val="none" w:sz="0" w:space="0" w:color="auto"/>
        <w:bottom w:val="none" w:sz="0" w:space="0" w:color="auto"/>
        <w:right w:val="none" w:sz="0" w:space="0" w:color="auto"/>
      </w:divBdr>
    </w:div>
    <w:div w:id="472480038">
      <w:bodyDiv w:val="1"/>
      <w:marLeft w:val="0"/>
      <w:marRight w:val="0"/>
      <w:marTop w:val="0"/>
      <w:marBottom w:val="0"/>
      <w:divBdr>
        <w:top w:val="none" w:sz="0" w:space="0" w:color="auto"/>
        <w:left w:val="none" w:sz="0" w:space="0" w:color="auto"/>
        <w:bottom w:val="none" w:sz="0" w:space="0" w:color="auto"/>
        <w:right w:val="none" w:sz="0" w:space="0" w:color="auto"/>
      </w:divBdr>
    </w:div>
    <w:div w:id="472793346">
      <w:bodyDiv w:val="1"/>
      <w:marLeft w:val="0"/>
      <w:marRight w:val="0"/>
      <w:marTop w:val="0"/>
      <w:marBottom w:val="0"/>
      <w:divBdr>
        <w:top w:val="none" w:sz="0" w:space="0" w:color="auto"/>
        <w:left w:val="none" w:sz="0" w:space="0" w:color="auto"/>
        <w:bottom w:val="none" w:sz="0" w:space="0" w:color="auto"/>
        <w:right w:val="none" w:sz="0" w:space="0" w:color="auto"/>
      </w:divBdr>
    </w:div>
    <w:div w:id="498424496">
      <w:bodyDiv w:val="1"/>
      <w:marLeft w:val="0"/>
      <w:marRight w:val="0"/>
      <w:marTop w:val="0"/>
      <w:marBottom w:val="0"/>
      <w:divBdr>
        <w:top w:val="none" w:sz="0" w:space="0" w:color="auto"/>
        <w:left w:val="none" w:sz="0" w:space="0" w:color="auto"/>
        <w:bottom w:val="none" w:sz="0" w:space="0" w:color="auto"/>
        <w:right w:val="none" w:sz="0" w:space="0" w:color="auto"/>
      </w:divBdr>
    </w:div>
    <w:div w:id="503206926">
      <w:bodyDiv w:val="1"/>
      <w:marLeft w:val="0"/>
      <w:marRight w:val="0"/>
      <w:marTop w:val="0"/>
      <w:marBottom w:val="0"/>
      <w:divBdr>
        <w:top w:val="none" w:sz="0" w:space="0" w:color="auto"/>
        <w:left w:val="none" w:sz="0" w:space="0" w:color="auto"/>
        <w:bottom w:val="none" w:sz="0" w:space="0" w:color="auto"/>
        <w:right w:val="none" w:sz="0" w:space="0" w:color="auto"/>
      </w:divBdr>
    </w:div>
    <w:div w:id="503320999">
      <w:bodyDiv w:val="1"/>
      <w:marLeft w:val="0"/>
      <w:marRight w:val="0"/>
      <w:marTop w:val="0"/>
      <w:marBottom w:val="0"/>
      <w:divBdr>
        <w:top w:val="none" w:sz="0" w:space="0" w:color="auto"/>
        <w:left w:val="none" w:sz="0" w:space="0" w:color="auto"/>
        <w:bottom w:val="none" w:sz="0" w:space="0" w:color="auto"/>
        <w:right w:val="none" w:sz="0" w:space="0" w:color="auto"/>
      </w:divBdr>
    </w:div>
    <w:div w:id="506680479">
      <w:bodyDiv w:val="1"/>
      <w:marLeft w:val="0"/>
      <w:marRight w:val="0"/>
      <w:marTop w:val="0"/>
      <w:marBottom w:val="0"/>
      <w:divBdr>
        <w:top w:val="none" w:sz="0" w:space="0" w:color="auto"/>
        <w:left w:val="none" w:sz="0" w:space="0" w:color="auto"/>
        <w:bottom w:val="none" w:sz="0" w:space="0" w:color="auto"/>
        <w:right w:val="none" w:sz="0" w:space="0" w:color="auto"/>
      </w:divBdr>
    </w:div>
    <w:div w:id="507407817">
      <w:bodyDiv w:val="1"/>
      <w:marLeft w:val="0"/>
      <w:marRight w:val="0"/>
      <w:marTop w:val="0"/>
      <w:marBottom w:val="0"/>
      <w:divBdr>
        <w:top w:val="none" w:sz="0" w:space="0" w:color="auto"/>
        <w:left w:val="none" w:sz="0" w:space="0" w:color="auto"/>
        <w:bottom w:val="none" w:sz="0" w:space="0" w:color="auto"/>
        <w:right w:val="none" w:sz="0" w:space="0" w:color="auto"/>
      </w:divBdr>
    </w:div>
    <w:div w:id="511141455">
      <w:bodyDiv w:val="1"/>
      <w:marLeft w:val="0"/>
      <w:marRight w:val="0"/>
      <w:marTop w:val="0"/>
      <w:marBottom w:val="0"/>
      <w:divBdr>
        <w:top w:val="none" w:sz="0" w:space="0" w:color="auto"/>
        <w:left w:val="none" w:sz="0" w:space="0" w:color="auto"/>
        <w:bottom w:val="none" w:sz="0" w:space="0" w:color="auto"/>
        <w:right w:val="none" w:sz="0" w:space="0" w:color="auto"/>
      </w:divBdr>
    </w:div>
    <w:div w:id="512233448">
      <w:bodyDiv w:val="1"/>
      <w:marLeft w:val="0"/>
      <w:marRight w:val="0"/>
      <w:marTop w:val="0"/>
      <w:marBottom w:val="0"/>
      <w:divBdr>
        <w:top w:val="none" w:sz="0" w:space="0" w:color="auto"/>
        <w:left w:val="none" w:sz="0" w:space="0" w:color="auto"/>
        <w:bottom w:val="none" w:sz="0" w:space="0" w:color="auto"/>
        <w:right w:val="none" w:sz="0" w:space="0" w:color="auto"/>
      </w:divBdr>
    </w:div>
    <w:div w:id="512262051">
      <w:bodyDiv w:val="1"/>
      <w:marLeft w:val="0"/>
      <w:marRight w:val="0"/>
      <w:marTop w:val="0"/>
      <w:marBottom w:val="0"/>
      <w:divBdr>
        <w:top w:val="none" w:sz="0" w:space="0" w:color="auto"/>
        <w:left w:val="none" w:sz="0" w:space="0" w:color="auto"/>
        <w:bottom w:val="none" w:sz="0" w:space="0" w:color="auto"/>
        <w:right w:val="none" w:sz="0" w:space="0" w:color="auto"/>
      </w:divBdr>
    </w:div>
    <w:div w:id="513347672">
      <w:bodyDiv w:val="1"/>
      <w:marLeft w:val="0"/>
      <w:marRight w:val="0"/>
      <w:marTop w:val="0"/>
      <w:marBottom w:val="0"/>
      <w:divBdr>
        <w:top w:val="none" w:sz="0" w:space="0" w:color="auto"/>
        <w:left w:val="none" w:sz="0" w:space="0" w:color="auto"/>
        <w:bottom w:val="none" w:sz="0" w:space="0" w:color="auto"/>
        <w:right w:val="none" w:sz="0" w:space="0" w:color="auto"/>
      </w:divBdr>
    </w:div>
    <w:div w:id="515458611">
      <w:bodyDiv w:val="1"/>
      <w:marLeft w:val="0"/>
      <w:marRight w:val="0"/>
      <w:marTop w:val="0"/>
      <w:marBottom w:val="0"/>
      <w:divBdr>
        <w:top w:val="none" w:sz="0" w:space="0" w:color="auto"/>
        <w:left w:val="none" w:sz="0" w:space="0" w:color="auto"/>
        <w:bottom w:val="none" w:sz="0" w:space="0" w:color="auto"/>
        <w:right w:val="none" w:sz="0" w:space="0" w:color="auto"/>
      </w:divBdr>
    </w:div>
    <w:div w:id="515969025">
      <w:bodyDiv w:val="1"/>
      <w:marLeft w:val="0"/>
      <w:marRight w:val="0"/>
      <w:marTop w:val="0"/>
      <w:marBottom w:val="0"/>
      <w:divBdr>
        <w:top w:val="none" w:sz="0" w:space="0" w:color="auto"/>
        <w:left w:val="none" w:sz="0" w:space="0" w:color="auto"/>
        <w:bottom w:val="none" w:sz="0" w:space="0" w:color="auto"/>
        <w:right w:val="none" w:sz="0" w:space="0" w:color="auto"/>
      </w:divBdr>
    </w:div>
    <w:div w:id="516819430">
      <w:bodyDiv w:val="1"/>
      <w:marLeft w:val="0"/>
      <w:marRight w:val="0"/>
      <w:marTop w:val="0"/>
      <w:marBottom w:val="0"/>
      <w:divBdr>
        <w:top w:val="none" w:sz="0" w:space="0" w:color="auto"/>
        <w:left w:val="none" w:sz="0" w:space="0" w:color="auto"/>
        <w:bottom w:val="none" w:sz="0" w:space="0" w:color="auto"/>
        <w:right w:val="none" w:sz="0" w:space="0" w:color="auto"/>
      </w:divBdr>
    </w:div>
    <w:div w:id="518158157">
      <w:bodyDiv w:val="1"/>
      <w:marLeft w:val="0"/>
      <w:marRight w:val="0"/>
      <w:marTop w:val="0"/>
      <w:marBottom w:val="0"/>
      <w:divBdr>
        <w:top w:val="none" w:sz="0" w:space="0" w:color="auto"/>
        <w:left w:val="none" w:sz="0" w:space="0" w:color="auto"/>
        <w:bottom w:val="none" w:sz="0" w:space="0" w:color="auto"/>
        <w:right w:val="none" w:sz="0" w:space="0" w:color="auto"/>
      </w:divBdr>
    </w:div>
    <w:div w:id="524557484">
      <w:bodyDiv w:val="1"/>
      <w:marLeft w:val="0"/>
      <w:marRight w:val="0"/>
      <w:marTop w:val="0"/>
      <w:marBottom w:val="0"/>
      <w:divBdr>
        <w:top w:val="none" w:sz="0" w:space="0" w:color="auto"/>
        <w:left w:val="none" w:sz="0" w:space="0" w:color="auto"/>
        <w:bottom w:val="none" w:sz="0" w:space="0" w:color="auto"/>
        <w:right w:val="none" w:sz="0" w:space="0" w:color="auto"/>
      </w:divBdr>
    </w:div>
    <w:div w:id="531574375">
      <w:bodyDiv w:val="1"/>
      <w:marLeft w:val="0"/>
      <w:marRight w:val="0"/>
      <w:marTop w:val="0"/>
      <w:marBottom w:val="0"/>
      <w:divBdr>
        <w:top w:val="none" w:sz="0" w:space="0" w:color="auto"/>
        <w:left w:val="none" w:sz="0" w:space="0" w:color="auto"/>
        <w:bottom w:val="none" w:sz="0" w:space="0" w:color="auto"/>
        <w:right w:val="none" w:sz="0" w:space="0" w:color="auto"/>
      </w:divBdr>
    </w:div>
    <w:div w:id="534003711">
      <w:bodyDiv w:val="1"/>
      <w:marLeft w:val="0"/>
      <w:marRight w:val="0"/>
      <w:marTop w:val="0"/>
      <w:marBottom w:val="0"/>
      <w:divBdr>
        <w:top w:val="none" w:sz="0" w:space="0" w:color="auto"/>
        <w:left w:val="none" w:sz="0" w:space="0" w:color="auto"/>
        <w:bottom w:val="none" w:sz="0" w:space="0" w:color="auto"/>
        <w:right w:val="none" w:sz="0" w:space="0" w:color="auto"/>
      </w:divBdr>
    </w:div>
    <w:div w:id="534855849">
      <w:bodyDiv w:val="1"/>
      <w:marLeft w:val="0"/>
      <w:marRight w:val="0"/>
      <w:marTop w:val="0"/>
      <w:marBottom w:val="0"/>
      <w:divBdr>
        <w:top w:val="none" w:sz="0" w:space="0" w:color="auto"/>
        <w:left w:val="none" w:sz="0" w:space="0" w:color="auto"/>
        <w:bottom w:val="none" w:sz="0" w:space="0" w:color="auto"/>
        <w:right w:val="none" w:sz="0" w:space="0" w:color="auto"/>
      </w:divBdr>
    </w:div>
    <w:div w:id="537399347">
      <w:bodyDiv w:val="1"/>
      <w:marLeft w:val="0"/>
      <w:marRight w:val="0"/>
      <w:marTop w:val="0"/>
      <w:marBottom w:val="0"/>
      <w:divBdr>
        <w:top w:val="none" w:sz="0" w:space="0" w:color="auto"/>
        <w:left w:val="none" w:sz="0" w:space="0" w:color="auto"/>
        <w:bottom w:val="none" w:sz="0" w:space="0" w:color="auto"/>
        <w:right w:val="none" w:sz="0" w:space="0" w:color="auto"/>
      </w:divBdr>
    </w:div>
    <w:div w:id="538126678">
      <w:bodyDiv w:val="1"/>
      <w:marLeft w:val="0"/>
      <w:marRight w:val="0"/>
      <w:marTop w:val="0"/>
      <w:marBottom w:val="0"/>
      <w:divBdr>
        <w:top w:val="none" w:sz="0" w:space="0" w:color="auto"/>
        <w:left w:val="none" w:sz="0" w:space="0" w:color="auto"/>
        <w:bottom w:val="none" w:sz="0" w:space="0" w:color="auto"/>
        <w:right w:val="none" w:sz="0" w:space="0" w:color="auto"/>
      </w:divBdr>
    </w:div>
    <w:div w:id="544026593">
      <w:bodyDiv w:val="1"/>
      <w:marLeft w:val="0"/>
      <w:marRight w:val="0"/>
      <w:marTop w:val="0"/>
      <w:marBottom w:val="0"/>
      <w:divBdr>
        <w:top w:val="none" w:sz="0" w:space="0" w:color="auto"/>
        <w:left w:val="none" w:sz="0" w:space="0" w:color="auto"/>
        <w:bottom w:val="none" w:sz="0" w:space="0" w:color="auto"/>
        <w:right w:val="none" w:sz="0" w:space="0" w:color="auto"/>
      </w:divBdr>
    </w:div>
    <w:div w:id="549346581">
      <w:bodyDiv w:val="1"/>
      <w:marLeft w:val="0"/>
      <w:marRight w:val="0"/>
      <w:marTop w:val="0"/>
      <w:marBottom w:val="0"/>
      <w:divBdr>
        <w:top w:val="none" w:sz="0" w:space="0" w:color="auto"/>
        <w:left w:val="none" w:sz="0" w:space="0" w:color="auto"/>
        <w:bottom w:val="none" w:sz="0" w:space="0" w:color="auto"/>
        <w:right w:val="none" w:sz="0" w:space="0" w:color="auto"/>
      </w:divBdr>
    </w:div>
    <w:div w:id="549534273">
      <w:bodyDiv w:val="1"/>
      <w:marLeft w:val="0"/>
      <w:marRight w:val="0"/>
      <w:marTop w:val="0"/>
      <w:marBottom w:val="0"/>
      <w:divBdr>
        <w:top w:val="none" w:sz="0" w:space="0" w:color="auto"/>
        <w:left w:val="none" w:sz="0" w:space="0" w:color="auto"/>
        <w:bottom w:val="none" w:sz="0" w:space="0" w:color="auto"/>
        <w:right w:val="none" w:sz="0" w:space="0" w:color="auto"/>
      </w:divBdr>
    </w:div>
    <w:div w:id="549995855">
      <w:bodyDiv w:val="1"/>
      <w:marLeft w:val="0"/>
      <w:marRight w:val="0"/>
      <w:marTop w:val="0"/>
      <w:marBottom w:val="0"/>
      <w:divBdr>
        <w:top w:val="none" w:sz="0" w:space="0" w:color="auto"/>
        <w:left w:val="none" w:sz="0" w:space="0" w:color="auto"/>
        <w:bottom w:val="none" w:sz="0" w:space="0" w:color="auto"/>
        <w:right w:val="none" w:sz="0" w:space="0" w:color="auto"/>
      </w:divBdr>
    </w:div>
    <w:div w:id="550775984">
      <w:bodyDiv w:val="1"/>
      <w:marLeft w:val="0"/>
      <w:marRight w:val="0"/>
      <w:marTop w:val="0"/>
      <w:marBottom w:val="0"/>
      <w:divBdr>
        <w:top w:val="none" w:sz="0" w:space="0" w:color="auto"/>
        <w:left w:val="none" w:sz="0" w:space="0" w:color="auto"/>
        <w:bottom w:val="none" w:sz="0" w:space="0" w:color="auto"/>
        <w:right w:val="none" w:sz="0" w:space="0" w:color="auto"/>
      </w:divBdr>
    </w:div>
    <w:div w:id="551381197">
      <w:bodyDiv w:val="1"/>
      <w:marLeft w:val="0"/>
      <w:marRight w:val="0"/>
      <w:marTop w:val="0"/>
      <w:marBottom w:val="0"/>
      <w:divBdr>
        <w:top w:val="none" w:sz="0" w:space="0" w:color="auto"/>
        <w:left w:val="none" w:sz="0" w:space="0" w:color="auto"/>
        <w:bottom w:val="none" w:sz="0" w:space="0" w:color="auto"/>
        <w:right w:val="none" w:sz="0" w:space="0" w:color="auto"/>
      </w:divBdr>
    </w:div>
    <w:div w:id="557279468">
      <w:bodyDiv w:val="1"/>
      <w:marLeft w:val="0"/>
      <w:marRight w:val="0"/>
      <w:marTop w:val="0"/>
      <w:marBottom w:val="0"/>
      <w:divBdr>
        <w:top w:val="none" w:sz="0" w:space="0" w:color="auto"/>
        <w:left w:val="none" w:sz="0" w:space="0" w:color="auto"/>
        <w:bottom w:val="none" w:sz="0" w:space="0" w:color="auto"/>
        <w:right w:val="none" w:sz="0" w:space="0" w:color="auto"/>
      </w:divBdr>
    </w:div>
    <w:div w:id="559906287">
      <w:bodyDiv w:val="1"/>
      <w:marLeft w:val="0"/>
      <w:marRight w:val="0"/>
      <w:marTop w:val="0"/>
      <w:marBottom w:val="0"/>
      <w:divBdr>
        <w:top w:val="none" w:sz="0" w:space="0" w:color="auto"/>
        <w:left w:val="none" w:sz="0" w:space="0" w:color="auto"/>
        <w:bottom w:val="none" w:sz="0" w:space="0" w:color="auto"/>
        <w:right w:val="none" w:sz="0" w:space="0" w:color="auto"/>
      </w:divBdr>
    </w:div>
    <w:div w:id="564218275">
      <w:bodyDiv w:val="1"/>
      <w:marLeft w:val="0"/>
      <w:marRight w:val="0"/>
      <w:marTop w:val="0"/>
      <w:marBottom w:val="0"/>
      <w:divBdr>
        <w:top w:val="none" w:sz="0" w:space="0" w:color="auto"/>
        <w:left w:val="none" w:sz="0" w:space="0" w:color="auto"/>
        <w:bottom w:val="none" w:sz="0" w:space="0" w:color="auto"/>
        <w:right w:val="none" w:sz="0" w:space="0" w:color="auto"/>
      </w:divBdr>
    </w:div>
    <w:div w:id="567351075">
      <w:bodyDiv w:val="1"/>
      <w:marLeft w:val="0"/>
      <w:marRight w:val="0"/>
      <w:marTop w:val="0"/>
      <w:marBottom w:val="0"/>
      <w:divBdr>
        <w:top w:val="none" w:sz="0" w:space="0" w:color="auto"/>
        <w:left w:val="none" w:sz="0" w:space="0" w:color="auto"/>
        <w:bottom w:val="none" w:sz="0" w:space="0" w:color="auto"/>
        <w:right w:val="none" w:sz="0" w:space="0" w:color="auto"/>
      </w:divBdr>
    </w:div>
    <w:div w:id="572352137">
      <w:bodyDiv w:val="1"/>
      <w:marLeft w:val="0"/>
      <w:marRight w:val="0"/>
      <w:marTop w:val="0"/>
      <w:marBottom w:val="0"/>
      <w:divBdr>
        <w:top w:val="none" w:sz="0" w:space="0" w:color="auto"/>
        <w:left w:val="none" w:sz="0" w:space="0" w:color="auto"/>
        <w:bottom w:val="none" w:sz="0" w:space="0" w:color="auto"/>
        <w:right w:val="none" w:sz="0" w:space="0" w:color="auto"/>
      </w:divBdr>
    </w:div>
    <w:div w:id="579028348">
      <w:bodyDiv w:val="1"/>
      <w:marLeft w:val="0"/>
      <w:marRight w:val="0"/>
      <w:marTop w:val="0"/>
      <w:marBottom w:val="0"/>
      <w:divBdr>
        <w:top w:val="none" w:sz="0" w:space="0" w:color="auto"/>
        <w:left w:val="none" w:sz="0" w:space="0" w:color="auto"/>
        <w:bottom w:val="none" w:sz="0" w:space="0" w:color="auto"/>
        <w:right w:val="none" w:sz="0" w:space="0" w:color="auto"/>
      </w:divBdr>
    </w:div>
    <w:div w:id="580287409">
      <w:bodyDiv w:val="1"/>
      <w:marLeft w:val="0"/>
      <w:marRight w:val="0"/>
      <w:marTop w:val="0"/>
      <w:marBottom w:val="0"/>
      <w:divBdr>
        <w:top w:val="none" w:sz="0" w:space="0" w:color="auto"/>
        <w:left w:val="none" w:sz="0" w:space="0" w:color="auto"/>
        <w:bottom w:val="none" w:sz="0" w:space="0" w:color="auto"/>
        <w:right w:val="none" w:sz="0" w:space="0" w:color="auto"/>
      </w:divBdr>
    </w:div>
    <w:div w:id="586424861">
      <w:bodyDiv w:val="1"/>
      <w:marLeft w:val="0"/>
      <w:marRight w:val="0"/>
      <w:marTop w:val="0"/>
      <w:marBottom w:val="0"/>
      <w:divBdr>
        <w:top w:val="none" w:sz="0" w:space="0" w:color="auto"/>
        <w:left w:val="none" w:sz="0" w:space="0" w:color="auto"/>
        <w:bottom w:val="none" w:sz="0" w:space="0" w:color="auto"/>
        <w:right w:val="none" w:sz="0" w:space="0" w:color="auto"/>
      </w:divBdr>
    </w:div>
    <w:div w:id="589195461">
      <w:bodyDiv w:val="1"/>
      <w:marLeft w:val="0"/>
      <w:marRight w:val="0"/>
      <w:marTop w:val="0"/>
      <w:marBottom w:val="0"/>
      <w:divBdr>
        <w:top w:val="none" w:sz="0" w:space="0" w:color="auto"/>
        <w:left w:val="none" w:sz="0" w:space="0" w:color="auto"/>
        <w:bottom w:val="none" w:sz="0" w:space="0" w:color="auto"/>
        <w:right w:val="none" w:sz="0" w:space="0" w:color="auto"/>
      </w:divBdr>
    </w:div>
    <w:div w:id="589627560">
      <w:bodyDiv w:val="1"/>
      <w:marLeft w:val="0"/>
      <w:marRight w:val="0"/>
      <w:marTop w:val="0"/>
      <w:marBottom w:val="0"/>
      <w:divBdr>
        <w:top w:val="none" w:sz="0" w:space="0" w:color="auto"/>
        <w:left w:val="none" w:sz="0" w:space="0" w:color="auto"/>
        <w:bottom w:val="none" w:sz="0" w:space="0" w:color="auto"/>
        <w:right w:val="none" w:sz="0" w:space="0" w:color="auto"/>
      </w:divBdr>
    </w:div>
    <w:div w:id="590703293">
      <w:bodyDiv w:val="1"/>
      <w:marLeft w:val="0"/>
      <w:marRight w:val="0"/>
      <w:marTop w:val="0"/>
      <w:marBottom w:val="0"/>
      <w:divBdr>
        <w:top w:val="none" w:sz="0" w:space="0" w:color="auto"/>
        <w:left w:val="none" w:sz="0" w:space="0" w:color="auto"/>
        <w:bottom w:val="none" w:sz="0" w:space="0" w:color="auto"/>
        <w:right w:val="none" w:sz="0" w:space="0" w:color="auto"/>
      </w:divBdr>
    </w:div>
    <w:div w:id="593588655">
      <w:bodyDiv w:val="1"/>
      <w:marLeft w:val="0"/>
      <w:marRight w:val="0"/>
      <w:marTop w:val="0"/>
      <w:marBottom w:val="0"/>
      <w:divBdr>
        <w:top w:val="none" w:sz="0" w:space="0" w:color="auto"/>
        <w:left w:val="none" w:sz="0" w:space="0" w:color="auto"/>
        <w:bottom w:val="none" w:sz="0" w:space="0" w:color="auto"/>
        <w:right w:val="none" w:sz="0" w:space="0" w:color="auto"/>
      </w:divBdr>
    </w:div>
    <w:div w:id="605620714">
      <w:bodyDiv w:val="1"/>
      <w:marLeft w:val="0"/>
      <w:marRight w:val="0"/>
      <w:marTop w:val="0"/>
      <w:marBottom w:val="0"/>
      <w:divBdr>
        <w:top w:val="none" w:sz="0" w:space="0" w:color="auto"/>
        <w:left w:val="none" w:sz="0" w:space="0" w:color="auto"/>
        <w:bottom w:val="none" w:sz="0" w:space="0" w:color="auto"/>
        <w:right w:val="none" w:sz="0" w:space="0" w:color="auto"/>
      </w:divBdr>
    </w:div>
    <w:div w:id="606502250">
      <w:bodyDiv w:val="1"/>
      <w:marLeft w:val="0"/>
      <w:marRight w:val="0"/>
      <w:marTop w:val="0"/>
      <w:marBottom w:val="0"/>
      <w:divBdr>
        <w:top w:val="none" w:sz="0" w:space="0" w:color="auto"/>
        <w:left w:val="none" w:sz="0" w:space="0" w:color="auto"/>
        <w:bottom w:val="none" w:sz="0" w:space="0" w:color="auto"/>
        <w:right w:val="none" w:sz="0" w:space="0" w:color="auto"/>
      </w:divBdr>
    </w:div>
    <w:div w:id="609705659">
      <w:bodyDiv w:val="1"/>
      <w:marLeft w:val="0"/>
      <w:marRight w:val="0"/>
      <w:marTop w:val="0"/>
      <w:marBottom w:val="0"/>
      <w:divBdr>
        <w:top w:val="none" w:sz="0" w:space="0" w:color="auto"/>
        <w:left w:val="none" w:sz="0" w:space="0" w:color="auto"/>
        <w:bottom w:val="none" w:sz="0" w:space="0" w:color="auto"/>
        <w:right w:val="none" w:sz="0" w:space="0" w:color="auto"/>
      </w:divBdr>
    </w:div>
    <w:div w:id="611060237">
      <w:bodyDiv w:val="1"/>
      <w:marLeft w:val="0"/>
      <w:marRight w:val="0"/>
      <w:marTop w:val="0"/>
      <w:marBottom w:val="0"/>
      <w:divBdr>
        <w:top w:val="none" w:sz="0" w:space="0" w:color="auto"/>
        <w:left w:val="none" w:sz="0" w:space="0" w:color="auto"/>
        <w:bottom w:val="none" w:sz="0" w:space="0" w:color="auto"/>
        <w:right w:val="none" w:sz="0" w:space="0" w:color="auto"/>
      </w:divBdr>
    </w:div>
    <w:div w:id="615792262">
      <w:bodyDiv w:val="1"/>
      <w:marLeft w:val="0"/>
      <w:marRight w:val="0"/>
      <w:marTop w:val="0"/>
      <w:marBottom w:val="0"/>
      <w:divBdr>
        <w:top w:val="none" w:sz="0" w:space="0" w:color="auto"/>
        <w:left w:val="none" w:sz="0" w:space="0" w:color="auto"/>
        <w:bottom w:val="none" w:sz="0" w:space="0" w:color="auto"/>
        <w:right w:val="none" w:sz="0" w:space="0" w:color="auto"/>
      </w:divBdr>
    </w:div>
    <w:div w:id="616302794">
      <w:bodyDiv w:val="1"/>
      <w:marLeft w:val="0"/>
      <w:marRight w:val="0"/>
      <w:marTop w:val="0"/>
      <w:marBottom w:val="0"/>
      <w:divBdr>
        <w:top w:val="none" w:sz="0" w:space="0" w:color="auto"/>
        <w:left w:val="none" w:sz="0" w:space="0" w:color="auto"/>
        <w:bottom w:val="none" w:sz="0" w:space="0" w:color="auto"/>
        <w:right w:val="none" w:sz="0" w:space="0" w:color="auto"/>
      </w:divBdr>
    </w:div>
    <w:div w:id="619534735">
      <w:bodyDiv w:val="1"/>
      <w:marLeft w:val="0"/>
      <w:marRight w:val="0"/>
      <w:marTop w:val="0"/>
      <w:marBottom w:val="0"/>
      <w:divBdr>
        <w:top w:val="none" w:sz="0" w:space="0" w:color="auto"/>
        <w:left w:val="none" w:sz="0" w:space="0" w:color="auto"/>
        <w:bottom w:val="none" w:sz="0" w:space="0" w:color="auto"/>
        <w:right w:val="none" w:sz="0" w:space="0" w:color="auto"/>
      </w:divBdr>
    </w:div>
    <w:div w:id="622537066">
      <w:bodyDiv w:val="1"/>
      <w:marLeft w:val="0"/>
      <w:marRight w:val="0"/>
      <w:marTop w:val="0"/>
      <w:marBottom w:val="0"/>
      <w:divBdr>
        <w:top w:val="none" w:sz="0" w:space="0" w:color="auto"/>
        <w:left w:val="none" w:sz="0" w:space="0" w:color="auto"/>
        <w:bottom w:val="none" w:sz="0" w:space="0" w:color="auto"/>
        <w:right w:val="none" w:sz="0" w:space="0" w:color="auto"/>
      </w:divBdr>
    </w:div>
    <w:div w:id="624458783">
      <w:bodyDiv w:val="1"/>
      <w:marLeft w:val="0"/>
      <w:marRight w:val="0"/>
      <w:marTop w:val="0"/>
      <w:marBottom w:val="0"/>
      <w:divBdr>
        <w:top w:val="none" w:sz="0" w:space="0" w:color="auto"/>
        <w:left w:val="none" w:sz="0" w:space="0" w:color="auto"/>
        <w:bottom w:val="none" w:sz="0" w:space="0" w:color="auto"/>
        <w:right w:val="none" w:sz="0" w:space="0" w:color="auto"/>
      </w:divBdr>
    </w:div>
    <w:div w:id="633020060">
      <w:bodyDiv w:val="1"/>
      <w:marLeft w:val="0"/>
      <w:marRight w:val="0"/>
      <w:marTop w:val="0"/>
      <w:marBottom w:val="0"/>
      <w:divBdr>
        <w:top w:val="none" w:sz="0" w:space="0" w:color="auto"/>
        <w:left w:val="none" w:sz="0" w:space="0" w:color="auto"/>
        <w:bottom w:val="none" w:sz="0" w:space="0" w:color="auto"/>
        <w:right w:val="none" w:sz="0" w:space="0" w:color="auto"/>
      </w:divBdr>
    </w:div>
    <w:div w:id="634023344">
      <w:bodyDiv w:val="1"/>
      <w:marLeft w:val="0"/>
      <w:marRight w:val="0"/>
      <w:marTop w:val="0"/>
      <w:marBottom w:val="0"/>
      <w:divBdr>
        <w:top w:val="none" w:sz="0" w:space="0" w:color="auto"/>
        <w:left w:val="none" w:sz="0" w:space="0" w:color="auto"/>
        <w:bottom w:val="none" w:sz="0" w:space="0" w:color="auto"/>
        <w:right w:val="none" w:sz="0" w:space="0" w:color="auto"/>
      </w:divBdr>
    </w:div>
    <w:div w:id="639303929">
      <w:bodyDiv w:val="1"/>
      <w:marLeft w:val="0"/>
      <w:marRight w:val="0"/>
      <w:marTop w:val="0"/>
      <w:marBottom w:val="0"/>
      <w:divBdr>
        <w:top w:val="none" w:sz="0" w:space="0" w:color="auto"/>
        <w:left w:val="none" w:sz="0" w:space="0" w:color="auto"/>
        <w:bottom w:val="none" w:sz="0" w:space="0" w:color="auto"/>
        <w:right w:val="none" w:sz="0" w:space="0" w:color="auto"/>
      </w:divBdr>
    </w:div>
    <w:div w:id="639723816">
      <w:bodyDiv w:val="1"/>
      <w:marLeft w:val="0"/>
      <w:marRight w:val="0"/>
      <w:marTop w:val="0"/>
      <w:marBottom w:val="0"/>
      <w:divBdr>
        <w:top w:val="none" w:sz="0" w:space="0" w:color="auto"/>
        <w:left w:val="none" w:sz="0" w:space="0" w:color="auto"/>
        <w:bottom w:val="none" w:sz="0" w:space="0" w:color="auto"/>
        <w:right w:val="none" w:sz="0" w:space="0" w:color="auto"/>
      </w:divBdr>
    </w:div>
    <w:div w:id="645822121">
      <w:bodyDiv w:val="1"/>
      <w:marLeft w:val="0"/>
      <w:marRight w:val="0"/>
      <w:marTop w:val="0"/>
      <w:marBottom w:val="0"/>
      <w:divBdr>
        <w:top w:val="none" w:sz="0" w:space="0" w:color="auto"/>
        <w:left w:val="none" w:sz="0" w:space="0" w:color="auto"/>
        <w:bottom w:val="none" w:sz="0" w:space="0" w:color="auto"/>
        <w:right w:val="none" w:sz="0" w:space="0" w:color="auto"/>
      </w:divBdr>
    </w:div>
    <w:div w:id="647518071">
      <w:bodyDiv w:val="1"/>
      <w:marLeft w:val="0"/>
      <w:marRight w:val="0"/>
      <w:marTop w:val="0"/>
      <w:marBottom w:val="0"/>
      <w:divBdr>
        <w:top w:val="none" w:sz="0" w:space="0" w:color="auto"/>
        <w:left w:val="none" w:sz="0" w:space="0" w:color="auto"/>
        <w:bottom w:val="none" w:sz="0" w:space="0" w:color="auto"/>
        <w:right w:val="none" w:sz="0" w:space="0" w:color="auto"/>
      </w:divBdr>
    </w:div>
    <w:div w:id="648830187">
      <w:bodyDiv w:val="1"/>
      <w:marLeft w:val="0"/>
      <w:marRight w:val="0"/>
      <w:marTop w:val="0"/>
      <w:marBottom w:val="0"/>
      <w:divBdr>
        <w:top w:val="none" w:sz="0" w:space="0" w:color="auto"/>
        <w:left w:val="none" w:sz="0" w:space="0" w:color="auto"/>
        <w:bottom w:val="none" w:sz="0" w:space="0" w:color="auto"/>
        <w:right w:val="none" w:sz="0" w:space="0" w:color="auto"/>
      </w:divBdr>
    </w:div>
    <w:div w:id="650401609">
      <w:bodyDiv w:val="1"/>
      <w:marLeft w:val="0"/>
      <w:marRight w:val="0"/>
      <w:marTop w:val="0"/>
      <w:marBottom w:val="0"/>
      <w:divBdr>
        <w:top w:val="none" w:sz="0" w:space="0" w:color="auto"/>
        <w:left w:val="none" w:sz="0" w:space="0" w:color="auto"/>
        <w:bottom w:val="none" w:sz="0" w:space="0" w:color="auto"/>
        <w:right w:val="none" w:sz="0" w:space="0" w:color="auto"/>
      </w:divBdr>
    </w:div>
    <w:div w:id="659046832">
      <w:bodyDiv w:val="1"/>
      <w:marLeft w:val="0"/>
      <w:marRight w:val="0"/>
      <w:marTop w:val="0"/>
      <w:marBottom w:val="0"/>
      <w:divBdr>
        <w:top w:val="none" w:sz="0" w:space="0" w:color="auto"/>
        <w:left w:val="none" w:sz="0" w:space="0" w:color="auto"/>
        <w:bottom w:val="none" w:sz="0" w:space="0" w:color="auto"/>
        <w:right w:val="none" w:sz="0" w:space="0" w:color="auto"/>
      </w:divBdr>
    </w:div>
    <w:div w:id="659697369">
      <w:bodyDiv w:val="1"/>
      <w:marLeft w:val="0"/>
      <w:marRight w:val="0"/>
      <w:marTop w:val="0"/>
      <w:marBottom w:val="0"/>
      <w:divBdr>
        <w:top w:val="none" w:sz="0" w:space="0" w:color="auto"/>
        <w:left w:val="none" w:sz="0" w:space="0" w:color="auto"/>
        <w:bottom w:val="none" w:sz="0" w:space="0" w:color="auto"/>
        <w:right w:val="none" w:sz="0" w:space="0" w:color="auto"/>
      </w:divBdr>
    </w:div>
    <w:div w:id="665327846">
      <w:bodyDiv w:val="1"/>
      <w:marLeft w:val="0"/>
      <w:marRight w:val="0"/>
      <w:marTop w:val="0"/>
      <w:marBottom w:val="0"/>
      <w:divBdr>
        <w:top w:val="none" w:sz="0" w:space="0" w:color="auto"/>
        <w:left w:val="none" w:sz="0" w:space="0" w:color="auto"/>
        <w:bottom w:val="none" w:sz="0" w:space="0" w:color="auto"/>
        <w:right w:val="none" w:sz="0" w:space="0" w:color="auto"/>
      </w:divBdr>
    </w:div>
    <w:div w:id="665785064">
      <w:bodyDiv w:val="1"/>
      <w:marLeft w:val="0"/>
      <w:marRight w:val="0"/>
      <w:marTop w:val="0"/>
      <w:marBottom w:val="0"/>
      <w:divBdr>
        <w:top w:val="none" w:sz="0" w:space="0" w:color="auto"/>
        <w:left w:val="none" w:sz="0" w:space="0" w:color="auto"/>
        <w:bottom w:val="none" w:sz="0" w:space="0" w:color="auto"/>
        <w:right w:val="none" w:sz="0" w:space="0" w:color="auto"/>
      </w:divBdr>
    </w:div>
    <w:div w:id="666247488">
      <w:bodyDiv w:val="1"/>
      <w:marLeft w:val="0"/>
      <w:marRight w:val="0"/>
      <w:marTop w:val="0"/>
      <w:marBottom w:val="0"/>
      <w:divBdr>
        <w:top w:val="none" w:sz="0" w:space="0" w:color="auto"/>
        <w:left w:val="none" w:sz="0" w:space="0" w:color="auto"/>
        <w:bottom w:val="none" w:sz="0" w:space="0" w:color="auto"/>
        <w:right w:val="none" w:sz="0" w:space="0" w:color="auto"/>
      </w:divBdr>
    </w:div>
    <w:div w:id="666980501">
      <w:bodyDiv w:val="1"/>
      <w:marLeft w:val="0"/>
      <w:marRight w:val="0"/>
      <w:marTop w:val="0"/>
      <w:marBottom w:val="0"/>
      <w:divBdr>
        <w:top w:val="none" w:sz="0" w:space="0" w:color="auto"/>
        <w:left w:val="none" w:sz="0" w:space="0" w:color="auto"/>
        <w:bottom w:val="none" w:sz="0" w:space="0" w:color="auto"/>
        <w:right w:val="none" w:sz="0" w:space="0" w:color="auto"/>
      </w:divBdr>
    </w:div>
    <w:div w:id="670378371">
      <w:bodyDiv w:val="1"/>
      <w:marLeft w:val="0"/>
      <w:marRight w:val="0"/>
      <w:marTop w:val="0"/>
      <w:marBottom w:val="0"/>
      <w:divBdr>
        <w:top w:val="none" w:sz="0" w:space="0" w:color="auto"/>
        <w:left w:val="none" w:sz="0" w:space="0" w:color="auto"/>
        <w:bottom w:val="none" w:sz="0" w:space="0" w:color="auto"/>
        <w:right w:val="none" w:sz="0" w:space="0" w:color="auto"/>
      </w:divBdr>
    </w:div>
    <w:div w:id="672612946">
      <w:bodyDiv w:val="1"/>
      <w:marLeft w:val="0"/>
      <w:marRight w:val="0"/>
      <w:marTop w:val="0"/>
      <w:marBottom w:val="0"/>
      <w:divBdr>
        <w:top w:val="none" w:sz="0" w:space="0" w:color="auto"/>
        <w:left w:val="none" w:sz="0" w:space="0" w:color="auto"/>
        <w:bottom w:val="none" w:sz="0" w:space="0" w:color="auto"/>
        <w:right w:val="none" w:sz="0" w:space="0" w:color="auto"/>
      </w:divBdr>
    </w:div>
    <w:div w:id="673798674">
      <w:bodyDiv w:val="1"/>
      <w:marLeft w:val="0"/>
      <w:marRight w:val="0"/>
      <w:marTop w:val="0"/>
      <w:marBottom w:val="0"/>
      <w:divBdr>
        <w:top w:val="none" w:sz="0" w:space="0" w:color="auto"/>
        <w:left w:val="none" w:sz="0" w:space="0" w:color="auto"/>
        <w:bottom w:val="none" w:sz="0" w:space="0" w:color="auto"/>
        <w:right w:val="none" w:sz="0" w:space="0" w:color="auto"/>
      </w:divBdr>
    </w:div>
    <w:div w:id="675696372">
      <w:bodyDiv w:val="1"/>
      <w:marLeft w:val="0"/>
      <w:marRight w:val="0"/>
      <w:marTop w:val="0"/>
      <w:marBottom w:val="0"/>
      <w:divBdr>
        <w:top w:val="none" w:sz="0" w:space="0" w:color="auto"/>
        <w:left w:val="none" w:sz="0" w:space="0" w:color="auto"/>
        <w:bottom w:val="none" w:sz="0" w:space="0" w:color="auto"/>
        <w:right w:val="none" w:sz="0" w:space="0" w:color="auto"/>
      </w:divBdr>
    </w:div>
    <w:div w:id="693844294">
      <w:bodyDiv w:val="1"/>
      <w:marLeft w:val="0"/>
      <w:marRight w:val="0"/>
      <w:marTop w:val="0"/>
      <w:marBottom w:val="0"/>
      <w:divBdr>
        <w:top w:val="none" w:sz="0" w:space="0" w:color="auto"/>
        <w:left w:val="none" w:sz="0" w:space="0" w:color="auto"/>
        <w:bottom w:val="none" w:sz="0" w:space="0" w:color="auto"/>
        <w:right w:val="none" w:sz="0" w:space="0" w:color="auto"/>
      </w:divBdr>
    </w:div>
    <w:div w:id="695233593">
      <w:bodyDiv w:val="1"/>
      <w:marLeft w:val="0"/>
      <w:marRight w:val="0"/>
      <w:marTop w:val="0"/>
      <w:marBottom w:val="0"/>
      <w:divBdr>
        <w:top w:val="none" w:sz="0" w:space="0" w:color="auto"/>
        <w:left w:val="none" w:sz="0" w:space="0" w:color="auto"/>
        <w:bottom w:val="none" w:sz="0" w:space="0" w:color="auto"/>
        <w:right w:val="none" w:sz="0" w:space="0" w:color="auto"/>
      </w:divBdr>
    </w:div>
    <w:div w:id="696740263">
      <w:bodyDiv w:val="1"/>
      <w:marLeft w:val="0"/>
      <w:marRight w:val="0"/>
      <w:marTop w:val="0"/>
      <w:marBottom w:val="0"/>
      <w:divBdr>
        <w:top w:val="none" w:sz="0" w:space="0" w:color="auto"/>
        <w:left w:val="none" w:sz="0" w:space="0" w:color="auto"/>
        <w:bottom w:val="none" w:sz="0" w:space="0" w:color="auto"/>
        <w:right w:val="none" w:sz="0" w:space="0" w:color="auto"/>
      </w:divBdr>
    </w:div>
    <w:div w:id="699235744">
      <w:bodyDiv w:val="1"/>
      <w:marLeft w:val="0"/>
      <w:marRight w:val="0"/>
      <w:marTop w:val="0"/>
      <w:marBottom w:val="0"/>
      <w:divBdr>
        <w:top w:val="none" w:sz="0" w:space="0" w:color="auto"/>
        <w:left w:val="none" w:sz="0" w:space="0" w:color="auto"/>
        <w:bottom w:val="none" w:sz="0" w:space="0" w:color="auto"/>
        <w:right w:val="none" w:sz="0" w:space="0" w:color="auto"/>
      </w:divBdr>
    </w:div>
    <w:div w:id="704719296">
      <w:bodyDiv w:val="1"/>
      <w:marLeft w:val="0"/>
      <w:marRight w:val="0"/>
      <w:marTop w:val="0"/>
      <w:marBottom w:val="0"/>
      <w:divBdr>
        <w:top w:val="none" w:sz="0" w:space="0" w:color="auto"/>
        <w:left w:val="none" w:sz="0" w:space="0" w:color="auto"/>
        <w:bottom w:val="none" w:sz="0" w:space="0" w:color="auto"/>
        <w:right w:val="none" w:sz="0" w:space="0" w:color="auto"/>
      </w:divBdr>
    </w:div>
    <w:div w:id="705257428">
      <w:bodyDiv w:val="1"/>
      <w:marLeft w:val="0"/>
      <w:marRight w:val="0"/>
      <w:marTop w:val="0"/>
      <w:marBottom w:val="0"/>
      <w:divBdr>
        <w:top w:val="none" w:sz="0" w:space="0" w:color="auto"/>
        <w:left w:val="none" w:sz="0" w:space="0" w:color="auto"/>
        <w:bottom w:val="none" w:sz="0" w:space="0" w:color="auto"/>
        <w:right w:val="none" w:sz="0" w:space="0" w:color="auto"/>
      </w:divBdr>
    </w:div>
    <w:div w:id="707028487">
      <w:bodyDiv w:val="1"/>
      <w:marLeft w:val="0"/>
      <w:marRight w:val="0"/>
      <w:marTop w:val="0"/>
      <w:marBottom w:val="0"/>
      <w:divBdr>
        <w:top w:val="none" w:sz="0" w:space="0" w:color="auto"/>
        <w:left w:val="none" w:sz="0" w:space="0" w:color="auto"/>
        <w:bottom w:val="none" w:sz="0" w:space="0" w:color="auto"/>
        <w:right w:val="none" w:sz="0" w:space="0" w:color="auto"/>
      </w:divBdr>
    </w:div>
    <w:div w:id="708259880">
      <w:bodyDiv w:val="1"/>
      <w:marLeft w:val="0"/>
      <w:marRight w:val="0"/>
      <w:marTop w:val="0"/>
      <w:marBottom w:val="0"/>
      <w:divBdr>
        <w:top w:val="none" w:sz="0" w:space="0" w:color="auto"/>
        <w:left w:val="none" w:sz="0" w:space="0" w:color="auto"/>
        <w:bottom w:val="none" w:sz="0" w:space="0" w:color="auto"/>
        <w:right w:val="none" w:sz="0" w:space="0" w:color="auto"/>
      </w:divBdr>
    </w:div>
    <w:div w:id="710148561">
      <w:bodyDiv w:val="1"/>
      <w:marLeft w:val="0"/>
      <w:marRight w:val="0"/>
      <w:marTop w:val="0"/>
      <w:marBottom w:val="0"/>
      <w:divBdr>
        <w:top w:val="none" w:sz="0" w:space="0" w:color="auto"/>
        <w:left w:val="none" w:sz="0" w:space="0" w:color="auto"/>
        <w:bottom w:val="none" w:sz="0" w:space="0" w:color="auto"/>
        <w:right w:val="none" w:sz="0" w:space="0" w:color="auto"/>
      </w:divBdr>
    </w:div>
    <w:div w:id="711029602">
      <w:bodyDiv w:val="1"/>
      <w:marLeft w:val="0"/>
      <w:marRight w:val="0"/>
      <w:marTop w:val="0"/>
      <w:marBottom w:val="0"/>
      <w:divBdr>
        <w:top w:val="none" w:sz="0" w:space="0" w:color="auto"/>
        <w:left w:val="none" w:sz="0" w:space="0" w:color="auto"/>
        <w:bottom w:val="none" w:sz="0" w:space="0" w:color="auto"/>
        <w:right w:val="none" w:sz="0" w:space="0" w:color="auto"/>
      </w:divBdr>
    </w:div>
    <w:div w:id="714932717">
      <w:bodyDiv w:val="1"/>
      <w:marLeft w:val="0"/>
      <w:marRight w:val="0"/>
      <w:marTop w:val="0"/>
      <w:marBottom w:val="0"/>
      <w:divBdr>
        <w:top w:val="none" w:sz="0" w:space="0" w:color="auto"/>
        <w:left w:val="none" w:sz="0" w:space="0" w:color="auto"/>
        <w:bottom w:val="none" w:sz="0" w:space="0" w:color="auto"/>
        <w:right w:val="none" w:sz="0" w:space="0" w:color="auto"/>
      </w:divBdr>
    </w:div>
    <w:div w:id="717709924">
      <w:bodyDiv w:val="1"/>
      <w:marLeft w:val="0"/>
      <w:marRight w:val="0"/>
      <w:marTop w:val="0"/>
      <w:marBottom w:val="0"/>
      <w:divBdr>
        <w:top w:val="none" w:sz="0" w:space="0" w:color="auto"/>
        <w:left w:val="none" w:sz="0" w:space="0" w:color="auto"/>
        <w:bottom w:val="none" w:sz="0" w:space="0" w:color="auto"/>
        <w:right w:val="none" w:sz="0" w:space="0" w:color="auto"/>
      </w:divBdr>
    </w:div>
    <w:div w:id="718626602">
      <w:bodyDiv w:val="1"/>
      <w:marLeft w:val="0"/>
      <w:marRight w:val="0"/>
      <w:marTop w:val="0"/>
      <w:marBottom w:val="0"/>
      <w:divBdr>
        <w:top w:val="none" w:sz="0" w:space="0" w:color="auto"/>
        <w:left w:val="none" w:sz="0" w:space="0" w:color="auto"/>
        <w:bottom w:val="none" w:sz="0" w:space="0" w:color="auto"/>
        <w:right w:val="none" w:sz="0" w:space="0" w:color="auto"/>
      </w:divBdr>
    </w:div>
    <w:div w:id="718672333">
      <w:bodyDiv w:val="1"/>
      <w:marLeft w:val="0"/>
      <w:marRight w:val="0"/>
      <w:marTop w:val="0"/>
      <w:marBottom w:val="0"/>
      <w:divBdr>
        <w:top w:val="none" w:sz="0" w:space="0" w:color="auto"/>
        <w:left w:val="none" w:sz="0" w:space="0" w:color="auto"/>
        <w:bottom w:val="none" w:sz="0" w:space="0" w:color="auto"/>
        <w:right w:val="none" w:sz="0" w:space="0" w:color="auto"/>
      </w:divBdr>
    </w:div>
    <w:div w:id="721828993">
      <w:bodyDiv w:val="1"/>
      <w:marLeft w:val="0"/>
      <w:marRight w:val="0"/>
      <w:marTop w:val="0"/>
      <w:marBottom w:val="0"/>
      <w:divBdr>
        <w:top w:val="none" w:sz="0" w:space="0" w:color="auto"/>
        <w:left w:val="none" w:sz="0" w:space="0" w:color="auto"/>
        <w:bottom w:val="none" w:sz="0" w:space="0" w:color="auto"/>
        <w:right w:val="none" w:sz="0" w:space="0" w:color="auto"/>
      </w:divBdr>
    </w:div>
    <w:div w:id="726729877">
      <w:bodyDiv w:val="1"/>
      <w:marLeft w:val="0"/>
      <w:marRight w:val="0"/>
      <w:marTop w:val="0"/>
      <w:marBottom w:val="0"/>
      <w:divBdr>
        <w:top w:val="none" w:sz="0" w:space="0" w:color="auto"/>
        <w:left w:val="none" w:sz="0" w:space="0" w:color="auto"/>
        <w:bottom w:val="none" w:sz="0" w:space="0" w:color="auto"/>
        <w:right w:val="none" w:sz="0" w:space="0" w:color="auto"/>
      </w:divBdr>
    </w:div>
    <w:div w:id="731196608">
      <w:bodyDiv w:val="1"/>
      <w:marLeft w:val="0"/>
      <w:marRight w:val="0"/>
      <w:marTop w:val="0"/>
      <w:marBottom w:val="0"/>
      <w:divBdr>
        <w:top w:val="none" w:sz="0" w:space="0" w:color="auto"/>
        <w:left w:val="none" w:sz="0" w:space="0" w:color="auto"/>
        <w:bottom w:val="none" w:sz="0" w:space="0" w:color="auto"/>
        <w:right w:val="none" w:sz="0" w:space="0" w:color="auto"/>
      </w:divBdr>
    </w:div>
    <w:div w:id="734857091">
      <w:bodyDiv w:val="1"/>
      <w:marLeft w:val="0"/>
      <w:marRight w:val="0"/>
      <w:marTop w:val="0"/>
      <w:marBottom w:val="0"/>
      <w:divBdr>
        <w:top w:val="none" w:sz="0" w:space="0" w:color="auto"/>
        <w:left w:val="none" w:sz="0" w:space="0" w:color="auto"/>
        <w:bottom w:val="none" w:sz="0" w:space="0" w:color="auto"/>
        <w:right w:val="none" w:sz="0" w:space="0" w:color="auto"/>
      </w:divBdr>
    </w:div>
    <w:div w:id="737750317">
      <w:bodyDiv w:val="1"/>
      <w:marLeft w:val="0"/>
      <w:marRight w:val="0"/>
      <w:marTop w:val="0"/>
      <w:marBottom w:val="0"/>
      <w:divBdr>
        <w:top w:val="none" w:sz="0" w:space="0" w:color="auto"/>
        <w:left w:val="none" w:sz="0" w:space="0" w:color="auto"/>
        <w:bottom w:val="none" w:sz="0" w:space="0" w:color="auto"/>
        <w:right w:val="none" w:sz="0" w:space="0" w:color="auto"/>
      </w:divBdr>
    </w:div>
    <w:div w:id="740714405">
      <w:bodyDiv w:val="1"/>
      <w:marLeft w:val="0"/>
      <w:marRight w:val="0"/>
      <w:marTop w:val="0"/>
      <w:marBottom w:val="0"/>
      <w:divBdr>
        <w:top w:val="none" w:sz="0" w:space="0" w:color="auto"/>
        <w:left w:val="none" w:sz="0" w:space="0" w:color="auto"/>
        <w:bottom w:val="none" w:sz="0" w:space="0" w:color="auto"/>
        <w:right w:val="none" w:sz="0" w:space="0" w:color="auto"/>
      </w:divBdr>
    </w:div>
    <w:div w:id="747845791">
      <w:bodyDiv w:val="1"/>
      <w:marLeft w:val="0"/>
      <w:marRight w:val="0"/>
      <w:marTop w:val="0"/>
      <w:marBottom w:val="0"/>
      <w:divBdr>
        <w:top w:val="none" w:sz="0" w:space="0" w:color="auto"/>
        <w:left w:val="none" w:sz="0" w:space="0" w:color="auto"/>
        <w:bottom w:val="none" w:sz="0" w:space="0" w:color="auto"/>
        <w:right w:val="none" w:sz="0" w:space="0" w:color="auto"/>
      </w:divBdr>
    </w:div>
    <w:div w:id="753283995">
      <w:bodyDiv w:val="1"/>
      <w:marLeft w:val="0"/>
      <w:marRight w:val="0"/>
      <w:marTop w:val="0"/>
      <w:marBottom w:val="0"/>
      <w:divBdr>
        <w:top w:val="none" w:sz="0" w:space="0" w:color="auto"/>
        <w:left w:val="none" w:sz="0" w:space="0" w:color="auto"/>
        <w:bottom w:val="none" w:sz="0" w:space="0" w:color="auto"/>
        <w:right w:val="none" w:sz="0" w:space="0" w:color="auto"/>
      </w:divBdr>
    </w:div>
    <w:div w:id="756365269">
      <w:bodyDiv w:val="1"/>
      <w:marLeft w:val="0"/>
      <w:marRight w:val="0"/>
      <w:marTop w:val="0"/>
      <w:marBottom w:val="0"/>
      <w:divBdr>
        <w:top w:val="none" w:sz="0" w:space="0" w:color="auto"/>
        <w:left w:val="none" w:sz="0" w:space="0" w:color="auto"/>
        <w:bottom w:val="none" w:sz="0" w:space="0" w:color="auto"/>
        <w:right w:val="none" w:sz="0" w:space="0" w:color="auto"/>
      </w:divBdr>
    </w:div>
    <w:div w:id="761881379">
      <w:bodyDiv w:val="1"/>
      <w:marLeft w:val="0"/>
      <w:marRight w:val="0"/>
      <w:marTop w:val="0"/>
      <w:marBottom w:val="0"/>
      <w:divBdr>
        <w:top w:val="none" w:sz="0" w:space="0" w:color="auto"/>
        <w:left w:val="none" w:sz="0" w:space="0" w:color="auto"/>
        <w:bottom w:val="none" w:sz="0" w:space="0" w:color="auto"/>
        <w:right w:val="none" w:sz="0" w:space="0" w:color="auto"/>
      </w:divBdr>
    </w:div>
    <w:div w:id="762143315">
      <w:bodyDiv w:val="1"/>
      <w:marLeft w:val="0"/>
      <w:marRight w:val="0"/>
      <w:marTop w:val="0"/>
      <w:marBottom w:val="0"/>
      <w:divBdr>
        <w:top w:val="none" w:sz="0" w:space="0" w:color="auto"/>
        <w:left w:val="none" w:sz="0" w:space="0" w:color="auto"/>
        <w:bottom w:val="none" w:sz="0" w:space="0" w:color="auto"/>
        <w:right w:val="none" w:sz="0" w:space="0" w:color="auto"/>
      </w:divBdr>
    </w:div>
    <w:div w:id="762916676">
      <w:bodyDiv w:val="1"/>
      <w:marLeft w:val="0"/>
      <w:marRight w:val="0"/>
      <w:marTop w:val="0"/>
      <w:marBottom w:val="0"/>
      <w:divBdr>
        <w:top w:val="none" w:sz="0" w:space="0" w:color="auto"/>
        <w:left w:val="none" w:sz="0" w:space="0" w:color="auto"/>
        <w:bottom w:val="none" w:sz="0" w:space="0" w:color="auto"/>
        <w:right w:val="none" w:sz="0" w:space="0" w:color="auto"/>
      </w:divBdr>
    </w:div>
    <w:div w:id="765928731">
      <w:bodyDiv w:val="1"/>
      <w:marLeft w:val="0"/>
      <w:marRight w:val="0"/>
      <w:marTop w:val="0"/>
      <w:marBottom w:val="0"/>
      <w:divBdr>
        <w:top w:val="none" w:sz="0" w:space="0" w:color="auto"/>
        <w:left w:val="none" w:sz="0" w:space="0" w:color="auto"/>
        <w:bottom w:val="none" w:sz="0" w:space="0" w:color="auto"/>
        <w:right w:val="none" w:sz="0" w:space="0" w:color="auto"/>
      </w:divBdr>
    </w:div>
    <w:div w:id="771245690">
      <w:bodyDiv w:val="1"/>
      <w:marLeft w:val="0"/>
      <w:marRight w:val="0"/>
      <w:marTop w:val="0"/>
      <w:marBottom w:val="0"/>
      <w:divBdr>
        <w:top w:val="none" w:sz="0" w:space="0" w:color="auto"/>
        <w:left w:val="none" w:sz="0" w:space="0" w:color="auto"/>
        <w:bottom w:val="none" w:sz="0" w:space="0" w:color="auto"/>
        <w:right w:val="none" w:sz="0" w:space="0" w:color="auto"/>
      </w:divBdr>
    </w:div>
    <w:div w:id="772483127">
      <w:bodyDiv w:val="1"/>
      <w:marLeft w:val="0"/>
      <w:marRight w:val="0"/>
      <w:marTop w:val="0"/>
      <w:marBottom w:val="0"/>
      <w:divBdr>
        <w:top w:val="none" w:sz="0" w:space="0" w:color="auto"/>
        <w:left w:val="none" w:sz="0" w:space="0" w:color="auto"/>
        <w:bottom w:val="none" w:sz="0" w:space="0" w:color="auto"/>
        <w:right w:val="none" w:sz="0" w:space="0" w:color="auto"/>
      </w:divBdr>
    </w:div>
    <w:div w:id="775828882">
      <w:bodyDiv w:val="1"/>
      <w:marLeft w:val="0"/>
      <w:marRight w:val="0"/>
      <w:marTop w:val="0"/>
      <w:marBottom w:val="0"/>
      <w:divBdr>
        <w:top w:val="none" w:sz="0" w:space="0" w:color="auto"/>
        <w:left w:val="none" w:sz="0" w:space="0" w:color="auto"/>
        <w:bottom w:val="none" w:sz="0" w:space="0" w:color="auto"/>
        <w:right w:val="none" w:sz="0" w:space="0" w:color="auto"/>
      </w:divBdr>
    </w:div>
    <w:div w:id="777918481">
      <w:bodyDiv w:val="1"/>
      <w:marLeft w:val="0"/>
      <w:marRight w:val="0"/>
      <w:marTop w:val="0"/>
      <w:marBottom w:val="0"/>
      <w:divBdr>
        <w:top w:val="none" w:sz="0" w:space="0" w:color="auto"/>
        <w:left w:val="none" w:sz="0" w:space="0" w:color="auto"/>
        <w:bottom w:val="none" w:sz="0" w:space="0" w:color="auto"/>
        <w:right w:val="none" w:sz="0" w:space="0" w:color="auto"/>
      </w:divBdr>
    </w:div>
    <w:div w:id="782580575">
      <w:bodyDiv w:val="1"/>
      <w:marLeft w:val="0"/>
      <w:marRight w:val="0"/>
      <w:marTop w:val="0"/>
      <w:marBottom w:val="0"/>
      <w:divBdr>
        <w:top w:val="none" w:sz="0" w:space="0" w:color="auto"/>
        <w:left w:val="none" w:sz="0" w:space="0" w:color="auto"/>
        <w:bottom w:val="none" w:sz="0" w:space="0" w:color="auto"/>
        <w:right w:val="none" w:sz="0" w:space="0" w:color="auto"/>
      </w:divBdr>
    </w:div>
    <w:div w:id="785730188">
      <w:bodyDiv w:val="1"/>
      <w:marLeft w:val="0"/>
      <w:marRight w:val="0"/>
      <w:marTop w:val="0"/>
      <w:marBottom w:val="0"/>
      <w:divBdr>
        <w:top w:val="none" w:sz="0" w:space="0" w:color="auto"/>
        <w:left w:val="none" w:sz="0" w:space="0" w:color="auto"/>
        <w:bottom w:val="none" w:sz="0" w:space="0" w:color="auto"/>
        <w:right w:val="none" w:sz="0" w:space="0" w:color="auto"/>
      </w:divBdr>
    </w:div>
    <w:div w:id="799107309">
      <w:bodyDiv w:val="1"/>
      <w:marLeft w:val="0"/>
      <w:marRight w:val="0"/>
      <w:marTop w:val="0"/>
      <w:marBottom w:val="0"/>
      <w:divBdr>
        <w:top w:val="none" w:sz="0" w:space="0" w:color="auto"/>
        <w:left w:val="none" w:sz="0" w:space="0" w:color="auto"/>
        <w:bottom w:val="none" w:sz="0" w:space="0" w:color="auto"/>
        <w:right w:val="none" w:sz="0" w:space="0" w:color="auto"/>
      </w:divBdr>
    </w:div>
    <w:div w:id="799305029">
      <w:bodyDiv w:val="1"/>
      <w:marLeft w:val="0"/>
      <w:marRight w:val="0"/>
      <w:marTop w:val="0"/>
      <w:marBottom w:val="0"/>
      <w:divBdr>
        <w:top w:val="none" w:sz="0" w:space="0" w:color="auto"/>
        <w:left w:val="none" w:sz="0" w:space="0" w:color="auto"/>
        <w:bottom w:val="none" w:sz="0" w:space="0" w:color="auto"/>
        <w:right w:val="none" w:sz="0" w:space="0" w:color="auto"/>
      </w:divBdr>
    </w:div>
    <w:div w:id="800919512">
      <w:bodyDiv w:val="1"/>
      <w:marLeft w:val="0"/>
      <w:marRight w:val="0"/>
      <w:marTop w:val="0"/>
      <w:marBottom w:val="0"/>
      <w:divBdr>
        <w:top w:val="none" w:sz="0" w:space="0" w:color="auto"/>
        <w:left w:val="none" w:sz="0" w:space="0" w:color="auto"/>
        <w:bottom w:val="none" w:sz="0" w:space="0" w:color="auto"/>
        <w:right w:val="none" w:sz="0" w:space="0" w:color="auto"/>
      </w:divBdr>
    </w:div>
    <w:div w:id="803892869">
      <w:bodyDiv w:val="1"/>
      <w:marLeft w:val="0"/>
      <w:marRight w:val="0"/>
      <w:marTop w:val="0"/>
      <w:marBottom w:val="0"/>
      <w:divBdr>
        <w:top w:val="none" w:sz="0" w:space="0" w:color="auto"/>
        <w:left w:val="none" w:sz="0" w:space="0" w:color="auto"/>
        <w:bottom w:val="none" w:sz="0" w:space="0" w:color="auto"/>
        <w:right w:val="none" w:sz="0" w:space="0" w:color="auto"/>
      </w:divBdr>
    </w:div>
    <w:div w:id="807937248">
      <w:bodyDiv w:val="1"/>
      <w:marLeft w:val="0"/>
      <w:marRight w:val="0"/>
      <w:marTop w:val="0"/>
      <w:marBottom w:val="0"/>
      <w:divBdr>
        <w:top w:val="none" w:sz="0" w:space="0" w:color="auto"/>
        <w:left w:val="none" w:sz="0" w:space="0" w:color="auto"/>
        <w:bottom w:val="none" w:sz="0" w:space="0" w:color="auto"/>
        <w:right w:val="none" w:sz="0" w:space="0" w:color="auto"/>
      </w:divBdr>
    </w:div>
    <w:div w:id="809245518">
      <w:bodyDiv w:val="1"/>
      <w:marLeft w:val="0"/>
      <w:marRight w:val="0"/>
      <w:marTop w:val="0"/>
      <w:marBottom w:val="0"/>
      <w:divBdr>
        <w:top w:val="none" w:sz="0" w:space="0" w:color="auto"/>
        <w:left w:val="none" w:sz="0" w:space="0" w:color="auto"/>
        <w:bottom w:val="none" w:sz="0" w:space="0" w:color="auto"/>
        <w:right w:val="none" w:sz="0" w:space="0" w:color="auto"/>
      </w:divBdr>
    </w:div>
    <w:div w:id="809906734">
      <w:bodyDiv w:val="1"/>
      <w:marLeft w:val="0"/>
      <w:marRight w:val="0"/>
      <w:marTop w:val="0"/>
      <w:marBottom w:val="0"/>
      <w:divBdr>
        <w:top w:val="none" w:sz="0" w:space="0" w:color="auto"/>
        <w:left w:val="none" w:sz="0" w:space="0" w:color="auto"/>
        <w:bottom w:val="none" w:sz="0" w:space="0" w:color="auto"/>
        <w:right w:val="none" w:sz="0" w:space="0" w:color="auto"/>
      </w:divBdr>
    </w:div>
    <w:div w:id="815993779">
      <w:bodyDiv w:val="1"/>
      <w:marLeft w:val="0"/>
      <w:marRight w:val="0"/>
      <w:marTop w:val="0"/>
      <w:marBottom w:val="0"/>
      <w:divBdr>
        <w:top w:val="none" w:sz="0" w:space="0" w:color="auto"/>
        <w:left w:val="none" w:sz="0" w:space="0" w:color="auto"/>
        <w:bottom w:val="none" w:sz="0" w:space="0" w:color="auto"/>
        <w:right w:val="none" w:sz="0" w:space="0" w:color="auto"/>
      </w:divBdr>
    </w:div>
    <w:div w:id="816459859">
      <w:bodyDiv w:val="1"/>
      <w:marLeft w:val="0"/>
      <w:marRight w:val="0"/>
      <w:marTop w:val="0"/>
      <w:marBottom w:val="0"/>
      <w:divBdr>
        <w:top w:val="none" w:sz="0" w:space="0" w:color="auto"/>
        <w:left w:val="none" w:sz="0" w:space="0" w:color="auto"/>
        <w:bottom w:val="none" w:sz="0" w:space="0" w:color="auto"/>
        <w:right w:val="none" w:sz="0" w:space="0" w:color="auto"/>
      </w:divBdr>
    </w:div>
    <w:div w:id="816461779">
      <w:bodyDiv w:val="1"/>
      <w:marLeft w:val="0"/>
      <w:marRight w:val="0"/>
      <w:marTop w:val="0"/>
      <w:marBottom w:val="0"/>
      <w:divBdr>
        <w:top w:val="none" w:sz="0" w:space="0" w:color="auto"/>
        <w:left w:val="none" w:sz="0" w:space="0" w:color="auto"/>
        <w:bottom w:val="none" w:sz="0" w:space="0" w:color="auto"/>
        <w:right w:val="none" w:sz="0" w:space="0" w:color="auto"/>
      </w:divBdr>
    </w:div>
    <w:div w:id="817188058">
      <w:bodyDiv w:val="1"/>
      <w:marLeft w:val="0"/>
      <w:marRight w:val="0"/>
      <w:marTop w:val="0"/>
      <w:marBottom w:val="0"/>
      <w:divBdr>
        <w:top w:val="none" w:sz="0" w:space="0" w:color="auto"/>
        <w:left w:val="none" w:sz="0" w:space="0" w:color="auto"/>
        <w:bottom w:val="none" w:sz="0" w:space="0" w:color="auto"/>
        <w:right w:val="none" w:sz="0" w:space="0" w:color="auto"/>
      </w:divBdr>
    </w:div>
    <w:div w:id="819924323">
      <w:bodyDiv w:val="1"/>
      <w:marLeft w:val="0"/>
      <w:marRight w:val="0"/>
      <w:marTop w:val="0"/>
      <w:marBottom w:val="0"/>
      <w:divBdr>
        <w:top w:val="none" w:sz="0" w:space="0" w:color="auto"/>
        <w:left w:val="none" w:sz="0" w:space="0" w:color="auto"/>
        <w:bottom w:val="none" w:sz="0" w:space="0" w:color="auto"/>
        <w:right w:val="none" w:sz="0" w:space="0" w:color="auto"/>
      </w:divBdr>
    </w:div>
    <w:div w:id="823619720">
      <w:bodyDiv w:val="1"/>
      <w:marLeft w:val="0"/>
      <w:marRight w:val="0"/>
      <w:marTop w:val="0"/>
      <w:marBottom w:val="0"/>
      <w:divBdr>
        <w:top w:val="none" w:sz="0" w:space="0" w:color="auto"/>
        <w:left w:val="none" w:sz="0" w:space="0" w:color="auto"/>
        <w:bottom w:val="none" w:sz="0" w:space="0" w:color="auto"/>
        <w:right w:val="none" w:sz="0" w:space="0" w:color="auto"/>
      </w:divBdr>
    </w:div>
    <w:div w:id="825703330">
      <w:bodyDiv w:val="1"/>
      <w:marLeft w:val="0"/>
      <w:marRight w:val="0"/>
      <w:marTop w:val="0"/>
      <w:marBottom w:val="0"/>
      <w:divBdr>
        <w:top w:val="none" w:sz="0" w:space="0" w:color="auto"/>
        <w:left w:val="none" w:sz="0" w:space="0" w:color="auto"/>
        <w:bottom w:val="none" w:sz="0" w:space="0" w:color="auto"/>
        <w:right w:val="none" w:sz="0" w:space="0" w:color="auto"/>
      </w:divBdr>
    </w:div>
    <w:div w:id="835458136">
      <w:bodyDiv w:val="1"/>
      <w:marLeft w:val="0"/>
      <w:marRight w:val="0"/>
      <w:marTop w:val="0"/>
      <w:marBottom w:val="0"/>
      <w:divBdr>
        <w:top w:val="none" w:sz="0" w:space="0" w:color="auto"/>
        <w:left w:val="none" w:sz="0" w:space="0" w:color="auto"/>
        <w:bottom w:val="none" w:sz="0" w:space="0" w:color="auto"/>
        <w:right w:val="none" w:sz="0" w:space="0" w:color="auto"/>
      </w:divBdr>
    </w:div>
    <w:div w:id="840464112">
      <w:bodyDiv w:val="1"/>
      <w:marLeft w:val="0"/>
      <w:marRight w:val="0"/>
      <w:marTop w:val="0"/>
      <w:marBottom w:val="0"/>
      <w:divBdr>
        <w:top w:val="none" w:sz="0" w:space="0" w:color="auto"/>
        <w:left w:val="none" w:sz="0" w:space="0" w:color="auto"/>
        <w:bottom w:val="none" w:sz="0" w:space="0" w:color="auto"/>
        <w:right w:val="none" w:sz="0" w:space="0" w:color="auto"/>
      </w:divBdr>
    </w:div>
    <w:div w:id="845249077">
      <w:bodyDiv w:val="1"/>
      <w:marLeft w:val="0"/>
      <w:marRight w:val="0"/>
      <w:marTop w:val="0"/>
      <w:marBottom w:val="0"/>
      <w:divBdr>
        <w:top w:val="none" w:sz="0" w:space="0" w:color="auto"/>
        <w:left w:val="none" w:sz="0" w:space="0" w:color="auto"/>
        <w:bottom w:val="none" w:sz="0" w:space="0" w:color="auto"/>
        <w:right w:val="none" w:sz="0" w:space="0" w:color="auto"/>
      </w:divBdr>
    </w:div>
    <w:div w:id="848254781">
      <w:bodyDiv w:val="1"/>
      <w:marLeft w:val="0"/>
      <w:marRight w:val="0"/>
      <w:marTop w:val="0"/>
      <w:marBottom w:val="0"/>
      <w:divBdr>
        <w:top w:val="none" w:sz="0" w:space="0" w:color="auto"/>
        <w:left w:val="none" w:sz="0" w:space="0" w:color="auto"/>
        <w:bottom w:val="none" w:sz="0" w:space="0" w:color="auto"/>
        <w:right w:val="none" w:sz="0" w:space="0" w:color="auto"/>
      </w:divBdr>
    </w:div>
    <w:div w:id="848371856">
      <w:bodyDiv w:val="1"/>
      <w:marLeft w:val="0"/>
      <w:marRight w:val="0"/>
      <w:marTop w:val="0"/>
      <w:marBottom w:val="0"/>
      <w:divBdr>
        <w:top w:val="none" w:sz="0" w:space="0" w:color="auto"/>
        <w:left w:val="none" w:sz="0" w:space="0" w:color="auto"/>
        <w:bottom w:val="none" w:sz="0" w:space="0" w:color="auto"/>
        <w:right w:val="none" w:sz="0" w:space="0" w:color="auto"/>
      </w:divBdr>
    </w:div>
    <w:div w:id="851409175">
      <w:bodyDiv w:val="1"/>
      <w:marLeft w:val="0"/>
      <w:marRight w:val="0"/>
      <w:marTop w:val="0"/>
      <w:marBottom w:val="0"/>
      <w:divBdr>
        <w:top w:val="none" w:sz="0" w:space="0" w:color="auto"/>
        <w:left w:val="none" w:sz="0" w:space="0" w:color="auto"/>
        <w:bottom w:val="none" w:sz="0" w:space="0" w:color="auto"/>
        <w:right w:val="none" w:sz="0" w:space="0" w:color="auto"/>
      </w:divBdr>
    </w:div>
    <w:div w:id="857347902">
      <w:bodyDiv w:val="1"/>
      <w:marLeft w:val="0"/>
      <w:marRight w:val="0"/>
      <w:marTop w:val="0"/>
      <w:marBottom w:val="0"/>
      <w:divBdr>
        <w:top w:val="none" w:sz="0" w:space="0" w:color="auto"/>
        <w:left w:val="none" w:sz="0" w:space="0" w:color="auto"/>
        <w:bottom w:val="none" w:sz="0" w:space="0" w:color="auto"/>
        <w:right w:val="none" w:sz="0" w:space="0" w:color="auto"/>
      </w:divBdr>
    </w:div>
    <w:div w:id="859851417">
      <w:bodyDiv w:val="1"/>
      <w:marLeft w:val="0"/>
      <w:marRight w:val="0"/>
      <w:marTop w:val="0"/>
      <w:marBottom w:val="0"/>
      <w:divBdr>
        <w:top w:val="none" w:sz="0" w:space="0" w:color="auto"/>
        <w:left w:val="none" w:sz="0" w:space="0" w:color="auto"/>
        <w:bottom w:val="none" w:sz="0" w:space="0" w:color="auto"/>
        <w:right w:val="none" w:sz="0" w:space="0" w:color="auto"/>
      </w:divBdr>
    </w:div>
    <w:div w:id="860751726">
      <w:bodyDiv w:val="1"/>
      <w:marLeft w:val="0"/>
      <w:marRight w:val="0"/>
      <w:marTop w:val="0"/>
      <w:marBottom w:val="0"/>
      <w:divBdr>
        <w:top w:val="none" w:sz="0" w:space="0" w:color="auto"/>
        <w:left w:val="none" w:sz="0" w:space="0" w:color="auto"/>
        <w:bottom w:val="none" w:sz="0" w:space="0" w:color="auto"/>
        <w:right w:val="none" w:sz="0" w:space="0" w:color="auto"/>
      </w:divBdr>
    </w:div>
    <w:div w:id="871378307">
      <w:bodyDiv w:val="1"/>
      <w:marLeft w:val="0"/>
      <w:marRight w:val="0"/>
      <w:marTop w:val="0"/>
      <w:marBottom w:val="0"/>
      <w:divBdr>
        <w:top w:val="none" w:sz="0" w:space="0" w:color="auto"/>
        <w:left w:val="none" w:sz="0" w:space="0" w:color="auto"/>
        <w:bottom w:val="none" w:sz="0" w:space="0" w:color="auto"/>
        <w:right w:val="none" w:sz="0" w:space="0" w:color="auto"/>
      </w:divBdr>
    </w:div>
    <w:div w:id="871963673">
      <w:bodyDiv w:val="1"/>
      <w:marLeft w:val="0"/>
      <w:marRight w:val="0"/>
      <w:marTop w:val="0"/>
      <w:marBottom w:val="0"/>
      <w:divBdr>
        <w:top w:val="none" w:sz="0" w:space="0" w:color="auto"/>
        <w:left w:val="none" w:sz="0" w:space="0" w:color="auto"/>
        <w:bottom w:val="none" w:sz="0" w:space="0" w:color="auto"/>
        <w:right w:val="none" w:sz="0" w:space="0" w:color="auto"/>
      </w:divBdr>
    </w:div>
    <w:div w:id="873538695">
      <w:bodyDiv w:val="1"/>
      <w:marLeft w:val="0"/>
      <w:marRight w:val="0"/>
      <w:marTop w:val="0"/>
      <w:marBottom w:val="0"/>
      <w:divBdr>
        <w:top w:val="none" w:sz="0" w:space="0" w:color="auto"/>
        <w:left w:val="none" w:sz="0" w:space="0" w:color="auto"/>
        <w:bottom w:val="none" w:sz="0" w:space="0" w:color="auto"/>
        <w:right w:val="none" w:sz="0" w:space="0" w:color="auto"/>
      </w:divBdr>
    </w:div>
    <w:div w:id="877202949">
      <w:bodyDiv w:val="1"/>
      <w:marLeft w:val="0"/>
      <w:marRight w:val="0"/>
      <w:marTop w:val="0"/>
      <w:marBottom w:val="0"/>
      <w:divBdr>
        <w:top w:val="none" w:sz="0" w:space="0" w:color="auto"/>
        <w:left w:val="none" w:sz="0" w:space="0" w:color="auto"/>
        <w:bottom w:val="none" w:sz="0" w:space="0" w:color="auto"/>
        <w:right w:val="none" w:sz="0" w:space="0" w:color="auto"/>
      </w:divBdr>
    </w:div>
    <w:div w:id="879517103">
      <w:bodyDiv w:val="1"/>
      <w:marLeft w:val="0"/>
      <w:marRight w:val="0"/>
      <w:marTop w:val="0"/>
      <w:marBottom w:val="0"/>
      <w:divBdr>
        <w:top w:val="none" w:sz="0" w:space="0" w:color="auto"/>
        <w:left w:val="none" w:sz="0" w:space="0" w:color="auto"/>
        <w:bottom w:val="none" w:sz="0" w:space="0" w:color="auto"/>
        <w:right w:val="none" w:sz="0" w:space="0" w:color="auto"/>
      </w:divBdr>
    </w:div>
    <w:div w:id="879783471">
      <w:bodyDiv w:val="1"/>
      <w:marLeft w:val="0"/>
      <w:marRight w:val="0"/>
      <w:marTop w:val="0"/>
      <w:marBottom w:val="0"/>
      <w:divBdr>
        <w:top w:val="none" w:sz="0" w:space="0" w:color="auto"/>
        <w:left w:val="none" w:sz="0" w:space="0" w:color="auto"/>
        <w:bottom w:val="none" w:sz="0" w:space="0" w:color="auto"/>
        <w:right w:val="none" w:sz="0" w:space="0" w:color="auto"/>
      </w:divBdr>
    </w:div>
    <w:div w:id="884566265">
      <w:bodyDiv w:val="1"/>
      <w:marLeft w:val="0"/>
      <w:marRight w:val="0"/>
      <w:marTop w:val="0"/>
      <w:marBottom w:val="0"/>
      <w:divBdr>
        <w:top w:val="none" w:sz="0" w:space="0" w:color="auto"/>
        <w:left w:val="none" w:sz="0" w:space="0" w:color="auto"/>
        <w:bottom w:val="none" w:sz="0" w:space="0" w:color="auto"/>
        <w:right w:val="none" w:sz="0" w:space="0" w:color="auto"/>
      </w:divBdr>
    </w:div>
    <w:div w:id="889193482">
      <w:bodyDiv w:val="1"/>
      <w:marLeft w:val="0"/>
      <w:marRight w:val="0"/>
      <w:marTop w:val="0"/>
      <w:marBottom w:val="0"/>
      <w:divBdr>
        <w:top w:val="none" w:sz="0" w:space="0" w:color="auto"/>
        <w:left w:val="none" w:sz="0" w:space="0" w:color="auto"/>
        <w:bottom w:val="none" w:sz="0" w:space="0" w:color="auto"/>
        <w:right w:val="none" w:sz="0" w:space="0" w:color="auto"/>
      </w:divBdr>
    </w:div>
    <w:div w:id="891892485">
      <w:bodyDiv w:val="1"/>
      <w:marLeft w:val="0"/>
      <w:marRight w:val="0"/>
      <w:marTop w:val="0"/>
      <w:marBottom w:val="0"/>
      <w:divBdr>
        <w:top w:val="none" w:sz="0" w:space="0" w:color="auto"/>
        <w:left w:val="none" w:sz="0" w:space="0" w:color="auto"/>
        <w:bottom w:val="none" w:sz="0" w:space="0" w:color="auto"/>
        <w:right w:val="none" w:sz="0" w:space="0" w:color="auto"/>
      </w:divBdr>
    </w:div>
    <w:div w:id="892039340">
      <w:bodyDiv w:val="1"/>
      <w:marLeft w:val="0"/>
      <w:marRight w:val="0"/>
      <w:marTop w:val="0"/>
      <w:marBottom w:val="0"/>
      <w:divBdr>
        <w:top w:val="none" w:sz="0" w:space="0" w:color="auto"/>
        <w:left w:val="none" w:sz="0" w:space="0" w:color="auto"/>
        <w:bottom w:val="none" w:sz="0" w:space="0" w:color="auto"/>
        <w:right w:val="none" w:sz="0" w:space="0" w:color="auto"/>
      </w:divBdr>
    </w:div>
    <w:div w:id="898976025">
      <w:bodyDiv w:val="1"/>
      <w:marLeft w:val="0"/>
      <w:marRight w:val="0"/>
      <w:marTop w:val="0"/>
      <w:marBottom w:val="0"/>
      <w:divBdr>
        <w:top w:val="none" w:sz="0" w:space="0" w:color="auto"/>
        <w:left w:val="none" w:sz="0" w:space="0" w:color="auto"/>
        <w:bottom w:val="none" w:sz="0" w:space="0" w:color="auto"/>
        <w:right w:val="none" w:sz="0" w:space="0" w:color="auto"/>
      </w:divBdr>
    </w:div>
    <w:div w:id="900214580">
      <w:bodyDiv w:val="1"/>
      <w:marLeft w:val="0"/>
      <w:marRight w:val="0"/>
      <w:marTop w:val="0"/>
      <w:marBottom w:val="0"/>
      <w:divBdr>
        <w:top w:val="none" w:sz="0" w:space="0" w:color="auto"/>
        <w:left w:val="none" w:sz="0" w:space="0" w:color="auto"/>
        <w:bottom w:val="none" w:sz="0" w:space="0" w:color="auto"/>
        <w:right w:val="none" w:sz="0" w:space="0" w:color="auto"/>
      </w:divBdr>
    </w:div>
    <w:div w:id="901671745">
      <w:bodyDiv w:val="1"/>
      <w:marLeft w:val="0"/>
      <w:marRight w:val="0"/>
      <w:marTop w:val="0"/>
      <w:marBottom w:val="0"/>
      <w:divBdr>
        <w:top w:val="none" w:sz="0" w:space="0" w:color="auto"/>
        <w:left w:val="none" w:sz="0" w:space="0" w:color="auto"/>
        <w:bottom w:val="none" w:sz="0" w:space="0" w:color="auto"/>
        <w:right w:val="none" w:sz="0" w:space="0" w:color="auto"/>
      </w:divBdr>
    </w:div>
    <w:div w:id="901793212">
      <w:bodyDiv w:val="1"/>
      <w:marLeft w:val="0"/>
      <w:marRight w:val="0"/>
      <w:marTop w:val="0"/>
      <w:marBottom w:val="0"/>
      <w:divBdr>
        <w:top w:val="none" w:sz="0" w:space="0" w:color="auto"/>
        <w:left w:val="none" w:sz="0" w:space="0" w:color="auto"/>
        <w:bottom w:val="none" w:sz="0" w:space="0" w:color="auto"/>
        <w:right w:val="none" w:sz="0" w:space="0" w:color="auto"/>
      </w:divBdr>
    </w:div>
    <w:div w:id="904221321">
      <w:bodyDiv w:val="1"/>
      <w:marLeft w:val="0"/>
      <w:marRight w:val="0"/>
      <w:marTop w:val="0"/>
      <w:marBottom w:val="0"/>
      <w:divBdr>
        <w:top w:val="none" w:sz="0" w:space="0" w:color="auto"/>
        <w:left w:val="none" w:sz="0" w:space="0" w:color="auto"/>
        <w:bottom w:val="none" w:sz="0" w:space="0" w:color="auto"/>
        <w:right w:val="none" w:sz="0" w:space="0" w:color="auto"/>
      </w:divBdr>
    </w:div>
    <w:div w:id="904729494">
      <w:bodyDiv w:val="1"/>
      <w:marLeft w:val="0"/>
      <w:marRight w:val="0"/>
      <w:marTop w:val="0"/>
      <w:marBottom w:val="0"/>
      <w:divBdr>
        <w:top w:val="none" w:sz="0" w:space="0" w:color="auto"/>
        <w:left w:val="none" w:sz="0" w:space="0" w:color="auto"/>
        <w:bottom w:val="none" w:sz="0" w:space="0" w:color="auto"/>
        <w:right w:val="none" w:sz="0" w:space="0" w:color="auto"/>
      </w:divBdr>
    </w:div>
    <w:div w:id="914903316">
      <w:bodyDiv w:val="1"/>
      <w:marLeft w:val="0"/>
      <w:marRight w:val="0"/>
      <w:marTop w:val="0"/>
      <w:marBottom w:val="0"/>
      <w:divBdr>
        <w:top w:val="none" w:sz="0" w:space="0" w:color="auto"/>
        <w:left w:val="none" w:sz="0" w:space="0" w:color="auto"/>
        <w:bottom w:val="none" w:sz="0" w:space="0" w:color="auto"/>
        <w:right w:val="none" w:sz="0" w:space="0" w:color="auto"/>
      </w:divBdr>
    </w:div>
    <w:div w:id="915359632">
      <w:bodyDiv w:val="1"/>
      <w:marLeft w:val="0"/>
      <w:marRight w:val="0"/>
      <w:marTop w:val="0"/>
      <w:marBottom w:val="0"/>
      <w:divBdr>
        <w:top w:val="none" w:sz="0" w:space="0" w:color="auto"/>
        <w:left w:val="none" w:sz="0" w:space="0" w:color="auto"/>
        <w:bottom w:val="none" w:sz="0" w:space="0" w:color="auto"/>
        <w:right w:val="none" w:sz="0" w:space="0" w:color="auto"/>
      </w:divBdr>
    </w:div>
    <w:div w:id="919100133">
      <w:bodyDiv w:val="1"/>
      <w:marLeft w:val="0"/>
      <w:marRight w:val="0"/>
      <w:marTop w:val="0"/>
      <w:marBottom w:val="0"/>
      <w:divBdr>
        <w:top w:val="none" w:sz="0" w:space="0" w:color="auto"/>
        <w:left w:val="none" w:sz="0" w:space="0" w:color="auto"/>
        <w:bottom w:val="none" w:sz="0" w:space="0" w:color="auto"/>
        <w:right w:val="none" w:sz="0" w:space="0" w:color="auto"/>
      </w:divBdr>
    </w:div>
    <w:div w:id="919602859">
      <w:bodyDiv w:val="1"/>
      <w:marLeft w:val="0"/>
      <w:marRight w:val="0"/>
      <w:marTop w:val="0"/>
      <w:marBottom w:val="0"/>
      <w:divBdr>
        <w:top w:val="none" w:sz="0" w:space="0" w:color="auto"/>
        <w:left w:val="none" w:sz="0" w:space="0" w:color="auto"/>
        <w:bottom w:val="none" w:sz="0" w:space="0" w:color="auto"/>
        <w:right w:val="none" w:sz="0" w:space="0" w:color="auto"/>
      </w:divBdr>
    </w:div>
    <w:div w:id="928391392">
      <w:bodyDiv w:val="1"/>
      <w:marLeft w:val="0"/>
      <w:marRight w:val="0"/>
      <w:marTop w:val="0"/>
      <w:marBottom w:val="0"/>
      <w:divBdr>
        <w:top w:val="none" w:sz="0" w:space="0" w:color="auto"/>
        <w:left w:val="none" w:sz="0" w:space="0" w:color="auto"/>
        <w:bottom w:val="none" w:sz="0" w:space="0" w:color="auto"/>
        <w:right w:val="none" w:sz="0" w:space="0" w:color="auto"/>
      </w:divBdr>
    </w:div>
    <w:div w:id="953252857">
      <w:bodyDiv w:val="1"/>
      <w:marLeft w:val="0"/>
      <w:marRight w:val="0"/>
      <w:marTop w:val="0"/>
      <w:marBottom w:val="0"/>
      <w:divBdr>
        <w:top w:val="none" w:sz="0" w:space="0" w:color="auto"/>
        <w:left w:val="none" w:sz="0" w:space="0" w:color="auto"/>
        <w:bottom w:val="none" w:sz="0" w:space="0" w:color="auto"/>
        <w:right w:val="none" w:sz="0" w:space="0" w:color="auto"/>
      </w:divBdr>
    </w:div>
    <w:div w:id="953364774">
      <w:bodyDiv w:val="1"/>
      <w:marLeft w:val="0"/>
      <w:marRight w:val="0"/>
      <w:marTop w:val="0"/>
      <w:marBottom w:val="0"/>
      <w:divBdr>
        <w:top w:val="none" w:sz="0" w:space="0" w:color="auto"/>
        <w:left w:val="none" w:sz="0" w:space="0" w:color="auto"/>
        <w:bottom w:val="none" w:sz="0" w:space="0" w:color="auto"/>
        <w:right w:val="none" w:sz="0" w:space="0" w:color="auto"/>
      </w:divBdr>
    </w:div>
    <w:div w:id="956446203">
      <w:bodyDiv w:val="1"/>
      <w:marLeft w:val="0"/>
      <w:marRight w:val="0"/>
      <w:marTop w:val="0"/>
      <w:marBottom w:val="0"/>
      <w:divBdr>
        <w:top w:val="none" w:sz="0" w:space="0" w:color="auto"/>
        <w:left w:val="none" w:sz="0" w:space="0" w:color="auto"/>
        <w:bottom w:val="none" w:sz="0" w:space="0" w:color="auto"/>
        <w:right w:val="none" w:sz="0" w:space="0" w:color="auto"/>
      </w:divBdr>
    </w:div>
    <w:div w:id="959648884">
      <w:bodyDiv w:val="1"/>
      <w:marLeft w:val="0"/>
      <w:marRight w:val="0"/>
      <w:marTop w:val="0"/>
      <w:marBottom w:val="0"/>
      <w:divBdr>
        <w:top w:val="none" w:sz="0" w:space="0" w:color="auto"/>
        <w:left w:val="none" w:sz="0" w:space="0" w:color="auto"/>
        <w:bottom w:val="none" w:sz="0" w:space="0" w:color="auto"/>
        <w:right w:val="none" w:sz="0" w:space="0" w:color="auto"/>
      </w:divBdr>
    </w:div>
    <w:div w:id="961497118">
      <w:bodyDiv w:val="1"/>
      <w:marLeft w:val="0"/>
      <w:marRight w:val="0"/>
      <w:marTop w:val="0"/>
      <w:marBottom w:val="0"/>
      <w:divBdr>
        <w:top w:val="none" w:sz="0" w:space="0" w:color="auto"/>
        <w:left w:val="none" w:sz="0" w:space="0" w:color="auto"/>
        <w:bottom w:val="none" w:sz="0" w:space="0" w:color="auto"/>
        <w:right w:val="none" w:sz="0" w:space="0" w:color="auto"/>
      </w:divBdr>
    </w:div>
    <w:div w:id="966813975">
      <w:bodyDiv w:val="1"/>
      <w:marLeft w:val="0"/>
      <w:marRight w:val="0"/>
      <w:marTop w:val="0"/>
      <w:marBottom w:val="0"/>
      <w:divBdr>
        <w:top w:val="none" w:sz="0" w:space="0" w:color="auto"/>
        <w:left w:val="none" w:sz="0" w:space="0" w:color="auto"/>
        <w:bottom w:val="none" w:sz="0" w:space="0" w:color="auto"/>
        <w:right w:val="none" w:sz="0" w:space="0" w:color="auto"/>
      </w:divBdr>
    </w:div>
    <w:div w:id="968778577">
      <w:bodyDiv w:val="1"/>
      <w:marLeft w:val="0"/>
      <w:marRight w:val="0"/>
      <w:marTop w:val="0"/>
      <w:marBottom w:val="0"/>
      <w:divBdr>
        <w:top w:val="none" w:sz="0" w:space="0" w:color="auto"/>
        <w:left w:val="none" w:sz="0" w:space="0" w:color="auto"/>
        <w:bottom w:val="none" w:sz="0" w:space="0" w:color="auto"/>
        <w:right w:val="none" w:sz="0" w:space="0" w:color="auto"/>
      </w:divBdr>
    </w:div>
    <w:div w:id="974723366">
      <w:bodyDiv w:val="1"/>
      <w:marLeft w:val="0"/>
      <w:marRight w:val="0"/>
      <w:marTop w:val="0"/>
      <w:marBottom w:val="0"/>
      <w:divBdr>
        <w:top w:val="none" w:sz="0" w:space="0" w:color="auto"/>
        <w:left w:val="none" w:sz="0" w:space="0" w:color="auto"/>
        <w:bottom w:val="none" w:sz="0" w:space="0" w:color="auto"/>
        <w:right w:val="none" w:sz="0" w:space="0" w:color="auto"/>
      </w:divBdr>
    </w:div>
    <w:div w:id="985278785">
      <w:bodyDiv w:val="1"/>
      <w:marLeft w:val="0"/>
      <w:marRight w:val="0"/>
      <w:marTop w:val="0"/>
      <w:marBottom w:val="0"/>
      <w:divBdr>
        <w:top w:val="none" w:sz="0" w:space="0" w:color="auto"/>
        <w:left w:val="none" w:sz="0" w:space="0" w:color="auto"/>
        <w:bottom w:val="none" w:sz="0" w:space="0" w:color="auto"/>
        <w:right w:val="none" w:sz="0" w:space="0" w:color="auto"/>
      </w:divBdr>
    </w:div>
    <w:div w:id="985282360">
      <w:bodyDiv w:val="1"/>
      <w:marLeft w:val="0"/>
      <w:marRight w:val="0"/>
      <w:marTop w:val="0"/>
      <w:marBottom w:val="0"/>
      <w:divBdr>
        <w:top w:val="none" w:sz="0" w:space="0" w:color="auto"/>
        <w:left w:val="none" w:sz="0" w:space="0" w:color="auto"/>
        <w:bottom w:val="none" w:sz="0" w:space="0" w:color="auto"/>
        <w:right w:val="none" w:sz="0" w:space="0" w:color="auto"/>
      </w:divBdr>
    </w:div>
    <w:div w:id="988706026">
      <w:bodyDiv w:val="1"/>
      <w:marLeft w:val="0"/>
      <w:marRight w:val="0"/>
      <w:marTop w:val="0"/>
      <w:marBottom w:val="0"/>
      <w:divBdr>
        <w:top w:val="none" w:sz="0" w:space="0" w:color="auto"/>
        <w:left w:val="none" w:sz="0" w:space="0" w:color="auto"/>
        <w:bottom w:val="none" w:sz="0" w:space="0" w:color="auto"/>
        <w:right w:val="none" w:sz="0" w:space="0" w:color="auto"/>
      </w:divBdr>
    </w:div>
    <w:div w:id="990064744">
      <w:bodyDiv w:val="1"/>
      <w:marLeft w:val="0"/>
      <w:marRight w:val="0"/>
      <w:marTop w:val="0"/>
      <w:marBottom w:val="0"/>
      <w:divBdr>
        <w:top w:val="none" w:sz="0" w:space="0" w:color="auto"/>
        <w:left w:val="none" w:sz="0" w:space="0" w:color="auto"/>
        <w:bottom w:val="none" w:sz="0" w:space="0" w:color="auto"/>
        <w:right w:val="none" w:sz="0" w:space="0" w:color="auto"/>
      </w:divBdr>
    </w:div>
    <w:div w:id="995962520">
      <w:bodyDiv w:val="1"/>
      <w:marLeft w:val="0"/>
      <w:marRight w:val="0"/>
      <w:marTop w:val="0"/>
      <w:marBottom w:val="0"/>
      <w:divBdr>
        <w:top w:val="none" w:sz="0" w:space="0" w:color="auto"/>
        <w:left w:val="none" w:sz="0" w:space="0" w:color="auto"/>
        <w:bottom w:val="none" w:sz="0" w:space="0" w:color="auto"/>
        <w:right w:val="none" w:sz="0" w:space="0" w:color="auto"/>
      </w:divBdr>
    </w:div>
    <w:div w:id="996883278">
      <w:bodyDiv w:val="1"/>
      <w:marLeft w:val="0"/>
      <w:marRight w:val="0"/>
      <w:marTop w:val="0"/>
      <w:marBottom w:val="0"/>
      <w:divBdr>
        <w:top w:val="none" w:sz="0" w:space="0" w:color="auto"/>
        <w:left w:val="none" w:sz="0" w:space="0" w:color="auto"/>
        <w:bottom w:val="none" w:sz="0" w:space="0" w:color="auto"/>
        <w:right w:val="none" w:sz="0" w:space="0" w:color="auto"/>
      </w:divBdr>
    </w:div>
    <w:div w:id="1005060648">
      <w:bodyDiv w:val="1"/>
      <w:marLeft w:val="0"/>
      <w:marRight w:val="0"/>
      <w:marTop w:val="0"/>
      <w:marBottom w:val="0"/>
      <w:divBdr>
        <w:top w:val="none" w:sz="0" w:space="0" w:color="auto"/>
        <w:left w:val="none" w:sz="0" w:space="0" w:color="auto"/>
        <w:bottom w:val="none" w:sz="0" w:space="0" w:color="auto"/>
        <w:right w:val="none" w:sz="0" w:space="0" w:color="auto"/>
      </w:divBdr>
    </w:div>
    <w:div w:id="1007945753">
      <w:bodyDiv w:val="1"/>
      <w:marLeft w:val="0"/>
      <w:marRight w:val="0"/>
      <w:marTop w:val="0"/>
      <w:marBottom w:val="0"/>
      <w:divBdr>
        <w:top w:val="none" w:sz="0" w:space="0" w:color="auto"/>
        <w:left w:val="none" w:sz="0" w:space="0" w:color="auto"/>
        <w:bottom w:val="none" w:sz="0" w:space="0" w:color="auto"/>
        <w:right w:val="none" w:sz="0" w:space="0" w:color="auto"/>
      </w:divBdr>
    </w:div>
    <w:div w:id="1014528723">
      <w:bodyDiv w:val="1"/>
      <w:marLeft w:val="0"/>
      <w:marRight w:val="0"/>
      <w:marTop w:val="0"/>
      <w:marBottom w:val="0"/>
      <w:divBdr>
        <w:top w:val="none" w:sz="0" w:space="0" w:color="auto"/>
        <w:left w:val="none" w:sz="0" w:space="0" w:color="auto"/>
        <w:bottom w:val="none" w:sz="0" w:space="0" w:color="auto"/>
        <w:right w:val="none" w:sz="0" w:space="0" w:color="auto"/>
      </w:divBdr>
    </w:div>
    <w:div w:id="1022978785">
      <w:bodyDiv w:val="1"/>
      <w:marLeft w:val="0"/>
      <w:marRight w:val="0"/>
      <w:marTop w:val="0"/>
      <w:marBottom w:val="0"/>
      <w:divBdr>
        <w:top w:val="none" w:sz="0" w:space="0" w:color="auto"/>
        <w:left w:val="none" w:sz="0" w:space="0" w:color="auto"/>
        <w:bottom w:val="none" w:sz="0" w:space="0" w:color="auto"/>
        <w:right w:val="none" w:sz="0" w:space="0" w:color="auto"/>
      </w:divBdr>
    </w:div>
    <w:div w:id="1023021464">
      <w:bodyDiv w:val="1"/>
      <w:marLeft w:val="0"/>
      <w:marRight w:val="0"/>
      <w:marTop w:val="0"/>
      <w:marBottom w:val="0"/>
      <w:divBdr>
        <w:top w:val="none" w:sz="0" w:space="0" w:color="auto"/>
        <w:left w:val="none" w:sz="0" w:space="0" w:color="auto"/>
        <w:bottom w:val="none" w:sz="0" w:space="0" w:color="auto"/>
        <w:right w:val="none" w:sz="0" w:space="0" w:color="auto"/>
      </w:divBdr>
    </w:div>
    <w:div w:id="1024475838">
      <w:bodyDiv w:val="1"/>
      <w:marLeft w:val="0"/>
      <w:marRight w:val="0"/>
      <w:marTop w:val="0"/>
      <w:marBottom w:val="0"/>
      <w:divBdr>
        <w:top w:val="none" w:sz="0" w:space="0" w:color="auto"/>
        <w:left w:val="none" w:sz="0" w:space="0" w:color="auto"/>
        <w:bottom w:val="none" w:sz="0" w:space="0" w:color="auto"/>
        <w:right w:val="none" w:sz="0" w:space="0" w:color="auto"/>
      </w:divBdr>
    </w:div>
    <w:div w:id="1037777255">
      <w:bodyDiv w:val="1"/>
      <w:marLeft w:val="0"/>
      <w:marRight w:val="0"/>
      <w:marTop w:val="0"/>
      <w:marBottom w:val="0"/>
      <w:divBdr>
        <w:top w:val="none" w:sz="0" w:space="0" w:color="auto"/>
        <w:left w:val="none" w:sz="0" w:space="0" w:color="auto"/>
        <w:bottom w:val="none" w:sz="0" w:space="0" w:color="auto"/>
        <w:right w:val="none" w:sz="0" w:space="0" w:color="auto"/>
      </w:divBdr>
    </w:div>
    <w:div w:id="1039088442">
      <w:bodyDiv w:val="1"/>
      <w:marLeft w:val="0"/>
      <w:marRight w:val="0"/>
      <w:marTop w:val="0"/>
      <w:marBottom w:val="0"/>
      <w:divBdr>
        <w:top w:val="none" w:sz="0" w:space="0" w:color="auto"/>
        <w:left w:val="none" w:sz="0" w:space="0" w:color="auto"/>
        <w:bottom w:val="none" w:sz="0" w:space="0" w:color="auto"/>
        <w:right w:val="none" w:sz="0" w:space="0" w:color="auto"/>
      </w:divBdr>
    </w:div>
    <w:div w:id="1040321057">
      <w:bodyDiv w:val="1"/>
      <w:marLeft w:val="0"/>
      <w:marRight w:val="0"/>
      <w:marTop w:val="0"/>
      <w:marBottom w:val="0"/>
      <w:divBdr>
        <w:top w:val="none" w:sz="0" w:space="0" w:color="auto"/>
        <w:left w:val="none" w:sz="0" w:space="0" w:color="auto"/>
        <w:bottom w:val="none" w:sz="0" w:space="0" w:color="auto"/>
        <w:right w:val="none" w:sz="0" w:space="0" w:color="auto"/>
      </w:divBdr>
    </w:div>
    <w:div w:id="1045983821">
      <w:bodyDiv w:val="1"/>
      <w:marLeft w:val="0"/>
      <w:marRight w:val="0"/>
      <w:marTop w:val="0"/>
      <w:marBottom w:val="0"/>
      <w:divBdr>
        <w:top w:val="none" w:sz="0" w:space="0" w:color="auto"/>
        <w:left w:val="none" w:sz="0" w:space="0" w:color="auto"/>
        <w:bottom w:val="none" w:sz="0" w:space="0" w:color="auto"/>
        <w:right w:val="none" w:sz="0" w:space="0" w:color="auto"/>
      </w:divBdr>
    </w:div>
    <w:div w:id="1046176661">
      <w:bodyDiv w:val="1"/>
      <w:marLeft w:val="0"/>
      <w:marRight w:val="0"/>
      <w:marTop w:val="0"/>
      <w:marBottom w:val="0"/>
      <w:divBdr>
        <w:top w:val="none" w:sz="0" w:space="0" w:color="auto"/>
        <w:left w:val="none" w:sz="0" w:space="0" w:color="auto"/>
        <w:bottom w:val="none" w:sz="0" w:space="0" w:color="auto"/>
        <w:right w:val="none" w:sz="0" w:space="0" w:color="auto"/>
      </w:divBdr>
    </w:div>
    <w:div w:id="1049648406">
      <w:bodyDiv w:val="1"/>
      <w:marLeft w:val="0"/>
      <w:marRight w:val="0"/>
      <w:marTop w:val="0"/>
      <w:marBottom w:val="0"/>
      <w:divBdr>
        <w:top w:val="none" w:sz="0" w:space="0" w:color="auto"/>
        <w:left w:val="none" w:sz="0" w:space="0" w:color="auto"/>
        <w:bottom w:val="none" w:sz="0" w:space="0" w:color="auto"/>
        <w:right w:val="none" w:sz="0" w:space="0" w:color="auto"/>
      </w:divBdr>
    </w:div>
    <w:div w:id="1050954336">
      <w:bodyDiv w:val="1"/>
      <w:marLeft w:val="0"/>
      <w:marRight w:val="0"/>
      <w:marTop w:val="0"/>
      <w:marBottom w:val="0"/>
      <w:divBdr>
        <w:top w:val="none" w:sz="0" w:space="0" w:color="auto"/>
        <w:left w:val="none" w:sz="0" w:space="0" w:color="auto"/>
        <w:bottom w:val="none" w:sz="0" w:space="0" w:color="auto"/>
        <w:right w:val="none" w:sz="0" w:space="0" w:color="auto"/>
      </w:divBdr>
    </w:div>
    <w:div w:id="1056204821">
      <w:bodyDiv w:val="1"/>
      <w:marLeft w:val="0"/>
      <w:marRight w:val="0"/>
      <w:marTop w:val="0"/>
      <w:marBottom w:val="0"/>
      <w:divBdr>
        <w:top w:val="none" w:sz="0" w:space="0" w:color="auto"/>
        <w:left w:val="none" w:sz="0" w:space="0" w:color="auto"/>
        <w:bottom w:val="none" w:sz="0" w:space="0" w:color="auto"/>
        <w:right w:val="none" w:sz="0" w:space="0" w:color="auto"/>
      </w:divBdr>
    </w:div>
    <w:div w:id="1062753144">
      <w:bodyDiv w:val="1"/>
      <w:marLeft w:val="0"/>
      <w:marRight w:val="0"/>
      <w:marTop w:val="0"/>
      <w:marBottom w:val="0"/>
      <w:divBdr>
        <w:top w:val="none" w:sz="0" w:space="0" w:color="auto"/>
        <w:left w:val="none" w:sz="0" w:space="0" w:color="auto"/>
        <w:bottom w:val="none" w:sz="0" w:space="0" w:color="auto"/>
        <w:right w:val="none" w:sz="0" w:space="0" w:color="auto"/>
      </w:divBdr>
    </w:div>
    <w:div w:id="1063917956">
      <w:bodyDiv w:val="1"/>
      <w:marLeft w:val="0"/>
      <w:marRight w:val="0"/>
      <w:marTop w:val="0"/>
      <w:marBottom w:val="0"/>
      <w:divBdr>
        <w:top w:val="none" w:sz="0" w:space="0" w:color="auto"/>
        <w:left w:val="none" w:sz="0" w:space="0" w:color="auto"/>
        <w:bottom w:val="none" w:sz="0" w:space="0" w:color="auto"/>
        <w:right w:val="none" w:sz="0" w:space="0" w:color="auto"/>
      </w:divBdr>
    </w:div>
    <w:div w:id="1068385530">
      <w:bodyDiv w:val="1"/>
      <w:marLeft w:val="0"/>
      <w:marRight w:val="0"/>
      <w:marTop w:val="0"/>
      <w:marBottom w:val="0"/>
      <w:divBdr>
        <w:top w:val="none" w:sz="0" w:space="0" w:color="auto"/>
        <w:left w:val="none" w:sz="0" w:space="0" w:color="auto"/>
        <w:bottom w:val="none" w:sz="0" w:space="0" w:color="auto"/>
        <w:right w:val="none" w:sz="0" w:space="0" w:color="auto"/>
      </w:divBdr>
    </w:div>
    <w:div w:id="1068921848">
      <w:bodyDiv w:val="1"/>
      <w:marLeft w:val="0"/>
      <w:marRight w:val="0"/>
      <w:marTop w:val="0"/>
      <w:marBottom w:val="0"/>
      <w:divBdr>
        <w:top w:val="none" w:sz="0" w:space="0" w:color="auto"/>
        <w:left w:val="none" w:sz="0" w:space="0" w:color="auto"/>
        <w:bottom w:val="none" w:sz="0" w:space="0" w:color="auto"/>
        <w:right w:val="none" w:sz="0" w:space="0" w:color="auto"/>
      </w:divBdr>
    </w:div>
    <w:div w:id="1069620249">
      <w:bodyDiv w:val="1"/>
      <w:marLeft w:val="0"/>
      <w:marRight w:val="0"/>
      <w:marTop w:val="0"/>
      <w:marBottom w:val="0"/>
      <w:divBdr>
        <w:top w:val="none" w:sz="0" w:space="0" w:color="auto"/>
        <w:left w:val="none" w:sz="0" w:space="0" w:color="auto"/>
        <w:bottom w:val="none" w:sz="0" w:space="0" w:color="auto"/>
        <w:right w:val="none" w:sz="0" w:space="0" w:color="auto"/>
      </w:divBdr>
    </w:div>
    <w:div w:id="1071080321">
      <w:bodyDiv w:val="1"/>
      <w:marLeft w:val="0"/>
      <w:marRight w:val="0"/>
      <w:marTop w:val="0"/>
      <w:marBottom w:val="0"/>
      <w:divBdr>
        <w:top w:val="none" w:sz="0" w:space="0" w:color="auto"/>
        <w:left w:val="none" w:sz="0" w:space="0" w:color="auto"/>
        <w:bottom w:val="none" w:sz="0" w:space="0" w:color="auto"/>
        <w:right w:val="none" w:sz="0" w:space="0" w:color="auto"/>
      </w:divBdr>
    </w:div>
    <w:div w:id="1078281586">
      <w:bodyDiv w:val="1"/>
      <w:marLeft w:val="0"/>
      <w:marRight w:val="0"/>
      <w:marTop w:val="0"/>
      <w:marBottom w:val="0"/>
      <w:divBdr>
        <w:top w:val="none" w:sz="0" w:space="0" w:color="auto"/>
        <w:left w:val="none" w:sz="0" w:space="0" w:color="auto"/>
        <w:bottom w:val="none" w:sz="0" w:space="0" w:color="auto"/>
        <w:right w:val="none" w:sz="0" w:space="0" w:color="auto"/>
      </w:divBdr>
    </w:div>
    <w:div w:id="1079332857">
      <w:bodyDiv w:val="1"/>
      <w:marLeft w:val="0"/>
      <w:marRight w:val="0"/>
      <w:marTop w:val="0"/>
      <w:marBottom w:val="0"/>
      <w:divBdr>
        <w:top w:val="none" w:sz="0" w:space="0" w:color="auto"/>
        <w:left w:val="none" w:sz="0" w:space="0" w:color="auto"/>
        <w:bottom w:val="none" w:sz="0" w:space="0" w:color="auto"/>
        <w:right w:val="none" w:sz="0" w:space="0" w:color="auto"/>
      </w:divBdr>
    </w:div>
    <w:div w:id="1080255876">
      <w:bodyDiv w:val="1"/>
      <w:marLeft w:val="0"/>
      <w:marRight w:val="0"/>
      <w:marTop w:val="0"/>
      <w:marBottom w:val="0"/>
      <w:divBdr>
        <w:top w:val="none" w:sz="0" w:space="0" w:color="auto"/>
        <w:left w:val="none" w:sz="0" w:space="0" w:color="auto"/>
        <w:bottom w:val="none" w:sz="0" w:space="0" w:color="auto"/>
        <w:right w:val="none" w:sz="0" w:space="0" w:color="auto"/>
      </w:divBdr>
    </w:div>
    <w:div w:id="1083993106">
      <w:bodyDiv w:val="1"/>
      <w:marLeft w:val="0"/>
      <w:marRight w:val="0"/>
      <w:marTop w:val="0"/>
      <w:marBottom w:val="0"/>
      <w:divBdr>
        <w:top w:val="none" w:sz="0" w:space="0" w:color="auto"/>
        <w:left w:val="none" w:sz="0" w:space="0" w:color="auto"/>
        <w:bottom w:val="none" w:sz="0" w:space="0" w:color="auto"/>
        <w:right w:val="none" w:sz="0" w:space="0" w:color="auto"/>
      </w:divBdr>
    </w:div>
    <w:div w:id="1091780662">
      <w:bodyDiv w:val="1"/>
      <w:marLeft w:val="0"/>
      <w:marRight w:val="0"/>
      <w:marTop w:val="0"/>
      <w:marBottom w:val="0"/>
      <w:divBdr>
        <w:top w:val="none" w:sz="0" w:space="0" w:color="auto"/>
        <w:left w:val="none" w:sz="0" w:space="0" w:color="auto"/>
        <w:bottom w:val="none" w:sz="0" w:space="0" w:color="auto"/>
        <w:right w:val="none" w:sz="0" w:space="0" w:color="auto"/>
      </w:divBdr>
    </w:div>
    <w:div w:id="1093014323">
      <w:bodyDiv w:val="1"/>
      <w:marLeft w:val="0"/>
      <w:marRight w:val="0"/>
      <w:marTop w:val="0"/>
      <w:marBottom w:val="0"/>
      <w:divBdr>
        <w:top w:val="none" w:sz="0" w:space="0" w:color="auto"/>
        <w:left w:val="none" w:sz="0" w:space="0" w:color="auto"/>
        <w:bottom w:val="none" w:sz="0" w:space="0" w:color="auto"/>
        <w:right w:val="none" w:sz="0" w:space="0" w:color="auto"/>
      </w:divBdr>
    </w:div>
    <w:div w:id="1093697505">
      <w:bodyDiv w:val="1"/>
      <w:marLeft w:val="0"/>
      <w:marRight w:val="0"/>
      <w:marTop w:val="0"/>
      <w:marBottom w:val="0"/>
      <w:divBdr>
        <w:top w:val="none" w:sz="0" w:space="0" w:color="auto"/>
        <w:left w:val="none" w:sz="0" w:space="0" w:color="auto"/>
        <w:bottom w:val="none" w:sz="0" w:space="0" w:color="auto"/>
        <w:right w:val="none" w:sz="0" w:space="0" w:color="auto"/>
      </w:divBdr>
    </w:div>
    <w:div w:id="1097865118">
      <w:bodyDiv w:val="1"/>
      <w:marLeft w:val="0"/>
      <w:marRight w:val="0"/>
      <w:marTop w:val="0"/>
      <w:marBottom w:val="0"/>
      <w:divBdr>
        <w:top w:val="none" w:sz="0" w:space="0" w:color="auto"/>
        <w:left w:val="none" w:sz="0" w:space="0" w:color="auto"/>
        <w:bottom w:val="none" w:sz="0" w:space="0" w:color="auto"/>
        <w:right w:val="none" w:sz="0" w:space="0" w:color="auto"/>
      </w:divBdr>
    </w:div>
    <w:div w:id="1098140975">
      <w:bodyDiv w:val="1"/>
      <w:marLeft w:val="0"/>
      <w:marRight w:val="0"/>
      <w:marTop w:val="0"/>
      <w:marBottom w:val="0"/>
      <w:divBdr>
        <w:top w:val="none" w:sz="0" w:space="0" w:color="auto"/>
        <w:left w:val="none" w:sz="0" w:space="0" w:color="auto"/>
        <w:bottom w:val="none" w:sz="0" w:space="0" w:color="auto"/>
        <w:right w:val="none" w:sz="0" w:space="0" w:color="auto"/>
      </w:divBdr>
    </w:div>
    <w:div w:id="1098863640">
      <w:bodyDiv w:val="1"/>
      <w:marLeft w:val="0"/>
      <w:marRight w:val="0"/>
      <w:marTop w:val="0"/>
      <w:marBottom w:val="0"/>
      <w:divBdr>
        <w:top w:val="none" w:sz="0" w:space="0" w:color="auto"/>
        <w:left w:val="none" w:sz="0" w:space="0" w:color="auto"/>
        <w:bottom w:val="none" w:sz="0" w:space="0" w:color="auto"/>
        <w:right w:val="none" w:sz="0" w:space="0" w:color="auto"/>
      </w:divBdr>
    </w:div>
    <w:div w:id="1099060071">
      <w:bodyDiv w:val="1"/>
      <w:marLeft w:val="0"/>
      <w:marRight w:val="0"/>
      <w:marTop w:val="0"/>
      <w:marBottom w:val="0"/>
      <w:divBdr>
        <w:top w:val="none" w:sz="0" w:space="0" w:color="auto"/>
        <w:left w:val="none" w:sz="0" w:space="0" w:color="auto"/>
        <w:bottom w:val="none" w:sz="0" w:space="0" w:color="auto"/>
        <w:right w:val="none" w:sz="0" w:space="0" w:color="auto"/>
      </w:divBdr>
    </w:div>
    <w:div w:id="1099524812">
      <w:bodyDiv w:val="1"/>
      <w:marLeft w:val="0"/>
      <w:marRight w:val="0"/>
      <w:marTop w:val="0"/>
      <w:marBottom w:val="0"/>
      <w:divBdr>
        <w:top w:val="none" w:sz="0" w:space="0" w:color="auto"/>
        <w:left w:val="none" w:sz="0" w:space="0" w:color="auto"/>
        <w:bottom w:val="none" w:sz="0" w:space="0" w:color="auto"/>
        <w:right w:val="none" w:sz="0" w:space="0" w:color="auto"/>
      </w:divBdr>
    </w:div>
    <w:div w:id="1099714490">
      <w:bodyDiv w:val="1"/>
      <w:marLeft w:val="0"/>
      <w:marRight w:val="0"/>
      <w:marTop w:val="0"/>
      <w:marBottom w:val="0"/>
      <w:divBdr>
        <w:top w:val="none" w:sz="0" w:space="0" w:color="auto"/>
        <w:left w:val="none" w:sz="0" w:space="0" w:color="auto"/>
        <w:bottom w:val="none" w:sz="0" w:space="0" w:color="auto"/>
        <w:right w:val="none" w:sz="0" w:space="0" w:color="auto"/>
      </w:divBdr>
    </w:div>
    <w:div w:id="1101028125">
      <w:bodyDiv w:val="1"/>
      <w:marLeft w:val="0"/>
      <w:marRight w:val="0"/>
      <w:marTop w:val="0"/>
      <w:marBottom w:val="0"/>
      <w:divBdr>
        <w:top w:val="none" w:sz="0" w:space="0" w:color="auto"/>
        <w:left w:val="none" w:sz="0" w:space="0" w:color="auto"/>
        <w:bottom w:val="none" w:sz="0" w:space="0" w:color="auto"/>
        <w:right w:val="none" w:sz="0" w:space="0" w:color="auto"/>
      </w:divBdr>
    </w:div>
    <w:div w:id="1105153906">
      <w:bodyDiv w:val="1"/>
      <w:marLeft w:val="0"/>
      <w:marRight w:val="0"/>
      <w:marTop w:val="0"/>
      <w:marBottom w:val="0"/>
      <w:divBdr>
        <w:top w:val="none" w:sz="0" w:space="0" w:color="auto"/>
        <w:left w:val="none" w:sz="0" w:space="0" w:color="auto"/>
        <w:bottom w:val="none" w:sz="0" w:space="0" w:color="auto"/>
        <w:right w:val="none" w:sz="0" w:space="0" w:color="auto"/>
      </w:divBdr>
    </w:div>
    <w:div w:id="1106778132">
      <w:bodyDiv w:val="1"/>
      <w:marLeft w:val="0"/>
      <w:marRight w:val="0"/>
      <w:marTop w:val="0"/>
      <w:marBottom w:val="0"/>
      <w:divBdr>
        <w:top w:val="none" w:sz="0" w:space="0" w:color="auto"/>
        <w:left w:val="none" w:sz="0" w:space="0" w:color="auto"/>
        <w:bottom w:val="none" w:sz="0" w:space="0" w:color="auto"/>
        <w:right w:val="none" w:sz="0" w:space="0" w:color="auto"/>
      </w:divBdr>
    </w:div>
    <w:div w:id="1112672684">
      <w:bodyDiv w:val="1"/>
      <w:marLeft w:val="0"/>
      <w:marRight w:val="0"/>
      <w:marTop w:val="0"/>
      <w:marBottom w:val="0"/>
      <w:divBdr>
        <w:top w:val="none" w:sz="0" w:space="0" w:color="auto"/>
        <w:left w:val="none" w:sz="0" w:space="0" w:color="auto"/>
        <w:bottom w:val="none" w:sz="0" w:space="0" w:color="auto"/>
        <w:right w:val="none" w:sz="0" w:space="0" w:color="auto"/>
      </w:divBdr>
    </w:div>
    <w:div w:id="1116674301">
      <w:bodyDiv w:val="1"/>
      <w:marLeft w:val="0"/>
      <w:marRight w:val="0"/>
      <w:marTop w:val="0"/>
      <w:marBottom w:val="0"/>
      <w:divBdr>
        <w:top w:val="none" w:sz="0" w:space="0" w:color="auto"/>
        <w:left w:val="none" w:sz="0" w:space="0" w:color="auto"/>
        <w:bottom w:val="none" w:sz="0" w:space="0" w:color="auto"/>
        <w:right w:val="none" w:sz="0" w:space="0" w:color="auto"/>
      </w:divBdr>
    </w:div>
    <w:div w:id="1118643136">
      <w:bodyDiv w:val="1"/>
      <w:marLeft w:val="0"/>
      <w:marRight w:val="0"/>
      <w:marTop w:val="0"/>
      <w:marBottom w:val="0"/>
      <w:divBdr>
        <w:top w:val="none" w:sz="0" w:space="0" w:color="auto"/>
        <w:left w:val="none" w:sz="0" w:space="0" w:color="auto"/>
        <w:bottom w:val="none" w:sz="0" w:space="0" w:color="auto"/>
        <w:right w:val="none" w:sz="0" w:space="0" w:color="auto"/>
      </w:divBdr>
    </w:div>
    <w:div w:id="1119760961">
      <w:bodyDiv w:val="1"/>
      <w:marLeft w:val="0"/>
      <w:marRight w:val="0"/>
      <w:marTop w:val="0"/>
      <w:marBottom w:val="0"/>
      <w:divBdr>
        <w:top w:val="none" w:sz="0" w:space="0" w:color="auto"/>
        <w:left w:val="none" w:sz="0" w:space="0" w:color="auto"/>
        <w:bottom w:val="none" w:sz="0" w:space="0" w:color="auto"/>
        <w:right w:val="none" w:sz="0" w:space="0" w:color="auto"/>
      </w:divBdr>
    </w:div>
    <w:div w:id="1128165598">
      <w:bodyDiv w:val="1"/>
      <w:marLeft w:val="0"/>
      <w:marRight w:val="0"/>
      <w:marTop w:val="0"/>
      <w:marBottom w:val="0"/>
      <w:divBdr>
        <w:top w:val="none" w:sz="0" w:space="0" w:color="auto"/>
        <w:left w:val="none" w:sz="0" w:space="0" w:color="auto"/>
        <w:bottom w:val="none" w:sz="0" w:space="0" w:color="auto"/>
        <w:right w:val="none" w:sz="0" w:space="0" w:color="auto"/>
      </w:divBdr>
    </w:div>
    <w:div w:id="1132987415">
      <w:bodyDiv w:val="1"/>
      <w:marLeft w:val="0"/>
      <w:marRight w:val="0"/>
      <w:marTop w:val="0"/>
      <w:marBottom w:val="0"/>
      <w:divBdr>
        <w:top w:val="none" w:sz="0" w:space="0" w:color="auto"/>
        <w:left w:val="none" w:sz="0" w:space="0" w:color="auto"/>
        <w:bottom w:val="none" w:sz="0" w:space="0" w:color="auto"/>
        <w:right w:val="none" w:sz="0" w:space="0" w:color="auto"/>
      </w:divBdr>
    </w:div>
    <w:div w:id="1133211846">
      <w:bodyDiv w:val="1"/>
      <w:marLeft w:val="0"/>
      <w:marRight w:val="0"/>
      <w:marTop w:val="0"/>
      <w:marBottom w:val="0"/>
      <w:divBdr>
        <w:top w:val="none" w:sz="0" w:space="0" w:color="auto"/>
        <w:left w:val="none" w:sz="0" w:space="0" w:color="auto"/>
        <w:bottom w:val="none" w:sz="0" w:space="0" w:color="auto"/>
        <w:right w:val="none" w:sz="0" w:space="0" w:color="auto"/>
      </w:divBdr>
    </w:div>
    <w:div w:id="1135442784">
      <w:bodyDiv w:val="1"/>
      <w:marLeft w:val="0"/>
      <w:marRight w:val="0"/>
      <w:marTop w:val="0"/>
      <w:marBottom w:val="0"/>
      <w:divBdr>
        <w:top w:val="none" w:sz="0" w:space="0" w:color="auto"/>
        <w:left w:val="none" w:sz="0" w:space="0" w:color="auto"/>
        <w:bottom w:val="none" w:sz="0" w:space="0" w:color="auto"/>
        <w:right w:val="none" w:sz="0" w:space="0" w:color="auto"/>
      </w:divBdr>
    </w:div>
    <w:div w:id="1143083205">
      <w:bodyDiv w:val="1"/>
      <w:marLeft w:val="0"/>
      <w:marRight w:val="0"/>
      <w:marTop w:val="0"/>
      <w:marBottom w:val="0"/>
      <w:divBdr>
        <w:top w:val="none" w:sz="0" w:space="0" w:color="auto"/>
        <w:left w:val="none" w:sz="0" w:space="0" w:color="auto"/>
        <w:bottom w:val="none" w:sz="0" w:space="0" w:color="auto"/>
        <w:right w:val="none" w:sz="0" w:space="0" w:color="auto"/>
      </w:divBdr>
    </w:div>
    <w:div w:id="1143695506">
      <w:bodyDiv w:val="1"/>
      <w:marLeft w:val="0"/>
      <w:marRight w:val="0"/>
      <w:marTop w:val="0"/>
      <w:marBottom w:val="0"/>
      <w:divBdr>
        <w:top w:val="none" w:sz="0" w:space="0" w:color="auto"/>
        <w:left w:val="none" w:sz="0" w:space="0" w:color="auto"/>
        <w:bottom w:val="none" w:sz="0" w:space="0" w:color="auto"/>
        <w:right w:val="none" w:sz="0" w:space="0" w:color="auto"/>
      </w:divBdr>
    </w:div>
    <w:div w:id="1144007023">
      <w:bodyDiv w:val="1"/>
      <w:marLeft w:val="0"/>
      <w:marRight w:val="0"/>
      <w:marTop w:val="0"/>
      <w:marBottom w:val="0"/>
      <w:divBdr>
        <w:top w:val="none" w:sz="0" w:space="0" w:color="auto"/>
        <w:left w:val="none" w:sz="0" w:space="0" w:color="auto"/>
        <w:bottom w:val="none" w:sz="0" w:space="0" w:color="auto"/>
        <w:right w:val="none" w:sz="0" w:space="0" w:color="auto"/>
      </w:divBdr>
    </w:div>
    <w:div w:id="1149176730">
      <w:bodyDiv w:val="1"/>
      <w:marLeft w:val="0"/>
      <w:marRight w:val="0"/>
      <w:marTop w:val="0"/>
      <w:marBottom w:val="0"/>
      <w:divBdr>
        <w:top w:val="none" w:sz="0" w:space="0" w:color="auto"/>
        <w:left w:val="none" w:sz="0" w:space="0" w:color="auto"/>
        <w:bottom w:val="none" w:sz="0" w:space="0" w:color="auto"/>
        <w:right w:val="none" w:sz="0" w:space="0" w:color="auto"/>
      </w:divBdr>
    </w:div>
    <w:div w:id="1150557219">
      <w:bodyDiv w:val="1"/>
      <w:marLeft w:val="0"/>
      <w:marRight w:val="0"/>
      <w:marTop w:val="0"/>
      <w:marBottom w:val="0"/>
      <w:divBdr>
        <w:top w:val="none" w:sz="0" w:space="0" w:color="auto"/>
        <w:left w:val="none" w:sz="0" w:space="0" w:color="auto"/>
        <w:bottom w:val="none" w:sz="0" w:space="0" w:color="auto"/>
        <w:right w:val="none" w:sz="0" w:space="0" w:color="auto"/>
      </w:divBdr>
    </w:div>
    <w:div w:id="1154493214">
      <w:bodyDiv w:val="1"/>
      <w:marLeft w:val="0"/>
      <w:marRight w:val="0"/>
      <w:marTop w:val="0"/>
      <w:marBottom w:val="0"/>
      <w:divBdr>
        <w:top w:val="none" w:sz="0" w:space="0" w:color="auto"/>
        <w:left w:val="none" w:sz="0" w:space="0" w:color="auto"/>
        <w:bottom w:val="none" w:sz="0" w:space="0" w:color="auto"/>
        <w:right w:val="none" w:sz="0" w:space="0" w:color="auto"/>
      </w:divBdr>
    </w:div>
    <w:div w:id="1169246703">
      <w:bodyDiv w:val="1"/>
      <w:marLeft w:val="0"/>
      <w:marRight w:val="0"/>
      <w:marTop w:val="0"/>
      <w:marBottom w:val="0"/>
      <w:divBdr>
        <w:top w:val="none" w:sz="0" w:space="0" w:color="auto"/>
        <w:left w:val="none" w:sz="0" w:space="0" w:color="auto"/>
        <w:bottom w:val="none" w:sz="0" w:space="0" w:color="auto"/>
        <w:right w:val="none" w:sz="0" w:space="0" w:color="auto"/>
      </w:divBdr>
    </w:div>
    <w:div w:id="1169440523">
      <w:bodyDiv w:val="1"/>
      <w:marLeft w:val="0"/>
      <w:marRight w:val="0"/>
      <w:marTop w:val="0"/>
      <w:marBottom w:val="0"/>
      <w:divBdr>
        <w:top w:val="none" w:sz="0" w:space="0" w:color="auto"/>
        <w:left w:val="none" w:sz="0" w:space="0" w:color="auto"/>
        <w:bottom w:val="none" w:sz="0" w:space="0" w:color="auto"/>
        <w:right w:val="none" w:sz="0" w:space="0" w:color="auto"/>
      </w:divBdr>
    </w:div>
    <w:div w:id="1176769040">
      <w:bodyDiv w:val="1"/>
      <w:marLeft w:val="0"/>
      <w:marRight w:val="0"/>
      <w:marTop w:val="0"/>
      <w:marBottom w:val="0"/>
      <w:divBdr>
        <w:top w:val="none" w:sz="0" w:space="0" w:color="auto"/>
        <w:left w:val="none" w:sz="0" w:space="0" w:color="auto"/>
        <w:bottom w:val="none" w:sz="0" w:space="0" w:color="auto"/>
        <w:right w:val="none" w:sz="0" w:space="0" w:color="auto"/>
      </w:divBdr>
    </w:div>
    <w:div w:id="1177890196">
      <w:bodyDiv w:val="1"/>
      <w:marLeft w:val="0"/>
      <w:marRight w:val="0"/>
      <w:marTop w:val="0"/>
      <w:marBottom w:val="0"/>
      <w:divBdr>
        <w:top w:val="none" w:sz="0" w:space="0" w:color="auto"/>
        <w:left w:val="none" w:sz="0" w:space="0" w:color="auto"/>
        <w:bottom w:val="none" w:sz="0" w:space="0" w:color="auto"/>
        <w:right w:val="none" w:sz="0" w:space="0" w:color="auto"/>
      </w:divBdr>
    </w:div>
    <w:div w:id="1178034954">
      <w:bodyDiv w:val="1"/>
      <w:marLeft w:val="0"/>
      <w:marRight w:val="0"/>
      <w:marTop w:val="0"/>
      <w:marBottom w:val="0"/>
      <w:divBdr>
        <w:top w:val="none" w:sz="0" w:space="0" w:color="auto"/>
        <w:left w:val="none" w:sz="0" w:space="0" w:color="auto"/>
        <w:bottom w:val="none" w:sz="0" w:space="0" w:color="auto"/>
        <w:right w:val="none" w:sz="0" w:space="0" w:color="auto"/>
      </w:divBdr>
    </w:div>
    <w:div w:id="1178227105">
      <w:bodyDiv w:val="1"/>
      <w:marLeft w:val="0"/>
      <w:marRight w:val="0"/>
      <w:marTop w:val="0"/>
      <w:marBottom w:val="0"/>
      <w:divBdr>
        <w:top w:val="none" w:sz="0" w:space="0" w:color="auto"/>
        <w:left w:val="none" w:sz="0" w:space="0" w:color="auto"/>
        <w:bottom w:val="none" w:sz="0" w:space="0" w:color="auto"/>
        <w:right w:val="none" w:sz="0" w:space="0" w:color="auto"/>
      </w:divBdr>
    </w:div>
    <w:div w:id="1184636403">
      <w:bodyDiv w:val="1"/>
      <w:marLeft w:val="0"/>
      <w:marRight w:val="0"/>
      <w:marTop w:val="0"/>
      <w:marBottom w:val="0"/>
      <w:divBdr>
        <w:top w:val="none" w:sz="0" w:space="0" w:color="auto"/>
        <w:left w:val="none" w:sz="0" w:space="0" w:color="auto"/>
        <w:bottom w:val="none" w:sz="0" w:space="0" w:color="auto"/>
        <w:right w:val="none" w:sz="0" w:space="0" w:color="auto"/>
      </w:divBdr>
    </w:div>
    <w:div w:id="1187598625">
      <w:bodyDiv w:val="1"/>
      <w:marLeft w:val="0"/>
      <w:marRight w:val="0"/>
      <w:marTop w:val="0"/>
      <w:marBottom w:val="0"/>
      <w:divBdr>
        <w:top w:val="none" w:sz="0" w:space="0" w:color="auto"/>
        <w:left w:val="none" w:sz="0" w:space="0" w:color="auto"/>
        <w:bottom w:val="none" w:sz="0" w:space="0" w:color="auto"/>
        <w:right w:val="none" w:sz="0" w:space="0" w:color="auto"/>
      </w:divBdr>
    </w:div>
    <w:div w:id="1193543154">
      <w:bodyDiv w:val="1"/>
      <w:marLeft w:val="0"/>
      <w:marRight w:val="0"/>
      <w:marTop w:val="0"/>
      <w:marBottom w:val="0"/>
      <w:divBdr>
        <w:top w:val="none" w:sz="0" w:space="0" w:color="auto"/>
        <w:left w:val="none" w:sz="0" w:space="0" w:color="auto"/>
        <w:bottom w:val="none" w:sz="0" w:space="0" w:color="auto"/>
        <w:right w:val="none" w:sz="0" w:space="0" w:color="auto"/>
      </w:divBdr>
    </w:div>
    <w:div w:id="1194727955">
      <w:bodyDiv w:val="1"/>
      <w:marLeft w:val="0"/>
      <w:marRight w:val="0"/>
      <w:marTop w:val="0"/>
      <w:marBottom w:val="0"/>
      <w:divBdr>
        <w:top w:val="none" w:sz="0" w:space="0" w:color="auto"/>
        <w:left w:val="none" w:sz="0" w:space="0" w:color="auto"/>
        <w:bottom w:val="none" w:sz="0" w:space="0" w:color="auto"/>
        <w:right w:val="none" w:sz="0" w:space="0" w:color="auto"/>
      </w:divBdr>
    </w:div>
    <w:div w:id="1196963446">
      <w:bodyDiv w:val="1"/>
      <w:marLeft w:val="0"/>
      <w:marRight w:val="0"/>
      <w:marTop w:val="0"/>
      <w:marBottom w:val="0"/>
      <w:divBdr>
        <w:top w:val="none" w:sz="0" w:space="0" w:color="auto"/>
        <w:left w:val="none" w:sz="0" w:space="0" w:color="auto"/>
        <w:bottom w:val="none" w:sz="0" w:space="0" w:color="auto"/>
        <w:right w:val="none" w:sz="0" w:space="0" w:color="auto"/>
      </w:divBdr>
    </w:div>
    <w:div w:id="1197500817">
      <w:bodyDiv w:val="1"/>
      <w:marLeft w:val="0"/>
      <w:marRight w:val="0"/>
      <w:marTop w:val="0"/>
      <w:marBottom w:val="0"/>
      <w:divBdr>
        <w:top w:val="none" w:sz="0" w:space="0" w:color="auto"/>
        <w:left w:val="none" w:sz="0" w:space="0" w:color="auto"/>
        <w:bottom w:val="none" w:sz="0" w:space="0" w:color="auto"/>
        <w:right w:val="none" w:sz="0" w:space="0" w:color="auto"/>
      </w:divBdr>
    </w:div>
    <w:div w:id="1201088326">
      <w:bodyDiv w:val="1"/>
      <w:marLeft w:val="0"/>
      <w:marRight w:val="0"/>
      <w:marTop w:val="0"/>
      <w:marBottom w:val="0"/>
      <w:divBdr>
        <w:top w:val="none" w:sz="0" w:space="0" w:color="auto"/>
        <w:left w:val="none" w:sz="0" w:space="0" w:color="auto"/>
        <w:bottom w:val="none" w:sz="0" w:space="0" w:color="auto"/>
        <w:right w:val="none" w:sz="0" w:space="0" w:color="auto"/>
      </w:divBdr>
    </w:div>
    <w:div w:id="1201359232">
      <w:bodyDiv w:val="1"/>
      <w:marLeft w:val="0"/>
      <w:marRight w:val="0"/>
      <w:marTop w:val="0"/>
      <w:marBottom w:val="0"/>
      <w:divBdr>
        <w:top w:val="none" w:sz="0" w:space="0" w:color="auto"/>
        <w:left w:val="none" w:sz="0" w:space="0" w:color="auto"/>
        <w:bottom w:val="none" w:sz="0" w:space="0" w:color="auto"/>
        <w:right w:val="none" w:sz="0" w:space="0" w:color="auto"/>
      </w:divBdr>
    </w:div>
    <w:div w:id="1208757417">
      <w:bodyDiv w:val="1"/>
      <w:marLeft w:val="0"/>
      <w:marRight w:val="0"/>
      <w:marTop w:val="0"/>
      <w:marBottom w:val="0"/>
      <w:divBdr>
        <w:top w:val="none" w:sz="0" w:space="0" w:color="auto"/>
        <w:left w:val="none" w:sz="0" w:space="0" w:color="auto"/>
        <w:bottom w:val="none" w:sz="0" w:space="0" w:color="auto"/>
        <w:right w:val="none" w:sz="0" w:space="0" w:color="auto"/>
      </w:divBdr>
    </w:div>
    <w:div w:id="1210843137">
      <w:bodyDiv w:val="1"/>
      <w:marLeft w:val="0"/>
      <w:marRight w:val="0"/>
      <w:marTop w:val="0"/>
      <w:marBottom w:val="0"/>
      <w:divBdr>
        <w:top w:val="none" w:sz="0" w:space="0" w:color="auto"/>
        <w:left w:val="none" w:sz="0" w:space="0" w:color="auto"/>
        <w:bottom w:val="none" w:sz="0" w:space="0" w:color="auto"/>
        <w:right w:val="none" w:sz="0" w:space="0" w:color="auto"/>
      </w:divBdr>
    </w:div>
    <w:div w:id="1213692459">
      <w:bodyDiv w:val="1"/>
      <w:marLeft w:val="0"/>
      <w:marRight w:val="0"/>
      <w:marTop w:val="0"/>
      <w:marBottom w:val="0"/>
      <w:divBdr>
        <w:top w:val="none" w:sz="0" w:space="0" w:color="auto"/>
        <w:left w:val="none" w:sz="0" w:space="0" w:color="auto"/>
        <w:bottom w:val="none" w:sz="0" w:space="0" w:color="auto"/>
        <w:right w:val="none" w:sz="0" w:space="0" w:color="auto"/>
      </w:divBdr>
    </w:div>
    <w:div w:id="1215897727">
      <w:bodyDiv w:val="1"/>
      <w:marLeft w:val="0"/>
      <w:marRight w:val="0"/>
      <w:marTop w:val="0"/>
      <w:marBottom w:val="0"/>
      <w:divBdr>
        <w:top w:val="none" w:sz="0" w:space="0" w:color="auto"/>
        <w:left w:val="none" w:sz="0" w:space="0" w:color="auto"/>
        <w:bottom w:val="none" w:sz="0" w:space="0" w:color="auto"/>
        <w:right w:val="none" w:sz="0" w:space="0" w:color="auto"/>
      </w:divBdr>
    </w:div>
    <w:div w:id="1218008223">
      <w:bodyDiv w:val="1"/>
      <w:marLeft w:val="0"/>
      <w:marRight w:val="0"/>
      <w:marTop w:val="0"/>
      <w:marBottom w:val="0"/>
      <w:divBdr>
        <w:top w:val="none" w:sz="0" w:space="0" w:color="auto"/>
        <w:left w:val="none" w:sz="0" w:space="0" w:color="auto"/>
        <w:bottom w:val="none" w:sz="0" w:space="0" w:color="auto"/>
        <w:right w:val="none" w:sz="0" w:space="0" w:color="auto"/>
      </w:divBdr>
    </w:div>
    <w:div w:id="1218199764">
      <w:bodyDiv w:val="1"/>
      <w:marLeft w:val="0"/>
      <w:marRight w:val="0"/>
      <w:marTop w:val="0"/>
      <w:marBottom w:val="0"/>
      <w:divBdr>
        <w:top w:val="none" w:sz="0" w:space="0" w:color="auto"/>
        <w:left w:val="none" w:sz="0" w:space="0" w:color="auto"/>
        <w:bottom w:val="none" w:sz="0" w:space="0" w:color="auto"/>
        <w:right w:val="none" w:sz="0" w:space="0" w:color="auto"/>
      </w:divBdr>
    </w:div>
    <w:div w:id="1225607416">
      <w:bodyDiv w:val="1"/>
      <w:marLeft w:val="0"/>
      <w:marRight w:val="0"/>
      <w:marTop w:val="0"/>
      <w:marBottom w:val="0"/>
      <w:divBdr>
        <w:top w:val="none" w:sz="0" w:space="0" w:color="auto"/>
        <w:left w:val="none" w:sz="0" w:space="0" w:color="auto"/>
        <w:bottom w:val="none" w:sz="0" w:space="0" w:color="auto"/>
        <w:right w:val="none" w:sz="0" w:space="0" w:color="auto"/>
      </w:divBdr>
    </w:div>
    <w:div w:id="1226181620">
      <w:bodyDiv w:val="1"/>
      <w:marLeft w:val="0"/>
      <w:marRight w:val="0"/>
      <w:marTop w:val="0"/>
      <w:marBottom w:val="0"/>
      <w:divBdr>
        <w:top w:val="none" w:sz="0" w:space="0" w:color="auto"/>
        <w:left w:val="none" w:sz="0" w:space="0" w:color="auto"/>
        <w:bottom w:val="none" w:sz="0" w:space="0" w:color="auto"/>
        <w:right w:val="none" w:sz="0" w:space="0" w:color="auto"/>
      </w:divBdr>
    </w:div>
    <w:div w:id="1228107897">
      <w:bodyDiv w:val="1"/>
      <w:marLeft w:val="0"/>
      <w:marRight w:val="0"/>
      <w:marTop w:val="0"/>
      <w:marBottom w:val="0"/>
      <w:divBdr>
        <w:top w:val="none" w:sz="0" w:space="0" w:color="auto"/>
        <w:left w:val="none" w:sz="0" w:space="0" w:color="auto"/>
        <w:bottom w:val="none" w:sz="0" w:space="0" w:color="auto"/>
        <w:right w:val="none" w:sz="0" w:space="0" w:color="auto"/>
      </w:divBdr>
    </w:div>
    <w:div w:id="1228148772">
      <w:bodyDiv w:val="1"/>
      <w:marLeft w:val="0"/>
      <w:marRight w:val="0"/>
      <w:marTop w:val="0"/>
      <w:marBottom w:val="0"/>
      <w:divBdr>
        <w:top w:val="none" w:sz="0" w:space="0" w:color="auto"/>
        <w:left w:val="none" w:sz="0" w:space="0" w:color="auto"/>
        <w:bottom w:val="none" w:sz="0" w:space="0" w:color="auto"/>
        <w:right w:val="none" w:sz="0" w:space="0" w:color="auto"/>
      </w:divBdr>
    </w:div>
    <w:div w:id="1232227624">
      <w:bodyDiv w:val="1"/>
      <w:marLeft w:val="0"/>
      <w:marRight w:val="0"/>
      <w:marTop w:val="0"/>
      <w:marBottom w:val="0"/>
      <w:divBdr>
        <w:top w:val="none" w:sz="0" w:space="0" w:color="auto"/>
        <w:left w:val="none" w:sz="0" w:space="0" w:color="auto"/>
        <w:bottom w:val="none" w:sz="0" w:space="0" w:color="auto"/>
        <w:right w:val="none" w:sz="0" w:space="0" w:color="auto"/>
      </w:divBdr>
    </w:div>
    <w:div w:id="1234967545">
      <w:bodyDiv w:val="1"/>
      <w:marLeft w:val="0"/>
      <w:marRight w:val="0"/>
      <w:marTop w:val="0"/>
      <w:marBottom w:val="0"/>
      <w:divBdr>
        <w:top w:val="none" w:sz="0" w:space="0" w:color="auto"/>
        <w:left w:val="none" w:sz="0" w:space="0" w:color="auto"/>
        <w:bottom w:val="none" w:sz="0" w:space="0" w:color="auto"/>
        <w:right w:val="none" w:sz="0" w:space="0" w:color="auto"/>
      </w:divBdr>
    </w:div>
    <w:div w:id="1237397341">
      <w:bodyDiv w:val="1"/>
      <w:marLeft w:val="0"/>
      <w:marRight w:val="0"/>
      <w:marTop w:val="0"/>
      <w:marBottom w:val="0"/>
      <w:divBdr>
        <w:top w:val="none" w:sz="0" w:space="0" w:color="auto"/>
        <w:left w:val="none" w:sz="0" w:space="0" w:color="auto"/>
        <w:bottom w:val="none" w:sz="0" w:space="0" w:color="auto"/>
        <w:right w:val="none" w:sz="0" w:space="0" w:color="auto"/>
      </w:divBdr>
    </w:div>
    <w:div w:id="1241329348">
      <w:bodyDiv w:val="1"/>
      <w:marLeft w:val="0"/>
      <w:marRight w:val="0"/>
      <w:marTop w:val="0"/>
      <w:marBottom w:val="0"/>
      <w:divBdr>
        <w:top w:val="none" w:sz="0" w:space="0" w:color="auto"/>
        <w:left w:val="none" w:sz="0" w:space="0" w:color="auto"/>
        <w:bottom w:val="none" w:sz="0" w:space="0" w:color="auto"/>
        <w:right w:val="none" w:sz="0" w:space="0" w:color="auto"/>
      </w:divBdr>
    </w:div>
    <w:div w:id="1245068969">
      <w:bodyDiv w:val="1"/>
      <w:marLeft w:val="0"/>
      <w:marRight w:val="0"/>
      <w:marTop w:val="0"/>
      <w:marBottom w:val="0"/>
      <w:divBdr>
        <w:top w:val="none" w:sz="0" w:space="0" w:color="auto"/>
        <w:left w:val="none" w:sz="0" w:space="0" w:color="auto"/>
        <w:bottom w:val="none" w:sz="0" w:space="0" w:color="auto"/>
        <w:right w:val="none" w:sz="0" w:space="0" w:color="auto"/>
      </w:divBdr>
    </w:div>
    <w:div w:id="1245456653">
      <w:bodyDiv w:val="1"/>
      <w:marLeft w:val="0"/>
      <w:marRight w:val="0"/>
      <w:marTop w:val="0"/>
      <w:marBottom w:val="0"/>
      <w:divBdr>
        <w:top w:val="none" w:sz="0" w:space="0" w:color="auto"/>
        <w:left w:val="none" w:sz="0" w:space="0" w:color="auto"/>
        <w:bottom w:val="none" w:sz="0" w:space="0" w:color="auto"/>
        <w:right w:val="none" w:sz="0" w:space="0" w:color="auto"/>
      </w:divBdr>
    </w:div>
    <w:div w:id="1248465079">
      <w:bodyDiv w:val="1"/>
      <w:marLeft w:val="0"/>
      <w:marRight w:val="0"/>
      <w:marTop w:val="0"/>
      <w:marBottom w:val="0"/>
      <w:divBdr>
        <w:top w:val="none" w:sz="0" w:space="0" w:color="auto"/>
        <w:left w:val="none" w:sz="0" w:space="0" w:color="auto"/>
        <w:bottom w:val="none" w:sz="0" w:space="0" w:color="auto"/>
        <w:right w:val="none" w:sz="0" w:space="0" w:color="auto"/>
      </w:divBdr>
    </w:div>
    <w:div w:id="1248686656">
      <w:bodyDiv w:val="1"/>
      <w:marLeft w:val="0"/>
      <w:marRight w:val="0"/>
      <w:marTop w:val="0"/>
      <w:marBottom w:val="0"/>
      <w:divBdr>
        <w:top w:val="none" w:sz="0" w:space="0" w:color="auto"/>
        <w:left w:val="none" w:sz="0" w:space="0" w:color="auto"/>
        <w:bottom w:val="none" w:sz="0" w:space="0" w:color="auto"/>
        <w:right w:val="none" w:sz="0" w:space="0" w:color="auto"/>
      </w:divBdr>
    </w:div>
    <w:div w:id="1249579956">
      <w:bodyDiv w:val="1"/>
      <w:marLeft w:val="0"/>
      <w:marRight w:val="0"/>
      <w:marTop w:val="0"/>
      <w:marBottom w:val="0"/>
      <w:divBdr>
        <w:top w:val="none" w:sz="0" w:space="0" w:color="auto"/>
        <w:left w:val="none" w:sz="0" w:space="0" w:color="auto"/>
        <w:bottom w:val="none" w:sz="0" w:space="0" w:color="auto"/>
        <w:right w:val="none" w:sz="0" w:space="0" w:color="auto"/>
      </w:divBdr>
    </w:div>
    <w:div w:id="1252617487">
      <w:bodyDiv w:val="1"/>
      <w:marLeft w:val="0"/>
      <w:marRight w:val="0"/>
      <w:marTop w:val="0"/>
      <w:marBottom w:val="0"/>
      <w:divBdr>
        <w:top w:val="none" w:sz="0" w:space="0" w:color="auto"/>
        <w:left w:val="none" w:sz="0" w:space="0" w:color="auto"/>
        <w:bottom w:val="none" w:sz="0" w:space="0" w:color="auto"/>
        <w:right w:val="none" w:sz="0" w:space="0" w:color="auto"/>
      </w:divBdr>
    </w:div>
    <w:div w:id="1257708519">
      <w:bodyDiv w:val="1"/>
      <w:marLeft w:val="0"/>
      <w:marRight w:val="0"/>
      <w:marTop w:val="0"/>
      <w:marBottom w:val="0"/>
      <w:divBdr>
        <w:top w:val="none" w:sz="0" w:space="0" w:color="auto"/>
        <w:left w:val="none" w:sz="0" w:space="0" w:color="auto"/>
        <w:bottom w:val="none" w:sz="0" w:space="0" w:color="auto"/>
        <w:right w:val="none" w:sz="0" w:space="0" w:color="auto"/>
      </w:divBdr>
    </w:div>
    <w:div w:id="1260604939">
      <w:bodyDiv w:val="1"/>
      <w:marLeft w:val="0"/>
      <w:marRight w:val="0"/>
      <w:marTop w:val="0"/>
      <w:marBottom w:val="0"/>
      <w:divBdr>
        <w:top w:val="none" w:sz="0" w:space="0" w:color="auto"/>
        <w:left w:val="none" w:sz="0" w:space="0" w:color="auto"/>
        <w:bottom w:val="none" w:sz="0" w:space="0" w:color="auto"/>
        <w:right w:val="none" w:sz="0" w:space="0" w:color="auto"/>
      </w:divBdr>
    </w:div>
    <w:div w:id="1261794919">
      <w:bodyDiv w:val="1"/>
      <w:marLeft w:val="0"/>
      <w:marRight w:val="0"/>
      <w:marTop w:val="0"/>
      <w:marBottom w:val="0"/>
      <w:divBdr>
        <w:top w:val="none" w:sz="0" w:space="0" w:color="auto"/>
        <w:left w:val="none" w:sz="0" w:space="0" w:color="auto"/>
        <w:bottom w:val="none" w:sz="0" w:space="0" w:color="auto"/>
        <w:right w:val="none" w:sz="0" w:space="0" w:color="auto"/>
      </w:divBdr>
    </w:div>
    <w:div w:id="1265070518">
      <w:bodyDiv w:val="1"/>
      <w:marLeft w:val="0"/>
      <w:marRight w:val="0"/>
      <w:marTop w:val="0"/>
      <w:marBottom w:val="0"/>
      <w:divBdr>
        <w:top w:val="none" w:sz="0" w:space="0" w:color="auto"/>
        <w:left w:val="none" w:sz="0" w:space="0" w:color="auto"/>
        <w:bottom w:val="none" w:sz="0" w:space="0" w:color="auto"/>
        <w:right w:val="none" w:sz="0" w:space="0" w:color="auto"/>
      </w:divBdr>
    </w:div>
    <w:div w:id="1269464092">
      <w:bodyDiv w:val="1"/>
      <w:marLeft w:val="0"/>
      <w:marRight w:val="0"/>
      <w:marTop w:val="0"/>
      <w:marBottom w:val="0"/>
      <w:divBdr>
        <w:top w:val="none" w:sz="0" w:space="0" w:color="auto"/>
        <w:left w:val="none" w:sz="0" w:space="0" w:color="auto"/>
        <w:bottom w:val="none" w:sz="0" w:space="0" w:color="auto"/>
        <w:right w:val="none" w:sz="0" w:space="0" w:color="auto"/>
      </w:divBdr>
    </w:div>
    <w:div w:id="1270888132">
      <w:bodyDiv w:val="1"/>
      <w:marLeft w:val="0"/>
      <w:marRight w:val="0"/>
      <w:marTop w:val="0"/>
      <w:marBottom w:val="0"/>
      <w:divBdr>
        <w:top w:val="none" w:sz="0" w:space="0" w:color="auto"/>
        <w:left w:val="none" w:sz="0" w:space="0" w:color="auto"/>
        <w:bottom w:val="none" w:sz="0" w:space="0" w:color="auto"/>
        <w:right w:val="none" w:sz="0" w:space="0" w:color="auto"/>
      </w:divBdr>
    </w:div>
    <w:div w:id="1272514157">
      <w:bodyDiv w:val="1"/>
      <w:marLeft w:val="0"/>
      <w:marRight w:val="0"/>
      <w:marTop w:val="0"/>
      <w:marBottom w:val="0"/>
      <w:divBdr>
        <w:top w:val="none" w:sz="0" w:space="0" w:color="auto"/>
        <w:left w:val="none" w:sz="0" w:space="0" w:color="auto"/>
        <w:bottom w:val="none" w:sz="0" w:space="0" w:color="auto"/>
        <w:right w:val="none" w:sz="0" w:space="0" w:color="auto"/>
      </w:divBdr>
    </w:div>
    <w:div w:id="1273786616">
      <w:bodyDiv w:val="1"/>
      <w:marLeft w:val="0"/>
      <w:marRight w:val="0"/>
      <w:marTop w:val="0"/>
      <w:marBottom w:val="0"/>
      <w:divBdr>
        <w:top w:val="none" w:sz="0" w:space="0" w:color="auto"/>
        <w:left w:val="none" w:sz="0" w:space="0" w:color="auto"/>
        <w:bottom w:val="none" w:sz="0" w:space="0" w:color="auto"/>
        <w:right w:val="none" w:sz="0" w:space="0" w:color="auto"/>
      </w:divBdr>
    </w:div>
    <w:div w:id="1276214705">
      <w:bodyDiv w:val="1"/>
      <w:marLeft w:val="0"/>
      <w:marRight w:val="0"/>
      <w:marTop w:val="0"/>
      <w:marBottom w:val="0"/>
      <w:divBdr>
        <w:top w:val="none" w:sz="0" w:space="0" w:color="auto"/>
        <w:left w:val="none" w:sz="0" w:space="0" w:color="auto"/>
        <w:bottom w:val="none" w:sz="0" w:space="0" w:color="auto"/>
        <w:right w:val="none" w:sz="0" w:space="0" w:color="auto"/>
      </w:divBdr>
    </w:div>
    <w:div w:id="1277102861">
      <w:bodyDiv w:val="1"/>
      <w:marLeft w:val="0"/>
      <w:marRight w:val="0"/>
      <w:marTop w:val="0"/>
      <w:marBottom w:val="0"/>
      <w:divBdr>
        <w:top w:val="none" w:sz="0" w:space="0" w:color="auto"/>
        <w:left w:val="none" w:sz="0" w:space="0" w:color="auto"/>
        <w:bottom w:val="none" w:sz="0" w:space="0" w:color="auto"/>
        <w:right w:val="none" w:sz="0" w:space="0" w:color="auto"/>
      </w:divBdr>
    </w:div>
    <w:div w:id="1278176737">
      <w:bodyDiv w:val="1"/>
      <w:marLeft w:val="0"/>
      <w:marRight w:val="0"/>
      <w:marTop w:val="0"/>
      <w:marBottom w:val="0"/>
      <w:divBdr>
        <w:top w:val="none" w:sz="0" w:space="0" w:color="auto"/>
        <w:left w:val="none" w:sz="0" w:space="0" w:color="auto"/>
        <w:bottom w:val="none" w:sz="0" w:space="0" w:color="auto"/>
        <w:right w:val="none" w:sz="0" w:space="0" w:color="auto"/>
      </w:divBdr>
    </w:div>
    <w:div w:id="1279752135">
      <w:bodyDiv w:val="1"/>
      <w:marLeft w:val="0"/>
      <w:marRight w:val="0"/>
      <w:marTop w:val="0"/>
      <w:marBottom w:val="0"/>
      <w:divBdr>
        <w:top w:val="none" w:sz="0" w:space="0" w:color="auto"/>
        <w:left w:val="none" w:sz="0" w:space="0" w:color="auto"/>
        <w:bottom w:val="none" w:sz="0" w:space="0" w:color="auto"/>
        <w:right w:val="none" w:sz="0" w:space="0" w:color="auto"/>
      </w:divBdr>
    </w:div>
    <w:div w:id="1280988529">
      <w:bodyDiv w:val="1"/>
      <w:marLeft w:val="0"/>
      <w:marRight w:val="0"/>
      <w:marTop w:val="0"/>
      <w:marBottom w:val="0"/>
      <w:divBdr>
        <w:top w:val="none" w:sz="0" w:space="0" w:color="auto"/>
        <w:left w:val="none" w:sz="0" w:space="0" w:color="auto"/>
        <w:bottom w:val="none" w:sz="0" w:space="0" w:color="auto"/>
        <w:right w:val="none" w:sz="0" w:space="0" w:color="auto"/>
      </w:divBdr>
    </w:div>
    <w:div w:id="1283421325">
      <w:bodyDiv w:val="1"/>
      <w:marLeft w:val="0"/>
      <w:marRight w:val="0"/>
      <w:marTop w:val="0"/>
      <w:marBottom w:val="0"/>
      <w:divBdr>
        <w:top w:val="none" w:sz="0" w:space="0" w:color="auto"/>
        <w:left w:val="none" w:sz="0" w:space="0" w:color="auto"/>
        <w:bottom w:val="none" w:sz="0" w:space="0" w:color="auto"/>
        <w:right w:val="none" w:sz="0" w:space="0" w:color="auto"/>
      </w:divBdr>
    </w:div>
    <w:div w:id="1284310019">
      <w:bodyDiv w:val="1"/>
      <w:marLeft w:val="0"/>
      <w:marRight w:val="0"/>
      <w:marTop w:val="0"/>
      <w:marBottom w:val="0"/>
      <w:divBdr>
        <w:top w:val="none" w:sz="0" w:space="0" w:color="auto"/>
        <w:left w:val="none" w:sz="0" w:space="0" w:color="auto"/>
        <w:bottom w:val="none" w:sz="0" w:space="0" w:color="auto"/>
        <w:right w:val="none" w:sz="0" w:space="0" w:color="auto"/>
      </w:divBdr>
    </w:div>
    <w:div w:id="1284507450">
      <w:bodyDiv w:val="1"/>
      <w:marLeft w:val="0"/>
      <w:marRight w:val="0"/>
      <w:marTop w:val="0"/>
      <w:marBottom w:val="0"/>
      <w:divBdr>
        <w:top w:val="none" w:sz="0" w:space="0" w:color="auto"/>
        <w:left w:val="none" w:sz="0" w:space="0" w:color="auto"/>
        <w:bottom w:val="none" w:sz="0" w:space="0" w:color="auto"/>
        <w:right w:val="none" w:sz="0" w:space="0" w:color="auto"/>
      </w:divBdr>
    </w:div>
    <w:div w:id="1286962494">
      <w:bodyDiv w:val="1"/>
      <w:marLeft w:val="0"/>
      <w:marRight w:val="0"/>
      <w:marTop w:val="0"/>
      <w:marBottom w:val="0"/>
      <w:divBdr>
        <w:top w:val="none" w:sz="0" w:space="0" w:color="auto"/>
        <w:left w:val="none" w:sz="0" w:space="0" w:color="auto"/>
        <w:bottom w:val="none" w:sz="0" w:space="0" w:color="auto"/>
        <w:right w:val="none" w:sz="0" w:space="0" w:color="auto"/>
      </w:divBdr>
    </w:div>
    <w:div w:id="1290279928">
      <w:bodyDiv w:val="1"/>
      <w:marLeft w:val="0"/>
      <w:marRight w:val="0"/>
      <w:marTop w:val="0"/>
      <w:marBottom w:val="0"/>
      <w:divBdr>
        <w:top w:val="none" w:sz="0" w:space="0" w:color="auto"/>
        <w:left w:val="none" w:sz="0" w:space="0" w:color="auto"/>
        <w:bottom w:val="none" w:sz="0" w:space="0" w:color="auto"/>
        <w:right w:val="none" w:sz="0" w:space="0" w:color="auto"/>
      </w:divBdr>
    </w:div>
    <w:div w:id="1290471241">
      <w:bodyDiv w:val="1"/>
      <w:marLeft w:val="0"/>
      <w:marRight w:val="0"/>
      <w:marTop w:val="0"/>
      <w:marBottom w:val="0"/>
      <w:divBdr>
        <w:top w:val="none" w:sz="0" w:space="0" w:color="auto"/>
        <w:left w:val="none" w:sz="0" w:space="0" w:color="auto"/>
        <w:bottom w:val="none" w:sz="0" w:space="0" w:color="auto"/>
        <w:right w:val="none" w:sz="0" w:space="0" w:color="auto"/>
      </w:divBdr>
    </w:div>
    <w:div w:id="1298417161">
      <w:bodyDiv w:val="1"/>
      <w:marLeft w:val="0"/>
      <w:marRight w:val="0"/>
      <w:marTop w:val="0"/>
      <w:marBottom w:val="0"/>
      <w:divBdr>
        <w:top w:val="none" w:sz="0" w:space="0" w:color="auto"/>
        <w:left w:val="none" w:sz="0" w:space="0" w:color="auto"/>
        <w:bottom w:val="none" w:sz="0" w:space="0" w:color="auto"/>
        <w:right w:val="none" w:sz="0" w:space="0" w:color="auto"/>
      </w:divBdr>
    </w:div>
    <w:div w:id="1299190062">
      <w:bodyDiv w:val="1"/>
      <w:marLeft w:val="0"/>
      <w:marRight w:val="0"/>
      <w:marTop w:val="0"/>
      <w:marBottom w:val="0"/>
      <w:divBdr>
        <w:top w:val="none" w:sz="0" w:space="0" w:color="auto"/>
        <w:left w:val="none" w:sz="0" w:space="0" w:color="auto"/>
        <w:bottom w:val="none" w:sz="0" w:space="0" w:color="auto"/>
        <w:right w:val="none" w:sz="0" w:space="0" w:color="auto"/>
      </w:divBdr>
    </w:div>
    <w:div w:id="1300767343">
      <w:bodyDiv w:val="1"/>
      <w:marLeft w:val="0"/>
      <w:marRight w:val="0"/>
      <w:marTop w:val="0"/>
      <w:marBottom w:val="0"/>
      <w:divBdr>
        <w:top w:val="none" w:sz="0" w:space="0" w:color="auto"/>
        <w:left w:val="none" w:sz="0" w:space="0" w:color="auto"/>
        <w:bottom w:val="none" w:sz="0" w:space="0" w:color="auto"/>
        <w:right w:val="none" w:sz="0" w:space="0" w:color="auto"/>
      </w:divBdr>
    </w:div>
    <w:div w:id="1306161298">
      <w:bodyDiv w:val="1"/>
      <w:marLeft w:val="0"/>
      <w:marRight w:val="0"/>
      <w:marTop w:val="0"/>
      <w:marBottom w:val="0"/>
      <w:divBdr>
        <w:top w:val="none" w:sz="0" w:space="0" w:color="auto"/>
        <w:left w:val="none" w:sz="0" w:space="0" w:color="auto"/>
        <w:bottom w:val="none" w:sz="0" w:space="0" w:color="auto"/>
        <w:right w:val="none" w:sz="0" w:space="0" w:color="auto"/>
      </w:divBdr>
    </w:div>
    <w:div w:id="1306550461">
      <w:bodyDiv w:val="1"/>
      <w:marLeft w:val="0"/>
      <w:marRight w:val="0"/>
      <w:marTop w:val="0"/>
      <w:marBottom w:val="0"/>
      <w:divBdr>
        <w:top w:val="none" w:sz="0" w:space="0" w:color="auto"/>
        <w:left w:val="none" w:sz="0" w:space="0" w:color="auto"/>
        <w:bottom w:val="none" w:sz="0" w:space="0" w:color="auto"/>
        <w:right w:val="none" w:sz="0" w:space="0" w:color="auto"/>
      </w:divBdr>
    </w:div>
    <w:div w:id="1307125898">
      <w:bodyDiv w:val="1"/>
      <w:marLeft w:val="0"/>
      <w:marRight w:val="0"/>
      <w:marTop w:val="0"/>
      <w:marBottom w:val="0"/>
      <w:divBdr>
        <w:top w:val="none" w:sz="0" w:space="0" w:color="auto"/>
        <w:left w:val="none" w:sz="0" w:space="0" w:color="auto"/>
        <w:bottom w:val="none" w:sz="0" w:space="0" w:color="auto"/>
        <w:right w:val="none" w:sz="0" w:space="0" w:color="auto"/>
      </w:divBdr>
    </w:div>
    <w:div w:id="1307777925">
      <w:bodyDiv w:val="1"/>
      <w:marLeft w:val="0"/>
      <w:marRight w:val="0"/>
      <w:marTop w:val="0"/>
      <w:marBottom w:val="0"/>
      <w:divBdr>
        <w:top w:val="none" w:sz="0" w:space="0" w:color="auto"/>
        <w:left w:val="none" w:sz="0" w:space="0" w:color="auto"/>
        <w:bottom w:val="none" w:sz="0" w:space="0" w:color="auto"/>
        <w:right w:val="none" w:sz="0" w:space="0" w:color="auto"/>
      </w:divBdr>
    </w:div>
    <w:div w:id="1310162533">
      <w:bodyDiv w:val="1"/>
      <w:marLeft w:val="0"/>
      <w:marRight w:val="0"/>
      <w:marTop w:val="0"/>
      <w:marBottom w:val="0"/>
      <w:divBdr>
        <w:top w:val="none" w:sz="0" w:space="0" w:color="auto"/>
        <w:left w:val="none" w:sz="0" w:space="0" w:color="auto"/>
        <w:bottom w:val="none" w:sz="0" w:space="0" w:color="auto"/>
        <w:right w:val="none" w:sz="0" w:space="0" w:color="auto"/>
      </w:divBdr>
    </w:div>
    <w:div w:id="1312827122">
      <w:bodyDiv w:val="1"/>
      <w:marLeft w:val="0"/>
      <w:marRight w:val="0"/>
      <w:marTop w:val="0"/>
      <w:marBottom w:val="0"/>
      <w:divBdr>
        <w:top w:val="none" w:sz="0" w:space="0" w:color="auto"/>
        <w:left w:val="none" w:sz="0" w:space="0" w:color="auto"/>
        <w:bottom w:val="none" w:sz="0" w:space="0" w:color="auto"/>
        <w:right w:val="none" w:sz="0" w:space="0" w:color="auto"/>
      </w:divBdr>
    </w:div>
    <w:div w:id="1315916930">
      <w:bodyDiv w:val="1"/>
      <w:marLeft w:val="0"/>
      <w:marRight w:val="0"/>
      <w:marTop w:val="0"/>
      <w:marBottom w:val="0"/>
      <w:divBdr>
        <w:top w:val="none" w:sz="0" w:space="0" w:color="auto"/>
        <w:left w:val="none" w:sz="0" w:space="0" w:color="auto"/>
        <w:bottom w:val="none" w:sz="0" w:space="0" w:color="auto"/>
        <w:right w:val="none" w:sz="0" w:space="0" w:color="auto"/>
      </w:divBdr>
    </w:div>
    <w:div w:id="1317539454">
      <w:bodyDiv w:val="1"/>
      <w:marLeft w:val="0"/>
      <w:marRight w:val="0"/>
      <w:marTop w:val="0"/>
      <w:marBottom w:val="0"/>
      <w:divBdr>
        <w:top w:val="none" w:sz="0" w:space="0" w:color="auto"/>
        <w:left w:val="none" w:sz="0" w:space="0" w:color="auto"/>
        <w:bottom w:val="none" w:sz="0" w:space="0" w:color="auto"/>
        <w:right w:val="none" w:sz="0" w:space="0" w:color="auto"/>
      </w:divBdr>
    </w:div>
    <w:div w:id="1319069194">
      <w:bodyDiv w:val="1"/>
      <w:marLeft w:val="0"/>
      <w:marRight w:val="0"/>
      <w:marTop w:val="0"/>
      <w:marBottom w:val="0"/>
      <w:divBdr>
        <w:top w:val="none" w:sz="0" w:space="0" w:color="auto"/>
        <w:left w:val="none" w:sz="0" w:space="0" w:color="auto"/>
        <w:bottom w:val="none" w:sz="0" w:space="0" w:color="auto"/>
        <w:right w:val="none" w:sz="0" w:space="0" w:color="auto"/>
      </w:divBdr>
    </w:div>
    <w:div w:id="1324969262">
      <w:bodyDiv w:val="1"/>
      <w:marLeft w:val="0"/>
      <w:marRight w:val="0"/>
      <w:marTop w:val="0"/>
      <w:marBottom w:val="0"/>
      <w:divBdr>
        <w:top w:val="none" w:sz="0" w:space="0" w:color="auto"/>
        <w:left w:val="none" w:sz="0" w:space="0" w:color="auto"/>
        <w:bottom w:val="none" w:sz="0" w:space="0" w:color="auto"/>
        <w:right w:val="none" w:sz="0" w:space="0" w:color="auto"/>
      </w:divBdr>
    </w:div>
    <w:div w:id="1330210487">
      <w:bodyDiv w:val="1"/>
      <w:marLeft w:val="0"/>
      <w:marRight w:val="0"/>
      <w:marTop w:val="0"/>
      <w:marBottom w:val="0"/>
      <w:divBdr>
        <w:top w:val="none" w:sz="0" w:space="0" w:color="auto"/>
        <w:left w:val="none" w:sz="0" w:space="0" w:color="auto"/>
        <w:bottom w:val="none" w:sz="0" w:space="0" w:color="auto"/>
        <w:right w:val="none" w:sz="0" w:space="0" w:color="auto"/>
      </w:divBdr>
    </w:div>
    <w:div w:id="1334645609">
      <w:bodyDiv w:val="1"/>
      <w:marLeft w:val="0"/>
      <w:marRight w:val="0"/>
      <w:marTop w:val="0"/>
      <w:marBottom w:val="0"/>
      <w:divBdr>
        <w:top w:val="none" w:sz="0" w:space="0" w:color="auto"/>
        <w:left w:val="none" w:sz="0" w:space="0" w:color="auto"/>
        <w:bottom w:val="none" w:sz="0" w:space="0" w:color="auto"/>
        <w:right w:val="none" w:sz="0" w:space="0" w:color="auto"/>
      </w:divBdr>
    </w:div>
    <w:div w:id="1335647898">
      <w:bodyDiv w:val="1"/>
      <w:marLeft w:val="0"/>
      <w:marRight w:val="0"/>
      <w:marTop w:val="0"/>
      <w:marBottom w:val="0"/>
      <w:divBdr>
        <w:top w:val="none" w:sz="0" w:space="0" w:color="auto"/>
        <w:left w:val="none" w:sz="0" w:space="0" w:color="auto"/>
        <w:bottom w:val="none" w:sz="0" w:space="0" w:color="auto"/>
        <w:right w:val="none" w:sz="0" w:space="0" w:color="auto"/>
      </w:divBdr>
    </w:div>
    <w:div w:id="1337995005">
      <w:bodyDiv w:val="1"/>
      <w:marLeft w:val="0"/>
      <w:marRight w:val="0"/>
      <w:marTop w:val="0"/>
      <w:marBottom w:val="0"/>
      <w:divBdr>
        <w:top w:val="none" w:sz="0" w:space="0" w:color="auto"/>
        <w:left w:val="none" w:sz="0" w:space="0" w:color="auto"/>
        <w:bottom w:val="none" w:sz="0" w:space="0" w:color="auto"/>
        <w:right w:val="none" w:sz="0" w:space="0" w:color="auto"/>
      </w:divBdr>
    </w:div>
    <w:div w:id="1342047129">
      <w:bodyDiv w:val="1"/>
      <w:marLeft w:val="0"/>
      <w:marRight w:val="0"/>
      <w:marTop w:val="0"/>
      <w:marBottom w:val="0"/>
      <w:divBdr>
        <w:top w:val="none" w:sz="0" w:space="0" w:color="auto"/>
        <w:left w:val="none" w:sz="0" w:space="0" w:color="auto"/>
        <w:bottom w:val="none" w:sz="0" w:space="0" w:color="auto"/>
        <w:right w:val="none" w:sz="0" w:space="0" w:color="auto"/>
      </w:divBdr>
    </w:div>
    <w:div w:id="1344169591">
      <w:bodyDiv w:val="1"/>
      <w:marLeft w:val="0"/>
      <w:marRight w:val="0"/>
      <w:marTop w:val="0"/>
      <w:marBottom w:val="0"/>
      <w:divBdr>
        <w:top w:val="none" w:sz="0" w:space="0" w:color="auto"/>
        <w:left w:val="none" w:sz="0" w:space="0" w:color="auto"/>
        <w:bottom w:val="none" w:sz="0" w:space="0" w:color="auto"/>
        <w:right w:val="none" w:sz="0" w:space="0" w:color="auto"/>
      </w:divBdr>
    </w:div>
    <w:div w:id="1350136735">
      <w:bodyDiv w:val="1"/>
      <w:marLeft w:val="0"/>
      <w:marRight w:val="0"/>
      <w:marTop w:val="0"/>
      <w:marBottom w:val="0"/>
      <w:divBdr>
        <w:top w:val="none" w:sz="0" w:space="0" w:color="auto"/>
        <w:left w:val="none" w:sz="0" w:space="0" w:color="auto"/>
        <w:bottom w:val="none" w:sz="0" w:space="0" w:color="auto"/>
        <w:right w:val="none" w:sz="0" w:space="0" w:color="auto"/>
      </w:divBdr>
    </w:div>
    <w:div w:id="1354768261">
      <w:bodyDiv w:val="1"/>
      <w:marLeft w:val="0"/>
      <w:marRight w:val="0"/>
      <w:marTop w:val="0"/>
      <w:marBottom w:val="0"/>
      <w:divBdr>
        <w:top w:val="none" w:sz="0" w:space="0" w:color="auto"/>
        <w:left w:val="none" w:sz="0" w:space="0" w:color="auto"/>
        <w:bottom w:val="none" w:sz="0" w:space="0" w:color="auto"/>
        <w:right w:val="none" w:sz="0" w:space="0" w:color="auto"/>
      </w:divBdr>
    </w:div>
    <w:div w:id="1356229278">
      <w:bodyDiv w:val="1"/>
      <w:marLeft w:val="0"/>
      <w:marRight w:val="0"/>
      <w:marTop w:val="0"/>
      <w:marBottom w:val="0"/>
      <w:divBdr>
        <w:top w:val="none" w:sz="0" w:space="0" w:color="auto"/>
        <w:left w:val="none" w:sz="0" w:space="0" w:color="auto"/>
        <w:bottom w:val="none" w:sz="0" w:space="0" w:color="auto"/>
        <w:right w:val="none" w:sz="0" w:space="0" w:color="auto"/>
      </w:divBdr>
    </w:div>
    <w:div w:id="1357346503">
      <w:bodyDiv w:val="1"/>
      <w:marLeft w:val="0"/>
      <w:marRight w:val="0"/>
      <w:marTop w:val="0"/>
      <w:marBottom w:val="0"/>
      <w:divBdr>
        <w:top w:val="none" w:sz="0" w:space="0" w:color="auto"/>
        <w:left w:val="none" w:sz="0" w:space="0" w:color="auto"/>
        <w:bottom w:val="none" w:sz="0" w:space="0" w:color="auto"/>
        <w:right w:val="none" w:sz="0" w:space="0" w:color="auto"/>
      </w:divBdr>
    </w:div>
    <w:div w:id="1362634533">
      <w:bodyDiv w:val="1"/>
      <w:marLeft w:val="0"/>
      <w:marRight w:val="0"/>
      <w:marTop w:val="0"/>
      <w:marBottom w:val="0"/>
      <w:divBdr>
        <w:top w:val="none" w:sz="0" w:space="0" w:color="auto"/>
        <w:left w:val="none" w:sz="0" w:space="0" w:color="auto"/>
        <w:bottom w:val="none" w:sz="0" w:space="0" w:color="auto"/>
        <w:right w:val="none" w:sz="0" w:space="0" w:color="auto"/>
      </w:divBdr>
    </w:div>
    <w:div w:id="1363241172">
      <w:bodyDiv w:val="1"/>
      <w:marLeft w:val="0"/>
      <w:marRight w:val="0"/>
      <w:marTop w:val="0"/>
      <w:marBottom w:val="0"/>
      <w:divBdr>
        <w:top w:val="none" w:sz="0" w:space="0" w:color="auto"/>
        <w:left w:val="none" w:sz="0" w:space="0" w:color="auto"/>
        <w:bottom w:val="none" w:sz="0" w:space="0" w:color="auto"/>
        <w:right w:val="none" w:sz="0" w:space="0" w:color="auto"/>
      </w:divBdr>
    </w:div>
    <w:div w:id="1363700852">
      <w:bodyDiv w:val="1"/>
      <w:marLeft w:val="0"/>
      <w:marRight w:val="0"/>
      <w:marTop w:val="0"/>
      <w:marBottom w:val="0"/>
      <w:divBdr>
        <w:top w:val="none" w:sz="0" w:space="0" w:color="auto"/>
        <w:left w:val="none" w:sz="0" w:space="0" w:color="auto"/>
        <w:bottom w:val="none" w:sz="0" w:space="0" w:color="auto"/>
        <w:right w:val="none" w:sz="0" w:space="0" w:color="auto"/>
      </w:divBdr>
    </w:div>
    <w:div w:id="1374310380">
      <w:bodyDiv w:val="1"/>
      <w:marLeft w:val="0"/>
      <w:marRight w:val="0"/>
      <w:marTop w:val="0"/>
      <w:marBottom w:val="0"/>
      <w:divBdr>
        <w:top w:val="none" w:sz="0" w:space="0" w:color="auto"/>
        <w:left w:val="none" w:sz="0" w:space="0" w:color="auto"/>
        <w:bottom w:val="none" w:sz="0" w:space="0" w:color="auto"/>
        <w:right w:val="none" w:sz="0" w:space="0" w:color="auto"/>
      </w:divBdr>
    </w:div>
    <w:div w:id="1374888340">
      <w:bodyDiv w:val="1"/>
      <w:marLeft w:val="0"/>
      <w:marRight w:val="0"/>
      <w:marTop w:val="0"/>
      <w:marBottom w:val="0"/>
      <w:divBdr>
        <w:top w:val="none" w:sz="0" w:space="0" w:color="auto"/>
        <w:left w:val="none" w:sz="0" w:space="0" w:color="auto"/>
        <w:bottom w:val="none" w:sz="0" w:space="0" w:color="auto"/>
        <w:right w:val="none" w:sz="0" w:space="0" w:color="auto"/>
      </w:divBdr>
    </w:div>
    <w:div w:id="1380401444">
      <w:bodyDiv w:val="1"/>
      <w:marLeft w:val="0"/>
      <w:marRight w:val="0"/>
      <w:marTop w:val="0"/>
      <w:marBottom w:val="0"/>
      <w:divBdr>
        <w:top w:val="none" w:sz="0" w:space="0" w:color="auto"/>
        <w:left w:val="none" w:sz="0" w:space="0" w:color="auto"/>
        <w:bottom w:val="none" w:sz="0" w:space="0" w:color="auto"/>
        <w:right w:val="none" w:sz="0" w:space="0" w:color="auto"/>
      </w:divBdr>
    </w:div>
    <w:div w:id="1380478346">
      <w:bodyDiv w:val="1"/>
      <w:marLeft w:val="0"/>
      <w:marRight w:val="0"/>
      <w:marTop w:val="0"/>
      <w:marBottom w:val="0"/>
      <w:divBdr>
        <w:top w:val="none" w:sz="0" w:space="0" w:color="auto"/>
        <w:left w:val="none" w:sz="0" w:space="0" w:color="auto"/>
        <w:bottom w:val="none" w:sz="0" w:space="0" w:color="auto"/>
        <w:right w:val="none" w:sz="0" w:space="0" w:color="auto"/>
      </w:divBdr>
    </w:div>
    <w:div w:id="1382514667">
      <w:bodyDiv w:val="1"/>
      <w:marLeft w:val="0"/>
      <w:marRight w:val="0"/>
      <w:marTop w:val="0"/>
      <w:marBottom w:val="0"/>
      <w:divBdr>
        <w:top w:val="none" w:sz="0" w:space="0" w:color="auto"/>
        <w:left w:val="none" w:sz="0" w:space="0" w:color="auto"/>
        <w:bottom w:val="none" w:sz="0" w:space="0" w:color="auto"/>
        <w:right w:val="none" w:sz="0" w:space="0" w:color="auto"/>
      </w:divBdr>
    </w:div>
    <w:div w:id="1383018015">
      <w:bodyDiv w:val="1"/>
      <w:marLeft w:val="0"/>
      <w:marRight w:val="0"/>
      <w:marTop w:val="0"/>
      <w:marBottom w:val="0"/>
      <w:divBdr>
        <w:top w:val="none" w:sz="0" w:space="0" w:color="auto"/>
        <w:left w:val="none" w:sz="0" w:space="0" w:color="auto"/>
        <w:bottom w:val="none" w:sz="0" w:space="0" w:color="auto"/>
        <w:right w:val="none" w:sz="0" w:space="0" w:color="auto"/>
      </w:divBdr>
    </w:div>
    <w:div w:id="1396050579">
      <w:bodyDiv w:val="1"/>
      <w:marLeft w:val="0"/>
      <w:marRight w:val="0"/>
      <w:marTop w:val="0"/>
      <w:marBottom w:val="0"/>
      <w:divBdr>
        <w:top w:val="none" w:sz="0" w:space="0" w:color="auto"/>
        <w:left w:val="none" w:sz="0" w:space="0" w:color="auto"/>
        <w:bottom w:val="none" w:sz="0" w:space="0" w:color="auto"/>
        <w:right w:val="none" w:sz="0" w:space="0" w:color="auto"/>
      </w:divBdr>
    </w:div>
    <w:div w:id="1401370993">
      <w:bodyDiv w:val="1"/>
      <w:marLeft w:val="0"/>
      <w:marRight w:val="0"/>
      <w:marTop w:val="0"/>
      <w:marBottom w:val="0"/>
      <w:divBdr>
        <w:top w:val="none" w:sz="0" w:space="0" w:color="auto"/>
        <w:left w:val="none" w:sz="0" w:space="0" w:color="auto"/>
        <w:bottom w:val="none" w:sz="0" w:space="0" w:color="auto"/>
        <w:right w:val="none" w:sz="0" w:space="0" w:color="auto"/>
      </w:divBdr>
    </w:div>
    <w:div w:id="1402873500">
      <w:bodyDiv w:val="1"/>
      <w:marLeft w:val="0"/>
      <w:marRight w:val="0"/>
      <w:marTop w:val="0"/>
      <w:marBottom w:val="0"/>
      <w:divBdr>
        <w:top w:val="none" w:sz="0" w:space="0" w:color="auto"/>
        <w:left w:val="none" w:sz="0" w:space="0" w:color="auto"/>
        <w:bottom w:val="none" w:sz="0" w:space="0" w:color="auto"/>
        <w:right w:val="none" w:sz="0" w:space="0" w:color="auto"/>
      </w:divBdr>
    </w:div>
    <w:div w:id="1403605115">
      <w:bodyDiv w:val="1"/>
      <w:marLeft w:val="0"/>
      <w:marRight w:val="0"/>
      <w:marTop w:val="0"/>
      <w:marBottom w:val="0"/>
      <w:divBdr>
        <w:top w:val="none" w:sz="0" w:space="0" w:color="auto"/>
        <w:left w:val="none" w:sz="0" w:space="0" w:color="auto"/>
        <w:bottom w:val="none" w:sz="0" w:space="0" w:color="auto"/>
        <w:right w:val="none" w:sz="0" w:space="0" w:color="auto"/>
      </w:divBdr>
    </w:div>
    <w:div w:id="1403870033">
      <w:bodyDiv w:val="1"/>
      <w:marLeft w:val="0"/>
      <w:marRight w:val="0"/>
      <w:marTop w:val="0"/>
      <w:marBottom w:val="0"/>
      <w:divBdr>
        <w:top w:val="none" w:sz="0" w:space="0" w:color="auto"/>
        <w:left w:val="none" w:sz="0" w:space="0" w:color="auto"/>
        <w:bottom w:val="none" w:sz="0" w:space="0" w:color="auto"/>
        <w:right w:val="none" w:sz="0" w:space="0" w:color="auto"/>
      </w:divBdr>
    </w:div>
    <w:div w:id="1403941648">
      <w:bodyDiv w:val="1"/>
      <w:marLeft w:val="0"/>
      <w:marRight w:val="0"/>
      <w:marTop w:val="0"/>
      <w:marBottom w:val="0"/>
      <w:divBdr>
        <w:top w:val="none" w:sz="0" w:space="0" w:color="auto"/>
        <w:left w:val="none" w:sz="0" w:space="0" w:color="auto"/>
        <w:bottom w:val="none" w:sz="0" w:space="0" w:color="auto"/>
        <w:right w:val="none" w:sz="0" w:space="0" w:color="auto"/>
      </w:divBdr>
    </w:div>
    <w:div w:id="1407269167">
      <w:bodyDiv w:val="1"/>
      <w:marLeft w:val="0"/>
      <w:marRight w:val="0"/>
      <w:marTop w:val="0"/>
      <w:marBottom w:val="0"/>
      <w:divBdr>
        <w:top w:val="none" w:sz="0" w:space="0" w:color="auto"/>
        <w:left w:val="none" w:sz="0" w:space="0" w:color="auto"/>
        <w:bottom w:val="none" w:sz="0" w:space="0" w:color="auto"/>
        <w:right w:val="none" w:sz="0" w:space="0" w:color="auto"/>
      </w:divBdr>
    </w:div>
    <w:div w:id="1407460297">
      <w:bodyDiv w:val="1"/>
      <w:marLeft w:val="0"/>
      <w:marRight w:val="0"/>
      <w:marTop w:val="0"/>
      <w:marBottom w:val="0"/>
      <w:divBdr>
        <w:top w:val="none" w:sz="0" w:space="0" w:color="auto"/>
        <w:left w:val="none" w:sz="0" w:space="0" w:color="auto"/>
        <w:bottom w:val="none" w:sz="0" w:space="0" w:color="auto"/>
        <w:right w:val="none" w:sz="0" w:space="0" w:color="auto"/>
      </w:divBdr>
    </w:div>
    <w:div w:id="1407920583">
      <w:bodyDiv w:val="1"/>
      <w:marLeft w:val="0"/>
      <w:marRight w:val="0"/>
      <w:marTop w:val="0"/>
      <w:marBottom w:val="0"/>
      <w:divBdr>
        <w:top w:val="none" w:sz="0" w:space="0" w:color="auto"/>
        <w:left w:val="none" w:sz="0" w:space="0" w:color="auto"/>
        <w:bottom w:val="none" w:sz="0" w:space="0" w:color="auto"/>
        <w:right w:val="none" w:sz="0" w:space="0" w:color="auto"/>
      </w:divBdr>
    </w:div>
    <w:div w:id="1411808394">
      <w:bodyDiv w:val="1"/>
      <w:marLeft w:val="0"/>
      <w:marRight w:val="0"/>
      <w:marTop w:val="0"/>
      <w:marBottom w:val="0"/>
      <w:divBdr>
        <w:top w:val="none" w:sz="0" w:space="0" w:color="auto"/>
        <w:left w:val="none" w:sz="0" w:space="0" w:color="auto"/>
        <w:bottom w:val="none" w:sz="0" w:space="0" w:color="auto"/>
        <w:right w:val="none" w:sz="0" w:space="0" w:color="auto"/>
      </w:divBdr>
    </w:div>
    <w:div w:id="1424032206">
      <w:bodyDiv w:val="1"/>
      <w:marLeft w:val="0"/>
      <w:marRight w:val="0"/>
      <w:marTop w:val="0"/>
      <w:marBottom w:val="0"/>
      <w:divBdr>
        <w:top w:val="none" w:sz="0" w:space="0" w:color="auto"/>
        <w:left w:val="none" w:sz="0" w:space="0" w:color="auto"/>
        <w:bottom w:val="none" w:sz="0" w:space="0" w:color="auto"/>
        <w:right w:val="none" w:sz="0" w:space="0" w:color="auto"/>
      </w:divBdr>
    </w:div>
    <w:div w:id="1431584743">
      <w:bodyDiv w:val="1"/>
      <w:marLeft w:val="0"/>
      <w:marRight w:val="0"/>
      <w:marTop w:val="0"/>
      <w:marBottom w:val="0"/>
      <w:divBdr>
        <w:top w:val="none" w:sz="0" w:space="0" w:color="auto"/>
        <w:left w:val="none" w:sz="0" w:space="0" w:color="auto"/>
        <w:bottom w:val="none" w:sz="0" w:space="0" w:color="auto"/>
        <w:right w:val="none" w:sz="0" w:space="0" w:color="auto"/>
      </w:divBdr>
    </w:div>
    <w:div w:id="1432117654">
      <w:bodyDiv w:val="1"/>
      <w:marLeft w:val="0"/>
      <w:marRight w:val="0"/>
      <w:marTop w:val="0"/>
      <w:marBottom w:val="0"/>
      <w:divBdr>
        <w:top w:val="none" w:sz="0" w:space="0" w:color="auto"/>
        <w:left w:val="none" w:sz="0" w:space="0" w:color="auto"/>
        <w:bottom w:val="none" w:sz="0" w:space="0" w:color="auto"/>
        <w:right w:val="none" w:sz="0" w:space="0" w:color="auto"/>
      </w:divBdr>
    </w:div>
    <w:div w:id="1433431703">
      <w:bodyDiv w:val="1"/>
      <w:marLeft w:val="0"/>
      <w:marRight w:val="0"/>
      <w:marTop w:val="0"/>
      <w:marBottom w:val="0"/>
      <w:divBdr>
        <w:top w:val="none" w:sz="0" w:space="0" w:color="auto"/>
        <w:left w:val="none" w:sz="0" w:space="0" w:color="auto"/>
        <w:bottom w:val="none" w:sz="0" w:space="0" w:color="auto"/>
        <w:right w:val="none" w:sz="0" w:space="0" w:color="auto"/>
      </w:divBdr>
    </w:div>
    <w:div w:id="1442261698">
      <w:bodyDiv w:val="1"/>
      <w:marLeft w:val="0"/>
      <w:marRight w:val="0"/>
      <w:marTop w:val="0"/>
      <w:marBottom w:val="0"/>
      <w:divBdr>
        <w:top w:val="none" w:sz="0" w:space="0" w:color="auto"/>
        <w:left w:val="none" w:sz="0" w:space="0" w:color="auto"/>
        <w:bottom w:val="none" w:sz="0" w:space="0" w:color="auto"/>
        <w:right w:val="none" w:sz="0" w:space="0" w:color="auto"/>
      </w:divBdr>
    </w:div>
    <w:div w:id="1444808988">
      <w:bodyDiv w:val="1"/>
      <w:marLeft w:val="0"/>
      <w:marRight w:val="0"/>
      <w:marTop w:val="0"/>
      <w:marBottom w:val="0"/>
      <w:divBdr>
        <w:top w:val="none" w:sz="0" w:space="0" w:color="auto"/>
        <w:left w:val="none" w:sz="0" w:space="0" w:color="auto"/>
        <w:bottom w:val="none" w:sz="0" w:space="0" w:color="auto"/>
        <w:right w:val="none" w:sz="0" w:space="0" w:color="auto"/>
      </w:divBdr>
    </w:div>
    <w:div w:id="1450855655">
      <w:bodyDiv w:val="1"/>
      <w:marLeft w:val="0"/>
      <w:marRight w:val="0"/>
      <w:marTop w:val="0"/>
      <w:marBottom w:val="0"/>
      <w:divBdr>
        <w:top w:val="none" w:sz="0" w:space="0" w:color="auto"/>
        <w:left w:val="none" w:sz="0" w:space="0" w:color="auto"/>
        <w:bottom w:val="none" w:sz="0" w:space="0" w:color="auto"/>
        <w:right w:val="none" w:sz="0" w:space="0" w:color="auto"/>
      </w:divBdr>
    </w:div>
    <w:div w:id="1451435731">
      <w:bodyDiv w:val="1"/>
      <w:marLeft w:val="0"/>
      <w:marRight w:val="0"/>
      <w:marTop w:val="0"/>
      <w:marBottom w:val="0"/>
      <w:divBdr>
        <w:top w:val="none" w:sz="0" w:space="0" w:color="auto"/>
        <w:left w:val="none" w:sz="0" w:space="0" w:color="auto"/>
        <w:bottom w:val="none" w:sz="0" w:space="0" w:color="auto"/>
        <w:right w:val="none" w:sz="0" w:space="0" w:color="auto"/>
      </w:divBdr>
    </w:div>
    <w:div w:id="1452868561">
      <w:bodyDiv w:val="1"/>
      <w:marLeft w:val="0"/>
      <w:marRight w:val="0"/>
      <w:marTop w:val="0"/>
      <w:marBottom w:val="0"/>
      <w:divBdr>
        <w:top w:val="none" w:sz="0" w:space="0" w:color="auto"/>
        <w:left w:val="none" w:sz="0" w:space="0" w:color="auto"/>
        <w:bottom w:val="none" w:sz="0" w:space="0" w:color="auto"/>
        <w:right w:val="none" w:sz="0" w:space="0" w:color="auto"/>
      </w:divBdr>
    </w:div>
    <w:div w:id="1454054185">
      <w:bodyDiv w:val="1"/>
      <w:marLeft w:val="0"/>
      <w:marRight w:val="0"/>
      <w:marTop w:val="0"/>
      <w:marBottom w:val="0"/>
      <w:divBdr>
        <w:top w:val="none" w:sz="0" w:space="0" w:color="auto"/>
        <w:left w:val="none" w:sz="0" w:space="0" w:color="auto"/>
        <w:bottom w:val="none" w:sz="0" w:space="0" w:color="auto"/>
        <w:right w:val="none" w:sz="0" w:space="0" w:color="auto"/>
      </w:divBdr>
    </w:div>
    <w:div w:id="1454667275">
      <w:bodyDiv w:val="1"/>
      <w:marLeft w:val="0"/>
      <w:marRight w:val="0"/>
      <w:marTop w:val="0"/>
      <w:marBottom w:val="0"/>
      <w:divBdr>
        <w:top w:val="none" w:sz="0" w:space="0" w:color="auto"/>
        <w:left w:val="none" w:sz="0" w:space="0" w:color="auto"/>
        <w:bottom w:val="none" w:sz="0" w:space="0" w:color="auto"/>
        <w:right w:val="none" w:sz="0" w:space="0" w:color="auto"/>
      </w:divBdr>
    </w:div>
    <w:div w:id="1455099839">
      <w:bodyDiv w:val="1"/>
      <w:marLeft w:val="0"/>
      <w:marRight w:val="0"/>
      <w:marTop w:val="0"/>
      <w:marBottom w:val="0"/>
      <w:divBdr>
        <w:top w:val="none" w:sz="0" w:space="0" w:color="auto"/>
        <w:left w:val="none" w:sz="0" w:space="0" w:color="auto"/>
        <w:bottom w:val="none" w:sz="0" w:space="0" w:color="auto"/>
        <w:right w:val="none" w:sz="0" w:space="0" w:color="auto"/>
      </w:divBdr>
    </w:div>
    <w:div w:id="1464232590">
      <w:bodyDiv w:val="1"/>
      <w:marLeft w:val="0"/>
      <w:marRight w:val="0"/>
      <w:marTop w:val="0"/>
      <w:marBottom w:val="0"/>
      <w:divBdr>
        <w:top w:val="none" w:sz="0" w:space="0" w:color="auto"/>
        <w:left w:val="none" w:sz="0" w:space="0" w:color="auto"/>
        <w:bottom w:val="none" w:sz="0" w:space="0" w:color="auto"/>
        <w:right w:val="none" w:sz="0" w:space="0" w:color="auto"/>
      </w:divBdr>
    </w:div>
    <w:div w:id="1465389280">
      <w:bodyDiv w:val="1"/>
      <w:marLeft w:val="0"/>
      <w:marRight w:val="0"/>
      <w:marTop w:val="0"/>
      <w:marBottom w:val="0"/>
      <w:divBdr>
        <w:top w:val="none" w:sz="0" w:space="0" w:color="auto"/>
        <w:left w:val="none" w:sz="0" w:space="0" w:color="auto"/>
        <w:bottom w:val="none" w:sz="0" w:space="0" w:color="auto"/>
        <w:right w:val="none" w:sz="0" w:space="0" w:color="auto"/>
      </w:divBdr>
    </w:div>
    <w:div w:id="1471291648">
      <w:bodyDiv w:val="1"/>
      <w:marLeft w:val="0"/>
      <w:marRight w:val="0"/>
      <w:marTop w:val="0"/>
      <w:marBottom w:val="0"/>
      <w:divBdr>
        <w:top w:val="none" w:sz="0" w:space="0" w:color="auto"/>
        <w:left w:val="none" w:sz="0" w:space="0" w:color="auto"/>
        <w:bottom w:val="none" w:sz="0" w:space="0" w:color="auto"/>
        <w:right w:val="none" w:sz="0" w:space="0" w:color="auto"/>
      </w:divBdr>
    </w:div>
    <w:div w:id="1473054975">
      <w:bodyDiv w:val="1"/>
      <w:marLeft w:val="0"/>
      <w:marRight w:val="0"/>
      <w:marTop w:val="0"/>
      <w:marBottom w:val="0"/>
      <w:divBdr>
        <w:top w:val="none" w:sz="0" w:space="0" w:color="auto"/>
        <w:left w:val="none" w:sz="0" w:space="0" w:color="auto"/>
        <w:bottom w:val="none" w:sz="0" w:space="0" w:color="auto"/>
        <w:right w:val="none" w:sz="0" w:space="0" w:color="auto"/>
      </w:divBdr>
    </w:div>
    <w:div w:id="1475567528">
      <w:bodyDiv w:val="1"/>
      <w:marLeft w:val="0"/>
      <w:marRight w:val="0"/>
      <w:marTop w:val="0"/>
      <w:marBottom w:val="0"/>
      <w:divBdr>
        <w:top w:val="none" w:sz="0" w:space="0" w:color="auto"/>
        <w:left w:val="none" w:sz="0" w:space="0" w:color="auto"/>
        <w:bottom w:val="none" w:sz="0" w:space="0" w:color="auto"/>
        <w:right w:val="none" w:sz="0" w:space="0" w:color="auto"/>
      </w:divBdr>
    </w:div>
    <w:div w:id="1477188567">
      <w:bodyDiv w:val="1"/>
      <w:marLeft w:val="0"/>
      <w:marRight w:val="0"/>
      <w:marTop w:val="0"/>
      <w:marBottom w:val="0"/>
      <w:divBdr>
        <w:top w:val="none" w:sz="0" w:space="0" w:color="auto"/>
        <w:left w:val="none" w:sz="0" w:space="0" w:color="auto"/>
        <w:bottom w:val="none" w:sz="0" w:space="0" w:color="auto"/>
        <w:right w:val="none" w:sz="0" w:space="0" w:color="auto"/>
      </w:divBdr>
    </w:div>
    <w:div w:id="1477605242">
      <w:bodyDiv w:val="1"/>
      <w:marLeft w:val="0"/>
      <w:marRight w:val="0"/>
      <w:marTop w:val="0"/>
      <w:marBottom w:val="0"/>
      <w:divBdr>
        <w:top w:val="none" w:sz="0" w:space="0" w:color="auto"/>
        <w:left w:val="none" w:sz="0" w:space="0" w:color="auto"/>
        <w:bottom w:val="none" w:sz="0" w:space="0" w:color="auto"/>
        <w:right w:val="none" w:sz="0" w:space="0" w:color="auto"/>
      </w:divBdr>
    </w:div>
    <w:div w:id="1482774764">
      <w:bodyDiv w:val="1"/>
      <w:marLeft w:val="0"/>
      <w:marRight w:val="0"/>
      <w:marTop w:val="0"/>
      <w:marBottom w:val="0"/>
      <w:divBdr>
        <w:top w:val="none" w:sz="0" w:space="0" w:color="auto"/>
        <w:left w:val="none" w:sz="0" w:space="0" w:color="auto"/>
        <w:bottom w:val="none" w:sz="0" w:space="0" w:color="auto"/>
        <w:right w:val="none" w:sz="0" w:space="0" w:color="auto"/>
      </w:divBdr>
    </w:div>
    <w:div w:id="1484198345">
      <w:bodyDiv w:val="1"/>
      <w:marLeft w:val="0"/>
      <w:marRight w:val="0"/>
      <w:marTop w:val="0"/>
      <w:marBottom w:val="0"/>
      <w:divBdr>
        <w:top w:val="none" w:sz="0" w:space="0" w:color="auto"/>
        <w:left w:val="none" w:sz="0" w:space="0" w:color="auto"/>
        <w:bottom w:val="none" w:sz="0" w:space="0" w:color="auto"/>
        <w:right w:val="none" w:sz="0" w:space="0" w:color="auto"/>
      </w:divBdr>
    </w:div>
    <w:div w:id="1484926549">
      <w:bodyDiv w:val="1"/>
      <w:marLeft w:val="0"/>
      <w:marRight w:val="0"/>
      <w:marTop w:val="0"/>
      <w:marBottom w:val="0"/>
      <w:divBdr>
        <w:top w:val="none" w:sz="0" w:space="0" w:color="auto"/>
        <w:left w:val="none" w:sz="0" w:space="0" w:color="auto"/>
        <w:bottom w:val="none" w:sz="0" w:space="0" w:color="auto"/>
        <w:right w:val="none" w:sz="0" w:space="0" w:color="auto"/>
      </w:divBdr>
    </w:div>
    <w:div w:id="1487628983">
      <w:bodyDiv w:val="1"/>
      <w:marLeft w:val="0"/>
      <w:marRight w:val="0"/>
      <w:marTop w:val="0"/>
      <w:marBottom w:val="0"/>
      <w:divBdr>
        <w:top w:val="none" w:sz="0" w:space="0" w:color="auto"/>
        <w:left w:val="none" w:sz="0" w:space="0" w:color="auto"/>
        <w:bottom w:val="none" w:sz="0" w:space="0" w:color="auto"/>
        <w:right w:val="none" w:sz="0" w:space="0" w:color="auto"/>
      </w:divBdr>
    </w:div>
    <w:div w:id="1488939042">
      <w:bodyDiv w:val="1"/>
      <w:marLeft w:val="0"/>
      <w:marRight w:val="0"/>
      <w:marTop w:val="0"/>
      <w:marBottom w:val="0"/>
      <w:divBdr>
        <w:top w:val="none" w:sz="0" w:space="0" w:color="auto"/>
        <w:left w:val="none" w:sz="0" w:space="0" w:color="auto"/>
        <w:bottom w:val="none" w:sz="0" w:space="0" w:color="auto"/>
        <w:right w:val="none" w:sz="0" w:space="0" w:color="auto"/>
      </w:divBdr>
    </w:div>
    <w:div w:id="1490973378">
      <w:bodyDiv w:val="1"/>
      <w:marLeft w:val="0"/>
      <w:marRight w:val="0"/>
      <w:marTop w:val="0"/>
      <w:marBottom w:val="0"/>
      <w:divBdr>
        <w:top w:val="none" w:sz="0" w:space="0" w:color="auto"/>
        <w:left w:val="none" w:sz="0" w:space="0" w:color="auto"/>
        <w:bottom w:val="none" w:sz="0" w:space="0" w:color="auto"/>
        <w:right w:val="none" w:sz="0" w:space="0" w:color="auto"/>
      </w:divBdr>
    </w:div>
    <w:div w:id="1490974388">
      <w:bodyDiv w:val="1"/>
      <w:marLeft w:val="0"/>
      <w:marRight w:val="0"/>
      <w:marTop w:val="0"/>
      <w:marBottom w:val="0"/>
      <w:divBdr>
        <w:top w:val="none" w:sz="0" w:space="0" w:color="auto"/>
        <w:left w:val="none" w:sz="0" w:space="0" w:color="auto"/>
        <w:bottom w:val="none" w:sz="0" w:space="0" w:color="auto"/>
        <w:right w:val="none" w:sz="0" w:space="0" w:color="auto"/>
      </w:divBdr>
    </w:div>
    <w:div w:id="1492215389">
      <w:bodyDiv w:val="1"/>
      <w:marLeft w:val="0"/>
      <w:marRight w:val="0"/>
      <w:marTop w:val="0"/>
      <w:marBottom w:val="0"/>
      <w:divBdr>
        <w:top w:val="none" w:sz="0" w:space="0" w:color="auto"/>
        <w:left w:val="none" w:sz="0" w:space="0" w:color="auto"/>
        <w:bottom w:val="none" w:sz="0" w:space="0" w:color="auto"/>
        <w:right w:val="none" w:sz="0" w:space="0" w:color="auto"/>
      </w:divBdr>
    </w:div>
    <w:div w:id="1497106681">
      <w:bodyDiv w:val="1"/>
      <w:marLeft w:val="0"/>
      <w:marRight w:val="0"/>
      <w:marTop w:val="0"/>
      <w:marBottom w:val="0"/>
      <w:divBdr>
        <w:top w:val="none" w:sz="0" w:space="0" w:color="auto"/>
        <w:left w:val="none" w:sz="0" w:space="0" w:color="auto"/>
        <w:bottom w:val="none" w:sz="0" w:space="0" w:color="auto"/>
        <w:right w:val="none" w:sz="0" w:space="0" w:color="auto"/>
      </w:divBdr>
    </w:div>
    <w:div w:id="1497116122">
      <w:bodyDiv w:val="1"/>
      <w:marLeft w:val="0"/>
      <w:marRight w:val="0"/>
      <w:marTop w:val="0"/>
      <w:marBottom w:val="0"/>
      <w:divBdr>
        <w:top w:val="none" w:sz="0" w:space="0" w:color="auto"/>
        <w:left w:val="none" w:sz="0" w:space="0" w:color="auto"/>
        <w:bottom w:val="none" w:sz="0" w:space="0" w:color="auto"/>
        <w:right w:val="none" w:sz="0" w:space="0" w:color="auto"/>
      </w:divBdr>
    </w:div>
    <w:div w:id="1501003195">
      <w:bodyDiv w:val="1"/>
      <w:marLeft w:val="0"/>
      <w:marRight w:val="0"/>
      <w:marTop w:val="0"/>
      <w:marBottom w:val="0"/>
      <w:divBdr>
        <w:top w:val="none" w:sz="0" w:space="0" w:color="auto"/>
        <w:left w:val="none" w:sz="0" w:space="0" w:color="auto"/>
        <w:bottom w:val="none" w:sz="0" w:space="0" w:color="auto"/>
        <w:right w:val="none" w:sz="0" w:space="0" w:color="auto"/>
      </w:divBdr>
    </w:div>
    <w:div w:id="1509828265">
      <w:bodyDiv w:val="1"/>
      <w:marLeft w:val="0"/>
      <w:marRight w:val="0"/>
      <w:marTop w:val="0"/>
      <w:marBottom w:val="0"/>
      <w:divBdr>
        <w:top w:val="none" w:sz="0" w:space="0" w:color="auto"/>
        <w:left w:val="none" w:sz="0" w:space="0" w:color="auto"/>
        <w:bottom w:val="none" w:sz="0" w:space="0" w:color="auto"/>
        <w:right w:val="none" w:sz="0" w:space="0" w:color="auto"/>
      </w:divBdr>
    </w:div>
    <w:div w:id="1510481220">
      <w:bodyDiv w:val="1"/>
      <w:marLeft w:val="0"/>
      <w:marRight w:val="0"/>
      <w:marTop w:val="0"/>
      <w:marBottom w:val="0"/>
      <w:divBdr>
        <w:top w:val="none" w:sz="0" w:space="0" w:color="auto"/>
        <w:left w:val="none" w:sz="0" w:space="0" w:color="auto"/>
        <w:bottom w:val="none" w:sz="0" w:space="0" w:color="auto"/>
        <w:right w:val="none" w:sz="0" w:space="0" w:color="auto"/>
      </w:divBdr>
    </w:div>
    <w:div w:id="1513837052">
      <w:bodyDiv w:val="1"/>
      <w:marLeft w:val="0"/>
      <w:marRight w:val="0"/>
      <w:marTop w:val="0"/>
      <w:marBottom w:val="0"/>
      <w:divBdr>
        <w:top w:val="none" w:sz="0" w:space="0" w:color="auto"/>
        <w:left w:val="none" w:sz="0" w:space="0" w:color="auto"/>
        <w:bottom w:val="none" w:sz="0" w:space="0" w:color="auto"/>
        <w:right w:val="none" w:sz="0" w:space="0" w:color="auto"/>
      </w:divBdr>
    </w:div>
    <w:div w:id="1514882458">
      <w:bodyDiv w:val="1"/>
      <w:marLeft w:val="0"/>
      <w:marRight w:val="0"/>
      <w:marTop w:val="0"/>
      <w:marBottom w:val="0"/>
      <w:divBdr>
        <w:top w:val="none" w:sz="0" w:space="0" w:color="auto"/>
        <w:left w:val="none" w:sz="0" w:space="0" w:color="auto"/>
        <w:bottom w:val="none" w:sz="0" w:space="0" w:color="auto"/>
        <w:right w:val="none" w:sz="0" w:space="0" w:color="auto"/>
      </w:divBdr>
    </w:div>
    <w:div w:id="1519151587">
      <w:bodyDiv w:val="1"/>
      <w:marLeft w:val="0"/>
      <w:marRight w:val="0"/>
      <w:marTop w:val="0"/>
      <w:marBottom w:val="0"/>
      <w:divBdr>
        <w:top w:val="none" w:sz="0" w:space="0" w:color="auto"/>
        <w:left w:val="none" w:sz="0" w:space="0" w:color="auto"/>
        <w:bottom w:val="none" w:sz="0" w:space="0" w:color="auto"/>
        <w:right w:val="none" w:sz="0" w:space="0" w:color="auto"/>
      </w:divBdr>
    </w:div>
    <w:div w:id="1519272937">
      <w:bodyDiv w:val="1"/>
      <w:marLeft w:val="0"/>
      <w:marRight w:val="0"/>
      <w:marTop w:val="0"/>
      <w:marBottom w:val="0"/>
      <w:divBdr>
        <w:top w:val="none" w:sz="0" w:space="0" w:color="auto"/>
        <w:left w:val="none" w:sz="0" w:space="0" w:color="auto"/>
        <w:bottom w:val="none" w:sz="0" w:space="0" w:color="auto"/>
        <w:right w:val="none" w:sz="0" w:space="0" w:color="auto"/>
      </w:divBdr>
    </w:div>
    <w:div w:id="1520239557">
      <w:bodyDiv w:val="1"/>
      <w:marLeft w:val="0"/>
      <w:marRight w:val="0"/>
      <w:marTop w:val="0"/>
      <w:marBottom w:val="0"/>
      <w:divBdr>
        <w:top w:val="none" w:sz="0" w:space="0" w:color="auto"/>
        <w:left w:val="none" w:sz="0" w:space="0" w:color="auto"/>
        <w:bottom w:val="none" w:sz="0" w:space="0" w:color="auto"/>
        <w:right w:val="none" w:sz="0" w:space="0" w:color="auto"/>
      </w:divBdr>
    </w:div>
    <w:div w:id="1520896562">
      <w:bodyDiv w:val="1"/>
      <w:marLeft w:val="0"/>
      <w:marRight w:val="0"/>
      <w:marTop w:val="0"/>
      <w:marBottom w:val="0"/>
      <w:divBdr>
        <w:top w:val="none" w:sz="0" w:space="0" w:color="auto"/>
        <w:left w:val="none" w:sz="0" w:space="0" w:color="auto"/>
        <w:bottom w:val="none" w:sz="0" w:space="0" w:color="auto"/>
        <w:right w:val="none" w:sz="0" w:space="0" w:color="auto"/>
      </w:divBdr>
    </w:div>
    <w:div w:id="1525437857">
      <w:bodyDiv w:val="1"/>
      <w:marLeft w:val="0"/>
      <w:marRight w:val="0"/>
      <w:marTop w:val="0"/>
      <w:marBottom w:val="0"/>
      <w:divBdr>
        <w:top w:val="none" w:sz="0" w:space="0" w:color="auto"/>
        <w:left w:val="none" w:sz="0" w:space="0" w:color="auto"/>
        <w:bottom w:val="none" w:sz="0" w:space="0" w:color="auto"/>
        <w:right w:val="none" w:sz="0" w:space="0" w:color="auto"/>
      </w:divBdr>
    </w:div>
    <w:div w:id="1527979882">
      <w:bodyDiv w:val="1"/>
      <w:marLeft w:val="0"/>
      <w:marRight w:val="0"/>
      <w:marTop w:val="0"/>
      <w:marBottom w:val="0"/>
      <w:divBdr>
        <w:top w:val="none" w:sz="0" w:space="0" w:color="auto"/>
        <w:left w:val="none" w:sz="0" w:space="0" w:color="auto"/>
        <w:bottom w:val="none" w:sz="0" w:space="0" w:color="auto"/>
        <w:right w:val="none" w:sz="0" w:space="0" w:color="auto"/>
      </w:divBdr>
    </w:div>
    <w:div w:id="1531259437">
      <w:bodyDiv w:val="1"/>
      <w:marLeft w:val="0"/>
      <w:marRight w:val="0"/>
      <w:marTop w:val="0"/>
      <w:marBottom w:val="0"/>
      <w:divBdr>
        <w:top w:val="none" w:sz="0" w:space="0" w:color="auto"/>
        <w:left w:val="none" w:sz="0" w:space="0" w:color="auto"/>
        <w:bottom w:val="none" w:sz="0" w:space="0" w:color="auto"/>
        <w:right w:val="none" w:sz="0" w:space="0" w:color="auto"/>
      </w:divBdr>
    </w:div>
    <w:div w:id="1532062431">
      <w:bodyDiv w:val="1"/>
      <w:marLeft w:val="0"/>
      <w:marRight w:val="0"/>
      <w:marTop w:val="0"/>
      <w:marBottom w:val="0"/>
      <w:divBdr>
        <w:top w:val="none" w:sz="0" w:space="0" w:color="auto"/>
        <w:left w:val="none" w:sz="0" w:space="0" w:color="auto"/>
        <w:bottom w:val="none" w:sz="0" w:space="0" w:color="auto"/>
        <w:right w:val="none" w:sz="0" w:space="0" w:color="auto"/>
      </w:divBdr>
    </w:div>
    <w:div w:id="1534882766">
      <w:bodyDiv w:val="1"/>
      <w:marLeft w:val="0"/>
      <w:marRight w:val="0"/>
      <w:marTop w:val="0"/>
      <w:marBottom w:val="0"/>
      <w:divBdr>
        <w:top w:val="none" w:sz="0" w:space="0" w:color="auto"/>
        <w:left w:val="none" w:sz="0" w:space="0" w:color="auto"/>
        <w:bottom w:val="none" w:sz="0" w:space="0" w:color="auto"/>
        <w:right w:val="none" w:sz="0" w:space="0" w:color="auto"/>
      </w:divBdr>
    </w:div>
    <w:div w:id="1535652704">
      <w:bodyDiv w:val="1"/>
      <w:marLeft w:val="0"/>
      <w:marRight w:val="0"/>
      <w:marTop w:val="0"/>
      <w:marBottom w:val="0"/>
      <w:divBdr>
        <w:top w:val="none" w:sz="0" w:space="0" w:color="auto"/>
        <w:left w:val="none" w:sz="0" w:space="0" w:color="auto"/>
        <w:bottom w:val="none" w:sz="0" w:space="0" w:color="auto"/>
        <w:right w:val="none" w:sz="0" w:space="0" w:color="auto"/>
      </w:divBdr>
    </w:div>
    <w:div w:id="1540050603">
      <w:bodyDiv w:val="1"/>
      <w:marLeft w:val="0"/>
      <w:marRight w:val="0"/>
      <w:marTop w:val="0"/>
      <w:marBottom w:val="0"/>
      <w:divBdr>
        <w:top w:val="none" w:sz="0" w:space="0" w:color="auto"/>
        <w:left w:val="none" w:sz="0" w:space="0" w:color="auto"/>
        <w:bottom w:val="none" w:sz="0" w:space="0" w:color="auto"/>
        <w:right w:val="none" w:sz="0" w:space="0" w:color="auto"/>
      </w:divBdr>
    </w:div>
    <w:div w:id="1541472605">
      <w:bodyDiv w:val="1"/>
      <w:marLeft w:val="0"/>
      <w:marRight w:val="0"/>
      <w:marTop w:val="0"/>
      <w:marBottom w:val="0"/>
      <w:divBdr>
        <w:top w:val="none" w:sz="0" w:space="0" w:color="auto"/>
        <w:left w:val="none" w:sz="0" w:space="0" w:color="auto"/>
        <w:bottom w:val="none" w:sz="0" w:space="0" w:color="auto"/>
        <w:right w:val="none" w:sz="0" w:space="0" w:color="auto"/>
      </w:divBdr>
    </w:div>
    <w:div w:id="1545211530">
      <w:bodyDiv w:val="1"/>
      <w:marLeft w:val="0"/>
      <w:marRight w:val="0"/>
      <w:marTop w:val="0"/>
      <w:marBottom w:val="0"/>
      <w:divBdr>
        <w:top w:val="none" w:sz="0" w:space="0" w:color="auto"/>
        <w:left w:val="none" w:sz="0" w:space="0" w:color="auto"/>
        <w:bottom w:val="none" w:sz="0" w:space="0" w:color="auto"/>
        <w:right w:val="none" w:sz="0" w:space="0" w:color="auto"/>
      </w:divBdr>
    </w:div>
    <w:div w:id="1545865995">
      <w:bodyDiv w:val="1"/>
      <w:marLeft w:val="0"/>
      <w:marRight w:val="0"/>
      <w:marTop w:val="0"/>
      <w:marBottom w:val="0"/>
      <w:divBdr>
        <w:top w:val="none" w:sz="0" w:space="0" w:color="auto"/>
        <w:left w:val="none" w:sz="0" w:space="0" w:color="auto"/>
        <w:bottom w:val="none" w:sz="0" w:space="0" w:color="auto"/>
        <w:right w:val="none" w:sz="0" w:space="0" w:color="auto"/>
      </w:divBdr>
    </w:div>
    <w:div w:id="1546481116">
      <w:bodyDiv w:val="1"/>
      <w:marLeft w:val="0"/>
      <w:marRight w:val="0"/>
      <w:marTop w:val="0"/>
      <w:marBottom w:val="0"/>
      <w:divBdr>
        <w:top w:val="none" w:sz="0" w:space="0" w:color="auto"/>
        <w:left w:val="none" w:sz="0" w:space="0" w:color="auto"/>
        <w:bottom w:val="none" w:sz="0" w:space="0" w:color="auto"/>
        <w:right w:val="none" w:sz="0" w:space="0" w:color="auto"/>
      </w:divBdr>
    </w:div>
    <w:div w:id="1547326850">
      <w:bodyDiv w:val="1"/>
      <w:marLeft w:val="0"/>
      <w:marRight w:val="0"/>
      <w:marTop w:val="0"/>
      <w:marBottom w:val="0"/>
      <w:divBdr>
        <w:top w:val="none" w:sz="0" w:space="0" w:color="auto"/>
        <w:left w:val="none" w:sz="0" w:space="0" w:color="auto"/>
        <w:bottom w:val="none" w:sz="0" w:space="0" w:color="auto"/>
        <w:right w:val="none" w:sz="0" w:space="0" w:color="auto"/>
      </w:divBdr>
    </w:div>
    <w:div w:id="1547334339">
      <w:bodyDiv w:val="1"/>
      <w:marLeft w:val="0"/>
      <w:marRight w:val="0"/>
      <w:marTop w:val="0"/>
      <w:marBottom w:val="0"/>
      <w:divBdr>
        <w:top w:val="none" w:sz="0" w:space="0" w:color="auto"/>
        <w:left w:val="none" w:sz="0" w:space="0" w:color="auto"/>
        <w:bottom w:val="none" w:sz="0" w:space="0" w:color="auto"/>
        <w:right w:val="none" w:sz="0" w:space="0" w:color="auto"/>
      </w:divBdr>
    </w:div>
    <w:div w:id="1550147114">
      <w:bodyDiv w:val="1"/>
      <w:marLeft w:val="0"/>
      <w:marRight w:val="0"/>
      <w:marTop w:val="0"/>
      <w:marBottom w:val="0"/>
      <w:divBdr>
        <w:top w:val="none" w:sz="0" w:space="0" w:color="auto"/>
        <w:left w:val="none" w:sz="0" w:space="0" w:color="auto"/>
        <w:bottom w:val="none" w:sz="0" w:space="0" w:color="auto"/>
        <w:right w:val="none" w:sz="0" w:space="0" w:color="auto"/>
      </w:divBdr>
    </w:div>
    <w:div w:id="1559782099">
      <w:bodyDiv w:val="1"/>
      <w:marLeft w:val="0"/>
      <w:marRight w:val="0"/>
      <w:marTop w:val="0"/>
      <w:marBottom w:val="0"/>
      <w:divBdr>
        <w:top w:val="none" w:sz="0" w:space="0" w:color="auto"/>
        <w:left w:val="none" w:sz="0" w:space="0" w:color="auto"/>
        <w:bottom w:val="none" w:sz="0" w:space="0" w:color="auto"/>
        <w:right w:val="none" w:sz="0" w:space="0" w:color="auto"/>
      </w:divBdr>
    </w:div>
    <w:div w:id="1561940535">
      <w:bodyDiv w:val="1"/>
      <w:marLeft w:val="0"/>
      <w:marRight w:val="0"/>
      <w:marTop w:val="0"/>
      <w:marBottom w:val="0"/>
      <w:divBdr>
        <w:top w:val="none" w:sz="0" w:space="0" w:color="auto"/>
        <w:left w:val="none" w:sz="0" w:space="0" w:color="auto"/>
        <w:bottom w:val="none" w:sz="0" w:space="0" w:color="auto"/>
        <w:right w:val="none" w:sz="0" w:space="0" w:color="auto"/>
      </w:divBdr>
    </w:div>
    <w:div w:id="1572350413">
      <w:bodyDiv w:val="1"/>
      <w:marLeft w:val="0"/>
      <w:marRight w:val="0"/>
      <w:marTop w:val="0"/>
      <w:marBottom w:val="0"/>
      <w:divBdr>
        <w:top w:val="none" w:sz="0" w:space="0" w:color="auto"/>
        <w:left w:val="none" w:sz="0" w:space="0" w:color="auto"/>
        <w:bottom w:val="none" w:sz="0" w:space="0" w:color="auto"/>
        <w:right w:val="none" w:sz="0" w:space="0" w:color="auto"/>
      </w:divBdr>
    </w:div>
    <w:div w:id="1572888146">
      <w:bodyDiv w:val="1"/>
      <w:marLeft w:val="0"/>
      <w:marRight w:val="0"/>
      <w:marTop w:val="0"/>
      <w:marBottom w:val="0"/>
      <w:divBdr>
        <w:top w:val="none" w:sz="0" w:space="0" w:color="auto"/>
        <w:left w:val="none" w:sz="0" w:space="0" w:color="auto"/>
        <w:bottom w:val="none" w:sz="0" w:space="0" w:color="auto"/>
        <w:right w:val="none" w:sz="0" w:space="0" w:color="auto"/>
      </w:divBdr>
    </w:div>
    <w:div w:id="1576552548">
      <w:bodyDiv w:val="1"/>
      <w:marLeft w:val="0"/>
      <w:marRight w:val="0"/>
      <w:marTop w:val="0"/>
      <w:marBottom w:val="0"/>
      <w:divBdr>
        <w:top w:val="none" w:sz="0" w:space="0" w:color="auto"/>
        <w:left w:val="none" w:sz="0" w:space="0" w:color="auto"/>
        <w:bottom w:val="none" w:sz="0" w:space="0" w:color="auto"/>
        <w:right w:val="none" w:sz="0" w:space="0" w:color="auto"/>
      </w:divBdr>
    </w:div>
    <w:div w:id="1577981490">
      <w:bodyDiv w:val="1"/>
      <w:marLeft w:val="0"/>
      <w:marRight w:val="0"/>
      <w:marTop w:val="0"/>
      <w:marBottom w:val="0"/>
      <w:divBdr>
        <w:top w:val="none" w:sz="0" w:space="0" w:color="auto"/>
        <w:left w:val="none" w:sz="0" w:space="0" w:color="auto"/>
        <w:bottom w:val="none" w:sz="0" w:space="0" w:color="auto"/>
        <w:right w:val="none" w:sz="0" w:space="0" w:color="auto"/>
      </w:divBdr>
    </w:div>
    <w:div w:id="1578321010">
      <w:bodyDiv w:val="1"/>
      <w:marLeft w:val="0"/>
      <w:marRight w:val="0"/>
      <w:marTop w:val="0"/>
      <w:marBottom w:val="0"/>
      <w:divBdr>
        <w:top w:val="none" w:sz="0" w:space="0" w:color="auto"/>
        <w:left w:val="none" w:sz="0" w:space="0" w:color="auto"/>
        <w:bottom w:val="none" w:sz="0" w:space="0" w:color="auto"/>
        <w:right w:val="none" w:sz="0" w:space="0" w:color="auto"/>
      </w:divBdr>
    </w:div>
    <w:div w:id="1580361666">
      <w:bodyDiv w:val="1"/>
      <w:marLeft w:val="0"/>
      <w:marRight w:val="0"/>
      <w:marTop w:val="0"/>
      <w:marBottom w:val="0"/>
      <w:divBdr>
        <w:top w:val="none" w:sz="0" w:space="0" w:color="auto"/>
        <w:left w:val="none" w:sz="0" w:space="0" w:color="auto"/>
        <w:bottom w:val="none" w:sz="0" w:space="0" w:color="auto"/>
        <w:right w:val="none" w:sz="0" w:space="0" w:color="auto"/>
      </w:divBdr>
    </w:div>
    <w:div w:id="1583443746">
      <w:bodyDiv w:val="1"/>
      <w:marLeft w:val="0"/>
      <w:marRight w:val="0"/>
      <w:marTop w:val="0"/>
      <w:marBottom w:val="0"/>
      <w:divBdr>
        <w:top w:val="none" w:sz="0" w:space="0" w:color="auto"/>
        <w:left w:val="none" w:sz="0" w:space="0" w:color="auto"/>
        <w:bottom w:val="none" w:sz="0" w:space="0" w:color="auto"/>
        <w:right w:val="none" w:sz="0" w:space="0" w:color="auto"/>
      </w:divBdr>
    </w:div>
    <w:div w:id="1588688102">
      <w:bodyDiv w:val="1"/>
      <w:marLeft w:val="0"/>
      <w:marRight w:val="0"/>
      <w:marTop w:val="0"/>
      <w:marBottom w:val="0"/>
      <w:divBdr>
        <w:top w:val="none" w:sz="0" w:space="0" w:color="auto"/>
        <w:left w:val="none" w:sz="0" w:space="0" w:color="auto"/>
        <w:bottom w:val="none" w:sz="0" w:space="0" w:color="auto"/>
        <w:right w:val="none" w:sz="0" w:space="0" w:color="auto"/>
      </w:divBdr>
    </w:div>
    <w:div w:id="1589003928">
      <w:bodyDiv w:val="1"/>
      <w:marLeft w:val="0"/>
      <w:marRight w:val="0"/>
      <w:marTop w:val="0"/>
      <w:marBottom w:val="0"/>
      <w:divBdr>
        <w:top w:val="none" w:sz="0" w:space="0" w:color="auto"/>
        <w:left w:val="none" w:sz="0" w:space="0" w:color="auto"/>
        <w:bottom w:val="none" w:sz="0" w:space="0" w:color="auto"/>
        <w:right w:val="none" w:sz="0" w:space="0" w:color="auto"/>
      </w:divBdr>
    </w:div>
    <w:div w:id="1592934622">
      <w:bodyDiv w:val="1"/>
      <w:marLeft w:val="0"/>
      <w:marRight w:val="0"/>
      <w:marTop w:val="0"/>
      <w:marBottom w:val="0"/>
      <w:divBdr>
        <w:top w:val="none" w:sz="0" w:space="0" w:color="auto"/>
        <w:left w:val="none" w:sz="0" w:space="0" w:color="auto"/>
        <w:bottom w:val="none" w:sz="0" w:space="0" w:color="auto"/>
        <w:right w:val="none" w:sz="0" w:space="0" w:color="auto"/>
      </w:divBdr>
    </w:div>
    <w:div w:id="1593859341">
      <w:bodyDiv w:val="1"/>
      <w:marLeft w:val="0"/>
      <w:marRight w:val="0"/>
      <w:marTop w:val="0"/>
      <w:marBottom w:val="0"/>
      <w:divBdr>
        <w:top w:val="none" w:sz="0" w:space="0" w:color="auto"/>
        <w:left w:val="none" w:sz="0" w:space="0" w:color="auto"/>
        <w:bottom w:val="none" w:sz="0" w:space="0" w:color="auto"/>
        <w:right w:val="none" w:sz="0" w:space="0" w:color="auto"/>
      </w:divBdr>
    </w:div>
    <w:div w:id="1594168979">
      <w:bodyDiv w:val="1"/>
      <w:marLeft w:val="0"/>
      <w:marRight w:val="0"/>
      <w:marTop w:val="0"/>
      <w:marBottom w:val="0"/>
      <w:divBdr>
        <w:top w:val="none" w:sz="0" w:space="0" w:color="auto"/>
        <w:left w:val="none" w:sz="0" w:space="0" w:color="auto"/>
        <w:bottom w:val="none" w:sz="0" w:space="0" w:color="auto"/>
        <w:right w:val="none" w:sz="0" w:space="0" w:color="auto"/>
      </w:divBdr>
    </w:div>
    <w:div w:id="1595895609">
      <w:bodyDiv w:val="1"/>
      <w:marLeft w:val="0"/>
      <w:marRight w:val="0"/>
      <w:marTop w:val="0"/>
      <w:marBottom w:val="0"/>
      <w:divBdr>
        <w:top w:val="none" w:sz="0" w:space="0" w:color="auto"/>
        <w:left w:val="none" w:sz="0" w:space="0" w:color="auto"/>
        <w:bottom w:val="none" w:sz="0" w:space="0" w:color="auto"/>
        <w:right w:val="none" w:sz="0" w:space="0" w:color="auto"/>
      </w:divBdr>
    </w:div>
    <w:div w:id="1597665963">
      <w:bodyDiv w:val="1"/>
      <w:marLeft w:val="0"/>
      <w:marRight w:val="0"/>
      <w:marTop w:val="0"/>
      <w:marBottom w:val="0"/>
      <w:divBdr>
        <w:top w:val="none" w:sz="0" w:space="0" w:color="auto"/>
        <w:left w:val="none" w:sz="0" w:space="0" w:color="auto"/>
        <w:bottom w:val="none" w:sz="0" w:space="0" w:color="auto"/>
        <w:right w:val="none" w:sz="0" w:space="0" w:color="auto"/>
      </w:divBdr>
    </w:div>
    <w:div w:id="1599556606">
      <w:bodyDiv w:val="1"/>
      <w:marLeft w:val="0"/>
      <w:marRight w:val="0"/>
      <w:marTop w:val="0"/>
      <w:marBottom w:val="0"/>
      <w:divBdr>
        <w:top w:val="none" w:sz="0" w:space="0" w:color="auto"/>
        <w:left w:val="none" w:sz="0" w:space="0" w:color="auto"/>
        <w:bottom w:val="none" w:sz="0" w:space="0" w:color="auto"/>
        <w:right w:val="none" w:sz="0" w:space="0" w:color="auto"/>
      </w:divBdr>
    </w:div>
    <w:div w:id="1606887732">
      <w:bodyDiv w:val="1"/>
      <w:marLeft w:val="0"/>
      <w:marRight w:val="0"/>
      <w:marTop w:val="0"/>
      <w:marBottom w:val="0"/>
      <w:divBdr>
        <w:top w:val="none" w:sz="0" w:space="0" w:color="auto"/>
        <w:left w:val="none" w:sz="0" w:space="0" w:color="auto"/>
        <w:bottom w:val="none" w:sz="0" w:space="0" w:color="auto"/>
        <w:right w:val="none" w:sz="0" w:space="0" w:color="auto"/>
      </w:divBdr>
    </w:div>
    <w:div w:id="1607271282">
      <w:bodyDiv w:val="1"/>
      <w:marLeft w:val="0"/>
      <w:marRight w:val="0"/>
      <w:marTop w:val="0"/>
      <w:marBottom w:val="0"/>
      <w:divBdr>
        <w:top w:val="none" w:sz="0" w:space="0" w:color="auto"/>
        <w:left w:val="none" w:sz="0" w:space="0" w:color="auto"/>
        <w:bottom w:val="none" w:sz="0" w:space="0" w:color="auto"/>
        <w:right w:val="none" w:sz="0" w:space="0" w:color="auto"/>
      </w:divBdr>
    </w:div>
    <w:div w:id="1612207716">
      <w:bodyDiv w:val="1"/>
      <w:marLeft w:val="0"/>
      <w:marRight w:val="0"/>
      <w:marTop w:val="0"/>
      <w:marBottom w:val="0"/>
      <w:divBdr>
        <w:top w:val="none" w:sz="0" w:space="0" w:color="auto"/>
        <w:left w:val="none" w:sz="0" w:space="0" w:color="auto"/>
        <w:bottom w:val="none" w:sz="0" w:space="0" w:color="auto"/>
        <w:right w:val="none" w:sz="0" w:space="0" w:color="auto"/>
      </w:divBdr>
    </w:div>
    <w:div w:id="1615867209">
      <w:bodyDiv w:val="1"/>
      <w:marLeft w:val="0"/>
      <w:marRight w:val="0"/>
      <w:marTop w:val="0"/>
      <w:marBottom w:val="0"/>
      <w:divBdr>
        <w:top w:val="none" w:sz="0" w:space="0" w:color="auto"/>
        <w:left w:val="none" w:sz="0" w:space="0" w:color="auto"/>
        <w:bottom w:val="none" w:sz="0" w:space="0" w:color="auto"/>
        <w:right w:val="none" w:sz="0" w:space="0" w:color="auto"/>
      </w:divBdr>
    </w:div>
    <w:div w:id="1621037447">
      <w:bodyDiv w:val="1"/>
      <w:marLeft w:val="0"/>
      <w:marRight w:val="0"/>
      <w:marTop w:val="0"/>
      <w:marBottom w:val="0"/>
      <w:divBdr>
        <w:top w:val="none" w:sz="0" w:space="0" w:color="auto"/>
        <w:left w:val="none" w:sz="0" w:space="0" w:color="auto"/>
        <w:bottom w:val="none" w:sz="0" w:space="0" w:color="auto"/>
        <w:right w:val="none" w:sz="0" w:space="0" w:color="auto"/>
      </w:divBdr>
    </w:div>
    <w:div w:id="1632906567">
      <w:bodyDiv w:val="1"/>
      <w:marLeft w:val="0"/>
      <w:marRight w:val="0"/>
      <w:marTop w:val="0"/>
      <w:marBottom w:val="0"/>
      <w:divBdr>
        <w:top w:val="none" w:sz="0" w:space="0" w:color="auto"/>
        <w:left w:val="none" w:sz="0" w:space="0" w:color="auto"/>
        <w:bottom w:val="none" w:sz="0" w:space="0" w:color="auto"/>
        <w:right w:val="none" w:sz="0" w:space="0" w:color="auto"/>
      </w:divBdr>
    </w:div>
    <w:div w:id="1634016526">
      <w:bodyDiv w:val="1"/>
      <w:marLeft w:val="0"/>
      <w:marRight w:val="0"/>
      <w:marTop w:val="0"/>
      <w:marBottom w:val="0"/>
      <w:divBdr>
        <w:top w:val="none" w:sz="0" w:space="0" w:color="auto"/>
        <w:left w:val="none" w:sz="0" w:space="0" w:color="auto"/>
        <w:bottom w:val="none" w:sz="0" w:space="0" w:color="auto"/>
        <w:right w:val="none" w:sz="0" w:space="0" w:color="auto"/>
      </w:divBdr>
    </w:div>
    <w:div w:id="1634286973">
      <w:bodyDiv w:val="1"/>
      <w:marLeft w:val="0"/>
      <w:marRight w:val="0"/>
      <w:marTop w:val="0"/>
      <w:marBottom w:val="0"/>
      <w:divBdr>
        <w:top w:val="none" w:sz="0" w:space="0" w:color="auto"/>
        <w:left w:val="none" w:sz="0" w:space="0" w:color="auto"/>
        <w:bottom w:val="none" w:sz="0" w:space="0" w:color="auto"/>
        <w:right w:val="none" w:sz="0" w:space="0" w:color="auto"/>
      </w:divBdr>
    </w:div>
    <w:div w:id="1640110259">
      <w:bodyDiv w:val="1"/>
      <w:marLeft w:val="0"/>
      <w:marRight w:val="0"/>
      <w:marTop w:val="0"/>
      <w:marBottom w:val="0"/>
      <w:divBdr>
        <w:top w:val="none" w:sz="0" w:space="0" w:color="auto"/>
        <w:left w:val="none" w:sz="0" w:space="0" w:color="auto"/>
        <w:bottom w:val="none" w:sz="0" w:space="0" w:color="auto"/>
        <w:right w:val="none" w:sz="0" w:space="0" w:color="auto"/>
      </w:divBdr>
    </w:div>
    <w:div w:id="1640844934">
      <w:bodyDiv w:val="1"/>
      <w:marLeft w:val="0"/>
      <w:marRight w:val="0"/>
      <w:marTop w:val="0"/>
      <w:marBottom w:val="0"/>
      <w:divBdr>
        <w:top w:val="none" w:sz="0" w:space="0" w:color="auto"/>
        <w:left w:val="none" w:sz="0" w:space="0" w:color="auto"/>
        <w:bottom w:val="none" w:sz="0" w:space="0" w:color="auto"/>
        <w:right w:val="none" w:sz="0" w:space="0" w:color="auto"/>
      </w:divBdr>
    </w:div>
    <w:div w:id="1642225341">
      <w:bodyDiv w:val="1"/>
      <w:marLeft w:val="0"/>
      <w:marRight w:val="0"/>
      <w:marTop w:val="0"/>
      <w:marBottom w:val="0"/>
      <w:divBdr>
        <w:top w:val="none" w:sz="0" w:space="0" w:color="auto"/>
        <w:left w:val="none" w:sz="0" w:space="0" w:color="auto"/>
        <w:bottom w:val="none" w:sz="0" w:space="0" w:color="auto"/>
        <w:right w:val="none" w:sz="0" w:space="0" w:color="auto"/>
      </w:divBdr>
    </w:div>
    <w:div w:id="1643850341">
      <w:bodyDiv w:val="1"/>
      <w:marLeft w:val="0"/>
      <w:marRight w:val="0"/>
      <w:marTop w:val="0"/>
      <w:marBottom w:val="0"/>
      <w:divBdr>
        <w:top w:val="none" w:sz="0" w:space="0" w:color="auto"/>
        <w:left w:val="none" w:sz="0" w:space="0" w:color="auto"/>
        <w:bottom w:val="none" w:sz="0" w:space="0" w:color="auto"/>
        <w:right w:val="none" w:sz="0" w:space="0" w:color="auto"/>
      </w:divBdr>
    </w:div>
    <w:div w:id="1649168739">
      <w:bodyDiv w:val="1"/>
      <w:marLeft w:val="0"/>
      <w:marRight w:val="0"/>
      <w:marTop w:val="0"/>
      <w:marBottom w:val="0"/>
      <w:divBdr>
        <w:top w:val="none" w:sz="0" w:space="0" w:color="auto"/>
        <w:left w:val="none" w:sz="0" w:space="0" w:color="auto"/>
        <w:bottom w:val="none" w:sz="0" w:space="0" w:color="auto"/>
        <w:right w:val="none" w:sz="0" w:space="0" w:color="auto"/>
      </w:divBdr>
    </w:div>
    <w:div w:id="1651326724">
      <w:bodyDiv w:val="1"/>
      <w:marLeft w:val="0"/>
      <w:marRight w:val="0"/>
      <w:marTop w:val="0"/>
      <w:marBottom w:val="0"/>
      <w:divBdr>
        <w:top w:val="none" w:sz="0" w:space="0" w:color="auto"/>
        <w:left w:val="none" w:sz="0" w:space="0" w:color="auto"/>
        <w:bottom w:val="none" w:sz="0" w:space="0" w:color="auto"/>
        <w:right w:val="none" w:sz="0" w:space="0" w:color="auto"/>
      </w:divBdr>
    </w:div>
    <w:div w:id="1654022728">
      <w:bodyDiv w:val="1"/>
      <w:marLeft w:val="0"/>
      <w:marRight w:val="0"/>
      <w:marTop w:val="0"/>
      <w:marBottom w:val="0"/>
      <w:divBdr>
        <w:top w:val="none" w:sz="0" w:space="0" w:color="auto"/>
        <w:left w:val="none" w:sz="0" w:space="0" w:color="auto"/>
        <w:bottom w:val="none" w:sz="0" w:space="0" w:color="auto"/>
        <w:right w:val="none" w:sz="0" w:space="0" w:color="auto"/>
      </w:divBdr>
    </w:div>
    <w:div w:id="1655183694">
      <w:bodyDiv w:val="1"/>
      <w:marLeft w:val="0"/>
      <w:marRight w:val="0"/>
      <w:marTop w:val="0"/>
      <w:marBottom w:val="0"/>
      <w:divBdr>
        <w:top w:val="none" w:sz="0" w:space="0" w:color="auto"/>
        <w:left w:val="none" w:sz="0" w:space="0" w:color="auto"/>
        <w:bottom w:val="none" w:sz="0" w:space="0" w:color="auto"/>
        <w:right w:val="none" w:sz="0" w:space="0" w:color="auto"/>
      </w:divBdr>
    </w:div>
    <w:div w:id="1656685144">
      <w:bodyDiv w:val="1"/>
      <w:marLeft w:val="0"/>
      <w:marRight w:val="0"/>
      <w:marTop w:val="0"/>
      <w:marBottom w:val="0"/>
      <w:divBdr>
        <w:top w:val="none" w:sz="0" w:space="0" w:color="auto"/>
        <w:left w:val="none" w:sz="0" w:space="0" w:color="auto"/>
        <w:bottom w:val="none" w:sz="0" w:space="0" w:color="auto"/>
        <w:right w:val="none" w:sz="0" w:space="0" w:color="auto"/>
      </w:divBdr>
    </w:div>
    <w:div w:id="1660183585">
      <w:bodyDiv w:val="1"/>
      <w:marLeft w:val="0"/>
      <w:marRight w:val="0"/>
      <w:marTop w:val="0"/>
      <w:marBottom w:val="0"/>
      <w:divBdr>
        <w:top w:val="none" w:sz="0" w:space="0" w:color="auto"/>
        <w:left w:val="none" w:sz="0" w:space="0" w:color="auto"/>
        <w:bottom w:val="none" w:sz="0" w:space="0" w:color="auto"/>
        <w:right w:val="none" w:sz="0" w:space="0" w:color="auto"/>
      </w:divBdr>
    </w:div>
    <w:div w:id="1661347978">
      <w:bodyDiv w:val="1"/>
      <w:marLeft w:val="0"/>
      <w:marRight w:val="0"/>
      <w:marTop w:val="0"/>
      <w:marBottom w:val="0"/>
      <w:divBdr>
        <w:top w:val="none" w:sz="0" w:space="0" w:color="auto"/>
        <w:left w:val="none" w:sz="0" w:space="0" w:color="auto"/>
        <w:bottom w:val="none" w:sz="0" w:space="0" w:color="auto"/>
        <w:right w:val="none" w:sz="0" w:space="0" w:color="auto"/>
      </w:divBdr>
    </w:div>
    <w:div w:id="1661500246">
      <w:bodyDiv w:val="1"/>
      <w:marLeft w:val="0"/>
      <w:marRight w:val="0"/>
      <w:marTop w:val="0"/>
      <w:marBottom w:val="0"/>
      <w:divBdr>
        <w:top w:val="none" w:sz="0" w:space="0" w:color="auto"/>
        <w:left w:val="none" w:sz="0" w:space="0" w:color="auto"/>
        <w:bottom w:val="none" w:sz="0" w:space="0" w:color="auto"/>
        <w:right w:val="none" w:sz="0" w:space="0" w:color="auto"/>
      </w:divBdr>
    </w:div>
    <w:div w:id="1666199675">
      <w:bodyDiv w:val="1"/>
      <w:marLeft w:val="0"/>
      <w:marRight w:val="0"/>
      <w:marTop w:val="0"/>
      <w:marBottom w:val="0"/>
      <w:divBdr>
        <w:top w:val="none" w:sz="0" w:space="0" w:color="auto"/>
        <w:left w:val="none" w:sz="0" w:space="0" w:color="auto"/>
        <w:bottom w:val="none" w:sz="0" w:space="0" w:color="auto"/>
        <w:right w:val="none" w:sz="0" w:space="0" w:color="auto"/>
      </w:divBdr>
    </w:div>
    <w:div w:id="1666467530">
      <w:bodyDiv w:val="1"/>
      <w:marLeft w:val="0"/>
      <w:marRight w:val="0"/>
      <w:marTop w:val="0"/>
      <w:marBottom w:val="0"/>
      <w:divBdr>
        <w:top w:val="none" w:sz="0" w:space="0" w:color="auto"/>
        <w:left w:val="none" w:sz="0" w:space="0" w:color="auto"/>
        <w:bottom w:val="none" w:sz="0" w:space="0" w:color="auto"/>
        <w:right w:val="none" w:sz="0" w:space="0" w:color="auto"/>
      </w:divBdr>
    </w:div>
    <w:div w:id="1666590531">
      <w:bodyDiv w:val="1"/>
      <w:marLeft w:val="0"/>
      <w:marRight w:val="0"/>
      <w:marTop w:val="0"/>
      <w:marBottom w:val="0"/>
      <w:divBdr>
        <w:top w:val="none" w:sz="0" w:space="0" w:color="auto"/>
        <w:left w:val="none" w:sz="0" w:space="0" w:color="auto"/>
        <w:bottom w:val="none" w:sz="0" w:space="0" w:color="auto"/>
        <w:right w:val="none" w:sz="0" w:space="0" w:color="auto"/>
      </w:divBdr>
    </w:div>
    <w:div w:id="1669406534">
      <w:bodyDiv w:val="1"/>
      <w:marLeft w:val="0"/>
      <w:marRight w:val="0"/>
      <w:marTop w:val="0"/>
      <w:marBottom w:val="0"/>
      <w:divBdr>
        <w:top w:val="none" w:sz="0" w:space="0" w:color="auto"/>
        <w:left w:val="none" w:sz="0" w:space="0" w:color="auto"/>
        <w:bottom w:val="none" w:sz="0" w:space="0" w:color="auto"/>
        <w:right w:val="none" w:sz="0" w:space="0" w:color="auto"/>
      </w:divBdr>
    </w:div>
    <w:div w:id="1670406462">
      <w:bodyDiv w:val="1"/>
      <w:marLeft w:val="0"/>
      <w:marRight w:val="0"/>
      <w:marTop w:val="0"/>
      <w:marBottom w:val="0"/>
      <w:divBdr>
        <w:top w:val="none" w:sz="0" w:space="0" w:color="auto"/>
        <w:left w:val="none" w:sz="0" w:space="0" w:color="auto"/>
        <w:bottom w:val="none" w:sz="0" w:space="0" w:color="auto"/>
        <w:right w:val="none" w:sz="0" w:space="0" w:color="auto"/>
      </w:divBdr>
    </w:div>
    <w:div w:id="1671904536">
      <w:bodyDiv w:val="1"/>
      <w:marLeft w:val="0"/>
      <w:marRight w:val="0"/>
      <w:marTop w:val="0"/>
      <w:marBottom w:val="0"/>
      <w:divBdr>
        <w:top w:val="none" w:sz="0" w:space="0" w:color="auto"/>
        <w:left w:val="none" w:sz="0" w:space="0" w:color="auto"/>
        <w:bottom w:val="none" w:sz="0" w:space="0" w:color="auto"/>
        <w:right w:val="none" w:sz="0" w:space="0" w:color="auto"/>
      </w:divBdr>
    </w:div>
    <w:div w:id="1676499365">
      <w:bodyDiv w:val="1"/>
      <w:marLeft w:val="0"/>
      <w:marRight w:val="0"/>
      <w:marTop w:val="0"/>
      <w:marBottom w:val="0"/>
      <w:divBdr>
        <w:top w:val="none" w:sz="0" w:space="0" w:color="auto"/>
        <w:left w:val="none" w:sz="0" w:space="0" w:color="auto"/>
        <w:bottom w:val="none" w:sz="0" w:space="0" w:color="auto"/>
        <w:right w:val="none" w:sz="0" w:space="0" w:color="auto"/>
      </w:divBdr>
    </w:div>
    <w:div w:id="1688630888">
      <w:bodyDiv w:val="1"/>
      <w:marLeft w:val="0"/>
      <w:marRight w:val="0"/>
      <w:marTop w:val="0"/>
      <w:marBottom w:val="0"/>
      <w:divBdr>
        <w:top w:val="none" w:sz="0" w:space="0" w:color="auto"/>
        <w:left w:val="none" w:sz="0" w:space="0" w:color="auto"/>
        <w:bottom w:val="none" w:sz="0" w:space="0" w:color="auto"/>
        <w:right w:val="none" w:sz="0" w:space="0" w:color="auto"/>
      </w:divBdr>
    </w:div>
    <w:div w:id="1696496639">
      <w:bodyDiv w:val="1"/>
      <w:marLeft w:val="0"/>
      <w:marRight w:val="0"/>
      <w:marTop w:val="0"/>
      <w:marBottom w:val="0"/>
      <w:divBdr>
        <w:top w:val="none" w:sz="0" w:space="0" w:color="auto"/>
        <w:left w:val="none" w:sz="0" w:space="0" w:color="auto"/>
        <w:bottom w:val="none" w:sz="0" w:space="0" w:color="auto"/>
        <w:right w:val="none" w:sz="0" w:space="0" w:color="auto"/>
      </w:divBdr>
    </w:div>
    <w:div w:id="1705134306">
      <w:bodyDiv w:val="1"/>
      <w:marLeft w:val="0"/>
      <w:marRight w:val="0"/>
      <w:marTop w:val="0"/>
      <w:marBottom w:val="0"/>
      <w:divBdr>
        <w:top w:val="none" w:sz="0" w:space="0" w:color="auto"/>
        <w:left w:val="none" w:sz="0" w:space="0" w:color="auto"/>
        <w:bottom w:val="none" w:sz="0" w:space="0" w:color="auto"/>
        <w:right w:val="none" w:sz="0" w:space="0" w:color="auto"/>
      </w:divBdr>
    </w:div>
    <w:div w:id="1705708758">
      <w:bodyDiv w:val="1"/>
      <w:marLeft w:val="0"/>
      <w:marRight w:val="0"/>
      <w:marTop w:val="0"/>
      <w:marBottom w:val="0"/>
      <w:divBdr>
        <w:top w:val="none" w:sz="0" w:space="0" w:color="auto"/>
        <w:left w:val="none" w:sz="0" w:space="0" w:color="auto"/>
        <w:bottom w:val="none" w:sz="0" w:space="0" w:color="auto"/>
        <w:right w:val="none" w:sz="0" w:space="0" w:color="auto"/>
      </w:divBdr>
    </w:div>
    <w:div w:id="1714963710">
      <w:bodyDiv w:val="1"/>
      <w:marLeft w:val="0"/>
      <w:marRight w:val="0"/>
      <w:marTop w:val="0"/>
      <w:marBottom w:val="0"/>
      <w:divBdr>
        <w:top w:val="none" w:sz="0" w:space="0" w:color="auto"/>
        <w:left w:val="none" w:sz="0" w:space="0" w:color="auto"/>
        <w:bottom w:val="none" w:sz="0" w:space="0" w:color="auto"/>
        <w:right w:val="none" w:sz="0" w:space="0" w:color="auto"/>
      </w:divBdr>
    </w:div>
    <w:div w:id="1716349263">
      <w:bodyDiv w:val="1"/>
      <w:marLeft w:val="0"/>
      <w:marRight w:val="0"/>
      <w:marTop w:val="0"/>
      <w:marBottom w:val="0"/>
      <w:divBdr>
        <w:top w:val="none" w:sz="0" w:space="0" w:color="auto"/>
        <w:left w:val="none" w:sz="0" w:space="0" w:color="auto"/>
        <w:bottom w:val="none" w:sz="0" w:space="0" w:color="auto"/>
        <w:right w:val="none" w:sz="0" w:space="0" w:color="auto"/>
      </w:divBdr>
    </w:div>
    <w:div w:id="1721586210">
      <w:bodyDiv w:val="1"/>
      <w:marLeft w:val="0"/>
      <w:marRight w:val="0"/>
      <w:marTop w:val="0"/>
      <w:marBottom w:val="0"/>
      <w:divBdr>
        <w:top w:val="none" w:sz="0" w:space="0" w:color="auto"/>
        <w:left w:val="none" w:sz="0" w:space="0" w:color="auto"/>
        <w:bottom w:val="none" w:sz="0" w:space="0" w:color="auto"/>
        <w:right w:val="none" w:sz="0" w:space="0" w:color="auto"/>
      </w:divBdr>
    </w:div>
    <w:div w:id="1724518190">
      <w:bodyDiv w:val="1"/>
      <w:marLeft w:val="0"/>
      <w:marRight w:val="0"/>
      <w:marTop w:val="0"/>
      <w:marBottom w:val="0"/>
      <w:divBdr>
        <w:top w:val="none" w:sz="0" w:space="0" w:color="auto"/>
        <w:left w:val="none" w:sz="0" w:space="0" w:color="auto"/>
        <w:bottom w:val="none" w:sz="0" w:space="0" w:color="auto"/>
        <w:right w:val="none" w:sz="0" w:space="0" w:color="auto"/>
      </w:divBdr>
    </w:div>
    <w:div w:id="1728994505">
      <w:bodyDiv w:val="1"/>
      <w:marLeft w:val="0"/>
      <w:marRight w:val="0"/>
      <w:marTop w:val="0"/>
      <w:marBottom w:val="0"/>
      <w:divBdr>
        <w:top w:val="none" w:sz="0" w:space="0" w:color="auto"/>
        <w:left w:val="none" w:sz="0" w:space="0" w:color="auto"/>
        <w:bottom w:val="none" w:sz="0" w:space="0" w:color="auto"/>
        <w:right w:val="none" w:sz="0" w:space="0" w:color="auto"/>
      </w:divBdr>
    </w:div>
    <w:div w:id="1729838164">
      <w:bodyDiv w:val="1"/>
      <w:marLeft w:val="0"/>
      <w:marRight w:val="0"/>
      <w:marTop w:val="0"/>
      <w:marBottom w:val="0"/>
      <w:divBdr>
        <w:top w:val="none" w:sz="0" w:space="0" w:color="auto"/>
        <w:left w:val="none" w:sz="0" w:space="0" w:color="auto"/>
        <w:bottom w:val="none" w:sz="0" w:space="0" w:color="auto"/>
        <w:right w:val="none" w:sz="0" w:space="0" w:color="auto"/>
      </w:divBdr>
    </w:div>
    <w:div w:id="1730575198">
      <w:bodyDiv w:val="1"/>
      <w:marLeft w:val="0"/>
      <w:marRight w:val="0"/>
      <w:marTop w:val="0"/>
      <w:marBottom w:val="0"/>
      <w:divBdr>
        <w:top w:val="none" w:sz="0" w:space="0" w:color="auto"/>
        <w:left w:val="none" w:sz="0" w:space="0" w:color="auto"/>
        <w:bottom w:val="none" w:sz="0" w:space="0" w:color="auto"/>
        <w:right w:val="none" w:sz="0" w:space="0" w:color="auto"/>
      </w:divBdr>
    </w:div>
    <w:div w:id="1730809396">
      <w:bodyDiv w:val="1"/>
      <w:marLeft w:val="0"/>
      <w:marRight w:val="0"/>
      <w:marTop w:val="0"/>
      <w:marBottom w:val="0"/>
      <w:divBdr>
        <w:top w:val="none" w:sz="0" w:space="0" w:color="auto"/>
        <w:left w:val="none" w:sz="0" w:space="0" w:color="auto"/>
        <w:bottom w:val="none" w:sz="0" w:space="0" w:color="auto"/>
        <w:right w:val="none" w:sz="0" w:space="0" w:color="auto"/>
      </w:divBdr>
    </w:div>
    <w:div w:id="1731927113">
      <w:bodyDiv w:val="1"/>
      <w:marLeft w:val="0"/>
      <w:marRight w:val="0"/>
      <w:marTop w:val="0"/>
      <w:marBottom w:val="0"/>
      <w:divBdr>
        <w:top w:val="none" w:sz="0" w:space="0" w:color="auto"/>
        <w:left w:val="none" w:sz="0" w:space="0" w:color="auto"/>
        <w:bottom w:val="none" w:sz="0" w:space="0" w:color="auto"/>
        <w:right w:val="none" w:sz="0" w:space="0" w:color="auto"/>
      </w:divBdr>
    </w:div>
    <w:div w:id="1732002018">
      <w:bodyDiv w:val="1"/>
      <w:marLeft w:val="0"/>
      <w:marRight w:val="0"/>
      <w:marTop w:val="0"/>
      <w:marBottom w:val="0"/>
      <w:divBdr>
        <w:top w:val="none" w:sz="0" w:space="0" w:color="auto"/>
        <w:left w:val="none" w:sz="0" w:space="0" w:color="auto"/>
        <w:bottom w:val="none" w:sz="0" w:space="0" w:color="auto"/>
        <w:right w:val="none" w:sz="0" w:space="0" w:color="auto"/>
      </w:divBdr>
    </w:div>
    <w:div w:id="1734039156">
      <w:bodyDiv w:val="1"/>
      <w:marLeft w:val="0"/>
      <w:marRight w:val="0"/>
      <w:marTop w:val="0"/>
      <w:marBottom w:val="0"/>
      <w:divBdr>
        <w:top w:val="none" w:sz="0" w:space="0" w:color="auto"/>
        <w:left w:val="none" w:sz="0" w:space="0" w:color="auto"/>
        <w:bottom w:val="none" w:sz="0" w:space="0" w:color="auto"/>
        <w:right w:val="none" w:sz="0" w:space="0" w:color="auto"/>
      </w:divBdr>
    </w:div>
    <w:div w:id="1734154949">
      <w:bodyDiv w:val="1"/>
      <w:marLeft w:val="0"/>
      <w:marRight w:val="0"/>
      <w:marTop w:val="0"/>
      <w:marBottom w:val="0"/>
      <w:divBdr>
        <w:top w:val="none" w:sz="0" w:space="0" w:color="auto"/>
        <w:left w:val="none" w:sz="0" w:space="0" w:color="auto"/>
        <w:bottom w:val="none" w:sz="0" w:space="0" w:color="auto"/>
        <w:right w:val="none" w:sz="0" w:space="0" w:color="auto"/>
      </w:divBdr>
    </w:div>
    <w:div w:id="1734308431">
      <w:bodyDiv w:val="1"/>
      <w:marLeft w:val="0"/>
      <w:marRight w:val="0"/>
      <w:marTop w:val="0"/>
      <w:marBottom w:val="0"/>
      <w:divBdr>
        <w:top w:val="none" w:sz="0" w:space="0" w:color="auto"/>
        <w:left w:val="none" w:sz="0" w:space="0" w:color="auto"/>
        <w:bottom w:val="none" w:sz="0" w:space="0" w:color="auto"/>
        <w:right w:val="none" w:sz="0" w:space="0" w:color="auto"/>
      </w:divBdr>
    </w:div>
    <w:div w:id="1738018094">
      <w:bodyDiv w:val="1"/>
      <w:marLeft w:val="0"/>
      <w:marRight w:val="0"/>
      <w:marTop w:val="0"/>
      <w:marBottom w:val="0"/>
      <w:divBdr>
        <w:top w:val="none" w:sz="0" w:space="0" w:color="auto"/>
        <w:left w:val="none" w:sz="0" w:space="0" w:color="auto"/>
        <w:bottom w:val="none" w:sz="0" w:space="0" w:color="auto"/>
        <w:right w:val="none" w:sz="0" w:space="0" w:color="auto"/>
      </w:divBdr>
    </w:div>
    <w:div w:id="1738434224">
      <w:bodyDiv w:val="1"/>
      <w:marLeft w:val="0"/>
      <w:marRight w:val="0"/>
      <w:marTop w:val="0"/>
      <w:marBottom w:val="0"/>
      <w:divBdr>
        <w:top w:val="none" w:sz="0" w:space="0" w:color="auto"/>
        <w:left w:val="none" w:sz="0" w:space="0" w:color="auto"/>
        <w:bottom w:val="none" w:sz="0" w:space="0" w:color="auto"/>
        <w:right w:val="none" w:sz="0" w:space="0" w:color="auto"/>
      </w:divBdr>
    </w:div>
    <w:div w:id="1739473681">
      <w:bodyDiv w:val="1"/>
      <w:marLeft w:val="0"/>
      <w:marRight w:val="0"/>
      <w:marTop w:val="0"/>
      <w:marBottom w:val="0"/>
      <w:divBdr>
        <w:top w:val="none" w:sz="0" w:space="0" w:color="auto"/>
        <w:left w:val="none" w:sz="0" w:space="0" w:color="auto"/>
        <w:bottom w:val="none" w:sz="0" w:space="0" w:color="auto"/>
        <w:right w:val="none" w:sz="0" w:space="0" w:color="auto"/>
      </w:divBdr>
    </w:div>
    <w:div w:id="1740904169">
      <w:bodyDiv w:val="1"/>
      <w:marLeft w:val="0"/>
      <w:marRight w:val="0"/>
      <w:marTop w:val="0"/>
      <w:marBottom w:val="0"/>
      <w:divBdr>
        <w:top w:val="none" w:sz="0" w:space="0" w:color="auto"/>
        <w:left w:val="none" w:sz="0" w:space="0" w:color="auto"/>
        <w:bottom w:val="none" w:sz="0" w:space="0" w:color="auto"/>
        <w:right w:val="none" w:sz="0" w:space="0" w:color="auto"/>
      </w:divBdr>
    </w:div>
    <w:div w:id="1742408832">
      <w:bodyDiv w:val="1"/>
      <w:marLeft w:val="0"/>
      <w:marRight w:val="0"/>
      <w:marTop w:val="0"/>
      <w:marBottom w:val="0"/>
      <w:divBdr>
        <w:top w:val="none" w:sz="0" w:space="0" w:color="auto"/>
        <w:left w:val="none" w:sz="0" w:space="0" w:color="auto"/>
        <w:bottom w:val="none" w:sz="0" w:space="0" w:color="auto"/>
        <w:right w:val="none" w:sz="0" w:space="0" w:color="auto"/>
      </w:divBdr>
    </w:div>
    <w:div w:id="1746292937">
      <w:bodyDiv w:val="1"/>
      <w:marLeft w:val="0"/>
      <w:marRight w:val="0"/>
      <w:marTop w:val="0"/>
      <w:marBottom w:val="0"/>
      <w:divBdr>
        <w:top w:val="none" w:sz="0" w:space="0" w:color="auto"/>
        <w:left w:val="none" w:sz="0" w:space="0" w:color="auto"/>
        <w:bottom w:val="none" w:sz="0" w:space="0" w:color="auto"/>
        <w:right w:val="none" w:sz="0" w:space="0" w:color="auto"/>
      </w:divBdr>
    </w:div>
    <w:div w:id="1748072300">
      <w:bodyDiv w:val="1"/>
      <w:marLeft w:val="0"/>
      <w:marRight w:val="0"/>
      <w:marTop w:val="0"/>
      <w:marBottom w:val="0"/>
      <w:divBdr>
        <w:top w:val="none" w:sz="0" w:space="0" w:color="auto"/>
        <w:left w:val="none" w:sz="0" w:space="0" w:color="auto"/>
        <w:bottom w:val="none" w:sz="0" w:space="0" w:color="auto"/>
        <w:right w:val="none" w:sz="0" w:space="0" w:color="auto"/>
      </w:divBdr>
    </w:div>
    <w:div w:id="1755664952">
      <w:bodyDiv w:val="1"/>
      <w:marLeft w:val="0"/>
      <w:marRight w:val="0"/>
      <w:marTop w:val="0"/>
      <w:marBottom w:val="0"/>
      <w:divBdr>
        <w:top w:val="none" w:sz="0" w:space="0" w:color="auto"/>
        <w:left w:val="none" w:sz="0" w:space="0" w:color="auto"/>
        <w:bottom w:val="none" w:sz="0" w:space="0" w:color="auto"/>
        <w:right w:val="none" w:sz="0" w:space="0" w:color="auto"/>
      </w:divBdr>
    </w:div>
    <w:div w:id="1756125389">
      <w:bodyDiv w:val="1"/>
      <w:marLeft w:val="0"/>
      <w:marRight w:val="0"/>
      <w:marTop w:val="0"/>
      <w:marBottom w:val="0"/>
      <w:divBdr>
        <w:top w:val="none" w:sz="0" w:space="0" w:color="auto"/>
        <w:left w:val="none" w:sz="0" w:space="0" w:color="auto"/>
        <w:bottom w:val="none" w:sz="0" w:space="0" w:color="auto"/>
        <w:right w:val="none" w:sz="0" w:space="0" w:color="auto"/>
      </w:divBdr>
    </w:div>
    <w:div w:id="1756971569">
      <w:bodyDiv w:val="1"/>
      <w:marLeft w:val="0"/>
      <w:marRight w:val="0"/>
      <w:marTop w:val="0"/>
      <w:marBottom w:val="0"/>
      <w:divBdr>
        <w:top w:val="none" w:sz="0" w:space="0" w:color="auto"/>
        <w:left w:val="none" w:sz="0" w:space="0" w:color="auto"/>
        <w:bottom w:val="none" w:sz="0" w:space="0" w:color="auto"/>
        <w:right w:val="none" w:sz="0" w:space="0" w:color="auto"/>
      </w:divBdr>
    </w:div>
    <w:div w:id="1757289159">
      <w:bodyDiv w:val="1"/>
      <w:marLeft w:val="0"/>
      <w:marRight w:val="0"/>
      <w:marTop w:val="0"/>
      <w:marBottom w:val="0"/>
      <w:divBdr>
        <w:top w:val="none" w:sz="0" w:space="0" w:color="auto"/>
        <w:left w:val="none" w:sz="0" w:space="0" w:color="auto"/>
        <w:bottom w:val="none" w:sz="0" w:space="0" w:color="auto"/>
        <w:right w:val="none" w:sz="0" w:space="0" w:color="auto"/>
      </w:divBdr>
    </w:div>
    <w:div w:id="1764571076">
      <w:bodyDiv w:val="1"/>
      <w:marLeft w:val="0"/>
      <w:marRight w:val="0"/>
      <w:marTop w:val="0"/>
      <w:marBottom w:val="0"/>
      <w:divBdr>
        <w:top w:val="none" w:sz="0" w:space="0" w:color="auto"/>
        <w:left w:val="none" w:sz="0" w:space="0" w:color="auto"/>
        <w:bottom w:val="none" w:sz="0" w:space="0" w:color="auto"/>
        <w:right w:val="none" w:sz="0" w:space="0" w:color="auto"/>
      </w:divBdr>
    </w:div>
    <w:div w:id="1767143442">
      <w:bodyDiv w:val="1"/>
      <w:marLeft w:val="0"/>
      <w:marRight w:val="0"/>
      <w:marTop w:val="0"/>
      <w:marBottom w:val="0"/>
      <w:divBdr>
        <w:top w:val="none" w:sz="0" w:space="0" w:color="auto"/>
        <w:left w:val="none" w:sz="0" w:space="0" w:color="auto"/>
        <w:bottom w:val="none" w:sz="0" w:space="0" w:color="auto"/>
        <w:right w:val="none" w:sz="0" w:space="0" w:color="auto"/>
      </w:divBdr>
    </w:div>
    <w:div w:id="1770201047">
      <w:bodyDiv w:val="1"/>
      <w:marLeft w:val="0"/>
      <w:marRight w:val="0"/>
      <w:marTop w:val="0"/>
      <w:marBottom w:val="0"/>
      <w:divBdr>
        <w:top w:val="none" w:sz="0" w:space="0" w:color="auto"/>
        <w:left w:val="none" w:sz="0" w:space="0" w:color="auto"/>
        <w:bottom w:val="none" w:sz="0" w:space="0" w:color="auto"/>
        <w:right w:val="none" w:sz="0" w:space="0" w:color="auto"/>
      </w:divBdr>
    </w:div>
    <w:div w:id="1783840593">
      <w:bodyDiv w:val="1"/>
      <w:marLeft w:val="0"/>
      <w:marRight w:val="0"/>
      <w:marTop w:val="0"/>
      <w:marBottom w:val="0"/>
      <w:divBdr>
        <w:top w:val="none" w:sz="0" w:space="0" w:color="auto"/>
        <w:left w:val="none" w:sz="0" w:space="0" w:color="auto"/>
        <w:bottom w:val="none" w:sz="0" w:space="0" w:color="auto"/>
        <w:right w:val="none" w:sz="0" w:space="0" w:color="auto"/>
      </w:divBdr>
    </w:div>
    <w:div w:id="1787578250">
      <w:bodyDiv w:val="1"/>
      <w:marLeft w:val="0"/>
      <w:marRight w:val="0"/>
      <w:marTop w:val="0"/>
      <w:marBottom w:val="0"/>
      <w:divBdr>
        <w:top w:val="none" w:sz="0" w:space="0" w:color="auto"/>
        <w:left w:val="none" w:sz="0" w:space="0" w:color="auto"/>
        <w:bottom w:val="none" w:sz="0" w:space="0" w:color="auto"/>
        <w:right w:val="none" w:sz="0" w:space="0" w:color="auto"/>
      </w:divBdr>
    </w:div>
    <w:div w:id="1789473904">
      <w:bodyDiv w:val="1"/>
      <w:marLeft w:val="0"/>
      <w:marRight w:val="0"/>
      <w:marTop w:val="0"/>
      <w:marBottom w:val="0"/>
      <w:divBdr>
        <w:top w:val="none" w:sz="0" w:space="0" w:color="auto"/>
        <w:left w:val="none" w:sz="0" w:space="0" w:color="auto"/>
        <w:bottom w:val="none" w:sz="0" w:space="0" w:color="auto"/>
        <w:right w:val="none" w:sz="0" w:space="0" w:color="auto"/>
      </w:divBdr>
    </w:div>
    <w:div w:id="1795170298">
      <w:bodyDiv w:val="1"/>
      <w:marLeft w:val="0"/>
      <w:marRight w:val="0"/>
      <w:marTop w:val="0"/>
      <w:marBottom w:val="0"/>
      <w:divBdr>
        <w:top w:val="none" w:sz="0" w:space="0" w:color="auto"/>
        <w:left w:val="none" w:sz="0" w:space="0" w:color="auto"/>
        <w:bottom w:val="none" w:sz="0" w:space="0" w:color="auto"/>
        <w:right w:val="none" w:sz="0" w:space="0" w:color="auto"/>
      </w:divBdr>
    </w:div>
    <w:div w:id="1796483180">
      <w:bodyDiv w:val="1"/>
      <w:marLeft w:val="0"/>
      <w:marRight w:val="0"/>
      <w:marTop w:val="0"/>
      <w:marBottom w:val="0"/>
      <w:divBdr>
        <w:top w:val="none" w:sz="0" w:space="0" w:color="auto"/>
        <w:left w:val="none" w:sz="0" w:space="0" w:color="auto"/>
        <w:bottom w:val="none" w:sz="0" w:space="0" w:color="auto"/>
        <w:right w:val="none" w:sz="0" w:space="0" w:color="auto"/>
      </w:divBdr>
    </w:div>
    <w:div w:id="1796942544">
      <w:bodyDiv w:val="1"/>
      <w:marLeft w:val="0"/>
      <w:marRight w:val="0"/>
      <w:marTop w:val="0"/>
      <w:marBottom w:val="0"/>
      <w:divBdr>
        <w:top w:val="none" w:sz="0" w:space="0" w:color="auto"/>
        <w:left w:val="none" w:sz="0" w:space="0" w:color="auto"/>
        <w:bottom w:val="none" w:sz="0" w:space="0" w:color="auto"/>
        <w:right w:val="none" w:sz="0" w:space="0" w:color="auto"/>
      </w:divBdr>
    </w:div>
    <w:div w:id="1797523914">
      <w:bodyDiv w:val="1"/>
      <w:marLeft w:val="0"/>
      <w:marRight w:val="0"/>
      <w:marTop w:val="0"/>
      <w:marBottom w:val="0"/>
      <w:divBdr>
        <w:top w:val="none" w:sz="0" w:space="0" w:color="auto"/>
        <w:left w:val="none" w:sz="0" w:space="0" w:color="auto"/>
        <w:bottom w:val="none" w:sz="0" w:space="0" w:color="auto"/>
        <w:right w:val="none" w:sz="0" w:space="0" w:color="auto"/>
      </w:divBdr>
    </w:div>
    <w:div w:id="1799184742">
      <w:bodyDiv w:val="1"/>
      <w:marLeft w:val="0"/>
      <w:marRight w:val="0"/>
      <w:marTop w:val="0"/>
      <w:marBottom w:val="0"/>
      <w:divBdr>
        <w:top w:val="none" w:sz="0" w:space="0" w:color="auto"/>
        <w:left w:val="none" w:sz="0" w:space="0" w:color="auto"/>
        <w:bottom w:val="none" w:sz="0" w:space="0" w:color="auto"/>
        <w:right w:val="none" w:sz="0" w:space="0" w:color="auto"/>
      </w:divBdr>
    </w:div>
    <w:div w:id="1803576780">
      <w:bodyDiv w:val="1"/>
      <w:marLeft w:val="0"/>
      <w:marRight w:val="0"/>
      <w:marTop w:val="0"/>
      <w:marBottom w:val="0"/>
      <w:divBdr>
        <w:top w:val="none" w:sz="0" w:space="0" w:color="auto"/>
        <w:left w:val="none" w:sz="0" w:space="0" w:color="auto"/>
        <w:bottom w:val="none" w:sz="0" w:space="0" w:color="auto"/>
        <w:right w:val="none" w:sz="0" w:space="0" w:color="auto"/>
      </w:divBdr>
    </w:div>
    <w:div w:id="1807040468">
      <w:bodyDiv w:val="1"/>
      <w:marLeft w:val="0"/>
      <w:marRight w:val="0"/>
      <w:marTop w:val="0"/>
      <w:marBottom w:val="0"/>
      <w:divBdr>
        <w:top w:val="none" w:sz="0" w:space="0" w:color="auto"/>
        <w:left w:val="none" w:sz="0" w:space="0" w:color="auto"/>
        <w:bottom w:val="none" w:sz="0" w:space="0" w:color="auto"/>
        <w:right w:val="none" w:sz="0" w:space="0" w:color="auto"/>
      </w:divBdr>
    </w:div>
    <w:div w:id="1813869619">
      <w:bodyDiv w:val="1"/>
      <w:marLeft w:val="0"/>
      <w:marRight w:val="0"/>
      <w:marTop w:val="0"/>
      <w:marBottom w:val="0"/>
      <w:divBdr>
        <w:top w:val="none" w:sz="0" w:space="0" w:color="auto"/>
        <w:left w:val="none" w:sz="0" w:space="0" w:color="auto"/>
        <w:bottom w:val="none" w:sz="0" w:space="0" w:color="auto"/>
        <w:right w:val="none" w:sz="0" w:space="0" w:color="auto"/>
      </w:divBdr>
    </w:div>
    <w:div w:id="1814717023">
      <w:bodyDiv w:val="1"/>
      <w:marLeft w:val="0"/>
      <w:marRight w:val="0"/>
      <w:marTop w:val="0"/>
      <w:marBottom w:val="0"/>
      <w:divBdr>
        <w:top w:val="none" w:sz="0" w:space="0" w:color="auto"/>
        <w:left w:val="none" w:sz="0" w:space="0" w:color="auto"/>
        <w:bottom w:val="none" w:sz="0" w:space="0" w:color="auto"/>
        <w:right w:val="none" w:sz="0" w:space="0" w:color="auto"/>
      </w:divBdr>
    </w:div>
    <w:div w:id="1814981827">
      <w:bodyDiv w:val="1"/>
      <w:marLeft w:val="0"/>
      <w:marRight w:val="0"/>
      <w:marTop w:val="0"/>
      <w:marBottom w:val="0"/>
      <w:divBdr>
        <w:top w:val="none" w:sz="0" w:space="0" w:color="auto"/>
        <w:left w:val="none" w:sz="0" w:space="0" w:color="auto"/>
        <w:bottom w:val="none" w:sz="0" w:space="0" w:color="auto"/>
        <w:right w:val="none" w:sz="0" w:space="0" w:color="auto"/>
      </w:divBdr>
    </w:div>
    <w:div w:id="1819031154">
      <w:bodyDiv w:val="1"/>
      <w:marLeft w:val="0"/>
      <w:marRight w:val="0"/>
      <w:marTop w:val="0"/>
      <w:marBottom w:val="0"/>
      <w:divBdr>
        <w:top w:val="none" w:sz="0" w:space="0" w:color="auto"/>
        <w:left w:val="none" w:sz="0" w:space="0" w:color="auto"/>
        <w:bottom w:val="none" w:sz="0" w:space="0" w:color="auto"/>
        <w:right w:val="none" w:sz="0" w:space="0" w:color="auto"/>
      </w:divBdr>
    </w:div>
    <w:div w:id="1819571813">
      <w:bodyDiv w:val="1"/>
      <w:marLeft w:val="0"/>
      <w:marRight w:val="0"/>
      <w:marTop w:val="0"/>
      <w:marBottom w:val="0"/>
      <w:divBdr>
        <w:top w:val="none" w:sz="0" w:space="0" w:color="auto"/>
        <w:left w:val="none" w:sz="0" w:space="0" w:color="auto"/>
        <w:bottom w:val="none" w:sz="0" w:space="0" w:color="auto"/>
        <w:right w:val="none" w:sz="0" w:space="0" w:color="auto"/>
      </w:divBdr>
    </w:div>
    <w:div w:id="1820609716">
      <w:bodyDiv w:val="1"/>
      <w:marLeft w:val="0"/>
      <w:marRight w:val="0"/>
      <w:marTop w:val="0"/>
      <w:marBottom w:val="0"/>
      <w:divBdr>
        <w:top w:val="none" w:sz="0" w:space="0" w:color="auto"/>
        <w:left w:val="none" w:sz="0" w:space="0" w:color="auto"/>
        <w:bottom w:val="none" w:sz="0" w:space="0" w:color="auto"/>
        <w:right w:val="none" w:sz="0" w:space="0" w:color="auto"/>
      </w:divBdr>
    </w:div>
    <w:div w:id="1821077245">
      <w:bodyDiv w:val="1"/>
      <w:marLeft w:val="0"/>
      <w:marRight w:val="0"/>
      <w:marTop w:val="0"/>
      <w:marBottom w:val="0"/>
      <w:divBdr>
        <w:top w:val="none" w:sz="0" w:space="0" w:color="auto"/>
        <w:left w:val="none" w:sz="0" w:space="0" w:color="auto"/>
        <w:bottom w:val="none" w:sz="0" w:space="0" w:color="auto"/>
        <w:right w:val="none" w:sz="0" w:space="0" w:color="auto"/>
      </w:divBdr>
    </w:div>
    <w:div w:id="1822653943">
      <w:bodyDiv w:val="1"/>
      <w:marLeft w:val="0"/>
      <w:marRight w:val="0"/>
      <w:marTop w:val="0"/>
      <w:marBottom w:val="0"/>
      <w:divBdr>
        <w:top w:val="none" w:sz="0" w:space="0" w:color="auto"/>
        <w:left w:val="none" w:sz="0" w:space="0" w:color="auto"/>
        <w:bottom w:val="none" w:sz="0" w:space="0" w:color="auto"/>
        <w:right w:val="none" w:sz="0" w:space="0" w:color="auto"/>
      </w:divBdr>
    </w:div>
    <w:div w:id="1823229134">
      <w:bodyDiv w:val="1"/>
      <w:marLeft w:val="0"/>
      <w:marRight w:val="0"/>
      <w:marTop w:val="0"/>
      <w:marBottom w:val="0"/>
      <w:divBdr>
        <w:top w:val="none" w:sz="0" w:space="0" w:color="auto"/>
        <w:left w:val="none" w:sz="0" w:space="0" w:color="auto"/>
        <w:bottom w:val="none" w:sz="0" w:space="0" w:color="auto"/>
        <w:right w:val="none" w:sz="0" w:space="0" w:color="auto"/>
      </w:divBdr>
    </w:div>
    <w:div w:id="1823885875">
      <w:bodyDiv w:val="1"/>
      <w:marLeft w:val="0"/>
      <w:marRight w:val="0"/>
      <w:marTop w:val="0"/>
      <w:marBottom w:val="0"/>
      <w:divBdr>
        <w:top w:val="none" w:sz="0" w:space="0" w:color="auto"/>
        <w:left w:val="none" w:sz="0" w:space="0" w:color="auto"/>
        <w:bottom w:val="none" w:sz="0" w:space="0" w:color="auto"/>
        <w:right w:val="none" w:sz="0" w:space="0" w:color="auto"/>
      </w:divBdr>
    </w:div>
    <w:div w:id="1830632598">
      <w:bodyDiv w:val="1"/>
      <w:marLeft w:val="0"/>
      <w:marRight w:val="0"/>
      <w:marTop w:val="0"/>
      <w:marBottom w:val="0"/>
      <w:divBdr>
        <w:top w:val="none" w:sz="0" w:space="0" w:color="auto"/>
        <w:left w:val="none" w:sz="0" w:space="0" w:color="auto"/>
        <w:bottom w:val="none" w:sz="0" w:space="0" w:color="auto"/>
        <w:right w:val="none" w:sz="0" w:space="0" w:color="auto"/>
      </w:divBdr>
    </w:div>
    <w:div w:id="1839999849">
      <w:bodyDiv w:val="1"/>
      <w:marLeft w:val="0"/>
      <w:marRight w:val="0"/>
      <w:marTop w:val="0"/>
      <w:marBottom w:val="0"/>
      <w:divBdr>
        <w:top w:val="none" w:sz="0" w:space="0" w:color="auto"/>
        <w:left w:val="none" w:sz="0" w:space="0" w:color="auto"/>
        <w:bottom w:val="none" w:sz="0" w:space="0" w:color="auto"/>
        <w:right w:val="none" w:sz="0" w:space="0" w:color="auto"/>
      </w:divBdr>
    </w:div>
    <w:div w:id="1840655168">
      <w:bodyDiv w:val="1"/>
      <w:marLeft w:val="0"/>
      <w:marRight w:val="0"/>
      <w:marTop w:val="0"/>
      <w:marBottom w:val="0"/>
      <w:divBdr>
        <w:top w:val="none" w:sz="0" w:space="0" w:color="auto"/>
        <w:left w:val="none" w:sz="0" w:space="0" w:color="auto"/>
        <w:bottom w:val="none" w:sz="0" w:space="0" w:color="auto"/>
        <w:right w:val="none" w:sz="0" w:space="0" w:color="auto"/>
      </w:divBdr>
    </w:div>
    <w:div w:id="1842044423">
      <w:bodyDiv w:val="1"/>
      <w:marLeft w:val="0"/>
      <w:marRight w:val="0"/>
      <w:marTop w:val="0"/>
      <w:marBottom w:val="0"/>
      <w:divBdr>
        <w:top w:val="none" w:sz="0" w:space="0" w:color="auto"/>
        <w:left w:val="none" w:sz="0" w:space="0" w:color="auto"/>
        <w:bottom w:val="none" w:sz="0" w:space="0" w:color="auto"/>
        <w:right w:val="none" w:sz="0" w:space="0" w:color="auto"/>
      </w:divBdr>
    </w:div>
    <w:div w:id="1845585695">
      <w:bodyDiv w:val="1"/>
      <w:marLeft w:val="0"/>
      <w:marRight w:val="0"/>
      <w:marTop w:val="0"/>
      <w:marBottom w:val="0"/>
      <w:divBdr>
        <w:top w:val="none" w:sz="0" w:space="0" w:color="auto"/>
        <w:left w:val="none" w:sz="0" w:space="0" w:color="auto"/>
        <w:bottom w:val="none" w:sz="0" w:space="0" w:color="auto"/>
        <w:right w:val="none" w:sz="0" w:space="0" w:color="auto"/>
      </w:divBdr>
    </w:div>
    <w:div w:id="1846631406">
      <w:bodyDiv w:val="1"/>
      <w:marLeft w:val="0"/>
      <w:marRight w:val="0"/>
      <w:marTop w:val="0"/>
      <w:marBottom w:val="0"/>
      <w:divBdr>
        <w:top w:val="none" w:sz="0" w:space="0" w:color="auto"/>
        <w:left w:val="none" w:sz="0" w:space="0" w:color="auto"/>
        <w:bottom w:val="none" w:sz="0" w:space="0" w:color="auto"/>
        <w:right w:val="none" w:sz="0" w:space="0" w:color="auto"/>
      </w:divBdr>
    </w:div>
    <w:div w:id="1847161567">
      <w:bodyDiv w:val="1"/>
      <w:marLeft w:val="0"/>
      <w:marRight w:val="0"/>
      <w:marTop w:val="0"/>
      <w:marBottom w:val="0"/>
      <w:divBdr>
        <w:top w:val="none" w:sz="0" w:space="0" w:color="auto"/>
        <w:left w:val="none" w:sz="0" w:space="0" w:color="auto"/>
        <w:bottom w:val="none" w:sz="0" w:space="0" w:color="auto"/>
        <w:right w:val="none" w:sz="0" w:space="0" w:color="auto"/>
      </w:divBdr>
    </w:div>
    <w:div w:id="1849906042">
      <w:bodyDiv w:val="1"/>
      <w:marLeft w:val="0"/>
      <w:marRight w:val="0"/>
      <w:marTop w:val="0"/>
      <w:marBottom w:val="0"/>
      <w:divBdr>
        <w:top w:val="none" w:sz="0" w:space="0" w:color="auto"/>
        <w:left w:val="none" w:sz="0" w:space="0" w:color="auto"/>
        <w:bottom w:val="none" w:sz="0" w:space="0" w:color="auto"/>
        <w:right w:val="none" w:sz="0" w:space="0" w:color="auto"/>
      </w:divBdr>
    </w:div>
    <w:div w:id="1850948322">
      <w:bodyDiv w:val="1"/>
      <w:marLeft w:val="0"/>
      <w:marRight w:val="0"/>
      <w:marTop w:val="0"/>
      <w:marBottom w:val="0"/>
      <w:divBdr>
        <w:top w:val="none" w:sz="0" w:space="0" w:color="auto"/>
        <w:left w:val="none" w:sz="0" w:space="0" w:color="auto"/>
        <w:bottom w:val="none" w:sz="0" w:space="0" w:color="auto"/>
        <w:right w:val="none" w:sz="0" w:space="0" w:color="auto"/>
      </w:divBdr>
    </w:div>
    <w:div w:id="1851334228">
      <w:bodyDiv w:val="1"/>
      <w:marLeft w:val="0"/>
      <w:marRight w:val="0"/>
      <w:marTop w:val="0"/>
      <w:marBottom w:val="0"/>
      <w:divBdr>
        <w:top w:val="none" w:sz="0" w:space="0" w:color="auto"/>
        <w:left w:val="none" w:sz="0" w:space="0" w:color="auto"/>
        <w:bottom w:val="none" w:sz="0" w:space="0" w:color="auto"/>
        <w:right w:val="none" w:sz="0" w:space="0" w:color="auto"/>
      </w:divBdr>
    </w:div>
    <w:div w:id="1851681940">
      <w:bodyDiv w:val="1"/>
      <w:marLeft w:val="0"/>
      <w:marRight w:val="0"/>
      <w:marTop w:val="0"/>
      <w:marBottom w:val="0"/>
      <w:divBdr>
        <w:top w:val="none" w:sz="0" w:space="0" w:color="auto"/>
        <w:left w:val="none" w:sz="0" w:space="0" w:color="auto"/>
        <w:bottom w:val="none" w:sz="0" w:space="0" w:color="auto"/>
        <w:right w:val="none" w:sz="0" w:space="0" w:color="auto"/>
      </w:divBdr>
    </w:div>
    <w:div w:id="1851791259">
      <w:bodyDiv w:val="1"/>
      <w:marLeft w:val="0"/>
      <w:marRight w:val="0"/>
      <w:marTop w:val="0"/>
      <w:marBottom w:val="0"/>
      <w:divBdr>
        <w:top w:val="none" w:sz="0" w:space="0" w:color="auto"/>
        <w:left w:val="none" w:sz="0" w:space="0" w:color="auto"/>
        <w:bottom w:val="none" w:sz="0" w:space="0" w:color="auto"/>
        <w:right w:val="none" w:sz="0" w:space="0" w:color="auto"/>
      </w:divBdr>
    </w:div>
    <w:div w:id="1852333586">
      <w:bodyDiv w:val="1"/>
      <w:marLeft w:val="0"/>
      <w:marRight w:val="0"/>
      <w:marTop w:val="0"/>
      <w:marBottom w:val="0"/>
      <w:divBdr>
        <w:top w:val="none" w:sz="0" w:space="0" w:color="auto"/>
        <w:left w:val="none" w:sz="0" w:space="0" w:color="auto"/>
        <w:bottom w:val="none" w:sz="0" w:space="0" w:color="auto"/>
        <w:right w:val="none" w:sz="0" w:space="0" w:color="auto"/>
      </w:divBdr>
    </w:div>
    <w:div w:id="1863978248">
      <w:bodyDiv w:val="1"/>
      <w:marLeft w:val="0"/>
      <w:marRight w:val="0"/>
      <w:marTop w:val="0"/>
      <w:marBottom w:val="0"/>
      <w:divBdr>
        <w:top w:val="none" w:sz="0" w:space="0" w:color="auto"/>
        <w:left w:val="none" w:sz="0" w:space="0" w:color="auto"/>
        <w:bottom w:val="none" w:sz="0" w:space="0" w:color="auto"/>
        <w:right w:val="none" w:sz="0" w:space="0" w:color="auto"/>
      </w:divBdr>
    </w:div>
    <w:div w:id="1864633375">
      <w:bodyDiv w:val="1"/>
      <w:marLeft w:val="0"/>
      <w:marRight w:val="0"/>
      <w:marTop w:val="0"/>
      <w:marBottom w:val="0"/>
      <w:divBdr>
        <w:top w:val="none" w:sz="0" w:space="0" w:color="auto"/>
        <w:left w:val="none" w:sz="0" w:space="0" w:color="auto"/>
        <w:bottom w:val="none" w:sz="0" w:space="0" w:color="auto"/>
        <w:right w:val="none" w:sz="0" w:space="0" w:color="auto"/>
      </w:divBdr>
    </w:div>
    <w:div w:id="1869367955">
      <w:bodyDiv w:val="1"/>
      <w:marLeft w:val="0"/>
      <w:marRight w:val="0"/>
      <w:marTop w:val="0"/>
      <w:marBottom w:val="0"/>
      <w:divBdr>
        <w:top w:val="none" w:sz="0" w:space="0" w:color="auto"/>
        <w:left w:val="none" w:sz="0" w:space="0" w:color="auto"/>
        <w:bottom w:val="none" w:sz="0" w:space="0" w:color="auto"/>
        <w:right w:val="none" w:sz="0" w:space="0" w:color="auto"/>
      </w:divBdr>
    </w:div>
    <w:div w:id="1871340131">
      <w:bodyDiv w:val="1"/>
      <w:marLeft w:val="0"/>
      <w:marRight w:val="0"/>
      <w:marTop w:val="0"/>
      <w:marBottom w:val="0"/>
      <w:divBdr>
        <w:top w:val="none" w:sz="0" w:space="0" w:color="auto"/>
        <w:left w:val="none" w:sz="0" w:space="0" w:color="auto"/>
        <w:bottom w:val="none" w:sz="0" w:space="0" w:color="auto"/>
        <w:right w:val="none" w:sz="0" w:space="0" w:color="auto"/>
      </w:divBdr>
    </w:div>
    <w:div w:id="1872037216">
      <w:bodyDiv w:val="1"/>
      <w:marLeft w:val="0"/>
      <w:marRight w:val="0"/>
      <w:marTop w:val="0"/>
      <w:marBottom w:val="0"/>
      <w:divBdr>
        <w:top w:val="none" w:sz="0" w:space="0" w:color="auto"/>
        <w:left w:val="none" w:sz="0" w:space="0" w:color="auto"/>
        <w:bottom w:val="none" w:sz="0" w:space="0" w:color="auto"/>
        <w:right w:val="none" w:sz="0" w:space="0" w:color="auto"/>
      </w:divBdr>
    </w:div>
    <w:div w:id="1875577528">
      <w:bodyDiv w:val="1"/>
      <w:marLeft w:val="0"/>
      <w:marRight w:val="0"/>
      <w:marTop w:val="0"/>
      <w:marBottom w:val="0"/>
      <w:divBdr>
        <w:top w:val="none" w:sz="0" w:space="0" w:color="auto"/>
        <w:left w:val="none" w:sz="0" w:space="0" w:color="auto"/>
        <w:bottom w:val="none" w:sz="0" w:space="0" w:color="auto"/>
        <w:right w:val="none" w:sz="0" w:space="0" w:color="auto"/>
      </w:divBdr>
    </w:div>
    <w:div w:id="1878814410">
      <w:bodyDiv w:val="1"/>
      <w:marLeft w:val="0"/>
      <w:marRight w:val="0"/>
      <w:marTop w:val="0"/>
      <w:marBottom w:val="0"/>
      <w:divBdr>
        <w:top w:val="none" w:sz="0" w:space="0" w:color="auto"/>
        <w:left w:val="none" w:sz="0" w:space="0" w:color="auto"/>
        <w:bottom w:val="none" w:sz="0" w:space="0" w:color="auto"/>
        <w:right w:val="none" w:sz="0" w:space="0" w:color="auto"/>
      </w:divBdr>
    </w:div>
    <w:div w:id="1879269961">
      <w:bodyDiv w:val="1"/>
      <w:marLeft w:val="0"/>
      <w:marRight w:val="0"/>
      <w:marTop w:val="0"/>
      <w:marBottom w:val="0"/>
      <w:divBdr>
        <w:top w:val="none" w:sz="0" w:space="0" w:color="auto"/>
        <w:left w:val="none" w:sz="0" w:space="0" w:color="auto"/>
        <w:bottom w:val="none" w:sz="0" w:space="0" w:color="auto"/>
        <w:right w:val="none" w:sz="0" w:space="0" w:color="auto"/>
      </w:divBdr>
    </w:div>
    <w:div w:id="1882352974">
      <w:bodyDiv w:val="1"/>
      <w:marLeft w:val="0"/>
      <w:marRight w:val="0"/>
      <w:marTop w:val="0"/>
      <w:marBottom w:val="0"/>
      <w:divBdr>
        <w:top w:val="none" w:sz="0" w:space="0" w:color="auto"/>
        <w:left w:val="none" w:sz="0" w:space="0" w:color="auto"/>
        <w:bottom w:val="none" w:sz="0" w:space="0" w:color="auto"/>
        <w:right w:val="none" w:sz="0" w:space="0" w:color="auto"/>
      </w:divBdr>
    </w:div>
    <w:div w:id="1886481012">
      <w:bodyDiv w:val="1"/>
      <w:marLeft w:val="0"/>
      <w:marRight w:val="0"/>
      <w:marTop w:val="0"/>
      <w:marBottom w:val="0"/>
      <w:divBdr>
        <w:top w:val="none" w:sz="0" w:space="0" w:color="auto"/>
        <w:left w:val="none" w:sz="0" w:space="0" w:color="auto"/>
        <w:bottom w:val="none" w:sz="0" w:space="0" w:color="auto"/>
        <w:right w:val="none" w:sz="0" w:space="0" w:color="auto"/>
      </w:divBdr>
    </w:div>
    <w:div w:id="1893955077">
      <w:bodyDiv w:val="1"/>
      <w:marLeft w:val="0"/>
      <w:marRight w:val="0"/>
      <w:marTop w:val="0"/>
      <w:marBottom w:val="0"/>
      <w:divBdr>
        <w:top w:val="none" w:sz="0" w:space="0" w:color="auto"/>
        <w:left w:val="none" w:sz="0" w:space="0" w:color="auto"/>
        <w:bottom w:val="none" w:sz="0" w:space="0" w:color="auto"/>
        <w:right w:val="none" w:sz="0" w:space="0" w:color="auto"/>
      </w:divBdr>
    </w:div>
    <w:div w:id="1894272075">
      <w:bodyDiv w:val="1"/>
      <w:marLeft w:val="0"/>
      <w:marRight w:val="0"/>
      <w:marTop w:val="0"/>
      <w:marBottom w:val="0"/>
      <w:divBdr>
        <w:top w:val="none" w:sz="0" w:space="0" w:color="auto"/>
        <w:left w:val="none" w:sz="0" w:space="0" w:color="auto"/>
        <w:bottom w:val="none" w:sz="0" w:space="0" w:color="auto"/>
        <w:right w:val="none" w:sz="0" w:space="0" w:color="auto"/>
      </w:divBdr>
    </w:div>
    <w:div w:id="1900968893">
      <w:bodyDiv w:val="1"/>
      <w:marLeft w:val="0"/>
      <w:marRight w:val="0"/>
      <w:marTop w:val="0"/>
      <w:marBottom w:val="0"/>
      <w:divBdr>
        <w:top w:val="none" w:sz="0" w:space="0" w:color="auto"/>
        <w:left w:val="none" w:sz="0" w:space="0" w:color="auto"/>
        <w:bottom w:val="none" w:sz="0" w:space="0" w:color="auto"/>
        <w:right w:val="none" w:sz="0" w:space="0" w:color="auto"/>
      </w:divBdr>
    </w:div>
    <w:div w:id="1902712526">
      <w:bodyDiv w:val="1"/>
      <w:marLeft w:val="0"/>
      <w:marRight w:val="0"/>
      <w:marTop w:val="0"/>
      <w:marBottom w:val="0"/>
      <w:divBdr>
        <w:top w:val="none" w:sz="0" w:space="0" w:color="auto"/>
        <w:left w:val="none" w:sz="0" w:space="0" w:color="auto"/>
        <w:bottom w:val="none" w:sz="0" w:space="0" w:color="auto"/>
        <w:right w:val="none" w:sz="0" w:space="0" w:color="auto"/>
      </w:divBdr>
    </w:div>
    <w:div w:id="1903062037">
      <w:bodyDiv w:val="1"/>
      <w:marLeft w:val="0"/>
      <w:marRight w:val="0"/>
      <w:marTop w:val="0"/>
      <w:marBottom w:val="0"/>
      <w:divBdr>
        <w:top w:val="none" w:sz="0" w:space="0" w:color="auto"/>
        <w:left w:val="none" w:sz="0" w:space="0" w:color="auto"/>
        <w:bottom w:val="none" w:sz="0" w:space="0" w:color="auto"/>
        <w:right w:val="none" w:sz="0" w:space="0" w:color="auto"/>
      </w:divBdr>
    </w:div>
    <w:div w:id="1905873432">
      <w:bodyDiv w:val="1"/>
      <w:marLeft w:val="0"/>
      <w:marRight w:val="0"/>
      <w:marTop w:val="0"/>
      <w:marBottom w:val="0"/>
      <w:divBdr>
        <w:top w:val="none" w:sz="0" w:space="0" w:color="auto"/>
        <w:left w:val="none" w:sz="0" w:space="0" w:color="auto"/>
        <w:bottom w:val="none" w:sz="0" w:space="0" w:color="auto"/>
        <w:right w:val="none" w:sz="0" w:space="0" w:color="auto"/>
      </w:divBdr>
    </w:div>
    <w:div w:id="1908295991">
      <w:bodyDiv w:val="1"/>
      <w:marLeft w:val="0"/>
      <w:marRight w:val="0"/>
      <w:marTop w:val="0"/>
      <w:marBottom w:val="0"/>
      <w:divBdr>
        <w:top w:val="none" w:sz="0" w:space="0" w:color="auto"/>
        <w:left w:val="none" w:sz="0" w:space="0" w:color="auto"/>
        <w:bottom w:val="none" w:sz="0" w:space="0" w:color="auto"/>
        <w:right w:val="none" w:sz="0" w:space="0" w:color="auto"/>
      </w:divBdr>
    </w:div>
    <w:div w:id="1917862661">
      <w:bodyDiv w:val="1"/>
      <w:marLeft w:val="0"/>
      <w:marRight w:val="0"/>
      <w:marTop w:val="0"/>
      <w:marBottom w:val="0"/>
      <w:divBdr>
        <w:top w:val="none" w:sz="0" w:space="0" w:color="auto"/>
        <w:left w:val="none" w:sz="0" w:space="0" w:color="auto"/>
        <w:bottom w:val="none" w:sz="0" w:space="0" w:color="auto"/>
        <w:right w:val="none" w:sz="0" w:space="0" w:color="auto"/>
      </w:divBdr>
    </w:div>
    <w:div w:id="1922106637">
      <w:bodyDiv w:val="1"/>
      <w:marLeft w:val="0"/>
      <w:marRight w:val="0"/>
      <w:marTop w:val="0"/>
      <w:marBottom w:val="0"/>
      <w:divBdr>
        <w:top w:val="none" w:sz="0" w:space="0" w:color="auto"/>
        <w:left w:val="none" w:sz="0" w:space="0" w:color="auto"/>
        <w:bottom w:val="none" w:sz="0" w:space="0" w:color="auto"/>
        <w:right w:val="none" w:sz="0" w:space="0" w:color="auto"/>
      </w:divBdr>
    </w:div>
    <w:div w:id="1924220921">
      <w:bodyDiv w:val="1"/>
      <w:marLeft w:val="0"/>
      <w:marRight w:val="0"/>
      <w:marTop w:val="0"/>
      <w:marBottom w:val="0"/>
      <w:divBdr>
        <w:top w:val="none" w:sz="0" w:space="0" w:color="auto"/>
        <w:left w:val="none" w:sz="0" w:space="0" w:color="auto"/>
        <w:bottom w:val="none" w:sz="0" w:space="0" w:color="auto"/>
        <w:right w:val="none" w:sz="0" w:space="0" w:color="auto"/>
      </w:divBdr>
    </w:div>
    <w:div w:id="1932007329">
      <w:bodyDiv w:val="1"/>
      <w:marLeft w:val="0"/>
      <w:marRight w:val="0"/>
      <w:marTop w:val="0"/>
      <w:marBottom w:val="0"/>
      <w:divBdr>
        <w:top w:val="none" w:sz="0" w:space="0" w:color="auto"/>
        <w:left w:val="none" w:sz="0" w:space="0" w:color="auto"/>
        <w:bottom w:val="none" w:sz="0" w:space="0" w:color="auto"/>
        <w:right w:val="none" w:sz="0" w:space="0" w:color="auto"/>
      </w:divBdr>
    </w:div>
    <w:div w:id="1939021592">
      <w:bodyDiv w:val="1"/>
      <w:marLeft w:val="0"/>
      <w:marRight w:val="0"/>
      <w:marTop w:val="0"/>
      <w:marBottom w:val="0"/>
      <w:divBdr>
        <w:top w:val="none" w:sz="0" w:space="0" w:color="auto"/>
        <w:left w:val="none" w:sz="0" w:space="0" w:color="auto"/>
        <w:bottom w:val="none" w:sz="0" w:space="0" w:color="auto"/>
        <w:right w:val="none" w:sz="0" w:space="0" w:color="auto"/>
      </w:divBdr>
    </w:div>
    <w:div w:id="1948810975">
      <w:bodyDiv w:val="1"/>
      <w:marLeft w:val="0"/>
      <w:marRight w:val="0"/>
      <w:marTop w:val="0"/>
      <w:marBottom w:val="0"/>
      <w:divBdr>
        <w:top w:val="none" w:sz="0" w:space="0" w:color="auto"/>
        <w:left w:val="none" w:sz="0" w:space="0" w:color="auto"/>
        <w:bottom w:val="none" w:sz="0" w:space="0" w:color="auto"/>
        <w:right w:val="none" w:sz="0" w:space="0" w:color="auto"/>
      </w:divBdr>
    </w:div>
    <w:div w:id="1949501696">
      <w:bodyDiv w:val="1"/>
      <w:marLeft w:val="0"/>
      <w:marRight w:val="0"/>
      <w:marTop w:val="0"/>
      <w:marBottom w:val="0"/>
      <w:divBdr>
        <w:top w:val="none" w:sz="0" w:space="0" w:color="auto"/>
        <w:left w:val="none" w:sz="0" w:space="0" w:color="auto"/>
        <w:bottom w:val="none" w:sz="0" w:space="0" w:color="auto"/>
        <w:right w:val="none" w:sz="0" w:space="0" w:color="auto"/>
      </w:divBdr>
    </w:div>
    <w:div w:id="1950815935">
      <w:bodyDiv w:val="1"/>
      <w:marLeft w:val="0"/>
      <w:marRight w:val="0"/>
      <w:marTop w:val="0"/>
      <w:marBottom w:val="0"/>
      <w:divBdr>
        <w:top w:val="none" w:sz="0" w:space="0" w:color="auto"/>
        <w:left w:val="none" w:sz="0" w:space="0" w:color="auto"/>
        <w:bottom w:val="none" w:sz="0" w:space="0" w:color="auto"/>
        <w:right w:val="none" w:sz="0" w:space="0" w:color="auto"/>
      </w:divBdr>
    </w:div>
    <w:div w:id="1956017179">
      <w:bodyDiv w:val="1"/>
      <w:marLeft w:val="0"/>
      <w:marRight w:val="0"/>
      <w:marTop w:val="0"/>
      <w:marBottom w:val="0"/>
      <w:divBdr>
        <w:top w:val="none" w:sz="0" w:space="0" w:color="auto"/>
        <w:left w:val="none" w:sz="0" w:space="0" w:color="auto"/>
        <w:bottom w:val="none" w:sz="0" w:space="0" w:color="auto"/>
        <w:right w:val="none" w:sz="0" w:space="0" w:color="auto"/>
      </w:divBdr>
    </w:div>
    <w:div w:id="1958481928">
      <w:bodyDiv w:val="1"/>
      <w:marLeft w:val="0"/>
      <w:marRight w:val="0"/>
      <w:marTop w:val="0"/>
      <w:marBottom w:val="0"/>
      <w:divBdr>
        <w:top w:val="none" w:sz="0" w:space="0" w:color="auto"/>
        <w:left w:val="none" w:sz="0" w:space="0" w:color="auto"/>
        <w:bottom w:val="none" w:sz="0" w:space="0" w:color="auto"/>
        <w:right w:val="none" w:sz="0" w:space="0" w:color="auto"/>
      </w:divBdr>
    </w:div>
    <w:div w:id="1959288570">
      <w:bodyDiv w:val="1"/>
      <w:marLeft w:val="0"/>
      <w:marRight w:val="0"/>
      <w:marTop w:val="0"/>
      <w:marBottom w:val="0"/>
      <w:divBdr>
        <w:top w:val="none" w:sz="0" w:space="0" w:color="auto"/>
        <w:left w:val="none" w:sz="0" w:space="0" w:color="auto"/>
        <w:bottom w:val="none" w:sz="0" w:space="0" w:color="auto"/>
        <w:right w:val="none" w:sz="0" w:space="0" w:color="auto"/>
      </w:divBdr>
    </w:div>
    <w:div w:id="1971353473">
      <w:bodyDiv w:val="1"/>
      <w:marLeft w:val="0"/>
      <w:marRight w:val="0"/>
      <w:marTop w:val="0"/>
      <w:marBottom w:val="0"/>
      <w:divBdr>
        <w:top w:val="none" w:sz="0" w:space="0" w:color="auto"/>
        <w:left w:val="none" w:sz="0" w:space="0" w:color="auto"/>
        <w:bottom w:val="none" w:sz="0" w:space="0" w:color="auto"/>
        <w:right w:val="none" w:sz="0" w:space="0" w:color="auto"/>
      </w:divBdr>
    </w:div>
    <w:div w:id="1976253117">
      <w:bodyDiv w:val="1"/>
      <w:marLeft w:val="0"/>
      <w:marRight w:val="0"/>
      <w:marTop w:val="0"/>
      <w:marBottom w:val="0"/>
      <w:divBdr>
        <w:top w:val="none" w:sz="0" w:space="0" w:color="auto"/>
        <w:left w:val="none" w:sz="0" w:space="0" w:color="auto"/>
        <w:bottom w:val="none" w:sz="0" w:space="0" w:color="auto"/>
        <w:right w:val="none" w:sz="0" w:space="0" w:color="auto"/>
      </w:divBdr>
    </w:div>
    <w:div w:id="1978754749">
      <w:bodyDiv w:val="1"/>
      <w:marLeft w:val="0"/>
      <w:marRight w:val="0"/>
      <w:marTop w:val="0"/>
      <w:marBottom w:val="0"/>
      <w:divBdr>
        <w:top w:val="none" w:sz="0" w:space="0" w:color="auto"/>
        <w:left w:val="none" w:sz="0" w:space="0" w:color="auto"/>
        <w:bottom w:val="none" w:sz="0" w:space="0" w:color="auto"/>
        <w:right w:val="none" w:sz="0" w:space="0" w:color="auto"/>
      </w:divBdr>
    </w:div>
    <w:div w:id="1988824661">
      <w:bodyDiv w:val="1"/>
      <w:marLeft w:val="0"/>
      <w:marRight w:val="0"/>
      <w:marTop w:val="0"/>
      <w:marBottom w:val="0"/>
      <w:divBdr>
        <w:top w:val="none" w:sz="0" w:space="0" w:color="auto"/>
        <w:left w:val="none" w:sz="0" w:space="0" w:color="auto"/>
        <w:bottom w:val="none" w:sz="0" w:space="0" w:color="auto"/>
        <w:right w:val="none" w:sz="0" w:space="0" w:color="auto"/>
      </w:divBdr>
    </w:div>
    <w:div w:id="2002657262">
      <w:bodyDiv w:val="1"/>
      <w:marLeft w:val="0"/>
      <w:marRight w:val="0"/>
      <w:marTop w:val="0"/>
      <w:marBottom w:val="0"/>
      <w:divBdr>
        <w:top w:val="none" w:sz="0" w:space="0" w:color="auto"/>
        <w:left w:val="none" w:sz="0" w:space="0" w:color="auto"/>
        <w:bottom w:val="none" w:sz="0" w:space="0" w:color="auto"/>
        <w:right w:val="none" w:sz="0" w:space="0" w:color="auto"/>
      </w:divBdr>
    </w:div>
    <w:div w:id="2008098297">
      <w:bodyDiv w:val="1"/>
      <w:marLeft w:val="0"/>
      <w:marRight w:val="0"/>
      <w:marTop w:val="0"/>
      <w:marBottom w:val="0"/>
      <w:divBdr>
        <w:top w:val="none" w:sz="0" w:space="0" w:color="auto"/>
        <w:left w:val="none" w:sz="0" w:space="0" w:color="auto"/>
        <w:bottom w:val="none" w:sz="0" w:space="0" w:color="auto"/>
        <w:right w:val="none" w:sz="0" w:space="0" w:color="auto"/>
      </w:divBdr>
    </w:div>
    <w:div w:id="2008708439">
      <w:bodyDiv w:val="1"/>
      <w:marLeft w:val="0"/>
      <w:marRight w:val="0"/>
      <w:marTop w:val="0"/>
      <w:marBottom w:val="0"/>
      <w:divBdr>
        <w:top w:val="none" w:sz="0" w:space="0" w:color="auto"/>
        <w:left w:val="none" w:sz="0" w:space="0" w:color="auto"/>
        <w:bottom w:val="none" w:sz="0" w:space="0" w:color="auto"/>
        <w:right w:val="none" w:sz="0" w:space="0" w:color="auto"/>
      </w:divBdr>
    </w:div>
    <w:div w:id="2012290583">
      <w:bodyDiv w:val="1"/>
      <w:marLeft w:val="0"/>
      <w:marRight w:val="0"/>
      <w:marTop w:val="0"/>
      <w:marBottom w:val="0"/>
      <w:divBdr>
        <w:top w:val="none" w:sz="0" w:space="0" w:color="auto"/>
        <w:left w:val="none" w:sz="0" w:space="0" w:color="auto"/>
        <w:bottom w:val="none" w:sz="0" w:space="0" w:color="auto"/>
        <w:right w:val="none" w:sz="0" w:space="0" w:color="auto"/>
      </w:divBdr>
    </w:div>
    <w:div w:id="2015766750">
      <w:bodyDiv w:val="1"/>
      <w:marLeft w:val="0"/>
      <w:marRight w:val="0"/>
      <w:marTop w:val="0"/>
      <w:marBottom w:val="0"/>
      <w:divBdr>
        <w:top w:val="none" w:sz="0" w:space="0" w:color="auto"/>
        <w:left w:val="none" w:sz="0" w:space="0" w:color="auto"/>
        <w:bottom w:val="none" w:sz="0" w:space="0" w:color="auto"/>
        <w:right w:val="none" w:sz="0" w:space="0" w:color="auto"/>
      </w:divBdr>
    </w:div>
    <w:div w:id="2022320259">
      <w:bodyDiv w:val="1"/>
      <w:marLeft w:val="0"/>
      <w:marRight w:val="0"/>
      <w:marTop w:val="0"/>
      <w:marBottom w:val="0"/>
      <w:divBdr>
        <w:top w:val="none" w:sz="0" w:space="0" w:color="auto"/>
        <w:left w:val="none" w:sz="0" w:space="0" w:color="auto"/>
        <w:bottom w:val="none" w:sz="0" w:space="0" w:color="auto"/>
        <w:right w:val="none" w:sz="0" w:space="0" w:color="auto"/>
      </w:divBdr>
    </w:div>
    <w:div w:id="2028483626">
      <w:bodyDiv w:val="1"/>
      <w:marLeft w:val="0"/>
      <w:marRight w:val="0"/>
      <w:marTop w:val="0"/>
      <w:marBottom w:val="0"/>
      <w:divBdr>
        <w:top w:val="none" w:sz="0" w:space="0" w:color="auto"/>
        <w:left w:val="none" w:sz="0" w:space="0" w:color="auto"/>
        <w:bottom w:val="none" w:sz="0" w:space="0" w:color="auto"/>
        <w:right w:val="none" w:sz="0" w:space="0" w:color="auto"/>
      </w:divBdr>
    </w:div>
    <w:div w:id="2028824278">
      <w:bodyDiv w:val="1"/>
      <w:marLeft w:val="0"/>
      <w:marRight w:val="0"/>
      <w:marTop w:val="0"/>
      <w:marBottom w:val="0"/>
      <w:divBdr>
        <w:top w:val="none" w:sz="0" w:space="0" w:color="auto"/>
        <w:left w:val="none" w:sz="0" w:space="0" w:color="auto"/>
        <w:bottom w:val="none" w:sz="0" w:space="0" w:color="auto"/>
        <w:right w:val="none" w:sz="0" w:space="0" w:color="auto"/>
      </w:divBdr>
    </w:div>
    <w:div w:id="2030256074">
      <w:bodyDiv w:val="1"/>
      <w:marLeft w:val="0"/>
      <w:marRight w:val="0"/>
      <w:marTop w:val="0"/>
      <w:marBottom w:val="0"/>
      <w:divBdr>
        <w:top w:val="none" w:sz="0" w:space="0" w:color="auto"/>
        <w:left w:val="none" w:sz="0" w:space="0" w:color="auto"/>
        <w:bottom w:val="none" w:sz="0" w:space="0" w:color="auto"/>
        <w:right w:val="none" w:sz="0" w:space="0" w:color="auto"/>
      </w:divBdr>
    </w:div>
    <w:div w:id="2030373970">
      <w:bodyDiv w:val="1"/>
      <w:marLeft w:val="0"/>
      <w:marRight w:val="0"/>
      <w:marTop w:val="0"/>
      <w:marBottom w:val="0"/>
      <w:divBdr>
        <w:top w:val="none" w:sz="0" w:space="0" w:color="auto"/>
        <w:left w:val="none" w:sz="0" w:space="0" w:color="auto"/>
        <w:bottom w:val="none" w:sz="0" w:space="0" w:color="auto"/>
        <w:right w:val="none" w:sz="0" w:space="0" w:color="auto"/>
      </w:divBdr>
    </w:div>
    <w:div w:id="2034652007">
      <w:bodyDiv w:val="1"/>
      <w:marLeft w:val="0"/>
      <w:marRight w:val="0"/>
      <w:marTop w:val="0"/>
      <w:marBottom w:val="0"/>
      <w:divBdr>
        <w:top w:val="none" w:sz="0" w:space="0" w:color="auto"/>
        <w:left w:val="none" w:sz="0" w:space="0" w:color="auto"/>
        <w:bottom w:val="none" w:sz="0" w:space="0" w:color="auto"/>
        <w:right w:val="none" w:sz="0" w:space="0" w:color="auto"/>
      </w:divBdr>
    </w:div>
    <w:div w:id="2037343319">
      <w:bodyDiv w:val="1"/>
      <w:marLeft w:val="0"/>
      <w:marRight w:val="0"/>
      <w:marTop w:val="0"/>
      <w:marBottom w:val="0"/>
      <w:divBdr>
        <w:top w:val="none" w:sz="0" w:space="0" w:color="auto"/>
        <w:left w:val="none" w:sz="0" w:space="0" w:color="auto"/>
        <w:bottom w:val="none" w:sz="0" w:space="0" w:color="auto"/>
        <w:right w:val="none" w:sz="0" w:space="0" w:color="auto"/>
      </w:divBdr>
    </w:div>
    <w:div w:id="2041276532">
      <w:bodyDiv w:val="1"/>
      <w:marLeft w:val="0"/>
      <w:marRight w:val="0"/>
      <w:marTop w:val="0"/>
      <w:marBottom w:val="0"/>
      <w:divBdr>
        <w:top w:val="none" w:sz="0" w:space="0" w:color="auto"/>
        <w:left w:val="none" w:sz="0" w:space="0" w:color="auto"/>
        <w:bottom w:val="none" w:sz="0" w:space="0" w:color="auto"/>
        <w:right w:val="none" w:sz="0" w:space="0" w:color="auto"/>
      </w:divBdr>
    </w:div>
    <w:div w:id="2044163455">
      <w:bodyDiv w:val="1"/>
      <w:marLeft w:val="0"/>
      <w:marRight w:val="0"/>
      <w:marTop w:val="0"/>
      <w:marBottom w:val="0"/>
      <w:divBdr>
        <w:top w:val="none" w:sz="0" w:space="0" w:color="auto"/>
        <w:left w:val="none" w:sz="0" w:space="0" w:color="auto"/>
        <w:bottom w:val="none" w:sz="0" w:space="0" w:color="auto"/>
        <w:right w:val="none" w:sz="0" w:space="0" w:color="auto"/>
      </w:divBdr>
    </w:div>
    <w:div w:id="2044406172">
      <w:bodyDiv w:val="1"/>
      <w:marLeft w:val="0"/>
      <w:marRight w:val="0"/>
      <w:marTop w:val="0"/>
      <w:marBottom w:val="0"/>
      <w:divBdr>
        <w:top w:val="none" w:sz="0" w:space="0" w:color="auto"/>
        <w:left w:val="none" w:sz="0" w:space="0" w:color="auto"/>
        <w:bottom w:val="none" w:sz="0" w:space="0" w:color="auto"/>
        <w:right w:val="none" w:sz="0" w:space="0" w:color="auto"/>
      </w:divBdr>
    </w:div>
    <w:div w:id="2045666498">
      <w:bodyDiv w:val="1"/>
      <w:marLeft w:val="0"/>
      <w:marRight w:val="0"/>
      <w:marTop w:val="0"/>
      <w:marBottom w:val="0"/>
      <w:divBdr>
        <w:top w:val="none" w:sz="0" w:space="0" w:color="auto"/>
        <w:left w:val="none" w:sz="0" w:space="0" w:color="auto"/>
        <w:bottom w:val="none" w:sz="0" w:space="0" w:color="auto"/>
        <w:right w:val="none" w:sz="0" w:space="0" w:color="auto"/>
      </w:divBdr>
    </w:div>
    <w:div w:id="2049210519">
      <w:bodyDiv w:val="1"/>
      <w:marLeft w:val="0"/>
      <w:marRight w:val="0"/>
      <w:marTop w:val="0"/>
      <w:marBottom w:val="0"/>
      <w:divBdr>
        <w:top w:val="none" w:sz="0" w:space="0" w:color="auto"/>
        <w:left w:val="none" w:sz="0" w:space="0" w:color="auto"/>
        <w:bottom w:val="none" w:sz="0" w:space="0" w:color="auto"/>
        <w:right w:val="none" w:sz="0" w:space="0" w:color="auto"/>
      </w:divBdr>
    </w:div>
    <w:div w:id="2055349237">
      <w:bodyDiv w:val="1"/>
      <w:marLeft w:val="0"/>
      <w:marRight w:val="0"/>
      <w:marTop w:val="0"/>
      <w:marBottom w:val="0"/>
      <w:divBdr>
        <w:top w:val="none" w:sz="0" w:space="0" w:color="auto"/>
        <w:left w:val="none" w:sz="0" w:space="0" w:color="auto"/>
        <w:bottom w:val="none" w:sz="0" w:space="0" w:color="auto"/>
        <w:right w:val="none" w:sz="0" w:space="0" w:color="auto"/>
      </w:divBdr>
    </w:div>
    <w:div w:id="2055545478">
      <w:bodyDiv w:val="1"/>
      <w:marLeft w:val="0"/>
      <w:marRight w:val="0"/>
      <w:marTop w:val="0"/>
      <w:marBottom w:val="0"/>
      <w:divBdr>
        <w:top w:val="none" w:sz="0" w:space="0" w:color="auto"/>
        <w:left w:val="none" w:sz="0" w:space="0" w:color="auto"/>
        <w:bottom w:val="none" w:sz="0" w:space="0" w:color="auto"/>
        <w:right w:val="none" w:sz="0" w:space="0" w:color="auto"/>
      </w:divBdr>
    </w:div>
    <w:div w:id="2055881484">
      <w:bodyDiv w:val="1"/>
      <w:marLeft w:val="0"/>
      <w:marRight w:val="0"/>
      <w:marTop w:val="0"/>
      <w:marBottom w:val="0"/>
      <w:divBdr>
        <w:top w:val="none" w:sz="0" w:space="0" w:color="auto"/>
        <w:left w:val="none" w:sz="0" w:space="0" w:color="auto"/>
        <w:bottom w:val="none" w:sz="0" w:space="0" w:color="auto"/>
        <w:right w:val="none" w:sz="0" w:space="0" w:color="auto"/>
      </w:divBdr>
    </w:div>
    <w:div w:id="2055999158">
      <w:bodyDiv w:val="1"/>
      <w:marLeft w:val="0"/>
      <w:marRight w:val="0"/>
      <w:marTop w:val="0"/>
      <w:marBottom w:val="0"/>
      <w:divBdr>
        <w:top w:val="none" w:sz="0" w:space="0" w:color="auto"/>
        <w:left w:val="none" w:sz="0" w:space="0" w:color="auto"/>
        <w:bottom w:val="none" w:sz="0" w:space="0" w:color="auto"/>
        <w:right w:val="none" w:sz="0" w:space="0" w:color="auto"/>
      </w:divBdr>
    </w:div>
    <w:div w:id="2057122484">
      <w:bodyDiv w:val="1"/>
      <w:marLeft w:val="0"/>
      <w:marRight w:val="0"/>
      <w:marTop w:val="0"/>
      <w:marBottom w:val="0"/>
      <w:divBdr>
        <w:top w:val="none" w:sz="0" w:space="0" w:color="auto"/>
        <w:left w:val="none" w:sz="0" w:space="0" w:color="auto"/>
        <w:bottom w:val="none" w:sz="0" w:space="0" w:color="auto"/>
        <w:right w:val="none" w:sz="0" w:space="0" w:color="auto"/>
      </w:divBdr>
    </w:div>
    <w:div w:id="2057388808">
      <w:bodyDiv w:val="1"/>
      <w:marLeft w:val="0"/>
      <w:marRight w:val="0"/>
      <w:marTop w:val="0"/>
      <w:marBottom w:val="0"/>
      <w:divBdr>
        <w:top w:val="none" w:sz="0" w:space="0" w:color="auto"/>
        <w:left w:val="none" w:sz="0" w:space="0" w:color="auto"/>
        <w:bottom w:val="none" w:sz="0" w:space="0" w:color="auto"/>
        <w:right w:val="none" w:sz="0" w:space="0" w:color="auto"/>
      </w:divBdr>
    </w:div>
    <w:div w:id="2059157354">
      <w:bodyDiv w:val="1"/>
      <w:marLeft w:val="0"/>
      <w:marRight w:val="0"/>
      <w:marTop w:val="0"/>
      <w:marBottom w:val="0"/>
      <w:divBdr>
        <w:top w:val="none" w:sz="0" w:space="0" w:color="auto"/>
        <w:left w:val="none" w:sz="0" w:space="0" w:color="auto"/>
        <w:bottom w:val="none" w:sz="0" w:space="0" w:color="auto"/>
        <w:right w:val="none" w:sz="0" w:space="0" w:color="auto"/>
      </w:divBdr>
    </w:div>
    <w:div w:id="2060392479">
      <w:bodyDiv w:val="1"/>
      <w:marLeft w:val="0"/>
      <w:marRight w:val="0"/>
      <w:marTop w:val="0"/>
      <w:marBottom w:val="0"/>
      <w:divBdr>
        <w:top w:val="none" w:sz="0" w:space="0" w:color="auto"/>
        <w:left w:val="none" w:sz="0" w:space="0" w:color="auto"/>
        <w:bottom w:val="none" w:sz="0" w:space="0" w:color="auto"/>
        <w:right w:val="none" w:sz="0" w:space="0" w:color="auto"/>
      </w:divBdr>
    </w:div>
    <w:div w:id="2060665110">
      <w:bodyDiv w:val="1"/>
      <w:marLeft w:val="0"/>
      <w:marRight w:val="0"/>
      <w:marTop w:val="0"/>
      <w:marBottom w:val="0"/>
      <w:divBdr>
        <w:top w:val="none" w:sz="0" w:space="0" w:color="auto"/>
        <w:left w:val="none" w:sz="0" w:space="0" w:color="auto"/>
        <w:bottom w:val="none" w:sz="0" w:space="0" w:color="auto"/>
        <w:right w:val="none" w:sz="0" w:space="0" w:color="auto"/>
      </w:divBdr>
    </w:div>
    <w:div w:id="2063559021">
      <w:bodyDiv w:val="1"/>
      <w:marLeft w:val="0"/>
      <w:marRight w:val="0"/>
      <w:marTop w:val="0"/>
      <w:marBottom w:val="0"/>
      <w:divBdr>
        <w:top w:val="none" w:sz="0" w:space="0" w:color="auto"/>
        <w:left w:val="none" w:sz="0" w:space="0" w:color="auto"/>
        <w:bottom w:val="none" w:sz="0" w:space="0" w:color="auto"/>
        <w:right w:val="none" w:sz="0" w:space="0" w:color="auto"/>
      </w:divBdr>
    </w:div>
    <w:div w:id="2075471180">
      <w:bodyDiv w:val="1"/>
      <w:marLeft w:val="0"/>
      <w:marRight w:val="0"/>
      <w:marTop w:val="0"/>
      <w:marBottom w:val="0"/>
      <w:divBdr>
        <w:top w:val="none" w:sz="0" w:space="0" w:color="auto"/>
        <w:left w:val="none" w:sz="0" w:space="0" w:color="auto"/>
        <w:bottom w:val="none" w:sz="0" w:space="0" w:color="auto"/>
        <w:right w:val="none" w:sz="0" w:space="0" w:color="auto"/>
      </w:divBdr>
    </w:div>
    <w:div w:id="2077195763">
      <w:bodyDiv w:val="1"/>
      <w:marLeft w:val="0"/>
      <w:marRight w:val="0"/>
      <w:marTop w:val="0"/>
      <w:marBottom w:val="0"/>
      <w:divBdr>
        <w:top w:val="none" w:sz="0" w:space="0" w:color="auto"/>
        <w:left w:val="none" w:sz="0" w:space="0" w:color="auto"/>
        <w:bottom w:val="none" w:sz="0" w:space="0" w:color="auto"/>
        <w:right w:val="none" w:sz="0" w:space="0" w:color="auto"/>
      </w:divBdr>
    </w:div>
    <w:div w:id="2080863649">
      <w:bodyDiv w:val="1"/>
      <w:marLeft w:val="0"/>
      <w:marRight w:val="0"/>
      <w:marTop w:val="0"/>
      <w:marBottom w:val="0"/>
      <w:divBdr>
        <w:top w:val="none" w:sz="0" w:space="0" w:color="auto"/>
        <w:left w:val="none" w:sz="0" w:space="0" w:color="auto"/>
        <w:bottom w:val="none" w:sz="0" w:space="0" w:color="auto"/>
        <w:right w:val="none" w:sz="0" w:space="0" w:color="auto"/>
      </w:divBdr>
    </w:div>
    <w:div w:id="2081057657">
      <w:bodyDiv w:val="1"/>
      <w:marLeft w:val="0"/>
      <w:marRight w:val="0"/>
      <w:marTop w:val="0"/>
      <w:marBottom w:val="0"/>
      <w:divBdr>
        <w:top w:val="none" w:sz="0" w:space="0" w:color="auto"/>
        <w:left w:val="none" w:sz="0" w:space="0" w:color="auto"/>
        <w:bottom w:val="none" w:sz="0" w:space="0" w:color="auto"/>
        <w:right w:val="none" w:sz="0" w:space="0" w:color="auto"/>
      </w:divBdr>
    </w:div>
    <w:div w:id="2081058827">
      <w:bodyDiv w:val="1"/>
      <w:marLeft w:val="0"/>
      <w:marRight w:val="0"/>
      <w:marTop w:val="0"/>
      <w:marBottom w:val="0"/>
      <w:divBdr>
        <w:top w:val="none" w:sz="0" w:space="0" w:color="auto"/>
        <w:left w:val="none" w:sz="0" w:space="0" w:color="auto"/>
        <w:bottom w:val="none" w:sz="0" w:space="0" w:color="auto"/>
        <w:right w:val="none" w:sz="0" w:space="0" w:color="auto"/>
      </w:divBdr>
    </w:div>
    <w:div w:id="2084989577">
      <w:bodyDiv w:val="1"/>
      <w:marLeft w:val="0"/>
      <w:marRight w:val="0"/>
      <w:marTop w:val="0"/>
      <w:marBottom w:val="0"/>
      <w:divBdr>
        <w:top w:val="none" w:sz="0" w:space="0" w:color="auto"/>
        <w:left w:val="none" w:sz="0" w:space="0" w:color="auto"/>
        <w:bottom w:val="none" w:sz="0" w:space="0" w:color="auto"/>
        <w:right w:val="none" w:sz="0" w:space="0" w:color="auto"/>
      </w:divBdr>
    </w:div>
    <w:div w:id="2085300424">
      <w:bodyDiv w:val="1"/>
      <w:marLeft w:val="0"/>
      <w:marRight w:val="0"/>
      <w:marTop w:val="0"/>
      <w:marBottom w:val="0"/>
      <w:divBdr>
        <w:top w:val="none" w:sz="0" w:space="0" w:color="auto"/>
        <w:left w:val="none" w:sz="0" w:space="0" w:color="auto"/>
        <w:bottom w:val="none" w:sz="0" w:space="0" w:color="auto"/>
        <w:right w:val="none" w:sz="0" w:space="0" w:color="auto"/>
      </w:divBdr>
    </w:div>
    <w:div w:id="2087412421">
      <w:bodyDiv w:val="1"/>
      <w:marLeft w:val="0"/>
      <w:marRight w:val="0"/>
      <w:marTop w:val="0"/>
      <w:marBottom w:val="0"/>
      <w:divBdr>
        <w:top w:val="none" w:sz="0" w:space="0" w:color="auto"/>
        <w:left w:val="none" w:sz="0" w:space="0" w:color="auto"/>
        <w:bottom w:val="none" w:sz="0" w:space="0" w:color="auto"/>
        <w:right w:val="none" w:sz="0" w:space="0" w:color="auto"/>
      </w:divBdr>
    </w:div>
    <w:div w:id="2090227811">
      <w:bodyDiv w:val="1"/>
      <w:marLeft w:val="0"/>
      <w:marRight w:val="0"/>
      <w:marTop w:val="0"/>
      <w:marBottom w:val="0"/>
      <w:divBdr>
        <w:top w:val="none" w:sz="0" w:space="0" w:color="auto"/>
        <w:left w:val="none" w:sz="0" w:space="0" w:color="auto"/>
        <w:bottom w:val="none" w:sz="0" w:space="0" w:color="auto"/>
        <w:right w:val="none" w:sz="0" w:space="0" w:color="auto"/>
      </w:divBdr>
    </w:div>
    <w:div w:id="2098400051">
      <w:bodyDiv w:val="1"/>
      <w:marLeft w:val="0"/>
      <w:marRight w:val="0"/>
      <w:marTop w:val="0"/>
      <w:marBottom w:val="0"/>
      <w:divBdr>
        <w:top w:val="none" w:sz="0" w:space="0" w:color="auto"/>
        <w:left w:val="none" w:sz="0" w:space="0" w:color="auto"/>
        <w:bottom w:val="none" w:sz="0" w:space="0" w:color="auto"/>
        <w:right w:val="none" w:sz="0" w:space="0" w:color="auto"/>
      </w:divBdr>
    </w:div>
    <w:div w:id="2100985332">
      <w:bodyDiv w:val="1"/>
      <w:marLeft w:val="0"/>
      <w:marRight w:val="0"/>
      <w:marTop w:val="0"/>
      <w:marBottom w:val="0"/>
      <w:divBdr>
        <w:top w:val="none" w:sz="0" w:space="0" w:color="auto"/>
        <w:left w:val="none" w:sz="0" w:space="0" w:color="auto"/>
        <w:bottom w:val="none" w:sz="0" w:space="0" w:color="auto"/>
        <w:right w:val="none" w:sz="0" w:space="0" w:color="auto"/>
      </w:divBdr>
    </w:div>
    <w:div w:id="2102218994">
      <w:bodyDiv w:val="1"/>
      <w:marLeft w:val="0"/>
      <w:marRight w:val="0"/>
      <w:marTop w:val="0"/>
      <w:marBottom w:val="0"/>
      <w:divBdr>
        <w:top w:val="none" w:sz="0" w:space="0" w:color="auto"/>
        <w:left w:val="none" w:sz="0" w:space="0" w:color="auto"/>
        <w:bottom w:val="none" w:sz="0" w:space="0" w:color="auto"/>
        <w:right w:val="none" w:sz="0" w:space="0" w:color="auto"/>
      </w:divBdr>
    </w:div>
    <w:div w:id="2104295944">
      <w:bodyDiv w:val="1"/>
      <w:marLeft w:val="0"/>
      <w:marRight w:val="0"/>
      <w:marTop w:val="0"/>
      <w:marBottom w:val="0"/>
      <w:divBdr>
        <w:top w:val="none" w:sz="0" w:space="0" w:color="auto"/>
        <w:left w:val="none" w:sz="0" w:space="0" w:color="auto"/>
        <w:bottom w:val="none" w:sz="0" w:space="0" w:color="auto"/>
        <w:right w:val="none" w:sz="0" w:space="0" w:color="auto"/>
      </w:divBdr>
    </w:div>
    <w:div w:id="2107848993">
      <w:bodyDiv w:val="1"/>
      <w:marLeft w:val="0"/>
      <w:marRight w:val="0"/>
      <w:marTop w:val="0"/>
      <w:marBottom w:val="0"/>
      <w:divBdr>
        <w:top w:val="none" w:sz="0" w:space="0" w:color="auto"/>
        <w:left w:val="none" w:sz="0" w:space="0" w:color="auto"/>
        <w:bottom w:val="none" w:sz="0" w:space="0" w:color="auto"/>
        <w:right w:val="none" w:sz="0" w:space="0" w:color="auto"/>
      </w:divBdr>
    </w:div>
    <w:div w:id="2111774848">
      <w:bodyDiv w:val="1"/>
      <w:marLeft w:val="0"/>
      <w:marRight w:val="0"/>
      <w:marTop w:val="0"/>
      <w:marBottom w:val="0"/>
      <w:divBdr>
        <w:top w:val="none" w:sz="0" w:space="0" w:color="auto"/>
        <w:left w:val="none" w:sz="0" w:space="0" w:color="auto"/>
        <w:bottom w:val="none" w:sz="0" w:space="0" w:color="auto"/>
        <w:right w:val="none" w:sz="0" w:space="0" w:color="auto"/>
      </w:divBdr>
    </w:div>
    <w:div w:id="2113427557">
      <w:bodyDiv w:val="1"/>
      <w:marLeft w:val="0"/>
      <w:marRight w:val="0"/>
      <w:marTop w:val="0"/>
      <w:marBottom w:val="0"/>
      <w:divBdr>
        <w:top w:val="none" w:sz="0" w:space="0" w:color="auto"/>
        <w:left w:val="none" w:sz="0" w:space="0" w:color="auto"/>
        <w:bottom w:val="none" w:sz="0" w:space="0" w:color="auto"/>
        <w:right w:val="none" w:sz="0" w:space="0" w:color="auto"/>
      </w:divBdr>
    </w:div>
    <w:div w:id="2120175298">
      <w:bodyDiv w:val="1"/>
      <w:marLeft w:val="0"/>
      <w:marRight w:val="0"/>
      <w:marTop w:val="0"/>
      <w:marBottom w:val="0"/>
      <w:divBdr>
        <w:top w:val="none" w:sz="0" w:space="0" w:color="auto"/>
        <w:left w:val="none" w:sz="0" w:space="0" w:color="auto"/>
        <w:bottom w:val="none" w:sz="0" w:space="0" w:color="auto"/>
        <w:right w:val="none" w:sz="0" w:space="0" w:color="auto"/>
      </w:divBdr>
    </w:div>
    <w:div w:id="2124036869">
      <w:bodyDiv w:val="1"/>
      <w:marLeft w:val="0"/>
      <w:marRight w:val="0"/>
      <w:marTop w:val="0"/>
      <w:marBottom w:val="0"/>
      <w:divBdr>
        <w:top w:val="none" w:sz="0" w:space="0" w:color="auto"/>
        <w:left w:val="none" w:sz="0" w:space="0" w:color="auto"/>
        <w:bottom w:val="none" w:sz="0" w:space="0" w:color="auto"/>
        <w:right w:val="none" w:sz="0" w:space="0" w:color="auto"/>
      </w:divBdr>
    </w:div>
    <w:div w:id="2124878053">
      <w:bodyDiv w:val="1"/>
      <w:marLeft w:val="0"/>
      <w:marRight w:val="0"/>
      <w:marTop w:val="0"/>
      <w:marBottom w:val="0"/>
      <w:divBdr>
        <w:top w:val="none" w:sz="0" w:space="0" w:color="auto"/>
        <w:left w:val="none" w:sz="0" w:space="0" w:color="auto"/>
        <w:bottom w:val="none" w:sz="0" w:space="0" w:color="auto"/>
        <w:right w:val="none" w:sz="0" w:space="0" w:color="auto"/>
      </w:divBdr>
    </w:div>
    <w:div w:id="2129734914">
      <w:bodyDiv w:val="1"/>
      <w:marLeft w:val="0"/>
      <w:marRight w:val="0"/>
      <w:marTop w:val="0"/>
      <w:marBottom w:val="0"/>
      <w:divBdr>
        <w:top w:val="none" w:sz="0" w:space="0" w:color="auto"/>
        <w:left w:val="none" w:sz="0" w:space="0" w:color="auto"/>
        <w:bottom w:val="none" w:sz="0" w:space="0" w:color="auto"/>
        <w:right w:val="none" w:sz="0" w:space="0" w:color="auto"/>
      </w:divBdr>
    </w:div>
    <w:div w:id="2130128185">
      <w:bodyDiv w:val="1"/>
      <w:marLeft w:val="0"/>
      <w:marRight w:val="0"/>
      <w:marTop w:val="0"/>
      <w:marBottom w:val="0"/>
      <w:divBdr>
        <w:top w:val="none" w:sz="0" w:space="0" w:color="auto"/>
        <w:left w:val="none" w:sz="0" w:space="0" w:color="auto"/>
        <w:bottom w:val="none" w:sz="0" w:space="0" w:color="auto"/>
        <w:right w:val="none" w:sz="0" w:space="0" w:color="auto"/>
      </w:divBdr>
    </w:div>
    <w:div w:id="2134323145">
      <w:bodyDiv w:val="1"/>
      <w:marLeft w:val="0"/>
      <w:marRight w:val="0"/>
      <w:marTop w:val="0"/>
      <w:marBottom w:val="0"/>
      <w:divBdr>
        <w:top w:val="none" w:sz="0" w:space="0" w:color="auto"/>
        <w:left w:val="none" w:sz="0" w:space="0" w:color="auto"/>
        <w:bottom w:val="none" w:sz="0" w:space="0" w:color="auto"/>
        <w:right w:val="none" w:sz="0" w:space="0" w:color="auto"/>
      </w:divBdr>
    </w:div>
    <w:div w:id="2135903151">
      <w:bodyDiv w:val="1"/>
      <w:marLeft w:val="0"/>
      <w:marRight w:val="0"/>
      <w:marTop w:val="0"/>
      <w:marBottom w:val="0"/>
      <w:divBdr>
        <w:top w:val="none" w:sz="0" w:space="0" w:color="auto"/>
        <w:left w:val="none" w:sz="0" w:space="0" w:color="auto"/>
        <w:bottom w:val="none" w:sz="0" w:space="0" w:color="auto"/>
        <w:right w:val="none" w:sz="0" w:space="0" w:color="auto"/>
      </w:divBdr>
    </w:div>
    <w:div w:id="2142187402">
      <w:bodyDiv w:val="1"/>
      <w:marLeft w:val="0"/>
      <w:marRight w:val="0"/>
      <w:marTop w:val="0"/>
      <w:marBottom w:val="0"/>
      <w:divBdr>
        <w:top w:val="none" w:sz="0" w:space="0" w:color="auto"/>
        <w:left w:val="none" w:sz="0" w:space="0" w:color="auto"/>
        <w:bottom w:val="none" w:sz="0" w:space="0" w:color="auto"/>
        <w:right w:val="none" w:sz="0" w:space="0" w:color="auto"/>
      </w:divBdr>
    </w:div>
    <w:div w:id="214535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docs.google.com/forms/d/1Fnjj393c6TpvkQBeAsMNhDAD5PzUbqBf11emUogvz_c/edi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795bbee-07b4-4e79-98d8-0419d9871ca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7" ma:contentTypeDescription="Create a new document." ma:contentTypeScope="" ma:versionID="e4410fa7b997954c97b942ac710c1127">
  <xsd:schema xmlns:xsd="http://www.w3.org/2001/XMLSchema" xmlns:xs="http://www.w3.org/2001/XMLSchema" xmlns:p="http://schemas.microsoft.com/office/2006/metadata/properties" xmlns:ns3="2795bbee-07b4-4e79-98d8-0419d9871cad" xmlns:ns4="258d5018-feb4-45ec-8043-ac7152467c64" targetNamespace="http://schemas.microsoft.com/office/2006/metadata/properties" ma:root="true" ma:fieldsID="cfd9e6f0e82070358d693052669c7dc2" ns3:_="" ns4:_="">
    <xsd:import namespace="2795bbee-07b4-4e79-98d8-0419d9871cad"/>
    <xsd:import namespace="258d5018-feb4-45ec-8043-ac7152467c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TRa01</b:Tag>
    <b:SourceType>JournalArticle</b:SourceType>
    <b:Guid>{A01FC824-007E-401E-93F2-DCC39700506B}</b:Guid>
    <b:Title>Use and benefits of tools for project risk management</b:Title>
    <b:Year>2001</b:Year>
    <b:Author>
      <b:Author>
        <b:NameList>
          <b:Person>
            <b:Last>T. Raz</b:Last>
            <b:First>E.</b:First>
            <b:Middle>Michael</b:Middle>
          </b:Person>
        </b:NameList>
      </b:Author>
    </b:Author>
    <b:JournalName>International Journal of Project Management</b:JournalName>
    <b:Pages>9-17</b:Pages>
    <b:Volume>19</b:Volume>
    <b:RefOrder>18</b:RefOrder>
  </b:Source>
  <b:Source>
    <b:Tag>Ire04</b:Tag>
    <b:SourceType>Report</b:SourceType>
    <b:Guid>{0F50D727-DACE-4B22-8B6F-437EA31B9F5A}</b:Guid>
    <b:Title>A critical review of risk management support tools</b:Title>
    <b:Year>2004</b:Year>
    <b:Author>
      <b:Author>
        <b:NameList>
          <b:Person>
            <b:Last>Irem Dikmen</b:Last>
            <b:First>M.</b:First>
            <b:Middle>Talat Birgonul, A. Erdem Arikan</b:Middle>
          </b:Person>
        </b:NameList>
      </b:Author>
    </b:Author>
    <b:Publisher>Middle East Technical University</b:Publisher>
    <b:City>Ankara</b:City>
    <b:RefOrder>19</b:RefOrder>
  </b:Source>
  <b:Source>
    <b:Tag>Pau08</b:Tag>
    <b:SourceType>JournalArticle</b:SourceType>
    <b:Guid>{AFC66DFC-DC42-4A78-99C2-B4FDE386263D}</b:Guid>
    <b:Title> Risk and risk management in software projects: A reassessment</b:Title>
    <b:Year>2008</b:Year>
    <b:Author>
      <b:Author>
        <b:NameList>
          <b:Person>
            <b:Last>Bannerman</b:Last>
            <b:First>Paul</b:First>
            <b:Middle>L.</b:Middle>
          </b:Person>
        </b:NameList>
      </b:Author>
    </b:Author>
    <b:JournalName> The Journal of Systems and Software</b:JournalName>
    <b:Pages>2118-2133</b:Pages>
    <b:Volume>81</b:Volume>
    <b:RefOrder>3</b:RefOrder>
  </b:Source>
  <b:Source>
    <b:Tag>Rog06</b:Tag>
    <b:SourceType>JournalArticle</b:SourceType>
    <b:Guid>{0E09D3E2-46C8-4D0F-8D7C-77FEEDC76E91}</b:Guid>
    <b:Author>
      <b:Author>
        <b:NameList>
          <b:Person>
            <b:Last>Roger Atkinson</b:Last>
            <b:First>Lynn</b:First>
            <b:Middle>Crawford, Stephen Ward</b:Middle>
          </b:Person>
        </b:NameList>
      </b:Author>
    </b:Author>
    <b:Title>Fundamental uncertainties in projects and the scope</b:Title>
    <b:JournalName>International Journal of Project Management</b:JournalName>
    <b:Year>2006</b:Year>
    <b:Pages>687-698</b:Pages>
    <b:Volume>24</b:Volume>
    <b:RefOrder>20</b:RefOrder>
  </b:Source>
  <b:Source>
    <b:Tag>Rog01</b:Tag>
    <b:SourceType>JournalArticle</b:SourceType>
    <b:Guid>{083850B5-84F5-4FDC-8086-069A604AF3F1}</b:Guid>
    <b:Author>
      <b:Author>
        <b:NameList>
          <b:Person>
            <b:Last>Roger Millera</b:Last>
            <b:First>Donald</b:First>
            <b:Middle>Lessard</b:Middle>
          </b:Person>
        </b:NameList>
      </b:Author>
    </b:Author>
    <b:Title> Understanding and managing risks in large engineering projects</b:Title>
    <b:JournalName>International Journal of Project Management</b:JournalName>
    <b:Year>2001</b:Year>
    <b:Pages>437-443</b:Pages>
    <b:Volume>19</b:Volume>
    <b:RefOrder>21</b:RefOrder>
  </b:Source>
  <b:Source>
    <b:Tag>Kar10</b:Tag>
    <b:SourceType>JournalArticle</b:SourceType>
    <b:Guid>{4EB06C13-14A4-4B70-A983-742F5A55706F}</b:Guid>
    <b:Author>
      <b:Author>
        <b:NameList>
          <b:Person>
            <b:Last>Karel de Bakker</b:Last>
            <b:First>Albert</b:First>
            <b:Middle>Boonstra, Hans Wortmann</b:Middle>
          </b:Person>
        </b:NameList>
      </b:Author>
    </b:Author>
    <b:Title> Does risk management contribute to IT project success? A meta-analysis</b:Title>
    <b:JournalName> International Journal of Project Management</b:JournalName>
    <b:Year>2010</b:Year>
    <b:Pages>493-503</b:Pages>
    <b:Volume>28</b:Volume>
    <b:RefOrder>22</b:RefOrder>
  </b:Source>
  <b:Source>
    <b:Tag>Lor09</b:Tag>
    <b:SourceType>JournalArticle</b:SourceType>
    <b:Guid>{6636E73A-8657-4471-95F4-DF7FEB710896}</b:Guid>
    <b:Author>
      <b:Author>
        <b:NameList>
          <b:Person>
            <b:Last>Lore Criss power</b:Last>
            <b:First>Dr</b:First>
            <b:Middle>Gillian Kerr</b:Middle>
          </b:Person>
        </b:NameList>
      </b:Author>
    </b:Author>
    <b:Title>Project management and suces in acadmic research </b:Title>
    <b:JournalName>Research Series</b:JournalName>
    <b:Year>2009</b:Year>
    <b:Volume>2</b:Volume>
    <b:RefOrder>23</b:RefOrder>
  </b:Source>
  <b:Source>
    <b:Tag>Mar10</b:Tag>
    <b:SourceType>JournalArticle</b:SourceType>
    <b:Guid>{DC60774D-A84A-4773-884E-B0C3552B5053}</b:Guid>
    <b:Author>
      <b:Author>
        <b:NameList>
          <b:Person>
            <b:Last>Schieg</b:Last>
            <b:First>Martin</b:First>
          </b:Person>
        </b:NameList>
      </b:Author>
    </b:Author>
    <b:Title> Risk management in construction project management</b:Title>
    <b:JournalName>Journal of Business Economics and Management</b:JournalName>
    <b:Year>2010</b:Year>
    <b:Pages>77-83</b:Pages>
    <b:Volume>7</b:Volume>
    <b:Issue>2</b:Issue>
    <b:RefOrder>24</b:RefOrder>
  </b:Source>
  <b:Source>
    <b:Tag>Pol13</b:Tag>
    <b:SourceType>JournalArticle</b:SourceType>
    <b:Guid>{0637B0D3-307E-467D-A1DD-108C89DDAA84}</b:Guid>
    <b:Author>
      <b:Author>
        <b:NameList>
          <b:Person>
            <b:Last>Pollyana Notargiacomo Mustaro</b:Last>
            <b:First>Rogério</b:First>
            <b:Middle>Rossi</b:Middle>
          </b:Person>
        </b:NameList>
      </b:Author>
    </b:Author>
    <b:Title>Project Management Principles Applied in Academic Research Projects</b:Title>
    <b:JournalName>Issues in Informing Science and Information Technology </b:JournalName>
    <b:Year>2013</b:Year>
    <b:Volume>10</b:Volume>
    <b:RefOrder>25</b:RefOrder>
  </b:Source>
  <b:Source>
    <b:Tag>HFr06</b:Tag>
    <b:SourceType>JournalArticle</b:SourceType>
    <b:Guid>{B8E9BB62-DAE8-4B41-B633-FB4CD9EB2380}</b:Guid>
    <b:Author>
      <b:Author>
        <b:NameList>
          <b:Person>
            <b:Last>Cervone</b:Last>
            <b:First>H.</b:First>
            <b:Middle>Frank</b:Middle>
          </b:Person>
        </b:NameList>
      </b:Author>
    </b:Author>
    <b:Title> Project risk management</b:Title>
    <b:JournalName>OCLC Systems &amp; Services</b:JournalName>
    <b:Year>2006</b:Year>
    <b:Pages>256-262</b:Pages>
    <b:Volume>22</b:Volume>
    <b:Issue>4</b:Issue>
    <b:RefOrder>26</b:RefOrder>
  </b:Source>
  <b:Source>
    <b:Tag>Jac18</b:Tag>
    <b:SourceType>JournalArticle</b:SourceType>
    <b:Guid>{CB4E6E8D-94F8-4977-922A-7DBAC26DF862}</b:Guid>
    <b:Author>
      <b:Author>
        <b:NameList>
          <b:Person>
            <b:Last>Jacqueline Jepson</b:Last>
            <b:First>Konstantinos</b:First>
            <b:Middle>Kirytopoulos, Kerry London</b:Middle>
          </b:Person>
        </b:NameList>
      </b:Author>
    </b:Author>
    <b:Title>Insights into the application of risk tools and techniques</b:Title>
    <b:JournalName>nternational Journal of Construction Management</b:JournalName>
    <b:Year>2018</b:Year>
    <b:Pages>2331-2327</b:Pages>
    <b:Volume>20</b:Volume>
    <b:Issue>8</b:Issue>
    <b:RefOrder>1</b:RefOrder>
  </b:Source>
  <b:Source>
    <b:Tag>Rob18</b:Tag>
    <b:SourceType>JournalArticle</b:SourceType>
    <b:Guid>{B4B1FA06-B198-4DFE-A0B1-B58089EB5602}</b:Guid>
    <b:Author>
      <b:Author>
        <b:NameList>
          <b:Person>
            <b:Last>Robert Pellerin</b:Last>
            <b:First>Nathalie</b:First>
            <b:Middle>Perrier</b:Middle>
          </b:Person>
        </b:NameList>
      </b:Author>
    </b:Author>
    <b:Title> A review of methods, techniques and tools for project</b:Title>
    <b:JournalName>International Journal of Production Research</b:JournalName>
    <b:Year>2018</b:Year>
    <b:Pages>2160-2178</b:Pages>
    <b:Volume>57</b:Volume>
    <b:Issue>7</b:Issue>
    <b:RefOrder>27</b:RefOrder>
  </b:Source>
  <b:Source>
    <b:Tag>Van14</b:Tag>
    <b:SourceType>ConferenceProceedings</b:SourceType>
    <b:Guid>{55E19E89-4632-49A1-B6C3-1B6CE345B3A0}</b:Guid>
    <b:Author>
      <b:Author>
        <b:NameList>
          <b:Person>
            <b:Last>Vanessa Manotas Niño</b:Last>
            <b:First>Philippe</b:First>
            <b:Middle>Clermont , Laurent Geneste</b:Middle>
          </b:Person>
        </b:NameList>
      </b:Author>
    </b:Author>
    <b:Title>A review of methodologies and tools for project risk management</b:Title>
    <b:Year>2014</b:Year>
    <b:Publisher>Latin American and Caribbean Conference for Engineering and Technology</b:Publisher>
    <b:City>Guayaquil</b:City>
    <b:RefOrder>30</b:RefOrder>
  </b:Source>
  <b:Source>
    <b:Tag>Ant13</b:Tag>
    <b:SourceType>JournalArticle</b:SourceType>
    <b:Guid>{4B95DC76-BCD1-4BE0-8E5B-DDDDAA54AE9A}</b:Guid>
    <b:Author>
      <b:Author>
        <b:NameList>
          <b:Person>
            <b:Last>Antonio G. Sanjuana</b:Last>
            <b:First>Thomas</b:First>
            <b:Middle>Froese</b:Middle>
          </b:Person>
        </b:NameList>
      </b:Author>
    </b:Author>
    <b:Title>The Application of Project Management Standards and Success Factors to the Development of a Project Management Assessment Tool </b:Title>
    <b:JournalName>SciVerse Science Direct </b:JournalName>
    <b:Year>2013</b:Year>
    <b:Pages>91-100</b:Pages>
    <b:Volume>74</b:Volume>
    <b:RefOrder>28</b:RefOrder>
  </b:Source>
  <b:Source>
    <b:Tag>Dia02</b:Tag>
    <b:SourceType>JournalArticle</b:SourceType>
    <b:Guid>{A38B3C49-5F18-4F48-86D4-797A2ED37A2B}</b:Guid>
    <b:Title>Current practice in project management - an empiricl study </b:Title>
    <b:Year>2002</b:Year>
    <b:Author>
      <b:Author>
        <b:NameList>
          <b:Person>
            <b:Last>Diana White</b:Last>
            <b:First>Joyce</b:First>
            <b:Middle>Fortune</b:Middle>
          </b:Person>
        </b:NameList>
      </b:Author>
    </b:Author>
    <b:JournalName> International Journal of Project Management </b:JournalName>
    <b:Pages>1-11</b:Pages>
    <b:Volume>20</b:Volume>
    <b:RefOrder>29</b:RefOrder>
  </b:Source>
  <b:Source>
    <b:Tag>Abd21</b:Tag>
    <b:SourceType>JournalArticle</b:SourceType>
    <b:Guid>{3D1281F9-7388-4E65-B0E5-060C8C6D29C1}</b:Guid>
    <b:Author>
      <b:Author>
        <b:NameList>
          <b:Person>
            <b:Last>Abdurrahman Abubaker Gasemagha</b:Last>
            <b:First>Tan</b:First>
            <b:Middle>Owee Kowang</b:Middle>
          </b:Person>
        </b:NameList>
      </b:Author>
    </b:Author>
    <b:Title>Project Manager Role in Project Management Success</b:Title>
    <b:JournalName>International Journal of Academic Research in Business &amp; Social Sciences </b:JournalName>
    <b:Year>2021</b:Year>
    <b:Pages>1345-1355</b:Pages>
    <b:Volume>11</b:Volume>
    <b:Issue>3</b:Issue>
    <b:RefOrder>43</b:RefOrder>
  </b:Source>
  <b:Source>
    <b:Tag>Maj211</b:Tag>
    <b:SourceType>JournalArticle</b:SourceType>
    <b:Guid>{C21679E6-C09C-447C-AC05-2724E8E44458}</b:Guid>
    <b:Author>
      <b:Author>
        <b:NameList>
          <b:Person>
            <b:Last>Majid Al-Nabae</b:Last>
            <b:First>Dania</b:First>
            <b:Middle>Sammani</b:Middle>
          </b:Person>
        </b:NameList>
      </b:Author>
    </b:Author>
    <b:Title>Factors That Influencing Project Management Performance: A Review</b:Title>
    <b:Year>2021</b:Year>
    <b:Pages>628-643</b:Pages>
    <b:Volume>11</b:Volume>
    <b:Issue>8</b:Issue>
    <b:JournalName>International Journal of Academic Research in Business &amp; Social Sciences</b:JournalName>
    <b:RefOrder>44</b:RefOrder>
  </b:Source>
  <b:Source>
    <b:Tag>CDe10</b:Tag>
    <b:SourceType>JournalArticle</b:SourceType>
    <b:Guid>{400C8058-EA68-43CA-AE32-7FC62A87A797}</b:Guid>
    <b:Author>
      <b:Author>
        <b:NameList>
          <b:Person>
            <b:Last>C. Demira</b:Last>
            <b:First>Ibrahim</b:First>
            <b:Middle>Kocabas</b:Middle>
          </b:Person>
        </b:NameList>
      </b:Author>
    </b:Author>
    <b:Title>Project Management Maturity Model (PMMM) in educational organisations </b:Title>
    <b:JournalName> Procedia Social and Behavioral Sciences </b:JournalName>
    <b:Year>2010</b:Year>
    <b:Pages>1641–1645</b:Pages>
    <b:Volume>9</b:Volume>
    <b:RefOrder>46</b:RefOrder>
  </b:Source>
  <b:Source>
    <b:Tag>Des11</b:Tag>
    <b:SourceType>JournalArticle</b:SourceType>
    <b:Guid>{1D13798C-720B-4DDA-8687-8204BD292DA7}</b:Guid>
    <b:Title>Designing an Academic Project Management Program_ A Collaboration betweena University and a PMI Chapter</b:Title>
    <b:JournalName>Journal of Information Systems Education</b:JournalName>
    <b:Year>2011</b:Year>
    <b:Volume>22</b:Volume>
    <b:Issue>1</b:Issue>
    <b:Author>
      <b:Author>
        <b:NameList>
          <b:Person>
            <b:Last>Robin S. Poston</b:Last>
            <b:First>Sandra</b:First>
            <b:Middle>M. Richardson</b:Middle>
          </b:Person>
        </b:NameList>
      </b:Author>
    </b:Author>
    <b:RefOrder>41</b:RefOrder>
  </b:Source>
  <b:Source>
    <b:Tag>Vas20</b:Tag>
    <b:SourceType>Report</b:SourceType>
    <b:Guid>{FB9B27EC-9973-4F2F-9B50-42ADA7411995}</b:Guid>
    <b:Author>
      <b:Author>
        <b:NameList>
          <b:Person>
            <b:Last>Vasilis Gkogkidis</b:Last>
            <b:First>Nicholas</b:First>
            <b:Middle>Dacre</b:Middle>
          </b:Person>
        </b:NameList>
      </b:Author>
    </b:Author>
    <b:Title>Co-Creating Educational Project Management Board Games to Enhance Student Engagement</b:Title>
    <b:Year>2020</b:Year>
    <b:Publisher>University of Southampton Business School</b:Publisher>
    <b:City>Southampton</b:City>
    <b:RefOrder>42</b:RefOrder>
  </b:Source>
  <b:Source>
    <b:Tag>Jam07</b:Tag>
    <b:SourceType>JournalArticle</b:SourceType>
    <b:Guid>{1155F776-78DC-4DE2-B1B9-0F7A495319B2}</b:Guid>
    <b:Author>
      <b:Author>
        <b:NameList>
          <b:Person>
            <b:Last>James M. Lyneis</b:Last>
            <b:First>David</b:First>
            <b:Middle>N. Ford</b:Middle>
          </b:Person>
        </b:NameList>
      </b:Author>
    </b:Author>
    <b:Title>System dynamics applied to project management: a survey, assessment and directions for future research</b:Title>
    <b:JournalName>Wiley InterScience</b:JournalName>
    <b:Year>2007</b:Year>
    <b:Pages>157-189</b:Pages>
    <b:Volume>23</b:Volume>
    <b:RefOrder>45</b:RefOrder>
  </b:Source>
  <b:Source>
    <b:Tag>Abd14</b:Tag>
    <b:SourceType>JournalArticle</b:SourceType>
    <b:Guid>{5B7A7243-BAEE-45FD-B80A-B000C9F5B356}</b:Guid>
    <b:Author>
      <b:Author>
        <b:NameList>
          <b:Person>
            <b:Last>Taroun</b:Last>
            <b:First>Abdulmaten</b:First>
          </b:Person>
        </b:NameList>
      </b:Author>
    </b:Author>
    <b:Title> Towards a better modelling and assessment of construction risk: Insights from a literature review</b:Title>
    <b:JournalName>International Journal of Project Management </b:JournalName>
    <b:Year>2014</b:Year>
    <b:Pages>101-115</b:Pages>
    <b:Volume>32</b:Volume>
    <b:RefOrder>47</b:RefOrder>
  </b:Source>
  <b:Source>
    <b:Tag>Ali19</b:Tag>
    <b:SourceType>JournalArticle</b:SourceType>
    <b:Guid>{61BE4B88-6527-4085-A8AB-D91138F4B9CF}</b:Guid>
    <b:Author>
      <b:Author>
        <b:NameList>
          <b:Person>
            <b:Last>Ali Akbari Ahmadabadi</b:Last>
            <b:First>Gholamreza</b:First>
            <b:Middle>Heravi</b:Middle>
          </b:Person>
        </b:NameList>
      </b:Author>
    </b:Author>
    <b:Title>Risk assessment framework of PPP-megaprojects focusing on risk ineraction and project success</b:Title>
    <b:JournalName>Transportation Research Part A</b:JournalName>
    <b:Year>2019</b:Year>
    <b:Pages>169188</b:Pages>
    <b:Volume>124</b:Volume>
    <b:RefOrder>48</b:RefOrder>
  </b:Source>
  <b:Source>
    <b:Tag>Önc14</b:Tag>
    <b:SourceType>JournalArticle</b:SourceType>
    <b:Guid>{F7B5D95E-A538-40A8-A8CF-6B05558E28DF}</b:Guid>
    <b:Author>
      <b:Author>
        <b:NameList>
          <b:Person>
            <b:Last>Hazır</b:Last>
            <b:First>Öncü</b:First>
          </b:Person>
        </b:NameList>
      </b:Author>
    </b:Author>
    <b:Title>A review of analytical models, approaches and decision support tools in project monitoring and control</b:Title>
    <b:JournalName>International Journal of Project Management </b:JournalName>
    <b:Year>2014</b:Year>
    <b:Pages>808-815</b:Pages>
    <b:Volume>33</b:Volume>
    <b:RefOrder>49</b:RefOrder>
  </b:Source>
  <b:Source>
    <b:Tag>IDi08</b:Tag>
    <b:SourceType>JournalArticle</b:SourceType>
    <b:Guid>{272497DB-D748-47A5-AC50-60E7877C700E}</b:Guid>
    <b:Author>
      <b:Author>
        <b:NameList>
          <b:Person>
            <b:Last>I. Dikmena</b:Last>
            <b:First>M.T.</b:First>
            <b:Middle>Birgonul, C. Anac, J.H.M. Tah, G. Aouadd</b:Middle>
          </b:Person>
        </b:NameList>
      </b:Author>
    </b:Author>
    <b:Title>Learning from risks: A tool for post-project risk assessment</b:Title>
    <b:JournalName> Automation in Construction</b:JournalName>
    <b:Year>2008</b:Year>
    <b:Pages>42-50</b:Pages>
    <b:Volume>18</b:Volume>
    <b:RefOrder>50</b:RefOrder>
  </b:Source>
  <b:Source>
    <b:Tag>Chu16</b:Tag>
    <b:SourceType>JournalArticle</b:SourceType>
    <b:Guid>{5CD5D44D-28C7-4728-8AF8-EA32221650A2}</b:Guid>
    <b:Author>
      <b:Author>
        <b:NameList>
          <b:Person>
            <b:Last>Chun Mei Wang</b:Last>
            <b:First>Bing</b:First>
            <b:Middle>Bing Xu, Su Juan Zhang, Yong Qiang Chen</b:Middle>
          </b:Person>
        </b:NameList>
      </b:Author>
    </b:Author>
    <b:Title>Influence of personality and risk propensity on risk perception of Chinese construction project managers</b:Title>
    <b:JournalName> International Journal of Project Management </b:JournalName>
    <b:Year>2016</b:Year>
    <b:Pages>1294–1304</b:Pages>
    <b:Volume>34</b:Volume>
    <b:RefOrder>40</b:RefOrder>
  </b:Source>
  <b:Source>
    <b:Tag>Kai22</b:Tag>
    <b:SourceType>JournalArticle</b:SourceType>
    <b:Guid>{6E79CBA0-1FB5-479D-9976-189E6214EC58}</b:Guid>
    <b:Author>
      <b:Author>
        <b:NameList>
          <b:Person>
            <b:Last>Kai Guo</b:Last>
            <b:First>Lomao</b:First>
            <b:Middle>Zhang</b:Middle>
          </b:Person>
        </b:NameList>
      </b:Author>
    </b:Author>
    <b:Title>Multi-objective optimization for improved project management: Current tatus and future directions</b:Title>
    <b:JournalName>Automation in Construction</b:JournalName>
    <b:Year>2022</b:Year>
    <b:Pages>104-256</b:Pages>
    <b:Volume>139</b:Volume>
    <b:RefOrder>51</b:RefOrder>
  </b:Source>
  <b:Source>
    <b:Tag>Don16</b:Tag>
    <b:SourceType>JournalArticle</b:SourceType>
    <b:Guid>{E3C64E55-5004-47AB-8E3C-EFF367A570F7}</b:Guid>
    <b:Author>
      <b:Author>
        <b:NameList>
          <b:Person>
            <b:Last>Dong Zhao</b:Last>
            <b:First>Andrew</b:First>
            <b:Middle>P. McCoyb, Brian M. Kleinerb, Thomas H. Millsb, Helen Lingard</b:Middle>
          </b:Person>
        </b:NameList>
      </b:Author>
    </b:Author>
    <b:Title> Stakeholder perceptions of risk in construction</b:Title>
    <b:JournalName>Safety Science</b:JournalName>
    <b:Year> 2016</b:Year>
    <b:Pages>111–119</b:Pages>
    <b:Volume>82</b:Volume>
    <b:RefOrder>52</b:RefOrder>
  </b:Source>
  <b:Source>
    <b:Tag>Cha97</b:Tag>
    <b:SourceType>BookSection</b:SourceType>
    <b:Guid>{A0193C19-0AA4-444A-89BE-E163AAE0C5B6}</b:Guid>
    <b:Title>Project Risk Management</b:Title>
    <b:Year>1997</b:Year>
    <b:Author>
      <b:Author>
        <b:NameList>
          <b:Person>
            <b:Last>Chapman</b:Last>
            <b:First>C.</b:First>
            <b:Middle>B.</b:Middle>
          </b:Person>
          <b:Person>
            <b:Last>Ward</b:Last>
            <b:First>Stephen</b:First>
          </b:Person>
        </b:NameList>
      </b:Author>
    </b:Author>
    <b:BookTitle> Processes, Techniques, and Insights</b:BookTitle>
    <b:City>Chichester</b:City>
    <b:Publisher>John Wiley &amp; Sons, Ltd</b:Publisher>
    <b:RefOrder>4</b:RefOrder>
  </b:Source>
  <b:Source>
    <b:Tag>Beh20</b:Tag>
    <b:SourceType>JournalArticle</b:SourceType>
    <b:Guid>{D76A30D3-5099-40AD-8D55-048CCD528A6A}</b:Guid>
    <b:Author>
      <b:Author>
        <b:NameList>
          <b:Person>
            <b:Last>Behrad Barghi</b:Last>
            <b:First>Shahram</b:First>
            <b:Middle>Shadrokh sikari</b:Middle>
          </b:Person>
        </b:NameList>
      </b:Author>
    </b:Author>
    <b:Title>Qualitative and quantitative project risk assessment using a hybrid PMBOK model developed under uncertainty conditions</b:Title>
    <b:JournalName>Heliyon</b:JournalName>
    <b:Year>2020</b:Year>
    <b:Volume>6</b:Volume>
    <b:Issue>1</b:Issue>
    <b:RefOrder>12</b:RefOrder>
  </b:Source>
  <b:Source>
    <b:Tag>Drm</b:Tag>
    <b:SourceType>JournalArticle</b:SourceType>
    <b:Guid>{CE16F5DC-CF1C-4B37-AA8E-07AE62FECB87}</b:Guid>
    <b:Author>
      <b:Author>
        <b:NameList>
          <b:Person>
            <b:Last>Dr Mohammad Taghipour</b:Last>
            <b:First>Zahra</b:First>
            <b:Middle>Hoseinpour, Matin Shabrang, Maryam Mahboobi</b:Middle>
          </b:Person>
        </b:NameList>
      </b:Author>
    </b:Author>
    <b:Title>Construction projects risk management by risk allocation approach using PMBOK standard</b:Title>
    <b:JournalName>Journal of Applied Environmental  and Biological Sciences</b:JournalName>
    <b:Year>2015</b:Year>
    <b:Pages>323-329</b:Pages>
    <b:Volume>5</b:Volume>
    <b:Issue>12</b:Issue>
    <b:RefOrder>14</b:RefOrder>
  </b:Source>
  <b:Source>
    <b:Tag>Cri03</b:Tag>
    <b:SourceType>JournalArticle</b:SourceType>
    <b:Guid>{9E447410-9F62-4314-9D04-675EA9B953CE}</b:Guid>
    <b:Title>ISO, CMMI and PMBOK Risk Management: a Comparative Analysis</b:Title>
    <b:Year>2003</b:Year>
    <b:Pages>65-76</b:Pages>
    <b:Author>
      <b:Author>
        <b:NameList>
          <b:Person>
            <b:Last>Gusmão</b:Last>
            <b:First>Cristine</b:First>
            <b:Middle>Martins Gomes de</b:Middle>
          </b:Person>
        </b:NameList>
      </b:Author>
    </b:Author>
    <b:JournalName>The International Journal of Applied Management and Technology</b:JournalName>
    <b:Volume>1</b:Volume>
    <b:Issue>1</b:Issue>
    <b:RefOrder>9</b:RefOrder>
  </b:Source>
  <b:Source>
    <b:Tag>Roy241</b:Tag>
    <b:SourceType>Report</b:SourceType>
    <b:Guid>{8ECA258B-23C5-4BA8-AAED-3C8FD9BBE71C}</b:Guid>
    <b:Author>
      <b:Author>
        <b:NameList>
          <b:Person>
            <b:Last>Roy</b:Last>
            <b:First>Aki</b:First>
          </b:Person>
        </b:NameList>
      </b:Author>
    </b:Author>
    <b:Title>Risk analysis of implementing Machine Learning in construction projects</b:Title>
    <b:Year>2024</b:Year>
    <b:Publisher>Department of Computer and System Science, Stockholm University</b:Publisher>
    <b:City>Stockholm</b:City>
    <b:RefOrder>16</b:RefOrder>
  </b:Source>
  <b:Source>
    <b:Tag>Het21</b:Tag>
    <b:SourceType>JournalArticle</b:SourceType>
    <b:Guid>{5E9AE7EF-F794-45EE-ADB8-9D9D147B48E3}</b:Guid>
    <b:Title>The recursive interaction of institutional fields and managerial legitimation in large-scale projects</b:Title>
    <b:Year>2021</b:Year>
    <b:Author>
      <b:Author>
        <b:NameList>
          <b:Person>
            <b:Last>Hetemi</b:Last>
            <b:First>E.,</b:First>
            <b:Middle>van Marrewijk, A., &amp; Jerbrant, A</b:Middle>
          </b:Person>
        </b:NameList>
      </b:Author>
    </b:Author>
    <b:JournalName>International Journal of Project Management</b:JournalName>
    <b:Pages>231-244</b:Pages>
    <b:Volume>39</b:Volume>
    <b:Issue>3</b:Issue>
    <b:RefOrder>2</b:RefOrder>
  </b:Source>
  <b:Source>
    <b:Tag>Aer17</b:Tag>
    <b:SourceType>JournalArticle</b:SourceType>
    <b:Guid>{4A76EF34-7BDD-4509-BCDC-2E0C14231AB0}</b:Guid>
    <b:Author>
      <b:Author>
        <b:NameList>
          <b:Person>
            <b:Last>Aerts</b:Last>
            <b:First>G.,</b:First>
            <b:Middle>Dooms, M., &amp; Haezendonck, E.</b:Middle>
          </b:Person>
        </b:NameList>
      </b:Author>
    </b:Author>
    <b:Title>Knowledge transfers and project-based learning in large scale infrastructure development</b:Title>
    <b:JournalName>International Journal of Project Management</b:JournalName>
    <b:Year>2017</b:Year>
    <b:Pages>828-838</b:Pages>
    <b:Volume>35</b:Volume>
    <b:Issue>5</b:Issue>
    <b:RefOrder>6</b:RefOrder>
  </b:Source>
  <b:Source>
    <b:Tag>Kha24</b:Tag>
    <b:SourceType>JournalArticle</b:SourceType>
    <b:Guid>{7B0B5513-2EBD-4941-A20A-3E289186D8D2}</b:Guid>
    <b:Author>
      <b:Author>
        <b:NameList>
          <b:Person>
            <b:Last>Khan</b:Last>
            <b:First>M.,</b:First>
            <b:Middle>Mo, J.P.T., &amp; Lunevich, L.</b:Middle>
          </b:Person>
        </b:NameList>
      </b:Author>
    </b:Author>
    <b:Title>Integrated alliance system architecture for lifecycle risk management</b:Title>
    <b:JournalName>nternational Journal of Agile Systems and Management</b:JournalName>
    <b:Year>2024</b:Year>
    <b:Pages>421-454</b:Pages>
    <b:Volume>17</b:Volume>
    <b:Issue>4</b:Issue>
    <b:RefOrder>7</b:RefOrder>
  </b:Source>
  <b:Source>
    <b:Tag>Pat05</b:Tag>
    <b:SourceType>JournalArticle</b:SourceType>
    <b:Guid>{61AE8538-E28C-46F0-9C4D-7365C8BD3FB7}</b:Guid>
    <b:Author>
      <b:Author>
        <b:NameList>
          <b:Person>
            <b:Last>Pattberg</b:Last>
            <b:First>P</b:First>
          </b:Person>
        </b:NameList>
      </b:Author>
    </b:Author>
    <b:Title>The institutionalization of private governance</b:Title>
    <b:JournalName>Governance </b:JournalName>
    <b:Year>2005</b:Year>
    <b:Pages>589-610</b:Pages>
    <b:Volume>18</b:Volume>
    <b:Issue>4</b:Issue>
    <b:RefOrder>5</b:RefOrder>
  </b:Source>
  <b:Source>
    <b:Tag>Enr12</b:Tag>
    <b:SourceType>Book</b:SourceType>
    <b:Guid>{8E3A6E5D-8D37-4276-B1CB-E7400E8E5607}</b:Guid>
    <b:Title>Overview of risk-informed decision-making processes</b:Title>
    <b:Year>2012</b:Year>
    <b:Author>
      <b:Author>
        <b:NameList>
          <b:Person>
            <b:Last>Enrico Zio</b:Last>
            <b:First>Nicola</b:First>
            <b:Middle>Pedroni</b:Middle>
          </b:Person>
        </b:NameList>
      </b:Author>
    </b:Author>
    <b:Publisher>FonCSI</b:Publisher>
    <b:RefOrder>8</b:RefOrder>
  </b:Source>
  <b:Source>
    <b:Tag>Dra20</b:Tag>
    <b:SourceType>JournalArticle</b:SourceType>
    <b:Guid>{FAF0A9D1-BE91-4BF4-8757-4C8CA90C75C2}</b:Guid>
    <b:Title>Risk-informed decision-making in asset management as a complex adaptive system of systems</b:Title>
    <b:Year>2020</b:Year>
    <b:Author>
      <b:Author>
        <b:NameList>
          <b:Person>
            <b:Last>Dragan Komljenovic</b:Last>
            <b:First>Georges</b:First>
            <b:Middle>Abdul-Nour and Jean-François Boudreau</b:Middle>
          </b:Person>
        </b:NameList>
      </b:Author>
    </b:Author>
    <b:JournalName>International Journal of Strategic Engineering Asset Management</b:JournalName>
    <b:Pages>198-238</b:Pages>
    <b:Volume>3</b:Volume>
    <b:Issue>3</b:Issue>
    <b:RefOrder>10</b:RefOrder>
  </b:Source>
  <b:Source>
    <b:Tag>Mer20</b:Tag>
    <b:SourceType>Report</b:SourceType>
    <b:Guid>{B3280D24-D889-4372-A1FF-BE5E1C29D8B8}</b:Guid>
    <b:Author>
      <b:Author>
        <b:NameList>
          <b:Person>
            <b:Last>Merkourios Papanikolaou</b:Last>
            <b:First>Yiannis</b:First>
            <b:Middle>Xenidis</b:Middle>
          </b:Person>
        </b:NameList>
      </b:Author>
    </b:Author>
    <b:Title>Risk-Informed performance assessment of construction projects. Sustainability</b:Title>
    <b:Year>2020</b:Year>
    <b:Publisher>Aristotle University of Thessaloniki</b:Publisher>
    <b:City>Thessaloniki, Greece</b:City>
    <b:RefOrder>11</b:RefOrder>
  </b:Source>
  <b:Source>
    <b:Tag>Ash21</b:Tag>
    <b:SourceType>JournalArticle</b:SourceType>
    <b:Guid>{96387ABA-A0CB-402A-BEA5-67F67DC3FD7F}</b:Guid>
    <b:Title>Risk-informed field development workflows.</b:Title>
    <b:Year>2021</b:Year>
    <b:Author>
      <b:Author>
        <b:NameList>
          <b:Person>
            <b:Last>Ashish Kumar Loomba</b:Last>
            <b:First>Vinicius</b:First>
            <b:Middle>Eduardo Botechia, Denis José Schiozer</b:Middle>
          </b:Person>
        </b:NameList>
      </b:Author>
    </b:Author>
    <b:JournalName> Journal of Petroleum Science and Engineering</b:JournalName>
    <b:Volume>197</b:Volume>
    <b:RefOrder>15</b:RefOrder>
  </b:Source>
  <b:Source>
    <b:Tag>Cur20</b:Tag>
    <b:SourceType>Report</b:SourceType>
    <b:Guid>{A92FD94E-5CFD-4DB1-A4D0-72C8E130BDEC}</b:Guid>
    <b:Title>Risk-Informed Applications and Science Past,</b:Title>
    <b:Year>2020</b:Year>
    <b:Author>
      <b:Author>
        <b:NameList>
          <b:Person>
            <b:Last>Smith</b:Last>
            <b:First>Curtis</b:First>
            <b:Middle>L</b:Middle>
          </b:Person>
        </b:NameList>
      </b:Author>
    </b:Author>
    <b:Publisher>U.S. Department of Energy</b:Publisher>
    <b:City>Idaho</b:City>
    <b:RefOrder>17</b:RefOrder>
  </b:Source>
  <b:Source>
    <b:Tag>Why21</b:Tag>
    <b:SourceType>JournalArticle</b:SourceType>
    <b:Guid>{79C3BC6C-33CB-4117-9DA1-FE13D0EADB9A}</b:Guid>
    <b:Title>Reframing systems integration: A process perspective on projects</b:Title>
    <b:Year>2021</b:Year>
    <b:Author>
      <b:Author>
        <b:NameList>
          <b:Person>
            <b:Last>Whyte</b:Last>
            <b:First>J.,</b:First>
            <b:Middle>&amp; Davies, A.</b:Middle>
          </b:Person>
        </b:NameList>
      </b:Author>
    </b:Author>
    <b:JournalName>Project Management Journal</b:JournalName>
    <b:Pages>168-184</b:Pages>
    <b:Volume>52</b:Volume>
    <b:Issue>2</b:Issue>
    <b:RefOrder>13</b:RefOrder>
  </b:Source>
  <b:Source>
    <b:Tag>Kha08</b:Tag>
    <b:SourceType>JournalArticle</b:SourceType>
    <b:Guid>{13543D06-D0B8-44FC-B867-DAAC56AB6B05}</b:Guid>
    <b:Author>
      <b:Author>
        <b:NameList>
          <b:Person>
            <b:Last>Khairul Baharein</b:Last>
            <b:First>Mohd</b:First>
            <b:Middle>Noor</b:Middle>
          </b:Person>
        </b:NameList>
      </b:Author>
    </b:Author>
    <b:Title>A Strategic Research Methodology </b:Title>
    <b:JournalName>American Journal of Applied Sciences </b:JournalName>
    <b:Year>2008</b:Year>
    <b:Pages>1602-1604</b:Pages>
    <b:Volume>5</b:Volume>
    <b:Issue>11</b:Issue>
    <b:RefOrder>53</b:RefOrder>
  </b:Source>
  <b:Source>
    <b:Tag>APi93</b:Tag>
    <b:SourceType>JournalArticle</b:SourceType>
    <b:Guid>{EAA21622-86CA-4822-979D-6A4396E1343D}</b:Guid>
    <b:Author>
      <b:Author>
        <b:NameList>
          <b:Person>
            <b:Last>Pinsonneault</b:Last>
            <b:First>A</b:First>
          </b:Person>
        </b:NameList>
      </b:Author>
    </b:Author>
    <b:Title>Survey Research Methodology in management information systems</b:Title>
    <b:JournalName>Journal of management information systems</b:JournalName>
    <b:Year>1993</b:Year>
    <b:Pages>75-105</b:Pages>
    <b:Volume>10</b:Volume>
    <b:Issue>2</b:Issue>
    <b:RefOrder>54</b:RefOrder>
  </b:Source>
  <b:Source>
    <b:Tag>Ham20</b:Tag>
    <b:SourceType>JournalArticle</b:SourceType>
    <b:Guid>{1397872F-F484-4D09-A54D-EC1C4A98A543}</b:Guid>
    <b:Title>Sampling Methods in Research Methodology; How to Choose a Sampling Technique for Research</b:Title>
    <b:Year>2020</b:Year>
    <b:Author>
      <b:Author>
        <b:NameList>
          <b:Person>
            <b:Last>Taherdoost</b:Last>
            <b:First>Hamed</b:First>
          </b:Person>
        </b:NameList>
      </b:Author>
    </b:Author>
    <b:JournalName>International Journal of Academic Research in Management </b:JournalName>
    <b:Volume>5</b:Volume>
    <b:Issue>2</b:Issue>
    <b:RefOrder>55</b:RefOrder>
  </b:Source>
  <b:Source>
    <b:Tag>Mic08</b:Tag>
    <b:SourceType>Book</b:SourceType>
    <b:Guid>{E0B85635-2536-4B47-BDC2-5F5183EF0F24}</b:Guid>
    <b:Title>Encyclopedia of Survey Research Methods</b:Title>
    <b:Year>2008</b:Year>
    <b:Author>
      <b:Author>
        <b:NameList>
          <b:Person>
            <b:Last>Battaglia</b:Last>
            <b:First>Michael</b:First>
            <b:Middle>P.</b:Middle>
          </b:Person>
        </b:NameList>
      </b:Author>
    </b:Author>
    <b:City>Thousand Oaks</b:City>
    <b:Publisher>SAGE Publications, Inc.</b:Publisher>
    <b:RefOrder>56</b:RefOrder>
  </b:Source>
  <b:Source>
    <b:Tag>AFi17</b:Tag>
    <b:SourceType>Book</b:SourceType>
    <b:Guid>{894D60A2-6E76-46C2-9EAE-5998A7B8157E}</b:Guid>
    <b:Title>How to conduct surveys:a step by step guide</b:Title>
    <b:Year>2017</b:Year>
    <b:Publisher>Sage</b:Publisher>
    <b:City>Los Angeles</b:City>
    <b:Author>
      <b:Author>
        <b:NameList>
          <b:Person>
            <b:Last>Fink</b:Last>
            <b:First>A</b:First>
          </b:Person>
        </b:NameList>
      </b:Author>
    </b:Author>
    <b:BookTitle>A step by step guide</b:BookTitle>
    <b:RefOrder>57</b:RefOrder>
  </b:Source>
  <b:Source>
    <b:Tag>Sta23</b:Tag>
    <b:SourceType>JournalArticle</b:SourceType>
    <b:Guid>{87E93420-E245-4208-8C97-2BCF06B3EFCF}</b:Guid>
    <b:Title>How to run surveys: aguide to creating your own variation and revealing the invisible</b:Title>
    <b:Year>2023</b:Year>
    <b:Author>
      <b:Author>
        <b:NameList>
          <b:Person>
            <b:Last>Stanfcheva</b:Last>
            <b:First>S</b:First>
          </b:Person>
        </b:NameList>
      </b:Author>
    </b:Author>
    <b:JournalName>Annual review of ecconomics</b:JournalName>
    <b:Pages>205-234</b:Pages>
    <b:Volume>15</b:Volume>
    <b:Issue>1</b:Issue>
    <b:RefOrder>58</b:RefOrder>
  </b:Source>
  <b:Source>
    <b:Tag>Byj25</b:Tag>
    <b:SourceType>InternetSite</b:SourceType>
    <b:Guid>{6E0D1776-3865-4394-86E3-56E48D26DAD4}</b:Guid>
    <b:Title>www.byjus.com</b:Title>
    <b:Year>2025</b:Year>
    <b:Author>
      <b:Author>
        <b:Corporate>Byjus</b:Corporate>
      </b:Author>
    </b:Author>
    <b:YearAccessed>2025</b:YearAccessed>
    <b:MonthAccessed>02</b:MonthAccessed>
    <b:DayAccessed>18</b:DayAccessed>
    <b:URL>https://byjus.com/maths/sampling-error/</b:URL>
    <b:RefOrder>59</b:RefOrder>
  </b:Source>
  <b:Source>
    <b:Tag>Mar18</b:Tag>
    <b:SourceType>JournalArticle</b:SourceType>
    <b:Guid>{741B0434-847A-4BFE-98A2-06D4977313CF}</b:Guid>
    <b:Author>
      <b:Author>
        <b:NameList>
          <b:Person>
            <b:Last>Kolios</b:Last>
            <b:First>Mareike</b:First>
            <b:Middle>Leimeistera &amp; Athanasios</b:Middle>
          </b:Person>
        </b:NameList>
      </b:Author>
    </b:Author>
    <b:Title> A review of reliability-based methods for risk analysis and their application</b:Title>
    <b:JournalName> Renewable and Sustainable Energy Reviews</b:JournalName>
    <b:Year>2018</b:Year>
    <b:Pages>1065-1076</b:Pages>
    <b:Volume>93</b:Volume>
    <b:RefOrder>31</b:RefOrder>
  </b:Source>
  <b:Source>
    <b:Tag>Gul18</b:Tag>
    <b:SourceType>JournalArticle</b:SourceType>
    <b:Guid>{C773C8C1-E2F6-4EE8-82F3-C16486BC6CAD}</b:Guid>
    <b:Author>
      <b:Author>
        <b:NameList>
          <b:Person>
            <b:Last>Gul M</b:Last>
            <b:First>Ak</b:First>
            <b:Middle>MF</b:Middle>
          </b:Person>
        </b:NameList>
      </b:Author>
    </b:Author>
    <b:Title> A comparative outline for quantifying risk ratings in occupational health and safety risk</b:Title>
    <b:JournalName>Journal of Cleaner Production</b:JournalName>
    <b:Year>2018</b:Year>
    <b:Volume>06</b:Volume>
    <b:Issue>106</b:Issue>
    <b:RefOrder>32</b:RefOrder>
  </b:Source>
  <b:Source>
    <b:Tag>Pee15</b:Tag>
    <b:SourceType>JournalArticle</b:SourceType>
    <b:Guid>{4C85FB2E-D256-4FB4-9A57-94563614F8C0}</b:Guid>
    <b:Author>
      <b:Author>
        <b:NameList>
          <b:Person>
            <b:Last>Peeters</b:Last>
            <b:First>W.</b:First>
            <b:Middle>and Peng, Z</b:Middle>
          </b:Person>
        </b:NameList>
      </b:Author>
    </b:Author>
    <b:Title>An approach towards global standardization of the risk matrix</b:Title>
    <b:JournalName>Journal of Space Safety Engineering</b:JournalName>
    <b:Year>2015</b:Year>
    <b:Pages>31-40</b:Pages>
    <b:Volume>2</b:Volume>
    <b:Issue>1</b:Issue>
    <b:RefOrder>36</b:RefOrder>
  </b:Source>
  <b:Source>
    <b:Tag>Whi</b:Tag>
    <b:SourceType>Report</b:SourceType>
    <b:Guid>{0096EEF2-CF33-46DC-B472-13BD3A914B9E}</b:Guid>
    <b:Title>The significance and impact of new international risk management standards</b:Title>
    <b:Author>
      <b:Author>
        <b:NameList>
          <b:Person>
            <b:Last>Whiting</b:Last>
            <b:First>J.F</b:First>
          </b:Person>
        </b:NameList>
      </b:Author>
    </b:Author>
    <b:Publisher>Workplace Risk Pty Ltd</b:Publisher>
    <b:City>Brisbane </b:City>
    <b:RefOrder>35</b:RefOrder>
  </b:Source>
  <b:Source>
    <b:Tag>Muh18</b:Tag>
    <b:SourceType>JournalArticle</b:SourceType>
    <b:Guid>{82BC1DB5-DD6F-44F5-A83C-592DF496FC74}</b:Guid>
    <b:Title>A comparative outline for quantifying risk ratings in occupational health and safety risk</b:Title>
    <b:Year>2018</b:Year>
    <b:Author>
      <b:Author>
        <b:NameList>
          <b:Person>
            <b:Last>Muhammet Gul</b:Last>
            <b:First>M.</b:First>
            <b:Middle>Fatih Ak</b:Middle>
          </b:Person>
        </b:NameList>
      </b:Author>
    </b:Author>
    <b:JournalName>Journal of Cleaner Production</b:JournalName>
    <b:Volume>18</b:Volume>
    <b:RefOrder>34</b:RefOrder>
  </b:Source>
  <b:Source>
    <b:Tag>Ime24</b:Tag>
    <b:SourceType>JournalArticle</b:SourceType>
    <b:Guid>{95A3F993-7217-44D2-AC50-1001588D1657}</b:Guid>
    <b:Author>
      <b:Author>
        <b:NameList>
          <b:Person>
            <b:Last>Imene Mohammedi</b:Last>
            <b:First>Wissam</b:First>
            <b:Middle>Belimane, Mehdi Bouchetara</b:Middle>
          </b:Person>
        </b:NameList>
      </b:Author>
    </b:Author>
    <b:Title>Enhancing the Golden Triangle (Cost, Time, Quality) in Infrastructure Projects through Risk Management</b:Title>
    <b:JournalName>Journal of Corporate Governance, Insurance, and Risk Management </b:JournalName>
    <b:Year>2024</b:Year>
    <b:Pages>227-245</b:Pages>
    <b:Volume>11</b:Volume>
    <b:Issue>4</b:Issue>
    <b:RefOrder>33</b:RefOrder>
  </b:Source>
  <b:Source>
    <b:Tag>Pee151</b:Tag>
    <b:SourceType>JournalArticle</b:SourceType>
    <b:Guid>{E2AD0D62-7947-452E-9FF7-7BF5D4823E2C}</b:Guid>
    <b:Author>
      <b:Author>
        <b:NameList>
          <b:Person>
            <b:Last>Peeters W</b:Last>
            <b:First>Peng</b:First>
            <b:Middle>Z</b:Middle>
          </b:Person>
        </b:NameList>
      </b:Author>
    </b:Author>
    <b:Title>An Approch towards global standardisation of the risk matrix</b:Title>
    <b:JournalName>Journal of Space Safety Engineering</b:JournalName>
    <b:Year>2015</b:Year>
    <b:Volume>2</b:Volume>
    <b:Issue>1</b:Issue>
    <b:RefOrder>37</b:RefOrder>
  </b:Source>
  <b:Source>
    <b:Tag>Ade24</b:Tag>
    <b:SourceType>JournalArticle</b:SourceType>
    <b:Guid>{934D1B09-E05F-43B1-8BFD-4D9081F58E22}</b:Guid>
    <b:Author>
      <b:Author>
        <b:NameList>
          <b:Person>
            <b:Last>Temitope</b:Last>
            <b:First>Adebayo</b:First>
            <b:Middle>Omowunmi</b:Middle>
          </b:Person>
        </b:NameList>
      </b:Author>
    </b:Author>
    <b:Title>Project Risk Management Strategies: Best Practices for Identifying, Assessing, and Mitigating Risks in Project Management </b:Title>
    <b:JournalName>| IRE Journals</b:JournalName>
    <b:Year>2024</b:Year>
    <b:Pages>2456-8880</b:Pages>
    <b:Volume>7</b:Volume>
    <b:Issue>10</b:Issue>
    <b:RefOrder>38</b:RefOrder>
  </b:Source>
  <b:Source>
    <b:Tag>Rui20</b:Tag>
    <b:SourceType>Report</b:SourceType>
    <b:Guid>{1ACD40B6-DCE9-4E06-BBA7-24FACDA8DCE3}</b:Guid>
    <b:Title>Quality Risk Management, its tools and practical applications</b:Title>
    <b:Year>2020</b:Year>
    <b:Author>
      <b:Author>
        <b:NameList>
          <b:Person>
            <b:Last>Ferro</b:Last>
            <b:First>Rui</b:First>
            <b:Middle>Miguel Oliveira</b:Middle>
          </b:Person>
        </b:NameList>
      </b:Author>
    </b:Author>
    <b:Publisher>Universidade de Lisboa</b:Publisher>
    <b:RefOrder>39</b:RefOrder>
  </b:Source>
  <b:Source>
    <b:Tag>Kha25</b:Tag>
    <b:SourceType>ConferenceProceedings</b:SourceType>
    <b:Guid>{AC073DF3-10C5-4E04-B676-7494C2FC8CD8}</b:Guid>
    <b:Title>Towards AI/ML-Powered Hybrid Project Management Strategy for the Healthcare Sector</b:Title>
    <b:Year>2025</b:Year>
    <b:Publisher>Springer</b:Publisher>
    <b:City>Singapore</b:City>
    <b:Author>
      <b:Author>
        <b:NameList>
          <b:Person>
            <b:Last>Khadgi</b:Last>
            <b:First>M.,</b:First>
            <b:Middle>Ud Din, F</b:Middle>
          </b:Person>
        </b:NameList>
      </b:Author>
    </b:Author>
    <b:RefOrder>65</b:RefOrder>
  </b:Source>
  <b:Source>
    <b:Tag>Trj16</b:Tag>
    <b:SourceType>JournalArticle</b:SourceType>
    <b:Guid>{47634A59-77B7-4732-A9F5-21EF2B3D0399}</b:Guid>
    <b:Title>Risk assessment and risk management: Review of recent advances on their foundation</b:Title>
    <b:Year>2016</b:Year>
    <b:Author>
      <b:Author>
        <b:NameList>
          <b:Person>
            <b:Last>Aven</b:Last>
            <b:First>Trje</b:First>
          </b:Person>
        </b:NameList>
      </b:Author>
    </b:Author>
    <b:JournalName>European Journal of Operational Research</b:JournalName>
    <b:Pages>1-13</b:Pages>
    <b:Volume>253</b:Volume>
    <b:RefOrder>72</b:RefOrder>
  </b:Source>
  <b:Source>
    <b:Tag>Cag11</b:Tag>
    <b:SourceType>JournalArticle</b:SourceType>
    <b:Guid>{B3BBBF90-FA37-43F8-A017-3CFB6FDB62A0}</b:Guid>
    <b:Author>
      <b:Author>
        <b:NameList>
          <b:Person>
            <b:Last>Cagno</b:Last>
            <b:First>E.,</b:First>
            <b:Middle>Caron, F., &amp; Mancini, M</b:Middle>
          </b:Person>
        </b:NameList>
      </b:Author>
    </b:Author>
    <b:Title>Risk analysis in project management: An integrated methodology</b:Title>
    <b:JournalName>Project Management Journal</b:JournalName>
    <b:Year>2011</b:Year>
    <b:Pages>56-72</b:Pages>
    <b:Volume>42</b:Volume>
    <b:Issue>1</b:Issue>
    <b:RefOrder>73</b:RefOrder>
  </b:Source>
  <b:Source>
    <b:Tag>DHi22</b:Tag>
    <b:SourceType>JournalArticle</b:SourceType>
    <b:Guid>{ABE4BDED-C64A-4422-986C-38733CB92B19}</b:Guid>
    <b:Author>
      <b:Author>
        <b:NameList>
          <b:Person>
            <b:Last>Hilson</b:Last>
            <b:First>D</b:First>
          </b:Person>
        </b:NameList>
      </b:Author>
    </b:Author>
    <b:Title>Extending the risk process to manage opportunities</b:Title>
    <b:JournalName>International Journal of Project Management</b:JournalName>
    <b:Year>2022</b:Year>
    <b:Pages>235-240</b:Pages>
    <b:Volume>20</b:Volume>
    <b:Issue>3</b:Issue>
    <b:RefOrder>68</b:RefOrder>
  </b:Source>
  <b:Source>
    <b:Tag>Kau12</b:Tag>
    <b:SourceType>JournalArticle</b:SourceType>
    <b:Guid>{B440E007-6390-4ABE-AB34-CABD0CA97CE8}</b:Guid>
    <b:Author>
      <b:Author>
        <b:NameList>
          <b:Person>
            <b:Last>Kause</b:Last>
            <b:First>A.,</b:First>
            <b:Middle>&amp; Sihvonen, J.</b:Middle>
          </b:Person>
        </b:NameList>
      </b:Author>
    </b:Author>
    <b:Title>The use of cause–effect diagrams in risk analysis: A case study.</b:Title>
    <b:JournalName>Reliability Engineering &amp; System Safety</b:JournalName>
    <b:Year>2012</b:Year>
    <b:Pages>126-133</b:Pages>
    <b:RefOrder>69</b:RefOrder>
  </b:Source>
  <b:Source>
    <b:Tag>Boa17</b:Tag>
    <b:SourceType>Report</b:SourceType>
    <b:Guid>{FB6A5E03-3FD5-42AA-BEB6-527688FA5AF0}</b:Guid>
    <b:Title>Cost-Benefit Analysis: Concepts and Practice.</b:Title>
    <b:Year>2017</b:Year>
    <b:Author>
      <b:Author>
        <b:NameList>
          <b:Person>
            <b:Last>Boardman</b:Last>
            <b:First>A.</b:First>
            <b:Middle>E., Greenberg, D. H., Vining, A. R., &amp; Weimer, D. L.</b:Middle>
          </b:Person>
        </b:NameList>
      </b:Author>
    </b:Author>
    <b:Publisher>Cambridge University Press.</b:Publisher>
    <b:City>Cambridge </b:City>
    <b:RefOrder>74</b:RefOrder>
  </b:Source>
  <b:Source>
    <b:Tag>Cag15</b:Tag>
    <b:SourceType>JournalArticle</b:SourceType>
    <b:Guid>{1638E58C-5814-474A-A30D-478D92BA03FD}</b:Guid>
    <b:Title>Choosing project risk management techniques: A theoretical framework</b:Title>
    <b:Year>2015</b:Year>
    <b:Author>
      <b:Author>
        <b:NameList>
          <b:Person>
            <b:Last>Cagliano</b:Last>
            <b:First>A.</b:First>
            <b:Middle>C., Grimaldi, S., &amp; Rafele, C.</b:Middle>
          </b:Person>
        </b:NameList>
      </b:Author>
    </b:Author>
    <b:JournalName>Journal of Risk Research</b:JournalName>
    <b:Pages>232-248</b:Pages>
    <b:Volume>18</b:Volume>
    <b:Issue>2</b:Issue>
    <b:RefOrder>67</b:RefOrder>
  </b:Source>
  <b:Source>
    <b:Tag>Ros16</b:Tag>
    <b:SourceType>JournalArticle</b:SourceType>
    <b:Guid>{FBFCBA8D-97E4-4DDA-9AD3-31881CA9D770}</b:Guid>
    <b:Author>
      <b:Author>
        <b:NameList>
          <b:Person>
            <b:Last>Rostami</b:Last>
            <b:First>A</b:First>
          </b:Person>
        </b:NameList>
      </b:Author>
    </b:Author>
    <b:Title>Tools and techniques in risk identification: Research trends.</b:Title>
    <b:JournalName>International Journal of Project Management</b:JournalName>
    <b:Year>2016</b:Year>
    <b:Pages>457-470</b:Pages>
    <b:Volume>34</b:Volume>
    <b:Issue>3</b:Issue>
    <b:RefOrder>63</b:RefOrder>
  </b:Source>
  <b:Source>
    <b:Tag>Zou17</b:Tag>
    <b:SourceType>JournalArticle</b:SourceType>
    <b:Guid>{8A668B33-2A04-4727-BA47-6552413437EE}</b:Guid>
    <b:Author>
      <b:Author>
        <b:NameList>
          <b:Person>
            <b:Last>Zou</b:Last>
            <b:First>Y.,</b:First>
            <b:Middle>Kiviniemi, A., &amp; Jones, S. W.</b:Middle>
          </b:Person>
        </b:NameList>
      </b:Author>
    </b:Author>
    <b:Title>A review of risk management through BIM and BIM-related technologies</b:Title>
    <b:JournalName>Safety Science </b:JournalName>
    <b:Year>2017</b:Year>
    <b:Pages>88-98</b:Pages>
    <b:Volume>97</b:Volume>
    <b:RefOrder>62</b:RefOrder>
  </b:Source>
  <b:Source>
    <b:Tag>Mar16</b:Tag>
    <b:SourceType>JournalArticle</b:SourceType>
    <b:Guid>{7D212E53-F4A8-43D3-B10A-8D307541DF53}</b:Guid>
    <b:Author>
      <b:Author>
        <b:NameList>
          <b:Person>
            <b:Last>Marle</b:Last>
            <b:First>F.,</b:First>
            <b:Middle>&amp; Vidal, L.-A</b:Middle>
          </b:Person>
        </b:NameList>
      </b:Author>
    </b:Author>
    <b:Title>Project risk management processes: Improving coordination using a clustering approach.</b:Title>
    <b:JournalName>Research in Engineering Design</b:JournalName>
    <b:Year>2016</b:Year>
    <b:Pages>346-365</b:Pages>
    <b:Volume>27</b:Volume>
    <b:Issue>4</b:Issue>
    <b:RefOrder>64</b:RefOrder>
  </b:Source>
  <b:Source>
    <b:Tag>Pin22</b:Tag>
    <b:SourceType>Report</b:SourceType>
    <b:Guid>{3815869C-A2D5-4E56-A3AD-65D5C8D93C5C}</b:Guid>
    <b:Author>
      <b:Author>
        <b:NameList>
          <b:Person>
            <b:Last>Pinho</b:Last>
            <b:First>C.,</b:First>
            <b:Middle>Lopes, J., &amp; Abreu, A.</b:Middle>
          </b:Person>
        </b:NameList>
      </b:Author>
    </b:Author>
    <b:Title>Project risk management: The impact of stakeholders and collaboration.</b:Title>
    <b:Year>2022</b:Year>
    <b:Pages>688-695</b:Pages>
    <b:PeriodicalTitle>Procedia Computer Science</b:PeriodicalTitle>
    <b:Publisher>Procedia Computer Science</b:Publisher>
    <b:RefOrder>75</b:RefOrder>
  </b:Source>
  <b:Source>
    <b:Tag>Eyb15</b:Tag>
    <b:SourceType>JournalArticle</b:SourceType>
    <b:Guid>{DD590F15-2130-4E72-94DB-A88C66781EBD}</b:Guid>
    <b:Title>Identification of risk paths in international construction projects using structural equation modeling.</b:Title>
    <b:Year>2015</b:Year>
    <b:Author>
      <b:Author>
        <b:NameList>
          <b:Person>
            <b:Last>Eybpoosh</b:Last>
            <b:First>M.,</b:First>
            <b:Middle>Dikmen, I., &amp; Birgonul, M. T.</b:Middle>
          </b:Person>
        </b:NameList>
      </b:Author>
    </b:Author>
    <b:JournalName>Journal of Construction Engineering and Management</b:JournalName>
    <b:Volume>141</b:Volume>
    <b:Issue>9</b:Issue>
    <b:RefOrder>76</b:RefOrder>
  </b:Source>
  <b:Source>
    <b:Tag>Ahm20</b:Tag>
    <b:SourceType>JournalArticle</b:SourceType>
    <b:Guid>{791B7C17-70E8-4C1C-B30A-133184B83891}</b:Guid>
    <b:Author>
      <b:Author>
        <b:NameList>
          <b:Person>
            <b:Last>Ahmetaj</b:Last>
            <b:First>M.,</b:First>
            <b:Middle>&amp; Ajvazi, B</b:Middle>
          </b:Person>
        </b:NameList>
      </b:Author>
    </b:Author>
    <b:Title>Agile risk management framework for complex projects.</b:Title>
    <b:JournalName> International Journal of Business and Management</b:JournalName>
    <b:Year>2020</b:Year>
    <b:Pages>23-34</b:Pages>
    <b:Volume>15</b:Volume>
    <b:Issue>3</b:Issue>
    <b:RefOrder>77</b:RefOrder>
  </b:Source>
  <b:Source>
    <b:Tag>Fos20</b:Tag>
    <b:SourceType>JournalArticle</b:SourceType>
    <b:Guid>{FBD59D21-CD7F-4D3B-9E8E-E95DE6E3C579}</b:Guid>
    <b:Title>Risk management in the age of agility: Adaptive frameworks for dynamic projects.</b:Title>
    <b:JournalName>Project Leadership and Society</b:JournalName>
    <b:Year>2020</b:Year>
    <b:Author>
      <b:Author>
        <b:NameList>
          <b:Person>
            <b:Last>Foster</b:Last>
            <b:First>J.,</b:First>
            <b:Middle>&amp; Ashby, L.</b:Middle>
          </b:Person>
        </b:NameList>
      </b:Author>
    </b:Author>
    <b:RefOrder>78</b:RefOrder>
  </b:Source>
  <b:Source>
    <b:Tag>Ave16</b:Tag>
    <b:SourceType>JournalArticle</b:SourceType>
    <b:Guid>{7A691A39-719D-416B-B4E2-E21EF9CB7FA9}</b:Guid>
    <b:Author>
      <b:Author>
        <b:NameList>
          <b:Person>
            <b:Last>Aven</b:Last>
            <b:First>T</b:First>
          </b:Person>
        </b:NameList>
      </b:Author>
    </b:Author>
    <b:Title>Risk assessment and risk management: Review of recent advances on their foundation</b:Title>
    <b:JournalName>European Journal of Operational Research</b:JournalName>
    <b:Year>2016</b:Year>
    <b:Pages>1-13</b:Pages>
    <b:Volume>253</b:Volume>
    <b:Issue>1</b:Issue>
    <b:RefOrder>61</b:RefOrder>
  </b:Source>
  <b:Source>
    <b:Tag>Bow19</b:Tag>
    <b:SourceType>JournalArticle</b:SourceType>
    <b:Guid>{2F623388-50F1-401C-AD23-175D69FB1EC9}</b:Guid>
    <b:Author>
      <b:Author>
        <b:NameList>
          <b:Person>
            <b:Last>Bower</b:Last>
            <b:First>D.,</b:First>
            <b:Middle>&amp; Ashby, S.</b:Middle>
          </b:Person>
        </b:NameList>
      </b:Author>
    </b:Author>
    <b:Title>Enhancing risk management in projects: Towards a practical framework.</b:Title>
    <b:JournalName>International Journal of Project Management,</b:JournalName>
    <b:Year>2019</b:Year>
    <b:Pages>1015-1027</b:Pages>
    <b:Volume>37</b:Volume>
    <b:Issue>8</b:Issue>
    <b:RefOrder>79</b:RefOrder>
  </b:Source>
  <b:Source>
    <b:Tag>Ofe10</b:Tag>
    <b:SourceType>JournalArticle</b:SourceType>
    <b:Guid>{9397393B-E1D3-47AE-B1E6-CCBA1D07F3AE}</b:Guid>
    <b:Author>
      <b:Author>
        <b:NameList>
          <b:Person>
            <b:Last>Ofer Zwikael</b:Last>
            <b:First>Mark</b:First>
            <b:Middle>Ahn</b:Middle>
          </b:Person>
        </b:NameList>
      </b:Author>
    </b:Author>
    <b:Title>The effectiveness of risk management: An analysis of project risk planning across industries and countries.</b:Title>
    <b:JournalName>Risk Analysis</b:JournalName>
    <b:Year>2010</b:Year>
    <b:Pages>25-37</b:Pages>
    <b:Volume>31</b:Volume>
    <b:Issue>1</b:Issue>
    <b:RefOrder>66</b:RefOrder>
  </b:Source>
  <b:Source>
    <b:Tag>Cha11</b:Tag>
    <b:SourceType>Book</b:SourceType>
    <b:Guid>{5796995C-9C6C-4019-91E2-F85069954408}</b:Guid>
    <b:Title>How to manage project opportunity and risk: Why uncertainty management can be a much better approach than risk management</b:Title>
    <b:Year>2011</b:Year>
    <b:Author>
      <b:Author>
        <b:NameList>
          <b:Person>
            <b:Last>Chapman</b:Last>
            <b:First>C.,</b:First>
            <b:Middle>&amp; Ward, S</b:Middle>
          </b:Person>
        </b:NameList>
      </b:Author>
    </b:Author>
    <b:Publisher>John Wiley &amp; Sons</b:Publisher>
    <b:RefOrder>70</b:RefOrder>
  </b:Source>
  <b:Source>
    <b:Tag>Mar161</b:Tag>
    <b:SourceType>JournalArticle</b:SourceType>
    <b:Guid>{EDC5390D-D5BC-46FD-A8EC-14EEF2FAC5F3}</b:Guid>
    <b:Title>Managing project risks as knowledge management</b:Title>
    <b:Year>2016</b:Year>
    <b:Author>
      <b:Author>
        <b:NameList>
          <b:Person>
            <b:Last>Marle</b:Last>
            <b:First>F.,</b:First>
            <b:Middle>&amp; Vidal, L. A</b:Middle>
          </b:Person>
        </b:NameList>
      </b:Author>
    </b:Author>
    <b:JournalName>International Journal of Project Management,</b:JournalName>
    <b:Pages>366-378</b:Pages>
    <b:Volume>34</b:Volume>
    <b:Issue>3</b:Issue>
    <b:RefOrder>80</b:RefOrder>
  </b:Source>
  <b:Source>
    <b:Tag>Kut10</b:Tag>
    <b:SourceType>JournalArticle</b:SourceType>
    <b:Guid>{30834E33-BEEC-483F-A541-3D2629DBB30D}</b:Guid>
    <b:Author>
      <b:Author>
        <b:NameList>
          <b:Person>
            <b:Last>Kutsch</b:Last>
            <b:First>E.,</b:First>
            <b:Middle>&amp; Hall, M</b:Middle>
          </b:Person>
        </b:NameList>
      </b:Author>
    </b:Author>
    <b:Title>Deliberate ignorance in project risk management. </b:Title>
    <b:JournalName>International Journal of Project Management,</b:JournalName>
    <b:Year>2010</b:Year>
    <b:Pages>245-255</b:Pages>
    <b:Volume>28</b:Volume>
    <b:Issue>3</b:Issue>
    <b:RefOrder>71</b:RefOrder>
  </b:Source>
  <b:Source>
    <b:Tag>Dav23</b:Tag>
    <b:SourceType>Book</b:SourceType>
    <b:Guid>{B8562E83-71CA-4591-A455-954BEB89DE7A}</b:Guid>
    <b:Title>The risk management handbook: A practical guide to managing the multiple dimensions of risk</b:Title>
    <b:Year>2023</b:Year>
    <b:Author>
      <b:Author>
        <b:NameList>
          <b:Person>
            <b:Last>Hilson</b:Last>
            <b:First>David</b:First>
          </b:Person>
        </b:NameList>
      </b:Author>
    </b:Author>
    <b:Publisher>Kogan Page</b:Publisher>
    <b:Edition>2</b:Edition>
    <b:RefOrder>60</b:RefOrder>
  </b:Source>
</b:Sources>
</file>

<file path=customXml/itemProps1.xml><?xml version="1.0" encoding="utf-8"?>
<ds:datastoreItem xmlns:ds="http://schemas.openxmlformats.org/officeDocument/2006/customXml" ds:itemID="{1D9560A8-3CD1-442E-8CA0-1BF3DCDAB668}">
  <ds:schemaRefs>
    <ds:schemaRef ds:uri="http://schemas.microsoft.com/office/2006/metadata/properties"/>
    <ds:schemaRef ds:uri="http://schemas.microsoft.com/office/infopath/2007/PartnerControls"/>
    <ds:schemaRef ds:uri="2795bbee-07b4-4e79-98d8-0419d9871cad"/>
  </ds:schemaRefs>
</ds:datastoreItem>
</file>

<file path=customXml/itemProps2.xml><?xml version="1.0" encoding="utf-8"?>
<ds:datastoreItem xmlns:ds="http://schemas.openxmlformats.org/officeDocument/2006/customXml" ds:itemID="{B4B23CA0-F996-48EF-A8D9-266E02FB12AA}">
  <ds:schemaRefs>
    <ds:schemaRef ds:uri="http://schemas.microsoft.com/sharepoint/v3/contenttype/forms"/>
  </ds:schemaRefs>
</ds:datastoreItem>
</file>

<file path=customXml/itemProps3.xml><?xml version="1.0" encoding="utf-8"?>
<ds:datastoreItem xmlns:ds="http://schemas.openxmlformats.org/officeDocument/2006/customXml" ds:itemID="{D5825560-BE90-4574-B080-2C486D21C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9B9CFB-07A5-4C2C-8745-25F633541B81}">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Privileged" siteId="{44bbd632-fe04-42d7-933e-2649dcd22649}" contentBits="2" removed="0"/>
</clbl:labelList>
</file>

<file path=docProps/app.xml><?xml version="1.0" encoding="utf-8"?>
<Properties xmlns="http://schemas.openxmlformats.org/officeDocument/2006/extended-properties" xmlns:vt="http://schemas.openxmlformats.org/officeDocument/2006/docPropsVTypes">
  <Template>Normal</Template>
  <TotalTime>45</TotalTime>
  <Pages>1</Pages>
  <Words>30543</Words>
  <Characters>174098</Characters>
  <Application>Microsoft Office Word</Application>
  <DocSecurity>0</DocSecurity>
  <Lines>1450</Lines>
  <Paragraphs>408</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204233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dc:creator>
  <cp:keywords/>
  <dc:description/>
  <cp:lastModifiedBy>Mathew Thomas</cp:lastModifiedBy>
  <cp:revision>7</cp:revision>
  <cp:lastPrinted>2024-12-12T20:17:00Z</cp:lastPrinted>
  <dcterms:created xsi:type="dcterms:W3CDTF">2026-01-13T18:06:00Z</dcterms:created>
  <dcterms:modified xsi:type="dcterms:W3CDTF">2026-01-14T10:51:00Z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2023-03-16T12:21:43Z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b98370d2-3070-482d-a4e0-60f4e9140685</vt:lpwstr>
  </property>
  <property fmtid="{D5CDD505-2E9C-101B-9397-08002B2CF9AE}" pid="11" name="MSIP_Label_73aa366c-74b9-492b-a1b9-5472c41e7d31_ContentBits">
    <vt:lpwstr>2</vt:lpwstr>
  </property>
  <property fmtid="{D5CDD505-2E9C-101B-9397-08002B2CF9AE}" pid="12" name="GrammarlyDocumentId">
    <vt:lpwstr>75cfdd6b1d36aa4065b92e57c22c4c07ca24de797c1a51f92b3b92b60974e9b0</vt:lpwstr>
  </property>
  <property fmtid="{D5CDD505-2E9C-101B-9397-08002B2CF9AE}" pid="13" name="ContentTypeId">
    <vt:lpwstr>0x0101006652E948FA37F943B0514D0A14AFC95A</vt:lpwstr>
  </property>
</Properties>
</file>