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3D2FD31E" w:rsidTr="3D2FD31E" w14:paraId="66F00A66">
        <w:trPr>
          <w:trHeight w:val="300"/>
        </w:trPr>
        <w:tc>
          <w:tcPr>
            <w:tcW w:w="4680" w:type="dxa"/>
            <w:tcMar>
              <w:left w:w="105" w:type="dxa"/>
              <w:right w:w="105" w:type="dxa"/>
            </w:tcMar>
            <w:vAlign w:val="top"/>
          </w:tcPr>
          <w:p w:rsidR="3D2FD31E" w:rsidP="3D2FD31E" w:rsidRDefault="3D2FD31E" w14:paraId="735E9D32" w14:textId="34496BB0">
            <w:pPr>
              <w:rPr>
                <w:rFonts w:ascii="Arial" w:hAnsi="Arial" w:eastAsia="Arial" w:cs="Arial"/>
                <w:b w:val="1"/>
                <w:bCs w:val="1"/>
                <w:i w:val="0"/>
                <w:iCs w:val="0"/>
                <w:caps w:val="0"/>
                <w:smallCaps w:val="0"/>
                <w:color w:val="000000" w:themeColor="text1" w:themeTint="FF" w:themeShade="FF"/>
                <w:sz w:val="32"/>
                <w:szCs w:val="32"/>
              </w:rPr>
            </w:pPr>
            <w:r w:rsidRPr="3D2FD31E" w:rsidR="3D2FD31E">
              <w:rPr>
                <w:rFonts w:ascii="Arial" w:hAnsi="Arial" w:eastAsia="Arial" w:cs="Arial"/>
                <w:b w:val="1"/>
                <w:bCs w:val="1"/>
                <w:i w:val="0"/>
                <w:iCs w:val="0"/>
                <w:caps w:val="0"/>
                <w:smallCaps w:val="0"/>
                <w:color w:val="000000" w:themeColor="text1" w:themeTint="FF" w:themeShade="FF"/>
                <w:sz w:val="32"/>
                <w:szCs w:val="32"/>
                <w:lang w:val="en-GB"/>
              </w:rPr>
              <w:t xml:space="preserve">Name </w:t>
            </w:r>
          </w:p>
        </w:tc>
        <w:tc>
          <w:tcPr>
            <w:tcW w:w="4680" w:type="dxa"/>
            <w:tcMar>
              <w:left w:w="105" w:type="dxa"/>
              <w:right w:w="105" w:type="dxa"/>
            </w:tcMar>
            <w:vAlign w:val="top"/>
          </w:tcPr>
          <w:p w:rsidR="3D2FD31E" w:rsidP="3D2FD31E" w:rsidRDefault="3D2FD31E" w14:paraId="30C12BFB" w14:textId="70E80319">
            <w:pPr>
              <w:rPr>
                <w:rFonts w:ascii="Arial" w:hAnsi="Arial" w:eastAsia="Arial" w:cs="Arial"/>
                <w:b w:val="0"/>
                <w:bCs w:val="0"/>
                <w:i w:val="0"/>
                <w:iCs w:val="0"/>
                <w:caps w:val="0"/>
                <w:smallCaps w:val="0"/>
                <w:color w:val="000000" w:themeColor="text1" w:themeTint="FF" w:themeShade="FF"/>
                <w:sz w:val="28"/>
                <w:szCs w:val="28"/>
              </w:rPr>
            </w:pPr>
            <w:r w:rsidRPr="3D2FD31E" w:rsidR="3D2FD31E">
              <w:rPr>
                <w:rFonts w:ascii="Arial" w:hAnsi="Arial" w:eastAsia="Arial" w:cs="Arial"/>
                <w:b w:val="0"/>
                <w:bCs w:val="0"/>
                <w:i w:val="0"/>
                <w:iCs w:val="0"/>
                <w:caps w:val="0"/>
                <w:smallCaps w:val="0"/>
                <w:color w:val="000000" w:themeColor="text1" w:themeTint="FF" w:themeShade="FF"/>
                <w:sz w:val="28"/>
                <w:szCs w:val="28"/>
                <w:lang w:val="en-GB"/>
              </w:rPr>
              <w:t>Sobia saeed</w:t>
            </w:r>
          </w:p>
        </w:tc>
      </w:tr>
      <w:tr w:rsidR="3D2FD31E" w:rsidTr="3D2FD31E" w14:paraId="003D42EB">
        <w:trPr>
          <w:trHeight w:val="300"/>
        </w:trPr>
        <w:tc>
          <w:tcPr>
            <w:tcW w:w="4680" w:type="dxa"/>
            <w:tcMar>
              <w:left w:w="105" w:type="dxa"/>
              <w:right w:w="105" w:type="dxa"/>
            </w:tcMar>
            <w:vAlign w:val="top"/>
          </w:tcPr>
          <w:p w:rsidR="3D2FD31E" w:rsidP="3D2FD31E" w:rsidRDefault="3D2FD31E" w14:paraId="0F615EBC" w14:textId="39D68CE5">
            <w:pPr>
              <w:rPr>
                <w:rFonts w:ascii="Arial" w:hAnsi="Arial" w:eastAsia="Arial" w:cs="Arial"/>
                <w:b w:val="1"/>
                <w:bCs w:val="1"/>
                <w:i w:val="0"/>
                <w:iCs w:val="0"/>
                <w:caps w:val="0"/>
                <w:smallCaps w:val="0"/>
                <w:color w:val="000000" w:themeColor="text1" w:themeTint="FF" w:themeShade="FF"/>
                <w:sz w:val="32"/>
                <w:szCs w:val="32"/>
              </w:rPr>
            </w:pPr>
            <w:r w:rsidRPr="3D2FD31E" w:rsidR="3D2FD31E">
              <w:rPr>
                <w:rFonts w:ascii="Arial" w:hAnsi="Arial" w:eastAsia="Arial" w:cs="Arial"/>
                <w:b w:val="1"/>
                <w:bCs w:val="1"/>
                <w:i w:val="0"/>
                <w:iCs w:val="0"/>
                <w:caps w:val="0"/>
                <w:smallCaps w:val="0"/>
                <w:color w:val="000000" w:themeColor="text1" w:themeTint="FF" w:themeShade="FF"/>
                <w:sz w:val="32"/>
                <w:szCs w:val="32"/>
                <w:lang w:val="en-GB"/>
              </w:rPr>
              <w:t>Student id</w:t>
            </w:r>
          </w:p>
        </w:tc>
        <w:tc>
          <w:tcPr>
            <w:tcW w:w="4680" w:type="dxa"/>
            <w:tcMar>
              <w:left w:w="105" w:type="dxa"/>
              <w:right w:w="105" w:type="dxa"/>
            </w:tcMar>
            <w:vAlign w:val="top"/>
          </w:tcPr>
          <w:p w:rsidR="3D2FD31E" w:rsidP="3D2FD31E" w:rsidRDefault="3D2FD31E" w14:paraId="5350CAA4" w14:textId="0E260A94">
            <w:pPr>
              <w:rPr>
                <w:rFonts w:ascii="Arial" w:hAnsi="Arial" w:eastAsia="Arial" w:cs="Arial"/>
                <w:b w:val="0"/>
                <w:bCs w:val="0"/>
                <w:i w:val="0"/>
                <w:iCs w:val="0"/>
                <w:caps w:val="0"/>
                <w:smallCaps w:val="0"/>
                <w:color w:val="000000" w:themeColor="text1" w:themeTint="FF" w:themeShade="FF"/>
                <w:sz w:val="28"/>
                <w:szCs w:val="28"/>
              </w:rPr>
            </w:pPr>
            <w:r w:rsidRPr="3D2FD31E" w:rsidR="3D2FD31E">
              <w:rPr>
                <w:rFonts w:ascii="Arial" w:hAnsi="Arial" w:eastAsia="Arial" w:cs="Arial"/>
                <w:b w:val="0"/>
                <w:bCs w:val="0"/>
                <w:i w:val="0"/>
                <w:iCs w:val="0"/>
                <w:caps w:val="0"/>
                <w:smallCaps w:val="0"/>
                <w:color w:val="000000" w:themeColor="text1" w:themeTint="FF" w:themeShade="FF"/>
                <w:sz w:val="28"/>
                <w:szCs w:val="28"/>
                <w:lang w:val="en-GB"/>
              </w:rPr>
              <w:t>2408468</w:t>
            </w:r>
          </w:p>
        </w:tc>
      </w:tr>
      <w:tr w:rsidR="3D2FD31E" w:rsidTr="3D2FD31E" w14:paraId="383839BE">
        <w:trPr>
          <w:trHeight w:val="300"/>
        </w:trPr>
        <w:tc>
          <w:tcPr>
            <w:tcW w:w="4680" w:type="dxa"/>
            <w:tcMar>
              <w:left w:w="105" w:type="dxa"/>
              <w:right w:w="105" w:type="dxa"/>
            </w:tcMar>
            <w:vAlign w:val="top"/>
          </w:tcPr>
          <w:p w:rsidR="0C02B8FD" w:rsidP="3D2FD31E" w:rsidRDefault="0C02B8FD" w14:paraId="6A455544" w14:textId="09662458">
            <w:pPr>
              <w:rPr>
                <w:rFonts w:ascii="Arial" w:hAnsi="Arial" w:eastAsia="Arial" w:cs="Arial"/>
                <w:b w:val="1"/>
                <w:bCs w:val="1"/>
                <w:i w:val="0"/>
                <w:iCs w:val="0"/>
                <w:caps w:val="0"/>
                <w:smallCaps w:val="0"/>
                <w:color w:val="000000" w:themeColor="text1" w:themeTint="FF" w:themeShade="FF"/>
                <w:sz w:val="32"/>
                <w:szCs w:val="32"/>
                <w:lang w:val="en-GB"/>
              </w:rPr>
            </w:pPr>
            <w:r w:rsidRPr="3D2FD31E" w:rsidR="0C02B8FD">
              <w:rPr>
                <w:rFonts w:ascii="Arial" w:hAnsi="Arial" w:eastAsia="Arial" w:cs="Arial"/>
                <w:b w:val="1"/>
                <w:bCs w:val="1"/>
                <w:i w:val="0"/>
                <w:iCs w:val="0"/>
                <w:caps w:val="0"/>
                <w:smallCaps w:val="0"/>
                <w:color w:val="000000" w:themeColor="text1" w:themeTint="FF" w:themeShade="FF"/>
                <w:sz w:val="32"/>
                <w:szCs w:val="32"/>
                <w:lang w:val="en-GB"/>
              </w:rPr>
              <w:t>Moodle</w:t>
            </w:r>
          </w:p>
        </w:tc>
        <w:tc>
          <w:tcPr>
            <w:tcW w:w="4680" w:type="dxa"/>
            <w:tcMar>
              <w:left w:w="105" w:type="dxa"/>
              <w:right w:w="105" w:type="dxa"/>
            </w:tcMar>
            <w:vAlign w:val="top"/>
          </w:tcPr>
          <w:p w:rsidR="2E5A02BE" w:rsidP="3D2FD31E" w:rsidRDefault="2E5A02BE" w14:paraId="43C605C8" w14:textId="66A1F2F0">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8"/>
                <w:szCs w:val="28"/>
                <w:lang w:val="en-GB"/>
              </w:rPr>
            </w:pPr>
            <w:r w:rsidRPr="3D2FD31E" w:rsidR="2E5A02BE">
              <w:rPr>
                <w:rFonts w:ascii="Arial" w:hAnsi="Arial" w:eastAsia="Arial" w:cs="Arial"/>
                <w:b w:val="0"/>
                <w:bCs w:val="0"/>
                <w:i w:val="0"/>
                <w:iCs w:val="0"/>
                <w:caps w:val="0"/>
                <w:smallCaps w:val="0"/>
                <w:color w:val="000000" w:themeColor="text1" w:themeTint="FF" w:themeShade="FF"/>
                <w:sz w:val="28"/>
                <w:szCs w:val="28"/>
                <w:lang w:val="en-GB"/>
              </w:rPr>
              <w:t>Academic Skills for the Digital Era</w:t>
            </w:r>
          </w:p>
        </w:tc>
      </w:tr>
      <w:tr w:rsidR="3D2FD31E" w:rsidTr="3D2FD31E" w14:paraId="0DA67B6C">
        <w:trPr>
          <w:trHeight w:val="630"/>
        </w:trPr>
        <w:tc>
          <w:tcPr>
            <w:tcW w:w="4680" w:type="dxa"/>
            <w:tcMar>
              <w:left w:w="105" w:type="dxa"/>
              <w:right w:w="105" w:type="dxa"/>
            </w:tcMar>
            <w:vAlign w:val="top"/>
          </w:tcPr>
          <w:p w:rsidR="2E5A02BE" w:rsidP="3D2FD31E" w:rsidRDefault="2E5A02BE" w14:paraId="769F2D3C" w14:textId="738990D0">
            <w:pPr>
              <w:pStyle w:val="Normal"/>
              <w:suppressLineNumbers w:val="0"/>
              <w:bidi w:val="0"/>
              <w:spacing w:before="0" w:beforeAutospacing="off" w:after="0" w:afterAutospacing="off" w:line="240" w:lineRule="auto"/>
              <w:ind w:left="0" w:right="0"/>
              <w:jc w:val="left"/>
              <w:rPr>
                <w:rFonts w:ascii="Arial" w:hAnsi="Arial" w:eastAsia="Arial" w:cs="Arial"/>
                <w:b w:val="1"/>
                <w:bCs w:val="1"/>
                <w:i w:val="0"/>
                <w:iCs w:val="0"/>
                <w:caps w:val="0"/>
                <w:smallCaps w:val="0"/>
                <w:color w:val="000000" w:themeColor="text1" w:themeTint="FF" w:themeShade="FF"/>
                <w:sz w:val="32"/>
                <w:szCs w:val="32"/>
                <w:lang w:val="en-GB"/>
              </w:rPr>
            </w:pPr>
            <w:r w:rsidRPr="3D2FD31E" w:rsidR="2E5A02BE">
              <w:rPr>
                <w:rFonts w:ascii="Arial" w:hAnsi="Arial" w:eastAsia="Arial" w:cs="Arial"/>
                <w:b w:val="1"/>
                <w:bCs w:val="1"/>
                <w:i w:val="0"/>
                <w:iCs w:val="0"/>
                <w:caps w:val="0"/>
                <w:smallCaps w:val="0"/>
                <w:color w:val="000000" w:themeColor="text1" w:themeTint="FF" w:themeShade="FF"/>
                <w:sz w:val="32"/>
                <w:szCs w:val="32"/>
                <w:lang w:val="en-GB"/>
              </w:rPr>
              <w:t>Moodle Code</w:t>
            </w:r>
          </w:p>
        </w:tc>
        <w:tc>
          <w:tcPr>
            <w:tcW w:w="4680" w:type="dxa"/>
            <w:tcMar>
              <w:left w:w="105" w:type="dxa"/>
              <w:right w:w="105" w:type="dxa"/>
            </w:tcMar>
            <w:vAlign w:val="top"/>
          </w:tcPr>
          <w:p w:rsidR="13560E1A" w:rsidP="3D2FD31E" w:rsidRDefault="13560E1A" w14:paraId="46163CDD" w14:textId="2EBF3C60">
            <w:pPr>
              <w:rPr>
                <w:rFonts w:ascii="Arial" w:hAnsi="Arial" w:eastAsia="Arial" w:cs="Arial"/>
                <w:b w:val="0"/>
                <w:bCs w:val="0"/>
                <w:i w:val="0"/>
                <w:iCs w:val="0"/>
                <w:caps w:val="0"/>
                <w:smallCaps w:val="0"/>
                <w:color w:val="000000" w:themeColor="text1" w:themeTint="FF" w:themeShade="FF"/>
                <w:sz w:val="28"/>
                <w:szCs w:val="28"/>
                <w:lang w:val="en-GB"/>
              </w:rPr>
            </w:pPr>
            <w:r w:rsidRPr="3D2FD31E" w:rsidR="13560E1A">
              <w:rPr>
                <w:rFonts w:ascii="Arial" w:hAnsi="Arial" w:eastAsia="Arial" w:cs="Arial"/>
                <w:b w:val="0"/>
                <w:bCs w:val="0"/>
                <w:i w:val="0"/>
                <w:iCs w:val="0"/>
                <w:caps w:val="0"/>
                <w:smallCaps w:val="0"/>
                <w:color w:val="000000" w:themeColor="text1" w:themeTint="FF" w:themeShade="FF"/>
                <w:sz w:val="28"/>
                <w:szCs w:val="28"/>
                <w:lang w:val="en-GB"/>
              </w:rPr>
              <w:t>BMSW4013</w:t>
            </w:r>
          </w:p>
        </w:tc>
      </w:tr>
    </w:tbl>
    <w:p xmlns:wp14="http://schemas.microsoft.com/office/word/2010/wordml" wp14:paraId="584A9B18" wp14:textId="48715092">
      <w:r>
        <w:br w:type="page"/>
      </w:r>
    </w:p>
    <w:p xmlns:wp14="http://schemas.microsoft.com/office/word/2010/wordml" w:rsidP="3D2FD31E" wp14:paraId="04EEFE67" wp14:textId="12AEDA67">
      <w:pPr>
        <w:spacing w:line="360" w:lineRule="auto"/>
        <w:jc w:val="both"/>
        <w:rPr>
          <w:rFonts w:ascii="Arial" w:hAnsi="Arial" w:eastAsia="Arial" w:cs="Arial"/>
          <w:b w:val="1"/>
          <w:bCs w:val="1"/>
          <w:noProof w:val="0"/>
          <w:sz w:val="24"/>
          <w:szCs w:val="24"/>
          <w:lang w:val="en-US"/>
        </w:rPr>
      </w:pPr>
    </w:p>
    <w:p xmlns:wp14="http://schemas.microsoft.com/office/word/2010/wordml" w:rsidP="3D2FD31E" wp14:paraId="51E9000C" wp14:textId="346D79FE">
      <w:pPr>
        <w:spacing w:line="360" w:lineRule="auto"/>
        <w:jc w:val="both"/>
        <w:rPr>
          <w:rFonts w:ascii="Arial" w:hAnsi="Arial" w:eastAsia="Arial" w:cs="Arial"/>
          <w:b w:val="1"/>
          <w:bCs w:val="1"/>
          <w:noProof w:val="0"/>
          <w:sz w:val="24"/>
          <w:szCs w:val="24"/>
          <w:lang w:val="en-US"/>
        </w:rPr>
      </w:pPr>
      <w:r w:rsidRPr="3D2FD31E" w:rsidR="1E3606D1">
        <w:rPr>
          <w:rFonts w:ascii="Arial" w:hAnsi="Arial" w:eastAsia="Arial" w:cs="Arial"/>
          <w:b w:val="1"/>
          <w:bCs w:val="1"/>
          <w:noProof w:val="0"/>
          <w:sz w:val="24"/>
          <w:szCs w:val="24"/>
          <w:lang w:val="en-US"/>
        </w:rPr>
        <w:t>Effective Study Strategies for Students in the Digital Era</w:t>
      </w:r>
    </w:p>
    <w:p xmlns:wp14="http://schemas.microsoft.com/office/word/2010/wordml" w:rsidP="3D2FD31E" wp14:paraId="6126A299" wp14:textId="2D179E9D">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 xml:space="preserve">I am studying employability skills at university to increase my chances of finding work and learning new skills that will help me. In the digital age, studying well requires not only traditional skills but also using </w:t>
      </w:r>
      <w:r w:rsidRPr="3D2FD31E" w:rsidR="1E3606D1">
        <w:rPr>
          <w:rFonts w:ascii="Arial" w:hAnsi="Arial" w:eastAsia="Arial" w:cs="Arial"/>
          <w:b w:val="0"/>
          <w:bCs w:val="0"/>
          <w:noProof w:val="0"/>
          <w:sz w:val="24"/>
          <w:szCs w:val="24"/>
          <w:lang w:val="en-US"/>
        </w:rPr>
        <w:t>new technology</w:t>
      </w:r>
      <w:r w:rsidRPr="3D2FD31E" w:rsidR="1E3606D1">
        <w:rPr>
          <w:rFonts w:ascii="Arial" w:hAnsi="Arial" w:eastAsia="Arial" w:cs="Arial"/>
          <w:b w:val="0"/>
          <w:bCs w:val="0"/>
          <w:noProof w:val="0"/>
          <w:sz w:val="24"/>
          <w:szCs w:val="24"/>
          <w:lang w:val="en-US"/>
        </w:rPr>
        <w:t>. This essay will discuss strategies like setting goals, being aware of my strengths and weaknesses, managing time, staying resilient, and using digital tools. It will also look at methods like the Pomodoro Technique and reflective writing. These strategies can help me learn better and prepare for future jobs.</w:t>
      </w:r>
    </w:p>
    <w:p xmlns:wp14="http://schemas.microsoft.com/office/word/2010/wordml" w:rsidP="3D2FD31E" wp14:paraId="4C5C5B83" wp14:textId="75D5236C">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Commitment, or sticking to a goal, is essential in studying because it keeps me motivated even when things get hard (Cottrell, 2019). Self-awareness, or understanding my own learning style, strengths, and weaknesses, helps me choose study methods that work best for me (Burns, 2020). For example, if I know I get distracted easily, I can find ways to avoid interruptions, like studying in a quiet place or turning off notifications on my phone.</w:t>
      </w:r>
    </w:p>
    <w:p xmlns:wp14="http://schemas.microsoft.com/office/word/2010/wordml" w:rsidP="3D2FD31E" wp14:paraId="0D31890E" wp14:textId="6E03C0D7">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Good planning and time management help me stay on top of my work. Tools like the Eisenhower Matrix allow me to decide which tasks are urgent and which are less important (MindTools, 2022). One helpful method is the Pomodoro Technique, where I study for 25 minutes, then take a short break. This keeps my mind fresh and helps me avoid burnout (Cottrell, 2019).</w:t>
      </w:r>
    </w:p>
    <w:p xmlns:wp14="http://schemas.microsoft.com/office/word/2010/wordml" w:rsidP="3D2FD31E" wp14:paraId="62404787" wp14:textId="0BC14B2F">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Grit means keeping up with my studies even when things are difficult, while resilience is about bouncing back from setbacks (Duckworth, 2016). For example, if I have a technical issue during an online class, I need to stay calm and find a solution instead of getting discouraged. Building resilience is especially useful in online learning, where I need to handle challenges on my own.</w:t>
      </w:r>
    </w:p>
    <w:p xmlns:wp14="http://schemas.microsoft.com/office/word/2010/wordml" w:rsidP="3D2FD31E" wp14:paraId="659C67AC" wp14:textId="41CEF421">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 xml:space="preserve">Virtual learning has become common, especially after the COVID-19 pandemic. Online platforms like Moodle and Zoom make it easier to access resources and join discussions with classmates (Kolb, 1984). However, learning online also requires good digital skills, like knowing how to use these tools and </w:t>
      </w:r>
      <w:r w:rsidRPr="3D2FD31E" w:rsidR="1E3606D1">
        <w:rPr>
          <w:rFonts w:ascii="Arial" w:hAnsi="Arial" w:eastAsia="Arial" w:cs="Arial"/>
          <w:b w:val="0"/>
          <w:bCs w:val="0"/>
          <w:noProof w:val="0"/>
          <w:sz w:val="24"/>
          <w:szCs w:val="24"/>
          <w:lang w:val="en-US"/>
        </w:rPr>
        <w:t>keep</w:t>
      </w:r>
      <w:r w:rsidRPr="3D2FD31E" w:rsidR="1E3606D1">
        <w:rPr>
          <w:rFonts w:ascii="Arial" w:hAnsi="Arial" w:eastAsia="Arial" w:cs="Arial"/>
          <w:b w:val="0"/>
          <w:bCs w:val="0"/>
          <w:noProof w:val="0"/>
          <w:sz w:val="24"/>
          <w:szCs w:val="24"/>
          <w:lang w:val="en-US"/>
        </w:rPr>
        <w:t xml:space="preserve"> organized. Being comfortable with virtual learning tools is a valuable skill for my studies and future career (Burns, 2020).</w:t>
      </w:r>
    </w:p>
    <w:p xmlns:wp14="http://schemas.microsoft.com/office/word/2010/wordml" w:rsidP="3D2FD31E" wp14:paraId="5C68E94D" wp14:textId="5C7B012E">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Kolb’s Learning Cycle includes four steps: having an experience, reflecting on it, learning from it, and applying it in the future (Kolb, 1984). Refle</w:t>
      </w:r>
      <w:r w:rsidRPr="3D2FD31E" w:rsidR="1E3606D1">
        <w:rPr>
          <w:rFonts w:ascii="Arial" w:hAnsi="Arial" w:eastAsia="Arial" w:cs="Arial"/>
          <w:b w:val="0"/>
          <w:bCs w:val="0"/>
          <w:noProof w:val="0"/>
          <w:sz w:val="24"/>
          <w:szCs w:val="24"/>
          <w:lang w:val="en-US"/>
        </w:rPr>
        <w:t>ctive writing, a part of this cycle, allows me to think about what I did well and what I can improve. For example, writing about my experience with a challenging assignment helps me understand how to handle similar tasks better in the future (Cottrell, 2019).</w:t>
      </w:r>
    </w:p>
    <w:p xmlns:wp14="http://schemas.microsoft.com/office/word/2010/wordml" w:rsidP="3D2FD31E" wp14:paraId="4B41E844" wp14:textId="5FB0BA46">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Problem-solving and critical thinking help me tackle difficult tasks and analyze information carefully. For example, if I am faced with a difficult topic, I can break it down into smaller parts to understand it better (Duckworth, 2016). These skills are essential in both studying and working, helping me make well-thought-out decisions.</w:t>
      </w:r>
    </w:p>
    <w:p xmlns:wp14="http://schemas.microsoft.com/office/word/2010/wordml" w:rsidP="3D2FD31E" wp14:paraId="6EE3FB26" wp14:textId="23A3DEBE">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In summary, study strategies in the digital age involve a mix of planning, resilience, self-awareness, and effective use of technology. Techniques like the Pomodoro Method, Kolb’s Learning Cycle, and reflective writing help me study more effectively and improve my skills. By developing these habits, I am better prepared for both my academic and future career goals, learning to adapt and keep improving.</w:t>
      </w:r>
    </w:p>
    <w:p xmlns:wp14="http://schemas.microsoft.com/office/word/2010/wordml" w:rsidP="3D2FD31E" wp14:paraId="59B556BF" wp14:textId="56F63E71">
      <w:pPr>
        <w:pStyle w:val="Normal"/>
        <w:spacing w:line="360" w:lineRule="auto"/>
        <w:jc w:val="both"/>
        <w:rPr>
          <w:rFonts w:ascii="Arial" w:hAnsi="Arial" w:eastAsia="Arial" w:cs="Arial"/>
          <w:b w:val="0"/>
          <w:bCs w:val="0"/>
          <w:noProof w:val="0"/>
          <w:sz w:val="24"/>
          <w:szCs w:val="24"/>
          <w:lang w:val="en-US"/>
        </w:rPr>
      </w:pPr>
    </w:p>
    <w:p xmlns:wp14="http://schemas.microsoft.com/office/word/2010/wordml" w:rsidP="3D2FD31E" wp14:paraId="7EEC118B" wp14:textId="2C971BAD">
      <w:pPr>
        <w:pStyle w:val="Normal"/>
        <w:spacing w:line="360" w:lineRule="auto"/>
        <w:jc w:val="both"/>
        <w:rPr>
          <w:rFonts w:ascii="Arial" w:hAnsi="Arial" w:eastAsia="Arial" w:cs="Arial"/>
          <w:b w:val="0"/>
          <w:bCs w:val="0"/>
          <w:noProof w:val="0"/>
          <w:sz w:val="24"/>
          <w:szCs w:val="24"/>
          <w:lang w:val="en-US"/>
        </w:rPr>
      </w:pPr>
    </w:p>
    <w:p xmlns:wp14="http://schemas.microsoft.com/office/word/2010/wordml" w:rsidP="3D2FD31E" wp14:paraId="0A90BDF1" wp14:textId="659645DD">
      <w:pPr>
        <w:pStyle w:val="Normal"/>
        <w:spacing w:line="360" w:lineRule="auto"/>
        <w:jc w:val="both"/>
        <w:rPr>
          <w:rFonts w:ascii="Arial" w:hAnsi="Arial" w:eastAsia="Arial" w:cs="Arial"/>
          <w:b w:val="0"/>
          <w:bCs w:val="0"/>
          <w:noProof w:val="0"/>
          <w:sz w:val="24"/>
          <w:szCs w:val="24"/>
          <w:lang w:val="en-US"/>
        </w:rPr>
      </w:pPr>
    </w:p>
    <w:p xmlns:wp14="http://schemas.microsoft.com/office/word/2010/wordml" w:rsidP="3D2FD31E" wp14:paraId="45003F27" wp14:textId="2864C639">
      <w:pPr>
        <w:pStyle w:val="Normal"/>
        <w:spacing w:line="360" w:lineRule="auto"/>
        <w:jc w:val="both"/>
        <w:rPr>
          <w:rFonts w:ascii="Arial" w:hAnsi="Arial" w:eastAsia="Arial" w:cs="Arial"/>
          <w:b w:val="0"/>
          <w:bCs w:val="0"/>
          <w:noProof w:val="0"/>
          <w:sz w:val="24"/>
          <w:szCs w:val="24"/>
          <w:lang w:val="en-US"/>
        </w:rPr>
      </w:pPr>
    </w:p>
    <w:p xmlns:wp14="http://schemas.microsoft.com/office/word/2010/wordml" w:rsidP="3D2FD31E" wp14:paraId="2299B863" wp14:textId="3DECB948">
      <w:pPr>
        <w:pStyle w:val="Normal"/>
        <w:spacing w:line="360" w:lineRule="auto"/>
        <w:jc w:val="both"/>
        <w:rPr>
          <w:rFonts w:ascii="Arial" w:hAnsi="Arial" w:eastAsia="Arial" w:cs="Arial"/>
          <w:b w:val="0"/>
          <w:bCs w:val="0"/>
          <w:noProof w:val="0"/>
          <w:sz w:val="24"/>
          <w:szCs w:val="24"/>
          <w:lang w:val="en-US"/>
        </w:rPr>
      </w:pPr>
    </w:p>
    <w:p xmlns:wp14="http://schemas.microsoft.com/office/word/2010/wordml" w:rsidP="3D2FD31E" wp14:paraId="654909D6" wp14:textId="2587C904">
      <w:pPr>
        <w:pStyle w:val="Normal"/>
        <w:spacing w:line="360" w:lineRule="auto"/>
        <w:jc w:val="both"/>
        <w:rPr>
          <w:rFonts w:ascii="Arial" w:hAnsi="Arial" w:eastAsia="Arial" w:cs="Arial"/>
          <w:b w:val="0"/>
          <w:bCs w:val="0"/>
          <w:noProof w:val="0"/>
          <w:sz w:val="24"/>
          <w:szCs w:val="24"/>
          <w:lang w:val="en-US"/>
        </w:rPr>
      </w:pPr>
    </w:p>
    <w:p xmlns:wp14="http://schemas.microsoft.com/office/word/2010/wordml" w:rsidP="3D2FD31E" wp14:paraId="0DDC656A" wp14:textId="2806D231">
      <w:pPr>
        <w:pStyle w:val="Normal"/>
        <w:spacing w:line="360" w:lineRule="auto"/>
        <w:jc w:val="both"/>
        <w:rPr>
          <w:rFonts w:ascii="Arial" w:hAnsi="Arial" w:eastAsia="Arial" w:cs="Arial"/>
          <w:b w:val="0"/>
          <w:bCs w:val="0"/>
          <w:noProof w:val="0"/>
          <w:sz w:val="24"/>
          <w:szCs w:val="24"/>
          <w:lang w:val="en-US"/>
        </w:rPr>
      </w:pPr>
    </w:p>
    <w:p xmlns:wp14="http://schemas.microsoft.com/office/word/2010/wordml" w:rsidP="3D2FD31E" wp14:paraId="44223AC1" wp14:textId="7081ABE6">
      <w:pPr>
        <w:pStyle w:val="Normal"/>
        <w:spacing w:line="360" w:lineRule="auto"/>
        <w:jc w:val="both"/>
        <w:rPr>
          <w:rFonts w:ascii="Arial" w:hAnsi="Arial" w:eastAsia="Arial" w:cs="Arial"/>
          <w:b w:val="0"/>
          <w:bCs w:val="0"/>
          <w:noProof w:val="0"/>
          <w:sz w:val="24"/>
          <w:szCs w:val="24"/>
          <w:lang w:val="en-US"/>
        </w:rPr>
      </w:pPr>
    </w:p>
    <w:p xmlns:wp14="http://schemas.microsoft.com/office/word/2010/wordml" w:rsidP="3D2FD31E" wp14:paraId="4F025DAF" wp14:textId="427A4A9E">
      <w:pPr>
        <w:pStyle w:val="Normal"/>
        <w:spacing w:line="360" w:lineRule="auto"/>
        <w:jc w:val="both"/>
        <w:rPr>
          <w:rFonts w:ascii="Arial" w:hAnsi="Arial" w:eastAsia="Arial" w:cs="Arial"/>
          <w:b w:val="0"/>
          <w:bCs w:val="0"/>
          <w:noProof w:val="0"/>
          <w:sz w:val="24"/>
          <w:szCs w:val="24"/>
          <w:lang w:val="en-US"/>
        </w:rPr>
      </w:pPr>
    </w:p>
    <w:p xmlns:wp14="http://schemas.microsoft.com/office/word/2010/wordml" w:rsidP="3D2FD31E" wp14:paraId="45FF97B3" wp14:textId="2B4A94C0">
      <w:pPr>
        <w:pStyle w:val="Normal"/>
        <w:spacing w:line="360" w:lineRule="auto"/>
        <w:jc w:val="both"/>
        <w:rPr>
          <w:rFonts w:ascii="Arial" w:hAnsi="Arial" w:eastAsia="Arial" w:cs="Arial"/>
          <w:b w:val="0"/>
          <w:bCs w:val="0"/>
          <w:noProof w:val="0"/>
          <w:sz w:val="24"/>
          <w:szCs w:val="24"/>
          <w:lang w:val="en-US"/>
        </w:rPr>
      </w:pPr>
    </w:p>
    <w:p xmlns:wp14="http://schemas.microsoft.com/office/word/2010/wordml" w:rsidP="3D2FD31E" wp14:paraId="6510D014" wp14:textId="3B3C5E7C">
      <w:pPr>
        <w:pStyle w:val="Normal"/>
        <w:spacing w:line="360" w:lineRule="auto"/>
        <w:jc w:val="both"/>
      </w:pPr>
      <w:r w:rsidRPr="3D2FD31E" w:rsidR="1E3606D1">
        <w:rPr>
          <w:rFonts w:ascii="Arial" w:hAnsi="Arial" w:eastAsia="Arial" w:cs="Arial"/>
          <w:b w:val="1"/>
          <w:bCs w:val="1"/>
          <w:noProof w:val="0"/>
          <w:sz w:val="24"/>
          <w:szCs w:val="24"/>
          <w:lang w:val="en-US"/>
        </w:rPr>
        <w:t>References</w:t>
      </w:r>
    </w:p>
    <w:p xmlns:wp14="http://schemas.microsoft.com/office/word/2010/wordml" w:rsidP="3D2FD31E" wp14:paraId="1D4F5D2B" wp14:textId="7F34FEA3">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Burns, T. (2020) Essential Study Skills: The Complete Guide to Success at University. Sage Publications.</w:t>
      </w:r>
    </w:p>
    <w:p xmlns:wp14="http://schemas.microsoft.com/office/word/2010/wordml" w:rsidP="3D2FD31E" wp14:paraId="54489691" wp14:textId="5D8A6FF4">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Cottrell, S. (2019) The Study Skills Handbook. Macmillan International Higher Education.</w:t>
      </w:r>
    </w:p>
    <w:p xmlns:wp14="http://schemas.microsoft.com/office/word/2010/wordml" w:rsidP="3D2FD31E" wp14:paraId="3D20F9DF" wp14:textId="773365B3">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Duckworth, A. (2016) Grit: The Power of Passion and Perseverance. Scribner.</w:t>
      </w:r>
    </w:p>
    <w:p xmlns:wp14="http://schemas.microsoft.com/office/word/2010/wordml" w:rsidP="3D2FD31E" wp14:paraId="6A30DFCC" wp14:textId="3554927D">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Kolb, D. A. (1984) Experiential Learning: Experience as the Source of Learning and Development. Prentice Hall.</w:t>
      </w:r>
    </w:p>
    <w:p xmlns:wp14="http://schemas.microsoft.com/office/word/2010/wordml" w:rsidP="3D2FD31E" wp14:paraId="172438C3" wp14:textId="14518F3A">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 xml:space="preserve">MindTools. (2022) Eisenhower Matrix: Make Urgent vs Important Decisions. Available at: </w:t>
      </w:r>
      <w:r w:rsidRPr="3D2FD31E" w:rsidR="1E3606D1">
        <w:rPr>
          <w:rFonts w:ascii="Arial" w:hAnsi="Arial" w:eastAsia="Arial" w:cs="Arial"/>
          <w:b w:val="0"/>
          <w:bCs w:val="0"/>
          <w:noProof w:val="0"/>
          <w:sz w:val="24"/>
          <w:szCs w:val="24"/>
          <w:lang w:val="en-US"/>
        </w:rPr>
        <w:t>https://www.mindtools.com</w:t>
      </w:r>
      <w:r w:rsidRPr="3D2FD31E" w:rsidR="1E3606D1">
        <w:rPr>
          <w:rFonts w:ascii="Arial" w:hAnsi="Arial" w:eastAsia="Arial" w:cs="Arial"/>
          <w:b w:val="0"/>
          <w:bCs w:val="0"/>
          <w:noProof w:val="0"/>
          <w:sz w:val="24"/>
          <w:szCs w:val="24"/>
          <w:lang w:val="en-US"/>
        </w:rPr>
        <w:t>.</w:t>
      </w:r>
    </w:p>
    <w:p xmlns:wp14="http://schemas.microsoft.com/office/word/2010/wordml" w:rsidP="3D2FD31E" wp14:paraId="2AC4A173" wp14:textId="18CCF6C3">
      <w:pPr>
        <w:pStyle w:val="Normal"/>
        <w:spacing w:line="360" w:lineRule="auto"/>
        <w:jc w:val="both"/>
        <w:rPr>
          <w:rFonts w:ascii="Arial" w:hAnsi="Arial" w:eastAsia="Arial" w:cs="Arial"/>
          <w:b w:val="0"/>
          <w:bCs w:val="0"/>
          <w:noProof w:val="0"/>
          <w:sz w:val="24"/>
          <w:szCs w:val="24"/>
          <w:lang w:val="en-US"/>
        </w:rPr>
      </w:pPr>
      <w:r w:rsidRPr="3D2FD31E" w:rsidR="1E3606D1">
        <w:rPr>
          <w:rFonts w:ascii="Arial" w:hAnsi="Arial" w:eastAsia="Arial" w:cs="Arial"/>
          <w:b w:val="0"/>
          <w:bCs w:val="0"/>
          <w:noProof w:val="0"/>
          <w:sz w:val="24"/>
          <w:szCs w:val="24"/>
          <w:lang w:val="en-US"/>
        </w:rPr>
        <w:t>Smith, M. K. (2013) Virtual Learning Environments and Digital Literacy. Taylor &amp; Francis.</w:t>
      </w:r>
    </w:p>
    <w:p xmlns:wp14="http://schemas.microsoft.com/office/word/2010/wordml" w:rsidP="3D2FD31E" wp14:paraId="02A52FF7" wp14:textId="37C98497">
      <w:pPr>
        <w:spacing w:line="360" w:lineRule="auto"/>
        <w:jc w:val="both"/>
        <w:rPr>
          <w:rFonts w:ascii="Arial" w:hAnsi="Arial" w:eastAsia="Arial" w:cs="Arial"/>
          <w:b w:val="1"/>
          <w:bCs w:val="1"/>
          <w:noProof w:val="0"/>
          <w:sz w:val="24"/>
          <w:szCs w:val="24"/>
          <w:lang w:val="en-US"/>
        </w:rPr>
      </w:pPr>
    </w:p>
    <w:p xmlns:wp14="http://schemas.microsoft.com/office/word/2010/wordml" wp14:paraId="390893C6" wp14:textId="459BF1F8">
      <w:r>
        <w:br w:type="page"/>
      </w:r>
    </w:p>
    <w:p xmlns:wp14="http://schemas.microsoft.com/office/word/2010/wordml" w:rsidP="3D2FD31E" wp14:paraId="778C8105" wp14:textId="2C3BE664">
      <w:pPr>
        <w:pStyle w:val="Normal"/>
        <w:spacing w:line="360" w:lineRule="auto"/>
        <w:jc w:val="both"/>
        <w:rPr>
          <w:rFonts w:ascii="Arial" w:hAnsi="Arial" w:eastAsia="Arial" w:cs="Arial"/>
          <w:b w:val="1"/>
          <w:bCs w:val="1"/>
          <w:noProof w:val="0"/>
          <w:sz w:val="24"/>
          <w:szCs w:val="24"/>
          <w:lang w:val="en-US"/>
        </w:rPr>
      </w:pPr>
    </w:p>
    <w:p xmlns:wp14="http://schemas.microsoft.com/office/word/2010/wordml" w:rsidP="3D2FD31E" wp14:paraId="31F65C85" wp14:textId="3074EBF1">
      <w:pPr>
        <w:spacing w:line="360" w:lineRule="auto"/>
        <w:jc w:val="both"/>
        <w:rPr>
          <w:rFonts w:ascii="Arial" w:hAnsi="Arial" w:eastAsia="Arial" w:cs="Arial"/>
          <w:b w:val="1"/>
          <w:bCs w:val="1"/>
          <w:noProof w:val="0"/>
          <w:sz w:val="24"/>
          <w:szCs w:val="24"/>
          <w:lang w:val="en-US"/>
        </w:rPr>
      </w:pPr>
      <w:r w:rsidRPr="3D2FD31E" w:rsidR="66B216C7">
        <w:rPr>
          <w:rFonts w:ascii="Arial" w:hAnsi="Arial" w:eastAsia="Arial" w:cs="Arial"/>
          <w:b w:val="1"/>
          <w:bCs w:val="1"/>
          <w:noProof w:val="0"/>
          <w:sz w:val="24"/>
          <w:szCs w:val="24"/>
          <w:lang w:val="en-US"/>
        </w:rPr>
        <w:t>Report:</w:t>
      </w:r>
    </w:p>
    <w:p xmlns:wp14="http://schemas.microsoft.com/office/word/2010/wordml" w:rsidP="3D2FD31E" wp14:paraId="2C078E63" wp14:textId="46CC45A6">
      <w:pPr>
        <w:spacing w:line="360" w:lineRule="auto"/>
        <w:jc w:val="both"/>
        <w:rPr>
          <w:rFonts w:ascii="Arial" w:hAnsi="Arial" w:eastAsia="Arial" w:cs="Arial"/>
          <w:noProof w:val="0"/>
          <w:sz w:val="24"/>
          <w:szCs w:val="24"/>
          <w:lang w:val="en-US"/>
        </w:rPr>
      </w:pPr>
      <w:r w:rsidRPr="3D2FD31E" w:rsidR="3570FDF4">
        <w:rPr>
          <w:rFonts w:ascii="Arial" w:hAnsi="Arial" w:eastAsia="Arial" w:cs="Arial"/>
          <w:noProof w:val="0"/>
          <w:sz w:val="24"/>
          <w:szCs w:val="24"/>
          <w:lang w:val="en-US"/>
        </w:rPr>
        <w:t xml:space="preserve">Microsoft Teams is part of the Microsoft 365 suite, providing a comprehensive platform for students and teachers by integrating chat, video conferencing, file sharing, and project management features. This study explores the importance of Microsoft Teams in higher education, focusing on its practical applications, challenges, and effectiveness. Designed for collaboration, Microsoft Teams enables administrators, teachers, and students to communicate and work together effectively. It supports both synchronous and asynchronous collaboration by offering file storage, shared workspaces, video conferences, and chat functionalities (Microsoft, 2023). Learning Teams can enhance student engagement, improve communication with educators and peers, and aid in time management. The significance of Microsoft Teams in fostering student success is rooted in several educational theories. A key framework is Constructivist Learning Theory, particularly Vygotsky's (1978) emphasis on social learning. Vygotsky posits that knowledge is co-constructed through social interaction. Teams foster a community of learners by enabling collaboration on group projects, resource sharing, and real-time discussions, thus enhancing social learning. Furthermore, Collaborative Learning Theory (Johnson et al., 2014) supports the idea that group work enhances learning outcomes. Microsoft Teams provides an online environment where students can collaborate on assignments, discuss course content, and critique each other's work. This collaborative problem-solving approach promotes deeper engagement with the material and develops critical thinking skills. The various advantages offered by Microsoft Teams significantly </w:t>
      </w:r>
      <w:r w:rsidRPr="3D2FD31E" w:rsidR="3570FDF4">
        <w:rPr>
          <w:rFonts w:ascii="Arial" w:hAnsi="Arial" w:eastAsia="Arial" w:cs="Arial"/>
          <w:noProof w:val="0"/>
          <w:sz w:val="24"/>
          <w:szCs w:val="24"/>
          <w:lang w:val="en-US"/>
        </w:rPr>
        <w:t>impact</w:t>
      </w:r>
      <w:r w:rsidRPr="3D2FD31E" w:rsidR="3570FDF4">
        <w:rPr>
          <w:rFonts w:ascii="Arial" w:hAnsi="Arial" w:eastAsia="Arial" w:cs="Arial"/>
          <w:noProof w:val="0"/>
          <w:sz w:val="24"/>
          <w:szCs w:val="24"/>
          <w:lang w:val="en-US"/>
        </w:rPr>
        <w:t xml:space="preserve"> college students' success. </w:t>
      </w:r>
      <w:r w:rsidRPr="3D2FD31E" w:rsidR="3570FDF4">
        <w:rPr>
          <w:rFonts w:ascii="Arial" w:hAnsi="Arial" w:eastAsia="Arial" w:cs="Arial"/>
          <w:noProof w:val="0"/>
          <w:sz w:val="24"/>
          <w:szCs w:val="24"/>
          <w:lang w:val="en-US"/>
        </w:rPr>
        <w:t xml:space="preserve">One of its primary benefits is </w:t>
      </w:r>
      <w:r w:rsidRPr="3D2FD31E" w:rsidR="3570FDF4">
        <w:rPr>
          <w:rFonts w:ascii="Arial" w:hAnsi="Arial" w:eastAsia="Arial" w:cs="Arial"/>
          <w:noProof w:val="0"/>
          <w:sz w:val="24"/>
          <w:szCs w:val="24"/>
          <w:lang w:val="en-US"/>
        </w:rPr>
        <w:t>facilitating</w:t>
      </w:r>
      <w:r w:rsidRPr="3D2FD31E" w:rsidR="3570FDF4">
        <w:rPr>
          <w:rFonts w:ascii="Arial" w:hAnsi="Arial" w:eastAsia="Arial" w:cs="Arial"/>
          <w:noProof w:val="0"/>
          <w:sz w:val="24"/>
          <w:szCs w:val="24"/>
          <w:lang w:val="en-US"/>
        </w:rPr>
        <w:t xml:space="preserve"> asynchronous learning.</w:t>
      </w:r>
      <w:r w:rsidRPr="3D2FD31E" w:rsidR="3570FDF4">
        <w:rPr>
          <w:rFonts w:ascii="Arial" w:hAnsi="Arial" w:eastAsia="Arial" w:cs="Arial"/>
          <w:noProof w:val="0"/>
          <w:sz w:val="24"/>
          <w:szCs w:val="24"/>
          <w:lang w:val="en-US"/>
        </w:rPr>
        <w:t xml:space="preserve"> Students can access course materials, </w:t>
      </w:r>
      <w:r w:rsidRPr="3D2FD31E" w:rsidR="3570FDF4">
        <w:rPr>
          <w:rFonts w:ascii="Arial" w:hAnsi="Arial" w:eastAsia="Arial" w:cs="Arial"/>
          <w:noProof w:val="0"/>
          <w:sz w:val="24"/>
          <w:szCs w:val="24"/>
          <w:lang w:val="en-US"/>
        </w:rPr>
        <w:t>participate</w:t>
      </w:r>
      <w:r w:rsidRPr="3D2FD31E" w:rsidR="3570FDF4">
        <w:rPr>
          <w:rFonts w:ascii="Arial" w:hAnsi="Arial" w:eastAsia="Arial" w:cs="Arial"/>
          <w:noProof w:val="0"/>
          <w:sz w:val="24"/>
          <w:szCs w:val="24"/>
          <w:lang w:val="en-US"/>
        </w:rPr>
        <w:t xml:space="preserve"> in discussions, and collaborate on group assignments at their convenience, regardless of time zones or scheduling conflicts. This flexibility is crucial for accommodating diverse student needs, particularly in fully online or hybrid courses (</w:t>
      </w:r>
      <w:r w:rsidRPr="3D2FD31E" w:rsidR="3570FDF4">
        <w:rPr>
          <w:rFonts w:ascii="Arial" w:hAnsi="Arial" w:eastAsia="Arial" w:cs="Arial"/>
          <w:noProof w:val="0"/>
          <w:sz w:val="24"/>
          <w:szCs w:val="24"/>
          <w:lang w:val="en-US"/>
        </w:rPr>
        <w:t>Sibona</w:t>
      </w:r>
      <w:r w:rsidRPr="3D2FD31E" w:rsidR="3570FDF4">
        <w:rPr>
          <w:rFonts w:ascii="Arial" w:hAnsi="Arial" w:eastAsia="Arial" w:cs="Arial"/>
          <w:noProof w:val="0"/>
          <w:sz w:val="24"/>
          <w:szCs w:val="24"/>
          <w:lang w:val="en-US"/>
        </w:rPr>
        <w:t xml:space="preserve"> et al., 2021). Additionally, Teams effectively </w:t>
      </w:r>
      <w:r w:rsidRPr="3D2FD31E" w:rsidR="3570FDF4">
        <w:rPr>
          <w:rFonts w:ascii="Arial" w:hAnsi="Arial" w:eastAsia="Arial" w:cs="Arial"/>
          <w:noProof w:val="0"/>
          <w:sz w:val="24"/>
          <w:szCs w:val="24"/>
          <w:lang w:val="en-US"/>
        </w:rPr>
        <w:t>manages</w:t>
      </w:r>
      <w:r w:rsidRPr="3D2FD31E" w:rsidR="3570FDF4">
        <w:rPr>
          <w:rFonts w:ascii="Arial" w:hAnsi="Arial" w:eastAsia="Arial" w:cs="Arial"/>
          <w:noProof w:val="0"/>
          <w:sz w:val="24"/>
          <w:szCs w:val="24"/>
          <w:lang w:val="en-US"/>
        </w:rPr>
        <w:t xml:space="preserve"> academic tasks by integrating Microsoft Office tools, allowing students to work on documents, spreadsheets, and presentations collaboratively in real time. This integration streamlines workflows, making it easier for students to stay organized and productive. The platform also supports various communication styles, catering to different preferences and learning needs, which can lead to improved academic performance. Despite its benefits, there are challenges associated with using Microsoft Teams. Technical issues, such as connectivity problems and software glitches, can hinder the learning experience. Moreover, some students may struggle with the transition to a digital learning environment, particularly those who are less tech-savvy. To address these challenges, institutions should provide comprehensive training and support to ensure that all students can effectively </w:t>
      </w:r>
      <w:r w:rsidRPr="3D2FD31E" w:rsidR="3570FDF4">
        <w:rPr>
          <w:rFonts w:ascii="Arial" w:hAnsi="Arial" w:eastAsia="Arial" w:cs="Arial"/>
          <w:noProof w:val="0"/>
          <w:sz w:val="24"/>
          <w:szCs w:val="24"/>
          <w:lang w:val="en-US"/>
        </w:rPr>
        <w:t>utilise</w:t>
      </w:r>
      <w:r w:rsidRPr="3D2FD31E" w:rsidR="3570FDF4">
        <w:rPr>
          <w:rFonts w:ascii="Arial" w:hAnsi="Arial" w:eastAsia="Arial" w:cs="Arial"/>
          <w:noProof w:val="0"/>
          <w:sz w:val="24"/>
          <w:szCs w:val="24"/>
          <w:lang w:val="en-US"/>
        </w:rPr>
        <w:t xml:space="preserve"> the platform. In conclusion, Microsoft Teams is an essential tool for college students, enhancing collaboration, communication, and academic success. By fostering a community of learners and supporting various learning styles, Teams aligns with key educational theories that promote effective learning. While there are challenges to overcome, the advantages of using Microsoft Teams in higher education far outweigh the drawbacks, making it a valuable competency for today's students. courses. </w:t>
      </w:r>
    </w:p>
    <w:p w:rsidR="3D2FD31E" w:rsidRDefault="3D2FD31E" w14:paraId="2C54D292" w14:textId="3F2286EF">
      <w:r>
        <w:br w:type="page"/>
      </w:r>
    </w:p>
    <w:p w:rsidR="19DC386C" w:rsidP="3D2FD31E" w:rsidRDefault="19DC386C" w14:paraId="7B77A5F0" w14:textId="0D39819E">
      <w:pPr>
        <w:rPr>
          <w:rFonts w:ascii="Arial" w:hAnsi="Arial" w:eastAsia="Arial" w:cs="Arial"/>
          <w:b w:val="1"/>
          <w:bCs w:val="1"/>
          <w:noProof w:val="0"/>
          <w:sz w:val="24"/>
          <w:szCs w:val="24"/>
          <w:lang w:val="en-US"/>
        </w:rPr>
      </w:pPr>
      <w:r w:rsidRPr="3D2FD31E" w:rsidR="19DC386C">
        <w:rPr>
          <w:rFonts w:ascii="Arial" w:hAnsi="Arial" w:eastAsia="Arial" w:cs="Arial"/>
          <w:b w:val="1"/>
          <w:bCs w:val="1"/>
          <w:noProof w:val="0"/>
          <w:sz w:val="24"/>
          <w:szCs w:val="24"/>
          <w:lang w:val="en-US"/>
        </w:rPr>
        <w:t xml:space="preserve">References </w:t>
      </w:r>
    </w:p>
    <w:p w:rsidR="19DC386C" w:rsidP="3D2FD31E" w:rsidRDefault="19DC386C" w14:paraId="6FF61E7C" w14:textId="0D03982B">
      <w:pPr>
        <w:jc w:val="both"/>
        <w:rPr>
          <w:rFonts w:ascii="Arial" w:hAnsi="Arial" w:eastAsia="Arial" w:cs="Arial"/>
          <w:noProof w:val="0"/>
          <w:sz w:val="24"/>
          <w:szCs w:val="24"/>
          <w:lang w:val="en-US"/>
        </w:rPr>
      </w:pPr>
      <w:r w:rsidRPr="3D2FD31E" w:rsidR="19DC386C">
        <w:rPr>
          <w:rFonts w:ascii="Arial" w:hAnsi="Arial" w:eastAsia="Arial" w:cs="Arial"/>
          <w:noProof w:val="0"/>
          <w:sz w:val="24"/>
          <w:szCs w:val="24"/>
          <w:lang w:val="en-US"/>
        </w:rPr>
        <w:t>Johnson, D., Johnson, R., &amp; Smith, K. (2014)</w:t>
      </w:r>
      <w:r w:rsidRPr="3D2FD31E" w:rsidR="78BD6866">
        <w:rPr>
          <w:rFonts w:ascii="Arial" w:hAnsi="Arial" w:eastAsia="Arial" w:cs="Arial"/>
          <w:noProof w:val="0"/>
          <w:sz w:val="24"/>
          <w:szCs w:val="24"/>
          <w:lang w:val="en-US"/>
        </w:rPr>
        <w:t xml:space="preserve"> </w:t>
      </w:r>
      <w:r w:rsidRPr="3D2FD31E" w:rsidR="19DC386C">
        <w:rPr>
          <w:rFonts w:ascii="Arial" w:hAnsi="Arial" w:eastAsia="Arial" w:cs="Arial"/>
          <w:noProof w:val="0"/>
          <w:sz w:val="24"/>
          <w:szCs w:val="24"/>
          <w:lang w:val="en-US"/>
        </w:rPr>
        <w:t xml:space="preserve">Cooperative Learning: Improving University Instruction by Promoting Effective Practice. Journal of Higher Education, 45(2), 167-188. </w:t>
      </w:r>
    </w:p>
    <w:p w:rsidR="19DC386C" w:rsidP="3D2FD31E" w:rsidRDefault="19DC386C" w14:paraId="167F2E85" w14:textId="357A496C">
      <w:pPr>
        <w:jc w:val="both"/>
        <w:rPr>
          <w:rFonts w:ascii="Arial" w:hAnsi="Arial" w:eastAsia="Arial" w:cs="Arial"/>
          <w:noProof w:val="0"/>
          <w:sz w:val="24"/>
          <w:szCs w:val="24"/>
          <w:lang w:val="en-US"/>
        </w:rPr>
      </w:pPr>
      <w:r w:rsidRPr="3D2FD31E" w:rsidR="19DC386C">
        <w:rPr>
          <w:rFonts w:ascii="Arial" w:hAnsi="Arial" w:eastAsia="Arial" w:cs="Arial"/>
          <w:noProof w:val="0"/>
          <w:sz w:val="24"/>
          <w:szCs w:val="24"/>
          <w:lang w:val="en-US"/>
        </w:rPr>
        <w:t>Macan, T. H. (1994) Time management: Test of a process model. Journal of Applied Psychology, 79(3), 381-391.</w:t>
      </w:r>
    </w:p>
    <w:p w:rsidR="19DC386C" w:rsidP="3D2FD31E" w:rsidRDefault="19DC386C" w14:paraId="1AEC99D6" w14:textId="4FBAC1C5">
      <w:pPr>
        <w:jc w:val="both"/>
        <w:rPr>
          <w:rFonts w:ascii="Arial" w:hAnsi="Arial" w:eastAsia="Arial" w:cs="Arial"/>
          <w:noProof w:val="0"/>
          <w:sz w:val="24"/>
          <w:szCs w:val="24"/>
          <w:lang w:val="en-US"/>
        </w:rPr>
      </w:pPr>
      <w:r w:rsidRPr="3D2FD31E" w:rsidR="19DC386C">
        <w:rPr>
          <w:rFonts w:ascii="Arial" w:hAnsi="Arial" w:eastAsia="Arial" w:cs="Arial"/>
          <w:noProof w:val="0"/>
          <w:sz w:val="24"/>
          <w:szCs w:val="24"/>
          <w:lang w:val="en-US"/>
        </w:rPr>
        <w:t xml:space="preserve"> Marques, S., &amp; Sales, D. (2022) The impact of Microsoft Teams on students' academic performance: A case study in a higher education setting. Journal of Educational Technology Systems, 51(2), 202-217.</w:t>
      </w:r>
    </w:p>
    <w:p w:rsidR="19DC386C" w:rsidP="3D2FD31E" w:rsidRDefault="19DC386C" w14:paraId="4C730AB2" w14:textId="4FC64A1D">
      <w:pPr>
        <w:jc w:val="both"/>
        <w:rPr>
          <w:rFonts w:ascii="Arial" w:hAnsi="Arial" w:eastAsia="Arial" w:cs="Arial"/>
          <w:noProof w:val="0"/>
          <w:sz w:val="24"/>
          <w:szCs w:val="24"/>
          <w:lang w:val="en-US"/>
        </w:rPr>
      </w:pPr>
      <w:r w:rsidRPr="3D2FD31E" w:rsidR="19DC386C">
        <w:rPr>
          <w:rFonts w:ascii="Arial" w:hAnsi="Arial" w:eastAsia="Arial" w:cs="Arial"/>
          <w:noProof w:val="0"/>
          <w:sz w:val="24"/>
          <w:szCs w:val="24"/>
          <w:lang w:val="en-US"/>
        </w:rPr>
        <w:t xml:space="preserve"> Microsoft. (2023)</w:t>
      </w:r>
      <w:r w:rsidRPr="3D2FD31E" w:rsidR="70FB043B">
        <w:rPr>
          <w:rFonts w:ascii="Arial" w:hAnsi="Arial" w:eastAsia="Arial" w:cs="Arial"/>
          <w:noProof w:val="0"/>
          <w:sz w:val="24"/>
          <w:szCs w:val="24"/>
          <w:lang w:val="en-US"/>
        </w:rPr>
        <w:t xml:space="preserve"> </w:t>
      </w:r>
      <w:r w:rsidRPr="3D2FD31E" w:rsidR="19DC386C">
        <w:rPr>
          <w:rFonts w:ascii="Arial" w:hAnsi="Arial" w:eastAsia="Arial" w:cs="Arial"/>
          <w:noProof w:val="0"/>
          <w:sz w:val="24"/>
          <w:szCs w:val="24"/>
          <w:lang w:val="en-US"/>
        </w:rPr>
        <w:t xml:space="preserve">Microsoft Teams Overview. [online] Available at: https://www.microsoft.com/en-us/microsoft-teams/group-chat-software </w:t>
      </w:r>
      <w:r w:rsidRPr="3D2FD31E" w:rsidR="19DC386C">
        <w:rPr>
          <w:rFonts w:ascii="Arial" w:hAnsi="Arial" w:eastAsia="Arial" w:cs="Arial"/>
          <w:noProof w:val="0"/>
          <w:sz w:val="24"/>
          <w:szCs w:val="24"/>
          <w:lang w:val="en-US"/>
        </w:rPr>
        <w:t>Sibona</w:t>
      </w:r>
      <w:r w:rsidRPr="3D2FD31E" w:rsidR="19DC386C">
        <w:rPr>
          <w:rFonts w:ascii="Arial" w:hAnsi="Arial" w:eastAsia="Arial" w:cs="Arial"/>
          <w:noProof w:val="0"/>
          <w:sz w:val="24"/>
          <w:szCs w:val="24"/>
          <w:lang w:val="en-US"/>
        </w:rPr>
        <w:t>, C., Sweeny, J., &amp; Lopez, A. (2021).</w:t>
      </w:r>
    </w:p>
    <w:p w:rsidR="19DC386C" w:rsidP="3D2FD31E" w:rsidRDefault="19DC386C" w14:paraId="5F8486D2" w14:textId="3437F342">
      <w:pPr>
        <w:jc w:val="both"/>
        <w:rPr>
          <w:rFonts w:ascii="Arial" w:hAnsi="Arial" w:eastAsia="Arial" w:cs="Arial"/>
          <w:noProof w:val="0"/>
          <w:sz w:val="24"/>
          <w:szCs w:val="24"/>
          <w:lang w:val="en-US"/>
        </w:rPr>
      </w:pPr>
      <w:r w:rsidRPr="3D2FD31E" w:rsidR="19DC386C">
        <w:rPr>
          <w:rFonts w:ascii="Arial" w:hAnsi="Arial" w:eastAsia="Arial" w:cs="Arial"/>
          <w:noProof w:val="0"/>
          <w:sz w:val="24"/>
          <w:szCs w:val="24"/>
          <w:lang w:val="en-US"/>
        </w:rPr>
        <w:t xml:space="preserve"> Leveraging Microsoft Teams in higher education: An analysis of its use in online courses. *Journal of Educational Technology Systems, 49(4), 391-407.</w:t>
      </w:r>
    </w:p>
    <w:p w:rsidR="19DC386C" w:rsidP="3D2FD31E" w:rsidRDefault="19DC386C" w14:paraId="0AA9E659" w14:textId="1DD28B46">
      <w:pPr>
        <w:jc w:val="both"/>
        <w:rPr>
          <w:rFonts w:ascii="Arial" w:hAnsi="Arial" w:eastAsia="Arial" w:cs="Arial"/>
          <w:noProof w:val="0"/>
          <w:sz w:val="24"/>
          <w:szCs w:val="24"/>
          <w:lang w:val="en-US"/>
        </w:rPr>
      </w:pPr>
      <w:r w:rsidRPr="3D2FD31E" w:rsidR="19DC386C">
        <w:rPr>
          <w:rFonts w:ascii="Arial" w:hAnsi="Arial" w:eastAsia="Arial" w:cs="Arial"/>
          <w:noProof w:val="0"/>
          <w:sz w:val="24"/>
          <w:szCs w:val="24"/>
          <w:lang w:val="en-US"/>
        </w:rPr>
        <w:t xml:space="preserve"> Vygotsky, L. S. (1978) Mind in Society: The Development of Higher Psychological Processes. Harvard University Press. </w:t>
      </w:r>
    </w:p>
    <w:p w:rsidR="19DC386C" w:rsidP="3D2FD31E" w:rsidRDefault="19DC386C" w14:paraId="79740432" w14:textId="08527A20">
      <w:pPr>
        <w:jc w:val="both"/>
        <w:rPr>
          <w:rFonts w:ascii="Arial" w:hAnsi="Arial" w:eastAsia="Arial" w:cs="Arial"/>
          <w:noProof w:val="0"/>
          <w:sz w:val="24"/>
          <w:szCs w:val="24"/>
          <w:lang w:val="en-US"/>
        </w:rPr>
      </w:pPr>
      <w:r w:rsidRPr="3D2FD31E" w:rsidR="19DC386C">
        <w:rPr>
          <w:rFonts w:ascii="Arial" w:hAnsi="Arial" w:eastAsia="Arial" w:cs="Arial"/>
          <w:noProof w:val="0"/>
          <w:sz w:val="24"/>
          <w:szCs w:val="24"/>
          <w:lang w:val="en-US"/>
        </w:rPr>
        <w:t>White, C., Lee, H., &amp; Anderson, D. (2022</w:t>
      </w:r>
      <w:r w:rsidRPr="3D2FD31E" w:rsidR="19DC386C">
        <w:rPr>
          <w:rFonts w:ascii="Arial" w:hAnsi="Arial" w:eastAsia="Arial" w:cs="Arial"/>
          <w:noProof w:val="0"/>
          <w:sz w:val="24"/>
          <w:szCs w:val="24"/>
          <w:lang w:val="en-US"/>
        </w:rPr>
        <w:t>)</w:t>
      </w:r>
      <w:r w:rsidRPr="3D2FD31E" w:rsidR="43E86942">
        <w:rPr>
          <w:rFonts w:ascii="Arial" w:hAnsi="Arial" w:eastAsia="Arial" w:cs="Arial"/>
          <w:noProof w:val="0"/>
          <w:sz w:val="24"/>
          <w:szCs w:val="24"/>
          <w:lang w:val="en-US"/>
        </w:rPr>
        <w:t xml:space="preserve"> </w:t>
      </w:r>
      <w:r w:rsidRPr="3D2FD31E" w:rsidR="19DC386C">
        <w:rPr>
          <w:rFonts w:ascii="Arial" w:hAnsi="Arial" w:eastAsia="Arial" w:cs="Arial"/>
          <w:noProof w:val="0"/>
          <w:sz w:val="24"/>
          <w:szCs w:val="24"/>
          <w:lang w:val="en-US"/>
        </w:rPr>
        <w:t xml:space="preserve"> A</w:t>
      </w:r>
      <w:r w:rsidRPr="3D2FD31E" w:rsidR="19DC386C">
        <w:rPr>
          <w:rFonts w:ascii="Arial" w:hAnsi="Arial" w:eastAsia="Arial" w:cs="Arial"/>
          <w:noProof w:val="0"/>
          <w:sz w:val="24"/>
          <w:szCs w:val="24"/>
          <w:lang w:val="en-US"/>
        </w:rPr>
        <w:t xml:space="preserve"> comparative study of collaboration tools in higher education: A case study of Microsoft Teams. *Educational Technology Research and Development, 70(4), 1025-1043.</w:t>
      </w:r>
    </w:p>
    <w:p w:rsidR="3D2FD31E" w:rsidRDefault="3D2FD31E" w14:paraId="3463A9DB" w14:textId="41284AB6">
      <w:r>
        <w:br w:type="page"/>
      </w:r>
    </w:p>
    <w:p w:rsidR="3CB8E27F" w:rsidP="3D2FD31E" w:rsidRDefault="3CB8E27F" w14:paraId="50425BBE" w14:textId="08EFC5D1">
      <w:pPr>
        <w:pStyle w:val="Normal"/>
        <w:jc w:val="both"/>
        <w:rPr>
          <w:rFonts w:ascii="Arial" w:hAnsi="Arial" w:eastAsia="Arial" w:cs="Arial"/>
          <w:b w:val="1"/>
          <w:bCs w:val="1"/>
          <w:noProof w:val="0"/>
          <w:sz w:val="24"/>
          <w:szCs w:val="24"/>
          <w:lang w:val="en-US"/>
        </w:rPr>
      </w:pPr>
      <w:r w:rsidRPr="3D2FD31E" w:rsidR="3CB8E27F">
        <w:rPr>
          <w:rFonts w:ascii="Arial" w:hAnsi="Arial" w:eastAsia="Arial" w:cs="Arial"/>
          <w:b w:val="1"/>
          <w:bCs w:val="1"/>
          <w:noProof w:val="0"/>
          <w:sz w:val="24"/>
          <w:szCs w:val="24"/>
          <w:lang w:val="en-US"/>
        </w:rPr>
        <w:t>Presentation</w:t>
      </w:r>
      <w:r w:rsidRPr="3D2FD31E" w:rsidR="2DF51D23">
        <w:rPr>
          <w:rFonts w:ascii="Arial" w:hAnsi="Arial" w:eastAsia="Arial" w:cs="Arial"/>
          <w:b w:val="1"/>
          <w:bCs w:val="1"/>
          <w:noProof w:val="0"/>
          <w:sz w:val="24"/>
          <w:szCs w:val="24"/>
          <w:lang w:val="en-US"/>
        </w:rPr>
        <w:t xml:space="preserve"> Link</w:t>
      </w:r>
    </w:p>
    <w:p w:rsidR="28355AB5" w:rsidP="3D2FD31E" w:rsidRDefault="28355AB5" w14:paraId="3511C5E8" w14:textId="75D7F6E5">
      <w:pPr>
        <w:pStyle w:val="Normal"/>
        <w:jc w:val="both"/>
        <w:rPr>
          <w:rFonts w:ascii="Arial" w:hAnsi="Arial" w:eastAsia="Arial" w:cs="Arial"/>
          <w:b w:val="1"/>
          <w:bCs w:val="1"/>
          <w:noProof w:val="0"/>
          <w:sz w:val="24"/>
          <w:szCs w:val="24"/>
          <w:lang w:val="en-US"/>
        </w:rPr>
      </w:pPr>
      <w:hyperlink r:id="R38b5fda9b06a4bf3">
        <w:r w:rsidRPr="3D2FD31E" w:rsidR="28355AB5">
          <w:rPr>
            <w:rStyle w:val="Hyperlink"/>
            <w:rFonts w:ascii="Arial" w:hAnsi="Arial" w:eastAsia="Arial" w:cs="Arial"/>
            <w:b w:val="1"/>
            <w:bCs w:val="1"/>
            <w:noProof w:val="0"/>
            <w:sz w:val="24"/>
            <w:szCs w:val="24"/>
            <w:lang w:val="en-US"/>
          </w:rPr>
          <w:t>https://1drv.ms/p/c/47cfb132b02a6a9b/ESN8BsgyjgNPm8lcVmezousBIGq6IrpyJF-uvMB237qyiw?e=pr5D9g</w:t>
        </w:r>
      </w:hyperlink>
    </w:p>
    <w:p w:rsidR="794FD62F" w:rsidP="3D2FD31E" w:rsidRDefault="794FD62F" w14:paraId="2A50B116" w14:textId="063007DE">
      <w:pPr>
        <w:jc w:val="both"/>
        <w:rPr>
          <w:rFonts w:ascii="Arial" w:hAnsi="Arial" w:eastAsia="Arial" w:cs="Arial"/>
          <w:noProof w:val="0"/>
          <w:sz w:val="24"/>
          <w:szCs w:val="24"/>
          <w:lang w:val="en-US"/>
        </w:rPr>
      </w:pPr>
      <w:hyperlink r:id="Rb5eeb0d863bf4279">
        <w:r w:rsidRPr="3D2FD31E" w:rsidR="794FD62F">
          <w:rPr>
            <w:rStyle w:val="Hyperlink"/>
            <w:rFonts w:ascii="Arial" w:hAnsi="Arial" w:eastAsia="Arial" w:cs="Arial"/>
            <w:noProof w:val="0"/>
            <w:sz w:val="24"/>
            <w:szCs w:val="24"/>
            <w:lang w:val="en-US"/>
          </w:rPr>
          <w:t>pomodoro video.pptx</w:t>
        </w:r>
      </w:hyperlink>
    </w:p>
    <w:sectPr>
      <w:pgSz w:w="12240" w:h="15840" w:orient="portrait"/>
      <w:pgMar w:top="1440" w:right="1440" w:bottom="1440" w:left="1440" w:header="720" w:footer="720" w:gutter="0"/>
      <w:cols w:space="720"/>
      <w:docGrid w:linePitch="360"/>
      <w:headerReference w:type="default" r:id="Rb2cda11691684bd5"/>
      <w:footerReference w:type="default" r:id="R473dda05a68c47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D2FD31E" w:rsidTr="3D2FD31E" w14:paraId="484FD026">
      <w:trPr>
        <w:trHeight w:val="300"/>
      </w:trPr>
      <w:tc>
        <w:tcPr>
          <w:tcW w:w="3120" w:type="dxa"/>
          <w:tcMar/>
        </w:tcPr>
        <w:p w:rsidR="3D2FD31E" w:rsidP="3D2FD31E" w:rsidRDefault="3D2FD31E" w14:paraId="1672785D" w14:textId="64387674">
          <w:pPr>
            <w:pStyle w:val="Header"/>
            <w:bidi w:val="0"/>
            <w:ind w:left="-115"/>
            <w:jc w:val="left"/>
          </w:pPr>
        </w:p>
      </w:tc>
      <w:tc>
        <w:tcPr>
          <w:tcW w:w="3120" w:type="dxa"/>
          <w:tcMar/>
        </w:tcPr>
        <w:p w:rsidR="3D2FD31E" w:rsidP="3D2FD31E" w:rsidRDefault="3D2FD31E" w14:paraId="328EB0E6" w14:textId="1D115018">
          <w:pPr>
            <w:pStyle w:val="Header"/>
            <w:bidi w:val="0"/>
            <w:jc w:val="center"/>
          </w:pPr>
        </w:p>
      </w:tc>
      <w:tc>
        <w:tcPr>
          <w:tcW w:w="3120" w:type="dxa"/>
          <w:tcMar/>
        </w:tcPr>
        <w:p w:rsidR="3D2FD31E" w:rsidP="3D2FD31E" w:rsidRDefault="3D2FD31E" w14:paraId="4D819C40" w14:textId="55697F5A">
          <w:pPr>
            <w:pStyle w:val="Header"/>
            <w:bidi w:val="0"/>
            <w:ind w:right="-115"/>
            <w:jc w:val="right"/>
          </w:pPr>
        </w:p>
      </w:tc>
    </w:tr>
  </w:tbl>
  <w:p w:rsidR="3D2FD31E" w:rsidP="3D2FD31E" w:rsidRDefault="3D2FD31E" w14:paraId="0636F6B8" w14:textId="5FB071A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D2FD31E" w:rsidTr="3D2FD31E" w14:paraId="2AC92EEC">
      <w:trPr>
        <w:trHeight w:val="300"/>
      </w:trPr>
      <w:tc>
        <w:tcPr>
          <w:tcW w:w="3120" w:type="dxa"/>
          <w:tcMar/>
        </w:tcPr>
        <w:p w:rsidR="3D2FD31E" w:rsidP="3D2FD31E" w:rsidRDefault="3D2FD31E" w14:paraId="3F305D50" w14:textId="58A5A09B">
          <w:pPr>
            <w:pStyle w:val="Header"/>
            <w:bidi w:val="0"/>
            <w:ind w:left="-115"/>
            <w:jc w:val="left"/>
          </w:pPr>
        </w:p>
      </w:tc>
      <w:tc>
        <w:tcPr>
          <w:tcW w:w="3120" w:type="dxa"/>
          <w:tcMar/>
        </w:tcPr>
        <w:p w:rsidR="3D2FD31E" w:rsidP="3D2FD31E" w:rsidRDefault="3D2FD31E" w14:paraId="2E5B0B48" w14:textId="678AB03A">
          <w:pPr>
            <w:pStyle w:val="Header"/>
            <w:bidi w:val="0"/>
            <w:jc w:val="center"/>
          </w:pPr>
        </w:p>
      </w:tc>
      <w:tc>
        <w:tcPr>
          <w:tcW w:w="3120" w:type="dxa"/>
          <w:tcMar/>
        </w:tcPr>
        <w:p w:rsidR="3D2FD31E" w:rsidP="3D2FD31E" w:rsidRDefault="3D2FD31E" w14:paraId="66827A08" w14:textId="3E0EADB5">
          <w:pPr>
            <w:pStyle w:val="Header"/>
            <w:bidi w:val="0"/>
            <w:ind w:right="-115"/>
            <w:jc w:val="right"/>
          </w:pPr>
        </w:p>
      </w:tc>
    </w:tr>
  </w:tbl>
  <w:p w:rsidR="3D2FD31E" w:rsidP="3D2FD31E" w:rsidRDefault="3D2FD31E" w14:paraId="41BA1AB0" w14:textId="2B29CF8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C3E856"/>
    <w:rsid w:val="03B74EB2"/>
    <w:rsid w:val="0775D301"/>
    <w:rsid w:val="0C02B8FD"/>
    <w:rsid w:val="0C380B45"/>
    <w:rsid w:val="0E594690"/>
    <w:rsid w:val="0F5E7A9C"/>
    <w:rsid w:val="13560E1A"/>
    <w:rsid w:val="15FA76ED"/>
    <w:rsid w:val="19DC386C"/>
    <w:rsid w:val="1E3606D1"/>
    <w:rsid w:val="1FAE81F0"/>
    <w:rsid w:val="2325760D"/>
    <w:rsid w:val="255DB550"/>
    <w:rsid w:val="27561EE7"/>
    <w:rsid w:val="28355AB5"/>
    <w:rsid w:val="28B52340"/>
    <w:rsid w:val="2D32A877"/>
    <w:rsid w:val="2DF51D23"/>
    <w:rsid w:val="2E48D644"/>
    <w:rsid w:val="2E5A02BE"/>
    <w:rsid w:val="3570FDF4"/>
    <w:rsid w:val="3CB8E27F"/>
    <w:rsid w:val="3D00D4FC"/>
    <w:rsid w:val="3D2FD31E"/>
    <w:rsid w:val="3F23C820"/>
    <w:rsid w:val="423DD8D1"/>
    <w:rsid w:val="43E86942"/>
    <w:rsid w:val="447F42D9"/>
    <w:rsid w:val="46C7FA18"/>
    <w:rsid w:val="46C8DBCF"/>
    <w:rsid w:val="4A120A02"/>
    <w:rsid w:val="4A3D8F70"/>
    <w:rsid w:val="59032ED8"/>
    <w:rsid w:val="5EB080BC"/>
    <w:rsid w:val="663FB7B0"/>
    <w:rsid w:val="6698D0B0"/>
    <w:rsid w:val="66B216C7"/>
    <w:rsid w:val="66FB4C48"/>
    <w:rsid w:val="6C0E16C4"/>
    <w:rsid w:val="6F194EBA"/>
    <w:rsid w:val="70FB043B"/>
    <w:rsid w:val="765500AE"/>
    <w:rsid w:val="780DAA3D"/>
    <w:rsid w:val="78BD6866"/>
    <w:rsid w:val="794FD62F"/>
    <w:rsid w:val="7A6040CD"/>
    <w:rsid w:val="7ABAD30D"/>
    <w:rsid w:val="7FC3E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3E856"/>
  <w15:chartTrackingRefBased/>
  <w15:docId w15:val="{1C17804F-92F7-48D6-BEC1-97489B4EBB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1drv.ms/p/c/47cfb132b02a6a9b/ESN8BsgyjgNPm8lcVmezousBIGq6IrpyJF-uvMB237qyiw?e=pr5D9g" TargetMode="External" Id="R38b5fda9b06a4bf3" /><Relationship Type="http://schemas.openxmlformats.org/officeDocument/2006/relationships/hyperlink" Target="https://uowtsd-my.sharepoint.com/:p:/g/personal/2408468_student_uwtsd_ac_uk/EWdqGz01fMJEhnYPpd75zuMBEEwRp3_vXTFcQJkjW8prug?email=c.joy%40uwtsd.ac.uk&amp;e=DE4ie3" TargetMode="External" Id="Rb5eeb0d863bf4279" /><Relationship Type="http://schemas.openxmlformats.org/officeDocument/2006/relationships/header" Target="header.xml" Id="Rb2cda11691684bd5" /><Relationship Type="http://schemas.openxmlformats.org/officeDocument/2006/relationships/footer" Target="footer.xml" Id="R473dda05a68c470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2024-11-08T21:42:45.7375209Z</dcterms:created>
  <dcterms:modified xsi:type="dcterms:W3CDTF">2024-11-08T22:15:36.6180948Z</dcterms:modified>
  <dc:creator>Sobia Saeed (2408468)</dc:creator>
  <lastModifiedBy>Sobia Saeed (2408468)</lastModifiedBy>
</coreProperties>
</file>