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71905759"/>
        <w:docPartObj>
          <w:docPartGallery w:val="Cover Pages"/>
          <w:docPartUnique/>
        </w:docPartObj>
      </w:sdtPr>
      <w:sdtEndPr/>
      <w:sdtContent>
        <w:p w14:paraId="51E91B36" w14:textId="1EC8C384" w:rsidR="003D7DFD" w:rsidRDefault="003D7DFD">
          <w:r>
            <w:rPr>
              <w:noProof/>
            </w:rPr>
            <mc:AlternateContent>
              <mc:Choice Requires="wpg">
                <w:drawing>
                  <wp:anchor distT="0" distB="0" distL="114300" distR="114300" simplePos="0" relativeHeight="251659264" behindDoc="1" locked="0" layoutInCell="1" allowOverlap="1" wp14:anchorId="76C5D3A3" wp14:editId="1E54F912">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E3A811" w14:textId="77777777" w:rsidR="00FE3481" w:rsidRPr="00FE3481" w:rsidRDefault="00FE3481" w:rsidP="00FE3481">
                                  <w:pPr>
                                    <w:pStyle w:val="NoSpacing"/>
                                    <w:rPr>
                                      <w:color w:val="FFFFFF" w:themeColor="background1"/>
                                      <w:sz w:val="32"/>
                                      <w:szCs w:val="32"/>
                                    </w:rPr>
                                  </w:pPr>
                                  <w:r w:rsidRPr="00FE3481">
                                    <w:rPr>
                                      <w:color w:val="FFFFFF" w:themeColor="background1"/>
                                      <w:sz w:val="32"/>
                                      <w:szCs w:val="32"/>
                                    </w:rPr>
                                    <w:t>Task 1</w:t>
                                  </w:r>
                                </w:p>
                                <w:p w14:paraId="1EEF4E1A" w14:textId="77777777" w:rsidR="0004550D" w:rsidRDefault="00FE3481" w:rsidP="00FE3481">
                                  <w:pPr>
                                    <w:pStyle w:val="NoSpacing"/>
                                    <w:rPr>
                                      <w:color w:val="FFFFFF" w:themeColor="background1"/>
                                      <w:sz w:val="32"/>
                                      <w:szCs w:val="32"/>
                                    </w:rPr>
                                  </w:pPr>
                                  <w:r w:rsidRPr="00FE3481">
                                    <w:rPr>
                                      <w:color w:val="FFFFFF" w:themeColor="background1"/>
                                      <w:sz w:val="32"/>
                                      <w:szCs w:val="32"/>
                                    </w:rPr>
                                    <w:t>Name: Charlotte Humphrey</w:t>
                                  </w:r>
                                </w:p>
                                <w:p w14:paraId="7A2121C1" w14:textId="0507FFDC" w:rsidR="003D7DFD" w:rsidRDefault="00FE3481" w:rsidP="00FE3481">
                                  <w:pPr>
                                    <w:pStyle w:val="NoSpacing"/>
                                    <w:rPr>
                                      <w:color w:val="FFFFFF" w:themeColor="background1"/>
                                      <w:sz w:val="32"/>
                                      <w:szCs w:val="32"/>
                                    </w:rPr>
                                  </w:pPr>
                                  <w:r w:rsidRPr="00FE3481">
                                    <w:rPr>
                                      <w:color w:val="FFFFFF" w:themeColor="background1"/>
                                      <w:sz w:val="32"/>
                                      <w:szCs w:val="32"/>
                                    </w:rPr>
                                    <w:t>Student Number: 0400695</w:t>
                                  </w:r>
                                </w:p>
                                <w:p w14:paraId="0F9AC167" w14:textId="3F70AA50" w:rsidR="0004550D" w:rsidRPr="0004550D" w:rsidRDefault="0004550D" w:rsidP="00FE3481">
                                  <w:pPr>
                                    <w:pStyle w:val="NoSpacing"/>
                                    <w:rPr>
                                      <w:color w:val="FFFFFF" w:themeColor="background1"/>
                                      <w:sz w:val="32"/>
                                      <w:szCs w:val="32"/>
                                    </w:rPr>
                                  </w:pPr>
                                  <w:r>
                                    <w:rPr>
                                      <w:color w:val="FFFFFF" w:themeColor="background1"/>
                                      <w:sz w:val="32"/>
                                      <w:szCs w:val="32"/>
                                    </w:rPr>
                                    <w:t xml:space="preserve">Word Count: </w:t>
                                  </w:r>
                                  <w:r w:rsidR="003C378F">
                                    <w:rPr>
                                      <w:color w:val="FFFFFF" w:themeColor="background1"/>
                                      <w:sz w:val="32"/>
                                      <w:szCs w:val="32"/>
                                    </w:rPr>
                                    <w:t>316</w:t>
                                  </w:r>
                                  <w:r w:rsidR="0053105A">
                                    <w:rPr>
                                      <w:color w:val="FFFFFF" w:themeColor="background1"/>
                                      <w:sz w:val="32"/>
                                      <w:szCs w:val="32"/>
                                    </w:rPr>
                                    <w:t>1</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80"/>
                                      <w:szCs w:val="8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C428896" w14:textId="5DB34916" w:rsidR="003D7DFD" w:rsidRPr="00FE3481" w:rsidRDefault="00D323CC">
                                      <w:pPr>
                                        <w:pStyle w:val="NoSpacing"/>
                                        <w:pBdr>
                                          <w:bottom w:val="single" w:sz="6" w:space="4" w:color="7F7F7F" w:themeColor="text1" w:themeTint="80"/>
                                        </w:pBdr>
                                        <w:rPr>
                                          <w:rFonts w:asciiTheme="majorHAnsi" w:eastAsiaTheme="majorEastAsia" w:hAnsiTheme="majorHAnsi" w:cstheme="majorBidi"/>
                                          <w:color w:val="595959" w:themeColor="text1" w:themeTint="A6"/>
                                          <w:sz w:val="80"/>
                                          <w:szCs w:val="80"/>
                                        </w:rPr>
                                      </w:pPr>
                                      <w:r w:rsidRPr="00FE3481">
                                        <w:rPr>
                                          <w:rFonts w:asciiTheme="majorHAnsi" w:eastAsiaTheme="majorEastAsia" w:hAnsiTheme="majorHAnsi" w:cstheme="majorBidi"/>
                                          <w:color w:val="595959" w:themeColor="text1" w:themeTint="A6"/>
                                          <w:sz w:val="80"/>
                                          <w:szCs w:val="80"/>
                                        </w:rPr>
                                        <w:t>Advanced Application of Employment Law</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0F7EAB7A" w14:textId="703A00AA" w:rsidR="003D7DFD" w:rsidRDefault="00FE3481">
                                      <w:pPr>
                                        <w:pStyle w:val="NoSpacing"/>
                                        <w:spacing w:before="240"/>
                                        <w:rPr>
                                          <w:caps/>
                                          <w:color w:val="0E2841" w:themeColor="text2"/>
                                          <w:sz w:val="36"/>
                                          <w:szCs w:val="36"/>
                                        </w:rPr>
                                      </w:pPr>
                                      <w:r w:rsidRPr="00FE3481">
                                        <w:rPr>
                                          <w:caps/>
                                          <w:color w:val="0E2841" w:themeColor="text2"/>
                                          <w:sz w:val="36"/>
                                          <w:szCs w:val="36"/>
                                        </w:rPr>
                                        <w:t>Providing appropriate advice to the management teams at</w:t>
                                      </w:r>
                                      <w:r w:rsidR="00FE04C6">
                                        <w:rPr>
                                          <w:caps/>
                                          <w:color w:val="0E2841" w:themeColor="text2"/>
                                          <w:sz w:val="36"/>
                                          <w:szCs w:val="36"/>
                                        </w:rPr>
                                        <w:t xml:space="preserve"> a</w:t>
                                      </w:r>
                                      <w:r w:rsidRPr="00FE3481">
                                        <w:rPr>
                                          <w:caps/>
                                          <w:color w:val="0E2841" w:themeColor="text2"/>
                                          <w:sz w:val="36"/>
                                          <w:szCs w:val="36"/>
                                        </w:rPr>
                                        <w:t xml:space="preserve"> UK based organisation</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6C5D3A3"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p w14:paraId="2CE3A811" w14:textId="77777777" w:rsidR="00FE3481" w:rsidRPr="00FE3481" w:rsidRDefault="00FE3481" w:rsidP="00FE3481">
                            <w:pPr>
                              <w:pStyle w:val="NoSpacing"/>
                              <w:rPr>
                                <w:color w:val="FFFFFF" w:themeColor="background1"/>
                                <w:sz w:val="32"/>
                                <w:szCs w:val="32"/>
                              </w:rPr>
                            </w:pPr>
                            <w:r w:rsidRPr="00FE3481">
                              <w:rPr>
                                <w:color w:val="FFFFFF" w:themeColor="background1"/>
                                <w:sz w:val="32"/>
                                <w:szCs w:val="32"/>
                              </w:rPr>
                              <w:t>Task 1</w:t>
                            </w:r>
                          </w:p>
                          <w:p w14:paraId="1EEF4E1A" w14:textId="77777777" w:rsidR="0004550D" w:rsidRDefault="00FE3481" w:rsidP="00FE3481">
                            <w:pPr>
                              <w:pStyle w:val="NoSpacing"/>
                              <w:rPr>
                                <w:color w:val="FFFFFF" w:themeColor="background1"/>
                                <w:sz w:val="32"/>
                                <w:szCs w:val="32"/>
                              </w:rPr>
                            </w:pPr>
                            <w:r w:rsidRPr="00FE3481">
                              <w:rPr>
                                <w:color w:val="FFFFFF" w:themeColor="background1"/>
                                <w:sz w:val="32"/>
                                <w:szCs w:val="32"/>
                              </w:rPr>
                              <w:t>Name: Charlotte Humphrey</w:t>
                            </w:r>
                          </w:p>
                          <w:p w14:paraId="7A2121C1" w14:textId="0507FFDC" w:rsidR="003D7DFD" w:rsidRDefault="00FE3481" w:rsidP="00FE3481">
                            <w:pPr>
                              <w:pStyle w:val="NoSpacing"/>
                              <w:rPr>
                                <w:color w:val="FFFFFF" w:themeColor="background1"/>
                                <w:sz w:val="32"/>
                                <w:szCs w:val="32"/>
                              </w:rPr>
                            </w:pPr>
                            <w:r w:rsidRPr="00FE3481">
                              <w:rPr>
                                <w:color w:val="FFFFFF" w:themeColor="background1"/>
                                <w:sz w:val="32"/>
                                <w:szCs w:val="32"/>
                              </w:rPr>
                              <w:t>Student Number: 0400695</w:t>
                            </w:r>
                          </w:p>
                          <w:p w14:paraId="0F9AC167" w14:textId="3F70AA50" w:rsidR="0004550D" w:rsidRPr="0004550D" w:rsidRDefault="0004550D" w:rsidP="00FE3481">
                            <w:pPr>
                              <w:pStyle w:val="NoSpacing"/>
                              <w:rPr>
                                <w:color w:val="FFFFFF" w:themeColor="background1"/>
                                <w:sz w:val="32"/>
                                <w:szCs w:val="32"/>
                              </w:rPr>
                            </w:pPr>
                            <w:r>
                              <w:rPr>
                                <w:color w:val="FFFFFF" w:themeColor="background1"/>
                                <w:sz w:val="32"/>
                                <w:szCs w:val="32"/>
                              </w:rPr>
                              <w:t xml:space="preserve">Word Count: </w:t>
                            </w:r>
                            <w:r w:rsidR="003C378F">
                              <w:rPr>
                                <w:color w:val="FFFFFF" w:themeColor="background1"/>
                                <w:sz w:val="32"/>
                                <w:szCs w:val="32"/>
                              </w:rPr>
                              <w:t>316</w:t>
                            </w:r>
                            <w:r w:rsidR="0053105A">
                              <w:rPr>
                                <w:color w:val="FFFFFF" w:themeColor="background1"/>
                                <w:sz w:val="32"/>
                                <w:szCs w:val="32"/>
                              </w:rPr>
                              <w:t>1</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80"/>
                                <w:szCs w:val="8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C428896" w14:textId="5DB34916" w:rsidR="003D7DFD" w:rsidRPr="00FE3481" w:rsidRDefault="00D323CC">
                                <w:pPr>
                                  <w:pStyle w:val="NoSpacing"/>
                                  <w:pBdr>
                                    <w:bottom w:val="single" w:sz="6" w:space="4" w:color="7F7F7F" w:themeColor="text1" w:themeTint="80"/>
                                  </w:pBdr>
                                  <w:rPr>
                                    <w:rFonts w:asciiTheme="majorHAnsi" w:eastAsiaTheme="majorEastAsia" w:hAnsiTheme="majorHAnsi" w:cstheme="majorBidi"/>
                                    <w:color w:val="595959" w:themeColor="text1" w:themeTint="A6"/>
                                    <w:sz w:val="80"/>
                                    <w:szCs w:val="80"/>
                                  </w:rPr>
                                </w:pPr>
                                <w:r w:rsidRPr="00FE3481">
                                  <w:rPr>
                                    <w:rFonts w:asciiTheme="majorHAnsi" w:eastAsiaTheme="majorEastAsia" w:hAnsiTheme="majorHAnsi" w:cstheme="majorBidi"/>
                                    <w:color w:val="595959" w:themeColor="text1" w:themeTint="A6"/>
                                    <w:sz w:val="80"/>
                                    <w:szCs w:val="80"/>
                                  </w:rPr>
                                  <w:t>Advanced Application of Employment Law</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0F7EAB7A" w14:textId="703A00AA" w:rsidR="003D7DFD" w:rsidRDefault="00FE3481">
                                <w:pPr>
                                  <w:pStyle w:val="NoSpacing"/>
                                  <w:spacing w:before="240"/>
                                  <w:rPr>
                                    <w:caps/>
                                    <w:color w:val="0E2841" w:themeColor="text2"/>
                                    <w:sz w:val="36"/>
                                    <w:szCs w:val="36"/>
                                  </w:rPr>
                                </w:pPr>
                                <w:r w:rsidRPr="00FE3481">
                                  <w:rPr>
                                    <w:caps/>
                                    <w:color w:val="0E2841" w:themeColor="text2"/>
                                    <w:sz w:val="36"/>
                                    <w:szCs w:val="36"/>
                                  </w:rPr>
                                  <w:t>Providing appropriate advice to the management teams at</w:t>
                                </w:r>
                                <w:r w:rsidR="00FE04C6">
                                  <w:rPr>
                                    <w:caps/>
                                    <w:color w:val="0E2841" w:themeColor="text2"/>
                                    <w:sz w:val="36"/>
                                    <w:szCs w:val="36"/>
                                  </w:rPr>
                                  <w:t xml:space="preserve"> a</w:t>
                                </w:r>
                                <w:r w:rsidRPr="00FE3481">
                                  <w:rPr>
                                    <w:caps/>
                                    <w:color w:val="0E2841" w:themeColor="text2"/>
                                    <w:sz w:val="36"/>
                                    <w:szCs w:val="36"/>
                                  </w:rPr>
                                  <w:t xml:space="preserve"> UK based organisation</w:t>
                                </w:r>
                              </w:p>
                            </w:sdtContent>
                          </w:sdt>
                        </w:txbxContent>
                      </v:textbox>
                    </v:shape>
                    <w10:wrap anchorx="page" anchory="page"/>
                  </v:group>
                </w:pict>
              </mc:Fallback>
            </mc:AlternateContent>
          </w:r>
        </w:p>
        <w:p w14:paraId="37250ABC" w14:textId="2319A298" w:rsidR="0004550D" w:rsidRDefault="00E2146F"/>
      </w:sdtContent>
    </w:sdt>
    <w:p w14:paraId="777D70ED" w14:textId="4C5D6CD5" w:rsidR="00236CEE" w:rsidRPr="0004550D" w:rsidRDefault="00E653D4">
      <w:r>
        <w:br/>
      </w:r>
    </w:p>
    <w:p w14:paraId="450E83E3" w14:textId="77777777" w:rsidR="00AA5C69" w:rsidRDefault="00236CEE">
      <w:pPr>
        <w:rPr>
          <w:rFonts w:asciiTheme="majorHAnsi" w:eastAsiaTheme="minorEastAsia" w:hAnsiTheme="majorHAnsi" w:cstheme="majorBidi"/>
          <w:color w:val="0F4761" w:themeColor="accent1" w:themeShade="BF"/>
          <w:sz w:val="40"/>
          <w:szCs w:val="40"/>
          <w:lang w:val="en-US" w:eastAsia="en-GB"/>
        </w:rPr>
      </w:pPr>
      <w:r>
        <w:rPr>
          <w:lang w:val="en-US" w:eastAsia="en-GB"/>
        </w:rPr>
        <w:br w:type="page"/>
      </w:r>
    </w:p>
    <w:sdt>
      <w:sdtPr>
        <w:rPr>
          <w:rFonts w:asciiTheme="minorHAnsi" w:eastAsiaTheme="minorHAnsi" w:hAnsiTheme="minorHAnsi" w:cstheme="minorBidi"/>
          <w:color w:val="auto"/>
          <w:kern w:val="2"/>
          <w:sz w:val="22"/>
          <w:szCs w:val="22"/>
          <w:lang w:val="en-GB"/>
          <w14:ligatures w14:val="standardContextual"/>
        </w:rPr>
        <w:id w:val="-1854401552"/>
        <w:docPartObj>
          <w:docPartGallery w:val="Table of Contents"/>
          <w:docPartUnique/>
        </w:docPartObj>
      </w:sdtPr>
      <w:sdtEndPr>
        <w:rPr>
          <w:b/>
          <w:bCs/>
          <w:noProof/>
        </w:rPr>
      </w:sdtEndPr>
      <w:sdtContent>
        <w:p w14:paraId="58E675E7" w14:textId="330B049C" w:rsidR="00AA5C69" w:rsidRPr="00C76051" w:rsidRDefault="00AA5C69">
          <w:pPr>
            <w:pStyle w:val="TOCHeading"/>
            <w:rPr>
              <w:rFonts w:ascii="Arial" w:hAnsi="Arial" w:cs="Arial"/>
            </w:rPr>
          </w:pPr>
          <w:r w:rsidRPr="00C76051">
            <w:rPr>
              <w:rFonts w:ascii="Arial" w:hAnsi="Arial" w:cs="Arial"/>
            </w:rPr>
            <w:t>Table of Contents</w:t>
          </w:r>
        </w:p>
        <w:p w14:paraId="6CEAEFAB" w14:textId="1A25278E" w:rsidR="00E43349" w:rsidRDefault="00AA5C69">
          <w:pPr>
            <w:pStyle w:val="TOC1"/>
            <w:tabs>
              <w:tab w:val="right" w:leader="dot" w:pos="9016"/>
            </w:tabs>
            <w:rPr>
              <w:rFonts w:cstheme="minorBidi"/>
              <w:noProof/>
              <w:kern w:val="2"/>
              <w:sz w:val="24"/>
              <w:szCs w:val="24"/>
              <w:lang w:val="en-GB" w:eastAsia="en-GB"/>
              <w14:ligatures w14:val="standardContextual"/>
            </w:rPr>
          </w:pPr>
          <w:r w:rsidRPr="00C76051">
            <w:rPr>
              <w:rFonts w:ascii="Arial" w:hAnsi="Arial" w:cs="Arial"/>
            </w:rPr>
            <w:fldChar w:fldCharType="begin"/>
          </w:r>
          <w:r w:rsidRPr="00C76051">
            <w:rPr>
              <w:rFonts w:ascii="Arial" w:hAnsi="Arial" w:cs="Arial"/>
            </w:rPr>
            <w:instrText xml:space="preserve"> TOC \o "1-3" \h \z \u </w:instrText>
          </w:r>
          <w:r w:rsidRPr="00C76051">
            <w:rPr>
              <w:rFonts w:ascii="Arial" w:hAnsi="Arial" w:cs="Arial"/>
            </w:rPr>
            <w:fldChar w:fldCharType="separate"/>
          </w:r>
          <w:hyperlink w:anchor="_Toc229418552" w:history="1">
            <w:r w:rsidR="00E43349" w:rsidRPr="00141EC5">
              <w:rPr>
                <w:rStyle w:val="Hyperlink"/>
                <w:noProof/>
              </w:rPr>
              <w:t>Executive Summary</w:t>
            </w:r>
            <w:r w:rsidR="00E43349">
              <w:rPr>
                <w:noProof/>
                <w:webHidden/>
              </w:rPr>
              <w:tab/>
            </w:r>
            <w:r w:rsidR="00E43349">
              <w:rPr>
                <w:noProof/>
                <w:webHidden/>
              </w:rPr>
              <w:fldChar w:fldCharType="begin"/>
            </w:r>
            <w:r w:rsidR="00E43349">
              <w:rPr>
                <w:noProof/>
                <w:webHidden/>
              </w:rPr>
              <w:instrText xml:space="preserve"> PAGEREF _Toc229418552 \h </w:instrText>
            </w:r>
            <w:r w:rsidR="00E43349">
              <w:rPr>
                <w:noProof/>
                <w:webHidden/>
              </w:rPr>
            </w:r>
            <w:r w:rsidR="00E43349">
              <w:rPr>
                <w:noProof/>
                <w:webHidden/>
              </w:rPr>
              <w:fldChar w:fldCharType="separate"/>
            </w:r>
            <w:r w:rsidR="00E43349">
              <w:rPr>
                <w:noProof/>
                <w:webHidden/>
              </w:rPr>
              <w:t>2</w:t>
            </w:r>
            <w:r w:rsidR="00E43349">
              <w:rPr>
                <w:noProof/>
                <w:webHidden/>
              </w:rPr>
              <w:fldChar w:fldCharType="end"/>
            </w:r>
          </w:hyperlink>
        </w:p>
        <w:p w14:paraId="0BF95BA6" w14:textId="12BF2189" w:rsidR="00E43349" w:rsidRDefault="00E43349">
          <w:pPr>
            <w:pStyle w:val="TOC1"/>
            <w:tabs>
              <w:tab w:val="right" w:leader="dot" w:pos="9016"/>
            </w:tabs>
            <w:rPr>
              <w:rFonts w:cstheme="minorBidi"/>
              <w:noProof/>
              <w:kern w:val="2"/>
              <w:sz w:val="24"/>
              <w:szCs w:val="24"/>
              <w:lang w:val="en-GB" w:eastAsia="en-GB"/>
              <w14:ligatures w14:val="standardContextual"/>
            </w:rPr>
          </w:pPr>
          <w:hyperlink w:anchor="_Toc229418553" w:history="1">
            <w:r w:rsidRPr="00141EC5">
              <w:rPr>
                <w:rStyle w:val="Hyperlink"/>
                <w:noProof/>
              </w:rPr>
              <w:t>Introduction</w:t>
            </w:r>
            <w:r>
              <w:rPr>
                <w:noProof/>
                <w:webHidden/>
              </w:rPr>
              <w:tab/>
            </w:r>
            <w:r>
              <w:rPr>
                <w:noProof/>
                <w:webHidden/>
              </w:rPr>
              <w:fldChar w:fldCharType="begin"/>
            </w:r>
            <w:r>
              <w:rPr>
                <w:noProof/>
                <w:webHidden/>
              </w:rPr>
              <w:instrText xml:space="preserve"> PAGEREF _Toc229418553 \h </w:instrText>
            </w:r>
            <w:r>
              <w:rPr>
                <w:noProof/>
                <w:webHidden/>
              </w:rPr>
            </w:r>
            <w:r>
              <w:rPr>
                <w:noProof/>
                <w:webHidden/>
              </w:rPr>
              <w:fldChar w:fldCharType="separate"/>
            </w:r>
            <w:r>
              <w:rPr>
                <w:noProof/>
                <w:webHidden/>
              </w:rPr>
              <w:t>3</w:t>
            </w:r>
            <w:r>
              <w:rPr>
                <w:noProof/>
                <w:webHidden/>
              </w:rPr>
              <w:fldChar w:fldCharType="end"/>
            </w:r>
          </w:hyperlink>
        </w:p>
        <w:p w14:paraId="783DB1C3" w14:textId="58109248" w:rsidR="00E43349" w:rsidRDefault="00E43349">
          <w:pPr>
            <w:pStyle w:val="TOC1"/>
            <w:tabs>
              <w:tab w:val="right" w:leader="dot" w:pos="9016"/>
            </w:tabs>
            <w:rPr>
              <w:rFonts w:cstheme="minorBidi"/>
              <w:noProof/>
              <w:kern w:val="2"/>
              <w:sz w:val="24"/>
              <w:szCs w:val="24"/>
              <w:lang w:val="en-GB" w:eastAsia="en-GB"/>
              <w14:ligatures w14:val="standardContextual"/>
            </w:rPr>
          </w:pPr>
          <w:hyperlink w:anchor="_Toc229418554" w:history="1">
            <w:r w:rsidRPr="00141EC5">
              <w:rPr>
                <w:rStyle w:val="Hyperlink"/>
                <w:rFonts w:ascii="Arial" w:hAnsi="Arial" w:cs="Arial"/>
                <w:noProof/>
                <w:lang w:eastAsia="en-GB"/>
              </w:rPr>
              <w:t>Analysis and Advice</w:t>
            </w:r>
            <w:r>
              <w:rPr>
                <w:noProof/>
                <w:webHidden/>
              </w:rPr>
              <w:tab/>
            </w:r>
            <w:r>
              <w:rPr>
                <w:noProof/>
                <w:webHidden/>
              </w:rPr>
              <w:fldChar w:fldCharType="begin"/>
            </w:r>
            <w:r>
              <w:rPr>
                <w:noProof/>
                <w:webHidden/>
              </w:rPr>
              <w:instrText xml:space="preserve"> PAGEREF _Toc229418554 \h </w:instrText>
            </w:r>
            <w:r>
              <w:rPr>
                <w:noProof/>
                <w:webHidden/>
              </w:rPr>
            </w:r>
            <w:r>
              <w:rPr>
                <w:noProof/>
                <w:webHidden/>
              </w:rPr>
              <w:fldChar w:fldCharType="separate"/>
            </w:r>
            <w:r>
              <w:rPr>
                <w:noProof/>
                <w:webHidden/>
              </w:rPr>
              <w:t>3</w:t>
            </w:r>
            <w:r>
              <w:rPr>
                <w:noProof/>
                <w:webHidden/>
              </w:rPr>
              <w:fldChar w:fldCharType="end"/>
            </w:r>
          </w:hyperlink>
        </w:p>
        <w:p w14:paraId="71D98A76" w14:textId="446E99CF" w:rsidR="00E43349" w:rsidRDefault="00E43349">
          <w:pPr>
            <w:pStyle w:val="TOC2"/>
            <w:tabs>
              <w:tab w:val="right" w:leader="dot" w:pos="9016"/>
            </w:tabs>
            <w:rPr>
              <w:rFonts w:cstheme="minorBidi"/>
              <w:noProof/>
              <w:kern w:val="2"/>
              <w:sz w:val="24"/>
              <w:szCs w:val="24"/>
              <w:lang w:val="en-GB" w:eastAsia="en-GB"/>
              <w14:ligatures w14:val="standardContextual"/>
            </w:rPr>
          </w:pPr>
          <w:hyperlink w:anchor="_Toc229418555" w:history="1">
            <w:r w:rsidRPr="00141EC5">
              <w:rPr>
                <w:rStyle w:val="Hyperlink"/>
                <w:rFonts w:ascii="Arial" w:eastAsia="Times New Roman" w:hAnsi="Arial" w:cs="Arial"/>
                <w:noProof/>
                <w:lang w:eastAsia="en-GB"/>
              </w:rPr>
              <w:t>Zero-Hours Contracts</w:t>
            </w:r>
            <w:r>
              <w:rPr>
                <w:noProof/>
                <w:webHidden/>
              </w:rPr>
              <w:tab/>
            </w:r>
            <w:r>
              <w:rPr>
                <w:noProof/>
                <w:webHidden/>
              </w:rPr>
              <w:fldChar w:fldCharType="begin"/>
            </w:r>
            <w:r>
              <w:rPr>
                <w:noProof/>
                <w:webHidden/>
              </w:rPr>
              <w:instrText xml:space="preserve"> PAGEREF _Toc229418555 \h </w:instrText>
            </w:r>
            <w:r>
              <w:rPr>
                <w:noProof/>
                <w:webHidden/>
              </w:rPr>
            </w:r>
            <w:r>
              <w:rPr>
                <w:noProof/>
                <w:webHidden/>
              </w:rPr>
              <w:fldChar w:fldCharType="separate"/>
            </w:r>
            <w:r>
              <w:rPr>
                <w:noProof/>
                <w:webHidden/>
              </w:rPr>
              <w:t>3</w:t>
            </w:r>
            <w:r>
              <w:rPr>
                <w:noProof/>
                <w:webHidden/>
              </w:rPr>
              <w:fldChar w:fldCharType="end"/>
            </w:r>
          </w:hyperlink>
        </w:p>
        <w:p w14:paraId="41A1BE30" w14:textId="047F0558" w:rsidR="00E43349" w:rsidRDefault="00E43349">
          <w:pPr>
            <w:pStyle w:val="TOC2"/>
            <w:tabs>
              <w:tab w:val="right" w:leader="dot" w:pos="9016"/>
            </w:tabs>
            <w:rPr>
              <w:rFonts w:cstheme="minorBidi"/>
              <w:noProof/>
              <w:kern w:val="2"/>
              <w:sz w:val="24"/>
              <w:szCs w:val="24"/>
              <w:lang w:val="en-GB" w:eastAsia="en-GB"/>
              <w14:ligatures w14:val="standardContextual"/>
            </w:rPr>
          </w:pPr>
          <w:hyperlink w:anchor="_Toc229418556" w:history="1">
            <w:r w:rsidRPr="00141EC5">
              <w:rPr>
                <w:rStyle w:val="Hyperlink"/>
                <w:rFonts w:ascii="Arial" w:eastAsia="Times New Roman" w:hAnsi="Arial" w:cs="Arial"/>
                <w:noProof/>
                <w:lang w:eastAsia="en-GB"/>
              </w:rPr>
              <w:t>Trade Union Engagement</w:t>
            </w:r>
            <w:r>
              <w:rPr>
                <w:noProof/>
                <w:webHidden/>
              </w:rPr>
              <w:tab/>
            </w:r>
            <w:r>
              <w:rPr>
                <w:noProof/>
                <w:webHidden/>
              </w:rPr>
              <w:fldChar w:fldCharType="begin"/>
            </w:r>
            <w:r>
              <w:rPr>
                <w:noProof/>
                <w:webHidden/>
              </w:rPr>
              <w:instrText xml:space="preserve"> PAGEREF _Toc229418556 \h </w:instrText>
            </w:r>
            <w:r>
              <w:rPr>
                <w:noProof/>
                <w:webHidden/>
              </w:rPr>
            </w:r>
            <w:r>
              <w:rPr>
                <w:noProof/>
                <w:webHidden/>
              </w:rPr>
              <w:fldChar w:fldCharType="separate"/>
            </w:r>
            <w:r>
              <w:rPr>
                <w:noProof/>
                <w:webHidden/>
              </w:rPr>
              <w:t>4</w:t>
            </w:r>
            <w:r>
              <w:rPr>
                <w:noProof/>
                <w:webHidden/>
              </w:rPr>
              <w:fldChar w:fldCharType="end"/>
            </w:r>
          </w:hyperlink>
        </w:p>
        <w:p w14:paraId="750A11DF" w14:textId="566976A7" w:rsidR="00E43349" w:rsidRDefault="00E43349">
          <w:pPr>
            <w:pStyle w:val="TOC2"/>
            <w:tabs>
              <w:tab w:val="right" w:leader="dot" w:pos="9016"/>
            </w:tabs>
            <w:rPr>
              <w:rFonts w:cstheme="minorBidi"/>
              <w:noProof/>
              <w:kern w:val="2"/>
              <w:sz w:val="24"/>
              <w:szCs w:val="24"/>
              <w:lang w:val="en-GB" w:eastAsia="en-GB"/>
              <w14:ligatures w14:val="standardContextual"/>
            </w:rPr>
          </w:pPr>
          <w:hyperlink w:anchor="_Toc229418557" w:history="1">
            <w:r w:rsidRPr="00141EC5">
              <w:rPr>
                <w:rStyle w:val="Hyperlink"/>
                <w:rFonts w:ascii="Arial" w:eastAsia="Times New Roman" w:hAnsi="Arial" w:cs="Arial"/>
                <w:noProof/>
                <w:lang w:eastAsia="en-GB"/>
              </w:rPr>
              <w:t>Data Protection Breaches</w:t>
            </w:r>
            <w:r>
              <w:rPr>
                <w:noProof/>
                <w:webHidden/>
              </w:rPr>
              <w:tab/>
            </w:r>
            <w:r>
              <w:rPr>
                <w:noProof/>
                <w:webHidden/>
              </w:rPr>
              <w:fldChar w:fldCharType="begin"/>
            </w:r>
            <w:r>
              <w:rPr>
                <w:noProof/>
                <w:webHidden/>
              </w:rPr>
              <w:instrText xml:space="preserve"> PAGEREF _Toc229418557 \h </w:instrText>
            </w:r>
            <w:r>
              <w:rPr>
                <w:noProof/>
                <w:webHidden/>
              </w:rPr>
            </w:r>
            <w:r>
              <w:rPr>
                <w:noProof/>
                <w:webHidden/>
              </w:rPr>
              <w:fldChar w:fldCharType="separate"/>
            </w:r>
            <w:r>
              <w:rPr>
                <w:noProof/>
                <w:webHidden/>
              </w:rPr>
              <w:t>5</w:t>
            </w:r>
            <w:r>
              <w:rPr>
                <w:noProof/>
                <w:webHidden/>
              </w:rPr>
              <w:fldChar w:fldCharType="end"/>
            </w:r>
          </w:hyperlink>
        </w:p>
        <w:p w14:paraId="1E5CA16F" w14:textId="562551DD" w:rsidR="00E43349" w:rsidRDefault="00E43349">
          <w:pPr>
            <w:pStyle w:val="TOC2"/>
            <w:tabs>
              <w:tab w:val="right" w:leader="dot" w:pos="9016"/>
            </w:tabs>
            <w:rPr>
              <w:rFonts w:cstheme="minorBidi"/>
              <w:noProof/>
              <w:kern w:val="2"/>
              <w:sz w:val="24"/>
              <w:szCs w:val="24"/>
              <w:lang w:val="en-GB" w:eastAsia="en-GB"/>
              <w14:ligatures w14:val="standardContextual"/>
            </w:rPr>
          </w:pPr>
          <w:hyperlink w:anchor="_Toc229418558" w:history="1">
            <w:r w:rsidRPr="00141EC5">
              <w:rPr>
                <w:rStyle w:val="Hyperlink"/>
                <w:rFonts w:ascii="Arial" w:eastAsia="Times New Roman" w:hAnsi="Arial" w:cs="Arial"/>
                <w:noProof/>
                <w:lang w:eastAsia="en-GB"/>
              </w:rPr>
              <w:t>Harassment at Work</w:t>
            </w:r>
            <w:r>
              <w:rPr>
                <w:noProof/>
                <w:webHidden/>
              </w:rPr>
              <w:tab/>
            </w:r>
            <w:r>
              <w:rPr>
                <w:noProof/>
                <w:webHidden/>
              </w:rPr>
              <w:fldChar w:fldCharType="begin"/>
            </w:r>
            <w:r>
              <w:rPr>
                <w:noProof/>
                <w:webHidden/>
              </w:rPr>
              <w:instrText xml:space="preserve"> PAGEREF _Toc229418558 \h </w:instrText>
            </w:r>
            <w:r>
              <w:rPr>
                <w:noProof/>
                <w:webHidden/>
              </w:rPr>
            </w:r>
            <w:r>
              <w:rPr>
                <w:noProof/>
                <w:webHidden/>
              </w:rPr>
              <w:fldChar w:fldCharType="separate"/>
            </w:r>
            <w:r>
              <w:rPr>
                <w:noProof/>
                <w:webHidden/>
              </w:rPr>
              <w:t>6</w:t>
            </w:r>
            <w:r>
              <w:rPr>
                <w:noProof/>
                <w:webHidden/>
              </w:rPr>
              <w:fldChar w:fldCharType="end"/>
            </w:r>
          </w:hyperlink>
        </w:p>
        <w:p w14:paraId="62A9D7E5" w14:textId="6D6C05C2" w:rsidR="00E43349" w:rsidRDefault="00E43349">
          <w:pPr>
            <w:pStyle w:val="TOC2"/>
            <w:tabs>
              <w:tab w:val="right" w:leader="dot" w:pos="9016"/>
            </w:tabs>
            <w:rPr>
              <w:rFonts w:cstheme="minorBidi"/>
              <w:noProof/>
              <w:kern w:val="2"/>
              <w:sz w:val="24"/>
              <w:szCs w:val="24"/>
              <w:lang w:val="en-GB" w:eastAsia="en-GB"/>
              <w14:ligatures w14:val="standardContextual"/>
            </w:rPr>
          </w:pPr>
          <w:hyperlink w:anchor="_Toc229418559" w:history="1">
            <w:r w:rsidRPr="00141EC5">
              <w:rPr>
                <w:rStyle w:val="Hyperlink"/>
                <w:rFonts w:ascii="Arial" w:eastAsia="Times New Roman" w:hAnsi="Arial" w:cs="Arial"/>
                <w:noProof/>
                <w:lang w:eastAsia="en-GB"/>
              </w:rPr>
              <w:t>Disability and Reasonable Adjustments</w:t>
            </w:r>
            <w:r>
              <w:rPr>
                <w:noProof/>
                <w:webHidden/>
              </w:rPr>
              <w:tab/>
            </w:r>
            <w:r>
              <w:rPr>
                <w:noProof/>
                <w:webHidden/>
              </w:rPr>
              <w:fldChar w:fldCharType="begin"/>
            </w:r>
            <w:r>
              <w:rPr>
                <w:noProof/>
                <w:webHidden/>
              </w:rPr>
              <w:instrText xml:space="preserve"> PAGEREF _Toc229418559 \h </w:instrText>
            </w:r>
            <w:r>
              <w:rPr>
                <w:noProof/>
                <w:webHidden/>
              </w:rPr>
            </w:r>
            <w:r>
              <w:rPr>
                <w:noProof/>
                <w:webHidden/>
              </w:rPr>
              <w:fldChar w:fldCharType="separate"/>
            </w:r>
            <w:r>
              <w:rPr>
                <w:noProof/>
                <w:webHidden/>
              </w:rPr>
              <w:t>7</w:t>
            </w:r>
            <w:r>
              <w:rPr>
                <w:noProof/>
                <w:webHidden/>
              </w:rPr>
              <w:fldChar w:fldCharType="end"/>
            </w:r>
          </w:hyperlink>
        </w:p>
        <w:p w14:paraId="28CC4B5A" w14:textId="1C06E2AF" w:rsidR="00E43349" w:rsidRDefault="00E43349">
          <w:pPr>
            <w:pStyle w:val="TOC2"/>
            <w:tabs>
              <w:tab w:val="right" w:leader="dot" w:pos="9016"/>
            </w:tabs>
            <w:rPr>
              <w:rFonts w:cstheme="minorBidi"/>
              <w:noProof/>
              <w:kern w:val="2"/>
              <w:sz w:val="24"/>
              <w:szCs w:val="24"/>
              <w:lang w:val="en-GB" w:eastAsia="en-GB"/>
              <w14:ligatures w14:val="standardContextual"/>
            </w:rPr>
          </w:pPr>
          <w:hyperlink w:anchor="_Toc229418560" w:history="1">
            <w:r w:rsidRPr="00141EC5">
              <w:rPr>
                <w:rStyle w:val="Hyperlink"/>
                <w:rFonts w:ascii="Arial" w:hAnsi="Arial" w:cs="Arial"/>
                <w:noProof/>
                <w:lang w:eastAsia="en-GB"/>
              </w:rPr>
              <w:t>Failure to Consult under TUPE</w:t>
            </w:r>
            <w:r>
              <w:rPr>
                <w:noProof/>
                <w:webHidden/>
              </w:rPr>
              <w:tab/>
            </w:r>
            <w:r>
              <w:rPr>
                <w:noProof/>
                <w:webHidden/>
              </w:rPr>
              <w:fldChar w:fldCharType="begin"/>
            </w:r>
            <w:r>
              <w:rPr>
                <w:noProof/>
                <w:webHidden/>
              </w:rPr>
              <w:instrText xml:space="preserve"> PAGEREF _Toc229418560 \h </w:instrText>
            </w:r>
            <w:r>
              <w:rPr>
                <w:noProof/>
                <w:webHidden/>
              </w:rPr>
            </w:r>
            <w:r>
              <w:rPr>
                <w:noProof/>
                <w:webHidden/>
              </w:rPr>
              <w:fldChar w:fldCharType="separate"/>
            </w:r>
            <w:r>
              <w:rPr>
                <w:noProof/>
                <w:webHidden/>
              </w:rPr>
              <w:t>8</w:t>
            </w:r>
            <w:r>
              <w:rPr>
                <w:noProof/>
                <w:webHidden/>
              </w:rPr>
              <w:fldChar w:fldCharType="end"/>
            </w:r>
          </w:hyperlink>
        </w:p>
        <w:p w14:paraId="40738965" w14:textId="77FABD58" w:rsidR="00E43349" w:rsidRDefault="00E43349">
          <w:pPr>
            <w:pStyle w:val="TOC2"/>
            <w:tabs>
              <w:tab w:val="right" w:leader="dot" w:pos="9016"/>
            </w:tabs>
            <w:rPr>
              <w:rFonts w:cstheme="minorBidi"/>
              <w:noProof/>
              <w:kern w:val="2"/>
              <w:sz w:val="24"/>
              <w:szCs w:val="24"/>
              <w:lang w:val="en-GB" w:eastAsia="en-GB"/>
              <w14:ligatures w14:val="standardContextual"/>
            </w:rPr>
          </w:pPr>
          <w:hyperlink w:anchor="_Toc229418561" w:history="1">
            <w:r w:rsidRPr="00141EC5">
              <w:rPr>
                <w:rStyle w:val="Hyperlink"/>
                <w:rFonts w:ascii="Arial" w:eastAsia="Times New Roman" w:hAnsi="Arial" w:cs="Arial"/>
                <w:noProof/>
                <w:lang w:eastAsia="en-GB"/>
              </w:rPr>
              <w:t>Dispute Resolution</w:t>
            </w:r>
            <w:r>
              <w:rPr>
                <w:noProof/>
                <w:webHidden/>
              </w:rPr>
              <w:tab/>
            </w:r>
            <w:r>
              <w:rPr>
                <w:noProof/>
                <w:webHidden/>
              </w:rPr>
              <w:fldChar w:fldCharType="begin"/>
            </w:r>
            <w:r>
              <w:rPr>
                <w:noProof/>
                <w:webHidden/>
              </w:rPr>
              <w:instrText xml:space="preserve"> PAGEREF _Toc229418561 \h </w:instrText>
            </w:r>
            <w:r>
              <w:rPr>
                <w:noProof/>
                <w:webHidden/>
              </w:rPr>
            </w:r>
            <w:r>
              <w:rPr>
                <w:noProof/>
                <w:webHidden/>
              </w:rPr>
              <w:fldChar w:fldCharType="separate"/>
            </w:r>
            <w:r>
              <w:rPr>
                <w:noProof/>
                <w:webHidden/>
              </w:rPr>
              <w:t>8</w:t>
            </w:r>
            <w:r>
              <w:rPr>
                <w:noProof/>
                <w:webHidden/>
              </w:rPr>
              <w:fldChar w:fldCharType="end"/>
            </w:r>
          </w:hyperlink>
        </w:p>
        <w:p w14:paraId="2B6ACF65" w14:textId="27C2C554" w:rsidR="00E43349" w:rsidRDefault="00E43349">
          <w:pPr>
            <w:pStyle w:val="TOC1"/>
            <w:tabs>
              <w:tab w:val="right" w:leader="dot" w:pos="9016"/>
            </w:tabs>
            <w:rPr>
              <w:rFonts w:cstheme="minorBidi"/>
              <w:noProof/>
              <w:kern w:val="2"/>
              <w:sz w:val="24"/>
              <w:szCs w:val="24"/>
              <w:lang w:val="en-GB" w:eastAsia="en-GB"/>
              <w14:ligatures w14:val="standardContextual"/>
            </w:rPr>
          </w:pPr>
          <w:hyperlink w:anchor="_Toc229418562" w:history="1">
            <w:r w:rsidRPr="00141EC5">
              <w:rPr>
                <w:rStyle w:val="Hyperlink"/>
                <w:rFonts w:ascii="Arial" w:hAnsi="Arial" w:cs="Arial"/>
                <w:noProof/>
                <w:lang w:eastAsia="en-GB"/>
              </w:rPr>
              <w:t>Compliance and Policy Recommendations</w:t>
            </w:r>
            <w:r>
              <w:rPr>
                <w:noProof/>
                <w:webHidden/>
              </w:rPr>
              <w:tab/>
            </w:r>
            <w:r>
              <w:rPr>
                <w:noProof/>
                <w:webHidden/>
              </w:rPr>
              <w:fldChar w:fldCharType="begin"/>
            </w:r>
            <w:r>
              <w:rPr>
                <w:noProof/>
                <w:webHidden/>
              </w:rPr>
              <w:instrText xml:space="preserve"> PAGEREF _Toc229418562 \h </w:instrText>
            </w:r>
            <w:r>
              <w:rPr>
                <w:noProof/>
                <w:webHidden/>
              </w:rPr>
            </w:r>
            <w:r>
              <w:rPr>
                <w:noProof/>
                <w:webHidden/>
              </w:rPr>
              <w:fldChar w:fldCharType="separate"/>
            </w:r>
            <w:r>
              <w:rPr>
                <w:noProof/>
                <w:webHidden/>
              </w:rPr>
              <w:t>9</w:t>
            </w:r>
            <w:r>
              <w:rPr>
                <w:noProof/>
                <w:webHidden/>
              </w:rPr>
              <w:fldChar w:fldCharType="end"/>
            </w:r>
          </w:hyperlink>
        </w:p>
        <w:p w14:paraId="3BA31827" w14:textId="33342CD5" w:rsidR="00E43349" w:rsidRDefault="00E43349">
          <w:pPr>
            <w:pStyle w:val="TOC2"/>
            <w:tabs>
              <w:tab w:val="right" w:leader="dot" w:pos="9016"/>
            </w:tabs>
            <w:rPr>
              <w:rFonts w:cstheme="minorBidi"/>
              <w:noProof/>
              <w:kern w:val="2"/>
              <w:sz w:val="24"/>
              <w:szCs w:val="24"/>
              <w:lang w:val="en-GB" w:eastAsia="en-GB"/>
              <w14:ligatures w14:val="standardContextual"/>
            </w:rPr>
          </w:pPr>
          <w:hyperlink w:anchor="_Toc229418563" w:history="1">
            <w:r w:rsidRPr="00141EC5">
              <w:rPr>
                <w:rStyle w:val="Hyperlink"/>
                <w:rFonts w:ascii="Arial" w:hAnsi="Arial" w:cs="Arial"/>
                <w:noProof/>
                <w:lang w:eastAsia="en-GB"/>
              </w:rPr>
              <w:t>Targeted Training to Enhance Manager Capability</w:t>
            </w:r>
            <w:r>
              <w:rPr>
                <w:noProof/>
                <w:webHidden/>
              </w:rPr>
              <w:tab/>
            </w:r>
            <w:r>
              <w:rPr>
                <w:noProof/>
                <w:webHidden/>
              </w:rPr>
              <w:fldChar w:fldCharType="begin"/>
            </w:r>
            <w:r>
              <w:rPr>
                <w:noProof/>
                <w:webHidden/>
              </w:rPr>
              <w:instrText xml:space="preserve"> PAGEREF _Toc229418563 \h </w:instrText>
            </w:r>
            <w:r>
              <w:rPr>
                <w:noProof/>
                <w:webHidden/>
              </w:rPr>
            </w:r>
            <w:r>
              <w:rPr>
                <w:noProof/>
                <w:webHidden/>
              </w:rPr>
              <w:fldChar w:fldCharType="separate"/>
            </w:r>
            <w:r>
              <w:rPr>
                <w:noProof/>
                <w:webHidden/>
              </w:rPr>
              <w:t>9</w:t>
            </w:r>
            <w:r>
              <w:rPr>
                <w:noProof/>
                <w:webHidden/>
              </w:rPr>
              <w:fldChar w:fldCharType="end"/>
            </w:r>
          </w:hyperlink>
        </w:p>
        <w:p w14:paraId="7AE26E6D" w14:textId="2C820D96" w:rsidR="00E43349" w:rsidRDefault="00E43349">
          <w:pPr>
            <w:pStyle w:val="TOC2"/>
            <w:tabs>
              <w:tab w:val="right" w:leader="dot" w:pos="9016"/>
            </w:tabs>
            <w:rPr>
              <w:rFonts w:cstheme="minorBidi"/>
              <w:noProof/>
              <w:kern w:val="2"/>
              <w:sz w:val="24"/>
              <w:szCs w:val="24"/>
              <w:lang w:val="en-GB" w:eastAsia="en-GB"/>
              <w14:ligatures w14:val="standardContextual"/>
            </w:rPr>
          </w:pPr>
          <w:hyperlink w:anchor="_Toc229418564" w:history="1">
            <w:r w:rsidRPr="00141EC5">
              <w:rPr>
                <w:rStyle w:val="Hyperlink"/>
                <w:rFonts w:ascii="Arial" w:eastAsia="Times New Roman" w:hAnsi="Arial" w:cs="Arial"/>
                <w:noProof/>
                <w:lang w:eastAsia="en-GB"/>
              </w:rPr>
              <w:t>Review and Strengthen Governance and Policy Frameworks</w:t>
            </w:r>
            <w:r>
              <w:rPr>
                <w:noProof/>
                <w:webHidden/>
              </w:rPr>
              <w:tab/>
            </w:r>
            <w:r>
              <w:rPr>
                <w:noProof/>
                <w:webHidden/>
              </w:rPr>
              <w:fldChar w:fldCharType="begin"/>
            </w:r>
            <w:r>
              <w:rPr>
                <w:noProof/>
                <w:webHidden/>
              </w:rPr>
              <w:instrText xml:space="preserve"> PAGEREF _Toc229418564 \h </w:instrText>
            </w:r>
            <w:r>
              <w:rPr>
                <w:noProof/>
                <w:webHidden/>
              </w:rPr>
            </w:r>
            <w:r>
              <w:rPr>
                <w:noProof/>
                <w:webHidden/>
              </w:rPr>
              <w:fldChar w:fldCharType="separate"/>
            </w:r>
            <w:r>
              <w:rPr>
                <w:noProof/>
                <w:webHidden/>
              </w:rPr>
              <w:t>10</w:t>
            </w:r>
            <w:r>
              <w:rPr>
                <w:noProof/>
                <w:webHidden/>
              </w:rPr>
              <w:fldChar w:fldCharType="end"/>
            </w:r>
          </w:hyperlink>
        </w:p>
        <w:p w14:paraId="5BB338C4" w14:textId="5B19EA35" w:rsidR="00E43349" w:rsidRDefault="00E43349">
          <w:pPr>
            <w:pStyle w:val="TOC2"/>
            <w:tabs>
              <w:tab w:val="right" w:leader="dot" w:pos="9016"/>
            </w:tabs>
            <w:rPr>
              <w:rFonts w:cstheme="minorBidi"/>
              <w:noProof/>
              <w:kern w:val="2"/>
              <w:sz w:val="24"/>
              <w:szCs w:val="24"/>
              <w:lang w:val="en-GB" w:eastAsia="en-GB"/>
              <w14:ligatures w14:val="standardContextual"/>
            </w:rPr>
          </w:pPr>
          <w:hyperlink w:anchor="_Toc229418565" w:history="1">
            <w:r w:rsidRPr="00141EC5">
              <w:rPr>
                <w:rStyle w:val="Hyperlink"/>
                <w:rFonts w:ascii="Arial" w:eastAsia="Times New Roman" w:hAnsi="Arial" w:cs="Arial"/>
                <w:noProof/>
                <w:lang w:eastAsia="en-GB"/>
              </w:rPr>
              <w:t>Strengthen Strategic Workforce Planning</w:t>
            </w:r>
            <w:r>
              <w:rPr>
                <w:noProof/>
                <w:webHidden/>
              </w:rPr>
              <w:tab/>
            </w:r>
            <w:r>
              <w:rPr>
                <w:noProof/>
                <w:webHidden/>
              </w:rPr>
              <w:fldChar w:fldCharType="begin"/>
            </w:r>
            <w:r>
              <w:rPr>
                <w:noProof/>
                <w:webHidden/>
              </w:rPr>
              <w:instrText xml:space="preserve"> PAGEREF _Toc229418565 \h </w:instrText>
            </w:r>
            <w:r>
              <w:rPr>
                <w:noProof/>
                <w:webHidden/>
              </w:rPr>
            </w:r>
            <w:r>
              <w:rPr>
                <w:noProof/>
                <w:webHidden/>
              </w:rPr>
              <w:fldChar w:fldCharType="separate"/>
            </w:r>
            <w:r>
              <w:rPr>
                <w:noProof/>
                <w:webHidden/>
              </w:rPr>
              <w:t>10</w:t>
            </w:r>
            <w:r>
              <w:rPr>
                <w:noProof/>
                <w:webHidden/>
              </w:rPr>
              <w:fldChar w:fldCharType="end"/>
            </w:r>
          </w:hyperlink>
        </w:p>
        <w:p w14:paraId="0595AA12" w14:textId="4B52EFEB" w:rsidR="00E43349" w:rsidRDefault="00E43349">
          <w:pPr>
            <w:pStyle w:val="TOC1"/>
            <w:tabs>
              <w:tab w:val="right" w:leader="dot" w:pos="9016"/>
            </w:tabs>
            <w:rPr>
              <w:rFonts w:cstheme="minorBidi"/>
              <w:noProof/>
              <w:kern w:val="2"/>
              <w:sz w:val="24"/>
              <w:szCs w:val="24"/>
              <w:lang w:val="en-GB" w:eastAsia="en-GB"/>
              <w14:ligatures w14:val="standardContextual"/>
            </w:rPr>
          </w:pPr>
          <w:hyperlink w:anchor="_Toc229418566" w:history="1">
            <w:r w:rsidRPr="00141EC5">
              <w:rPr>
                <w:rStyle w:val="Hyperlink"/>
                <w:rFonts w:ascii="Arial" w:hAnsi="Arial" w:cs="Arial"/>
                <w:noProof/>
                <w:lang w:eastAsia="en-GB"/>
              </w:rPr>
              <w:t>Moving Beyond Compliance</w:t>
            </w:r>
            <w:r>
              <w:rPr>
                <w:noProof/>
                <w:webHidden/>
              </w:rPr>
              <w:tab/>
            </w:r>
            <w:r>
              <w:rPr>
                <w:noProof/>
                <w:webHidden/>
              </w:rPr>
              <w:fldChar w:fldCharType="begin"/>
            </w:r>
            <w:r>
              <w:rPr>
                <w:noProof/>
                <w:webHidden/>
              </w:rPr>
              <w:instrText xml:space="preserve"> PAGEREF _Toc229418566 \h </w:instrText>
            </w:r>
            <w:r>
              <w:rPr>
                <w:noProof/>
                <w:webHidden/>
              </w:rPr>
            </w:r>
            <w:r>
              <w:rPr>
                <w:noProof/>
                <w:webHidden/>
              </w:rPr>
              <w:fldChar w:fldCharType="separate"/>
            </w:r>
            <w:r>
              <w:rPr>
                <w:noProof/>
                <w:webHidden/>
              </w:rPr>
              <w:t>11</w:t>
            </w:r>
            <w:r>
              <w:rPr>
                <w:noProof/>
                <w:webHidden/>
              </w:rPr>
              <w:fldChar w:fldCharType="end"/>
            </w:r>
          </w:hyperlink>
        </w:p>
        <w:p w14:paraId="59AA3979" w14:textId="4EFAADC5" w:rsidR="00E43349" w:rsidRDefault="00E43349">
          <w:pPr>
            <w:pStyle w:val="TOC1"/>
            <w:tabs>
              <w:tab w:val="right" w:leader="dot" w:pos="9016"/>
            </w:tabs>
            <w:rPr>
              <w:rFonts w:cstheme="minorBidi"/>
              <w:noProof/>
              <w:kern w:val="2"/>
              <w:sz w:val="24"/>
              <w:szCs w:val="24"/>
              <w:lang w:val="en-GB" w:eastAsia="en-GB"/>
              <w14:ligatures w14:val="standardContextual"/>
            </w:rPr>
          </w:pPr>
          <w:hyperlink w:anchor="_Toc229418567" w:history="1">
            <w:r w:rsidRPr="00141EC5">
              <w:rPr>
                <w:rStyle w:val="Hyperlink"/>
                <w:rFonts w:ascii="Arial" w:eastAsia="Times New Roman" w:hAnsi="Arial" w:cs="Arial"/>
                <w:noProof/>
                <w:lang w:eastAsia="en-GB"/>
              </w:rPr>
              <w:t>Conclusion</w:t>
            </w:r>
            <w:r>
              <w:rPr>
                <w:noProof/>
                <w:webHidden/>
              </w:rPr>
              <w:tab/>
            </w:r>
            <w:r>
              <w:rPr>
                <w:noProof/>
                <w:webHidden/>
              </w:rPr>
              <w:fldChar w:fldCharType="begin"/>
            </w:r>
            <w:r>
              <w:rPr>
                <w:noProof/>
                <w:webHidden/>
              </w:rPr>
              <w:instrText xml:space="preserve"> PAGEREF _Toc229418567 \h </w:instrText>
            </w:r>
            <w:r>
              <w:rPr>
                <w:noProof/>
                <w:webHidden/>
              </w:rPr>
            </w:r>
            <w:r>
              <w:rPr>
                <w:noProof/>
                <w:webHidden/>
              </w:rPr>
              <w:fldChar w:fldCharType="separate"/>
            </w:r>
            <w:r>
              <w:rPr>
                <w:noProof/>
                <w:webHidden/>
              </w:rPr>
              <w:t>13</w:t>
            </w:r>
            <w:r>
              <w:rPr>
                <w:noProof/>
                <w:webHidden/>
              </w:rPr>
              <w:fldChar w:fldCharType="end"/>
            </w:r>
          </w:hyperlink>
        </w:p>
        <w:p w14:paraId="726BB4FD" w14:textId="6BB578FC" w:rsidR="00E43349" w:rsidRDefault="00E43349">
          <w:pPr>
            <w:pStyle w:val="TOC1"/>
            <w:tabs>
              <w:tab w:val="right" w:leader="dot" w:pos="9016"/>
            </w:tabs>
            <w:rPr>
              <w:rFonts w:cstheme="minorBidi"/>
              <w:noProof/>
              <w:kern w:val="2"/>
              <w:sz w:val="24"/>
              <w:szCs w:val="24"/>
              <w:lang w:val="en-GB" w:eastAsia="en-GB"/>
              <w14:ligatures w14:val="standardContextual"/>
            </w:rPr>
          </w:pPr>
          <w:hyperlink w:anchor="_Toc229418568" w:history="1">
            <w:r w:rsidRPr="00141EC5">
              <w:rPr>
                <w:rStyle w:val="Hyperlink"/>
                <w:rFonts w:ascii="Arial" w:eastAsia="Times New Roman" w:hAnsi="Arial" w:cs="Arial"/>
                <w:noProof/>
                <w:lang w:eastAsia="en-GB"/>
              </w:rPr>
              <w:t>Bibliography</w:t>
            </w:r>
            <w:r>
              <w:rPr>
                <w:noProof/>
                <w:webHidden/>
              </w:rPr>
              <w:tab/>
            </w:r>
            <w:r>
              <w:rPr>
                <w:noProof/>
                <w:webHidden/>
              </w:rPr>
              <w:fldChar w:fldCharType="begin"/>
            </w:r>
            <w:r>
              <w:rPr>
                <w:noProof/>
                <w:webHidden/>
              </w:rPr>
              <w:instrText xml:space="preserve"> PAGEREF _Toc229418568 \h </w:instrText>
            </w:r>
            <w:r>
              <w:rPr>
                <w:noProof/>
                <w:webHidden/>
              </w:rPr>
            </w:r>
            <w:r>
              <w:rPr>
                <w:noProof/>
                <w:webHidden/>
              </w:rPr>
              <w:fldChar w:fldCharType="separate"/>
            </w:r>
            <w:r>
              <w:rPr>
                <w:noProof/>
                <w:webHidden/>
              </w:rPr>
              <w:t>14</w:t>
            </w:r>
            <w:r>
              <w:rPr>
                <w:noProof/>
                <w:webHidden/>
              </w:rPr>
              <w:fldChar w:fldCharType="end"/>
            </w:r>
          </w:hyperlink>
        </w:p>
        <w:p w14:paraId="1C4601FA" w14:textId="290B4C8A" w:rsidR="00AA5C69" w:rsidRDefault="00AA5C69">
          <w:r w:rsidRPr="00C76051">
            <w:rPr>
              <w:rFonts w:ascii="Arial" w:hAnsi="Arial" w:cs="Arial"/>
              <w:b/>
              <w:bCs/>
              <w:noProof/>
            </w:rPr>
            <w:fldChar w:fldCharType="end"/>
          </w:r>
        </w:p>
      </w:sdtContent>
    </w:sdt>
    <w:p w14:paraId="27B46F28" w14:textId="6AF145C5" w:rsidR="00030297" w:rsidRDefault="00030297">
      <w:pPr>
        <w:rPr>
          <w:rFonts w:asciiTheme="majorHAnsi" w:eastAsiaTheme="minorEastAsia" w:hAnsiTheme="majorHAnsi" w:cstheme="majorBidi"/>
          <w:color w:val="0F4761" w:themeColor="accent1" w:themeShade="BF"/>
          <w:sz w:val="40"/>
          <w:szCs w:val="40"/>
          <w:lang w:val="en-US" w:eastAsia="en-GB"/>
        </w:rPr>
      </w:pPr>
      <w:r>
        <w:rPr>
          <w:rFonts w:eastAsiaTheme="minorEastAsia"/>
          <w:lang w:val="en-US" w:eastAsia="en-GB"/>
        </w:rPr>
        <w:br w:type="page"/>
      </w:r>
    </w:p>
    <w:p w14:paraId="7FABCC1E" w14:textId="341A77A3" w:rsidR="00542567" w:rsidRDefault="00542567" w:rsidP="008B3DF1">
      <w:pPr>
        <w:pStyle w:val="Heading1"/>
        <w:spacing w:line="360" w:lineRule="auto"/>
      </w:pPr>
      <w:bookmarkStart w:id="0" w:name="_Toc229418552"/>
      <w:r w:rsidRPr="00D20738">
        <w:lastRenderedPageBreak/>
        <w:t>Executive Summary</w:t>
      </w:r>
      <w:bookmarkEnd w:id="0"/>
    </w:p>
    <w:p w14:paraId="3D81BA7D" w14:textId="27B52F95" w:rsidR="006666A9" w:rsidRPr="00F179AC" w:rsidRDefault="00DE36B9" w:rsidP="00F179AC">
      <w:pPr>
        <w:spacing w:line="360" w:lineRule="auto"/>
        <w:jc w:val="both"/>
        <w:rPr>
          <w:rFonts w:ascii="Arial" w:hAnsi="Arial" w:cs="Arial"/>
          <w:sz w:val="24"/>
          <w:szCs w:val="24"/>
        </w:rPr>
      </w:pPr>
      <w:r w:rsidRPr="00F179AC">
        <w:rPr>
          <w:rFonts w:ascii="Arial" w:hAnsi="Arial" w:cs="Arial"/>
          <w:sz w:val="24"/>
          <w:szCs w:val="24"/>
        </w:rPr>
        <w:t xml:space="preserve">Elmbridge Electronics </w:t>
      </w:r>
      <w:r w:rsidR="002245AD" w:rsidRPr="00F179AC">
        <w:rPr>
          <w:rFonts w:ascii="Arial" w:hAnsi="Arial" w:cs="Arial"/>
          <w:sz w:val="24"/>
          <w:szCs w:val="24"/>
        </w:rPr>
        <w:t xml:space="preserve">Limited </w:t>
      </w:r>
      <w:r w:rsidR="00016306" w:rsidRPr="00F179AC">
        <w:rPr>
          <w:rFonts w:ascii="Arial" w:hAnsi="Arial" w:cs="Arial"/>
          <w:sz w:val="24"/>
          <w:szCs w:val="24"/>
        </w:rPr>
        <w:t xml:space="preserve">has experienced </w:t>
      </w:r>
      <w:r w:rsidR="00CE5B9D" w:rsidRPr="00F179AC">
        <w:rPr>
          <w:rFonts w:ascii="Arial" w:hAnsi="Arial" w:cs="Arial"/>
          <w:sz w:val="24"/>
          <w:szCs w:val="24"/>
        </w:rPr>
        <w:t xml:space="preserve">considerable legal </w:t>
      </w:r>
      <w:r w:rsidR="00A2076F" w:rsidRPr="00F179AC">
        <w:rPr>
          <w:rFonts w:ascii="Arial" w:hAnsi="Arial" w:cs="Arial"/>
          <w:sz w:val="24"/>
          <w:szCs w:val="24"/>
        </w:rPr>
        <w:t>exposure</w:t>
      </w:r>
      <w:r w:rsidR="006B7A43" w:rsidRPr="00F179AC">
        <w:rPr>
          <w:rFonts w:ascii="Arial" w:hAnsi="Arial" w:cs="Arial"/>
          <w:sz w:val="24"/>
          <w:szCs w:val="24"/>
        </w:rPr>
        <w:t xml:space="preserve">, </w:t>
      </w:r>
      <w:r w:rsidR="00E91B37" w:rsidRPr="00F179AC">
        <w:rPr>
          <w:rFonts w:ascii="Arial" w:hAnsi="Arial" w:cs="Arial"/>
          <w:sz w:val="24"/>
          <w:szCs w:val="24"/>
        </w:rPr>
        <w:t>resulting in significant financial penalties</w:t>
      </w:r>
      <w:r w:rsidR="00643508" w:rsidRPr="00F179AC">
        <w:rPr>
          <w:rFonts w:ascii="Arial" w:hAnsi="Arial" w:cs="Arial"/>
          <w:sz w:val="24"/>
          <w:szCs w:val="24"/>
        </w:rPr>
        <w:t xml:space="preserve">. Moreover, </w:t>
      </w:r>
      <w:r w:rsidR="00A448DD" w:rsidRPr="00F179AC">
        <w:rPr>
          <w:rFonts w:ascii="Arial" w:hAnsi="Arial" w:cs="Arial"/>
          <w:sz w:val="24"/>
          <w:szCs w:val="24"/>
        </w:rPr>
        <w:t xml:space="preserve">Elmbridge have face </w:t>
      </w:r>
      <w:r w:rsidR="00E40EAB" w:rsidRPr="00F179AC">
        <w:rPr>
          <w:rFonts w:ascii="Arial" w:hAnsi="Arial" w:cs="Arial"/>
          <w:sz w:val="24"/>
          <w:szCs w:val="24"/>
        </w:rPr>
        <w:t>ongoing operational challenges</w:t>
      </w:r>
      <w:r w:rsidR="00663C11" w:rsidRPr="00F179AC">
        <w:rPr>
          <w:rFonts w:ascii="Arial" w:hAnsi="Arial" w:cs="Arial"/>
          <w:sz w:val="24"/>
          <w:szCs w:val="24"/>
        </w:rPr>
        <w:t xml:space="preserve">, impacting </w:t>
      </w:r>
      <w:r w:rsidR="006611B1" w:rsidRPr="00F179AC">
        <w:rPr>
          <w:rFonts w:ascii="Arial" w:hAnsi="Arial" w:cs="Arial"/>
          <w:sz w:val="24"/>
          <w:szCs w:val="24"/>
        </w:rPr>
        <w:t>productively, turnover and sicknes</w:t>
      </w:r>
      <w:r w:rsidR="0046130D" w:rsidRPr="00F179AC">
        <w:rPr>
          <w:rFonts w:ascii="Arial" w:hAnsi="Arial" w:cs="Arial"/>
          <w:sz w:val="24"/>
          <w:szCs w:val="24"/>
        </w:rPr>
        <w:t xml:space="preserve">s. The organisation </w:t>
      </w:r>
      <w:r w:rsidR="007E4C18" w:rsidRPr="00F179AC">
        <w:rPr>
          <w:rFonts w:ascii="Arial" w:hAnsi="Arial" w:cs="Arial"/>
          <w:sz w:val="24"/>
          <w:szCs w:val="24"/>
        </w:rPr>
        <w:t>is</w:t>
      </w:r>
      <w:r w:rsidR="007747D2" w:rsidRPr="00F179AC">
        <w:rPr>
          <w:rFonts w:ascii="Arial" w:hAnsi="Arial" w:cs="Arial"/>
          <w:sz w:val="24"/>
          <w:szCs w:val="24"/>
        </w:rPr>
        <w:t xml:space="preserve"> at risk of further </w:t>
      </w:r>
      <w:r w:rsidR="00D32A48" w:rsidRPr="00F179AC">
        <w:rPr>
          <w:rFonts w:ascii="Arial" w:hAnsi="Arial" w:cs="Arial"/>
          <w:sz w:val="24"/>
          <w:szCs w:val="24"/>
        </w:rPr>
        <w:t xml:space="preserve">legal, financial and workforce </w:t>
      </w:r>
      <w:r w:rsidR="007E56E6" w:rsidRPr="00F179AC">
        <w:rPr>
          <w:rFonts w:ascii="Arial" w:hAnsi="Arial" w:cs="Arial"/>
          <w:sz w:val="24"/>
          <w:szCs w:val="24"/>
        </w:rPr>
        <w:t>instability</w:t>
      </w:r>
      <w:r w:rsidR="0081216B" w:rsidRPr="00F179AC">
        <w:rPr>
          <w:rFonts w:ascii="Arial" w:hAnsi="Arial" w:cs="Arial"/>
          <w:sz w:val="24"/>
          <w:szCs w:val="24"/>
        </w:rPr>
        <w:t xml:space="preserve"> if </w:t>
      </w:r>
      <w:r w:rsidR="005949CC" w:rsidRPr="00F179AC">
        <w:rPr>
          <w:rFonts w:ascii="Arial" w:hAnsi="Arial" w:cs="Arial"/>
          <w:sz w:val="24"/>
          <w:szCs w:val="24"/>
        </w:rPr>
        <w:t>they</w:t>
      </w:r>
      <w:r w:rsidR="0081216B" w:rsidRPr="00F179AC">
        <w:rPr>
          <w:rFonts w:ascii="Arial" w:hAnsi="Arial" w:cs="Arial"/>
          <w:sz w:val="24"/>
          <w:szCs w:val="24"/>
        </w:rPr>
        <w:t xml:space="preserve"> do not adopt a strategic approach </w:t>
      </w:r>
      <w:r w:rsidR="005336B0" w:rsidRPr="00F179AC">
        <w:rPr>
          <w:rFonts w:ascii="Arial" w:hAnsi="Arial" w:cs="Arial"/>
          <w:sz w:val="24"/>
          <w:szCs w:val="24"/>
        </w:rPr>
        <w:t>to embed robust governance</w:t>
      </w:r>
      <w:r w:rsidR="005949CC" w:rsidRPr="00F179AC">
        <w:rPr>
          <w:rFonts w:ascii="Arial" w:hAnsi="Arial" w:cs="Arial"/>
          <w:sz w:val="24"/>
          <w:szCs w:val="24"/>
        </w:rPr>
        <w:t xml:space="preserve"> </w:t>
      </w:r>
      <w:r w:rsidR="00B01501" w:rsidRPr="00F179AC">
        <w:rPr>
          <w:rFonts w:ascii="Arial" w:hAnsi="Arial" w:cs="Arial"/>
          <w:sz w:val="24"/>
          <w:szCs w:val="24"/>
        </w:rPr>
        <w:t>and people management</w:t>
      </w:r>
      <w:r w:rsidR="00BC047E" w:rsidRPr="00F179AC">
        <w:rPr>
          <w:rFonts w:ascii="Arial" w:hAnsi="Arial" w:cs="Arial"/>
          <w:sz w:val="24"/>
          <w:szCs w:val="24"/>
        </w:rPr>
        <w:t xml:space="preserve"> </w:t>
      </w:r>
      <w:r w:rsidR="005949CC" w:rsidRPr="00F179AC">
        <w:rPr>
          <w:rFonts w:ascii="Arial" w:hAnsi="Arial" w:cs="Arial"/>
          <w:sz w:val="24"/>
          <w:szCs w:val="24"/>
        </w:rPr>
        <w:t xml:space="preserve">practices. </w:t>
      </w:r>
      <w:r w:rsidR="00B01501" w:rsidRPr="00F179AC">
        <w:rPr>
          <w:rFonts w:ascii="Arial" w:hAnsi="Arial" w:cs="Arial"/>
          <w:sz w:val="24"/>
          <w:szCs w:val="24"/>
        </w:rPr>
        <w:t xml:space="preserve"> </w:t>
      </w:r>
      <w:r w:rsidR="002626EE" w:rsidRPr="00F179AC">
        <w:rPr>
          <w:rFonts w:ascii="Arial" w:hAnsi="Arial" w:cs="Arial"/>
          <w:sz w:val="24"/>
          <w:szCs w:val="24"/>
        </w:rPr>
        <w:t xml:space="preserve">With a new CEO in place, Elmbridge </w:t>
      </w:r>
      <w:r w:rsidR="007725A9" w:rsidRPr="00F179AC">
        <w:rPr>
          <w:rFonts w:ascii="Arial" w:hAnsi="Arial" w:cs="Arial"/>
          <w:sz w:val="24"/>
          <w:szCs w:val="24"/>
        </w:rPr>
        <w:t xml:space="preserve">have an opportunity </w:t>
      </w:r>
      <w:r w:rsidR="00A62F4E" w:rsidRPr="00F179AC">
        <w:rPr>
          <w:rFonts w:ascii="Arial" w:hAnsi="Arial" w:cs="Arial"/>
          <w:sz w:val="24"/>
          <w:szCs w:val="24"/>
        </w:rPr>
        <w:t xml:space="preserve">to </w:t>
      </w:r>
      <w:r w:rsidR="00BB1989" w:rsidRPr="00F179AC">
        <w:rPr>
          <w:rFonts w:ascii="Arial" w:hAnsi="Arial" w:cs="Arial"/>
          <w:sz w:val="24"/>
          <w:szCs w:val="24"/>
        </w:rPr>
        <w:t xml:space="preserve">move away from </w:t>
      </w:r>
      <w:r w:rsidR="00A80CEC" w:rsidRPr="00F179AC">
        <w:rPr>
          <w:rFonts w:ascii="Arial" w:hAnsi="Arial" w:cs="Arial"/>
          <w:sz w:val="24"/>
          <w:szCs w:val="24"/>
        </w:rPr>
        <w:t xml:space="preserve">reactive responses and </w:t>
      </w:r>
      <w:r w:rsidR="00476DDD" w:rsidRPr="00F179AC">
        <w:rPr>
          <w:rFonts w:ascii="Arial" w:hAnsi="Arial" w:cs="Arial"/>
          <w:sz w:val="24"/>
          <w:szCs w:val="24"/>
        </w:rPr>
        <w:t xml:space="preserve">establish </w:t>
      </w:r>
      <w:r w:rsidR="00863413" w:rsidRPr="00F179AC">
        <w:rPr>
          <w:rFonts w:ascii="Arial" w:hAnsi="Arial" w:cs="Arial"/>
          <w:sz w:val="24"/>
          <w:szCs w:val="24"/>
        </w:rPr>
        <w:t xml:space="preserve">a more </w:t>
      </w:r>
      <w:r w:rsidR="00542C66" w:rsidRPr="00F179AC">
        <w:rPr>
          <w:rFonts w:ascii="Arial" w:hAnsi="Arial" w:cs="Arial"/>
          <w:sz w:val="24"/>
          <w:szCs w:val="24"/>
        </w:rPr>
        <w:t>strategic</w:t>
      </w:r>
      <w:r w:rsidR="00863413" w:rsidRPr="00F179AC">
        <w:rPr>
          <w:rFonts w:ascii="Arial" w:hAnsi="Arial" w:cs="Arial"/>
          <w:sz w:val="24"/>
          <w:szCs w:val="24"/>
        </w:rPr>
        <w:t xml:space="preserve"> approach</w:t>
      </w:r>
      <w:r w:rsidR="00303213" w:rsidRPr="00F179AC">
        <w:rPr>
          <w:rFonts w:ascii="Arial" w:hAnsi="Arial" w:cs="Arial"/>
          <w:sz w:val="24"/>
          <w:szCs w:val="24"/>
        </w:rPr>
        <w:t xml:space="preserve">, </w:t>
      </w:r>
      <w:r w:rsidR="00314515" w:rsidRPr="00F179AC">
        <w:rPr>
          <w:rFonts w:ascii="Arial" w:hAnsi="Arial" w:cs="Arial"/>
          <w:sz w:val="24"/>
          <w:szCs w:val="24"/>
        </w:rPr>
        <w:t>resulting in</w:t>
      </w:r>
      <w:r w:rsidR="001A4906" w:rsidRPr="00F179AC">
        <w:rPr>
          <w:rFonts w:ascii="Arial" w:hAnsi="Arial" w:cs="Arial"/>
          <w:sz w:val="24"/>
          <w:szCs w:val="24"/>
        </w:rPr>
        <w:t xml:space="preserve"> improved </w:t>
      </w:r>
      <w:r w:rsidR="00FF4FD4" w:rsidRPr="00F179AC">
        <w:rPr>
          <w:rFonts w:ascii="Arial" w:hAnsi="Arial" w:cs="Arial"/>
          <w:sz w:val="24"/>
          <w:szCs w:val="24"/>
        </w:rPr>
        <w:t xml:space="preserve">compliance, </w:t>
      </w:r>
      <w:r w:rsidR="00C36126" w:rsidRPr="00F179AC">
        <w:rPr>
          <w:rFonts w:ascii="Arial" w:hAnsi="Arial" w:cs="Arial"/>
          <w:sz w:val="24"/>
          <w:szCs w:val="24"/>
        </w:rPr>
        <w:t>performance</w:t>
      </w:r>
      <w:r w:rsidR="00314515" w:rsidRPr="00F179AC">
        <w:rPr>
          <w:rFonts w:ascii="Arial" w:hAnsi="Arial" w:cs="Arial"/>
          <w:sz w:val="24"/>
          <w:szCs w:val="24"/>
        </w:rPr>
        <w:t xml:space="preserve"> and </w:t>
      </w:r>
      <w:r w:rsidR="00C3354B" w:rsidRPr="00F179AC">
        <w:rPr>
          <w:rFonts w:ascii="Arial" w:hAnsi="Arial" w:cs="Arial"/>
          <w:sz w:val="24"/>
          <w:szCs w:val="24"/>
        </w:rPr>
        <w:t xml:space="preserve">workforce stability. </w:t>
      </w:r>
    </w:p>
    <w:p w14:paraId="1B90B253" w14:textId="33FA46B7" w:rsidR="00C3354B" w:rsidRPr="00F179AC" w:rsidRDefault="00C3354B" w:rsidP="00F179AC">
      <w:pPr>
        <w:spacing w:line="360" w:lineRule="auto"/>
        <w:jc w:val="both"/>
        <w:rPr>
          <w:rFonts w:ascii="Arial" w:hAnsi="Arial" w:cs="Arial"/>
          <w:sz w:val="24"/>
          <w:szCs w:val="24"/>
        </w:rPr>
      </w:pPr>
      <w:r w:rsidRPr="00F179AC">
        <w:rPr>
          <w:rFonts w:ascii="Arial" w:hAnsi="Arial" w:cs="Arial"/>
          <w:sz w:val="24"/>
          <w:szCs w:val="24"/>
        </w:rPr>
        <w:t xml:space="preserve">With </w:t>
      </w:r>
      <w:r w:rsidR="00C11E4F" w:rsidRPr="00F179AC">
        <w:rPr>
          <w:rFonts w:ascii="Arial" w:hAnsi="Arial" w:cs="Arial"/>
          <w:sz w:val="24"/>
          <w:szCs w:val="24"/>
        </w:rPr>
        <w:t xml:space="preserve">the </w:t>
      </w:r>
      <w:r w:rsidR="00DF2D93" w:rsidRPr="00F179AC">
        <w:rPr>
          <w:rFonts w:ascii="Arial" w:hAnsi="Arial" w:cs="Arial"/>
          <w:sz w:val="24"/>
          <w:szCs w:val="24"/>
        </w:rPr>
        <w:t xml:space="preserve">upcoming changes to </w:t>
      </w:r>
      <w:r w:rsidR="00290545" w:rsidRPr="00290545">
        <w:rPr>
          <w:rFonts w:ascii="Arial" w:hAnsi="Arial" w:cs="Arial"/>
          <w:sz w:val="24"/>
          <w:szCs w:val="24"/>
        </w:rPr>
        <w:t>t</w:t>
      </w:r>
      <w:r w:rsidR="00DF2D93" w:rsidRPr="00290545">
        <w:rPr>
          <w:rFonts w:ascii="Arial" w:hAnsi="Arial" w:cs="Arial"/>
          <w:sz w:val="24"/>
          <w:szCs w:val="24"/>
        </w:rPr>
        <w:t>he</w:t>
      </w:r>
      <w:r w:rsidR="00DF2D93" w:rsidRPr="00F179AC">
        <w:rPr>
          <w:rFonts w:ascii="Arial" w:hAnsi="Arial" w:cs="Arial"/>
          <w:i/>
          <w:iCs/>
          <w:sz w:val="24"/>
          <w:szCs w:val="24"/>
        </w:rPr>
        <w:t xml:space="preserve"> </w:t>
      </w:r>
      <w:r w:rsidR="00D47D31" w:rsidRPr="00F35971">
        <w:rPr>
          <w:rFonts w:ascii="Arial" w:hAnsi="Arial" w:cs="Arial"/>
          <w:sz w:val="24"/>
          <w:szCs w:val="24"/>
        </w:rPr>
        <w:t>Employment Rights Act 202</w:t>
      </w:r>
      <w:r w:rsidR="00F35971" w:rsidRPr="00F35971">
        <w:rPr>
          <w:rFonts w:ascii="Arial" w:hAnsi="Arial" w:cs="Arial"/>
          <w:sz w:val="24"/>
          <w:szCs w:val="24"/>
        </w:rPr>
        <w:t>5</w:t>
      </w:r>
      <w:r w:rsidR="00DF2D93" w:rsidRPr="00F179AC">
        <w:rPr>
          <w:rFonts w:ascii="Arial" w:hAnsi="Arial" w:cs="Arial"/>
          <w:i/>
          <w:iCs/>
          <w:sz w:val="24"/>
          <w:szCs w:val="24"/>
        </w:rPr>
        <w:t xml:space="preserve">, </w:t>
      </w:r>
      <w:r w:rsidR="005A336B" w:rsidRPr="00F179AC">
        <w:rPr>
          <w:rFonts w:ascii="Arial" w:hAnsi="Arial" w:cs="Arial"/>
          <w:sz w:val="24"/>
          <w:szCs w:val="24"/>
        </w:rPr>
        <w:t>which seek to improve protection for workers</w:t>
      </w:r>
      <w:r w:rsidR="005A16C3" w:rsidRPr="00F179AC">
        <w:rPr>
          <w:rFonts w:ascii="Arial" w:hAnsi="Arial" w:cs="Arial"/>
          <w:sz w:val="24"/>
          <w:szCs w:val="24"/>
        </w:rPr>
        <w:t>, it is vital</w:t>
      </w:r>
      <w:r w:rsidR="00107657" w:rsidRPr="00F179AC">
        <w:rPr>
          <w:rFonts w:ascii="Arial" w:hAnsi="Arial" w:cs="Arial"/>
          <w:sz w:val="24"/>
          <w:szCs w:val="24"/>
        </w:rPr>
        <w:t xml:space="preserve"> that</w:t>
      </w:r>
      <w:r w:rsidR="005A16C3" w:rsidRPr="00F179AC">
        <w:rPr>
          <w:rFonts w:ascii="Arial" w:hAnsi="Arial" w:cs="Arial"/>
          <w:sz w:val="24"/>
          <w:szCs w:val="24"/>
        </w:rPr>
        <w:t xml:space="preserve"> Elmbridge </w:t>
      </w:r>
      <w:r w:rsidR="00570513" w:rsidRPr="00F179AC">
        <w:rPr>
          <w:rFonts w:ascii="Arial" w:hAnsi="Arial" w:cs="Arial"/>
          <w:sz w:val="24"/>
          <w:szCs w:val="24"/>
        </w:rPr>
        <w:t xml:space="preserve">review </w:t>
      </w:r>
      <w:r w:rsidR="00991034" w:rsidRPr="00F179AC">
        <w:rPr>
          <w:rFonts w:ascii="Arial" w:hAnsi="Arial" w:cs="Arial"/>
          <w:sz w:val="24"/>
          <w:szCs w:val="24"/>
        </w:rPr>
        <w:t xml:space="preserve">the </w:t>
      </w:r>
      <w:r w:rsidR="009C0E9A" w:rsidRPr="00F179AC">
        <w:rPr>
          <w:rFonts w:ascii="Arial" w:hAnsi="Arial" w:cs="Arial"/>
          <w:sz w:val="24"/>
          <w:szCs w:val="24"/>
        </w:rPr>
        <w:t xml:space="preserve">immediate </w:t>
      </w:r>
      <w:r w:rsidR="00A936E8" w:rsidRPr="00F179AC">
        <w:rPr>
          <w:rFonts w:ascii="Arial" w:hAnsi="Arial" w:cs="Arial"/>
          <w:sz w:val="24"/>
          <w:szCs w:val="24"/>
        </w:rPr>
        <w:t xml:space="preserve">risks relating to the </w:t>
      </w:r>
      <w:r w:rsidR="00EC6EA0" w:rsidRPr="00F179AC">
        <w:rPr>
          <w:rFonts w:ascii="Arial" w:hAnsi="Arial" w:cs="Arial"/>
          <w:sz w:val="24"/>
          <w:szCs w:val="24"/>
        </w:rPr>
        <w:t>below:</w:t>
      </w:r>
    </w:p>
    <w:p w14:paraId="2EF6D699" w14:textId="453CFCA3" w:rsidR="00EC6EA0" w:rsidRPr="00F179AC" w:rsidRDefault="00EC6EA0" w:rsidP="00F179AC">
      <w:pPr>
        <w:pStyle w:val="ListParagraph"/>
        <w:numPr>
          <w:ilvl w:val="0"/>
          <w:numId w:val="2"/>
        </w:numPr>
        <w:spacing w:line="360" w:lineRule="auto"/>
        <w:jc w:val="both"/>
        <w:rPr>
          <w:rFonts w:ascii="Arial" w:hAnsi="Arial" w:cs="Arial"/>
          <w:sz w:val="24"/>
          <w:szCs w:val="24"/>
        </w:rPr>
      </w:pPr>
      <w:r w:rsidRPr="00F179AC">
        <w:rPr>
          <w:rFonts w:ascii="Arial" w:hAnsi="Arial" w:cs="Arial"/>
          <w:sz w:val="24"/>
          <w:szCs w:val="24"/>
        </w:rPr>
        <w:t>Zero-</w:t>
      </w:r>
      <w:r w:rsidR="008D78A3">
        <w:rPr>
          <w:rFonts w:ascii="Arial" w:hAnsi="Arial" w:cs="Arial"/>
          <w:sz w:val="24"/>
          <w:szCs w:val="24"/>
        </w:rPr>
        <w:t>H</w:t>
      </w:r>
      <w:r w:rsidR="002F42FF" w:rsidRPr="00F179AC">
        <w:rPr>
          <w:rFonts w:ascii="Arial" w:hAnsi="Arial" w:cs="Arial"/>
          <w:sz w:val="24"/>
          <w:szCs w:val="24"/>
        </w:rPr>
        <w:t>our</w:t>
      </w:r>
      <w:r w:rsidR="00571012" w:rsidRPr="00F179AC">
        <w:rPr>
          <w:rFonts w:ascii="Arial" w:hAnsi="Arial" w:cs="Arial"/>
          <w:sz w:val="24"/>
          <w:szCs w:val="24"/>
        </w:rPr>
        <w:t>s</w:t>
      </w:r>
      <w:r w:rsidR="002F42FF" w:rsidRPr="00F179AC">
        <w:rPr>
          <w:rFonts w:ascii="Arial" w:hAnsi="Arial" w:cs="Arial"/>
          <w:sz w:val="24"/>
          <w:szCs w:val="24"/>
        </w:rPr>
        <w:t xml:space="preserve"> </w:t>
      </w:r>
      <w:r w:rsidR="008D78A3">
        <w:rPr>
          <w:rFonts w:ascii="Arial" w:hAnsi="Arial" w:cs="Arial"/>
          <w:sz w:val="24"/>
          <w:szCs w:val="24"/>
        </w:rPr>
        <w:t>C</w:t>
      </w:r>
      <w:r w:rsidR="002F42FF" w:rsidRPr="00F179AC">
        <w:rPr>
          <w:rFonts w:ascii="Arial" w:hAnsi="Arial" w:cs="Arial"/>
          <w:sz w:val="24"/>
          <w:szCs w:val="24"/>
        </w:rPr>
        <w:t>ontracts</w:t>
      </w:r>
    </w:p>
    <w:p w14:paraId="29E3ACE3" w14:textId="73AD9AC1" w:rsidR="002F42FF" w:rsidRPr="00F179AC" w:rsidRDefault="002F42FF" w:rsidP="00F179AC">
      <w:pPr>
        <w:pStyle w:val="ListParagraph"/>
        <w:numPr>
          <w:ilvl w:val="0"/>
          <w:numId w:val="2"/>
        </w:numPr>
        <w:spacing w:line="360" w:lineRule="auto"/>
        <w:jc w:val="both"/>
        <w:rPr>
          <w:rFonts w:ascii="Arial" w:hAnsi="Arial" w:cs="Arial"/>
          <w:sz w:val="24"/>
          <w:szCs w:val="24"/>
        </w:rPr>
      </w:pPr>
      <w:r w:rsidRPr="00F179AC">
        <w:rPr>
          <w:rFonts w:ascii="Arial" w:hAnsi="Arial" w:cs="Arial"/>
          <w:sz w:val="24"/>
          <w:szCs w:val="24"/>
        </w:rPr>
        <w:t xml:space="preserve">Trade </w:t>
      </w:r>
      <w:r w:rsidR="008D78A3">
        <w:rPr>
          <w:rFonts w:ascii="Arial" w:hAnsi="Arial" w:cs="Arial"/>
          <w:sz w:val="24"/>
          <w:szCs w:val="24"/>
        </w:rPr>
        <w:t>U</w:t>
      </w:r>
      <w:r w:rsidRPr="00F179AC">
        <w:rPr>
          <w:rFonts w:ascii="Arial" w:hAnsi="Arial" w:cs="Arial"/>
          <w:sz w:val="24"/>
          <w:szCs w:val="24"/>
        </w:rPr>
        <w:t>nion</w:t>
      </w:r>
      <w:r w:rsidR="0034399C" w:rsidRPr="00F179AC">
        <w:rPr>
          <w:rFonts w:ascii="Arial" w:hAnsi="Arial" w:cs="Arial"/>
          <w:sz w:val="24"/>
          <w:szCs w:val="24"/>
        </w:rPr>
        <w:t xml:space="preserve"> </w:t>
      </w:r>
      <w:r w:rsidR="008D78A3">
        <w:rPr>
          <w:rFonts w:ascii="Arial" w:hAnsi="Arial" w:cs="Arial"/>
          <w:sz w:val="24"/>
          <w:szCs w:val="24"/>
        </w:rPr>
        <w:t>E</w:t>
      </w:r>
      <w:r w:rsidR="0034399C" w:rsidRPr="00F179AC">
        <w:rPr>
          <w:rFonts w:ascii="Arial" w:hAnsi="Arial" w:cs="Arial"/>
          <w:sz w:val="24"/>
          <w:szCs w:val="24"/>
        </w:rPr>
        <w:t>ngagement</w:t>
      </w:r>
    </w:p>
    <w:p w14:paraId="79649EBB" w14:textId="5784A7E9" w:rsidR="002F42FF" w:rsidRPr="00F179AC" w:rsidRDefault="008B550D" w:rsidP="00F179AC">
      <w:pPr>
        <w:pStyle w:val="ListParagraph"/>
        <w:numPr>
          <w:ilvl w:val="0"/>
          <w:numId w:val="2"/>
        </w:numPr>
        <w:spacing w:line="360" w:lineRule="auto"/>
        <w:jc w:val="both"/>
        <w:rPr>
          <w:rFonts w:ascii="Arial" w:hAnsi="Arial" w:cs="Arial"/>
          <w:sz w:val="24"/>
          <w:szCs w:val="24"/>
        </w:rPr>
      </w:pPr>
      <w:r w:rsidRPr="00F179AC">
        <w:rPr>
          <w:rFonts w:ascii="Arial" w:hAnsi="Arial" w:cs="Arial"/>
          <w:sz w:val="24"/>
          <w:szCs w:val="24"/>
        </w:rPr>
        <w:t xml:space="preserve">Data </w:t>
      </w:r>
      <w:r w:rsidR="008D78A3">
        <w:rPr>
          <w:rFonts w:ascii="Arial" w:hAnsi="Arial" w:cs="Arial"/>
          <w:sz w:val="24"/>
          <w:szCs w:val="24"/>
        </w:rPr>
        <w:t>P</w:t>
      </w:r>
      <w:r w:rsidRPr="00F179AC">
        <w:rPr>
          <w:rFonts w:ascii="Arial" w:hAnsi="Arial" w:cs="Arial"/>
          <w:sz w:val="24"/>
          <w:szCs w:val="24"/>
        </w:rPr>
        <w:t xml:space="preserve">rotection </w:t>
      </w:r>
      <w:r w:rsidR="008D78A3">
        <w:rPr>
          <w:rFonts w:ascii="Arial" w:hAnsi="Arial" w:cs="Arial"/>
          <w:sz w:val="24"/>
          <w:szCs w:val="24"/>
        </w:rPr>
        <w:t>B</w:t>
      </w:r>
      <w:r w:rsidR="00511C46" w:rsidRPr="00F179AC">
        <w:rPr>
          <w:rFonts w:ascii="Arial" w:hAnsi="Arial" w:cs="Arial"/>
          <w:sz w:val="24"/>
          <w:szCs w:val="24"/>
        </w:rPr>
        <w:t>r</w:t>
      </w:r>
      <w:r w:rsidRPr="00F179AC">
        <w:rPr>
          <w:rFonts w:ascii="Arial" w:hAnsi="Arial" w:cs="Arial"/>
          <w:sz w:val="24"/>
          <w:szCs w:val="24"/>
        </w:rPr>
        <w:t>eaches</w:t>
      </w:r>
    </w:p>
    <w:p w14:paraId="643D9AF2" w14:textId="1C64B75F" w:rsidR="008B550D" w:rsidRPr="00F179AC" w:rsidRDefault="007831A1" w:rsidP="00F179AC">
      <w:pPr>
        <w:pStyle w:val="ListParagraph"/>
        <w:numPr>
          <w:ilvl w:val="0"/>
          <w:numId w:val="2"/>
        </w:numPr>
        <w:spacing w:line="360" w:lineRule="auto"/>
        <w:jc w:val="both"/>
        <w:rPr>
          <w:rFonts w:ascii="Arial" w:hAnsi="Arial" w:cs="Arial"/>
          <w:sz w:val="24"/>
          <w:szCs w:val="24"/>
        </w:rPr>
      </w:pPr>
      <w:r w:rsidRPr="00F179AC">
        <w:rPr>
          <w:rFonts w:ascii="Arial" w:hAnsi="Arial" w:cs="Arial"/>
          <w:sz w:val="24"/>
          <w:szCs w:val="24"/>
        </w:rPr>
        <w:t>Harassment</w:t>
      </w:r>
      <w:r w:rsidR="008B550D" w:rsidRPr="00F179AC">
        <w:rPr>
          <w:rFonts w:ascii="Arial" w:hAnsi="Arial" w:cs="Arial"/>
          <w:sz w:val="24"/>
          <w:szCs w:val="24"/>
        </w:rPr>
        <w:t xml:space="preserve"> </w:t>
      </w:r>
      <w:r w:rsidR="00511C46" w:rsidRPr="00F179AC">
        <w:rPr>
          <w:rFonts w:ascii="Arial" w:hAnsi="Arial" w:cs="Arial"/>
          <w:sz w:val="24"/>
          <w:szCs w:val="24"/>
        </w:rPr>
        <w:t>a</w:t>
      </w:r>
      <w:r w:rsidR="008B550D" w:rsidRPr="00F179AC">
        <w:rPr>
          <w:rFonts w:ascii="Arial" w:hAnsi="Arial" w:cs="Arial"/>
          <w:sz w:val="24"/>
          <w:szCs w:val="24"/>
        </w:rPr>
        <w:t xml:space="preserve">t </w:t>
      </w:r>
      <w:r w:rsidR="00511C46" w:rsidRPr="00F179AC">
        <w:rPr>
          <w:rFonts w:ascii="Arial" w:hAnsi="Arial" w:cs="Arial"/>
          <w:sz w:val="24"/>
          <w:szCs w:val="24"/>
        </w:rPr>
        <w:t>W</w:t>
      </w:r>
      <w:r w:rsidR="008B550D" w:rsidRPr="00F179AC">
        <w:rPr>
          <w:rFonts w:ascii="Arial" w:hAnsi="Arial" w:cs="Arial"/>
          <w:sz w:val="24"/>
          <w:szCs w:val="24"/>
        </w:rPr>
        <w:t>ork</w:t>
      </w:r>
    </w:p>
    <w:p w14:paraId="110C1F11" w14:textId="274E2B76" w:rsidR="008B550D" w:rsidRPr="00F179AC" w:rsidRDefault="00AB527D" w:rsidP="00F179AC">
      <w:pPr>
        <w:pStyle w:val="ListParagraph"/>
        <w:numPr>
          <w:ilvl w:val="0"/>
          <w:numId w:val="2"/>
        </w:numPr>
        <w:spacing w:line="360" w:lineRule="auto"/>
        <w:jc w:val="both"/>
        <w:rPr>
          <w:rFonts w:ascii="Arial" w:hAnsi="Arial" w:cs="Arial"/>
          <w:sz w:val="24"/>
          <w:szCs w:val="24"/>
        </w:rPr>
      </w:pPr>
      <w:r w:rsidRPr="00F179AC">
        <w:rPr>
          <w:rFonts w:ascii="Arial" w:hAnsi="Arial" w:cs="Arial"/>
          <w:sz w:val="24"/>
          <w:szCs w:val="24"/>
        </w:rPr>
        <w:t xml:space="preserve">Disability and </w:t>
      </w:r>
      <w:r w:rsidR="008D78A3">
        <w:rPr>
          <w:rFonts w:ascii="Arial" w:hAnsi="Arial" w:cs="Arial"/>
          <w:sz w:val="24"/>
          <w:szCs w:val="24"/>
        </w:rPr>
        <w:t>R</w:t>
      </w:r>
      <w:r w:rsidRPr="00F179AC">
        <w:rPr>
          <w:rFonts w:ascii="Arial" w:hAnsi="Arial" w:cs="Arial"/>
          <w:sz w:val="24"/>
          <w:szCs w:val="24"/>
        </w:rPr>
        <w:t xml:space="preserve">easonable </w:t>
      </w:r>
      <w:r w:rsidR="008D78A3">
        <w:rPr>
          <w:rFonts w:ascii="Arial" w:hAnsi="Arial" w:cs="Arial"/>
          <w:sz w:val="24"/>
          <w:szCs w:val="24"/>
        </w:rPr>
        <w:t>A</w:t>
      </w:r>
      <w:r w:rsidR="00101A3B" w:rsidRPr="00F179AC">
        <w:rPr>
          <w:rFonts w:ascii="Arial" w:hAnsi="Arial" w:cs="Arial"/>
          <w:sz w:val="24"/>
          <w:szCs w:val="24"/>
        </w:rPr>
        <w:t>djustments</w:t>
      </w:r>
    </w:p>
    <w:p w14:paraId="405CBB6C" w14:textId="3CB9A078" w:rsidR="002B3C7E" w:rsidRPr="00F179AC" w:rsidRDefault="00101A3B" w:rsidP="00F179AC">
      <w:pPr>
        <w:pStyle w:val="ListParagraph"/>
        <w:numPr>
          <w:ilvl w:val="0"/>
          <w:numId w:val="2"/>
        </w:numPr>
        <w:spacing w:line="360" w:lineRule="auto"/>
        <w:jc w:val="both"/>
        <w:rPr>
          <w:rFonts w:ascii="Arial" w:hAnsi="Arial" w:cs="Arial"/>
          <w:sz w:val="24"/>
          <w:szCs w:val="24"/>
        </w:rPr>
      </w:pPr>
      <w:r w:rsidRPr="00F179AC">
        <w:rPr>
          <w:rFonts w:ascii="Arial" w:hAnsi="Arial" w:cs="Arial"/>
          <w:sz w:val="24"/>
          <w:szCs w:val="24"/>
        </w:rPr>
        <w:t>Failure</w:t>
      </w:r>
      <w:r w:rsidR="002B3C7E" w:rsidRPr="00F179AC">
        <w:rPr>
          <w:rFonts w:ascii="Arial" w:hAnsi="Arial" w:cs="Arial"/>
          <w:sz w:val="24"/>
          <w:szCs w:val="24"/>
        </w:rPr>
        <w:t xml:space="preserve"> to </w:t>
      </w:r>
      <w:r w:rsidR="00B47CA1">
        <w:rPr>
          <w:rFonts w:ascii="Arial" w:hAnsi="Arial" w:cs="Arial"/>
          <w:sz w:val="24"/>
          <w:szCs w:val="24"/>
        </w:rPr>
        <w:t>C</w:t>
      </w:r>
      <w:r w:rsidR="002B3C7E" w:rsidRPr="00F179AC">
        <w:rPr>
          <w:rFonts w:ascii="Arial" w:hAnsi="Arial" w:cs="Arial"/>
          <w:sz w:val="24"/>
          <w:szCs w:val="24"/>
        </w:rPr>
        <w:t xml:space="preserve">onsult </w:t>
      </w:r>
      <w:r w:rsidR="00B47CA1">
        <w:rPr>
          <w:rFonts w:ascii="Arial" w:hAnsi="Arial" w:cs="Arial"/>
          <w:sz w:val="24"/>
          <w:szCs w:val="24"/>
        </w:rPr>
        <w:t>under</w:t>
      </w:r>
      <w:r w:rsidR="002B3C7E" w:rsidRPr="00F179AC">
        <w:rPr>
          <w:rFonts w:ascii="Arial" w:hAnsi="Arial" w:cs="Arial"/>
          <w:sz w:val="24"/>
          <w:szCs w:val="24"/>
        </w:rPr>
        <w:t xml:space="preserve"> TUPE</w:t>
      </w:r>
    </w:p>
    <w:p w14:paraId="3EEACF82" w14:textId="1E43FDBC" w:rsidR="002B3C7E" w:rsidRPr="00F179AC" w:rsidRDefault="002B3C7E" w:rsidP="00F179AC">
      <w:pPr>
        <w:pStyle w:val="ListParagraph"/>
        <w:numPr>
          <w:ilvl w:val="0"/>
          <w:numId w:val="2"/>
        </w:numPr>
        <w:spacing w:line="360" w:lineRule="auto"/>
        <w:jc w:val="both"/>
        <w:rPr>
          <w:rFonts w:ascii="Arial" w:hAnsi="Arial" w:cs="Arial"/>
          <w:sz w:val="24"/>
          <w:szCs w:val="24"/>
        </w:rPr>
      </w:pPr>
      <w:r w:rsidRPr="00F179AC">
        <w:rPr>
          <w:rFonts w:ascii="Arial" w:hAnsi="Arial" w:cs="Arial"/>
          <w:sz w:val="24"/>
          <w:szCs w:val="24"/>
        </w:rPr>
        <w:t xml:space="preserve">Dispute </w:t>
      </w:r>
      <w:r w:rsidR="00B47CA1">
        <w:rPr>
          <w:rFonts w:ascii="Arial" w:hAnsi="Arial" w:cs="Arial"/>
          <w:sz w:val="24"/>
          <w:szCs w:val="24"/>
        </w:rPr>
        <w:t>R</w:t>
      </w:r>
      <w:r w:rsidRPr="00F179AC">
        <w:rPr>
          <w:rFonts w:ascii="Arial" w:hAnsi="Arial" w:cs="Arial"/>
          <w:sz w:val="24"/>
          <w:szCs w:val="24"/>
        </w:rPr>
        <w:t>es</w:t>
      </w:r>
      <w:r w:rsidR="007831A1" w:rsidRPr="00F179AC">
        <w:rPr>
          <w:rFonts w:ascii="Arial" w:hAnsi="Arial" w:cs="Arial"/>
          <w:sz w:val="24"/>
          <w:szCs w:val="24"/>
        </w:rPr>
        <w:t>olution</w:t>
      </w:r>
    </w:p>
    <w:p w14:paraId="351A33E6" w14:textId="001787CD" w:rsidR="00CE4747" w:rsidRPr="00F179AC" w:rsidRDefault="00E71659" w:rsidP="00F179AC">
      <w:pPr>
        <w:spacing w:line="360" w:lineRule="auto"/>
        <w:jc w:val="both"/>
        <w:rPr>
          <w:rFonts w:ascii="Arial" w:hAnsi="Arial" w:cs="Arial"/>
          <w:sz w:val="24"/>
          <w:szCs w:val="24"/>
        </w:rPr>
      </w:pPr>
      <w:r w:rsidRPr="00F179AC">
        <w:rPr>
          <w:rFonts w:ascii="Arial" w:hAnsi="Arial" w:cs="Arial"/>
          <w:sz w:val="24"/>
          <w:szCs w:val="24"/>
        </w:rPr>
        <w:t xml:space="preserve">The below recommendations aim to address </w:t>
      </w:r>
      <w:r w:rsidR="00C84AFC" w:rsidRPr="00F179AC">
        <w:rPr>
          <w:rFonts w:ascii="Arial" w:hAnsi="Arial" w:cs="Arial"/>
          <w:sz w:val="24"/>
          <w:szCs w:val="24"/>
        </w:rPr>
        <w:t xml:space="preserve">the </w:t>
      </w:r>
      <w:r w:rsidR="00FC34D3" w:rsidRPr="00F179AC">
        <w:rPr>
          <w:rFonts w:ascii="Arial" w:hAnsi="Arial" w:cs="Arial"/>
          <w:sz w:val="24"/>
          <w:szCs w:val="24"/>
        </w:rPr>
        <w:t xml:space="preserve">organisation’s </w:t>
      </w:r>
      <w:r w:rsidR="00C84AFC" w:rsidRPr="00F179AC">
        <w:rPr>
          <w:rFonts w:ascii="Arial" w:hAnsi="Arial" w:cs="Arial"/>
          <w:sz w:val="24"/>
          <w:szCs w:val="24"/>
        </w:rPr>
        <w:t>immediate risks</w:t>
      </w:r>
      <w:r w:rsidR="00791D96" w:rsidRPr="00F179AC">
        <w:rPr>
          <w:rFonts w:ascii="Arial" w:hAnsi="Arial" w:cs="Arial"/>
          <w:sz w:val="24"/>
          <w:szCs w:val="24"/>
        </w:rPr>
        <w:t>, enabling Elmbridge to move beyond compliance</w:t>
      </w:r>
      <w:r w:rsidR="00CE4747" w:rsidRPr="00F179AC">
        <w:rPr>
          <w:rFonts w:ascii="Arial" w:hAnsi="Arial" w:cs="Arial"/>
          <w:sz w:val="24"/>
          <w:szCs w:val="24"/>
        </w:rPr>
        <w:t xml:space="preserve">: </w:t>
      </w:r>
    </w:p>
    <w:p w14:paraId="03879563" w14:textId="77777777" w:rsidR="00DE59ED" w:rsidRPr="00F179AC" w:rsidRDefault="00DE59ED" w:rsidP="00F179AC">
      <w:pPr>
        <w:pStyle w:val="ListParagraph"/>
        <w:numPr>
          <w:ilvl w:val="0"/>
          <w:numId w:val="4"/>
        </w:numPr>
        <w:spacing w:line="360" w:lineRule="auto"/>
        <w:jc w:val="both"/>
        <w:rPr>
          <w:rFonts w:ascii="Arial" w:hAnsi="Arial" w:cs="Arial"/>
          <w:sz w:val="24"/>
          <w:szCs w:val="24"/>
        </w:rPr>
      </w:pPr>
      <w:r w:rsidRPr="00F179AC">
        <w:rPr>
          <w:rFonts w:ascii="Arial" w:hAnsi="Arial" w:cs="Arial"/>
          <w:sz w:val="24"/>
          <w:szCs w:val="24"/>
        </w:rPr>
        <w:t>Targeted training to enhance manager capabilities</w:t>
      </w:r>
    </w:p>
    <w:p w14:paraId="1CE2CD46" w14:textId="77777777" w:rsidR="00B178AD" w:rsidRPr="00F179AC" w:rsidRDefault="001C4E71" w:rsidP="00F179AC">
      <w:pPr>
        <w:pStyle w:val="ListParagraph"/>
        <w:numPr>
          <w:ilvl w:val="0"/>
          <w:numId w:val="4"/>
        </w:numPr>
        <w:spacing w:line="360" w:lineRule="auto"/>
        <w:jc w:val="both"/>
        <w:rPr>
          <w:rFonts w:ascii="Arial" w:hAnsi="Arial" w:cs="Arial"/>
          <w:sz w:val="24"/>
          <w:szCs w:val="24"/>
        </w:rPr>
      </w:pPr>
      <w:r w:rsidRPr="00F179AC">
        <w:rPr>
          <w:rFonts w:ascii="Arial" w:hAnsi="Arial" w:cs="Arial"/>
          <w:sz w:val="24"/>
          <w:szCs w:val="24"/>
        </w:rPr>
        <w:t>Review and strengthen governance and pol</w:t>
      </w:r>
      <w:r w:rsidR="00B178AD" w:rsidRPr="00F179AC">
        <w:rPr>
          <w:rFonts w:ascii="Arial" w:hAnsi="Arial" w:cs="Arial"/>
          <w:sz w:val="24"/>
          <w:szCs w:val="24"/>
        </w:rPr>
        <w:t>icy framework</w:t>
      </w:r>
    </w:p>
    <w:p w14:paraId="4725D789" w14:textId="4AD6525D" w:rsidR="00B01501" w:rsidRPr="00F179AC" w:rsidRDefault="00B178AD" w:rsidP="00F179AC">
      <w:pPr>
        <w:pStyle w:val="ListParagraph"/>
        <w:numPr>
          <w:ilvl w:val="0"/>
          <w:numId w:val="4"/>
        </w:numPr>
        <w:spacing w:line="360" w:lineRule="auto"/>
        <w:jc w:val="both"/>
        <w:rPr>
          <w:rFonts w:ascii="Arial" w:hAnsi="Arial" w:cs="Arial"/>
          <w:sz w:val="24"/>
          <w:szCs w:val="24"/>
        </w:rPr>
      </w:pPr>
      <w:r w:rsidRPr="00F179AC">
        <w:rPr>
          <w:rFonts w:ascii="Arial" w:hAnsi="Arial" w:cs="Arial"/>
          <w:sz w:val="24"/>
          <w:szCs w:val="24"/>
        </w:rPr>
        <w:t>Strengthen Strategic Workforce Planning</w:t>
      </w:r>
      <w:r w:rsidR="00C84AFC" w:rsidRPr="00F179AC">
        <w:rPr>
          <w:rFonts w:ascii="Arial" w:hAnsi="Arial" w:cs="Arial"/>
          <w:sz w:val="24"/>
          <w:szCs w:val="24"/>
        </w:rPr>
        <w:t xml:space="preserve"> </w:t>
      </w:r>
    </w:p>
    <w:p w14:paraId="39A248BF" w14:textId="77777777" w:rsidR="00663C5C" w:rsidRDefault="00663C5C">
      <w:pPr>
        <w:rPr>
          <w:rFonts w:asciiTheme="majorHAnsi" w:eastAsiaTheme="majorEastAsia" w:hAnsiTheme="majorHAnsi" w:cstheme="majorBidi"/>
          <w:color w:val="0F4761" w:themeColor="accent1" w:themeShade="BF"/>
          <w:sz w:val="40"/>
          <w:szCs w:val="40"/>
        </w:rPr>
      </w:pPr>
      <w:r>
        <w:br w:type="page"/>
      </w:r>
    </w:p>
    <w:p w14:paraId="3DCF5478" w14:textId="4C2EC758" w:rsidR="00E72B2A" w:rsidRPr="00D20738" w:rsidRDefault="00620367" w:rsidP="00741AE9">
      <w:pPr>
        <w:pStyle w:val="Heading1"/>
        <w:spacing w:line="360" w:lineRule="auto"/>
        <w:jc w:val="both"/>
      </w:pPr>
      <w:bookmarkStart w:id="1" w:name="_Toc229418553"/>
      <w:r w:rsidRPr="00D20738">
        <w:lastRenderedPageBreak/>
        <w:t>Introduction</w:t>
      </w:r>
      <w:bookmarkEnd w:id="1"/>
    </w:p>
    <w:p w14:paraId="1056F4B9" w14:textId="0284DAE2" w:rsidR="00FC75DC" w:rsidRPr="00D20738" w:rsidRDefault="00FC75DC" w:rsidP="00741AE9">
      <w:pPr>
        <w:spacing w:after="0"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 xml:space="preserve">Elmbridge Electronics </w:t>
      </w:r>
      <w:r w:rsidR="00715E9A" w:rsidRPr="00D20738">
        <w:rPr>
          <w:rFonts w:ascii="Arial" w:eastAsia="Times New Roman" w:hAnsi="Arial" w:cs="Arial"/>
          <w:kern w:val="0"/>
          <w:sz w:val="24"/>
          <w:szCs w:val="24"/>
          <w:lang w:eastAsia="en-GB"/>
          <w14:ligatures w14:val="none"/>
        </w:rPr>
        <w:t>L</w:t>
      </w:r>
      <w:r w:rsidR="00715E9A">
        <w:rPr>
          <w:rFonts w:ascii="Arial" w:eastAsia="Times New Roman" w:hAnsi="Arial" w:cs="Arial"/>
          <w:kern w:val="0"/>
          <w:sz w:val="24"/>
          <w:szCs w:val="24"/>
          <w:lang w:eastAsia="en-GB"/>
          <w14:ligatures w14:val="none"/>
        </w:rPr>
        <w:t>imi</w:t>
      </w:r>
      <w:r w:rsidR="00715E9A" w:rsidRPr="00D20738">
        <w:rPr>
          <w:rFonts w:ascii="Arial" w:eastAsia="Times New Roman" w:hAnsi="Arial" w:cs="Arial"/>
          <w:kern w:val="0"/>
          <w:sz w:val="24"/>
          <w:szCs w:val="24"/>
          <w:lang w:eastAsia="en-GB"/>
          <w14:ligatures w14:val="none"/>
        </w:rPr>
        <w:t>ted</w:t>
      </w:r>
      <w:r w:rsidRPr="00D20738">
        <w:rPr>
          <w:rFonts w:ascii="Arial" w:eastAsia="Times New Roman" w:hAnsi="Arial" w:cs="Arial"/>
          <w:kern w:val="0"/>
          <w:sz w:val="24"/>
          <w:szCs w:val="24"/>
          <w:lang w:eastAsia="en-GB"/>
          <w14:ligatures w14:val="none"/>
        </w:rPr>
        <w:t xml:space="preserve"> have faced significant financial costs arising from employment tribunal litigation and settlement agreements, alongside wider workforce instability driven by elevated turnover and sickness absence. This report aims to analyse and identify the key immediate employment law risks the organisation face, advising on the appropriate response to minimises future legal, financial and workforce impact.  </w:t>
      </w:r>
    </w:p>
    <w:p w14:paraId="72F728E2" w14:textId="77777777" w:rsidR="00FC75DC" w:rsidRPr="00D20738" w:rsidRDefault="00FC75DC" w:rsidP="00741AE9">
      <w:pPr>
        <w:spacing w:after="0" w:line="360" w:lineRule="auto"/>
        <w:jc w:val="both"/>
        <w:rPr>
          <w:rFonts w:ascii="Arial" w:eastAsia="Times New Roman" w:hAnsi="Arial" w:cs="Arial"/>
          <w:kern w:val="0"/>
          <w:sz w:val="24"/>
          <w:szCs w:val="24"/>
          <w:lang w:eastAsia="en-GB"/>
          <w14:ligatures w14:val="none"/>
        </w:rPr>
      </w:pPr>
    </w:p>
    <w:p w14:paraId="0EE8517A" w14:textId="7F27ECC3" w:rsidR="00FC75DC" w:rsidRPr="00D20738" w:rsidRDefault="00FC75DC" w:rsidP="00741AE9">
      <w:pPr>
        <w:spacing w:after="0"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The organisations legal exposure reflect systemic failure to consistently apply core employment law principals, including fairness, transparency,</w:t>
      </w:r>
      <w:r w:rsidR="00741AE9">
        <w:rPr>
          <w:rFonts w:ascii="Arial" w:eastAsia="Times New Roman" w:hAnsi="Arial" w:cs="Arial"/>
          <w:kern w:val="0"/>
          <w:sz w:val="24"/>
          <w:szCs w:val="24"/>
          <w:lang w:eastAsia="en-GB"/>
          <w14:ligatures w14:val="none"/>
        </w:rPr>
        <w:t xml:space="preserve"> </w:t>
      </w:r>
      <w:r w:rsidRPr="00D20738">
        <w:rPr>
          <w:rFonts w:ascii="Arial" w:eastAsia="Times New Roman" w:hAnsi="Arial" w:cs="Arial"/>
          <w:kern w:val="0"/>
          <w:sz w:val="24"/>
          <w:szCs w:val="24"/>
          <w:lang w:eastAsia="en-GB"/>
          <w14:ligatures w14:val="none"/>
        </w:rPr>
        <w:t xml:space="preserve">consultation, proportionality and duty of care across people management practices. Elmbridge’s inadequate management of harassment, reasonable adjustments and workplace disputes have resulted in increased exposure to uncapped tribunal claims. While failures in data protection governance significantly increase regulatory exposure and undermine organisational compliance. Additionally, insufficient TUPE consultation and poor trade union engagement have meant increased risk of protection awards and industrial conflict. Furthermore, the continued use of zero-hour contracts may also result in further legal risk, particularly </w:t>
      </w:r>
      <w:proofErr w:type="gramStart"/>
      <w:r w:rsidRPr="00D20738">
        <w:rPr>
          <w:rFonts w:ascii="Arial" w:eastAsia="Times New Roman" w:hAnsi="Arial" w:cs="Arial"/>
          <w:kern w:val="0"/>
          <w:sz w:val="24"/>
          <w:szCs w:val="24"/>
          <w:lang w:eastAsia="en-GB"/>
          <w14:ligatures w14:val="none"/>
        </w:rPr>
        <w:t>in light of</w:t>
      </w:r>
      <w:proofErr w:type="gramEnd"/>
      <w:r w:rsidRPr="00D20738">
        <w:rPr>
          <w:rFonts w:ascii="Arial" w:eastAsia="Times New Roman" w:hAnsi="Arial" w:cs="Arial"/>
          <w:kern w:val="0"/>
          <w:sz w:val="24"/>
          <w:szCs w:val="24"/>
          <w:lang w:eastAsia="en-GB"/>
          <w14:ligatures w14:val="none"/>
        </w:rPr>
        <w:t xml:space="preserve"> the strengthened worker protections anticipated under the Employment Rights Act</w:t>
      </w:r>
      <w:r w:rsidR="00DE1A76">
        <w:rPr>
          <w:rFonts w:ascii="Arial" w:eastAsia="Times New Roman" w:hAnsi="Arial" w:cs="Arial"/>
          <w:kern w:val="0"/>
          <w:sz w:val="24"/>
          <w:szCs w:val="24"/>
          <w:lang w:eastAsia="en-GB"/>
          <w14:ligatures w14:val="none"/>
        </w:rPr>
        <w:t xml:space="preserve"> 2025</w:t>
      </w:r>
      <w:r w:rsidRPr="00D20738">
        <w:rPr>
          <w:rFonts w:ascii="Arial" w:eastAsia="Times New Roman" w:hAnsi="Arial" w:cs="Arial"/>
          <w:kern w:val="0"/>
          <w:sz w:val="24"/>
          <w:szCs w:val="24"/>
          <w:lang w:eastAsia="en-GB"/>
          <w14:ligatures w14:val="none"/>
        </w:rPr>
        <w:t xml:space="preserve">. Ultimately, identifying the immediate legal risks and outlining recommendations strengthens compliance while also highlighting the strategic investment required to improve people management capability and performance, moving beyond compliance to support long-term organisational sustainability. </w:t>
      </w:r>
    </w:p>
    <w:p w14:paraId="22A7899C" w14:textId="77777777" w:rsidR="00FC75DC" w:rsidRPr="00D20738" w:rsidRDefault="00FC75DC" w:rsidP="00741AE9">
      <w:pPr>
        <w:spacing w:line="360" w:lineRule="auto"/>
        <w:jc w:val="both"/>
        <w:rPr>
          <w:rFonts w:ascii="Arial" w:hAnsi="Arial" w:cs="Arial"/>
        </w:rPr>
      </w:pPr>
    </w:p>
    <w:p w14:paraId="4E6E00FA" w14:textId="27552459" w:rsidR="00E72B2A" w:rsidRPr="00D20738" w:rsidRDefault="00E72B2A" w:rsidP="00741AE9">
      <w:pPr>
        <w:pStyle w:val="Heading1"/>
        <w:spacing w:line="360" w:lineRule="auto"/>
        <w:jc w:val="both"/>
        <w:rPr>
          <w:rFonts w:ascii="Arial" w:eastAsiaTheme="minorEastAsia" w:hAnsi="Arial" w:cs="Arial"/>
          <w:lang w:val="en-US" w:eastAsia="en-GB"/>
        </w:rPr>
      </w:pPr>
      <w:bookmarkStart w:id="2" w:name="_Toc229418554"/>
      <w:r w:rsidRPr="00D20738">
        <w:rPr>
          <w:rFonts w:ascii="Arial" w:eastAsiaTheme="minorEastAsia" w:hAnsi="Arial" w:cs="Arial"/>
          <w:lang w:val="en-US" w:eastAsia="en-GB"/>
        </w:rPr>
        <w:t>Analysis and Advice</w:t>
      </w:r>
      <w:bookmarkEnd w:id="2"/>
    </w:p>
    <w:p w14:paraId="08FAA44D" w14:textId="5B97C720" w:rsidR="00ED5D3F" w:rsidRPr="00D20738" w:rsidRDefault="00ED5D3F" w:rsidP="00741AE9">
      <w:pPr>
        <w:pStyle w:val="Heading2"/>
        <w:spacing w:line="360" w:lineRule="auto"/>
        <w:jc w:val="both"/>
        <w:rPr>
          <w:rFonts w:ascii="Arial" w:eastAsia="Times New Roman" w:hAnsi="Arial" w:cs="Arial"/>
          <w:lang w:eastAsia="en-GB"/>
        </w:rPr>
      </w:pPr>
      <w:bookmarkStart w:id="3" w:name="_Toc229418555"/>
      <w:r w:rsidRPr="00D20738">
        <w:rPr>
          <w:rFonts w:ascii="Arial" w:eastAsia="Times New Roman" w:hAnsi="Arial" w:cs="Arial"/>
          <w:lang w:eastAsia="en-GB"/>
        </w:rPr>
        <w:t>Zero-</w:t>
      </w:r>
      <w:r w:rsidR="008D78A3">
        <w:rPr>
          <w:rFonts w:ascii="Arial" w:eastAsia="Times New Roman" w:hAnsi="Arial" w:cs="Arial"/>
          <w:lang w:eastAsia="en-GB"/>
        </w:rPr>
        <w:t>H</w:t>
      </w:r>
      <w:r w:rsidRPr="00D20738">
        <w:rPr>
          <w:rFonts w:ascii="Arial" w:eastAsia="Times New Roman" w:hAnsi="Arial" w:cs="Arial"/>
          <w:lang w:eastAsia="en-GB"/>
        </w:rPr>
        <w:t>our</w:t>
      </w:r>
      <w:r w:rsidR="008D78A3">
        <w:rPr>
          <w:rFonts w:ascii="Arial" w:eastAsia="Times New Roman" w:hAnsi="Arial" w:cs="Arial"/>
          <w:lang w:eastAsia="en-GB"/>
        </w:rPr>
        <w:t>s</w:t>
      </w:r>
      <w:r w:rsidRPr="00D20738">
        <w:rPr>
          <w:rFonts w:ascii="Arial" w:eastAsia="Times New Roman" w:hAnsi="Arial" w:cs="Arial"/>
          <w:lang w:eastAsia="en-GB"/>
        </w:rPr>
        <w:t xml:space="preserve"> </w:t>
      </w:r>
      <w:r w:rsidR="008D78A3">
        <w:rPr>
          <w:rFonts w:ascii="Arial" w:eastAsia="Times New Roman" w:hAnsi="Arial" w:cs="Arial"/>
          <w:lang w:eastAsia="en-GB"/>
        </w:rPr>
        <w:t>C</w:t>
      </w:r>
      <w:r w:rsidRPr="00D20738">
        <w:rPr>
          <w:rFonts w:ascii="Arial" w:eastAsia="Times New Roman" w:hAnsi="Arial" w:cs="Arial"/>
          <w:lang w:eastAsia="en-GB"/>
        </w:rPr>
        <w:t>ontracts</w:t>
      </w:r>
      <w:bookmarkEnd w:id="3"/>
    </w:p>
    <w:p w14:paraId="0099C67F" w14:textId="182EE680" w:rsidR="00995433" w:rsidRPr="00D20738" w:rsidRDefault="00ED5D3F" w:rsidP="00741AE9">
      <w:pPr>
        <w:spacing w:line="360" w:lineRule="auto"/>
        <w:jc w:val="both"/>
        <w:rPr>
          <w:rFonts w:ascii="Arial" w:hAnsi="Arial" w:cs="Arial"/>
          <w:sz w:val="24"/>
          <w:szCs w:val="24"/>
        </w:rPr>
      </w:pPr>
      <w:r w:rsidRPr="00D20738">
        <w:rPr>
          <w:rFonts w:ascii="Arial" w:eastAsia="Times New Roman" w:hAnsi="Arial" w:cs="Arial"/>
          <w:kern w:val="0"/>
          <w:sz w:val="24"/>
          <w:szCs w:val="24"/>
          <w:lang w:eastAsia="en-GB"/>
          <w14:ligatures w14:val="none"/>
        </w:rPr>
        <w:t xml:space="preserve">Although the </w:t>
      </w:r>
      <w:r w:rsidRPr="00A109A4">
        <w:rPr>
          <w:rFonts w:ascii="Arial" w:hAnsi="Arial" w:cs="Arial"/>
          <w:sz w:val="24"/>
          <w:szCs w:val="24"/>
        </w:rPr>
        <w:t>Employment Rights Act 2025</w:t>
      </w:r>
      <w:r w:rsidRPr="00D20738">
        <w:rPr>
          <w:rFonts w:ascii="Arial" w:hAnsi="Arial" w:cs="Arial"/>
          <w:sz w:val="24"/>
          <w:szCs w:val="24"/>
        </w:rPr>
        <w:t xml:space="preserve"> will not lead to banning zero-hours contracts, it does aim to introduce significant reform reflecting the Government’s intention to end one</w:t>
      </w:r>
      <w:r w:rsidRPr="00D20738">
        <w:rPr>
          <w:rFonts w:ascii="Arial" w:hAnsi="Arial" w:cs="Arial"/>
          <w:sz w:val="24"/>
          <w:szCs w:val="24"/>
        </w:rPr>
        <w:noBreakHyphen/>
        <w:t>sided flexibility by requiring greater security and predictability for zero</w:t>
      </w:r>
      <w:r w:rsidRPr="00D20738">
        <w:rPr>
          <w:rFonts w:ascii="Arial" w:hAnsi="Arial" w:cs="Arial"/>
          <w:sz w:val="24"/>
          <w:szCs w:val="24"/>
        </w:rPr>
        <w:noBreakHyphen/>
        <w:t>hours workers</w:t>
      </w:r>
      <w:r w:rsidR="00893003" w:rsidRPr="00D20738">
        <w:rPr>
          <w:rFonts w:ascii="Arial" w:hAnsi="Arial" w:cs="Arial"/>
          <w:sz w:val="24"/>
          <w:szCs w:val="24"/>
        </w:rPr>
        <w:t xml:space="preserve">. </w:t>
      </w:r>
      <w:r w:rsidRPr="00D20738">
        <w:rPr>
          <w:rFonts w:ascii="Arial" w:hAnsi="Arial" w:cs="Arial"/>
          <w:sz w:val="24"/>
          <w:szCs w:val="24"/>
        </w:rPr>
        <w:t xml:space="preserve">Considering </w:t>
      </w:r>
      <w:r w:rsidRPr="00D20738">
        <w:rPr>
          <w:rStyle w:val="normaltextrun"/>
          <w:rFonts w:ascii="Arial" w:eastAsia="Arial" w:hAnsi="Arial" w:cs="Arial"/>
          <w:sz w:val="24"/>
          <w:szCs w:val="24"/>
          <w:lang w:val="en-US"/>
        </w:rPr>
        <w:t xml:space="preserve">Elmbridge employs around 900 staff on zero-hours </w:t>
      </w:r>
      <w:r w:rsidRPr="00D20738">
        <w:rPr>
          <w:rStyle w:val="normaltextrun"/>
          <w:rFonts w:ascii="Arial" w:eastAsia="Arial" w:hAnsi="Arial" w:cs="Arial"/>
          <w:sz w:val="24"/>
          <w:szCs w:val="24"/>
          <w:lang w:val="en-US"/>
        </w:rPr>
        <w:lastRenderedPageBreak/>
        <w:t xml:space="preserve">contracts, it’s imperative that there is an awareness and understanding of the changes relating to </w:t>
      </w:r>
      <w:r w:rsidRPr="00D20738">
        <w:rPr>
          <w:rFonts w:ascii="Arial" w:hAnsi="Arial" w:cs="Arial"/>
          <w:sz w:val="24"/>
          <w:szCs w:val="24"/>
        </w:rPr>
        <w:t>the introduction of guaranteed hours, advance notice of shifts and compensation for short</w:t>
      </w:r>
      <w:r w:rsidRPr="00D20738">
        <w:rPr>
          <w:rFonts w:ascii="Arial" w:hAnsi="Arial" w:cs="Arial"/>
          <w:sz w:val="24"/>
          <w:szCs w:val="24"/>
        </w:rPr>
        <w:noBreakHyphen/>
        <w:t>notice cancellations</w:t>
      </w:r>
      <w:r w:rsidR="00FB4D10" w:rsidRPr="00D20738">
        <w:rPr>
          <w:rFonts w:ascii="Arial" w:hAnsi="Arial" w:cs="Arial"/>
          <w:sz w:val="24"/>
          <w:szCs w:val="24"/>
        </w:rPr>
        <w:t xml:space="preserve"> (UK Parliament, 2024)</w:t>
      </w:r>
      <w:r w:rsidRPr="00D20738">
        <w:rPr>
          <w:rFonts w:ascii="Arial" w:hAnsi="Arial" w:cs="Arial"/>
          <w:sz w:val="24"/>
          <w:szCs w:val="24"/>
        </w:rPr>
        <w:t xml:space="preserve">. The reforms intentionally </w:t>
      </w:r>
      <w:r w:rsidR="00DC0A96" w:rsidRPr="00D20738">
        <w:rPr>
          <w:rFonts w:ascii="Arial" w:hAnsi="Arial" w:cs="Arial"/>
          <w:sz w:val="24"/>
          <w:szCs w:val="24"/>
        </w:rPr>
        <w:t>shift</w:t>
      </w:r>
      <w:r w:rsidRPr="00D20738">
        <w:rPr>
          <w:rFonts w:ascii="Arial" w:hAnsi="Arial" w:cs="Arial"/>
          <w:sz w:val="24"/>
          <w:szCs w:val="24"/>
        </w:rPr>
        <w:t xml:space="preserve"> financial and operational risk away from workers and onto the employers, increasing exposure to legal claims, changes in employment status and trade union scrutiny where staffing arrangements are misaligned with the Act’s intent.</w:t>
      </w:r>
    </w:p>
    <w:p w14:paraId="534FB58E" w14:textId="4B6A44FD" w:rsidR="00DD0313" w:rsidRDefault="0064582C" w:rsidP="00741AE9">
      <w:pPr>
        <w:spacing w:line="360" w:lineRule="auto"/>
        <w:jc w:val="both"/>
        <w:rPr>
          <w:rFonts w:ascii="Arial" w:hAnsi="Arial" w:cs="Arial"/>
          <w:sz w:val="24"/>
          <w:szCs w:val="24"/>
        </w:rPr>
      </w:pPr>
      <w:r w:rsidRPr="00D20738">
        <w:rPr>
          <w:rFonts w:ascii="Arial" w:hAnsi="Arial" w:cs="Arial"/>
          <w:sz w:val="24"/>
          <w:szCs w:val="24"/>
        </w:rPr>
        <w:t xml:space="preserve">Elmbridge </w:t>
      </w:r>
      <w:r w:rsidR="00BE1CDA" w:rsidRPr="00D20738">
        <w:rPr>
          <w:rFonts w:ascii="Arial" w:hAnsi="Arial" w:cs="Arial"/>
          <w:sz w:val="24"/>
          <w:szCs w:val="24"/>
        </w:rPr>
        <w:t xml:space="preserve">must </w:t>
      </w:r>
      <w:r w:rsidR="00684962" w:rsidRPr="00D20738">
        <w:rPr>
          <w:rFonts w:ascii="Arial" w:hAnsi="Arial" w:cs="Arial"/>
          <w:sz w:val="24"/>
          <w:szCs w:val="24"/>
        </w:rPr>
        <w:t xml:space="preserve">align the employment status of all employees </w:t>
      </w:r>
      <w:r w:rsidR="00034A8E" w:rsidRPr="00D20738">
        <w:rPr>
          <w:rFonts w:ascii="Arial" w:hAnsi="Arial" w:cs="Arial"/>
          <w:sz w:val="24"/>
          <w:szCs w:val="24"/>
        </w:rPr>
        <w:t>currently on zero-hour contracts</w:t>
      </w:r>
      <w:r w:rsidR="003A6952" w:rsidRPr="00D20738">
        <w:rPr>
          <w:rFonts w:ascii="Arial" w:hAnsi="Arial" w:cs="Arial"/>
          <w:sz w:val="24"/>
          <w:szCs w:val="24"/>
        </w:rPr>
        <w:t xml:space="preserve"> with</w:t>
      </w:r>
      <w:r w:rsidR="00D9074A" w:rsidRPr="00D20738">
        <w:rPr>
          <w:rFonts w:ascii="Arial" w:hAnsi="Arial" w:cs="Arial"/>
          <w:sz w:val="24"/>
          <w:szCs w:val="24"/>
        </w:rPr>
        <w:t xml:space="preserve"> the</w:t>
      </w:r>
      <w:r w:rsidR="00981A10" w:rsidRPr="00D20738">
        <w:rPr>
          <w:rFonts w:ascii="Arial" w:hAnsi="Arial" w:cs="Arial"/>
          <w:sz w:val="24"/>
          <w:szCs w:val="24"/>
        </w:rPr>
        <w:t xml:space="preserve"> </w:t>
      </w:r>
      <w:r w:rsidR="00A25B92" w:rsidRPr="00D20738">
        <w:rPr>
          <w:rFonts w:ascii="Arial" w:hAnsi="Arial" w:cs="Arial"/>
          <w:sz w:val="24"/>
          <w:szCs w:val="24"/>
        </w:rPr>
        <w:t>reality of working arrangements</w:t>
      </w:r>
      <w:r w:rsidR="004667B9" w:rsidRPr="00D20738">
        <w:rPr>
          <w:rFonts w:ascii="Arial" w:hAnsi="Arial" w:cs="Arial"/>
          <w:sz w:val="24"/>
          <w:szCs w:val="24"/>
        </w:rPr>
        <w:t xml:space="preserve">, rather than </w:t>
      </w:r>
      <w:r w:rsidR="0071174E" w:rsidRPr="00D20738">
        <w:rPr>
          <w:rFonts w:ascii="Arial" w:hAnsi="Arial" w:cs="Arial"/>
          <w:sz w:val="24"/>
          <w:szCs w:val="24"/>
        </w:rPr>
        <w:t xml:space="preserve">relying on </w:t>
      </w:r>
      <w:r w:rsidR="0011472E" w:rsidRPr="00D20738">
        <w:rPr>
          <w:rFonts w:ascii="Arial" w:hAnsi="Arial" w:cs="Arial"/>
          <w:sz w:val="24"/>
          <w:szCs w:val="24"/>
        </w:rPr>
        <w:t>contract statu</w:t>
      </w:r>
      <w:r w:rsidR="005D3447" w:rsidRPr="00D20738">
        <w:rPr>
          <w:rFonts w:ascii="Arial" w:hAnsi="Arial" w:cs="Arial"/>
          <w:sz w:val="24"/>
          <w:szCs w:val="24"/>
        </w:rPr>
        <w:t>e, minimising</w:t>
      </w:r>
      <w:r w:rsidR="00926D99" w:rsidRPr="00D20738">
        <w:rPr>
          <w:rFonts w:ascii="Arial" w:hAnsi="Arial" w:cs="Arial"/>
          <w:sz w:val="24"/>
          <w:szCs w:val="24"/>
        </w:rPr>
        <w:t xml:space="preserve"> </w:t>
      </w:r>
      <w:r w:rsidR="006F2BCA" w:rsidRPr="00D20738">
        <w:rPr>
          <w:rFonts w:ascii="Arial" w:hAnsi="Arial" w:cs="Arial"/>
          <w:sz w:val="24"/>
          <w:szCs w:val="24"/>
        </w:rPr>
        <w:t xml:space="preserve">legal risk. </w:t>
      </w:r>
      <w:r w:rsidR="00791E4F" w:rsidRPr="00D20738">
        <w:rPr>
          <w:rFonts w:ascii="Arial" w:hAnsi="Arial" w:cs="Arial"/>
          <w:sz w:val="24"/>
          <w:szCs w:val="24"/>
        </w:rPr>
        <w:t xml:space="preserve">Such arrangements should </w:t>
      </w:r>
      <w:r w:rsidR="001F49D6" w:rsidRPr="00D20738">
        <w:rPr>
          <w:rFonts w:ascii="Arial" w:hAnsi="Arial" w:cs="Arial"/>
          <w:sz w:val="24"/>
          <w:szCs w:val="24"/>
        </w:rPr>
        <w:t>ideally be utilised to</w:t>
      </w:r>
      <w:r w:rsidR="00884890" w:rsidRPr="00D20738">
        <w:rPr>
          <w:rFonts w:ascii="Arial" w:hAnsi="Arial" w:cs="Arial"/>
          <w:sz w:val="24"/>
          <w:szCs w:val="24"/>
        </w:rPr>
        <w:t xml:space="preserve"> support </w:t>
      </w:r>
      <w:r w:rsidR="004013C7" w:rsidRPr="00D20738">
        <w:rPr>
          <w:rFonts w:ascii="Arial" w:hAnsi="Arial" w:cs="Arial"/>
          <w:sz w:val="24"/>
          <w:szCs w:val="24"/>
        </w:rPr>
        <w:t xml:space="preserve">flexibility during periods of increased demand, </w:t>
      </w:r>
      <w:r w:rsidR="00A71257" w:rsidRPr="00D20738">
        <w:rPr>
          <w:rFonts w:ascii="Arial" w:hAnsi="Arial" w:cs="Arial"/>
          <w:sz w:val="24"/>
          <w:szCs w:val="24"/>
        </w:rPr>
        <w:t xml:space="preserve">rather than as a </w:t>
      </w:r>
      <w:r w:rsidR="00E960BD" w:rsidRPr="00D20738">
        <w:rPr>
          <w:rFonts w:ascii="Arial" w:hAnsi="Arial" w:cs="Arial"/>
          <w:sz w:val="24"/>
          <w:szCs w:val="24"/>
        </w:rPr>
        <w:t>long-term solution to ongoing staffing requirements</w:t>
      </w:r>
      <w:r w:rsidR="00A71257" w:rsidRPr="00D20738">
        <w:rPr>
          <w:rFonts w:ascii="Arial" w:hAnsi="Arial" w:cs="Arial"/>
          <w:sz w:val="24"/>
          <w:szCs w:val="24"/>
        </w:rPr>
        <w:t xml:space="preserve">. </w:t>
      </w:r>
      <w:r w:rsidR="0023608A" w:rsidRPr="00D20738">
        <w:rPr>
          <w:rFonts w:ascii="Arial" w:hAnsi="Arial" w:cs="Arial"/>
          <w:sz w:val="24"/>
          <w:szCs w:val="24"/>
        </w:rPr>
        <w:t xml:space="preserve">Mislabelling </w:t>
      </w:r>
      <w:r w:rsidR="00F251BC" w:rsidRPr="00D20738">
        <w:rPr>
          <w:rFonts w:ascii="Arial" w:hAnsi="Arial" w:cs="Arial"/>
          <w:sz w:val="24"/>
          <w:szCs w:val="24"/>
        </w:rPr>
        <w:t xml:space="preserve">employees as self-employed </w:t>
      </w:r>
      <w:r w:rsidR="009A4827" w:rsidRPr="00D20738">
        <w:rPr>
          <w:rFonts w:ascii="Arial" w:hAnsi="Arial" w:cs="Arial"/>
          <w:sz w:val="24"/>
          <w:szCs w:val="24"/>
        </w:rPr>
        <w:t xml:space="preserve">when </w:t>
      </w:r>
      <w:r w:rsidR="00420879" w:rsidRPr="00D20738">
        <w:rPr>
          <w:rFonts w:ascii="Arial" w:hAnsi="Arial" w:cs="Arial"/>
          <w:sz w:val="24"/>
          <w:szCs w:val="24"/>
        </w:rPr>
        <w:t xml:space="preserve">legally they may be recognised as </w:t>
      </w:r>
      <w:r w:rsidR="00A34F7B" w:rsidRPr="00D20738">
        <w:rPr>
          <w:rFonts w:ascii="Arial" w:hAnsi="Arial" w:cs="Arial"/>
          <w:sz w:val="24"/>
          <w:szCs w:val="24"/>
        </w:rPr>
        <w:t xml:space="preserve">“workers” </w:t>
      </w:r>
      <w:r w:rsidR="001612DC" w:rsidRPr="00D20738">
        <w:rPr>
          <w:rFonts w:ascii="Arial" w:hAnsi="Arial" w:cs="Arial"/>
          <w:sz w:val="24"/>
          <w:szCs w:val="24"/>
        </w:rPr>
        <w:t xml:space="preserve">could result in </w:t>
      </w:r>
      <w:r w:rsidR="00E53FAA" w:rsidRPr="00D20738">
        <w:rPr>
          <w:rFonts w:ascii="Arial" w:hAnsi="Arial" w:cs="Arial"/>
          <w:sz w:val="24"/>
          <w:szCs w:val="24"/>
        </w:rPr>
        <w:t xml:space="preserve">entitlement to </w:t>
      </w:r>
      <w:r w:rsidR="00BD7DB8" w:rsidRPr="00D20738">
        <w:rPr>
          <w:rFonts w:ascii="Arial" w:hAnsi="Arial" w:cs="Arial"/>
          <w:sz w:val="24"/>
          <w:szCs w:val="24"/>
        </w:rPr>
        <w:t>statutory rights</w:t>
      </w:r>
      <w:r w:rsidR="00A13A72" w:rsidRPr="00D20738">
        <w:rPr>
          <w:rFonts w:ascii="Arial" w:hAnsi="Arial" w:cs="Arial"/>
          <w:sz w:val="24"/>
          <w:szCs w:val="24"/>
        </w:rPr>
        <w:t xml:space="preserve">, </w:t>
      </w:r>
      <w:r w:rsidR="000D6CA1" w:rsidRPr="00D20738">
        <w:rPr>
          <w:rFonts w:ascii="Arial" w:hAnsi="Arial" w:cs="Arial"/>
          <w:sz w:val="24"/>
          <w:szCs w:val="24"/>
        </w:rPr>
        <w:t>including National Minimum Wage</w:t>
      </w:r>
      <w:r w:rsidR="008C3627" w:rsidRPr="00D20738">
        <w:rPr>
          <w:rFonts w:ascii="Arial" w:hAnsi="Arial" w:cs="Arial"/>
          <w:sz w:val="24"/>
          <w:szCs w:val="24"/>
        </w:rPr>
        <w:t>, holiday</w:t>
      </w:r>
      <w:r w:rsidR="00F24C4C" w:rsidRPr="00D20738">
        <w:rPr>
          <w:rFonts w:ascii="Arial" w:hAnsi="Arial" w:cs="Arial"/>
          <w:sz w:val="24"/>
          <w:szCs w:val="24"/>
        </w:rPr>
        <w:t xml:space="preserve"> pay</w:t>
      </w:r>
      <w:r w:rsidR="008C3627" w:rsidRPr="00D20738">
        <w:rPr>
          <w:rFonts w:ascii="Arial" w:hAnsi="Arial" w:cs="Arial"/>
          <w:sz w:val="24"/>
          <w:szCs w:val="24"/>
        </w:rPr>
        <w:t xml:space="preserve"> </w:t>
      </w:r>
      <w:r w:rsidR="002D48E5" w:rsidRPr="00D20738">
        <w:rPr>
          <w:rFonts w:ascii="Arial" w:hAnsi="Arial" w:cs="Arial"/>
          <w:sz w:val="24"/>
          <w:szCs w:val="24"/>
        </w:rPr>
        <w:t xml:space="preserve">and </w:t>
      </w:r>
      <w:r w:rsidR="00F24C4C" w:rsidRPr="00D20738">
        <w:rPr>
          <w:rFonts w:ascii="Arial" w:hAnsi="Arial" w:cs="Arial"/>
          <w:sz w:val="24"/>
          <w:szCs w:val="24"/>
        </w:rPr>
        <w:t>rest breaks</w:t>
      </w:r>
      <w:r w:rsidR="001A0FF1" w:rsidRPr="00D20738">
        <w:rPr>
          <w:rFonts w:ascii="Arial" w:hAnsi="Arial" w:cs="Arial"/>
          <w:sz w:val="24"/>
          <w:szCs w:val="24"/>
        </w:rPr>
        <w:t xml:space="preserve"> (UK Government, 2015)</w:t>
      </w:r>
      <w:r w:rsidR="002D48E5" w:rsidRPr="00D20738">
        <w:rPr>
          <w:rFonts w:ascii="Arial" w:hAnsi="Arial" w:cs="Arial"/>
          <w:sz w:val="24"/>
          <w:szCs w:val="24"/>
        </w:rPr>
        <w:t xml:space="preserve">. Non-compliance </w:t>
      </w:r>
      <w:r w:rsidR="0058392E" w:rsidRPr="00D20738">
        <w:rPr>
          <w:rFonts w:ascii="Arial" w:hAnsi="Arial" w:cs="Arial"/>
          <w:sz w:val="24"/>
          <w:szCs w:val="24"/>
        </w:rPr>
        <w:t xml:space="preserve">creates exposure </w:t>
      </w:r>
      <w:r w:rsidR="00CD468C" w:rsidRPr="00D20738">
        <w:rPr>
          <w:rFonts w:ascii="Arial" w:hAnsi="Arial" w:cs="Arial"/>
          <w:sz w:val="24"/>
          <w:szCs w:val="24"/>
        </w:rPr>
        <w:t>to</w:t>
      </w:r>
      <w:r w:rsidR="002D48E5" w:rsidRPr="00D20738">
        <w:rPr>
          <w:rFonts w:ascii="Arial" w:hAnsi="Arial" w:cs="Arial"/>
          <w:sz w:val="24"/>
          <w:szCs w:val="24"/>
        </w:rPr>
        <w:t xml:space="preserve"> </w:t>
      </w:r>
      <w:r w:rsidR="00F82C87" w:rsidRPr="00D20738">
        <w:rPr>
          <w:rFonts w:ascii="Arial" w:hAnsi="Arial" w:cs="Arial"/>
          <w:sz w:val="24"/>
          <w:szCs w:val="24"/>
        </w:rPr>
        <w:t xml:space="preserve">tribunal </w:t>
      </w:r>
      <w:r w:rsidR="00CD468C" w:rsidRPr="00D20738">
        <w:rPr>
          <w:rFonts w:ascii="Arial" w:hAnsi="Arial" w:cs="Arial"/>
          <w:sz w:val="24"/>
          <w:szCs w:val="24"/>
        </w:rPr>
        <w:t>claims</w:t>
      </w:r>
      <w:r w:rsidR="00F82C87" w:rsidRPr="00D20738">
        <w:rPr>
          <w:rFonts w:ascii="Arial" w:hAnsi="Arial" w:cs="Arial"/>
          <w:sz w:val="24"/>
          <w:szCs w:val="24"/>
        </w:rPr>
        <w:t xml:space="preserve"> and significant financial liability</w:t>
      </w:r>
      <w:r w:rsidR="00CD468C" w:rsidRPr="00D20738">
        <w:rPr>
          <w:rFonts w:ascii="Arial" w:hAnsi="Arial" w:cs="Arial"/>
          <w:sz w:val="24"/>
          <w:szCs w:val="24"/>
        </w:rPr>
        <w:t xml:space="preserve">, as </w:t>
      </w:r>
      <w:r w:rsidR="002731E3" w:rsidRPr="00D20738">
        <w:rPr>
          <w:rFonts w:ascii="Arial" w:hAnsi="Arial" w:cs="Arial"/>
          <w:sz w:val="24"/>
          <w:szCs w:val="24"/>
        </w:rPr>
        <w:t>demonstrated in</w:t>
      </w:r>
      <w:r w:rsidR="009E503C" w:rsidRPr="00D20738">
        <w:rPr>
          <w:rFonts w:ascii="Arial" w:hAnsi="Arial" w:cs="Arial"/>
          <w:sz w:val="24"/>
          <w:szCs w:val="24"/>
        </w:rPr>
        <w:t xml:space="preserve"> </w:t>
      </w:r>
      <w:r w:rsidR="005750E5" w:rsidRPr="00D20738">
        <w:rPr>
          <w:rFonts w:ascii="Arial" w:hAnsi="Arial" w:cs="Arial"/>
          <w:sz w:val="24"/>
          <w:szCs w:val="24"/>
        </w:rPr>
        <w:t>‘</w:t>
      </w:r>
      <w:r w:rsidR="009E503C" w:rsidRPr="00D20738">
        <w:rPr>
          <w:rFonts w:ascii="Arial" w:hAnsi="Arial" w:cs="Arial"/>
          <w:sz w:val="24"/>
          <w:szCs w:val="24"/>
        </w:rPr>
        <w:t>Uber BV v Aslam</w:t>
      </w:r>
      <w:r w:rsidR="005750E5" w:rsidRPr="00D20738">
        <w:rPr>
          <w:rFonts w:ascii="Arial" w:hAnsi="Arial" w:cs="Arial"/>
          <w:sz w:val="24"/>
          <w:szCs w:val="24"/>
        </w:rPr>
        <w:t>’</w:t>
      </w:r>
      <w:r w:rsidR="009E503C" w:rsidRPr="00D20738">
        <w:rPr>
          <w:rFonts w:ascii="Arial" w:hAnsi="Arial" w:cs="Arial"/>
          <w:sz w:val="24"/>
          <w:szCs w:val="24"/>
        </w:rPr>
        <w:t xml:space="preserve"> (2021) showed, where </w:t>
      </w:r>
      <w:r w:rsidR="00EA1CAA" w:rsidRPr="00D20738">
        <w:rPr>
          <w:rFonts w:ascii="Arial" w:hAnsi="Arial" w:cs="Arial"/>
          <w:sz w:val="24"/>
          <w:szCs w:val="24"/>
        </w:rPr>
        <w:t>s</w:t>
      </w:r>
      <w:r w:rsidR="00276D5D" w:rsidRPr="00D20738">
        <w:rPr>
          <w:rFonts w:ascii="Arial" w:hAnsi="Arial" w:cs="Arial"/>
          <w:sz w:val="24"/>
          <w:szCs w:val="24"/>
        </w:rPr>
        <w:t>elf-</w:t>
      </w:r>
      <w:r w:rsidR="00EA1CAA" w:rsidRPr="00D20738">
        <w:rPr>
          <w:rFonts w:ascii="Arial" w:hAnsi="Arial" w:cs="Arial"/>
          <w:sz w:val="24"/>
          <w:szCs w:val="24"/>
        </w:rPr>
        <w:t>employed</w:t>
      </w:r>
      <w:r w:rsidR="00276D5D" w:rsidRPr="00D20738">
        <w:rPr>
          <w:rFonts w:ascii="Arial" w:hAnsi="Arial" w:cs="Arial"/>
          <w:sz w:val="24"/>
          <w:szCs w:val="24"/>
        </w:rPr>
        <w:t xml:space="preserve"> </w:t>
      </w:r>
      <w:r w:rsidR="00EA1CAA" w:rsidRPr="00D20738">
        <w:rPr>
          <w:rFonts w:ascii="Arial" w:hAnsi="Arial" w:cs="Arial"/>
          <w:sz w:val="24"/>
          <w:szCs w:val="24"/>
        </w:rPr>
        <w:t>staff</w:t>
      </w:r>
      <w:r w:rsidR="00A23C80" w:rsidRPr="00D20738">
        <w:rPr>
          <w:rFonts w:ascii="Arial" w:hAnsi="Arial" w:cs="Arial"/>
          <w:sz w:val="24"/>
          <w:szCs w:val="24"/>
        </w:rPr>
        <w:t xml:space="preserve"> were reclassified </w:t>
      </w:r>
      <w:r w:rsidR="00EA1CAA" w:rsidRPr="00D20738">
        <w:rPr>
          <w:rFonts w:ascii="Arial" w:hAnsi="Arial" w:cs="Arial"/>
          <w:sz w:val="24"/>
          <w:szCs w:val="24"/>
        </w:rPr>
        <w:t>as “Workers</w:t>
      </w:r>
      <w:r w:rsidR="0071568C" w:rsidRPr="00D20738">
        <w:rPr>
          <w:rFonts w:ascii="Arial" w:hAnsi="Arial" w:cs="Arial"/>
          <w:sz w:val="24"/>
          <w:szCs w:val="24"/>
        </w:rPr>
        <w:t xml:space="preserve">” </w:t>
      </w:r>
      <w:r w:rsidR="00A23C80" w:rsidRPr="00D20738">
        <w:rPr>
          <w:rFonts w:ascii="Arial" w:hAnsi="Arial" w:cs="Arial"/>
          <w:sz w:val="24"/>
          <w:szCs w:val="24"/>
        </w:rPr>
        <w:t>and granted statutory rights.</w:t>
      </w:r>
      <w:r w:rsidR="007A37D1" w:rsidRPr="00D20738">
        <w:rPr>
          <w:rFonts w:ascii="Arial" w:hAnsi="Arial" w:cs="Arial"/>
          <w:sz w:val="24"/>
          <w:szCs w:val="24"/>
        </w:rPr>
        <w:t xml:space="preserve"> </w:t>
      </w:r>
      <w:r w:rsidR="00A23C80" w:rsidRPr="00D20738">
        <w:rPr>
          <w:rFonts w:ascii="Arial" w:hAnsi="Arial" w:cs="Arial"/>
          <w:sz w:val="24"/>
          <w:szCs w:val="24"/>
        </w:rPr>
        <w:t xml:space="preserve"> </w:t>
      </w:r>
      <w:r w:rsidR="00434C61" w:rsidRPr="00D20738">
        <w:rPr>
          <w:rFonts w:ascii="Arial" w:hAnsi="Arial" w:cs="Arial"/>
          <w:sz w:val="24"/>
          <w:szCs w:val="24"/>
        </w:rPr>
        <w:t>Furthermore, failure to comply with</w:t>
      </w:r>
      <w:r w:rsidR="00121E4C" w:rsidRPr="00D20738">
        <w:rPr>
          <w:rFonts w:ascii="Arial" w:hAnsi="Arial" w:cs="Arial"/>
          <w:sz w:val="24"/>
          <w:szCs w:val="24"/>
        </w:rPr>
        <w:t xml:space="preserve"> </w:t>
      </w:r>
      <w:r w:rsidR="0025401F" w:rsidRPr="00D20738">
        <w:rPr>
          <w:rFonts w:ascii="Arial" w:hAnsi="Arial" w:cs="Arial"/>
          <w:sz w:val="24"/>
          <w:szCs w:val="24"/>
        </w:rPr>
        <w:t xml:space="preserve">upcoming </w:t>
      </w:r>
      <w:r w:rsidR="00121E4C" w:rsidRPr="00D20738">
        <w:rPr>
          <w:rFonts w:ascii="Arial" w:hAnsi="Arial" w:cs="Arial"/>
          <w:sz w:val="24"/>
          <w:szCs w:val="24"/>
        </w:rPr>
        <w:t>obligations outlined in the</w:t>
      </w:r>
      <w:r w:rsidR="00CD2056" w:rsidRPr="00D20738">
        <w:rPr>
          <w:rFonts w:ascii="Arial" w:hAnsi="Arial" w:cs="Arial"/>
          <w:sz w:val="24"/>
          <w:szCs w:val="24"/>
        </w:rPr>
        <w:t xml:space="preserve"> </w:t>
      </w:r>
      <w:r w:rsidR="00BC447D" w:rsidRPr="00D20738">
        <w:rPr>
          <w:rFonts w:ascii="Arial" w:hAnsi="Arial" w:cs="Arial"/>
          <w:sz w:val="24"/>
          <w:szCs w:val="24"/>
        </w:rPr>
        <w:t>Employment Rights Act 2025</w:t>
      </w:r>
      <w:r w:rsidR="00C71032" w:rsidRPr="00D20738">
        <w:rPr>
          <w:rFonts w:ascii="Arial" w:hAnsi="Arial" w:cs="Arial"/>
          <w:sz w:val="24"/>
          <w:szCs w:val="24"/>
        </w:rPr>
        <w:t xml:space="preserve">, such as </w:t>
      </w:r>
      <w:r w:rsidR="004B51AF" w:rsidRPr="00D20738">
        <w:rPr>
          <w:rFonts w:ascii="Arial" w:hAnsi="Arial" w:cs="Arial"/>
          <w:sz w:val="24"/>
          <w:szCs w:val="24"/>
        </w:rPr>
        <w:t xml:space="preserve">granted hours and reasonable </w:t>
      </w:r>
      <w:r w:rsidR="0071568C" w:rsidRPr="00D20738">
        <w:rPr>
          <w:rFonts w:ascii="Arial" w:hAnsi="Arial" w:cs="Arial"/>
          <w:sz w:val="24"/>
          <w:szCs w:val="24"/>
        </w:rPr>
        <w:t>notice</w:t>
      </w:r>
      <w:r w:rsidR="003118AA" w:rsidRPr="00D20738">
        <w:rPr>
          <w:rFonts w:ascii="Arial" w:hAnsi="Arial" w:cs="Arial"/>
          <w:sz w:val="24"/>
          <w:szCs w:val="24"/>
        </w:rPr>
        <w:t xml:space="preserve"> </w:t>
      </w:r>
      <w:r w:rsidR="00210CE6" w:rsidRPr="00D20738">
        <w:rPr>
          <w:rFonts w:ascii="Arial" w:hAnsi="Arial" w:cs="Arial"/>
          <w:sz w:val="24"/>
          <w:szCs w:val="24"/>
        </w:rPr>
        <w:t>are</w:t>
      </w:r>
      <w:r w:rsidR="009C2033" w:rsidRPr="00D20738">
        <w:rPr>
          <w:rFonts w:ascii="Arial" w:hAnsi="Arial" w:cs="Arial"/>
          <w:sz w:val="24"/>
          <w:szCs w:val="24"/>
        </w:rPr>
        <w:t xml:space="preserve"> considered a breach of </w:t>
      </w:r>
      <w:r w:rsidR="00F73756" w:rsidRPr="00D20738">
        <w:rPr>
          <w:rFonts w:ascii="Arial" w:hAnsi="Arial" w:cs="Arial"/>
          <w:sz w:val="24"/>
          <w:szCs w:val="24"/>
        </w:rPr>
        <w:t>statutory</w:t>
      </w:r>
      <w:r w:rsidR="009C2033" w:rsidRPr="00D20738">
        <w:rPr>
          <w:rFonts w:ascii="Arial" w:hAnsi="Arial" w:cs="Arial"/>
          <w:sz w:val="24"/>
          <w:szCs w:val="24"/>
        </w:rPr>
        <w:t xml:space="preserve"> rights</w:t>
      </w:r>
      <w:r w:rsidR="00DE23B8" w:rsidRPr="00D20738">
        <w:rPr>
          <w:rFonts w:ascii="Arial" w:hAnsi="Arial" w:cs="Arial"/>
          <w:sz w:val="24"/>
          <w:szCs w:val="24"/>
        </w:rPr>
        <w:t xml:space="preserve">. </w:t>
      </w:r>
      <w:r w:rsidR="006D64FA" w:rsidRPr="00D20738">
        <w:rPr>
          <w:rFonts w:ascii="Arial" w:hAnsi="Arial" w:cs="Arial"/>
          <w:sz w:val="24"/>
          <w:szCs w:val="24"/>
        </w:rPr>
        <w:t>This f</w:t>
      </w:r>
      <w:r w:rsidR="009A7436" w:rsidRPr="00D20738">
        <w:rPr>
          <w:rFonts w:ascii="Arial" w:hAnsi="Arial" w:cs="Arial"/>
          <w:sz w:val="24"/>
          <w:szCs w:val="24"/>
        </w:rPr>
        <w:t>urther</w:t>
      </w:r>
      <w:r w:rsidR="006D64FA" w:rsidRPr="00D20738">
        <w:rPr>
          <w:rFonts w:ascii="Arial" w:hAnsi="Arial" w:cs="Arial"/>
          <w:sz w:val="24"/>
          <w:szCs w:val="24"/>
        </w:rPr>
        <w:t xml:space="preserve"> </w:t>
      </w:r>
      <w:r w:rsidR="00B26900" w:rsidRPr="00D20738">
        <w:rPr>
          <w:rFonts w:ascii="Arial" w:hAnsi="Arial" w:cs="Arial"/>
          <w:sz w:val="24"/>
          <w:szCs w:val="24"/>
        </w:rPr>
        <w:t>increases the risk of</w:t>
      </w:r>
      <w:r w:rsidR="00F73756" w:rsidRPr="00D20738">
        <w:rPr>
          <w:rFonts w:ascii="Arial" w:hAnsi="Arial" w:cs="Arial"/>
          <w:sz w:val="24"/>
          <w:szCs w:val="24"/>
        </w:rPr>
        <w:t xml:space="preserve"> claims and compensation being awarded</w:t>
      </w:r>
      <w:r w:rsidR="00F258BD" w:rsidRPr="00D20738">
        <w:rPr>
          <w:rFonts w:ascii="Arial" w:hAnsi="Arial" w:cs="Arial"/>
          <w:sz w:val="24"/>
          <w:szCs w:val="24"/>
        </w:rPr>
        <w:t xml:space="preserve">, reinforcing </w:t>
      </w:r>
      <w:r w:rsidR="00E52EAB" w:rsidRPr="00D20738">
        <w:rPr>
          <w:rFonts w:ascii="Arial" w:hAnsi="Arial" w:cs="Arial"/>
          <w:sz w:val="24"/>
          <w:szCs w:val="24"/>
        </w:rPr>
        <w:t>the need to adopt a proactive approach</w:t>
      </w:r>
      <w:r w:rsidR="005754DC" w:rsidRPr="00D20738">
        <w:rPr>
          <w:rFonts w:ascii="Arial" w:hAnsi="Arial" w:cs="Arial"/>
          <w:sz w:val="24"/>
          <w:szCs w:val="24"/>
        </w:rPr>
        <w:t xml:space="preserve"> to people management</w:t>
      </w:r>
      <w:r w:rsidR="00733CA0" w:rsidRPr="00D20738">
        <w:rPr>
          <w:rFonts w:ascii="Arial" w:hAnsi="Arial" w:cs="Arial"/>
          <w:sz w:val="24"/>
          <w:szCs w:val="24"/>
        </w:rPr>
        <w:t xml:space="preserve">, </w:t>
      </w:r>
      <w:r w:rsidR="005754DC" w:rsidRPr="00D20738">
        <w:rPr>
          <w:rFonts w:ascii="Arial" w:hAnsi="Arial" w:cs="Arial"/>
          <w:sz w:val="24"/>
          <w:szCs w:val="24"/>
        </w:rPr>
        <w:t>ensur</w:t>
      </w:r>
      <w:r w:rsidR="00733CA0" w:rsidRPr="00D20738">
        <w:rPr>
          <w:rFonts w:ascii="Arial" w:hAnsi="Arial" w:cs="Arial"/>
          <w:sz w:val="24"/>
          <w:szCs w:val="24"/>
        </w:rPr>
        <w:t>ing</w:t>
      </w:r>
      <w:r w:rsidR="005754DC" w:rsidRPr="00D20738">
        <w:rPr>
          <w:rFonts w:ascii="Arial" w:hAnsi="Arial" w:cs="Arial"/>
          <w:sz w:val="24"/>
          <w:szCs w:val="24"/>
        </w:rPr>
        <w:t xml:space="preserve"> compliance</w:t>
      </w:r>
      <w:r w:rsidR="00F73756" w:rsidRPr="00D20738">
        <w:rPr>
          <w:rFonts w:ascii="Arial" w:hAnsi="Arial" w:cs="Arial"/>
          <w:sz w:val="24"/>
          <w:szCs w:val="24"/>
        </w:rPr>
        <w:t xml:space="preserve">. </w:t>
      </w:r>
      <w:r w:rsidR="00DF78C5" w:rsidRPr="00D20738">
        <w:rPr>
          <w:rFonts w:ascii="Arial" w:hAnsi="Arial" w:cs="Arial"/>
          <w:sz w:val="24"/>
          <w:szCs w:val="24"/>
        </w:rPr>
        <w:t xml:space="preserve"> </w:t>
      </w:r>
    </w:p>
    <w:p w14:paraId="05EEBF27" w14:textId="77777777" w:rsidR="008214CA" w:rsidRPr="00D20738" w:rsidRDefault="008214CA" w:rsidP="00741AE9">
      <w:pPr>
        <w:spacing w:line="360" w:lineRule="auto"/>
        <w:jc w:val="both"/>
        <w:rPr>
          <w:rFonts w:ascii="Arial" w:hAnsi="Arial" w:cs="Arial"/>
          <w:sz w:val="24"/>
          <w:szCs w:val="24"/>
        </w:rPr>
      </w:pPr>
    </w:p>
    <w:p w14:paraId="1F647A27" w14:textId="5796D1E0" w:rsidR="00995433" w:rsidRPr="00D20738" w:rsidRDefault="00995433" w:rsidP="00741AE9">
      <w:pPr>
        <w:pStyle w:val="Heading2"/>
        <w:spacing w:line="360" w:lineRule="auto"/>
        <w:jc w:val="both"/>
        <w:rPr>
          <w:rFonts w:ascii="Arial" w:eastAsia="Times New Roman" w:hAnsi="Arial" w:cs="Arial"/>
          <w:lang w:eastAsia="en-GB"/>
        </w:rPr>
      </w:pPr>
      <w:bookmarkStart w:id="4" w:name="_Toc229418556"/>
      <w:r w:rsidRPr="00D20738">
        <w:rPr>
          <w:rFonts w:ascii="Arial" w:eastAsia="Times New Roman" w:hAnsi="Arial" w:cs="Arial"/>
          <w:lang w:eastAsia="en-GB"/>
        </w:rPr>
        <w:t>Trade Union</w:t>
      </w:r>
      <w:r w:rsidR="008D78A3">
        <w:rPr>
          <w:rFonts w:ascii="Arial" w:eastAsia="Times New Roman" w:hAnsi="Arial" w:cs="Arial"/>
          <w:lang w:eastAsia="en-GB"/>
        </w:rPr>
        <w:t xml:space="preserve"> Engagement</w:t>
      </w:r>
      <w:bookmarkEnd w:id="4"/>
    </w:p>
    <w:p w14:paraId="01C9F771" w14:textId="7E173F7E" w:rsidR="00D37738" w:rsidRPr="00D20738" w:rsidRDefault="00995433"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Changes introduced by the Employment Rights Act</w:t>
      </w:r>
      <w:r w:rsidR="009F15E4" w:rsidRPr="00D20738">
        <w:rPr>
          <w:rFonts w:ascii="Arial" w:eastAsia="Times New Roman" w:hAnsi="Arial" w:cs="Arial"/>
          <w:kern w:val="0"/>
          <w:sz w:val="24"/>
          <w:szCs w:val="24"/>
          <w:lang w:eastAsia="en-GB"/>
          <w14:ligatures w14:val="none"/>
        </w:rPr>
        <w:t xml:space="preserve"> </w:t>
      </w:r>
      <w:r w:rsidRPr="00D20738">
        <w:rPr>
          <w:rFonts w:ascii="Arial" w:eastAsia="Times New Roman" w:hAnsi="Arial" w:cs="Arial"/>
          <w:kern w:val="0"/>
          <w:sz w:val="24"/>
          <w:szCs w:val="24"/>
          <w:lang w:eastAsia="en-GB"/>
          <w14:ligatures w14:val="none"/>
        </w:rPr>
        <w:t xml:space="preserve">2025 significantly strengthen the position of trade unions, with statutory trade union recognition becoming considerably more accessible and increasing the consequences of refusing voluntary engagement. Consequently, refusing to engage with the AEU exposes Elmbridge to increased legal and people management risk, as the union could seek formal recognition, significantly limiting the Company’s influence over subsequent outcomes (UK Government, n.d.). </w:t>
      </w:r>
      <w:r w:rsidR="00147C58" w:rsidRPr="00D20738">
        <w:rPr>
          <w:rFonts w:ascii="Arial" w:eastAsia="Times New Roman" w:hAnsi="Arial" w:cs="Arial"/>
          <w:kern w:val="0"/>
          <w:sz w:val="24"/>
          <w:szCs w:val="24"/>
          <w:lang w:eastAsia="en-GB"/>
          <w14:ligatures w14:val="none"/>
        </w:rPr>
        <w:t xml:space="preserve">Case law, including </w:t>
      </w:r>
      <w:r w:rsidR="005750E5" w:rsidRPr="00D20738">
        <w:rPr>
          <w:rFonts w:ascii="Arial" w:eastAsia="Times New Roman" w:hAnsi="Arial" w:cs="Arial"/>
          <w:kern w:val="0"/>
          <w:sz w:val="24"/>
          <w:szCs w:val="24"/>
          <w:lang w:eastAsia="en-GB"/>
          <w14:ligatures w14:val="none"/>
        </w:rPr>
        <w:t>‘</w:t>
      </w:r>
      <w:r w:rsidR="00D37738" w:rsidRPr="00D20738">
        <w:rPr>
          <w:rFonts w:ascii="Arial" w:eastAsia="Times New Roman" w:hAnsi="Arial" w:cs="Arial"/>
          <w:kern w:val="0"/>
          <w:sz w:val="24"/>
          <w:szCs w:val="24"/>
          <w:lang w:eastAsia="en-GB"/>
          <w14:ligatures w14:val="none"/>
        </w:rPr>
        <w:t>Kostal UK Ltd v Dunkley</w:t>
      </w:r>
      <w:r w:rsidR="005750E5" w:rsidRPr="00D20738">
        <w:rPr>
          <w:rFonts w:ascii="Arial" w:eastAsia="Times New Roman" w:hAnsi="Arial" w:cs="Arial"/>
          <w:kern w:val="0"/>
          <w:sz w:val="24"/>
          <w:szCs w:val="24"/>
          <w:lang w:eastAsia="en-GB"/>
          <w14:ligatures w14:val="none"/>
        </w:rPr>
        <w:t>’</w:t>
      </w:r>
      <w:r w:rsidR="00D37738" w:rsidRPr="00D20738">
        <w:rPr>
          <w:rFonts w:ascii="Arial" w:eastAsia="Times New Roman" w:hAnsi="Arial" w:cs="Arial"/>
          <w:kern w:val="0"/>
          <w:sz w:val="24"/>
          <w:szCs w:val="24"/>
          <w:lang w:eastAsia="en-GB"/>
          <w14:ligatures w14:val="none"/>
        </w:rPr>
        <w:t xml:space="preserve"> (2021) </w:t>
      </w:r>
      <w:r w:rsidR="00484888" w:rsidRPr="00D20738">
        <w:rPr>
          <w:rFonts w:ascii="Arial" w:eastAsia="Times New Roman" w:hAnsi="Arial" w:cs="Arial"/>
          <w:kern w:val="0"/>
          <w:sz w:val="24"/>
          <w:szCs w:val="24"/>
          <w:lang w:eastAsia="en-GB"/>
          <w14:ligatures w14:val="none"/>
        </w:rPr>
        <w:t>demonstrates</w:t>
      </w:r>
      <w:r w:rsidR="00856113" w:rsidRPr="00D20738">
        <w:rPr>
          <w:rFonts w:ascii="Arial" w:eastAsia="Times New Roman" w:hAnsi="Arial" w:cs="Arial"/>
          <w:kern w:val="0"/>
          <w:sz w:val="24"/>
          <w:szCs w:val="24"/>
          <w:lang w:eastAsia="en-GB"/>
          <w14:ligatures w14:val="none"/>
        </w:rPr>
        <w:t xml:space="preserve"> </w:t>
      </w:r>
      <w:r w:rsidR="006F6DFD" w:rsidRPr="00D20738">
        <w:rPr>
          <w:rFonts w:ascii="Arial" w:eastAsia="Times New Roman" w:hAnsi="Arial" w:cs="Arial"/>
          <w:kern w:val="0"/>
          <w:sz w:val="24"/>
          <w:szCs w:val="24"/>
          <w:lang w:eastAsia="en-GB"/>
          <w14:ligatures w14:val="none"/>
        </w:rPr>
        <w:t xml:space="preserve">that </w:t>
      </w:r>
      <w:r w:rsidR="00C63305" w:rsidRPr="00D20738">
        <w:rPr>
          <w:rFonts w:ascii="Arial" w:eastAsia="Times New Roman" w:hAnsi="Arial" w:cs="Arial"/>
          <w:kern w:val="0"/>
          <w:sz w:val="24"/>
          <w:szCs w:val="24"/>
          <w:lang w:eastAsia="en-GB"/>
          <w14:ligatures w14:val="none"/>
        </w:rPr>
        <w:t xml:space="preserve">avoiding trade union negotiations </w:t>
      </w:r>
      <w:r w:rsidR="00F32598" w:rsidRPr="00D20738">
        <w:rPr>
          <w:rFonts w:ascii="Arial" w:eastAsia="Times New Roman" w:hAnsi="Arial" w:cs="Arial"/>
          <w:kern w:val="0"/>
          <w:sz w:val="24"/>
          <w:szCs w:val="24"/>
          <w:lang w:eastAsia="en-GB"/>
          <w14:ligatures w14:val="none"/>
        </w:rPr>
        <w:t xml:space="preserve">can undermine </w:t>
      </w:r>
      <w:r w:rsidR="00F803EE" w:rsidRPr="00D20738">
        <w:rPr>
          <w:rFonts w:ascii="Arial" w:eastAsia="Times New Roman" w:hAnsi="Arial" w:cs="Arial"/>
          <w:kern w:val="0"/>
          <w:sz w:val="24"/>
          <w:szCs w:val="24"/>
          <w:lang w:eastAsia="en-GB"/>
          <w14:ligatures w14:val="none"/>
        </w:rPr>
        <w:t xml:space="preserve">organisational governance and lead to </w:t>
      </w:r>
      <w:r w:rsidR="00986C38" w:rsidRPr="00D20738">
        <w:rPr>
          <w:rFonts w:ascii="Arial" w:eastAsia="Times New Roman" w:hAnsi="Arial" w:cs="Arial"/>
          <w:kern w:val="0"/>
          <w:sz w:val="24"/>
          <w:szCs w:val="24"/>
          <w:lang w:eastAsia="en-GB"/>
          <w14:ligatures w14:val="none"/>
        </w:rPr>
        <w:t xml:space="preserve">substantial </w:t>
      </w:r>
      <w:r w:rsidR="00300FCE" w:rsidRPr="00D20738">
        <w:rPr>
          <w:rFonts w:ascii="Arial" w:eastAsia="Times New Roman" w:hAnsi="Arial" w:cs="Arial"/>
          <w:kern w:val="0"/>
          <w:sz w:val="24"/>
          <w:szCs w:val="24"/>
          <w:lang w:eastAsia="en-GB"/>
          <w14:ligatures w14:val="none"/>
        </w:rPr>
        <w:t>legal and financial claims</w:t>
      </w:r>
      <w:r w:rsidR="009026EC" w:rsidRPr="00D20738">
        <w:rPr>
          <w:rFonts w:ascii="Arial" w:eastAsia="Times New Roman" w:hAnsi="Arial" w:cs="Arial"/>
          <w:kern w:val="0"/>
          <w:sz w:val="24"/>
          <w:szCs w:val="24"/>
          <w:lang w:eastAsia="en-GB"/>
          <w14:ligatures w14:val="none"/>
        </w:rPr>
        <w:t xml:space="preserve">, </w:t>
      </w:r>
      <w:r w:rsidR="00C162EB" w:rsidRPr="00D20738">
        <w:rPr>
          <w:rFonts w:ascii="Arial" w:eastAsia="Times New Roman" w:hAnsi="Arial" w:cs="Arial"/>
          <w:kern w:val="0"/>
          <w:sz w:val="24"/>
          <w:szCs w:val="24"/>
          <w:lang w:eastAsia="en-GB"/>
          <w14:ligatures w14:val="none"/>
        </w:rPr>
        <w:t xml:space="preserve">with the </w:t>
      </w:r>
      <w:r w:rsidR="00C17B3C" w:rsidRPr="00D20738">
        <w:rPr>
          <w:rFonts w:ascii="Arial" w:eastAsia="Times New Roman" w:hAnsi="Arial" w:cs="Arial"/>
          <w:kern w:val="0"/>
          <w:sz w:val="24"/>
          <w:szCs w:val="24"/>
          <w:lang w:eastAsia="en-GB"/>
          <w14:ligatures w14:val="none"/>
        </w:rPr>
        <w:t>Supreme</w:t>
      </w:r>
      <w:r w:rsidR="00B04ADA" w:rsidRPr="00D20738">
        <w:rPr>
          <w:rFonts w:ascii="Arial" w:eastAsia="Times New Roman" w:hAnsi="Arial" w:cs="Arial"/>
          <w:kern w:val="0"/>
          <w:sz w:val="24"/>
          <w:szCs w:val="24"/>
          <w:lang w:eastAsia="en-GB"/>
          <w14:ligatures w14:val="none"/>
        </w:rPr>
        <w:t xml:space="preserve"> Court </w:t>
      </w:r>
      <w:r w:rsidR="00C17B3C" w:rsidRPr="00D20738">
        <w:rPr>
          <w:rFonts w:ascii="Arial" w:eastAsia="Times New Roman" w:hAnsi="Arial" w:cs="Arial"/>
          <w:kern w:val="0"/>
          <w:sz w:val="24"/>
          <w:szCs w:val="24"/>
          <w:lang w:eastAsia="en-GB"/>
          <w14:ligatures w14:val="none"/>
        </w:rPr>
        <w:t>ruling this as unlawful inducement</w:t>
      </w:r>
      <w:r w:rsidR="008B3E81" w:rsidRPr="00D20738">
        <w:rPr>
          <w:rFonts w:ascii="Arial" w:eastAsia="Times New Roman" w:hAnsi="Arial" w:cs="Arial"/>
          <w:kern w:val="0"/>
          <w:sz w:val="24"/>
          <w:szCs w:val="24"/>
          <w:lang w:eastAsia="en-GB"/>
          <w14:ligatures w14:val="none"/>
        </w:rPr>
        <w:t xml:space="preserve"> </w:t>
      </w:r>
      <w:proofErr w:type="gramStart"/>
      <w:r w:rsidR="00E42084" w:rsidRPr="00D20738">
        <w:rPr>
          <w:rFonts w:ascii="Arial" w:eastAsia="Times New Roman" w:hAnsi="Arial" w:cs="Arial"/>
          <w:kern w:val="0"/>
          <w:sz w:val="24"/>
          <w:szCs w:val="24"/>
          <w:lang w:eastAsia="en-GB"/>
          <w14:ligatures w14:val="none"/>
        </w:rPr>
        <w:t>as a result of</w:t>
      </w:r>
      <w:proofErr w:type="gramEnd"/>
      <w:r w:rsidR="00E42084" w:rsidRPr="00D20738">
        <w:rPr>
          <w:rFonts w:ascii="Arial" w:eastAsia="Times New Roman" w:hAnsi="Arial" w:cs="Arial"/>
          <w:kern w:val="0"/>
          <w:sz w:val="24"/>
          <w:szCs w:val="24"/>
          <w:lang w:eastAsia="en-GB"/>
          <w14:ligatures w14:val="none"/>
        </w:rPr>
        <w:t xml:space="preserve"> breaching collective bar</w:t>
      </w:r>
      <w:r w:rsidR="007E37FB" w:rsidRPr="00D20738">
        <w:rPr>
          <w:rFonts w:ascii="Arial" w:eastAsia="Times New Roman" w:hAnsi="Arial" w:cs="Arial"/>
          <w:kern w:val="0"/>
          <w:sz w:val="24"/>
          <w:szCs w:val="24"/>
          <w:lang w:eastAsia="en-GB"/>
          <w14:ligatures w14:val="none"/>
        </w:rPr>
        <w:t>gaining rights</w:t>
      </w:r>
      <w:r w:rsidR="00300FCE" w:rsidRPr="00D20738">
        <w:rPr>
          <w:rFonts w:ascii="Arial" w:eastAsia="Times New Roman" w:hAnsi="Arial" w:cs="Arial"/>
          <w:kern w:val="0"/>
          <w:sz w:val="24"/>
          <w:szCs w:val="24"/>
          <w:lang w:eastAsia="en-GB"/>
          <w14:ligatures w14:val="none"/>
        </w:rPr>
        <w:t xml:space="preserve">. </w:t>
      </w:r>
    </w:p>
    <w:p w14:paraId="5592B2B9" w14:textId="3E83B09F" w:rsidR="00995433" w:rsidRDefault="00D718D7"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lastRenderedPageBreak/>
        <w:t>However</w:t>
      </w:r>
      <w:r w:rsidR="008032B6" w:rsidRPr="00D20738">
        <w:rPr>
          <w:rFonts w:ascii="Arial" w:eastAsia="Times New Roman" w:hAnsi="Arial" w:cs="Arial"/>
          <w:kern w:val="0"/>
          <w:sz w:val="24"/>
          <w:szCs w:val="24"/>
          <w:lang w:eastAsia="en-GB"/>
          <w14:ligatures w14:val="none"/>
        </w:rPr>
        <w:t xml:space="preserve">, </w:t>
      </w:r>
      <w:r w:rsidR="0049356A" w:rsidRPr="00D20738">
        <w:rPr>
          <w:rFonts w:ascii="Arial" w:eastAsia="Times New Roman" w:hAnsi="Arial" w:cs="Arial"/>
          <w:kern w:val="0"/>
          <w:sz w:val="24"/>
          <w:szCs w:val="24"/>
          <w:lang w:eastAsia="en-GB"/>
          <w14:ligatures w14:val="none"/>
        </w:rPr>
        <w:t>trade union recognition</w:t>
      </w:r>
      <w:r w:rsidR="002022B5" w:rsidRPr="00D20738">
        <w:rPr>
          <w:rFonts w:ascii="Arial" w:eastAsia="Times New Roman" w:hAnsi="Arial" w:cs="Arial"/>
          <w:kern w:val="0"/>
          <w:sz w:val="24"/>
          <w:szCs w:val="24"/>
          <w:lang w:eastAsia="en-GB"/>
          <w14:ligatures w14:val="none"/>
        </w:rPr>
        <w:t xml:space="preserve"> can</w:t>
      </w:r>
      <w:r w:rsidR="00D13052" w:rsidRPr="00D20738">
        <w:rPr>
          <w:rFonts w:ascii="Arial" w:eastAsia="Times New Roman" w:hAnsi="Arial" w:cs="Arial"/>
          <w:kern w:val="0"/>
          <w:sz w:val="24"/>
          <w:szCs w:val="24"/>
          <w:lang w:eastAsia="en-GB"/>
          <w14:ligatures w14:val="none"/>
        </w:rPr>
        <w:t xml:space="preserve"> lead to additional legal and </w:t>
      </w:r>
      <w:r w:rsidR="004F0C9A" w:rsidRPr="00D20738">
        <w:rPr>
          <w:rFonts w:ascii="Arial" w:eastAsia="Times New Roman" w:hAnsi="Arial" w:cs="Arial"/>
          <w:kern w:val="0"/>
          <w:sz w:val="24"/>
          <w:szCs w:val="24"/>
          <w:lang w:eastAsia="en-GB"/>
          <w14:ligatures w14:val="none"/>
        </w:rPr>
        <w:t>procedural</w:t>
      </w:r>
      <w:r w:rsidR="003D5EED" w:rsidRPr="00D20738">
        <w:rPr>
          <w:rFonts w:ascii="Arial" w:eastAsia="Times New Roman" w:hAnsi="Arial" w:cs="Arial"/>
          <w:kern w:val="0"/>
          <w:sz w:val="24"/>
          <w:szCs w:val="24"/>
          <w:lang w:eastAsia="en-GB"/>
          <w14:ligatures w14:val="none"/>
        </w:rPr>
        <w:t xml:space="preserve"> </w:t>
      </w:r>
      <w:r w:rsidR="004F0C9A" w:rsidRPr="00D20738">
        <w:rPr>
          <w:rFonts w:ascii="Arial" w:eastAsia="Times New Roman" w:hAnsi="Arial" w:cs="Arial"/>
          <w:kern w:val="0"/>
          <w:sz w:val="24"/>
          <w:szCs w:val="24"/>
          <w:lang w:eastAsia="en-GB"/>
          <w14:ligatures w14:val="none"/>
        </w:rPr>
        <w:t>complexities</w:t>
      </w:r>
      <w:r w:rsidR="003137BC" w:rsidRPr="00D20738">
        <w:rPr>
          <w:rFonts w:ascii="Arial" w:eastAsia="Times New Roman" w:hAnsi="Arial" w:cs="Arial"/>
          <w:kern w:val="0"/>
          <w:sz w:val="24"/>
          <w:szCs w:val="24"/>
          <w:lang w:eastAsia="en-GB"/>
          <w14:ligatures w14:val="none"/>
        </w:rPr>
        <w:t xml:space="preserve">, such as increase in </w:t>
      </w:r>
      <w:r w:rsidR="009F3318" w:rsidRPr="00D20738">
        <w:rPr>
          <w:rFonts w:ascii="Arial" w:eastAsia="Times New Roman" w:hAnsi="Arial" w:cs="Arial"/>
          <w:kern w:val="0"/>
          <w:sz w:val="24"/>
          <w:szCs w:val="24"/>
          <w:lang w:eastAsia="en-GB"/>
          <w14:ligatures w14:val="none"/>
        </w:rPr>
        <w:t>industrial</w:t>
      </w:r>
      <w:r w:rsidR="00AD428B" w:rsidRPr="00D20738">
        <w:rPr>
          <w:rFonts w:ascii="Arial" w:eastAsia="Times New Roman" w:hAnsi="Arial" w:cs="Arial"/>
          <w:kern w:val="0"/>
          <w:sz w:val="24"/>
          <w:szCs w:val="24"/>
          <w:lang w:eastAsia="en-GB"/>
          <w14:ligatures w14:val="none"/>
        </w:rPr>
        <w:t xml:space="preserve"> action if </w:t>
      </w:r>
      <w:r w:rsidR="00E0540B" w:rsidRPr="00D20738">
        <w:rPr>
          <w:rFonts w:ascii="Arial" w:eastAsia="Times New Roman" w:hAnsi="Arial" w:cs="Arial"/>
          <w:kern w:val="0"/>
          <w:sz w:val="24"/>
          <w:szCs w:val="24"/>
          <w:lang w:eastAsia="en-GB"/>
          <w14:ligatures w14:val="none"/>
        </w:rPr>
        <w:t xml:space="preserve">poorly managed. </w:t>
      </w:r>
      <w:r w:rsidR="00A14F95" w:rsidRPr="00D20738">
        <w:rPr>
          <w:rFonts w:ascii="Arial" w:eastAsia="Times New Roman" w:hAnsi="Arial" w:cs="Arial"/>
          <w:i/>
          <w:iCs/>
          <w:kern w:val="0"/>
          <w:sz w:val="24"/>
          <w:szCs w:val="24"/>
          <w:lang w:eastAsia="en-GB"/>
          <w14:ligatures w14:val="none"/>
        </w:rPr>
        <w:t>‘</w:t>
      </w:r>
      <w:r w:rsidR="0091146E" w:rsidRPr="00D20738">
        <w:rPr>
          <w:rFonts w:ascii="Arial" w:eastAsia="Times New Roman" w:hAnsi="Arial" w:cs="Arial"/>
          <w:i/>
          <w:iCs/>
          <w:kern w:val="0"/>
          <w:sz w:val="24"/>
          <w:szCs w:val="24"/>
          <w:lang w:eastAsia="en-GB"/>
          <w14:ligatures w14:val="none"/>
        </w:rPr>
        <w:t>British Airways plc v Unite</w:t>
      </w:r>
      <w:r w:rsidR="000C1E12" w:rsidRPr="00D20738">
        <w:rPr>
          <w:rFonts w:ascii="Arial" w:eastAsia="Times New Roman" w:hAnsi="Arial" w:cs="Arial"/>
          <w:i/>
          <w:iCs/>
          <w:kern w:val="0"/>
          <w:sz w:val="24"/>
          <w:szCs w:val="24"/>
          <w:lang w:eastAsia="en-GB"/>
          <w14:ligatures w14:val="none"/>
        </w:rPr>
        <w:t>’</w:t>
      </w:r>
      <w:r w:rsidR="0091146E" w:rsidRPr="00D20738">
        <w:rPr>
          <w:rFonts w:ascii="Arial" w:eastAsia="Times New Roman" w:hAnsi="Arial" w:cs="Arial"/>
          <w:i/>
          <w:iCs/>
          <w:kern w:val="0"/>
          <w:sz w:val="24"/>
          <w:szCs w:val="24"/>
          <w:lang w:eastAsia="en-GB"/>
          <w14:ligatures w14:val="none"/>
        </w:rPr>
        <w:t xml:space="preserve"> </w:t>
      </w:r>
      <w:r w:rsidR="0091146E" w:rsidRPr="00D20738">
        <w:rPr>
          <w:rFonts w:ascii="Arial" w:eastAsia="Times New Roman" w:hAnsi="Arial" w:cs="Arial"/>
          <w:kern w:val="0"/>
          <w:sz w:val="24"/>
          <w:szCs w:val="24"/>
          <w:lang w:eastAsia="en-GB"/>
          <w14:ligatures w14:val="none"/>
        </w:rPr>
        <w:t>(2010)</w:t>
      </w:r>
      <w:r w:rsidR="0090639B" w:rsidRPr="00D20738">
        <w:rPr>
          <w:rFonts w:ascii="Arial" w:eastAsia="Times New Roman" w:hAnsi="Arial" w:cs="Arial"/>
          <w:kern w:val="0"/>
          <w:sz w:val="24"/>
          <w:szCs w:val="24"/>
          <w:lang w:eastAsia="en-GB"/>
          <w14:ligatures w14:val="none"/>
        </w:rPr>
        <w:t xml:space="preserve"> illustrates this</w:t>
      </w:r>
      <w:r w:rsidR="00290C7F" w:rsidRPr="00D20738">
        <w:rPr>
          <w:rFonts w:ascii="Arial" w:eastAsia="Times New Roman" w:hAnsi="Arial" w:cs="Arial"/>
          <w:kern w:val="0"/>
          <w:sz w:val="24"/>
          <w:szCs w:val="24"/>
          <w:lang w:eastAsia="en-GB"/>
          <w14:ligatures w14:val="none"/>
        </w:rPr>
        <w:t xml:space="preserve">, where </w:t>
      </w:r>
      <w:r w:rsidR="004E7A59" w:rsidRPr="00D20738">
        <w:rPr>
          <w:rFonts w:ascii="Arial" w:eastAsia="Times New Roman" w:hAnsi="Arial" w:cs="Arial"/>
          <w:kern w:val="0"/>
          <w:sz w:val="24"/>
          <w:szCs w:val="24"/>
          <w:lang w:eastAsia="en-GB"/>
          <w14:ligatures w14:val="none"/>
        </w:rPr>
        <w:t xml:space="preserve">legal </w:t>
      </w:r>
      <w:r w:rsidR="0090639B" w:rsidRPr="00D20738">
        <w:rPr>
          <w:rFonts w:ascii="Arial" w:eastAsia="Times New Roman" w:hAnsi="Arial" w:cs="Arial"/>
          <w:kern w:val="0"/>
          <w:sz w:val="24"/>
          <w:szCs w:val="24"/>
          <w:lang w:eastAsia="en-GB"/>
          <w14:ligatures w14:val="none"/>
        </w:rPr>
        <w:t>dispute</w:t>
      </w:r>
      <w:r w:rsidR="004E7A59" w:rsidRPr="00D20738">
        <w:rPr>
          <w:rFonts w:ascii="Arial" w:eastAsia="Times New Roman" w:hAnsi="Arial" w:cs="Arial"/>
          <w:kern w:val="0"/>
          <w:sz w:val="24"/>
          <w:szCs w:val="24"/>
          <w:lang w:eastAsia="en-GB"/>
          <w14:ligatures w14:val="none"/>
        </w:rPr>
        <w:t xml:space="preserve"> and strike action</w:t>
      </w:r>
      <w:r w:rsidR="006C4274" w:rsidRPr="00D20738">
        <w:rPr>
          <w:rFonts w:ascii="Arial" w:eastAsia="Times New Roman" w:hAnsi="Arial" w:cs="Arial"/>
          <w:kern w:val="0"/>
          <w:sz w:val="24"/>
          <w:szCs w:val="24"/>
          <w:lang w:eastAsia="en-GB"/>
          <w14:ligatures w14:val="none"/>
        </w:rPr>
        <w:t xml:space="preserve"> </w:t>
      </w:r>
      <w:r w:rsidR="0090639B" w:rsidRPr="00D20738">
        <w:rPr>
          <w:rFonts w:ascii="Arial" w:eastAsia="Times New Roman" w:hAnsi="Arial" w:cs="Arial"/>
          <w:kern w:val="0"/>
          <w:sz w:val="24"/>
          <w:szCs w:val="24"/>
          <w:lang w:eastAsia="en-GB"/>
          <w14:ligatures w14:val="none"/>
        </w:rPr>
        <w:t>resulted in</w:t>
      </w:r>
      <w:r w:rsidR="006C4274" w:rsidRPr="00D20738">
        <w:rPr>
          <w:rFonts w:ascii="Arial" w:eastAsia="Times New Roman" w:hAnsi="Arial" w:cs="Arial"/>
          <w:kern w:val="0"/>
          <w:sz w:val="24"/>
          <w:szCs w:val="24"/>
          <w:lang w:eastAsia="en-GB"/>
          <w14:ligatures w14:val="none"/>
        </w:rPr>
        <w:t xml:space="preserve"> significant disruption and reputational harm</w:t>
      </w:r>
      <w:r w:rsidR="00FF6921" w:rsidRPr="00D20738">
        <w:rPr>
          <w:rFonts w:ascii="Arial" w:eastAsia="Times New Roman" w:hAnsi="Arial" w:cs="Arial"/>
          <w:kern w:val="0"/>
          <w:sz w:val="24"/>
          <w:szCs w:val="24"/>
          <w:lang w:eastAsia="en-GB"/>
          <w14:ligatures w14:val="none"/>
        </w:rPr>
        <w:t xml:space="preserve">, </w:t>
      </w:r>
      <w:r w:rsidR="006C6A11" w:rsidRPr="00D20738">
        <w:rPr>
          <w:rFonts w:ascii="Arial" w:eastAsia="Times New Roman" w:hAnsi="Arial" w:cs="Arial"/>
          <w:kern w:val="0"/>
          <w:sz w:val="24"/>
          <w:szCs w:val="24"/>
          <w:lang w:eastAsia="en-GB"/>
          <w14:ligatures w14:val="none"/>
        </w:rPr>
        <w:t xml:space="preserve">demonstrating the </w:t>
      </w:r>
      <w:r w:rsidR="00731C43" w:rsidRPr="00D20738">
        <w:rPr>
          <w:rFonts w:ascii="Arial" w:eastAsia="Times New Roman" w:hAnsi="Arial" w:cs="Arial"/>
          <w:kern w:val="0"/>
          <w:sz w:val="24"/>
          <w:szCs w:val="24"/>
          <w:lang w:eastAsia="en-GB"/>
          <w14:ligatures w14:val="none"/>
        </w:rPr>
        <w:t xml:space="preserve">organisational risks </w:t>
      </w:r>
      <w:r w:rsidR="009B54C4" w:rsidRPr="00D20738">
        <w:rPr>
          <w:rFonts w:ascii="Arial" w:eastAsia="Times New Roman" w:hAnsi="Arial" w:cs="Arial"/>
          <w:kern w:val="0"/>
          <w:sz w:val="24"/>
          <w:szCs w:val="24"/>
          <w:lang w:eastAsia="en-GB"/>
          <w14:ligatures w14:val="none"/>
        </w:rPr>
        <w:t>associated with ineffective union management</w:t>
      </w:r>
      <w:r w:rsidR="004F0C9A" w:rsidRPr="00D20738">
        <w:rPr>
          <w:rFonts w:ascii="Arial" w:eastAsia="Times New Roman" w:hAnsi="Arial" w:cs="Arial"/>
          <w:kern w:val="0"/>
          <w:sz w:val="24"/>
          <w:szCs w:val="24"/>
          <w:lang w:eastAsia="en-GB"/>
          <w14:ligatures w14:val="none"/>
        </w:rPr>
        <w:t xml:space="preserve">. </w:t>
      </w:r>
      <w:r w:rsidR="00776296" w:rsidRPr="00D20738">
        <w:rPr>
          <w:rFonts w:ascii="Arial" w:eastAsia="Times New Roman" w:hAnsi="Arial" w:cs="Arial"/>
          <w:kern w:val="0"/>
          <w:sz w:val="24"/>
          <w:szCs w:val="24"/>
          <w:lang w:eastAsia="en-GB"/>
          <w14:ligatures w14:val="none"/>
        </w:rPr>
        <w:t xml:space="preserve">Despite this, </w:t>
      </w:r>
      <w:r w:rsidR="00995433" w:rsidRPr="00D20738">
        <w:rPr>
          <w:rFonts w:ascii="Arial" w:eastAsia="Times New Roman" w:hAnsi="Arial" w:cs="Arial"/>
          <w:kern w:val="0"/>
          <w:sz w:val="24"/>
          <w:szCs w:val="24"/>
          <w:lang w:eastAsia="en-GB"/>
          <w14:ligatures w14:val="none"/>
        </w:rPr>
        <w:t>ACAS (202</w:t>
      </w:r>
      <w:r w:rsidR="0052133A" w:rsidRPr="00D20738">
        <w:rPr>
          <w:rFonts w:ascii="Arial" w:eastAsia="Times New Roman" w:hAnsi="Arial" w:cs="Arial"/>
          <w:kern w:val="0"/>
          <w:sz w:val="24"/>
          <w:szCs w:val="24"/>
          <w:lang w:eastAsia="en-GB"/>
          <w14:ligatures w14:val="none"/>
        </w:rPr>
        <w:t>4</w:t>
      </w:r>
      <w:r w:rsidR="00D23A98" w:rsidRPr="00D20738">
        <w:rPr>
          <w:rFonts w:ascii="Arial" w:eastAsia="Times New Roman" w:hAnsi="Arial" w:cs="Arial"/>
          <w:kern w:val="0"/>
          <w:sz w:val="24"/>
          <w:szCs w:val="24"/>
          <w:lang w:eastAsia="en-GB"/>
          <w14:ligatures w14:val="none"/>
        </w:rPr>
        <w:t>a</w:t>
      </w:r>
      <w:r w:rsidR="00995433" w:rsidRPr="00D20738">
        <w:rPr>
          <w:rFonts w:ascii="Arial" w:eastAsia="Times New Roman" w:hAnsi="Arial" w:cs="Arial"/>
          <w:kern w:val="0"/>
          <w:sz w:val="24"/>
          <w:szCs w:val="24"/>
          <w:lang w:eastAsia="en-GB"/>
          <w14:ligatures w14:val="none"/>
        </w:rPr>
        <w:t>) guidance</w:t>
      </w:r>
      <w:r w:rsidR="00776296" w:rsidRPr="00D20738">
        <w:rPr>
          <w:rFonts w:ascii="Arial" w:eastAsia="Times New Roman" w:hAnsi="Arial" w:cs="Arial"/>
          <w:kern w:val="0"/>
          <w:sz w:val="24"/>
          <w:szCs w:val="24"/>
          <w:lang w:eastAsia="en-GB"/>
          <w14:ligatures w14:val="none"/>
        </w:rPr>
        <w:t xml:space="preserve"> encourages </w:t>
      </w:r>
      <w:r w:rsidR="001345A8" w:rsidRPr="00D20738">
        <w:rPr>
          <w:rFonts w:ascii="Arial" w:eastAsia="Times New Roman" w:hAnsi="Arial" w:cs="Arial"/>
          <w:kern w:val="0"/>
          <w:sz w:val="24"/>
          <w:szCs w:val="24"/>
          <w:lang w:eastAsia="en-GB"/>
          <w14:ligatures w14:val="none"/>
        </w:rPr>
        <w:t xml:space="preserve">trade union partnerships and </w:t>
      </w:r>
      <w:r w:rsidR="00995433" w:rsidRPr="00D20738">
        <w:rPr>
          <w:rFonts w:ascii="Arial" w:eastAsia="Times New Roman" w:hAnsi="Arial" w:cs="Arial"/>
          <w:kern w:val="0"/>
          <w:sz w:val="24"/>
          <w:szCs w:val="24"/>
          <w:lang w:eastAsia="en-GB"/>
          <w14:ligatures w14:val="none"/>
        </w:rPr>
        <w:t>promotes early, constructive and collaborative engagement with trade unions as a means of preventing disputes from escalating. Furthermore, re</w:t>
      </w:r>
      <w:r w:rsidR="00995433" w:rsidRPr="00D20738">
        <w:rPr>
          <w:rFonts w:ascii="Arial" w:eastAsia="Times New Roman" w:hAnsi="Arial" w:cs="Arial"/>
          <w:kern w:val="0"/>
          <w:sz w:val="24"/>
          <w:szCs w:val="24"/>
          <w:lang w:eastAsia="en-GB"/>
          <w14:ligatures w14:val="none"/>
        </w:rPr>
        <w:noBreakHyphen/>
        <w:t>opening discussions shows a new leadership approach, supporting positive workforce relations which enables the organisation to actively influence decisions rather than responding to decisions determined externally.</w:t>
      </w:r>
    </w:p>
    <w:p w14:paraId="207EE4A6" w14:textId="77777777" w:rsidR="008214CA" w:rsidRPr="00D20738" w:rsidRDefault="008214CA" w:rsidP="00741AE9">
      <w:pPr>
        <w:spacing w:line="360" w:lineRule="auto"/>
        <w:jc w:val="both"/>
        <w:rPr>
          <w:rFonts w:ascii="Arial" w:eastAsia="Times New Roman" w:hAnsi="Arial" w:cs="Arial"/>
          <w:kern w:val="0"/>
          <w:sz w:val="24"/>
          <w:szCs w:val="24"/>
          <w:lang w:eastAsia="en-GB"/>
          <w14:ligatures w14:val="none"/>
        </w:rPr>
      </w:pPr>
    </w:p>
    <w:p w14:paraId="2B1E2FEA" w14:textId="6BA14ECA" w:rsidR="00E9411E" w:rsidRPr="00D20738" w:rsidRDefault="00E9411E" w:rsidP="00741AE9">
      <w:pPr>
        <w:pStyle w:val="Heading2"/>
        <w:spacing w:line="360" w:lineRule="auto"/>
        <w:jc w:val="both"/>
        <w:rPr>
          <w:rFonts w:ascii="Arial" w:eastAsia="Times New Roman" w:hAnsi="Arial" w:cs="Arial"/>
          <w:lang w:eastAsia="en-GB"/>
        </w:rPr>
      </w:pPr>
      <w:bookmarkStart w:id="5" w:name="_Toc229418557"/>
      <w:r w:rsidRPr="00D20738">
        <w:rPr>
          <w:rFonts w:ascii="Arial" w:eastAsia="Times New Roman" w:hAnsi="Arial" w:cs="Arial"/>
          <w:lang w:val="en-US" w:eastAsia="en-GB"/>
        </w:rPr>
        <w:t xml:space="preserve">Data Protection </w:t>
      </w:r>
      <w:r w:rsidR="006B3257">
        <w:rPr>
          <w:rFonts w:ascii="Arial" w:eastAsia="Times New Roman" w:hAnsi="Arial" w:cs="Arial"/>
          <w:lang w:val="en-US" w:eastAsia="en-GB"/>
        </w:rPr>
        <w:t>B</w:t>
      </w:r>
      <w:r w:rsidRPr="00D20738">
        <w:rPr>
          <w:rFonts w:ascii="Arial" w:eastAsia="Times New Roman" w:hAnsi="Arial" w:cs="Arial"/>
          <w:lang w:val="en-US" w:eastAsia="en-GB"/>
        </w:rPr>
        <w:t>reaches</w:t>
      </w:r>
      <w:bookmarkEnd w:id="5"/>
    </w:p>
    <w:p w14:paraId="4020FDEC" w14:textId="01D77F79" w:rsidR="00E9411E" w:rsidRPr="00D20738" w:rsidRDefault="00E9411E" w:rsidP="00741AE9">
      <w:pPr>
        <w:spacing w:after="0" w:line="360" w:lineRule="auto"/>
        <w:contextualSpacing/>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 xml:space="preserve">Data protection breaches create considerable legal risk and reputational damage under the UK General Data Protection Regulation and </w:t>
      </w:r>
      <w:r w:rsidR="00986913" w:rsidRPr="002710D1">
        <w:rPr>
          <w:rFonts w:ascii="Arial" w:eastAsia="Times New Roman" w:hAnsi="Arial" w:cs="Arial"/>
          <w:kern w:val="0"/>
          <w:sz w:val="24"/>
          <w:szCs w:val="24"/>
          <w:lang w:eastAsia="en-GB"/>
          <w14:ligatures w14:val="none"/>
        </w:rPr>
        <w:t>T</w:t>
      </w:r>
      <w:r w:rsidRPr="002710D1">
        <w:rPr>
          <w:rFonts w:ascii="Arial" w:eastAsia="Times New Roman" w:hAnsi="Arial" w:cs="Arial"/>
          <w:kern w:val="0"/>
          <w:sz w:val="24"/>
          <w:szCs w:val="24"/>
          <w:lang w:eastAsia="en-GB"/>
          <w14:ligatures w14:val="none"/>
        </w:rPr>
        <w:t>he Data Protection Act 2018</w:t>
      </w:r>
      <w:r w:rsidRPr="00D20738">
        <w:rPr>
          <w:rFonts w:ascii="Arial" w:eastAsia="Times New Roman" w:hAnsi="Arial" w:cs="Arial"/>
          <w:kern w:val="0"/>
          <w:sz w:val="24"/>
          <w:szCs w:val="24"/>
          <w:lang w:eastAsia="en-GB"/>
          <w14:ligatures w14:val="none"/>
        </w:rPr>
        <w:t xml:space="preserve">. Therefore, organisations are legally responsible for ensuring personal data is processed lawfully, securely and transparently </w:t>
      </w:r>
      <w:r w:rsidR="008F2BE7" w:rsidRPr="00D20738">
        <w:rPr>
          <w:rFonts w:ascii="Arial" w:eastAsia="Times New Roman" w:hAnsi="Arial" w:cs="Arial"/>
          <w:kern w:val="0"/>
          <w:sz w:val="24"/>
          <w:szCs w:val="24"/>
          <w:lang w:eastAsia="en-GB"/>
          <w14:ligatures w14:val="none"/>
        </w:rPr>
        <w:t>(ICO, 2023)</w:t>
      </w:r>
      <w:r w:rsidRPr="00D20738">
        <w:rPr>
          <w:rFonts w:ascii="Arial" w:eastAsia="Times New Roman" w:hAnsi="Arial" w:cs="Arial"/>
          <w:kern w:val="0"/>
          <w:sz w:val="24"/>
          <w:szCs w:val="24"/>
          <w:lang w:eastAsia="en-GB"/>
          <w14:ligatures w14:val="none"/>
        </w:rPr>
        <w:t xml:space="preserve">. </w:t>
      </w:r>
    </w:p>
    <w:p w14:paraId="4CBA1F60" w14:textId="77777777" w:rsidR="00E9411E" w:rsidRPr="00D20738" w:rsidRDefault="00E9411E" w:rsidP="00741AE9">
      <w:pPr>
        <w:spacing w:after="0" w:line="360" w:lineRule="auto"/>
        <w:ind w:left="720"/>
        <w:contextualSpacing/>
        <w:jc w:val="both"/>
        <w:rPr>
          <w:rFonts w:ascii="Arial" w:eastAsia="Times New Roman" w:hAnsi="Arial" w:cs="Arial"/>
          <w:kern w:val="0"/>
          <w:sz w:val="24"/>
          <w:szCs w:val="24"/>
          <w:lang w:eastAsia="en-GB"/>
          <w14:ligatures w14:val="none"/>
        </w:rPr>
      </w:pPr>
    </w:p>
    <w:p w14:paraId="1B527B25" w14:textId="1E1FB54C" w:rsidR="00E9411E" w:rsidRPr="00D20738" w:rsidRDefault="00E9411E" w:rsidP="00741AE9">
      <w:pPr>
        <w:spacing w:after="0" w:line="360" w:lineRule="auto"/>
        <w:contextualSpacing/>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As Elmbridge faced an Employment Tribunal claim following a data protection breach where sensitive employee information was inappropriately shared, it suggests a breach of integrity and confidentiality, as well as highlighting a significant weakness in internal control mechanisms and governance structures (Daniels, 2025). This reinforces the importance of robust governance and timely escalation, as Elmbridge may face further financial penalties, regulatory action and reputational damage where effective processes are not in place (</w:t>
      </w:r>
      <w:r w:rsidR="004B2C1E" w:rsidRPr="00BD54A7">
        <w:rPr>
          <w:rFonts w:ascii="Arial" w:hAnsi="Arial" w:cs="Arial"/>
          <w:sz w:val="24"/>
          <w:szCs w:val="24"/>
          <w:lang w:eastAsia="en-GB"/>
        </w:rPr>
        <w:t>The Data Protection Act 2018</w:t>
      </w:r>
      <w:r w:rsidRPr="00D20738">
        <w:rPr>
          <w:rFonts w:ascii="Arial" w:eastAsia="Times New Roman" w:hAnsi="Arial" w:cs="Arial"/>
          <w:kern w:val="0"/>
          <w:sz w:val="24"/>
          <w:szCs w:val="24"/>
          <w:lang w:eastAsia="en-GB"/>
          <w14:ligatures w14:val="none"/>
        </w:rPr>
        <w:t>).</w:t>
      </w:r>
    </w:p>
    <w:p w14:paraId="464B090B" w14:textId="77777777" w:rsidR="00E9411E" w:rsidRPr="00D20738" w:rsidRDefault="00E9411E" w:rsidP="00741AE9">
      <w:pPr>
        <w:spacing w:after="0" w:line="360" w:lineRule="auto"/>
        <w:ind w:left="720"/>
        <w:contextualSpacing/>
        <w:jc w:val="both"/>
        <w:rPr>
          <w:rFonts w:ascii="Arial" w:eastAsia="Times New Roman" w:hAnsi="Arial" w:cs="Arial"/>
          <w:kern w:val="0"/>
          <w:sz w:val="24"/>
          <w:szCs w:val="24"/>
          <w:lang w:eastAsia="en-GB"/>
          <w14:ligatures w14:val="none"/>
        </w:rPr>
      </w:pPr>
    </w:p>
    <w:p w14:paraId="47A6B33A" w14:textId="16A98C1F" w:rsidR="00E9411E" w:rsidRPr="00D20738" w:rsidRDefault="00E9411E" w:rsidP="00741AE9">
      <w:pPr>
        <w:spacing w:after="0" w:line="360" w:lineRule="auto"/>
        <w:contextualSpacing/>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A lack of confidential and anonymous reporting mechanisms within Elmbridge significantly undermines data protection, increasing the risk of non-compliance. CIPD (202</w:t>
      </w:r>
      <w:r w:rsidR="00726964" w:rsidRPr="00D20738">
        <w:rPr>
          <w:rFonts w:ascii="Arial" w:eastAsia="Times New Roman" w:hAnsi="Arial" w:cs="Arial"/>
          <w:kern w:val="0"/>
          <w:sz w:val="24"/>
          <w:szCs w:val="24"/>
          <w:lang w:eastAsia="en-GB"/>
          <w14:ligatures w14:val="none"/>
        </w:rPr>
        <w:t>6</w:t>
      </w:r>
      <w:r w:rsidR="00E56524" w:rsidRPr="00D20738">
        <w:rPr>
          <w:rFonts w:ascii="Arial" w:eastAsia="Times New Roman" w:hAnsi="Arial" w:cs="Arial"/>
          <w:kern w:val="0"/>
          <w:sz w:val="24"/>
          <w:szCs w:val="24"/>
          <w:lang w:eastAsia="en-GB"/>
          <w14:ligatures w14:val="none"/>
        </w:rPr>
        <w:t>a</w:t>
      </w:r>
      <w:r w:rsidRPr="00D20738">
        <w:rPr>
          <w:rFonts w:ascii="Arial" w:eastAsia="Times New Roman" w:hAnsi="Arial" w:cs="Arial"/>
          <w:kern w:val="0"/>
          <w:sz w:val="24"/>
          <w:szCs w:val="24"/>
          <w:lang w:eastAsia="en-GB"/>
          <w14:ligatures w14:val="none"/>
        </w:rPr>
        <w:t>) stress the importance of implementing and communicating an internal reporting procedure for data breaches, particularly given the strict 72-hour timescale for reporting breaches to the ICO</w:t>
      </w:r>
      <w:r w:rsidR="00ED73F5" w:rsidRPr="00D20738">
        <w:rPr>
          <w:rFonts w:ascii="Arial" w:eastAsia="Times New Roman" w:hAnsi="Arial" w:cs="Arial"/>
          <w:kern w:val="0"/>
          <w:sz w:val="24"/>
          <w:szCs w:val="24"/>
          <w:lang w:eastAsia="en-GB"/>
          <w14:ligatures w14:val="none"/>
        </w:rPr>
        <w:t xml:space="preserve">. </w:t>
      </w:r>
      <w:r w:rsidRPr="00D20738">
        <w:rPr>
          <w:rFonts w:ascii="Arial" w:eastAsia="Times New Roman" w:hAnsi="Arial" w:cs="Arial"/>
          <w:kern w:val="0"/>
          <w:sz w:val="24"/>
          <w:szCs w:val="24"/>
          <w:lang w:eastAsia="en-GB"/>
          <w14:ligatures w14:val="none"/>
        </w:rPr>
        <w:t xml:space="preserve">Ensuring employees have a clear understanding of a robust reporting procedure supports a more timely and efficient response to data breaches. Additionally, providing employees access to confidential and anonymous </w:t>
      </w:r>
      <w:r w:rsidRPr="00D20738">
        <w:rPr>
          <w:rFonts w:ascii="Arial" w:eastAsia="Times New Roman" w:hAnsi="Arial" w:cs="Arial"/>
          <w:kern w:val="0"/>
          <w:sz w:val="24"/>
          <w:szCs w:val="24"/>
          <w:lang w:eastAsia="en-GB"/>
          <w14:ligatures w14:val="none"/>
        </w:rPr>
        <w:lastRenderedPageBreak/>
        <w:t>reporting mechanisms, such as reporting portals or a secure email address, allows employees to raise concerns or report breaches without fear of reprisal</w:t>
      </w:r>
      <w:r w:rsidR="008775BD" w:rsidRPr="00D20738">
        <w:rPr>
          <w:rFonts w:ascii="Arial" w:eastAsia="Times New Roman" w:hAnsi="Arial" w:cs="Arial"/>
          <w:kern w:val="0"/>
          <w:sz w:val="24"/>
          <w:szCs w:val="24"/>
          <w:lang w:eastAsia="en-GB"/>
          <w14:ligatures w14:val="none"/>
        </w:rPr>
        <w:t xml:space="preserve"> CIPD, </w:t>
      </w:r>
      <w:r w:rsidR="004D18ED" w:rsidRPr="00D20738">
        <w:rPr>
          <w:rFonts w:ascii="Arial" w:eastAsia="Times New Roman" w:hAnsi="Arial" w:cs="Arial"/>
          <w:kern w:val="0"/>
          <w:sz w:val="24"/>
          <w:szCs w:val="24"/>
          <w:lang w:eastAsia="en-GB"/>
          <w14:ligatures w14:val="none"/>
        </w:rPr>
        <w:t>2026</w:t>
      </w:r>
      <w:r w:rsidR="00850B3C" w:rsidRPr="00D20738">
        <w:rPr>
          <w:rFonts w:ascii="Arial" w:eastAsia="Times New Roman" w:hAnsi="Arial" w:cs="Arial"/>
          <w:kern w:val="0"/>
          <w:sz w:val="24"/>
          <w:szCs w:val="24"/>
          <w:lang w:eastAsia="en-GB"/>
          <w14:ligatures w14:val="none"/>
        </w:rPr>
        <w:t>a</w:t>
      </w:r>
      <w:r w:rsidR="004D18ED" w:rsidRPr="00D20738">
        <w:rPr>
          <w:rFonts w:ascii="Arial" w:eastAsia="Times New Roman" w:hAnsi="Arial" w:cs="Arial"/>
          <w:kern w:val="0"/>
          <w:sz w:val="24"/>
          <w:szCs w:val="24"/>
          <w:lang w:eastAsia="en-GB"/>
          <w14:ligatures w14:val="none"/>
        </w:rPr>
        <w:t>; ICO, 20</w:t>
      </w:r>
      <w:r w:rsidR="00B240E6" w:rsidRPr="00D20738">
        <w:rPr>
          <w:rFonts w:ascii="Arial" w:eastAsia="Times New Roman" w:hAnsi="Arial" w:cs="Arial"/>
          <w:kern w:val="0"/>
          <w:sz w:val="24"/>
          <w:szCs w:val="24"/>
          <w:lang w:eastAsia="en-GB"/>
          <w14:ligatures w14:val="none"/>
        </w:rPr>
        <w:t>23</w:t>
      </w:r>
      <w:r w:rsidR="004D18ED" w:rsidRPr="00D20738">
        <w:rPr>
          <w:rFonts w:ascii="Arial" w:eastAsia="Times New Roman" w:hAnsi="Arial" w:cs="Arial"/>
          <w:kern w:val="0"/>
          <w:sz w:val="24"/>
          <w:szCs w:val="24"/>
          <w:lang w:eastAsia="en-GB"/>
          <w14:ligatures w14:val="none"/>
        </w:rPr>
        <w:t>)</w:t>
      </w:r>
      <w:r w:rsidRPr="00D20738">
        <w:rPr>
          <w:rFonts w:ascii="Arial" w:eastAsia="Times New Roman" w:hAnsi="Arial" w:cs="Arial"/>
          <w:kern w:val="0"/>
          <w:sz w:val="24"/>
          <w:szCs w:val="24"/>
          <w:lang w:eastAsia="en-GB"/>
          <w14:ligatures w14:val="none"/>
        </w:rPr>
        <w:t>. Implementing these systems will also allow personal data to be shared more securely, reducing further exposure to tribunal claims, additional financial penalties and reputational damage.</w:t>
      </w:r>
    </w:p>
    <w:p w14:paraId="56D96ED7" w14:textId="77777777" w:rsidR="00E9411E" w:rsidRPr="00D20738" w:rsidRDefault="00E9411E" w:rsidP="00741AE9">
      <w:pPr>
        <w:spacing w:after="0" w:line="360" w:lineRule="auto"/>
        <w:contextualSpacing/>
        <w:jc w:val="both"/>
        <w:rPr>
          <w:rFonts w:ascii="Arial" w:eastAsia="Times New Roman" w:hAnsi="Arial" w:cs="Arial"/>
          <w:kern w:val="0"/>
          <w:sz w:val="24"/>
          <w:szCs w:val="24"/>
          <w:lang w:eastAsia="en-GB"/>
          <w14:ligatures w14:val="none"/>
        </w:rPr>
      </w:pPr>
    </w:p>
    <w:p w14:paraId="06BB1EDD" w14:textId="2C4DE061" w:rsidR="00691ED7" w:rsidRPr="00D20738" w:rsidRDefault="00F345C9" w:rsidP="00741AE9">
      <w:pPr>
        <w:pStyle w:val="Heading2"/>
        <w:spacing w:line="360" w:lineRule="auto"/>
        <w:jc w:val="both"/>
        <w:rPr>
          <w:rFonts w:ascii="Arial" w:eastAsia="Times New Roman" w:hAnsi="Arial" w:cs="Arial"/>
          <w:lang w:eastAsia="en-GB"/>
        </w:rPr>
      </w:pPr>
      <w:bookmarkStart w:id="6" w:name="_Toc229418558"/>
      <w:r w:rsidRPr="00D20738">
        <w:rPr>
          <w:rFonts w:ascii="Arial" w:eastAsia="Times New Roman" w:hAnsi="Arial" w:cs="Arial"/>
          <w:lang w:val="en-US" w:eastAsia="en-GB"/>
        </w:rPr>
        <w:t xml:space="preserve">Harassment at </w:t>
      </w:r>
      <w:r w:rsidR="006B3257">
        <w:rPr>
          <w:rFonts w:ascii="Arial" w:eastAsia="Times New Roman" w:hAnsi="Arial" w:cs="Arial"/>
          <w:lang w:val="en-US" w:eastAsia="en-GB"/>
        </w:rPr>
        <w:t>W</w:t>
      </w:r>
      <w:r w:rsidRPr="00D20738">
        <w:rPr>
          <w:rFonts w:ascii="Arial" w:eastAsia="Times New Roman" w:hAnsi="Arial" w:cs="Arial"/>
          <w:lang w:val="en-US" w:eastAsia="en-GB"/>
        </w:rPr>
        <w:t>ork</w:t>
      </w:r>
      <w:bookmarkEnd w:id="6"/>
    </w:p>
    <w:p w14:paraId="2A86560C" w14:textId="35D0B6AC" w:rsidR="00F345C9" w:rsidRPr="00D20738" w:rsidRDefault="00F345C9" w:rsidP="00741AE9">
      <w:pPr>
        <w:spacing w:after="0" w:line="360" w:lineRule="auto"/>
        <w:contextualSpacing/>
        <w:jc w:val="both"/>
        <w:rPr>
          <w:rFonts w:ascii="Arial" w:eastAsia="Times New Roman" w:hAnsi="Arial" w:cs="Arial"/>
          <w:b/>
          <w:bCs/>
          <w:kern w:val="0"/>
          <w:sz w:val="24"/>
          <w:szCs w:val="24"/>
          <w:lang w:eastAsia="en-GB"/>
          <w14:ligatures w14:val="none"/>
        </w:rPr>
      </w:pPr>
      <w:r w:rsidRPr="00D20738">
        <w:rPr>
          <w:rFonts w:ascii="Arial" w:eastAsia="Times New Roman" w:hAnsi="Arial" w:cs="Arial"/>
          <w:kern w:val="0"/>
          <w:sz w:val="24"/>
          <w:szCs w:val="24"/>
          <w:lang w:eastAsia="en-GB"/>
          <w14:ligatures w14:val="none"/>
        </w:rPr>
        <w:t xml:space="preserve">Harassment is defined as unwanted conduct linked to a protected characteristic that has the effect of violating dignity or creating a hostile or offensive environment Under </w:t>
      </w:r>
      <w:proofErr w:type="gramStart"/>
      <w:r w:rsidR="00BD54A7">
        <w:rPr>
          <w:rFonts w:ascii="Arial" w:eastAsia="Times New Roman" w:hAnsi="Arial" w:cs="Arial"/>
          <w:kern w:val="0"/>
          <w:sz w:val="24"/>
          <w:szCs w:val="24"/>
          <w:lang w:eastAsia="en-GB"/>
          <w14:ligatures w14:val="none"/>
        </w:rPr>
        <w:t>T</w:t>
      </w:r>
      <w:r w:rsidRPr="00D20738">
        <w:rPr>
          <w:rFonts w:ascii="Arial" w:eastAsia="Times New Roman" w:hAnsi="Arial" w:cs="Arial"/>
          <w:kern w:val="0"/>
          <w:sz w:val="24"/>
          <w:szCs w:val="24"/>
          <w:lang w:eastAsia="en-GB"/>
          <w14:ligatures w14:val="none"/>
        </w:rPr>
        <w:t>he</w:t>
      </w:r>
      <w:proofErr w:type="gramEnd"/>
      <w:r w:rsidRPr="00D20738">
        <w:rPr>
          <w:rFonts w:ascii="Arial" w:eastAsia="Times New Roman" w:hAnsi="Arial" w:cs="Arial"/>
          <w:kern w:val="0"/>
          <w:sz w:val="24"/>
          <w:szCs w:val="24"/>
          <w:lang w:eastAsia="en-GB"/>
          <w14:ligatures w14:val="none"/>
        </w:rPr>
        <w:t xml:space="preserve"> </w:t>
      </w:r>
      <w:r w:rsidRPr="00BD54A7">
        <w:rPr>
          <w:rFonts w:ascii="Arial" w:eastAsia="Times New Roman" w:hAnsi="Arial" w:cs="Arial"/>
          <w:kern w:val="0"/>
          <w:sz w:val="24"/>
          <w:szCs w:val="24"/>
          <w:lang w:eastAsia="en-GB"/>
          <w14:ligatures w14:val="none"/>
        </w:rPr>
        <w:t xml:space="preserve">Equality Act 2010 </w:t>
      </w:r>
      <w:r w:rsidRPr="00D20738">
        <w:rPr>
          <w:rFonts w:ascii="Arial" w:eastAsia="Times New Roman" w:hAnsi="Arial" w:cs="Arial"/>
          <w:kern w:val="0"/>
          <w:sz w:val="24"/>
          <w:szCs w:val="24"/>
          <w:lang w:eastAsia="en-GB"/>
          <w14:ligatures w14:val="none"/>
        </w:rPr>
        <w:t xml:space="preserve">(Daniels, 2025). </w:t>
      </w:r>
      <w:r w:rsidR="00972414" w:rsidRPr="00D20738">
        <w:rPr>
          <w:rFonts w:ascii="Arial" w:eastAsia="Times New Roman" w:hAnsi="Arial" w:cs="Arial"/>
          <w:kern w:val="0"/>
          <w:sz w:val="24"/>
          <w:szCs w:val="24"/>
          <w:lang w:eastAsia="en-GB"/>
          <w14:ligatures w14:val="none"/>
        </w:rPr>
        <w:t>Changes to The Employment Rights Act 2025 are due to be implemented from 2026, significantly enhances employer obligations by extending liability for harassment, including by third parties, and raising the threshold of the defence to “all reasonable steps”, reinforcing the need for robust preventative measures and proactive management (</w:t>
      </w:r>
      <w:r w:rsidR="00D213F4" w:rsidRPr="00D20738">
        <w:rPr>
          <w:rFonts w:ascii="Arial" w:eastAsia="Times New Roman" w:hAnsi="Arial" w:cs="Arial"/>
          <w:kern w:val="0"/>
          <w:sz w:val="24"/>
          <w:szCs w:val="24"/>
          <w:lang w:eastAsia="en-GB"/>
          <w14:ligatures w14:val="none"/>
        </w:rPr>
        <w:t>ACAS</w:t>
      </w:r>
      <w:r w:rsidR="00972414" w:rsidRPr="00D20738">
        <w:rPr>
          <w:rFonts w:ascii="Arial" w:eastAsia="Times New Roman" w:hAnsi="Arial" w:cs="Arial"/>
          <w:kern w:val="0"/>
          <w:sz w:val="24"/>
          <w:szCs w:val="24"/>
          <w:lang w:eastAsia="en-GB"/>
          <w14:ligatures w14:val="none"/>
        </w:rPr>
        <w:t xml:space="preserve">, 2025). </w:t>
      </w:r>
      <w:r w:rsidR="006206E6" w:rsidRPr="00D20738">
        <w:rPr>
          <w:rFonts w:ascii="Arial" w:eastAsia="Times New Roman" w:hAnsi="Arial" w:cs="Arial"/>
          <w:kern w:val="0"/>
          <w:sz w:val="24"/>
          <w:szCs w:val="24"/>
          <w:lang w:eastAsia="en-GB"/>
          <w14:ligatures w14:val="none"/>
        </w:rPr>
        <w:t>Moreover, e</w:t>
      </w:r>
      <w:r w:rsidRPr="00D20738">
        <w:rPr>
          <w:rFonts w:ascii="Arial" w:eastAsia="Times New Roman" w:hAnsi="Arial" w:cs="Arial"/>
          <w:kern w:val="0"/>
          <w:sz w:val="24"/>
          <w:szCs w:val="24"/>
          <w:lang w:eastAsia="en-GB"/>
          <w14:ligatures w14:val="none"/>
        </w:rPr>
        <w:t xml:space="preserve">mployers can be held </w:t>
      </w:r>
      <w:r w:rsidR="005A0E08" w:rsidRPr="00D20738">
        <w:rPr>
          <w:rFonts w:ascii="Arial" w:eastAsia="Times New Roman" w:hAnsi="Arial" w:cs="Arial"/>
          <w:kern w:val="0"/>
          <w:sz w:val="24"/>
          <w:szCs w:val="24"/>
          <w:lang w:eastAsia="en-GB"/>
          <w14:ligatures w14:val="none"/>
        </w:rPr>
        <w:t xml:space="preserve">vicariously liable </w:t>
      </w:r>
      <w:r w:rsidRPr="00D20738">
        <w:rPr>
          <w:rFonts w:ascii="Arial" w:eastAsia="Times New Roman" w:hAnsi="Arial" w:cs="Arial"/>
          <w:kern w:val="0"/>
          <w:sz w:val="24"/>
          <w:szCs w:val="24"/>
          <w:lang w:eastAsia="en-GB"/>
          <w14:ligatures w14:val="none"/>
        </w:rPr>
        <w:t xml:space="preserve">for </w:t>
      </w:r>
      <w:r w:rsidR="005A0E08" w:rsidRPr="00D20738">
        <w:rPr>
          <w:rFonts w:ascii="Arial" w:eastAsia="Times New Roman" w:hAnsi="Arial" w:cs="Arial"/>
          <w:kern w:val="0"/>
          <w:sz w:val="24"/>
          <w:szCs w:val="24"/>
          <w:lang w:eastAsia="en-GB"/>
          <w14:ligatures w14:val="none"/>
        </w:rPr>
        <w:t>acts</w:t>
      </w:r>
      <w:r w:rsidR="00425876" w:rsidRPr="00D20738">
        <w:rPr>
          <w:rFonts w:ascii="Arial" w:eastAsia="Times New Roman" w:hAnsi="Arial" w:cs="Arial"/>
          <w:kern w:val="0"/>
          <w:sz w:val="24"/>
          <w:szCs w:val="24"/>
          <w:lang w:eastAsia="en-GB"/>
          <w14:ligatures w14:val="none"/>
        </w:rPr>
        <w:t xml:space="preserve"> of </w:t>
      </w:r>
      <w:r w:rsidRPr="00D20738">
        <w:rPr>
          <w:rFonts w:ascii="Arial" w:eastAsia="Times New Roman" w:hAnsi="Arial" w:cs="Arial"/>
          <w:kern w:val="0"/>
          <w:sz w:val="24"/>
          <w:szCs w:val="24"/>
          <w:lang w:eastAsia="en-GB"/>
          <w14:ligatures w14:val="none"/>
        </w:rPr>
        <w:t xml:space="preserve">harassment committed by employees in the course of their employment, unless they are able to demonstrate they have taken all </w:t>
      </w:r>
      <w:r w:rsidR="006206E6" w:rsidRPr="00D20738">
        <w:rPr>
          <w:rFonts w:ascii="Arial" w:eastAsia="Times New Roman" w:hAnsi="Arial" w:cs="Arial"/>
          <w:kern w:val="0"/>
          <w:sz w:val="24"/>
          <w:szCs w:val="24"/>
          <w:lang w:eastAsia="en-GB"/>
          <w14:ligatures w14:val="none"/>
        </w:rPr>
        <w:t>“</w:t>
      </w:r>
      <w:r w:rsidRPr="00D20738">
        <w:rPr>
          <w:rFonts w:ascii="Arial" w:eastAsia="Times New Roman" w:hAnsi="Arial" w:cs="Arial"/>
          <w:kern w:val="0"/>
          <w:sz w:val="24"/>
          <w:szCs w:val="24"/>
          <w:lang w:eastAsia="en-GB"/>
          <w14:ligatures w14:val="none"/>
        </w:rPr>
        <w:t>reasonable steps</w:t>
      </w:r>
      <w:r w:rsidR="006206E6" w:rsidRPr="00D20738">
        <w:rPr>
          <w:rFonts w:ascii="Arial" w:eastAsia="Times New Roman" w:hAnsi="Arial" w:cs="Arial"/>
          <w:kern w:val="0"/>
          <w:sz w:val="24"/>
          <w:szCs w:val="24"/>
          <w:lang w:eastAsia="en-GB"/>
          <w14:ligatures w14:val="none"/>
        </w:rPr>
        <w:t>”</w:t>
      </w:r>
      <w:r w:rsidRPr="00D20738">
        <w:rPr>
          <w:rFonts w:ascii="Arial" w:eastAsia="Times New Roman" w:hAnsi="Arial" w:cs="Arial"/>
          <w:kern w:val="0"/>
          <w:sz w:val="24"/>
          <w:szCs w:val="24"/>
          <w:lang w:eastAsia="en-GB"/>
          <w14:ligatures w14:val="none"/>
        </w:rPr>
        <w:t xml:space="preserve"> to prevent it</w:t>
      </w:r>
      <w:r w:rsidR="005F27AA" w:rsidRPr="00D20738">
        <w:rPr>
          <w:rFonts w:ascii="Arial" w:eastAsia="Times New Roman" w:hAnsi="Arial" w:cs="Arial"/>
          <w:kern w:val="0"/>
          <w:sz w:val="24"/>
          <w:szCs w:val="24"/>
          <w:lang w:eastAsia="en-GB"/>
          <w14:ligatures w14:val="none"/>
        </w:rPr>
        <w:t xml:space="preserve">, </w:t>
      </w:r>
      <w:r w:rsidR="00171500" w:rsidRPr="00D20738">
        <w:rPr>
          <w:rFonts w:ascii="Arial" w:eastAsia="Times New Roman" w:hAnsi="Arial" w:cs="Arial"/>
          <w:kern w:val="0"/>
          <w:sz w:val="24"/>
          <w:szCs w:val="24"/>
          <w:lang w:eastAsia="en-GB"/>
          <w14:ligatures w14:val="none"/>
        </w:rPr>
        <w:t>emphasising</w:t>
      </w:r>
      <w:r w:rsidR="005F27AA" w:rsidRPr="00D20738">
        <w:rPr>
          <w:rFonts w:ascii="Arial" w:eastAsia="Times New Roman" w:hAnsi="Arial" w:cs="Arial"/>
          <w:kern w:val="0"/>
          <w:sz w:val="24"/>
          <w:szCs w:val="24"/>
          <w:lang w:eastAsia="en-GB"/>
          <w14:ligatures w14:val="none"/>
        </w:rPr>
        <w:t xml:space="preserve"> the </w:t>
      </w:r>
      <w:r w:rsidR="00171500" w:rsidRPr="00D20738">
        <w:rPr>
          <w:rFonts w:ascii="Arial" w:eastAsia="Times New Roman" w:hAnsi="Arial" w:cs="Arial"/>
          <w:kern w:val="0"/>
          <w:sz w:val="24"/>
          <w:szCs w:val="24"/>
          <w:lang w:eastAsia="en-GB"/>
          <w14:ligatures w14:val="none"/>
        </w:rPr>
        <w:t xml:space="preserve">importance </w:t>
      </w:r>
      <w:r w:rsidR="00977843" w:rsidRPr="00D20738">
        <w:rPr>
          <w:rFonts w:ascii="Arial" w:eastAsia="Times New Roman" w:hAnsi="Arial" w:cs="Arial"/>
          <w:kern w:val="0"/>
          <w:sz w:val="24"/>
          <w:szCs w:val="24"/>
          <w:lang w:eastAsia="en-GB"/>
          <w14:ligatures w14:val="none"/>
        </w:rPr>
        <w:t>of implementing effective preventative measures</w:t>
      </w:r>
      <w:r w:rsidRPr="00D20738">
        <w:rPr>
          <w:rFonts w:ascii="Arial" w:eastAsia="Times New Roman" w:hAnsi="Arial" w:cs="Arial"/>
          <w:kern w:val="0"/>
          <w:sz w:val="24"/>
          <w:szCs w:val="24"/>
          <w:lang w:eastAsia="en-GB"/>
          <w14:ligatures w14:val="none"/>
        </w:rPr>
        <w:t xml:space="preserve"> (</w:t>
      </w:r>
      <w:r w:rsidRPr="00BD54A7">
        <w:rPr>
          <w:rFonts w:ascii="Arial" w:eastAsia="Times New Roman" w:hAnsi="Arial" w:cs="Arial"/>
          <w:kern w:val="0"/>
          <w:sz w:val="24"/>
          <w:szCs w:val="24"/>
          <w:lang w:eastAsia="en-GB"/>
          <w14:ligatures w14:val="none"/>
        </w:rPr>
        <w:t>Equality Act, 2010</w:t>
      </w:r>
      <w:r w:rsidRPr="00D20738">
        <w:rPr>
          <w:rFonts w:ascii="Arial" w:eastAsia="Times New Roman" w:hAnsi="Arial" w:cs="Arial"/>
          <w:kern w:val="0"/>
          <w:sz w:val="24"/>
          <w:szCs w:val="24"/>
          <w:lang w:eastAsia="en-GB"/>
          <w14:ligatures w14:val="none"/>
        </w:rPr>
        <w:t xml:space="preserve">). </w:t>
      </w:r>
    </w:p>
    <w:p w14:paraId="7E9FCEEA" w14:textId="77777777" w:rsidR="00F345C9" w:rsidRPr="00D20738" w:rsidRDefault="00F345C9" w:rsidP="00741AE9">
      <w:pPr>
        <w:pStyle w:val="ListParagraph"/>
        <w:spacing w:after="0" w:line="360" w:lineRule="auto"/>
        <w:jc w:val="both"/>
        <w:rPr>
          <w:rFonts w:ascii="Arial" w:eastAsia="Times New Roman" w:hAnsi="Arial" w:cs="Arial"/>
          <w:kern w:val="0"/>
          <w:sz w:val="24"/>
          <w:szCs w:val="24"/>
          <w:lang w:eastAsia="en-GB"/>
          <w14:ligatures w14:val="none"/>
        </w:rPr>
      </w:pPr>
    </w:p>
    <w:p w14:paraId="11054B0E" w14:textId="42012364" w:rsidR="007F2441" w:rsidRPr="00D20738" w:rsidRDefault="00841506" w:rsidP="00741AE9">
      <w:pPr>
        <w:spacing w:after="0"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In addition, t</w:t>
      </w:r>
      <w:r w:rsidR="00F345C9" w:rsidRPr="00D20738">
        <w:rPr>
          <w:rFonts w:ascii="Arial" w:eastAsia="Times New Roman" w:hAnsi="Arial" w:cs="Arial"/>
          <w:kern w:val="0"/>
          <w:sz w:val="24"/>
          <w:szCs w:val="24"/>
          <w:lang w:eastAsia="en-GB"/>
          <w14:ligatures w14:val="none"/>
        </w:rPr>
        <w:t>he award of significant damages in a high</w:t>
      </w:r>
      <w:r w:rsidR="00F345C9" w:rsidRPr="00D20738">
        <w:rPr>
          <w:rFonts w:ascii="Arial" w:eastAsia="Times New Roman" w:hAnsi="Arial" w:cs="Arial"/>
          <w:kern w:val="0"/>
          <w:sz w:val="24"/>
          <w:szCs w:val="24"/>
          <w:lang w:eastAsia="en-GB"/>
          <w14:ligatures w14:val="none"/>
        </w:rPr>
        <w:noBreakHyphen/>
        <w:t xml:space="preserve">profile harassment claim against Elmbridge highlights the serious legal and organisational risks linked to inadequate management responses to reported workplace behaviour. </w:t>
      </w:r>
      <w:r w:rsidR="00DE0AD3" w:rsidRPr="00D20738">
        <w:rPr>
          <w:rFonts w:ascii="Arial" w:eastAsia="Times New Roman" w:hAnsi="Arial" w:cs="Arial"/>
          <w:kern w:val="0"/>
          <w:sz w:val="24"/>
          <w:szCs w:val="24"/>
          <w:lang w:eastAsia="en-GB"/>
          <w14:ligatures w14:val="none"/>
        </w:rPr>
        <w:t xml:space="preserve">The outcome </w:t>
      </w:r>
      <w:r w:rsidR="003A35CB" w:rsidRPr="00D20738">
        <w:rPr>
          <w:rFonts w:ascii="Arial" w:eastAsia="Times New Roman" w:hAnsi="Arial" w:cs="Arial"/>
          <w:kern w:val="0"/>
          <w:sz w:val="24"/>
          <w:szCs w:val="24"/>
          <w:lang w:eastAsia="en-GB"/>
          <w14:ligatures w14:val="none"/>
        </w:rPr>
        <w:t xml:space="preserve">in </w:t>
      </w:r>
      <w:r w:rsidR="00B15260" w:rsidRPr="00D20738">
        <w:rPr>
          <w:rFonts w:ascii="Arial" w:eastAsia="Times New Roman" w:hAnsi="Arial" w:cs="Arial"/>
          <w:kern w:val="0"/>
          <w:sz w:val="24"/>
          <w:szCs w:val="24"/>
          <w:lang w:eastAsia="en-GB"/>
          <w14:ligatures w14:val="none"/>
        </w:rPr>
        <w:t>‘</w:t>
      </w:r>
      <w:r w:rsidR="00F60889" w:rsidRPr="00D20738">
        <w:rPr>
          <w:rFonts w:ascii="Arial" w:eastAsia="Times New Roman" w:hAnsi="Arial" w:cs="Arial"/>
          <w:kern w:val="0"/>
          <w:sz w:val="24"/>
          <w:szCs w:val="24"/>
          <w:lang w:eastAsia="en-GB"/>
          <w14:ligatures w14:val="none"/>
        </w:rPr>
        <w:t>Allay v Gehlen</w:t>
      </w:r>
      <w:r w:rsidR="00B15260" w:rsidRPr="00D20738">
        <w:rPr>
          <w:rFonts w:ascii="Arial" w:eastAsia="Times New Roman" w:hAnsi="Arial" w:cs="Arial"/>
          <w:kern w:val="0"/>
          <w:sz w:val="24"/>
          <w:szCs w:val="24"/>
          <w:lang w:eastAsia="en-GB"/>
          <w14:ligatures w14:val="none"/>
        </w:rPr>
        <w:t>’</w:t>
      </w:r>
      <w:r w:rsidR="00F60889" w:rsidRPr="00D20738">
        <w:rPr>
          <w:rFonts w:ascii="Arial" w:eastAsia="Times New Roman" w:hAnsi="Arial" w:cs="Arial"/>
          <w:kern w:val="0"/>
          <w:sz w:val="24"/>
          <w:szCs w:val="24"/>
          <w:lang w:eastAsia="en-GB"/>
          <w14:ligatures w14:val="none"/>
        </w:rPr>
        <w:t xml:space="preserve"> (2021)</w:t>
      </w:r>
      <w:r w:rsidR="007D1A4A" w:rsidRPr="00D20738">
        <w:rPr>
          <w:rFonts w:ascii="Arial" w:eastAsia="Times New Roman" w:hAnsi="Arial" w:cs="Arial"/>
          <w:kern w:val="0"/>
          <w:sz w:val="24"/>
          <w:szCs w:val="24"/>
          <w:lang w:eastAsia="en-GB"/>
          <w14:ligatures w14:val="none"/>
        </w:rPr>
        <w:t xml:space="preserve"> </w:t>
      </w:r>
      <w:r w:rsidR="00F84CE2" w:rsidRPr="00D20738">
        <w:rPr>
          <w:rFonts w:ascii="Arial" w:eastAsia="Times New Roman" w:hAnsi="Arial" w:cs="Arial"/>
          <w:kern w:val="0"/>
          <w:sz w:val="24"/>
          <w:szCs w:val="24"/>
          <w:lang w:eastAsia="en-GB"/>
          <w14:ligatures w14:val="none"/>
        </w:rPr>
        <w:t xml:space="preserve">supports this by </w:t>
      </w:r>
      <w:r w:rsidR="003A35CB" w:rsidRPr="00D20738">
        <w:rPr>
          <w:rFonts w:ascii="Arial" w:eastAsia="Times New Roman" w:hAnsi="Arial" w:cs="Arial"/>
          <w:kern w:val="0"/>
          <w:sz w:val="24"/>
          <w:szCs w:val="24"/>
          <w:lang w:eastAsia="en-GB"/>
          <w14:ligatures w14:val="none"/>
        </w:rPr>
        <w:t xml:space="preserve">demonstrates that </w:t>
      </w:r>
      <w:r w:rsidR="006403BB" w:rsidRPr="00D20738">
        <w:rPr>
          <w:rFonts w:ascii="Arial" w:eastAsia="Times New Roman" w:hAnsi="Arial" w:cs="Arial"/>
          <w:kern w:val="0"/>
          <w:sz w:val="24"/>
          <w:szCs w:val="24"/>
          <w:lang w:eastAsia="en-GB"/>
          <w14:ligatures w14:val="none"/>
        </w:rPr>
        <w:t>ineffective</w:t>
      </w:r>
      <w:r w:rsidR="003A35CB" w:rsidRPr="00D20738">
        <w:rPr>
          <w:rFonts w:ascii="Arial" w:eastAsia="Times New Roman" w:hAnsi="Arial" w:cs="Arial"/>
          <w:kern w:val="0"/>
          <w:sz w:val="24"/>
          <w:szCs w:val="24"/>
          <w:lang w:eastAsia="en-GB"/>
          <w14:ligatures w14:val="none"/>
        </w:rPr>
        <w:t xml:space="preserve"> </w:t>
      </w:r>
      <w:r w:rsidR="00D202AC" w:rsidRPr="00D20738">
        <w:rPr>
          <w:rFonts w:ascii="Arial" w:eastAsia="Times New Roman" w:hAnsi="Arial" w:cs="Arial"/>
          <w:kern w:val="0"/>
          <w:sz w:val="24"/>
          <w:szCs w:val="24"/>
          <w:lang w:eastAsia="en-GB"/>
          <w14:ligatures w14:val="none"/>
        </w:rPr>
        <w:t xml:space="preserve">and outdated </w:t>
      </w:r>
      <w:r w:rsidR="00DE26F0" w:rsidRPr="00D20738">
        <w:rPr>
          <w:rFonts w:ascii="Arial" w:eastAsia="Times New Roman" w:hAnsi="Arial" w:cs="Arial"/>
          <w:kern w:val="0"/>
          <w:sz w:val="24"/>
          <w:szCs w:val="24"/>
          <w:lang w:eastAsia="en-GB"/>
          <w14:ligatures w14:val="none"/>
        </w:rPr>
        <w:t xml:space="preserve">training undermines </w:t>
      </w:r>
      <w:r w:rsidR="006A7901" w:rsidRPr="00D20738">
        <w:rPr>
          <w:rFonts w:ascii="Arial" w:eastAsia="Times New Roman" w:hAnsi="Arial" w:cs="Arial"/>
          <w:kern w:val="0"/>
          <w:sz w:val="24"/>
          <w:szCs w:val="24"/>
          <w:lang w:eastAsia="en-GB"/>
          <w14:ligatures w14:val="none"/>
        </w:rPr>
        <w:t xml:space="preserve">organisational compliance, </w:t>
      </w:r>
      <w:r w:rsidR="00ED1280" w:rsidRPr="00D20738">
        <w:rPr>
          <w:rFonts w:ascii="Arial" w:eastAsia="Times New Roman" w:hAnsi="Arial" w:cs="Arial"/>
          <w:kern w:val="0"/>
          <w:sz w:val="24"/>
          <w:szCs w:val="24"/>
          <w:lang w:eastAsia="en-GB"/>
          <w14:ligatures w14:val="none"/>
        </w:rPr>
        <w:t xml:space="preserve">resulting in </w:t>
      </w:r>
      <w:r w:rsidR="007B1C5E" w:rsidRPr="00D20738">
        <w:rPr>
          <w:rFonts w:ascii="Arial" w:eastAsia="Times New Roman" w:hAnsi="Arial" w:cs="Arial"/>
          <w:kern w:val="0"/>
          <w:sz w:val="24"/>
          <w:szCs w:val="24"/>
          <w:lang w:eastAsia="en-GB"/>
          <w14:ligatures w14:val="none"/>
        </w:rPr>
        <w:t xml:space="preserve">significant </w:t>
      </w:r>
      <w:r w:rsidR="00944669" w:rsidRPr="00D20738">
        <w:rPr>
          <w:rFonts w:ascii="Arial" w:eastAsia="Times New Roman" w:hAnsi="Arial" w:cs="Arial"/>
          <w:kern w:val="0"/>
          <w:sz w:val="24"/>
          <w:szCs w:val="24"/>
          <w:lang w:eastAsia="en-GB"/>
          <w14:ligatures w14:val="none"/>
        </w:rPr>
        <w:t>exposure</w:t>
      </w:r>
      <w:r w:rsidR="007B1C5E" w:rsidRPr="00D20738">
        <w:rPr>
          <w:rFonts w:ascii="Arial" w:eastAsia="Times New Roman" w:hAnsi="Arial" w:cs="Arial"/>
          <w:kern w:val="0"/>
          <w:sz w:val="24"/>
          <w:szCs w:val="24"/>
          <w:lang w:eastAsia="en-GB"/>
          <w14:ligatures w14:val="none"/>
        </w:rPr>
        <w:t xml:space="preserve"> to </w:t>
      </w:r>
      <w:r w:rsidR="00944669" w:rsidRPr="00D20738">
        <w:rPr>
          <w:rFonts w:ascii="Arial" w:eastAsia="Times New Roman" w:hAnsi="Arial" w:cs="Arial"/>
          <w:kern w:val="0"/>
          <w:sz w:val="24"/>
          <w:szCs w:val="24"/>
          <w:lang w:eastAsia="en-GB"/>
          <w14:ligatures w14:val="none"/>
        </w:rPr>
        <w:t>tribunal claims and compensation awards.</w:t>
      </w:r>
      <w:r w:rsidR="006A7654" w:rsidRPr="00D20738">
        <w:rPr>
          <w:rFonts w:ascii="Arial" w:eastAsia="Times New Roman" w:hAnsi="Arial" w:cs="Arial"/>
          <w:kern w:val="0"/>
          <w:sz w:val="24"/>
          <w:szCs w:val="24"/>
          <w:lang w:eastAsia="en-GB"/>
          <w14:ligatures w14:val="none"/>
        </w:rPr>
        <w:t xml:space="preserve"> </w:t>
      </w:r>
      <w:r w:rsidR="0040483D" w:rsidRPr="00D20738">
        <w:rPr>
          <w:rFonts w:ascii="Arial" w:eastAsia="Times New Roman" w:hAnsi="Arial" w:cs="Arial"/>
          <w:kern w:val="0"/>
          <w:sz w:val="24"/>
          <w:szCs w:val="24"/>
          <w:lang w:eastAsia="en-GB"/>
          <w14:ligatures w14:val="none"/>
        </w:rPr>
        <w:t xml:space="preserve">As the </w:t>
      </w:r>
      <w:r w:rsidR="006554B3" w:rsidRPr="00D20738">
        <w:rPr>
          <w:rFonts w:ascii="Arial" w:eastAsia="Times New Roman" w:hAnsi="Arial" w:cs="Arial"/>
          <w:kern w:val="0"/>
          <w:sz w:val="24"/>
          <w:szCs w:val="24"/>
          <w:lang w:eastAsia="en-GB"/>
          <w14:ligatures w14:val="none"/>
        </w:rPr>
        <w:t xml:space="preserve">ruling </w:t>
      </w:r>
      <w:r w:rsidR="00A92D45" w:rsidRPr="00D20738">
        <w:rPr>
          <w:rFonts w:ascii="Arial" w:eastAsia="Times New Roman" w:hAnsi="Arial" w:cs="Arial"/>
          <w:kern w:val="0"/>
          <w:sz w:val="24"/>
          <w:szCs w:val="24"/>
          <w:lang w:eastAsia="en-GB"/>
          <w14:ligatures w14:val="none"/>
        </w:rPr>
        <w:t>concluded that</w:t>
      </w:r>
      <w:r w:rsidR="008E5C50" w:rsidRPr="00D20738">
        <w:rPr>
          <w:rFonts w:ascii="Arial" w:eastAsia="Times New Roman" w:hAnsi="Arial" w:cs="Arial"/>
          <w:kern w:val="0"/>
          <w:sz w:val="24"/>
          <w:szCs w:val="24"/>
          <w:lang w:eastAsia="en-GB"/>
          <w14:ligatures w14:val="none"/>
        </w:rPr>
        <w:t>, despite</w:t>
      </w:r>
      <w:r w:rsidR="00A92D45" w:rsidRPr="00D20738">
        <w:rPr>
          <w:rFonts w:ascii="Arial" w:eastAsia="Times New Roman" w:hAnsi="Arial" w:cs="Arial"/>
          <w:kern w:val="0"/>
          <w:sz w:val="24"/>
          <w:szCs w:val="24"/>
          <w:lang w:eastAsia="en-GB"/>
          <w14:ligatures w14:val="none"/>
        </w:rPr>
        <w:t xml:space="preserve"> training </w:t>
      </w:r>
      <w:r w:rsidR="00BB0960" w:rsidRPr="00D20738">
        <w:rPr>
          <w:rFonts w:ascii="Arial" w:eastAsia="Times New Roman" w:hAnsi="Arial" w:cs="Arial"/>
          <w:kern w:val="0"/>
          <w:sz w:val="24"/>
          <w:szCs w:val="24"/>
          <w:lang w:eastAsia="en-GB"/>
          <w14:ligatures w14:val="none"/>
        </w:rPr>
        <w:t>being</w:t>
      </w:r>
      <w:r w:rsidR="00A92D45" w:rsidRPr="00D20738">
        <w:rPr>
          <w:rFonts w:ascii="Arial" w:eastAsia="Times New Roman" w:hAnsi="Arial" w:cs="Arial"/>
          <w:kern w:val="0"/>
          <w:sz w:val="24"/>
          <w:szCs w:val="24"/>
          <w:lang w:eastAsia="en-GB"/>
          <w14:ligatures w14:val="none"/>
        </w:rPr>
        <w:t xml:space="preserve"> provided</w:t>
      </w:r>
      <w:r w:rsidR="00015590" w:rsidRPr="00D20738">
        <w:rPr>
          <w:rFonts w:ascii="Arial" w:eastAsia="Times New Roman" w:hAnsi="Arial" w:cs="Arial"/>
          <w:kern w:val="0"/>
          <w:sz w:val="24"/>
          <w:szCs w:val="24"/>
          <w:lang w:eastAsia="en-GB"/>
          <w14:ligatures w14:val="none"/>
        </w:rPr>
        <w:t xml:space="preserve">, it was </w:t>
      </w:r>
      <w:r w:rsidR="00776D62" w:rsidRPr="00D20738">
        <w:rPr>
          <w:rFonts w:ascii="Arial" w:eastAsia="Times New Roman" w:hAnsi="Arial" w:cs="Arial"/>
          <w:kern w:val="0"/>
          <w:sz w:val="24"/>
          <w:szCs w:val="24"/>
          <w:lang w:eastAsia="en-GB"/>
          <w14:ligatures w14:val="none"/>
        </w:rPr>
        <w:t xml:space="preserve">inadequate to uphold </w:t>
      </w:r>
      <w:r w:rsidR="0052763F" w:rsidRPr="00D20738">
        <w:rPr>
          <w:rFonts w:ascii="Arial" w:eastAsia="Times New Roman" w:hAnsi="Arial" w:cs="Arial"/>
          <w:kern w:val="0"/>
          <w:sz w:val="24"/>
          <w:szCs w:val="24"/>
          <w:lang w:eastAsia="en-GB"/>
          <w14:ligatures w14:val="none"/>
        </w:rPr>
        <w:t>the “reasonable steps” defen</w:t>
      </w:r>
      <w:r w:rsidR="001522E5" w:rsidRPr="00D20738">
        <w:rPr>
          <w:rFonts w:ascii="Arial" w:eastAsia="Times New Roman" w:hAnsi="Arial" w:cs="Arial"/>
          <w:kern w:val="0"/>
          <w:sz w:val="24"/>
          <w:szCs w:val="24"/>
          <w:lang w:eastAsia="en-GB"/>
          <w14:ligatures w14:val="none"/>
        </w:rPr>
        <w:t>ce, Elmbridge</w:t>
      </w:r>
      <w:r w:rsidR="00D22E84" w:rsidRPr="00D20738">
        <w:rPr>
          <w:rFonts w:ascii="Arial" w:eastAsia="Times New Roman" w:hAnsi="Arial" w:cs="Arial"/>
          <w:kern w:val="0"/>
          <w:sz w:val="24"/>
          <w:szCs w:val="24"/>
          <w:lang w:eastAsia="en-GB"/>
          <w14:ligatures w14:val="none"/>
        </w:rPr>
        <w:t xml:space="preserve"> </w:t>
      </w:r>
      <w:r w:rsidR="000B5BC9" w:rsidRPr="00D20738">
        <w:rPr>
          <w:rFonts w:ascii="Arial" w:eastAsia="Times New Roman" w:hAnsi="Arial" w:cs="Arial"/>
          <w:kern w:val="0"/>
          <w:sz w:val="24"/>
          <w:szCs w:val="24"/>
          <w:lang w:eastAsia="en-GB"/>
          <w14:ligatures w14:val="none"/>
        </w:rPr>
        <w:t xml:space="preserve">should </w:t>
      </w:r>
      <w:r w:rsidR="00E63881" w:rsidRPr="00D20738">
        <w:rPr>
          <w:rFonts w:ascii="Arial" w:eastAsia="Times New Roman" w:hAnsi="Arial" w:cs="Arial"/>
          <w:kern w:val="0"/>
          <w:sz w:val="24"/>
          <w:szCs w:val="24"/>
          <w:lang w:eastAsia="en-GB"/>
          <w14:ligatures w14:val="none"/>
        </w:rPr>
        <w:t xml:space="preserve">strengthen its </w:t>
      </w:r>
      <w:r w:rsidR="00FA6844" w:rsidRPr="00D20738">
        <w:rPr>
          <w:rFonts w:ascii="Arial" w:eastAsia="Times New Roman" w:hAnsi="Arial" w:cs="Arial"/>
          <w:kern w:val="0"/>
          <w:sz w:val="24"/>
          <w:szCs w:val="24"/>
          <w:lang w:eastAsia="en-GB"/>
          <w14:ligatures w14:val="none"/>
        </w:rPr>
        <w:t>approach by delivering</w:t>
      </w:r>
      <w:r w:rsidR="00AD5BBF" w:rsidRPr="00D20738">
        <w:rPr>
          <w:rFonts w:ascii="Arial" w:eastAsia="Times New Roman" w:hAnsi="Arial" w:cs="Arial"/>
          <w:kern w:val="0"/>
          <w:sz w:val="24"/>
          <w:szCs w:val="24"/>
          <w:lang w:eastAsia="en-GB"/>
          <w14:ligatures w14:val="none"/>
        </w:rPr>
        <w:t xml:space="preserve"> ongoing, effective training</w:t>
      </w:r>
      <w:r w:rsidR="00EB527F" w:rsidRPr="00D20738">
        <w:rPr>
          <w:rFonts w:ascii="Arial" w:eastAsia="Times New Roman" w:hAnsi="Arial" w:cs="Arial"/>
          <w:kern w:val="0"/>
          <w:sz w:val="24"/>
          <w:szCs w:val="24"/>
          <w:lang w:eastAsia="en-GB"/>
          <w14:ligatures w14:val="none"/>
        </w:rPr>
        <w:t xml:space="preserve"> and refresher programmes to </w:t>
      </w:r>
      <w:r w:rsidR="00DA22E7" w:rsidRPr="00D20738">
        <w:rPr>
          <w:rFonts w:ascii="Arial" w:eastAsia="Times New Roman" w:hAnsi="Arial" w:cs="Arial"/>
          <w:kern w:val="0"/>
          <w:sz w:val="24"/>
          <w:szCs w:val="24"/>
          <w:lang w:eastAsia="en-GB"/>
          <w14:ligatures w14:val="none"/>
        </w:rPr>
        <w:t xml:space="preserve">ensure compliance </w:t>
      </w:r>
      <w:r w:rsidR="008E779A" w:rsidRPr="00D20738">
        <w:rPr>
          <w:rFonts w:ascii="Arial" w:eastAsia="Times New Roman" w:hAnsi="Arial" w:cs="Arial"/>
          <w:kern w:val="0"/>
          <w:sz w:val="24"/>
          <w:szCs w:val="24"/>
          <w:lang w:eastAsia="en-GB"/>
          <w14:ligatures w14:val="none"/>
        </w:rPr>
        <w:t xml:space="preserve">with evolving </w:t>
      </w:r>
      <w:r w:rsidR="008822BD" w:rsidRPr="00D20738">
        <w:rPr>
          <w:rFonts w:ascii="Arial" w:eastAsia="Times New Roman" w:hAnsi="Arial" w:cs="Arial"/>
          <w:kern w:val="0"/>
          <w:sz w:val="24"/>
          <w:szCs w:val="24"/>
          <w:lang w:eastAsia="en-GB"/>
          <w14:ligatures w14:val="none"/>
        </w:rPr>
        <w:t xml:space="preserve">legislative </w:t>
      </w:r>
      <w:r w:rsidR="008E779A" w:rsidRPr="00D20738">
        <w:rPr>
          <w:rFonts w:ascii="Arial" w:eastAsia="Times New Roman" w:hAnsi="Arial" w:cs="Arial"/>
          <w:kern w:val="0"/>
          <w:sz w:val="24"/>
          <w:szCs w:val="24"/>
          <w:lang w:eastAsia="en-GB"/>
          <w14:ligatures w14:val="none"/>
        </w:rPr>
        <w:t xml:space="preserve">and reduce the potential risk of vicarious </w:t>
      </w:r>
      <w:r w:rsidR="00D4594D" w:rsidRPr="00D20738">
        <w:rPr>
          <w:rFonts w:ascii="Arial" w:eastAsia="Times New Roman" w:hAnsi="Arial" w:cs="Arial"/>
          <w:kern w:val="0"/>
          <w:sz w:val="24"/>
          <w:szCs w:val="24"/>
          <w:lang w:eastAsia="en-GB"/>
          <w14:ligatures w14:val="none"/>
        </w:rPr>
        <w:t>liability (</w:t>
      </w:r>
      <w:r w:rsidR="00D4594D" w:rsidRPr="006C3EDB">
        <w:rPr>
          <w:rFonts w:ascii="Arial" w:eastAsia="Times New Roman" w:hAnsi="Arial" w:cs="Arial"/>
          <w:kern w:val="0"/>
          <w:sz w:val="24"/>
          <w:szCs w:val="24"/>
          <w:lang w:eastAsia="en-GB"/>
          <w14:ligatures w14:val="none"/>
        </w:rPr>
        <w:t xml:space="preserve">Employment </w:t>
      </w:r>
      <w:r w:rsidR="001D76C4" w:rsidRPr="006C3EDB">
        <w:rPr>
          <w:rFonts w:ascii="Arial" w:eastAsia="Times New Roman" w:hAnsi="Arial" w:cs="Arial"/>
          <w:kern w:val="0"/>
          <w:sz w:val="24"/>
          <w:szCs w:val="24"/>
          <w:lang w:eastAsia="en-GB"/>
          <w14:ligatures w14:val="none"/>
        </w:rPr>
        <w:t>Rights Act, 2025</w:t>
      </w:r>
      <w:r w:rsidR="001D76C4" w:rsidRPr="00D20738">
        <w:rPr>
          <w:rFonts w:ascii="Arial" w:eastAsia="Times New Roman" w:hAnsi="Arial" w:cs="Arial"/>
          <w:kern w:val="0"/>
          <w:sz w:val="24"/>
          <w:szCs w:val="24"/>
          <w:lang w:eastAsia="en-GB"/>
          <w14:ligatures w14:val="none"/>
        </w:rPr>
        <w:t>)</w:t>
      </w:r>
      <w:r w:rsidR="00F35DA0" w:rsidRPr="00D20738">
        <w:rPr>
          <w:rFonts w:ascii="Arial" w:eastAsia="Times New Roman" w:hAnsi="Arial" w:cs="Arial"/>
          <w:kern w:val="0"/>
          <w:sz w:val="24"/>
          <w:szCs w:val="24"/>
          <w:lang w:eastAsia="en-GB"/>
          <w14:ligatures w14:val="none"/>
        </w:rPr>
        <w:t>.</w:t>
      </w:r>
    </w:p>
    <w:p w14:paraId="50124F59" w14:textId="77777777" w:rsidR="007F2441" w:rsidRPr="00D20738" w:rsidRDefault="007F2441" w:rsidP="00741AE9">
      <w:pPr>
        <w:spacing w:after="0" w:line="360" w:lineRule="auto"/>
        <w:jc w:val="both"/>
        <w:rPr>
          <w:rFonts w:ascii="Arial" w:eastAsia="Times New Roman" w:hAnsi="Arial" w:cs="Arial"/>
          <w:kern w:val="0"/>
          <w:sz w:val="24"/>
          <w:szCs w:val="24"/>
          <w:lang w:eastAsia="en-GB"/>
          <w14:ligatures w14:val="none"/>
        </w:rPr>
      </w:pPr>
    </w:p>
    <w:p w14:paraId="460B922C" w14:textId="17FC9084" w:rsidR="002475D5" w:rsidRPr="00D20738" w:rsidRDefault="00F345C9" w:rsidP="00741AE9">
      <w:pPr>
        <w:spacing w:after="0"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 xml:space="preserve">Ongoing failure to respond appropriately to such concerns may also result in employee resignation on the grounds of harassment and lead to a constructive dismissal claim, exposing Elmbridge to increased legal risk, resulting in further financial cost, damage </w:t>
      </w:r>
      <w:r w:rsidRPr="00D20738">
        <w:rPr>
          <w:rFonts w:ascii="Arial" w:eastAsia="Times New Roman" w:hAnsi="Arial" w:cs="Arial"/>
          <w:kern w:val="0"/>
          <w:sz w:val="24"/>
          <w:szCs w:val="24"/>
          <w:lang w:eastAsia="en-GB"/>
          <w14:ligatures w14:val="none"/>
        </w:rPr>
        <w:lastRenderedPageBreak/>
        <w:t>to organisational trust and workforce stability (</w:t>
      </w:r>
      <w:r w:rsidR="00151F4D" w:rsidRPr="00D20738">
        <w:rPr>
          <w:rFonts w:ascii="Arial" w:eastAsia="Times New Roman" w:hAnsi="Arial" w:cs="Arial"/>
          <w:kern w:val="0"/>
          <w:sz w:val="24"/>
          <w:szCs w:val="24"/>
          <w:lang w:eastAsia="en-GB"/>
          <w14:ligatures w14:val="none"/>
        </w:rPr>
        <w:t>ACAS, 202</w:t>
      </w:r>
      <w:r w:rsidR="00523411" w:rsidRPr="00D20738">
        <w:rPr>
          <w:rFonts w:ascii="Arial" w:eastAsia="Times New Roman" w:hAnsi="Arial" w:cs="Arial"/>
          <w:kern w:val="0"/>
          <w:sz w:val="24"/>
          <w:szCs w:val="24"/>
          <w:lang w:eastAsia="en-GB"/>
          <w14:ligatures w14:val="none"/>
        </w:rPr>
        <w:t>4b</w:t>
      </w:r>
      <w:r w:rsidRPr="00D20738">
        <w:rPr>
          <w:rFonts w:ascii="Arial" w:eastAsia="Times New Roman" w:hAnsi="Arial" w:cs="Arial"/>
          <w:kern w:val="0"/>
          <w:sz w:val="24"/>
          <w:szCs w:val="24"/>
          <w:lang w:eastAsia="en-GB"/>
          <w14:ligatures w14:val="none"/>
        </w:rPr>
        <w:t>). As Elmbridge are already experiencing high turnover, continued non-compliance could also exasperate declining productivity. This demonstrates the need for structured and timely investigation processes and early management interventions</w:t>
      </w:r>
      <w:r w:rsidR="002475D5" w:rsidRPr="00D20738">
        <w:rPr>
          <w:rFonts w:ascii="Arial" w:eastAsia="Times New Roman" w:hAnsi="Arial" w:cs="Arial"/>
          <w:kern w:val="0"/>
          <w:sz w:val="24"/>
          <w:szCs w:val="24"/>
          <w:lang w:eastAsia="en-GB"/>
          <w14:ligatures w14:val="none"/>
        </w:rPr>
        <w:t xml:space="preserve"> </w:t>
      </w:r>
      <w:r w:rsidR="002D6F6E" w:rsidRPr="00D20738">
        <w:rPr>
          <w:rFonts w:ascii="Arial" w:eastAsia="Times New Roman" w:hAnsi="Arial" w:cs="Arial"/>
          <w:kern w:val="0"/>
          <w:sz w:val="24"/>
          <w:szCs w:val="24"/>
          <w:lang w:eastAsia="en-GB"/>
          <w14:ligatures w14:val="none"/>
        </w:rPr>
        <w:t xml:space="preserve">alongside </w:t>
      </w:r>
      <w:r w:rsidR="00F02CE1" w:rsidRPr="00D20738">
        <w:rPr>
          <w:rFonts w:ascii="Arial" w:eastAsia="Times New Roman" w:hAnsi="Arial" w:cs="Arial"/>
          <w:kern w:val="0"/>
          <w:sz w:val="24"/>
          <w:szCs w:val="24"/>
          <w:lang w:eastAsia="en-GB"/>
          <w14:ligatures w14:val="none"/>
        </w:rPr>
        <w:t>robust</w:t>
      </w:r>
      <w:r w:rsidR="002475D5" w:rsidRPr="00D20738">
        <w:rPr>
          <w:rFonts w:ascii="Arial" w:eastAsia="Times New Roman" w:hAnsi="Arial" w:cs="Arial"/>
          <w:kern w:val="0"/>
          <w:sz w:val="24"/>
          <w:szCs w:val="24"/>
          <w:lang w:eastAsia="en-GB"/>
          <w14:ligatures w14:val="none"/>
        </w:rPr>
        <w:t xml:space="preserve"> organisational policies and effective management practices, to mitigate the increased risk of liability under</w:t>
      </w:r>
      <w:r w:rsidR="002475D5" w:rsidRPr="00D20738">
        <w:rPr>
          <w:rFonts w:ascii="Arial" w:eastAsia="Times New Roman" w:hAnsi="Arial" w:cs="Arial"/>
          <w:i/>
          <w:iCs/>
          <w:kern w:val="0"/>
          <w:sz w:val="24"/>
          <w:szCs w:val="24"/>
          <w:lang w:eastAsia="en-GB"/>
          <w14:ligatures w14:val="none"/>
        </w:rPr>
        <w:t xml:space="preserve"> </w:t>
      </w:r>
      <w:r w:rsidR="009329C0" w:rsidRPr="00BA7CCB">
        <w:rPr>
          <w:rFonts w:ascii="Arial" w:eastAsia="Times New Roman" w:hAnsi="Arial" w:cs="Arial"/>
          <w:kern w:val="0"/>
          <w:sz w:val="24"/>
          <w:szCs w:val="24"/>
          <w:lang w:eastAsia="en-GB"/>
          <w14:ligatures w14:val="none"/>
        </w:rPr>
        <w:t>T</w:t>
      </w:r>
      <w:r w:rsidR="002475D5" w:rsidRPr="00BA7CCB">
        <w:rPr>
          <w:rFonts w:ascii="Arial" w:eastAsia="Times New Roman" w:hAnsi="Arial" w:cs="Arial"/>
          <w:kern w:val="0"/>
          <w:sz w:val="24"/>
          <w:szCs w:val="24"/>
          <w:lang w:eastAsia="en-GB"/>
          <w14:ligatures w14:val="none"/>
        </w:rPr>
        <w:t>he Employment Rights Act 2025</w:t>
      </w:r>
      <w:r w:rsidR="002475D5" w:rsidRPr="00D20738">
        <w:rPr>
          <w:rFonts w:ascii="Arial" w:eastAsia="Times New Roman" w:hAnsi="Arial" w:cs="Arial"/>
          <w:kern w:val="0"/>
          <w:sz w:val="24"/>
          <w:szCs w:val="24"/>
          <w:lang w:eastAsia="en-GB"/>
          <w14:ligatures w14:val="none"/>
        </w:rPr>
        <w:t xml:space="preserve">. </w:t>
      </w:r>
    </w:p>
    <w:p w14:paraId="3FAC0852" w14:textId="77777777" w:rsidR="00F345C9" w:rsidRPr="00D20738" w:rsidRDefault="00F345C9" w:rsidP="00741AE9">
      <w:pPr>
        <w:spacing w:after="0" w:line="360" w:lineRule="auto"/>
        <w:ind w:left="720"/>
        <w:contextualSpacing/>
        <w:jc w:val="both"/>
        <w:rPr>
          <w:rStyle w:val="scxw260691589"/>
          <w:rFonts w:ascii="Arial" w:eastAsia="Times New Roman" w:hAnsi="Arial" w:cs="Arial"/>
          <w:kern w:val="0"/>
          <w:sz w:val="24"/>
          <w:szCs w:val="24"/>
          <w:lang w:eastAsia="en-GB"/>
          <w14:ligatures w14:val="none"/>
        </w:rPr>
      </w:pPr>
    </w:p>
    <w:p w14:paraId="2795441A" w14:textId="6BC3DF36" w:rsidR="00F345C9" w:rsidRPr="00D20738" w:rsidRDefault="00F345C9" w:rsidP="00741AE9">
      <w:pPr>
        <w:pStyle w:val="Heading2"/>
        <w:spacing w:line="360" w:lineRule="auto"/>
        <w:jc w:val="both"/>
        <w:rPr>
          <w:rFonts w:ascii="Arial" w:eastAsia="Times New Roman" w:hAnsi="Arial" w:cs="Arial"/>
          <w:lang w:eastAsia="en-GB"/>
        </w:rPr>
      </w:pPr>
      <w:bookmarkStart w:id="7" w:name="_Toc229418559"/>
      <w:r w:rsidRPr="00D20738">
        <w:rPr>
          <w:rFonts w:ascii="Arial" w:eastAsia="Times New Roman" w:hAnsi="Arial" w:cs="Arial"/>
          <w:lang w:val="en-US" w:eastAsia="en-GB"/>
        </w:rPr>
        <w:t xml:space="preserve">Disability and </w:t>
      </w:r>
      <w:r w:rsidR="006B3257">
        <w:rPr>
          <w:rFonts w:ascii="Arial" w:eastAsia="Times New Roman" w:hAnsi="Arial" w:cs="Arial"/>
          <w:lang w:val="en-US" w:eastAsia="en-GB"/>
        </w:rPr>
        <w:t>R</w:t>
      </w:r>
      <w:r w:rsidRPr="00D20738">
        <w:rPr>
          <w:rFonts w:ascii="Arial" w:eastAsia="Times New Roman" w:hAnsi="Arial" w:cs="Arial"/>
          <w:lang w:val="en-US" w:eastAsia="en-GB"/>
        </w:rPr>
        <w:t xml:space="preserve">easonable </w:t>
      </w:r>
      <w:r w:rsidR="006B3257">
        <w:rPr>
          <w:rFonts w:ascii="Arial" w:eastAsia="Times New Roman" w:hAnsi="Arial" w:cs="Arial"/>
          <w:lang w:val="en-US" w:eastAsia="en-GB"/>
        </w:rPr>
        <w:t>A</w:t>
      </w:r>
      <w:r w:rsidRPr="00D20738">
        <w:rPr>
          <w:rFonts w:ascii="Arial" w:eastAsia="Times New Roman" w:hAnsi="Arial" w:cs="Arial"/>
          <w:lang w:val="en-US" w:eastAsia="en-GB"/>
        </w:rPr>
        <w:t>djustments</w:t>
      </w:r>
      <w:bookmarkEnd w:id="7"/>
    </w:p>
    <w:p w14:paraId="2462523E" w14:textId="6FC19D35" w:rsidR="00F345C9" w:rsidRPr="00BA7CCB" w:rsidRDefault="00F345C9" w:rsidP="00741AE9">
      <w:pPr>
        <w:spacing w:after="0" w:line="360" w:lineRule="auto"/>
        <w:contextualSpacing/>
        <w:jc w:val="both"/>
        <w:rPr>
          <w:rFonts w:ascii="Arial" w:eastAsia="Times New Roman" w:hAnsi="Arial" w:cs="Arial"/>
          <w:kern w:val="0"/>
          <w:sz w:val="28"/>
          <w:szCs w:val="28"/>
          <w:lang w:eastAsia="en-GB"/>
          <w14:ligatures w14:val="none"/>
        </w:rPr>
      </w:pPr>
      <w:r w:rsidRPr="00BA7CCB">
        <w:rPr>
          <w:rFonts w:ascii="Arial" w:eastAsia="Arial" w:hAnsi="Arial" w:cs="Arial"/>
          <w:sz w:val="24"/>
          <w:szCs w:val="24"/>
        </w:rPr>
        <w:t xml:space="preserve">Under </w:t>
      </w:r>
      <w:r w:rsidR="00036F8F" w:rsidRPr="00BA7CCB">
        <w:rPr>
          <w:rFonts w:ascii="Arial" w:eastAsia="Arial" w:hAnsi="Arial" w:cs="Arial"/>
          <w:sz w:val="24"/>
          <w:szCs w:val="24"/>
        </w:rPr>
        <w:t>T</w:t>
      </w:r>
      <w:r w:rsidRPr="00BA7CCB">
        <w:rPr>
          <w:rFonts w:ascii="Arial" w:eastAsia="Arial" w:hAnsi="Arial" w:cs="Arial"/>
          <w:sz w:val="24"/>
          <w:szCs w:val="24"/>
        </w:rPr>
        <w:t xml:space="preserve">he Equality Act 2010, a disabled person is classed as someone with a physical or mental </w:t>
      </w:r>
      <w:r w:rsidR="009C783A" w:rsidRPr="00BA7CCB">
        <w:rPr>
          <w:rFonts w:ascii="Arial" w:eastAsia="Arial" w:hAnsi="Arial" w:cs="Arial"/>
          <w:sz w:val="24"/>
          <w:szCs w:val="24"/>
        </w:rPr>
        <w:t xml:space="preserve">condition </w:t>
      </w:r>
      <w:r w:rsidRPr="00BA7CCB">
        <w:rPr>
          <w:rFonts w:ascii="Arial" w:eastAsia="Arial" w:hAnsi="Arial" w:cs="Arial"/>
          <w:sz w:val="24"/>
          <w:szCs w:val="24"/>
        </w:rPr>
        <w:t xml:space="preserve">that has a </w:t>
      </w:r>
      <w:r w:rsidR="009C783A" w:rsidRPr="00BA7CCB">
        <w:rPr>
          <w:rFonts w:ascii="Arial" w:eastAsia="Arial" w:hAnsi="Arial" w:cs="Arial"/>
          <w:sz w:val="24"/>
          <w:szCs w:val="24"/>
        </w:rPr>
        <w:t>significant</w:t>
      </w:r>
      <w:r w:rsidRPr="00BA7CCB">
        <w:rPr>
          <w:rFonts w:ascii="Arial" w:eastAsia="Arial" w:hAnsi="Arial" w:cs="Arial"/>
          <w:sz w:val="24"/>
          <w:szCs w:val="24"/>
        </w:rPr>
        <w:t xml:space="preserve"> and long</w:t>
      </w:r>
      <w:r w:rsidRPr="00BA7CCB">
        <w:rPr>
          <w:rFonts w:ascii="Arial" w:eastAsia="Arial" w:hAnsi="Arial" w:cs="Arial"/>
          <w:sz w:val="24"/>
          <w:szCs w:val="24"/>
        </w:rPr>
        <w:noBreakHyphen/>
        <w:t xml:space="preserve">term </w:t>
      </w:r>
      <w:r w:rsidR="00BD3A38" w:rsidRPr="00BA7CCB">
        <w:rPr>
          <w:rFonts w:ascii="Arial" w:eastAsia="Arial" w:hAnsi="Arial" w:cs="Arial"/>
          <w:sz w:val="24"/>
          <w:szCs w:val="24"/>
        </w:rPr>
        <w:t xml:space="preserve">negative </w:t>
      </w:r>
      <w:r w:rsidRPr="00BA7CCB">
        <w:rPr>
          <w:rFonts w:ascii="Arial" w:eastAsia="Arial" w:hAnsi="Arial" w:cs="Arial"/>
          <w:sz w:val="24"/>
          <w:szCs w:val="24"/>
        </w:rPr>
        <w:t xml:space="preserve">effect </w:t>
      </w:r>
      <w:r w:rsidR="00726FBB" w:rsidRPr="00BA7CCB">
        <w:rPr>
          <w:rFonts w:ascii="Arial" w:eastAsia="Arial" w:hAnsi="Arial" w:cs="Arial"/>
          <w:sz w:val="24"/>
          <w:szCs w:val="24"/>
        </w:rPr>
        <w:t>a person’s</w:t>
      </w:r>
      <w:r w:rsidRPr="00BA7CCB">
        <w:rPr>
          <w:rFonts w:ascii="Arial" w:eastAsia="Arial" w:hAnsi="Arial" w:cs="Arial"/>
          <w:sz w:val="24"/>
          <w:szCs w:val="24"/>
        </w:rPr>
        <w:t xml:space="preserve"> ability to</w:t>
      </w:r>
      <w:r w:rsidR="00726FBB" w:rsidRPr="00BA7CCB">
        <w:rPr>
          <w:rFonts w:ascii="Arial" w:eastAsia="Arial" w:hAnsi="Arial" w:cs="Arial"/>
          <w:sz w:val="24"/>
          <w:szCs w:val="24"/>
        </w:rPr>
        <w:t xml:space="preserve"> undertake </w:t>
      </w:r>
      <w:r w:rsidRPr="00BA7CCB">
        <w:rPr>
          <w:rFonts w:ascii="Arial" w:eastAsia="Arial" w:hAnsi="Arial" w:cs="Arial"/>
          <w:sz w:val="24"/>
          <w:szCs w:val="24"/>
        </w:rPr>
        <w:t xml:space="preserve">normal </w:t>
      </w:r>
      <w:r w:rsidR="0017604C" w:rsidRPr="00BA7CCB">
        <w:rPr>
          <w:rFonts w:ascii="Arial" w:eastAsia="Arial" w:hAnsi="Arial" w:cs="Arial"/>
          <w:sz w:val="24"/>
          <w:szCs w:val="24"/>
        </w:rPr>
        <w:t>everyday</w:t>
      </w:r>
      <w:r w:rsidRPr="00BA7CCB">
        <w:rPr>
          <w:rFonts w:ascii="Arial" w:eastAsia="Arial" w:hAnsi="Arial" w:cs="Arial"/>
          <w:sz w:val="24"/>
          <w:szCs w:val="24"/>
        </w:rPr>
        <w:t xml:space="preserve"> activities</w:t>
      </w:r>
      <w:r w:rsidR="000C0F48" w:rsidRPr="00BA7CCB">
        <w:rPr>
          <w:rFonts w:ascii="Arial" w:eastAsia="Arial" w:hAnsi="Arial" w:cs="Arial"/>
          <w:sz w:val="24"/>
          <w:szCs w:val="24"/>
        </w:rPr>
        <w:t>.</w:t>
      </w:r>
      <w:r w:rsidR="00107CE8" w:rsidRPr="00BA7CCB">
        <w:rPr>
          <w:rFonts w:ascii="Arial" w:eastAsia="Arial" w:hAnsi="Arial" w:cs="Arial"/>
          <w:sz w:val="24"/>
          <w:szCs w:val="24"/>
        </w:rPr>
        <w:t xml:space="preserve"> </w:t>
      </w:r>
      <w:r w:rsidRPr="00BA7CCB">
        <w:rPr>
          <w:rFonts w:ascii="Arial" w:eastAsia="Arial" w:hAnsi="Arial" w:cs="Arial"/>
          <w:sz w:val="24"/>
          <w:szCs w:val="24"/>
        </w:rPr>
        <w:t xml:space="preserve">By extending the definition of disability beyond clinically recognised conditions and providing automatic protection for diagnoses such as cancer, HIV and multiple sclerosis, the Act reinforces the need for early, proactive employer intervention and inclusive workplace practices (Daniels, 2025). </w:t>
      </w:r>
    </w:p>
    <w:p w14:paraId="2F1BC52F" w14:textId="77777777" w:rsidR="0020277B" w:rsidRPr="00D20738" w:rsidRDefault="0020277B" w:rsidP="00741AE9">
      <w:pPr>
        <w:spacing w:after="0" w:line="360" w:lineRule="auto"/>
        <w:contextualSpacing/>
        <w:jc w:val="both"/>
        <w:rPr>
          <w:rFonts w:ascii="Arial" w:eastAsia="Arial" w:hAnsi="Arial" w:cs="Arial"/>
        </w:rPr>
      </w:pPr>
    </w:p>
    <w:p w14:paraId="39CA641B" w14:textId="2096830E" w:rsidR="00F345C9" w:rsidRPr="00B829B8" w:rsidRDefault="00F345C9" w:rsidP="00741AE9">
      <w:pPr>
        <w:spacing w:after="0" w:line="360" w:lineRule="auto"/>
        <w:contextualSpacing/>
        <w:jc w:val="both"/>
        <w:rPr>
          <w:rFonts w:ascii="Arial" w:eastAsia="Arial" w:hAnsi="Arial" w:cs="Arial"/>
          <w:sz w:val="24"/>
          <w:szCs w:val="24"/>
        </w:rPr>
      </w:pPr>
      <w:r w:rsidRPr="00B829B8">
        <w:rPr>
          <w:rFonts w:ascii="Arial" w:eastAsia="Arial" w:hAnsi="Arial" w:cs="Arial"/>
          <w:sz w:val="24"/>
          <w:szCs w:val="24"/>
        </w:rPr>
        <w:t>Although disabled individuals are protected under discrimination law, claims of indirect discrimination can be more difficult to establish due to the diverse ways in which disabilities impact individuals. In contrast, a key and more clearly defined aspect of disability discrimination is the duty to make reasonable adjustments, which requires employers to take proactive steps to reduce or remove workplace disadvantage (Daniels, 2025). As a manager at Elmbridge failed to implement reasonable adjustments for an employee with a mobility impairment</w:t>
      </w:r>
      <w:r w:rsidRPr="00B829B8">
        <w:rPr>
          <w:rFonts w:ascii="Arial" w:hAnsi="Arial" w:cs="Arial"/>
          <w:sz w:val="24"/>
          <w:szCs w:val="24"/>
          <w:lang w:eastAsia="en-GB"/>
        </w:rPr>
        <w:t>, resulting in the individual being placed at a disadvantage and treated less favourably</w:t>
      </w:r>
      <w:r w:rsidRPr="00B829B8">
        <w:rPr>
          <w:rFonts w:ascii="Arial" w:eastAsia="Arial" w:hAnsi="Arial" w:cs="Arial"/>
          <w:sz w:val="24"/>
          <w:szCs w:val="24"/>
        </w:rPr>
        <w:t xml:space="preserve">, the organisation has been exposed to a claim under </w:t>
      </w:r>
      <w:r w:rsidR="00036F8F" w:rsidRPr="00B829B8">
        <w:rPr>
          <w:rFonts w:ascii="Arial" w:eastAsia="Arial" w:hAnsi="Arial" w:cs="Arial"/>
          <w:sz w:val="24"/>
          <w:szCs w:val="24"/>
        </w:rPr>
        <w:t>T</w:t>
      </w:r>
      <w:r w:rsidRPr="00B829B8">
        <w:rPr>
          <w:rFonts w:ascii="Arial" w:eastAsia="Arial" w:hAnsi="Arial" w:cs="Arial"/>
          <w:sz w:val="24"/>
          <w:szCs w:val="24"/>
        </w:rPr>
        <w:t xml:space="preserve">he Equality Act </w:t>
      </w:r>
      <w:r w:rsidR="006D5CF8" w:rsidRPr="00B829B8">
        <w:rPr>
          <w:rFonts w:ascii="Arial" w:eastAsia="Arial" w:hAnsi="Arial" w:cs="Arial"/>
          <w:sz w:val="24"/>
          <w:szCs w:val="24"/>
        </w:rPr>
        <w:t>20</w:t>
      </w:r>
      <w:r w:rsidR="009D077E" w:rsidRPr="00B829B8">
        <w:rPr>
          <w:rFonts w:ascii="Arial" w:eastAsia="Arial" w:hAnsi="Arial" w:cs="Arial"/>
          <w:sz w:val="24"/>
          <w:szCs w:val="24"/>
        </w:rPr>
        <w:t>10</w:t>
      </w:r>
      <w:r w:rsidRPr="00B829B8">
        <w:rPr>
          <w:rFonts w:ascii="Arial" w:eastAsia="Arial" w:hAnsi="Arial" w:cs="Arial"/>
          <w:sz w:val="24"/>
          <w:szCs w:val="24"/>
        </w:rPr>
        <w:t>. Elmbridge’s failure to make a reasonable adjustment would be considered direct discrimination and could lead to a huge financial cost for the organisation, particularly as discrimination claims carry the risk of uncapped compensation awards exceeding £60,000</w:t>
      </w:r>
      <w:r w:rsidRPr="00B829B8">
        <w:rPr>
          <w:rFonts w:ascii="Arial" w:hAnsi="Arial" w:cs="Arial"/>
          <w:sz w:val="24"/>
          <w:szCs w:val="24"/>
          <w:lang w:eastAsia="en-GB"/>
        </w:rPr>
        <w:t xml:space="preserve"> </w:t>
      </w:r>
      <w:r w:rsidR="00F337D8" w:rsidRPr="00B829B8">
        <w:rPr>
          <w:rFonts w:ascii="Arial" w:hAnsi="Arial" w:cs="Arial"/>
          <w:sz w:val="24"/>
          <w:szCs w:val="24"/>
          <w:lang w:eastAsia="en-GB"/>
        </w:rPr>
        <w:t xml:space="preserve">outlined in </w:t>
      </w:r>
      <w:r w:rsidR="006D38A4" w:rsidRPr="00B829B8">
        <w:rPr>
          <w:rFonts w:ascii="Arial" w:hAnsi="Arial" w:cs="Arial"/>
          <w:sz w:val="24"/>
          <w:szCs w:val="24"/>
          <w:lang w:eastAsia="en-GB"/>
        </w:rPr>
        <w:t>‘</w:t>
      </w:r>
      <w:r w:rsidRPr="00B829B8">
        <w:rPr>
          <w:rFonts w:ascii="Arial" w:eastAsia="Arial" w:hAnsi="Arial" w:cs="Arial"/>
          <w:sz w:val="24"/>
          <w:szCs w:val="24"/>
        </w:rPr>
        <w:t>De Souza v Vinci Construction</w:t>
      </w:r>
      <w:r w:rsidR="006D38A4" w:rsidRPr="00B829B8">
        <w:rPr>
          <w:rFonts w:ascii="Arial" w:eastAsia="Arial" w:hAnsi="Arial" w:cs="Arial"/>
          <w:sz w:val="24"/>
          <w:szCs w:val="24"/>
        </w:rPr>
        <w:t xml:space="preserve">’ </w:t>
      </w:r>
      <w:r w:rsidR="00210428" w:rsidRPr="00B829B8">
        <w:rPr>
          <w:rFonts w:ascii="Arial" w:eastAsia="Arial" w:hAnsi="Arial" w:cs="Arial"/>
          <w:sz w:val="24"/>
          <w:szCs w:val="24"/>
        </w:rPr>
        <w:t>(</w:t>
      </w:r>
      <w:r w:rsidRPr="00B829B8">
        <w:rPr>
          <w:rFonts w:ascii="Arial" w:eastAsia="Arial" w:hAnsi="Arial" w:cs="Arial"/>
          <w:sz w:val="24"/>
          <w:szCs w:val="24"/>
        </w:rPr>
        <w:t>2017).</w:t>
      </w:r>
    </w:p>
    <w:p w14:paraId="26C027A0" w14:textId="77777777" w:rsidR="008214CA" w:rsidRPr="00D20738" w:rsidRDefault="008214CA" w:rsidP="00741AE9">
      <w:pPr>
        <w:spacing w:after="0" w:line="360" w:lineRule="auto"/>
        <w:contextualSpacing/>
        <w:jc w:val="both"/>
        <w:rPr>
          <w:rFonts w:ascii="Arial" w:eastAsia="Times New Roman" w:hAnsi="Arial" w:cs="Arial"/>
          <w:kern w:val="0"/>
          <w:sz w:val="24"/>
          <w:szCs w:val="24"/>
          <w:lang w:eastAsia="en-GB"/>
          <w14:ligatures w14:val="none"/>
        </w:rPr>
      </w:pPr>
    </w:p>
    <w:p w14:paraId="5BA861F6" w14:textId="625C5005" w:rsidR="00691ED7" w:rsidRPr="00D20738" w:rsidRDefault="00106867" w:rsidP="00741AE9">
      <w:pPr>
        <w:pStyle w:val="Heading2"/>
        <w:spacing w:line="360" w:lineRule="auto"/>
        <w:jc w:val="both"/>
        <w:rPr>
          <w:rFonts w:ascii="Arial" w:eastAsia="Arial" w:hAnsi="Arial" w:cs="Arial"/>
        </w:rPr>
      </w:pPr>
      <w:bookmarkStart w:id="8" w:name="_Toc229418560"/>
      <w:r w:rsidRPr="00D20738">
        <w:rPr>
          <w:rFonts w:ascii="Arial" w:hAnsi="Arial" w:cs="Arial"/>
          <w:lang w:val="en-US" w:eastAsia="en-GB"/>
        </w:rPr>
        <w:lastRenderedPageBreak/>
        <w:t xml:space="preserve">Failure to </w:t>
      </w:r>
      <w:r w:rsidR="003B70CF">
        <w:rPr>
          <w:rFonts w:ascii="Arial" w:hAnsi="Arial" w:cs="Arial"/>
          <w:lang w:val="en-US" w:eastAsia="en-GB"/>
        </w:rPr>
        <w:t>C</w:t>
      </w:r>
      <w:r w:rsidRPr="00D20738">
        <w:rPr>
          <w:rFonts w:ascii="Arial" w:hAnsi="Arial" w:cs="Arial"/>
          <w:lang w:val="en-US" w:eastAsia="en-GB"/>
        </w:rPr>
        <w:t xml:space="preserve">onsult </w:t>
      </w:r>
      <w:r w:rsidR="006B2DE4">
        <w:rPr>
          <w:rFonts w:ascii="Arial" w:hAnsi="Arial" w:cs="Arial"/>
          <w:lang w:val="en-US" w:eastAsia="en-GB"/>
        </w:rPr>
        <w:t>under</w:t>
      </w:r>
      <w:r w:rsidRPr="00D20738">
        <w:rPr>
          <w:rFonts w:ascii="Arial" w:hAnsi="Arial" w:cs="Arial"/>
          <w:lang w:val="en-US" w:eastAsia="en-GB"/>
        </w:rPr>
        <w:t xml:space="preserve"> TUPE</w:t>
      </w:r>
      <w:bookmarkEnd w:id="8"/>
    </w:p>
    <w:p w14:paraId="17B1E041" w14:textId="1DED35FB" w:rsidR="00106867" w:rsidRPr="00D20738" w:rsidRDefault="00106867" w:rsidP="00741AE9">
      <w:pPr>
        <w:pStyle w:val="paragraph"/>
        <w:spacing w:line="360" w:lineRule="auto"/>
        <w:jc w:val="both"/>
        <w:textAlignment w:val="baseline"/>
        <w:rPr>
          <w:rFonts w:ascii="Arial" w:eastAsia="Arial" w:hAnsi="Arial" w:cs="Arial"/>
          <w:b/>
          <w:bCs/>
        </w:rPr>
      </w:pPr>
      <w:r w:rsidRPr="00D20738">
        <w:rPr>
          <w:rFonts w:ascii="Arial" w:hAnsi="Arial" w:cs="Arial"/>
          <w:lang w:eastAsia="en-GB"/>
        </w:rPr>
        <w:t>The</w:t>
      </w:r>
      <w:r w:rsidR="002A2F76" w:rsidRPr="00D20738">
        <w:rPr>
          <w:rFonts w:ascii="Arial" w:hAnsi="Arial" w:cs="Arial"/>
          <w:lang w:eastAsia="en-GB"/>
        </w:rPr>
        <w:t xml:space="preserve"> </w:t>
      </w:r>
      <w:r w:rsidRPr="00D20738">
        <w:rPr>
          <w:rFonts w:ascii="Arial" w:hAnsi="Arial" w:cs="Arial"/>
          <w:lang w:eastAsia="en-GB"/>
        </w:rPr>
        <w:t>Transfer of Undertakings (Protection of Employment) Regulations</w:t>
      </w:r>
      <w:r w:rsidR="002A2F76" w:rsidRPr="00D20738">
        <w:rPr>
          <w:rFonts w:ascii="Arial" w:hAnsi="Arial" w:cs="Arial"/>
          <w:lang w:eastAsia="en-GB"/>
        </w:rPr>
        <w:t xml:space="preserve"> </w:t>
      </w:r>
      <w:r w:rsidR="00EF6B1E" w:rsidRPr="00D20738">
        <w:rPr>
          <w:rFonts w:ascii="Arial" w:hAnsi="Arial" w:cs="Arial"/>
          <w:lang w:eastAsia="en-GB"/>
        </w:rPr>
        <w:t>(</w:t>
      </w:r>
      <w:r w:rsidRPr="00D20738">
        <w:rPr>
          <w:rFonts w:ascii="Arial" w:hAnsi="Arial" w:cs="Arial"/>
          <w:lang w:eastAsia="en-GB"/>
        </w:rPr>
        <w:t>2006</w:t>
      </w:r>
      <w:r w:rsidR="002A2F76" w:rsidRPr="00D20738">
        <w:rPr>
          <w:rFonts w:ascii="Arial" w:hAnsi="Arial" w:cs="Arial"/>
          <w:lang w:eastAsia="en-GB"/>
        </w:rPr>
        <w:t>)</w:t>
      </w:r>
      <w:r w:rsidRPr="00D20738">
        <w:rPr>
          <w:rFonts w:ascii="Arial" w:hAnsi="Arial" w:cs="Arial"/>
          <w:lang w:eastAsia="en-GB"/>
        </w:rPr>
        <w:t xml:space="preserve"> is triggered by either a business transfer or service provision changes, which is intended to provide protection for employees when ownership of a business change (CIPD, 2024). </w:t>
      </w:r>
    </w:p>
    <w:p w14:paraId="1DF4EEEA" w14:textId="4119BAAE" w:rsidR="00106867" w:rsidRPr="00D20738" w:rsidRDefault="00106867" w:rsidP="00741AE9">
      <w:pPr>
        <w:spacing w:after="0"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 xml:space="preserve">Elmbridge’s previous non-compliance with TUPE during outsourcing lead to significant financial penalties due to failure to properly inform and consult both employees and representatives. The decision in </w:t>
      </w:r>
      <w:r w:rsidR="00210428" w:rsidRPr="00D20738">
        <w:rPr>
          <w:rFonts w:ascii="Arial" w:eastAsia="Times New Roman" w:hAnsi="Arial" w:cs="Arial"/>
          <w:kern w:val="0"/>
          <w:sz w:val="24"/>
          <w:szCs w:val="24"/>
          <w:lang w:eastAsia="en-GB"/>
          <w14:ligatures w14:val="none"/>
        </w:rPr>
        <w:t>‘</w:t>
      </w:r>
      <w:r w:rsidRPr="00D20738">
        <w:rPr>
          <w:rFonts w:ascii="Arial" w:eastAsia="Times New Roman" w:hAnsi="Arial" w:cs="Arial"/>
          <w:kern w:val="0"/>
          <w:sz w:val="24"/>
          <w:szCs w:val="24"/>
          <w:lang w:eastAsia="en-GB"/>
          <w14:ligatures w14:val="none"/>
        </w:rPr>
        <w:t>Clark v Middleton</w:t>
      </w:r>
      <w:r w:rsidR="00210428" w:rsidRPr="00D20738">
        <w:rPr>
          <w:rFonts w:ascii="Arial" w:eastAsia="Times New Roman" w:hAnsi="Arial" w:cs="Arial"/>
          <w:kern w:val="0"/>
          <w:sz w:val="24"/>
          <w:szCs w:val="24"/>
          <w:lang w:eastAsia="en-GB"/>
          <w14:ligatures w14:val="none"/>
        </w:rPr>
        <w:t>’</w:t>
      </w:r>
      <w:r w:rsidRPr="00D20738">
        <w:rPr>
          <w:rFonts w:ascii="Arial" w:eastAsia="Times New Roman" w:hAnsi="Arial" w:cs="Arial"/>
          <w:kern w:val="0"/>
          <w:sz w:val="24"/>
          <w:szCs w:val="24"/>
          <w:lang w:eastAsia="en-GB"/>
          <w14:ligatures w14:val="none"/>
        </w:rPr>
        <w:t xml:space="preserve"> (2022) highlights that employers can still be liable for protective awards, even if the breach is considered minor. The planned outsourcing of facilities management to FacCo is likely to trigger TUPE as this constitutes a change in service, potentially exposing Elmbridge to protective awards of up to 13 weeks uncapped gross pay being awarded to each effected employee, if there are further breaches to TUPE’s information and consultation obligations (Trowers and Hamlins, 2022). Furthermore, seeking early guidance and involving trade unions supports TUPE compliance, effective consultation, strengthens employee trust, and minimise the risk of disputes and legal issues (CIPD, 2026</w:t>
      </w:r>
      <w:r w:rsidR="008D5A1D" w:rsidRPr="00D20738">
        <w:rPr>
          <w:rFonts w:ascii="Arial" w:eastAsia="Times New Roman" w:hAnsi="Arial" w:cs="Arial"/>
          <w:kern w:val="0"/>
          <w:sz w:val="24"/>
          <w:szCs w:val="24"/>
          <w:lang w:eastAsia="en-GB"/>
          <w14:ligatures w14:val="none"/>
        </w:rPr>
        <w:t>d</w:t>
      </w:r>
      <w:r w:rsidRPr="00D20738">
        <w:rPr>
          <w:rFonts w:ascii="Arial" w:eastAsia="Times New Roman" w:hAnsi="Arial" w:cs="Arial"/>
          <w:kern w:val="0"/>
          <w:sz w:val="24"/>
          <w:szCs w:val="24"/>
          <w:lang w:eastAsia="en-GB"/>
          <w14:ligatures w14:val="none"/>
        </w:rPr>
        <w:t xml:space="preserve">). </w:t>
      </w:r>
    </w:p>
    <w:p w14:paraId="587E3D8E" w14:textId="77777777" w:rsidR="00106867" w:rsidRPr="00D20738" w:rsidRDefault="00106867" w:rsidP="00741AE9">
      <w:pPr>
        <w:pStyle w:val="ListParagraph"/>
        <w:spacing w:after="0" w:line="360" w:lineRule="auto"/>
        <w:jc w:val="both"/>
        <w:rPr>
          <w:rFonts w:ascii="Arial" w:eastAsia="Times New Roman" w:hAnsi="Arial" w:cs="Arial"/>
          <w:kern w:val="0"/>
          <w:sz w:val="24"/>
          <w:szCs w:val="24"/>
          <w:lang w:eastAsia="en-GB"/>
          <w14:ligatures w14:val="none"/>
        </w:rPr>
      </w:pPr>
    </w:p>
    <w:p w14:paraId="2627134E" w14:textId="60083A25" w:rsidR="00F06CD3" w:rsidRPr="00D20738" w:rsidRDefault="00F06CD3" w:rsidP="00741AE9">
      <w:pPr>
        <w:pStyle w:val="Heading2"/>
        <w:spacing w:line="360" w:lineRule="auto"/>
        <w:jc w:val="both"/>
        <w:rPr>
          <w:rFonts w:ascii="Arial" w:eastAsia="Times New Roman" w:hAnsi="Arial" w:cs="Arial"/>
          <w:lang w:eastAsia="en-GB"/>
        </w:rPr>
      </w:pPr>
      <w:bookmarkStart w:id="9" w:name="_Toc229418561"/>
      <w:r w:rsidRPr="00D20738">
        <w:rPr>
          <w:rFonts w:ascii="Arial" w:eastAsia="Times New Roman" w:hAnsi="Arial" w:cs="Arial"/>
          <w:lang w:val="en-US" w:eastAsia="en-GB"/>
        </w:rPr>
        <w:t xml:space="preserve">Dispute </w:t>
      </w:r>
      <w:r w:rsidR="003B70CF">
        <w:rPr>
          <w:rFonts w:ascii="Arial" w:eastAsia="Times New Roman" w:hAnsi="Arial" w:cs="Arial"/>
          <w:lang w:val="en-US" w:eastAsia="en-GB"/>
        </w:rPr>
        <w:t>R</w:t>
      </w:r>
      <w:r w:rsidRPr="00D20738">
        <w:rPr>
          <w:rFonts w:ascii="Arial" w:eastAsia="Times New Roman" w:hAnsi="Arial" w:cs="Arial"/>
          <w:lang w:val="en-US" w:eastAsia="en-GB"/>
        </w:rPr>
        <w:t>esolution</w:t>
      </w:r>
      <w:bookmarkEnd w:id="9"/>
    </w:p>
    <w:p w14:paraId="441C5680" w14:textId="69F24771" w:rsidR="00F06CD3" w:rsidRPr="00D20738" w:rsidRDefault="00F06CD3" w:rsidP="00741AE9">
      <w:pPr>
        <w:spacing w:after="0"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 xml:space="preserve">Failures in dispute resolution procedures, such as inconsistent grievances handling or inadequate investigations, can heighten the likelihood of legal liability, particularly where there is a lack of fairness. The ACAS Code of Practice </w:t>
      </w:r>
      <w:r w:rsidR="00061376" w:rsidRPr="00D20738">
        <w:rPr>
          <w:rFonts w:ascii="Arial" w:eastAsia="Times New Roman" w:hAnsi="Arial" w:cs="Arial"/>
          <w:kern w:val="0"/>
          <w:sz w:val="24"/>
          <w:szCs w:val="24"/>
          <w:lang w:eastAsia="en-GB"/>
          <w14:ligatures w14:val="none"/>
        </w:rPr>
        <w:t>(20</w:t>
      </w:r>
      <w:r w:rsidR="003C2284" w:rsidRPr="00D20738">
        <w:rPr>
          <w:rFonts w:ascii="Arial" w:eastAsia="Times New Roman" w:hAnsi="Arial" w:cs="Arial"/>
          <w:kern w:val="0"/>
          <w:sz w:val="24"/>
          <w:szCs w:val="24"/>
          <w:lang w:eastAsia="en-GB"/>
          <w14:ligatures w14:val="none"/>
        </w:rPr>
        <w:t>20</w:t>
      </w:r>
      <w:r w:rsidR="00061376" w:rsidRPr="00D20738">
        <w:rPr>
          <w:rFonts w:ascii="Arial" w:eastAsia="Times New Roman" w:hAnsi="Arial" w:cs="Arial"/>
          <w:kern w:val="0"/>
          <w:sz w:val="24"/>
          <w:szCs w:val="24"/>
          <w:lang w:eastAsia="en-GB"/>
          <w14:ligatures w14:val="none"/>
        </w:rPr>
        <w:t xml:space="preserve">) </w:t>
      </w:r>
      <w:r w:rsidRPr="00D20738">
        <w:rPr>
          <w:rFonts w:ascii="Arial" w:eastAsia="Times New Roman" w:hAnsi="Arial" w:cs="Arial"/>
          <w:kern w:val="0"/>
          <w:sz w:val="24"/>
          <w:szCs w:val="24"/>
          <w:lang w:eastAsia="en-GB"/>
          <w14:ligatures w14:val="none"/>
        </w:rPr>
        <w:t xml:space="preserve">provides a framework to promote good practice when managing disciplinary and grievance procedures, encouraging fair decision-making and reasonable handling of workplace disputes. Although failure to follow the ACAS Code does not automatically result in liability, tribunals may apply a compensation lift or reduction of up to 25% for unreasonable non-compliance, such as failing to sufficiently investigate.   </w:t>
      </w:r>
    </w:p>
    <w:p w14:paraId="0E2F4B10" w14:textId="77777777" w:rsidR="00F06CD3" w:rsidRPr="00D20738" w:rsidRDefault="00F06CD3" w:rsidP="00741AE9">
      <w:pPr>
        <w:pStyle w:val="ListParagraph"/>
        <w:spacing w:after="0" w:line="360" w:lineRule="auto"/>
        <w:jc w:val="both"/>
        <w:rPr>
          <w:rFonts w:ascii="Arial" w:eastAsia="Times New Roman" w:hAnsi="Arial" w:cs="Arial"/>
          <w:kern w:val="0"/>
          <w:sz w:val="24"/>
          <w:szCs w:val="24"/>
          <w:lang w:eastAsia="en-GB"/>
          <w14:ligatures w14:val="none"/>
        </w:rPr>
      </w:pPr>
    </w:p>
    <w:p w14:paraId="475F6121" w14:textId="62E04C28" w:rsidR="00F06CD3" w:rsidRPr="00D20738" w:rsidRDefault="00F06CD3" w:rsidP="00741AE9">
      <w:pPr>
        <w:spacing w:after="0"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Elmbridge’s reactive approach to disciplinary and grievance procedures should be reviewed as it is likely contributing to managers frustration, increased workload and high sickness, all of which will have a negative impact on workplace culture and performance</w:t>
      </w:r>
      <w:r w:rsidR="004D6B83" w:rsidRPr="00D20738">
        <w:rPr>
          <w:rFonts w:ascii="Arial" w:eastAsia="Times New Roman" w:hAnsi="Arial" w:cs="Arial"/>
          <w:kern w:val="0"/>
          <w:sz w:val="24"/>
          <w:szCs w:val="24"/>
          <w:lang w:eastAsia="en-GB"/>
          <w14:ligatures w14:val="none"/>
        </w:rPr>
        <w:t xml:space="preserve">. </w:t>
      </w:r>
      <w:r w:rsidRPr="00D20738">
        <w:rPr>
          <w:rFonts w:ascii="Arial" w:eastAsia="Times New Roman" w:hAnsi="Arial" w:cs="Arial"/>
          <w:kern w:val="0"/>
          <w:sz w:val="24"/>
          <w:szCs w:val="24"/>
          <w:lang w:eastAsia="en-GB"/>
          <w14:ligatures w14:val="none"/>
        </w:rPr>
        <w:t xml:space="preserve">Cooper (2025) highlights the significant harm to all individuals involved, </w:t>
      </w:r>
      <w:r w:rsidRPr="00D20738">
        <w:rPr>
          <w:rFonts w:ascii="Arial" w:eastAsia="Times New Roman" w:hAnsi="Arial" w:cs="Arial"/>
          <w:kern w:val="0"/>
          <w:sz w:val="24"/>
          <w:szCs w:val="24"/>
          <w:lang w:eastAsia="en-GB"/>
          <w14:ligatures w14:val="none"/>
        </w:rPr>
        <w:lastRenderedPageBreak/>
        <w:t xml:space="preserve">detrimental impact on organisational culture, financial implications and the potential reputational risk </w:t>
      </w:r>
      <w:proofErr w:type="gramStart"/>
      <w:r w:rsidRPr="00D20738">
        <w:rPr>
          <w:rFonts w:ascii="Arial" w:eastAsia="Times New Roman" w:hAnsi="Arial" w:cs="Arial"/>
          <w:kern w:val="0"/>
          <w:sz w:val="24"/>
          <w:szCs w:val="24"/>
          <w:lang w:eastAsia="en-GB"/>
          <w14:ligatures w14:val="none"/>
        </w:rPr>
        <w:t>as a result of</w:t>
      </w:r>
      <w:proofErr w:type="gramEnd"/>
      <w:r w:rsidRPr="00D20738">
        <w:rPr>
          <w:rFonts w:ascii="Arial" w:eastAsia="Times New Roman" w:hAnsi="Arial" w:cs="Arial"/>
          <w:kern w:val="0"/>
          <w:sz w:val="24"/>
          <w:szCs w:val="24"/>
          <w:lang w:eastAsia="en-GB"/>
          <w14:ligatures w14:val="none"/>
        </w:rPr>
        <w:t xml:space="preserve"> poorly managed disciplinary and grievance procedures.  CIPD (2025</w:t>
      </w:r>
      <w:r w:rsidR="00C82768" w:rsidRPr="00D20738">
        <w:rPr>
          <w:rFonts w:ascii="Arial" w:eastAsia="Times New Roman" w:hAnsi="Arial" w:cs="Arial"/>
          <w:kern w:val="0"/>
          <w:sz w:val="24"/>
          <w:szCs w:val="24"/>
          <w:lang w:eastAsia="en-GB"/>
          <w14:ligatures w14:val="none"/>
        </w:rPr>
        <w:t>a</w:t>
      </w:r>
      <w:r w:rsidR="00A83A51" w:rsidRPr="00D20738">
        <w:rPr>
          <w:rFonts w:ascii="Arial" w:eastAsia="Times New Roman" w:hAnsi="Arial" w:cs="Arial"/>
          <w:kern w:val="0"/>
          <w:sz w:val="24"/>
          <w:szCs w:val="24"/>
          <w:lang w:eastAsia="en-GB"/>
          <w14:ligatures w14:val="none"/>
        </w:rPr>
        <w:t>; 2020</w:t>
      </w:r>
      <w:r w:rsidRPr="00D20738">
        <w:rPr>
          <w:rFonts w:ascii="Arial" w:eastAsia="Times New Roman" w:hAnsi="Arial" w:cs="Arial"/>
          <w:kern w:val="0"/>
          <w:sz w:val="24"/>
          <w:szCs w:val="24"/>
          <w:lang w:eastAsia="en-GB"/>
          <w14:ligatures w14:val="none"/>
        </w:rPr>
        <w:t xml:space="preserve">) stresses the importance of embedding strong governance and early intervention, alongside well-supported managers, to prevent conflict and drive positive outcomes rather than contributing to organisational risk. </w:t>
      </w:r>
    </w:p>
    <w:p w14:paraId="39E8F9C0" w14:textId="77777777" w:rsidR="00106867" w:rsidRPr="00D20738" w:rsidRDefault="00106867" w:rsidP="00741AE9">
      <w:pPr>
        <w:spacing w:after="0" w:line="360" w:lineRule="auto"/>
        <w:contextualSpacing/>
        <w:jc w:val="both"/>
        <w:rPr>
          <w:rFonts w:ascii="Arial" w:eastAsia="Times New Roman" w:hAnsi="Arial" w:cs="Arial"/>
          <w:kern w:val="0"/>
          <w:sz w:val="24"/>
          <w:szCs w:val="24"/>
          <w:lang w:eastAsia="en-GB"/>
          <w14:ligatures w14:val="none"/>
        </w:rPr>
      </w:pPr>
    </w:p>
    <w:p w14:paraId="5887F80C" w14:textId="0B1D5248" w:rsidR="00F345C9" w:rsidRPr="00D20738" w:rsidRDefault="00A70DAF" w:rsidP="00741AE9">
      <w:pPr>
        <w:pStyle w:val="Heading1"/>
        <w:spacing w:line="360" w:lineRule="auto"/>
        <w:jc w:val="both"/>
        <w:rPr>
          <w:rFonts w:ascii="Arial" w:eastAsiaTheme="minorEastAsia" w:hAnsi="Arial" w:cs="Arial"/>
          <w:lang w:val="en-US" w:eastAsia="en-GB"/>
        </w:rPr>
      </w:pPr>
      <w:bookmarkStart w:id="10" w:name="_Toc229418562"/>
      <w:r w:rsidRPr="00D20738">
        <w:rPr>
          <w:rFonts w:ascii="Arial" w:eastAsiaTheme="minorEastAsia" w:hAnsi="Arial" w:cs="Arial"/>
          <w:lang w:val="en-US" w:eastAsia="en-GB"/>
        </w:rPr>
        <w:t xml:space="preserve">Compliance and </w:t>
      </w:r>
      <w:r w:rsidR="00FE04C6" w:rsidRPr="00D20738">
        <w:rPr>
          <w:rFonts w:ascii="Arial" w:eastAsiaTheme="minorEastAsia" w:hAnsi="Arial" w:cs="Arial"/>
          <w:lang w:val="en-US" w:eastAsia="en-GB"/>
        </w:rPr>
        <w:t>P</w:t>
      </w:r>
      <w:r w:rsidRPr="00D20738">
        <w:rPr>
          <w:rFonts w:ascii="Arial" w:eastAsiaTheme="minorEastAsia" w:hAnsi="Arial" w:cs="Arial"/>
          <w:lang w:val="en-US" w:eastAsia="en-GB"/>
        </w:rPr>
        <w:t xml:space="preserve">olicy </w:t>
      </w:r>
      <w:r w:rsidR="00FE04C6" w:rsidRPr="00D20738">
        <w:rPr>
          <w:rFonts w:ascii="Arial" w:eastAsiaTheme="minorEastAsia" w:hAnsi="Arial" w:cs="Arial"/>
          <w:lang w:val="en-US" w:eastAsia="en-GB"/>
        </w:rPr>
        <w:t>R</w:t>
      </w:r>
      <w:r w:rsidRPr="00D20738">
        <w:rPr>
          <w:rFonts w:ascii="Arial" w:eastAsiaTheme="minorEastAsia" w:hAnsi="Arial" w:cs="Arial"/>
          <w:lang w:val="en-US" w:eastAsia="en-GB"/>
        </w:rPr>
        <w:t>ecommendations</w:t>
      </w:r>
      <w:bookmarkEnd w:id="10"/>
    </w:p>
    <w:p w14:paraId="41B23290" w14:textId="66704D37" w:rsidR="00691ED7" w:rsidRPr="00D20738" w:rsidRDefault="007A0D4F" w:rsidP="00741AE9">
      <w:pPr>
        <w:pStyle w:val="Heading2"/>
        <w:spacing w:line="360" w:lineRule="auto"/>
        <w:jc w:val="both"/>
        <w:rPr>
          <w:rFonts w:ascii="Arial" w:eastAsiaTheme="minorEastAsia" w:hAnsi="Arial" w:cs="Arial"/>
          <w:lang w:eastAsia="en-GB"/>
        </w:rPr>
      </w:pPr>
      <w:bookmarkStart w:id="11" w:name="_Toc229418563"/>
      <w:r w:rsidRPr="00D20738">
        <w:rPr>
          <w:rFonts w:ascii="Arial" w:eastAsiaTheme="minorEastAsia" w:hAnsi="Arial" w:cs="Arial"/>
          <w:lang w:eastAsia="en-GB"/>
        </w:rPr>
        <w:t xml:space="preserve">Targeted </w:t>
      </w:r>
      <w:r w:rsidR="003B70CF">
        <w:rPr>
          <w:rFonts w:ascii="Arial" w:eastAsiaTheme="minorEastAsia" w:hAnsi="Arial" w:cs="Arial"/>
          <w:lang w:eastAsia="en-GB"/>
        </w:rPr>
        <w:t>T</w:t>
      </w:r>
      <w:r w:rsidRPr="00D20738">
        <w:rPr>
          <w:rFonts w:ascii="Arial" w:eastAsiaTheme="minorEastAsia" w:hAnsi="Arial" w:cs="Arial"/>
          <w:lang w:eastAsia="en-GB"/>
        </w:rPr>
        <w:t xml:space="preserve">raining to </w:t>
      </w:r>
      <w:r w:rsidR="003B70CF">
        <w:rPr>
          <w:rFonts w:ascii="Arial" w:eastAsiaTheme="minorEastAsia" w:hAnsi="Arial" w:cs="Arial"/>
          <w:lang w:eastAsia="en-GB"/>
        </w:rPr>
        <w:t>E</w:t>
      </w:r>
      <w:r w:rsidRPr="00D20738">
        <w:rPr>
          <w:rFonts w:ascii="Arial" w:eastAsiaTheme="minorEastAsia" w:hAnsi="Arial" w:cs="Arial"/>
          <w:lang w:eastAsia="en-GB"/>
        </w:rPr>
        <w:t xml:space="preserve">nhance </w:t>
      </w:r>
      <w:r w:rsidR="003B70CF">
        <w:rPr>
          <w:rFonts w:ascii="Arial" w:eastAsiaTheme="minorEastAsia" w:hAnsi="Arial" w:cs="Arial"/>
          <w:lang w:eastAsia="en-GB"/>
        </w:rPr>
        <w:t>M</w:t>
      </w:r>
      <w:r w:rsidRPr="00D20738">
        <w:rPr>
          <w:rFonts w:ascii="Arial" w:eastAsiaTheme="minorEastAsia" w:hAnsi="Arial" w:cs="Arial"/>
          <w:lang w:eastAsia="en-GB"/>
        </w:rPr>
        <w:t xml:space="preserve">anager </w:t>
      </w:r>
      <w:r w:rsidR="003B70CF">
        <w:rPr>
          <w:rFonts w:ascii="Arial" w:eastAsiaTheme="minorEastAsia" w:hAnsi="Arial" w:cs="Arial"/>
          <w:lang w:eastAsia="en-GB"/>
        </w:rPr>
        <w:t>C</w:t>
      </w:r>
      <w:r w:rsidRPr="00D20738">
        <w:rPr>
          <w:rFonts w:ascii="Arial" w:eastAsiaTheme="minorEastAsia" w:hAnsi="Arial" w:cs="Arial"/>
          <w:lang w:eastAsia="en-GB"/>
        </w:rPr>
        <w:t>apability</w:t>
      </w:r>
      <w:bookmarkEnd w:id="11"/>
      <w:r w:rsidRPr="00D20738">
        <w:rPr>
          <w:rFonts w:ascii="Arial" w:eastAsiaTheme="minorEastAsia" w:hAnsi="Arial" w:cs="Arial"/>
          <w:lang w:eastAsia="en-GB"/>
        </w:rPr>
        <w:t xml:space="preserve"> </w:t>
      </w:r>
    </w:p>
    <w:p w14:paraId="09173F7E" w14:textId="23F323D4" w:rsidR="007A0D4F" w:rsidRPr="00D20738" w:rsidRDefault="007A0D4F" w:rsidP="00741AE9">
      <w:pPr>
        <w:spacing w:line="360" w:lineRule="auto"/>
        <w:jc w:val="both"/>
        <w:rPr>
          <w:rFonts w:ascii="Arial" w:eastAsiaTheme="minorEastAsia" w:hAnsi="Arial" w:cs="Arial"/>
          <w:b/>
          <w:bCs/>
          <w:color w:val="000000" w:themeColor="text1"/>
          <w:kern w:val="24"/>
          <w:sz w:val="24"/>
          <w:szCs w:val="24"/>
          <w:lang w:eastAsia="en-GB"/>
          <w14:ligatures w14:val="none"/>
        </w:rPr>
      </w:pPr>
      <w:r w:rsidRPr="00D20738">
        <w:rPr>
          <w:rFonts w:ascii="Arial" w:eastAsiaTheme="minorEastAsia" w:hAnsi="Arial" w:cs="Arial"/>
          <w:color w:val="000000" w:themeColor="text1"/>
          <w:kern w:val="24"/>
          <w:sz w:val="24"/>
          <w:szCs w:val="24"/>
          <w:lang w:eastAsia="en-GB"/>
          <w14:ligatures w14:val="none"/>
        </w:rPr>
        <w:t xml:space="preserve">Taylor and Perkins (2021) argue that cultural change requires a shift in behaviours and attitudes, with managers playing a pivotal role. Consistent with this, CIPD (2023) identifies managers as critical to influencing culture, performance, and organisational effectiveness. Therefore, investing in targeted training and ongoing support will enable managers to apply policies and procedures fairly, confidently and consistently, reducing Elmbridge’s </w:t>
      </w:r>
      <w:r w:rsidRPr="00D20738">
        <w:rPr>
          <w:rFonts w:ascii="Arial" w:eastAsia="Times New Roman" w:hAnsi="Arial" w:cs="Arial"/>
          <w:kern w:val="0"/>
          <w:sz w:val="24"/>
          <w:szCs w:val="24"/>
          <w:lang w:eastAsia="en-GB"/>
          <w14:ligatures w14:val="none"/>
        </w:rPr>
        <w:t xml:space="preserve">exposure to tribunal claims, additional financial penalties and reputational damage. </w:t>
      </w:r>
    </w:p>
    <w:p w14:paraId="5BEB6837" w14:textId="77777777"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Who:</w:t>
      </w:r>
      <w:r w:rsidRPr="00D20738">
        <w:rPr>
          <w:rFonts w:ascii="Arial" w:eastAsia="Times New Roman" w:hAnsi="Arial" w:cs="Arial"/>
          <w:kern w:val="0"/>
          <w:sz w:val="24"/>
          <w:szCs w:val="24"/>
          <w:lang w:eastAsia="en-GB"/>
          <w14:ligatures w14:val="none"/>
        </w:rPr>
        <w:t xml:space="preserve"> Training should be delivered to all managers, working from senior management through to those with supervisory responsibilities. </w:t>
      </w:r>
    </w:p>
    <w:p w14:paraId="7109DC98" w14:textId="77777777"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What:</w:t>
      </w:r>
      <w:r w:rsidRPr="00D20738">
        <w:rPr>
          <w:rFonts w:ascii="Arial" w:eastAsia="Times New Roman" w:hAnsi="Arial" w:cs="Arial"/>
          <w:kern w:val="0"/>
          <w:sz w:val="24"/>
          <w:szCs w:val="24"/>
          <w:lang w:eastAsia="en-GB"/>
          <w14:ligatures w14:val="none"/>
        </w:rPr>
        <w:t xml:space="preserve"> HR should provide Internal training to equip managers with the skills required to apply employment law consistently and fairly, alongside effectively handling complex employee relations issues in a timely and supportive manner. While also signposting to ACAS resources to offer continued support and guidance. </w:t>
      </w:r>
    </w:p>
    <w:p w14:paraId="2260B286" w14:textId="77777777"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When:</w:t>
      </w:r>
      <w:r w:rsidRPr="00D20738">
        <w:rPr>
          <w:rFonts w:ascii="Arial" w:eastAsia="Times New Roman" w:hAnsi="Arial" w:cs="Arial"/>
          <w:kern w:val="0"/>
          <w:sz w:val="24"/>
          <w:szCs w:val="24"/>
          <w:lang w:eastAsia="en-GB"/>
          <w14:ligatures w14:val="none"/>
        </w:rPr>
        <w:t xml:space="preserve"> This should be implemented within three to six months, with refresher training scheduled annually.</w:t>
      </w:r>
    </w:p>
    <w:p w14:paraId="72AD8988" w14:textId="77777777"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Cost:</w:t>
      </w:r>
      <w:r w:rsidRPr="00D20738">
        <w:rPr>
          <w:rFonts w:ascii="Arial" w:eastAsia="Times New Roman" w:hAnsi="Arial" w:cs="Arial"/>
          <w:kern w:val="0"/>
          <w:sz w:val="24"/>
          <w:szCs w:val="24"/>
          <w:lang w:eastAsia="en-GB"/>
          <w14:ligatures w14:val="none"/>
        </w:rPr>
        <w:t xml:space="preserve"> There will be no direct internal cost to Elmbridge as this training will be delivered in house, however it is advised managers attend 1-2 days training with annual refresher training which could be delivered across multiple sites virtually. </w:t>
      </w:r>
    </w:p>
    <w:p w14:paraId="068211DB" w14:textId="427274F7" w:rsidR="007A0D4F"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Measure:</w:t>
      </w:r>
      <w:r w:rsidRPr="00D20738">
        <w:rPr>
          <w:rFonts w:ascii="Arial" w:eastAsia="Times New Roman" w:hAnsi="Arial" w:cs="Arial"/>
          <w:kern w:val="0"/>
          <w:sz w:val="24"/>
          <w:szCs w:val="24"/>
          <w:lang w:eastAsia="en-GB"/>
          <w14:ligatures w14:val="none"/>
        </w:rPr>
        <w:t xml:space="preserve"> 100% compliance in management training, leading to reduced tribunal claims, reduction in formal grievances within a 12-month period, improved sickness rates and reduced escalation of issues for HR and senior leadership. </w:t>
      </w:r>
    </w:p>
    <w:p w14:paraId="249505B7" w14:textId="77777777" w:rsidR="008214CA" w:rsidRPr="00D20738" w:rsidRDefault="008214CA" w:rsidP="00741AE9">
      <w:pPr>
        <w:spacing w:line="360" w:lineRule="auto"/>
        <w:jc w:val="both"/>
        <w:rPr>
          <w:rFonts w:ascii="Arial" w:eastAsia="Times New Roman" w:hAnsi="Arial" w:cs="Arial"/>
          <w:kern w:val="0"/>
          <w:sz w:val="24"/>
          <w:szCs w:val="24"/>
          <w:lang w:eastAsia="en-GB"/>
          <w14:ligatures w14:val="none"/>
        </w:rPr>
      </w:pPr>
    </w:p>
    <w:p w14:paraId="46F3C451" w14:textId="290828D6" w:rsidR="007A0D4F" w:rsidRPr="00D20738" w:rsidRDefault="007A0D4F" w:rsidP="00741AE9">
      <w:pPr>
        <w:pStyle w:val="Heading2"/>
        <w:spacing w:line="360" w:lineRule="auto"/>
        <w:jc w:val="both"/>
        <w:rPr>
          <w:rFonts w:ascii="Arial" w:eastAsia="Times New Roman" w:hAnsi="Arial" w:cs="Arial"/>
          <w:lang w:eastAsia="en-GB"/>
        </w:rPr>
      </w:pPr>
      <w:bookmarkStart w:id="12" w:name="_Toc229418564"/>
      <w:r w:rsidRPr="00D20738">
        <w:rPr>
          <w:rFonts w:ascii="Arial" w:eastAsia="Times New Roman" w:hAnsi="Arial" w:cs="Arial"/>
          <w:lang w:eastAsia="en-GB"/>
        </w:rPr>
        <w:t xml:space="preserve">Review and </w:t>
      </w:r>
      <w:r w:rsidR="00FE72F7">
        <w:rPr>
          <w:rFonts w:ascii="Arial" w:eastAsia="Times New Roman" w:hAnsi="Arial" w:cs="Arial"/>
          <w:lang w:eastAsia="en-GB"/>
        </w:rPr>
        <w:t>S</w:t>
      </w:r>
      <w:r w:rsidRPr="00D20738">
        <w:rPr>
          <w:rFonts w:ascii="Arial" w:eastAsia="Times New Roman" w:hAnsi="Arial" w:cs="Arial"/>
          <w:lang w:eastAsia="en-GB"/>
        </w:rPr>
        <w:t xml:space="preserve">trengthen </w:t>
      </w:r>
      <w:r w:rsidR="003B70CF">
        <w:rPr>
          <w:rFonts w:ascii="Arial" w:eastAsia="Times New Roman" w:hAnsi="Arial" w:cs="Arial"/>
          <w:lang w:eastAsia="en-GB"/>
        </w:rPr>
        <w:t>G</w:t>
      </w:r>
      <w:r w:rsidRPr="00D20738">
        <w:rPr>
          <w:rFonts w:ascii="Arial" w:eastAsia="Times New Roman" w:hAnsi="Arial" w:cs="Arial"/>
          <w:lang w:eastAsia="en-GB"/>
        </w:rPr>
        <w:t xml:space="preserve">overnance and </w:t>
      </w:r>
      <w:r w:rsidR="003B70CF">
        <w:rPr>
          <w:rFonts w:ascii="Arial" w:eastAsia="Times New Roman" w:hAnsi="Arial" w:cs="Arial"/>
          <w:lang w:eastAsia="en-GB"/>
        </w:rPr>
        <w:t>P</w:t>
      </w:r>
      <w:r w:rsidRPr="00D20738">
        <w:rPr>
          <w:rFonts w:ascii="Arial" w:eastAsia="Times New Roman" w:hAnsi="Arial" w:cs="Arial"/>
          <w:lang w:eastAsia="en-GB"/>
        </w:rPr>
        <w:t xml:space="preserve">olicy </w:t>
      </w:r>
      <w:r w:rsidR="003B70CF">
        <w:rPr>
          <w:rFonts w:ascii="Arial" w:eastAsia="Times New Roman" w:hAnsi="Arial" w:cs="Arial"/>
          <w:lang w:eastAsia="en-GB"/>
        </w:rPr>
        <w:t>F</w:t>
      </w:r>
      <w:r w:rsidRPr="00D20738">
        <w:rPr>
          <w:rFonts w:ascii="Arial" w:eastAsia="Times New Roman" w:hAnsi="Arial" w:cs="Arial"/>
          <w:lang w:eastAsia="en-GB"/>
        </w:rPr>
        <w:t>rameworks</w:t>
      </w:r>
      <w:bookmarkEnd w:id="12"/>
    </w:p>
    <w:p w14:paraId="126FE844" w14:textId="595DA83D"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Well-designed policies and governance frameworks enable organisations to operationalise core values into defined behaviours that provide clarity, ensure consistent decision-making, enhance regulatory compliance to mitigate against legal risks (Yusuff, 2023). Considering the anticipated changes introduced by the Employment Rights Act 2025</w:t>
      </w:r>
      <w:r w:rsidR="00674711" w:rsidRPr="00D20738">
        <w:rPr>
          <w:rFonts w:ascii="Arial" w:eastAsia="Times New Roman" w:hAnsi="Arial" w:cs="Arial"/>
          <w:kern w:val="0"/>
          <w:sz w:val="24"/>
          <w:szCs w:val="24"/>
          <w:lang w:eastAsia="en-GB"/>
          <w14:ligatures w14:val="none"/>
        </w:rPr>
        <w:t>,</w:t>
      </w:r>
      <w:r w:rsidRPr="00D20738">
        <w:rPr>
          <w:rFonts w:ascii="Arial" w:eastAsia="Times New Roman" w:hAnsi="Arial" w:cs="Arial"/>
          <w:kern w:val="0"/>
          <w:sz w:val="24"/>
          <w:szCs w:val="24"/>
          <w:lang w:eastAsia="en-GB"/>
          <w14:ligatures w14:val="none"/>
        </w:rPr>
        <w:t xml:space="preserve"> Elbridge should review and strengthen current policies and governance frameworks, ensuring alignment and legal compliance. Reflecting on existing organisational challenges, Elbridge should prioritise strengthening policies relating to harassment, trade union relations and zero-hour contracts to reduce further legal exposure and financial penalties. Furthermore, ACAS Codes of Practice (2020) outline the standards for fair practice, and aligning with them will support the organisation’s ability to demonstrate compliance to reduce legal risk.</w:t>
      </w:r>
    </w:p>
    <w:p w14:paraId="6A2E2F40" w14:textId="7A648066"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Who/What:</w:t>
      </w:r>
      <w:r w:rsidRPr="00D20738">
        <w:rPr>
          <w:rFonts w:ascii="Arial" w:eastAsia="Times New Roman" w:hAnsi="Arial" w:cs="Arial"/>
          <w:kern w:val="0"/>
          <w:sz w:val="24"/>
          <w:szCs w:val="24"/>
          <w:lang w:eastAsia="en-GB"/>
          <w14:ligatures w14:val="none"/>
        </w:rPr>
        <w:t xml:space="preserve"> HR should review policies and strengthen procedures to ensure compliance with expected changes in the Employment Rights Act 2025 and reflect existing challenges, gaining approval from senior leads and communicating changes with managers.  </w:t>
      </w:r>
    </w:p>
    <w:p w14:paraId="08D78D16" w14:textId="77777777"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When:</w:t>
      </w:r>
      <w:r w:rsidRPr="00D20738">
        <w:rPr>
          <w:rFonts w:ascii="Arial" w:eastAsia="Times New Roman" w:hAnsi="Arial" w:cs="Arial"/>
          <w:kern w:val="0"/>
          <w:sz w:val="24"/>
          <w:szCs w:val="24"/>
          <w:lang w:eastAsia="en-GB"/>
          <w14:ligatures w14:val="none"/>
        </w:rPr>
        <w:t xml:space="preserve"> Policies should be reviewed and updated within 3-6 months, ensuring changes are communicated to managers to support them to be embedded effectively. </w:t>
      </w:r>
    </w:p>
    <w:p w14:paraId="504C2882" w14:textId="77777777"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Cost:</w:t>
      </w:r>
      <w:r w:rsidRPr="00D20738">
        <w:rPr>
          <w:rFonts w:ascii="Arial" w:eastAsia="Times New Roman" w:hAnsi="Arial" w:cs="Arial"/>
          <w:kern w:val="0"/>
          <w:sz w:val="24"/>
          <w:szCs w:val="24"/>
          <w:lang w:eastAsia="en-GB"/>
          <w14:ligatures w14:val="none"/>
        </w:rPr>
        <w:t xml:space="preserve"> Estimated 5-10 hours per policy for internal Senior HR lead and advisor resource. Additionally, managers will be expected to attend a training conducted by HR to support implementation.  </w:t>
      </w:r>
    </w:p>
    <w:p w14:paraId="14BAE0D1" w14:textId="77777777" w:rsidR="007A0D4F"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Measure:</w:t>
      </w:r>
      <w:r w:rsidRPr="00D20738">
        <w:rPr>
          <w:rFonts w:ascii="Arial" w:eastAsia="Times New Roman" w:hAnsi="Arial" w:cs="Arial"/>
          <w:kern w:val="0"/>
          <w:sz w:val="24"/>
          <w:szCs w:val="24"/>
          <w:lang w:eastAsia="en-GB"/>
          <w14:ligatures w14:val="none"/>
        </w:rPr>
        <w:t xml:space="preserve"> Ensuring 100% compliance of all policies and procedures being reviewed, updated and implemented to managers will reduce the number of tribunal cases, grievances and policy breaches. While strengthened management practices will positively impact sickness, turnover and organisational performance. </w:t>
      </w:r>
    </w:p>
    <w:p w14:paraId="2D2F1520" w14:textId="77777777" w:rsidR="008214CA" w:rsidRPr="00D20738" w:rsidRDefault="008214CA" w:rsidP="00741AE9">
      <w:pPr>
        <w:spacing w:line="360" w:lineRule="auto"/>
        <w:jc w:val="both"/>
        <w:rPr>
          <w:rFonts w:ascii="Arial" w:eastAsia="Times New Roman" w:hAnsi="Arial" w:cs="Arial"/>
          <w:kern w:val="0"/>
          <w:sz w:val="24"/>
          <w:szCs w:val="24"/>
          <w:lang w:eastAsia="en-GB"/>
          <w14:ligatures w14:val="none"/>
        </w:rPr>
      </w:pPr>
    </w:p>
    <w:p w14:paraId="604F6061" w14:textId="5E6B90ED" w:rsidR="007A0D4F" w:rsidRPr="00D20738" w:rsidRDefault="007A0D4F" w:rsidP="00741AE9">
      <w:pPr>
        <w:pStyle w:val="Heading2"/>
        <w:spacing w:line="360" w:lineRule="auto"/>
        <w:jc w:val="both"/>
        <w:rPr>
          <w:rFonts w:ascii="Arial" w:eastAsia="Times New Roman" w:hAnsi="Arial" w:cs="Arial"/>
          <w:lang w:eastAsia="en-GB"/>
        </w:rPr>
      </w:pPr>
      <w:bookmarkStart w:id="13" w:name="_Toc229418565"/>
      <w:r w:rsidRPr="00D20738">
        <w:rPr>
          <w:rFonts w:ascii="Arial" w:eastAsia="Times New Roman" w:hAnsi="Arial" w:cs="Arial"/>
          <w:lang w:eastAsia="en-GB"/>
        </w:rPr>
        <w:t xml:space="preserve">Strengthen Strategic </w:t>
      </w:r>
      <w:r w:rsidR="00B829B8">
        <w:rPr>
          <w:rFonts w:ascii="Arial" w:eastAsia="Times New Roman" w:hAnsi="Arial" w:cs="Arial"/>
          <w:lang w:eastAsia="en-GB"/>
        </w:rPr>
        <w:t>W</w:t>
      </w:r>
      <w:r w:rsidRPr="00D20738">
        <w:rPr>
          <w:rFonts w:ascii="Arial" w:eastAsia="Times New Roman" w:hAnsi="Arial" w:cs="Arial"/>
          <w:lang w:eastAsia="en-GB"/>
        </w:rPr>
        <w:t>orkforce Planning</w:t>
      </w:r>
      <w:bookmarkEnd w:id="13"/>
    </w:p>
    <w:p w14:paraId="60315AC1" w14:textId="74127EFC"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CIPD (2025</w:t>
      </w:r>
      <w:r w:rsidR="002A0FF9" w:rsidRPr="00D20738">
        <w:rPr>
          <w:rFonts w:ascii="Arial" w:eastAsia="Times New Roman" w:hAnsi="Arial" w:cs="Arial"/>
          <w:kern w:val="0"/>
          <w:sz w:val="24"/>
          <w:szCs w:val="24"/>
          <w:lang w:eastAsia="en-GB"/>
          <w14:ligatures w14:val="none"/>
        </w:rPr>
        <w:t>f</w:t>
      </w:r>
      <w:r w:rsidRPr="00D20738">
        <w:rPr>
          <w:rFonts w:ascii="Arial" w:eastAsia="Times New Roman" w:hAnsi="Arial" w:cs="Arial"/>
          <w:kern w:val="0"/>
          <w:sz w:val="24"/>
          <w:szCs w:val="24"/>
          <w:lang w:eastAsia="en-GB"/>
          <w14:ligatures w14:val="none"/>
        </w:rPr>
        <w:t>) believe strategic workforce planning is essential to aligning organisational needs and people strategy, supporting evidence-based decision-</w:t>
      </w:r>
      <w:r w:rsidRPr="00D20738">
        <w:rPr>
          <w:rFonts w:ascii="Arial" w:eastAsia="Times New Roman" w:hAnsi="Arial" w:cs="Arial"/>
          <w:kern w:val="0"/>
          <w:sz w:val="24"/>
          <w:szCs w:val="24"/>
          <w:lang w:eastAsia="en-GB"/>
          <w14:ligatures w14:val="none"/>
        </w:rPr>
        <w:lastRenderedPageBreak/>
        <w:t xml:space="preserve">making to minimise risk and encourage long-term workforce sustainability. Elmbridge would benefit from adopting a more strategic approach to workforce planning, becoming more proactive rather than reactive to workforce challenges. Adopting this approach will allow the organisation to anticipate and manage change more effectively, reducing legal and employee relation risks. </w:t>
      </w:r>
    </w:p>
    <w:p w14:paraId="60737F12" w14:textId="77777777"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Who/What:</w:t>
      </w:r>
      <w:r w:rsidRPr="00D20738">
        <w:rPr>
          <w:rFonts w:ascii="Arial" w:eastAsia="Times New Roman" w:hAnsi="Arial" w:cs="Arial"/>
          <w:kern w:val="0"/>
          <w:sz w:val="24"/>
          <w:szCs w:val="24"/>
          <w:lang w:eastAsia="en-GB"/>
          <w14:ligatures w14:val="none"/>
        </w:rPr>
        <w:t xml:space="preserve"> HR, senior management and line managers will need to analyse workforce data to scope current establishments, skills, capacity, demand and supply to identify gaps between current and future workforce needs.  </w:t>
      </w:r>
    </w:p>
    <w:p w14:paraId="49DEB107" w14:textId="77777777"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When:</w:t>
      </w:r>
      <w:r w:rsidRPr="00D20738">
        <w:rPr>
          <w:rFonts w:ascii="Arial" w:eastAsia="Times New Roman" w:hAnsi="Arial" w:cs="Arial"/>
          <w:kern w:val="0"/>
          <w:sz w:val="24"/>
          <w:szCs w:val="24"/>
          <w:lang w:eastAsia="en-GB"/>
          <w14:ligatures w14:val="none"/>
        </w:rPr>
        <w:t xml:space="preserve"> Data should take a few months to collate and analyse, gaining additional information from line managers to develop detailed insights. Followed by 3-6 months to develop, action and review a workforce plan. </w:t>
      </w:r>
    </w:p>
    <w:p w14:paraId="7F3A2B10" w14:textId="77777777"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Cost:</w:t>
      </w:r>
      <w:r w:rsidRPr="00D20738">
        <w:rPr>
          <w:rFonts w:ascii="Arial" w:eastAsia="Times New Roman" w:hAnsi="Arial" w:cs="Arial"/>
          <w:kern w:val="0"/>
          <w:sz w:val="24"/>
          <w:szCs w:val="24"/>
          <w:lang w:eastAsia="en-GB"/>
          <w14:ligatures w14:val="none"/>
        </w:rPr>
        <w:t xml:space="preserve"> Approximately 10 hours a month of HR and management resources will be required to collate and review data, enabling the development and review of a workforce plan and key actions.  </w:t>
      </w:r>
    </w:p>
    <w:p w14:paraId="4E26E5F4" w14:textId="6FA07705"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Measure:</w:t>
      </w:r>
      <w:r w:rsidRPr="00D20738">
        <w:rPr>
          <w:rFonts w:ascii="Arial" w:eastAsia="Times New Roman" w:hAnsi="Arial" w:cs="Arial"/>
          <w:kern w:val="0"/>
          <w:sz w:val="24"/>
          <w:szCs w:val="24"/>
          <w:lang w:eastAsia="en-GB"/>
          <w14:ligatures w14:val="none"/>
        </w:rPr>
        <w:t xml:space="preserve"> Workforce planning should allow more informed decision-making, enhancing workforce sustainable and reducing tribunal risk. </w:t>
      </w:r>
    </w:p>
    <w:p w14:paraId="45509782" w14:textId="77777777" w:rsidR="007A0D4F" w:rsidRPr="00D20738" w:rsidRDefault="007A0D4F" w:rsidP="00741AE9">
      <w:pPr>
        <w:spacing w:after="0" w:line="360" w:lineRule="auto"/>
        <w:ind w:left="720"/>
        <w:contextualSpacing/>
        <w:jc w:val="both"/>
        <w:rPr>
          <w:rFonts w:ascii="Arial" w:eastAsia="Times New Roman" w:hAnsi="Arial" w:cs="Arial"/>
          <w:b/>
          <w:bCs/>
          <w:kern w:val="0"/>
          <w:sz w:val="24"/>
          <w:szCs w:val="24"/>
          <w:lang w:eastAsia="en-GB"/>
          <w14:ligatures w14:val="none"/>
        </w:rPr>
      </w:pPr>
    </w:p>
    <w:p w14:paraId="5819833E" w14:textId="47354F25" w:rsidR="007A0D4F" w:rsidRPr="00D20738" w:rsidRDefault="00E75E50" w:rsidP="00741AE9">
      <w:pPr>
        <w:pStyle w:val="Heading1"/>
        <w:spacing w:line="360" w:lineRule="auto"/>
        <w:jc w:val="both"/>
        <w:rPr>
          <w:rFonts w:ascii="Arial" w:eastAsia="Arial" w:hAnsi="Arial" w:cs="Arial"/>
          <w:sz w:val="24"/>
          <w:szCs w:val="24"/>
        </w:rPr>
      </w:pPr>
      <w:bookmarkStart w:id="14" w:name="_Toc229418566"/>
      <w:r w:rsidRPr="00D20738">
        <w:rPr>
          <w:rFonts w:ascii="Arial" w:eastAsiaTheme="minorEastAsia" w:hAnsi="Arial" w:cs="Arial"/>
          <w:lang w:val="en-US" w:eastAsia="en-GB"/>
        </w:rPr>
        <w:t>M</w:t>
      </w:r>
      <w:r w:rsidR="007A0D4F" w:rsidRPr="00D20738">
        <w:rPr>
          <w:rFonts w:ascii="Arial" w:eastAsiaTheme="minorEastAsia" w:hAnsi="Arial" w:cs="Arial"/>
          <w:lang w:val="en-US" w:eastAsia="en-GB"/>
        </w:rPr>
        <w:t xml:space="preserve">oving </w:t>
      </w:r>
      <w:r w:rsidR="00B829B8">
        <w:rPr>
          <w:rFonts w:ascii="Arial" w:eastAsiaTheme="minorEastAsia" w:hAnsi="Arial" w:cs="Arial"/>
          <w:lang w:val="en-US" w:eastAsia="en-GB"/>
        </w:rPr>
        <w:t>B</w:t>
      </w:r>
      <w:r w:rsidR="007A0D4F" w:rsidRPr="00D20738">
        <w:rPr>
          <w:rFonts w:ascii="Arial" w:eastAsiaTheme="minorEastAsia" w:hAnsi="Arial" w:cs="Arial"/>
          <w:lang w:val="en-US" w:eastAsia="en-GB"/>
        </w:rPr>
        <w:t xml:space="preserve">eyond </w:t>
      </w:r>
      <w:r w:rsidRPr="00D20738">
        <w:rPr>
          <w:rFonts w:ascii="Arial" w:eastAsiaTheme="minorEastAsia" w:hAnsi="Arial" w:cs="Arial"/>
          <w:lang w:val="en-US" w:eastAsia="en-GB"/>
        </w:rPr>
        <w:t>C</w:t>
      </w:r>
      <w:r w:rsidR="007A0D4F" w:rsidRPr="00D20738">
        <w:rPr>
          <w:rFonts w:ascii="Arial" w:eastAsiaTheme="minorEastAsia" w:hAnsi="Arial" w:cs="Arial"/>
          <w:lang w:val="en-US" w:eastAsia="en-GB"/>
        </w:rPr>
        <w:t>ompliance</w:t>
      </w:r>
      <w:bookmarkEnd w:id="14"/>
      <w:r w:rsidR="007A0D4F" w:rsidRPr="00D20738">
        <w:rPr>
          <w:rFonts w:ascii="Arial" w:eastAsiaTheme="minorEastAsia" w:hAnsi="Arial" w:cs="Arial"/>
          <w:lang w:val="en-US" w:eastAsia="en-GB"/>
        </w:rPr>
        <w:t xml:space="preserve"> </w:t>
      </w:r>
    </w:p>
    <w:p w14:paraId="65CCC241" w14:textId="40CC3456" w:rsidR="007A0D4F" w:rsidRPr="00D20738" w:rsidRDefault="007A0D4F" w:rsidP="00741AE9">
      <w:pPr>
        <w:spacing w:after="0" w:line="360" w:lineRule="auto"/>
        <w:jc w:val="both"/>
        <w:rPr>
          <w:rFonts w:ascii="Arial" w:eastAsia="Arial" w:hAnsi="Arial" w:cs="Arial"/>
          <w:sz w:val="24"/>
          <w:szCs w:val="24"/>
        </w:rPr>
      </w:pPr>
      <w:r w:rsidRPr="00D20738">
        <w:rPr>
          <w:rFonts w:ascii="Arial" w:eastAsia="Arial" w:hAnsi="Arial" w:cs="Arial"/>
          <w:sz w:val="24"/>
          <w:szCs w:val="24"/>
        </w:rPr>
        <w:t>Elbridge would currently be described as “near compliance”, however adopting an approach that moves beyond compliance will enable the organisation to become more proactive towards people management, supporting Good Work principles that enhance both employee experience and organisational performance (CIPD, 2025</w:t>
      </w:r>
      <w:r w:rsidR="00EC7CCF" w:rsidRPr="00D20738">
        <w:rPr>
          <w:rFonts w:ascii="Arial" w:eastAsia="Arial" w:hAnsi="Arial" w:cs="Arial"/>
          <w:sz w:val="24"/>
          <w:szCs w:val="24"/>
        </w:rPr>
        <w:t>d</w:t>
      </w:r>
      <w:r w:rsidRPr="00D20738">
        <w:rPr>
          <w:rFonts w:ascii="Arial" w:eastAsia="Arial" w:hAnsi="Arial" w:cs="Arial"/>
          <w:sz w:val="24"/>
          <w:szCs w:val="24"/>
        </w:rPr>
        <w:t>). Additionally, strengthening the psychological contract will positively influence job satisfaction, attitude, behaviours and performance outcomes by aligning employee and organisational expectations, while fostering a culture of trust, fairness, openness and meaningful employee voice (Mullins</w:t>
      </w:r>
      <w:r w:rsidR="000F357C" w:rsidRPr="00D20738">
        <w:rPr>
          <w:rFonts w:ascii="Arial" w:eastAsia="Arial" w:hAnsi="Arial" w:cs="Arial"/>
          <w:sz w:val="24"/>
          <w:szCs w:val="24"/>
        </w:rPr>
        <w:t xml:space="preserve"> and Rees</w:t>
      </w:r>
      <w:r w:rsidRPr="00D20738">
        <w:rPr>
          <w:rFonts w:ascii="Arial" w:eastAsia="Arial" w:hAnsi="Arial" w:cs="Arial"/>
          <w:sz w:val="24"/>
          <w:szCs w:val="24"/>
        </w:rPr>
        <w:t xml:space="preserve">, 2019). With the appointment of a new CEO, strengthening the psychological contacts presents a strategic opportunity to address previous workforce challenges and proactively embed a culture aligned to Good Work principles. </w:t>
      </w:r>
    </w:p>
    <w:p w14:paraId="7B45248E" w14:textId="77777777" w:rsidR="007A0D4F" w:rsidRPr="00D20738" w:rsidRDefault="007A0D4F" w:rsidP="00741AE9">
      <w:pPr>
        <w:spacing w:after="0" w:line="360" w:lineRule="auto"/>
        <w:jc w:val="both"/>
        <w:rPr>
          <w:rFonts w:ascii="Arial" w:eastAsia="Arial" w:hAnsi="Arial" w:cs="Arial"/>
          <w:sz w:val="24"/>
          <w:szCs w:val="24"/>
        </w:rPr>
      </w:pPr>
    </w:p>
    <w:p w14:paraId="26985FD6" w14:textId="219AB6C2" w:rsidR="007A0D4F" w:rsidRPr="00D20738" w:rsidRDefault="007A0D4F" w:rsidP="00741AE9">
      <w:pPr>
        <w:spacing w:after="0" w:line="360" w:lineRule="auto"/>
        <w:jc w:val="both"/>
        <w:rPr>
          <w:rFonts w:ascii="Arial" w:eastAsia="Arial" w:hAnsi="Arial" w:cs="Arial"/>
          <w:sz w:val="24"/>
          <w:szCs w:val="24"/>
        </w:rPr>
      </w:pPr>
      <w:r w:rsidRPr="00D20738">
        <w:rPr>
          <w:rFonts w:ascii="Arial" w:eastAsia="Arial" w:hAnsi="Arial" w:cs="Arial"/>
          <w:sz w:val="24"/>
          <w:szCs w:val="24"/>
        </w:rPr>
        <w:lastRenderedPageBreak/>
        <w:t xml:space="preserve">As responding to legal risk requires a shift to a more strategic focus, reinforcing psychological contacts and alignment to Good Work principles, it is critical equality, employee voice and job security are considered. While </w:t>
      </w:r>
      <w:r w:rsidR="00036F8F" w:rsidRPr="0039018B">
        <w:rPr>
          <w:rFonts w:ascii="Arial" w:eastAsia="Arial" w:hAnsi="Arial" w:cs="Arial"/>
          <w:sz w:val="24"/>
          <w:szCs w:val="24"/>
        </w:rPr>
        <w:t>T</w:t>
      </w:r>
      <w:r w:rsidRPr="0039018B">
        <w:rPr>
          <w:rFonts w:ascii="Arial" w:eastAsia="Arial" w:hAnsi="Arial" w:cs="Arial"/>
          <w:sz w:val="24"/>
          <w:szCs w:val="24"/>
        </w:rPr>
        <w:t>he Equality Act 2010</w:t>
      </w:r>
      <w:r w:rsidRPr="00D20738">
        <w:rPr>
          <w:rFonts w:ascii="Arial" w:eastAsia="Arial" w:hAnsi="Arial" w:cs="Arial"/>
          <w:sz w:val="24"/>
          <w:szCs w:val="24"/>
        </w:rPr>
        <w:t xml:space="preserve"> outlines a statutory framework to prevent harassment and support reasonable adjustments, adopting a minimal compliance approach could expose Elmbridge to further legal risks. Additionally utilising contractual arrangements that offer less security, such as zero-hour contracts could heighten organisational risk by lacking transparency and undermining fairness. </w:t>
      </w:r>
    </w:p>
    <w:p w14:paraId="3EA15F25" w14:textId="77777777" w:rsidR="007A0D4F" w:rsidRPr="00D20738" w:rsidRDefault="007A0D4F" w:rsidP="00741AE9">
      <w:pPr>
        <w:spacing w:after="0" w:line="360" w:lineRule="auto"/>
        <w:jc w:val="both"/>
        <w:rPr>
          <w:rFonts w:ascii="Arial" w:eastAsia="Arial" w:hAnsi="Arial" w:cs="Arial"/>
          <w:sz w:val="24"/>
          <w:szCs w:val="24"/>
        </w:rPr>
      </w:pPr>
    </w:p>
    <w:p w14:paraId="4FCBF671" w14:textId="5C8D507F" w:rsidR="007A0D4F" w:rsidRPr="00D20738" w:rsidRDefault="007A0D4F" w:rsidP="00741AE9">
      <w:pPr>
        <w:spacing w:after="0" w:line="360" w:lineRule="auto"/>
        <w:jc w:val="both"/>
        <w:rPr>
          <w:rFonts w:ascii="Arial" w:eastAsia="Arial" w:hAnsi="Arial" w:cs="Arial"/>
          <w:sz w:val="24"/>
          <w:szCs w:val="24"/>
        </w:rPr>
      </w:pPr>
      <w:r w:rsidRPr="00D20738">
        <w:rPr>
          <w:rFonts w:ascii="Arial" w:eastAsia="Arial" w:hAnsi="Arial" w:cs="Arial"/>
          <w:sz w:val="24"/>
          <w:szCs w:val="24"/>
        </w:rPr>
        <w:t>The CIPD Good Work Index (2025</w:t>
      </w:r>
      <w:r w:rsidR="00570961" w:rsidRPr="00D20738">
        <w:rPr>
          <w:rFonts w:ascii="Arial" w:eastAsia="Arial" w:hAnsi="Arial" w:cs="Arial"/>
          <w:sz w:val="24"/>
          <w:szCs w:val="24"/>
        </w:rPr>
        <w:t>d</w:t>
      </w:r>
      <w:r w:rsidRPr="00D20738">
        <w:rPr>
          <w:rFonts w:ascii="Arial" w:eastAsia="Arial" w:hAnsi="Arial" w:cs="Arial"/>
          <w:sz w:val="24"/>
          <w:szCs w:val="24"/>
        </w:rPr>
        <w:t xml:space="preserve">) reported significant dissatisfaction for those on zero-hour contracts, indicating a need for improvement. With a substantial proportion of the workforce on these contracts, and in response to the expected changes under </w:t>
      </w:r>
      <w:r w:rsidR="00002472" w:rsidRPr="0039018B">
        <w:rPr>
          <w:rFonts w:ascii="Arial" w:eastAsia="Arial" w:hAnsi="Arial" w:cs="Arial"/>
          <w:sz w:val="24"/>
          <w:szCs w:val="24"/>
        </w:rPr>
        <w:t>T</w:t>
      </w:r>
      <w:r w:rsidRPr="0039018B">
        <w:rPr>
          <w:rFonts w:ascii="Arial" w:eastAsia="Arial" w:hAnsi="Arial" w:cs="Arial"/>
          <w:sz w:val="24"/>
          <w:szCs w:val="24"/>
        </w:rPr>
        <w:t>he Employment Rights Act 2025</w:t>
      </w:r>
      <w:r w:rsidRPr="00D20738">
        <w:rPr>
          <w:rFonts w:ascii="Arial" w:eastAsia="Arial" w:hAnsi="Arial" w:cs="Arial"/>
          <w:sz w:val="24"/>
          <w:szCs w:val="24"/>
        </w:rPr>
        <w:t xml:space="preserve"> aimed at strengthening workers’ rights, the organisation has an opportunity to adopt more inclusive and transparent contract practices. Furthermore, adopting proactive cultural interventions, such as leadership accountability, inclusive policies and effective reporting systems will reinforce psychological contracts, driving higher levels of engagement and motivation. Consequently, these interventions should not only mitigate workplace conflict but also supports improved organisational performance (ACAS, 2022; CIPD, 2025</w:t>
      </w:r>
      <w:r w:rsidR="00470559" w:rsidRPr="00D20738">
        <w:rPr>
          <w:rFonts w:ascii="Arial" w:eastAsia="Arial" w:hAnsi="Arial" w:cs="Arial"/>
          <w:sz w:val="24"/>
          <w:szCs w:val="24"/>
        </w:rPr>
        <w:t>b</w:t>
      </w:r>
      <w:r w:rsidRPr="00D20738">
        <w:rPr>
          <w:rFonts w:ascii="Arial" w:eastAsia="Arial" w:hAnsi="Arial" w:cs="Arial"/>
          <w:sz w:val="24"/>
          <w:szCs w:val="24"/>
        </w:rPr>
        <w:t xml:space="preserve">).  </w:t>
      </w:r>
    </w:p>
    <w:p w14:paraId="5EBA2B62" w14:textId="77777777" w:rsidR="007A0D4F" w:rsidRPr="00D20738" w:rsidRDefault="007A0D4F" w:rsidP="00741AE9">
      <w:pPr>
        <w:spacing w:after="0" w:line="360" w:lineRule="auto"/>
        <w:jc w:val="both"/>
        <w:rPr>
          <w:rFonts w:ascii="Arial" w:eastAsia="Arial" w:hAnsi="Arial" w:cs="Arial"/>
          <w:b/>
          <w:bCs/>
          <w:sz w:val="24"/>
          <w:szCs w:val="24"/>
        </w:rPr>
      </w:pPr>
    </w:p>
    <w:p w14:paraId="271F42BE" w14:textId="34452323" w:rsidR="007A0D4F" w:rsidRPr="00D20738" w:rsidRDefault="007A0D4F" w:rsidP="00741AE9">
      <w:pPr>
        <w:spacing w:after="0" w:line="360" w:lineRule="auto"/>
        <w:jc w:val="both"/>
        <w:rPr>
          <w:rFonts w:ascii="Arial" w:eastAsia="Arial" w:hAnsi="Arial" w:cs="Arial"/>
          <w:sz w:val="24"/>
          <w:szCs w:val="24"/>
        </w:rPr>
      </w:pPr>
      <w:r w:rsidRPr="00D20738">
        <w:rPr>
          <w:rFonts w:ascii="Arial" w:eastAsia="Arial" w:hAnsi="Arial" w:cs="Arial"/>
          <w:sz w:val="24"/>
          <w:szCs w:val="24"/>
        </w:rPr>
        <w:t>Similarly, adopting a proactive approach to managing organisational change and workforce conflict will mitigate legal risk and further financial penalties. Engaging with trade unions is critical for the organisation to move beyond compliance and work collaboratively to reduce the risk of future disputes. The Good Work Index (2025</w:t>
      </w:r>
      <w:r w:rsidR="00570961" w:rsidRPr="00D20738">
        <w:rPr>
          <w:rFonts w:ascii="Arial" w:eastAsia="Arial" w:hAnsi="Arial" w:cs="Arial"/>
          <w:sz w:val="24"/>
          <w:szCs w:val="24"/>
        </w:rPr>
        <w:t>d</w:t>
      </w:r>
      <w:r w:rsidRPr="00D20738">
        <w:rPr>
          <w:rFonts w:ascii="Arial" w:eastAsia="Arial" w:hAnsi="Arial" w:cs="Arial"/>
          <w:sz w:val="24"/>
          <w:szCs w:val="24"/>
        </w:rPr>
        <w:t>) found that over 20% of workers have access to a trade union representatives, allowing them to communicate their views to senior management, supporting employee voice and enhancing organisational trust. Moreover, CIPD (202</w:t>
      </w:r>
      <w:r w:rsidR="00AC1A81" w:rsidRPr="00D20738">
        <w:rPr>
          <w:rFonts w:ascii="Arial" w:eastAsia="Arial" w:hAnsi="Arial" w:cs="Arial"/>
          <w:sz w:val="24"/>
          <w:szCs w:val="24"/>
        </w:rPr>
        <w:t>6c</w:t>
      </w:r>
      <w:r w:rsidRPr="00D20738">
        <w:rPr>
          <w:rFonts w:ascii="Arial" w:eastAsia="Arial" w:hAnsi="Arial" w:cs="Arial"/>
          <w:sz w:val="24"/>
          <w:szCs w:val="24"/>
        </w:rPr>
        <w:t xml:space="preserve">) encourages a partnership-based approach, especially when it comes to trade unions, recommending engagement when recognition is requested. </w:t>
      </w:r>
    </w:p>
    <w:p w14:paraId="75503B54" w14:textId="77777777" w:rsidR="007A0D4F" w:rsidRPr="00D20738" w:rsidRDefault="007A0D4F" w:rsidP="00741AE9">
      <w:pPr>
        <w:spacing w:after="0" w:line="360" w:lineRule="auto"/>
        <w:jc w:val="both"/>
        <w:rPr>
          <w:rFonts w:ascii="Arial" w:eastAsia="Arial" w:hAnsi="Arial" w:cs="Arial"/>
          <w:sz w:val="24"/>
          <w:szCs w:val="24"/>
        </w:rPr>
      </w:pPr>
    </w:p>
    <w:p w14:paraId="2200EA39" w14:textId="4E65923E" w:rsidR="007A0D4F" w:rsidRPr="00D20738" w:rsidRDefault="007A0D4F" w:rsidP="00741AE9">
      <w:pPr>
        <w:spacing w:after="0" w:line="360" w:lineRule="auto"/>
        <w:jc w:val="both"/>
        <w:rPr>
          <w:rFonts w:ascii="Arial" w:eastAsia="Arial" w:hAnsi="Arial" w:cs="Arial"/>
          <w:sz w:val="24"/>
          <w:szCs w:val="24"/>
        </w:rPr>
      </w:pPr>
      <w:r w:rsidRPr="00D20738">
        <w:rPr>
          <w:rFonts w:ascii="Arial" w:eastAsia="Arial" w:hAnsi="Arial" w:cs="Arial"/>
          <w:sz w:val="24"/>
          <w:szCs w:val="24"/>
        </w:rPr>
        <w:t>Proactive engagement will also allow Elmbridge to build agreements based on mutual understanding, strengthening relationships between managers, union representatives and workers, fostering an employee-centred culture that enhances job quality, performance and trust. Furthermore, e</w:t>
      </w:r>
      <w:r w:rsidRPr="00D20738">
        <w:rPr>
          <w:rFonts w:ascii="Arial" w:hAnsi="Arial" w:cs="Arial"/>
          <w:sz w:val="24"/>
          <w:szCs w:val="24"/>
        </w:rPr>
        <w:t xml:space="preserve">arly engagement and transparent </w:t>
      </w:r>
      <w:r w:rsidRPr="00D20738">
        <w:rPr>
          <w:rFonts w:ascii="Arial" w:hAnsi="Arial" w:cs="Arial"/>
          <w:sz w:val="24"/>
          <w:szCs w:val="24"/>
        </w:rPr>
        <w:lastRenderedPageBreak/>
        <w:t xml:space="preserve">communication help shape outcomes, minimise resistance and avoid costly disputes, while maintaining stability during periods of transition </w:t>
      </w:r>
      <w:r w:rsidRPr="00D20738">
        <w:rPr>
          <w:rFonts w:ascii="Arial" w:eastAsia="Arial" w:hAnsi="Arial" w:cs="Arial"/>
          <w:sz w:val="24"/>
          <w:szCs w:val="24"/>
        </w:rPr>
        <w:t>(CIPD, 2025</w:t>
      </w:r>
      <w:r w:rsidR="00C22CED" w:rsidRPr="00D20738">
        <w:rPr>
          <w:rFonts w:ascii="Arial" w:eastAsia="Arial" w:hAnsi="Arial" w:cs="Arial"/>
          <w:sz w:val="24"/>
          <w:szCs w:val="24"/>
        </w:rPr>
        <w:t>c</w:t>
      </w:r>
      <w:r w:rsidRPr="00D20738">
        <w:rPr>
          <w:rFonts w:ascii="Arial" w:eastAsia="Arial" w:hAnsi="Arial" w:cs="Arial"/>
          <w:sz w:val="24"/>
          <w:szCs w:val="24"/>
        </w:rPr>
        <w:t>).</w:t>
      </w:r>
    </w:p>
    <w:p w14:paraId="182644FB" w14:textId="77777777" w:rsidR="007A0D4F" w:rsidRPr="00D20738" w:rsidRDefault="007A0D4F" w:rsidP="00741AE9">
      <w:pPr>
        <w:spacing w:after="0" w:line="360" w:lineRule="auto"/>
        <w:jc w:val="both"/>
        <w:rPr>
          <w:rFonts w:ascii="Arial" w:eastAsia="Arial" w:hAnsi="Arial" w:cs="Arial"/>
          <w:b/>
          <w:bCs/>
          <w:sz w:val="24"/>
          <w:szCs w:val="24"/>
        </w:rPr>
      </w:pPr>
    </w:p>
    <w:p w14:paraId="0F311479" w14:textId="239150A2" w:rsidR="007A0D4F" w:rsidRPr="00D20738" w:rsidRDefault="007A0D4F" w:rsidP="00741AE9">
      <w:pPr>
        <w:spacing w:after="0" w:line="360" w:lineRule="auto"/>
        <w:jc w:val="both"/>
        <w:rPr>
          <w:rFonts w:ascii="Arial" w:eastAsia="Arial" w:hAnsi="Arial" w:cs="Arial"/>
          <w:sz w:val="24"/>
          <w:szCs w:val="24"/>
        </w:rPr>
      </w:pPr>
      <w:r w:rsidRPr="00D20738">
        <w:rPr>
          <w:rFonts w:ascii="Arial" w:eastAsia="Arial" w:hAnsi="Arial" w:cs="Arial"/>
          <w:sz w:val="24"/>
          <w:szCs w:val="24"/>
        </w:rPr>
        <w:t>The Good Work Index (2025</w:t>
      </w:r>
      <w:r w:rsidR="00C22CED" w:rsidRPr="00D20738">
        <w:rPr>
          <w:rFonts w:ascii="Arial" w:eastAsia="Arial" w:hAnsi="Arial" w:cs="Arial"/>
          <w:sz w:val="24"/>
          <w:szCs w:val="24"/>
        </w:rPr>
        <w:t>d</w:t>
      </w:r>
      <w:r w:rsidRPr="00D20738">
        <w:rPr>
          <w:rFonts w:ascii="Arial" w:eastAsia="Arial" w:hAnsi="Arial" w:cs="Arial"/>
          <w:sz w:val="24"/>
          <w:szCs w:val="24"/>
        </w:rPr>
        <w:t>) emphasises the significance of effective line management, demonstrating positive attitudes of line managers are linked to enhanced employee performance, better wellbeing and improved retention outcomes. Moreover, only 60% of managers reported receiving adequate training to manage people effectively, highlighting a significant capability gap that reinforces the need for targeted investment in management development (CIPD, 2025</w:t>
      </w:r>
      <w:r w:rsidR="00FF4D17" w:rsidRPr="00D20738">
        <w:rPr>
          <w:rFonts w:ascii="Arial" w:eastAsia="Arial" w:hAnsi="Arial" w:cs="Arial"/>
          <w:sz w:val="24"/>
          <w:szCs w:val="24"/>
        </w:rPr>
        <w:t>d</w:t>
      </w:r>
      <w:r w:rsidRPr="00D20738">
        <w:rPr>
          <w:rFonts w:ascii="Arial" w:eastAsia="Arial" w:hAnsi="Arial" w:cs="Arial"/>
          <w:sz w:val="24"/>
          <w:szCs w:val="24"/>
        </w:rPr>
        <w:t xml:space="preserve">). Consequently, developing managerial capability is fundamental to moving beyond compliance and embedding Good Work principles. </w:t>
      </w:r>
    </w:p>
    <w:p w14:paraId="472F8DF5" w14:textId="77777777" w:rsidR="007A0D4F" w:rsidRPr="00D20738" w:rsidRDefault="007A0D4F" w:rsidP="00741AE9">
      <w:pPr>
        <w:spacing w:after="0" w:line="360" w:lineRule="auto"/>
        <w:contextualSpacing/>
        <w:jc w:val="both"/>
        <w:rPr>
          <w:rFonts w:ascii="Arial" w:eastAsia="Times New Roman" w:hAnsi="Arial" w:cs="Arial"/>
          <w:kern w:val="0"/>
          <w:sz w:val="24"/>
          <w:szCs w:val="24"/>
          <w:lang w:eastAsia="en-GB"/>
          <w14:ligatures w14:val="none"/>
        </w:rPr>
      </w:pPr>
    </w:p>
    <w:p w14:paraId="081169E8" w14:textId="77777777" w:rsidR="00D92E87" w:rsidRPr="00D20738" w:rsidRDefault="00D92E87" w:rsidP="00741AE9">
      <w:pPr>
        <w:pStyle w:val="Heading1"/>
        <w:spacing w:line="360" w:lineRule="auto"/>
        <w:jc w:val="both"/>
        <w:rPr>
          <w:rFonts w:ascii="Arial" w:eastAsia="Times New Roman" w:hAnsi="Arial" w:cs="Arial"/>
          <w:lang w:eastAsia="en-GB"/>
        </w:rPr>
      </w:pPr>
      <w:bookmarkStart w:id="15" w:name="_Toc229418567"/>
      <w:r w:rsidRPr="00D20738">
        <w:rPr>
          <w:rFonts w:ascii="Arial" w:eastAsia="Times New Roman" w:hAnsi="Arial" w:cs="Arial"/>
          <w:lang w:eastAsia="en-GB"/>
        </w:rPr>
        <w:t>Conclusion</w:t>
      </w:r>
      <w:bookmarkEnd w:id="15"/>
    </w:p>
    <w:p w14:paraId="3F857BA0" w14:textId="2B7A2605" w:rsidR="003A7E9E" w:rsidRPr="007636E8" w:rsidRDefault="003A7E9E" w:rsidP="00741AE9">
      <w:pPr>
        <w:spacing w:after="0" w:line="360" w:lineRule="auto"/>
        <w:contextualSpacing/>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 xml:space="preserve">Elmbridge </w:t>
      </w:r>
      <w:r w:rsidR="001A0DCA" w:rsidRPr="00D20738">
        <w:rPr>
          <w:rFonts w:ascii="Arial" w:eastAsia="Times New Roman" w:hAnsi="Arial" w:cs="Arial"/>
          <w:kern w:val="0"/>
          <w:sz w:val="24"/>
          <w:szCs w:val="24"/>
          <w:lang w:eastAsia="en-GB"/>
          <w14:ligatures w14:val="none"/>
        </w:rPr>
        <w:t xml:space="preserve">remains exposed </w:t>
      </w:r>
      <w:r w:rsidR="00ED72EA" w:rsidRPr="00D20738">
        <w:rPr>
          <w:rFonts w:ascii="Arial" w:eastAsia="Times New Roman" w:hAnsi="Arial" w:cs="Arial"/>
          <w:kern w:val="0"/>
          <w:sz w:val="24"/>
          <w:szCs w:val="24"/>
          <w:lang w:eastAsia="en-GB"/>
          <w14:ligatures w14:val="none"/>
        </w:rPr>
        <w:t>to significant legal risk, including</w:t>
      </w:r>
      <w:r w:rsidR="00566861" w:rsidRPr="00D20738">
        <w:rPr>
          <w:rFonts w:ascii="Arial" w:eastAsia="Times New Roman" w:hAnsi="Arial" w:cs="Arial"/>
          <w:kern w:val="0"/>
          <w:sz w:val="24"/>
          <w:szCs w:val="24"/>
          <w:lang w:eastAsia="en-GB"/>
          <w14:ligatures w14:val="none"/>
        </w:rPr>
        <w:t xml:space="preserve"> </w:t>
      </w:r>
      <w:r w:rsidR="000B4F1B" w:rsidRPr="00D20738">
        <w:rPr>
          <w:rFonts w:ascii="Arial" w:eastAsia="Times New Roman" w:hAnsi="Arial" w:cs="Arial"/>
          <w:kern w:val="0"/>
          <w:sz w:val="24"/>
          <w:szCs w:val="24"/>
          <w:lang w:eastAsia="en-GB"/>
          <w14:ligatures w14:val="none"/>
        </w:rPr>
        <w:t>costly tribunal litigation</w:t>
      </w:r>
      <w:r w:rsidR="0027381A" w:rsidRPr="00D20738">
        <w:rPr>
          <w:rFonts w:ascii="Arial" w:eastAsia="Times New Roman" w:hAnsi="Arial" w:cs="Arial"/>
          <w:kern w:val="0"/>
          <w:sz w:val="24"/>
          <w:szCs w:val="24"/>
          <w:lang w:eastAsia="en-GB"/>
          <w14:ligatures w14:val="none"/>
        </w:rPr>
        <w:t xml:space="preserve"> due to </w:t>
      </w:r>
      <w:r w:rsidR="007B7454" w:rsidRPr="00D20738">
        <w:rPr>
          <w:rFonts w:ascii="Arial" w:eastAsia="Times New Roman" w:hAnsi="Arial" w:cs="Arial"/>
          <w:kern w:val="0"/>
          <w:sz w:val="24"/>
          <w:szCs w:val="24"/>
          <w:lang w:eastAsia="en-GB"/>
          <w14:ligatures w14:val="none"/>
        </w:rPr>
        <w:t xml:space="preserve">systemic </w:t>
      </w:r>
      <w:r w:rsidR="0027381A" w:rsidRPr="00D20738">
        <w:rPr>
          <w:rFonts w:ascii="Arial" w:eastAsia="Times New Roman" w:hAnsi="Arial" w:cs="Arial"/>
          <w:kern w:val="0"/>
          <w:sz w:val="24"/>
          <w:szCs w:val="24"/>
          <w:lang w:eastAsia="en-GB"/>
          <w14:ligatures w14:val="none"/>
        </w:rPr>
        <w:t>weakness</w:t>
      </w:r>
      <w:r w:rsidR="007B7454" w:rsidRPr="00D20738">
        <w:rPr>
          <w:rFonts w:ascii="Arial" w:eastAsia="Times New Roman" w:hAnsi="Arial" w:cs="Arial"/>
          <w:kern w:val="0"/>
          <w:sz w:val="24"/>
          <w:szCs w:val="24"/>
          <w:lang w:eastAsia="en-GB"/>
          <w14:ligatures w14:val="none"/>
        </w:rPr>
        <w:t xml:space="preserve"> in </w:t>
      </w:r>
      <w:r w:rsidR="00C46839" w:rsidRPr="00D20738">
        <w:rPr>
          <w:rFonts w:ascii="Arial" w:eastAsia="Times New Roman" w:hAnsi="Arial" w:cs="Arial"/>
          <w:kern w:val="0"/>
          <w:sz w:val="24"/>
          <w:szCs w:val="24"/>
          <w:lang w:eastAsia="en-GB"/>
          <w14:ligatures w14:val="none"/>
        </w:rPr>
        <w:t xml:space="preserve">embedding </w:t>
      </w:r>
      <w:r w:rsidR="007B7454" w:rsidRPr="00D20738">
        <w:rPr>
          <w:rFonts w:ascii="Arial" w:eastAsia="Times New Roman" w:hAnsi="Arial" w:cs="Arial"/>
          <w:kern w:val="0"/>
          <w:sz w:val="24"/>
          <w:szCs w:val="24"/>
          <w:lang w:eastAsia="en-GB"/>
          <w14:ligatures w14:val="none"/>
        </w:rPr>
        <w:t xml:space="preserve">core employment law </w:t>
      </w:r>
      <w:r w:rsidR="00CA7FCD" w:rsidRPr="00D20738">
        <w:rPr>
          <w:rFonts w:ascii="Arial" w:eastAsia="Times New Roman" w:hAnsi="Arial" w:cs="Arial"/>
          <w:kern w:val="0"/>
          <w:sz w:val="24"/>
          <w:szCs w:val="24"/>
          <w:lang w:eastAsia="en-GB"/>
          <w14:ligatures w14:val="none"/>
        </w:rPr>
        <w:t>principles,</w:t>
      </w:r>
      <w:r w:rsidR="00C46839" w:rsidRPr="00D20738">
        <w:rPr>
          <w:rFonts w:ascii="Arial" w:eastAsia="Times New Roman" w:hAnsi="Arial" w:cs="Arial"/>
          <w:kern w:val="0"/>
          <w:sz w:val="24"/>
          <w:szCs w:val="24"/>
          <w:lang w:eastAsia="en-GB"/>
          <w14:ligatures w14:val="none"/>
        </w:rPr>
        <w:t xml:space="preserve"> </w:t>
      </w:r>
      <w:r w:rsidR="00E3770B" w:rsidRPr="00D20738">
        <w:rPr>
          <w:rFonts w:ascii="Arial" w:eastAsia="Times New Roman" w:hAnsi="Arial" w:cs="Arial"/>
          <w:kern w:val="0"/>
          <w:sz w:val="24"/>
          <w:szCs w:val="24"/>
          <w:lang w:eastAsia="en-GB"/>
          <w14:ligatures w14:val="none"/>
        </w:rPr>
        <w:t xml:space="preserve">leading to </w:t>
      </w:r>
      <w:r w:rsidR="000B4F1B" w:rsidRPr="00D20738">
        <w:rPr>
          <w:rFonts w:ascii="Arial" w:eastAsia="Times New Roman" w:hAnsi="Arial" w:cs="Arial"/>
          <w:kern w:val="0"/>
          <w:sz w:val="24"/>
          <w:szCs w:val="24"/>
          <w:lang w:eastAsia="en-GB"/>
          <w14:ligatures w14:val="none"/>
        </w:rPr>
        <w:t>reputational damage</w:t>
      </w:r>
      <w:r w:rsidR="00D710D3" w:rsidRPr="00D20738">
        <w:rPr>
          <w:rFonts w:ascii="Arial" w:eastAsia="Times New Roman" w:hAnsi="Arial" w:cs="Arial"/>
          <w:kern w:val="0"/>
          <w:sz w:val="24"/>
          <w:szCs w:val="24"/>
          <w:lang w:eastAsia="en-GB"/>
          <w14:ligatures w14:val="none"/>
        </w:rPr>
        <w:t xml:space="preserve">, </w:t>
      </w:r>
      <w:r w:rsidR="00262450" w:rsidRPr="00D20738">
        <w:rPr>
          <w:rFonts w:ascii="Arial" w:eastAsia="Times New Roman" w:hAnsi="Arial" w:cs="Arial"/>
          <w:kern w:val="0"/>
          <w:sz w:val="24"/>
          <w:szCs w:val="24"/>
          <w:lang w:eastAsia="en-GB"/>
          <w14:ligatures w14:val="none"/>
        </w:rPr>
        <w:t xml:space="preserve">reduced organisational </w:t>
      </w:r>
      <w:r w:rsidR="00D710D3" w:rsidRPr="00D20738">
        <w:rPr>
          <w:rFonts w:ascii="Arial" w:eastAsia="Times New Roman" w:hAnsi="Arial" w:cs="Arial"/>
          <w:kern w:val="0"/>
          <w:sz w:val="24"/>
          <w:szCs w:val="24"/>
          <w:lang w:eastAsia="en-GB"/>
          <w14:ligatures w14:val="none"/>
        </w:rPr>
        <w:t>performance</w:t>
      </w:r>
      <w:r w:rsidR="000B4F1B" w:rsidRPr="00D20738">
        <w:rPr>
          <w:rFonts w:ascii="Arial" w:eastAsia="Times New Roman" w:hAnsi="Arial" w:cs="Arial"/>
          <w:kern w:val="0"/>
          <w:sz w:val="24"/>
          <w:szCs w:val="24"/>
          <w:lang w:eastAsia="en-GB"/>
          <w14:ligatures w14:val="none"/>
        </w:rPr>
        <w:t xml:space="preserve"> and workforce instability</w:t>
      </w:r>
      <w:r w:rsidR="00D710D3" w:rsidRPr="00D20738">
        <w:rPr>
          <w:rFonts w:ascii="Arial" w:eastAsia="Times New Roman" w:hAnsi="Arial" w:cs="Arial"/>
          <w:kern w:val="0"/>
          <w:sz w:val="24"/>
          <w:szCs w:val="24"/>
          <w:lang w:eastAsia="en-GB"/>
          <w14:ligatures w14:val="none"/>
        </w:rPr>
        <w:t>.</w:t>
      </w:r>
      <w:r w:rsidR="00C002CB" w:rsidRPr="00D20738">
        <w:rPr>
          <w:rFonts w:ascii="Arial" w:eastAsia="Times New Roman" w:hAnsi="Arial" w:cs="Arial"/>
          <w:kern w:val="0"/>
          <w:sz w:val="24"/>
          <w:szCs w:val="24"/>
          <w:lang w:eastAsia="en-GB"/>
          <w14:ligatures w14:val="none"/>
        </w:rPr>
        <w:t xml:space="preserve"> </w:t>
      </w:r>
      <w:r w:rsidR="0000592E" w:rsidRPr="00D20738">
        <w:rPr>
          <w:rFonts w:ascii="Arial" w:eastAsia="Times New Roman" w:hAnsi="Arial" w:cs="Arial"/>
          <w:kern w:val="0"/>
          <w:sz w:val="24"/>
          <w:szCs w:val="24"/>
          <w:lang w:eastAsia="en-GB"/>
          <w14:ligatures w14:val="none"/>
        </w:rPr>
        <w:t>Immediate</w:t>
      </w:r>
      <w:r w:rsidR="00120D2E" w:rsidRPr="00D20738">
        <w:rPr>
          <w:rFonts w:ascii="Arial" w:eastAsia="Times New Roman" w:hAnsi="Arial" w:cs="Arial"/>
          <w:kern w:val="0"/>
          <w:sz w:val="24"/>
          <w:szCs w:val="24"/>
          <w:lang w:eastAsia="en-GB"/>
          <w14:ligatures w14:val="none"/>
        </w:rPr>
        <w:t xml:space="preserve"> risks </w:t>
      </w:r>
      <w:r w:rsidR="00F81562" w:rsidRPr="00D20738">
        <w:rPr>
          <w:rFonts w:ascii="Arial" w:eastAsia="Times New Roman" w:hAnsi="Arial" w:cs="Arial"/>
          <w:kern w:val="0"/>
          <w:sz w:val="24"/>
          <w:szCs w:val="24"/>
          <w:lang w:eastAsia="en-GB"/>
          <w14:ligatures w14:val="none"/>
        </w:rPr>
        <w:t>relating</w:t>
      </w:r>
      <w:r w:rsidR="0000592E" w:rsidRPr="00D20738">
        <w:rPr>
          <w:rFonts w:ascii="Arial" w:eastAsia="Times New Roman" w:hAnsi="Arial" w:cs="Arial"/>
          <w:kern w:val="0"/>
          <w:sz w:val="24"/>
          <w:szCs w:val="24"/>
          <w:lang w:eastAsia="en-GB"/>
          <w14:ligatures w14:val="none"/>
        </w:rPr>
        <w:t xml:space="preserve"> to </w:t>
      </w:r>
      <w:r w:rsidR="00F815F5" w:rsidRPr="00D20738">
        <w:rPr>
          <w:rFonts w:ascii="Arial" w:eastAsia="Times New Roman" w:hAnsi="Arial" w:cs="Arial"/>
          <w:kern w:val="0"/>
          <w:sz w:val="24"/>
          <w:szCs w:val="24"/>
          <w:lang w:eastAsia="en-GB"/>
          <w14:ligatures w14:val="none"/>
        </w:rPr>
        <w:t>harassment</w:t>
      </w:r>
      <w:r w:rsidR="00CA66B0" w:rsidRPr="00D20738">
        <w:rPr>
          <w:rFonts w:ascii="Arial" w:eastAsia="Times New Roman" w:hAnsi="Arial" w:cs="Arial"/>
          <w:kern w:val="0"/>
          <w:sz w:val="24"/>
          <w:szCs w:val="24"/>
          <w:lang w:eastAsia="en-GB"/>
          <w14:ligatures w14:val="none"/>
        </w:rPr>
        <w:t xml:space="preserve"> and discrimination, data protection, TUPE </w:t>
      </w:r>
      <w:r w:rsidR="00F815F5" w:rsidRPr="00D20738">
        <w:rPr>
          <w:rFonts w:ascii="Arial" w:eastAsia="Times New Roman" w:hAnsi="Arial" w:cs="Arial"/>
          <w:kern w:val="0"/>
          <w:sz w:val="24"/>
          <w:szCs w:val="24"/>
          <w:lang w:eastAsia="en-GB"/>
          <w14:ligatures w14:val="none"/>
        </w:rPr>
        <w:t>consultation</w:t>
      </w:r>
      <w:r w:rsidR="005C68F0" w:rsidRPr="00D20738">
        <w:rPr>
          <w:rFonts w:ascii="Arial" w:eastAsia="Times New Roman" w:hAnsi="Arial" w:cs="Arial"/>
          <w:kern w:val="0"/>
          <w:sz w:val="24"/>
          <w:szCs w:val="24"/>
          <w:lang w:eastAsia="en-GB"/>
          <w14:ligatures w14:val="none"/>
        </w:rPr>
        <w:t xml:space="preserve">, utilisation of zero-hour contracts, and </w:t>
      </w:r>
      <w:r w:rsidR="00F21DF1" w:rsidRPr="00D20738">
        <w:rPr>
          <w:rFonts w:ascii="Arial" w:eastAsia="Times New Roman" w:hAnsi="Arial" w:cs="Arial"/>
          <w:kern w:val="0"/>
          <w:sz w:val="24"/>
          <w:szCs w:val="24"/>
          <w:lang w:eastAsia="en-GB"/>
          <w14:ligatures w14:val="none"/>
        </w:rPr>
        <w:t>ineffective</w:t>
      </w:r>
      <w:r w:rsidR="00C7560C" w:rsidRPr="00D20738">
        <w:rPr>
          <w:rFonts w:ascii="Arial" w:eastAsia="Times New Roman" w:hAnsi="Arial" w:cs="Arial"/>
          <w:kern w:val="0"/>
          <w:sz w:val="24"/>
          <w:szCs w:val="24"/>
          <w:lang w:eastAsia="en-GB"/>
          <w14:ligatures w14:val="none"/>
        </w:rPr>
        <w:t xml:space="preserve"> dispute resolution</w:t>
      </w:r>
      <w:r w:rsidR="009C5862" w:rsidRPr="00D20738">
        <w:rPr>
          <w:rFonts w:ascii="Arial" w:eastAsia="Times New Roman" w:hAnsi="Arial" w:cs="Arial"/>
          <w:kern w:val="0"/>
          <w:sz w:val="24"/>
          <w:szCs w:val="24"/>
          <w:lang w:eastAsia="en-GB"/>
          <w14:ligatures w14:val="none"/>
        </w:rPr>
        <w:t xml:space="preserve"> require </w:t>
      </w:r>
      <w:r w:rsidR="009031D5" w:rsidRPr="00D20738">
        <w:rPr>
          <w:rFonts w:ascii="Arial" w:eastAsia="Times New Roman" w:hAnsi="Arial" w:cs="Arial"/>
          <w:kern w:val="0"/>
          <w:sz w:val="24"/>
          <w:szCs w:val="24"/>
          <w:lang w:eastAsia="en-GB"/>
          <w14:ligatures w14:val="none"/>
        </w:rPr>
        <w:t xml:space="preserve">the organisation to </w:t>
      </w:r>
      <w:r w:rsidR="00BE75C3" w:rsidRPr="00D20738">
        <w:rPr>
          <w:rFonts w:ascii="Arial" w:eastAsia="Times New Roman" w:hAnsi="Arial" w:cs="Arial"/>
          <w:kern w:val="0"/>
          <w:sz w:val="24"/>
          <w:szCs w:val="24"/>
          <w:lang w:eastAsia="en-GB"/>
          <w14:ligatures w14:val="none"/>
        </w:rPr>
        <w:t xml:space="preserve">strengthen management capability, embed </w:t>
      </w:r>
      <w:r w:rsidR="003335EC" w:rsidRPr="00D20738">
        <w:rPr>
          <w:rFonts w:ascii="Arial" w:eastAsia="Times New Roman" w:hAnsi="Arial" w:cs="Arial"/>
          <w:kern w:val="0"/>
          <w:sz w:val="24"/>
          <w:szCs w:val="24"/>
          <w:lang w:eastAsia="en-GB"/>
          <w14:ligatures w14:val="none"/>
        </w:rPr>
        <w:t xml:space="preserve">robust policies and governance processes, and adopt </w:t>
      </w:r>
      <w:r w:rsidR="00E23E3A" w:rsidRPr="00D20738">
        <w:rPr>
          <w:rFonts w:ascii="Arial" w:eastAsia="Times New Roman" w:hAnsi="Arial" w:cs="Arial"/>
          <w:kern w:val="0"/>
          <w:sz w:val="24"/>
          <w:szCs w:val="24"/>
          <w:lang w:eastAsia="en-GB"/>
          <w14:ligatures w14:val="none"/>
        </w:rPr>
        <w:t xml:space="preserve">a more strategic approach to workforce planning. </w:t>
      </w:r>
      <w:r w:rsidR="00B348AD" w:rsidRPr="00D20738">
        <w:rPr>
          <w:rFonts w:ascii="Arial" w:eastAsia="Times New Roman" w:hAnsi="Arial" w:cs="Arial"/>
          <w:kern w:val="0"/>
          <w:sz w:val="24"/>
          <w:szCs w:val="24"/>
          <w:lang w:eastAsia="en-GB"/>
          <w14:ligatures w14:val="none"/>
        </w:rPr>
        <w:t>Together</w:t>
      </w:r>
      <w:r w:rsidR="00BB30A3" w:rsidRPr="00D20738">
        <w:rPr>
          <w:rFonts w:ascii="Arial" w:eastAsia="Times New Roman" w:hAnsi="Arial" w:cs="Arial"/>
          <w:kern w:val="0"/>
          <w:sz w:val="24"/>
          <w:szCs w:val="24"/>
          <w:lang w:eastAsia="en-GB"/>
          <w14:ligatures w14:val="none"/>
        </w:rPr>
        <w:t xml:space="preserve">, </w:t>
      </w:r>
      <w:r w:rsidR="00C340DF" w:rsidRPr="00D20738">
        <w:rPr>
          <w:rFonts w:ascii="Arial" w:eastAsia="Times New Roman" w:hAnsi="Arial" w:cs="Arial"/>
          <w:kern w:val="0"/>
          <w:sz w:val="24"/>
          <w:szCs w:val="24"/>
          <w:lang w:eastAsia="en-GB"/>
          <w14:ligatures w14:val="none"/>
        </w:rPr>
        <w:t xml:space="preserve">these measures </w:t>
      </w:r>
      <w:r w:rsidR="000574C1" w:rsidRPr="00D20738">
        <w:rPr>
          <w:rFonts w:ascii="Arial" w:eastAsia="Times New Roman" w:hAnsi="Arial" w:cs="Arial"/>
          <w:kern w:val="0"/>
          <w:sz w:val="24"/>
          <w:szCs w:val="24"/>
          <w:lang w:eastAsia="en-GB"/>
          <w14:ligatures w14:val="none"/>
        </w:rPr>
        <w:t>support the organisation to move beyond compliance</w:t>
      </w:r>
      <w:r w:rsidR="00B7191E" w:rsidRPr="00D20738">
        <w:rPr>
          <w:rFonts w:ascii="Arial" w:eastAsia="Times New Roman" w:hAnsi="Arial" w:cs="Arial"/>
          <w:kern w:val="0"/>
          <w:sz w:val="24"/>
          <w:szCs w:val="24"/>
          <w:lang w:eastAsia="en-GB"/>
          <w14:ligatures w14:val="none"/>
        </w:rPr>
        <w:t xml:space="preserve"> by </w:t>
      </w:r>
      <w:r w:rsidR="0065499A" w:rsidRPr="00D20738">
        <w:rPr>
          <w:rFonts w:ascii="Arial" w:eastAsia="Times New Roman" w:hAnsi="Arial" w:cs="Arial"/>
          <w:kern w:val="0"/>
          <w:sz w:val="24"/>
          <w:szCs w:val="24"/>
          <w:lang w:eastAsia="en-GB"/>
          <w14:ligatures w14:val="none"/>
        </w:rPr>
        <w:t>adopting fair, transparent and proactive people management practices</w:t>
      </w:r>
      <w:r w:rsidR="00C31086" w:rsidRPr="00D20738">
        <w:rPr>
          <w:rFonts w:ascii="Arial" w:eastAsia="Times New Roman" w:hAnsi="Arial" w:cs="Arial"/>
          <w:kern w:val="0"/>
          <w:sz w:val="24"/>
          <w:szCs w:val="24"/>
          <w:lang w:eastAsia="en-GB"/>
          <w14:ligatures w14:val="none"/>
        </w:rPr>
        <w:t xml:space="preserve"> that </w:t>
      </w:r>
      <w:r w:rsidR="007D0628" w:rsidRPr="00D20738">
        <w:rPr>
          <w:rFonts w:ascii="Arial" w:eastAsia="Times New Roman" w:hAnsi="Arial" w:cs="Arial"/>
          <w:kern w:val="0"/>
          <w:sz w:val="24"/>
          <w:szCs w:val="24"/>
          <w:lang w:eastAsia="en-GB"/>
          <w14:ligatures w14:val="none"/>
        </w:rPr>
        <w:t xml:space="preserve">improve </w:t>
      </w:r>
      <w:r w:rsidR="0090567B" w:rsidRPr="00D20738">
        <w:rPr>
          <w:rFonts w:ascii="Arial" w:eastAsia="Times New Roman" w:hAnsi="Arial" w:cs="Arial"/>
          <w:kern w:val="0"/>
          <w:sz w:val="24"/>
          <w:szCs w:val="24"/>
          <w:lang w:eastAsia="en-GB"/>
          <w14:ligatures w14:val="none"/>
        </w:rPr>
        <w:t>decision-making and reduce dispute escalation</w:t>
      </w:r>
      <w:r w:rsidR="007F339B" w:rsidRPr="00D20738">
        <w:rPr>
          <w:rFonts w:ascii="Arial" w:eastAsia="Times New Roman" w:hAnsi="Arial" w:cs="Arial"/>
          <w:kern w:val="0"/>
          <w:sz w:val="24"/>
          <w:szCs w:val="24"/>
          <w:lang w:eastAsia="en-GB"/>
          <w14:ligatures w14:val="none"/>
        </w:rPr>
        <w:t xml:space="preserve">. </w:t>
      </w:r>
      <w:r w:rsidR="00A822CE" w:rsidRPr="00D20738">
        <w:rPr>
          <w:rFonts w:ascii="Arial" w:eastAsia="Times New Roman" w:hAnsi="Arial" w:cs="Arial"/>
          <w:kern w:val="0"/>
          <w:sz w:val="24"/>
          <w:szCs w:val="24"/>
          <w:lang w:eastAsia="en-GB"/>
          <w14:ligatures w14:val="none"/>
        </w:rPr>
        <w:t xml:space="preserve">Furthermore, </w:t>
      </w:r>
      <w:r w:rsidR="002E1A75" w:rsidRPr="00D20738">
        <w:rPr>
          <w:rFonts w:ascii="Arial" w:eastAsia="Times New Roman" w:hAnsi="Arial" w:cs="Arial"/>
          <w:kern w:val="0"/>
          <w:sz w:val="24"/>
          <w:szCs w:val="24"/>
          <w:lang w:eastAsia="en-GB"/>
          <w14:ligatures w14:val="none"/>
        </w:rPr>
        <w:t>implementing these actions will ensure improved workforce stability</w:t>
      </w:r>
      <w:r w:rsidR="00D92E87" w:rsidRPr="00D20738">
        <w:rPr>
          <w:rFonts w:ascii="Arial" w:eastAsia="Times New Roman" w:hAnsi="Arial" w:cs="Arial"/>
          <w:kern w:val="0"/>
          <w:sz w:val="24"/>
          <w:szCs w:val="24"/>
          <w:lang w:eastAsia="en-GB"/>
          <w14:ligatures w14:val="none"/>
        </w:rPr>
        <w:t xml:space="preserve"> and more sustainable organisational performance.</w:t>
      </w:r>
      <w:r w:rsidR="00D92E87" w:rsidRPr="007636E8">
        <w:rPr>
          <w:rFonts w:ascii="Arial" w:eastAsia="Times New Roman" w:hAnsi="Arial" w:cs="Arial"/>
          <w:kern w:val="0"/>
          <w:sz w:val="24"/>
          <w:szCs w:val="24"/>
          <w:lang w:eastAsia="en-GB"/>
          <w14:ligatures w14:val="none"/>
        </w:rPr>
        <w:t xml:space="preserve"> </w:t>
      </w:r>
    </w:p>
    <w:p w14:paraId="770E9C8D" w14:textId="77777777" w:rsidR="007701F6" w:rsidRPr="007636E8" w:rsidRDefault="007701F6" w:rsidP="00F345C9">
      <w:pPr>
        <w:spacing w:after="0" w:line="264" w:lineRule="auto"/>
        <w:contextualSpacing/>
        <w:rPr>
          <w:rFonts w:ascii="Arial" w:eastAsia="Times New Roman" w:hAnsi="Arial" w:cs="Arial"/>
          <w:kern w:val="0"/>
          <w:sz w:val="24"/>
          <w:szCs w:val="24"/>
          <w:lang w:eastAsia="en-GB"/>
          <w14:ligatures w14:val="none"/>
        </w:rPr>
      </w:pPr>
    </w:p>
    <w:p w14:paraId="288B7820" w14:textId="77777777" w:rsidR="005E7CC6" w:rsidRDefault="005E7CC6" w:rsidP="00C14B63">
      <w:pPr>
        <w:rPr>
          <w:rFonts w:ascii="Arial" w:eastAsia="Times New Roman" w:hAnsi="Arial" w:cs="Arial"/>
          <w:color w:val="0F4761" w:themeColor="accent1" w:themeShade="BF"/>
          <w:sz w:val="40"/>
          <w:szCs w:val="40"/>
          <w:lang w:eastAsia="en-GB"/>
        </w:rPr>
      </w:pPr>
      <w:r>
        <w:rPr>
          <w:rFonts w:ascii="Arial" w:eastAsia="Times New Roman" w:hAnsi="Arial" w:cs="Arial"/>
          <w:lang w:eastAsia="en-GB"/>
        </w:rPr>
        <w:br w:type="page"/>
      </w:r>
    </w:p>
    <w:p w14:paraId="2C2801B6" w14:textId="7B1D27C4" w:rsidR="007701F6" w:rsidRDefault="007701F6" w:rsidP="00C14B63">
      <w:pPr>
        <w:pStyle w:val="Heading1"/>
        <w:rPr>
          <w:rFonts w:ascii="Arial" w:eastAsia="Times New Roman" w:hAnsi="Arial" w:cs="Arial"/>
          <w:lang w:eastAsia="en-GB"/>
        </w:rPr>
      </w:pPr>
      <w:bookmarkStart w:id="16" w:name="_Toc229418568"/>
      <w:r w:rsidRPr="007636E8">
        <w:rPr>
          <w:rFonts w:ascii="Arial" w:eastAsia="Times New Roman" w:hAnsi="Arial" w:cs="Arial"/>
          <w:lang w:eastAsia="en-GB"/>
        </w:rPr>
        <w:lastRenderedPageBreak/>
        <w:t>Bibliography</w:t>
      </w:r>
      <w:bookmarkEnd w:id="16"/>
    </w:p>
    <w:p w14:paraId="2602096D" w14:textId="11902AFF"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(2015) </w:t>
      </w:r>
      <w:r w:rsidRPr="007F238D">
        <w:rPr>
          <w:rFonts w:ascii="Arial" w:hAnsi="Arial" w:cs="Arial"/>
          <w:i/>
          <w:iCs/>
          <w:sz w:val="24"/>
          <w:szCs w:val="24"/>
          <w:lang w:eastAsia="en-GB"/>
        </w:rPr>
        <w:t>Code of Practice on Disciplinary and Grievance Procedures</w:t>
      </w:r>
      <w:r w:rsidRPr="007F238D">
        <w:rPr>
          <w:rFonts w:ascii="Arial" w:hAnsi="Arial" w:cs="Arial"/>
          <w:sz w:val="24"/>
          <w:szCs w:val="24"/>
          <w:lang w:eastAsia="en-GB"/>
        </w:rPr>
        <w:t>.</w:t>
      </w:r>
      <w:r w:rsidR="00F47057" w:rsidRPr="007F238D">
        <w:rPr>
          <w:rFonts w:ascii="Arial" w:hAnsi="Arial" w:cs="Arial"/>
          <w:sz w:val="24"/>
          <w:szCs w:val="24"/>
          <w:lang w:eastAsia="en-GB"/>
        </w:rPr>
        <w:t xml:space="preserve"> </w:t>
      </w:r>
      <w:r w:rsidRPr="007F238D">
        <w:rPr>
          <w:rFonts w:ascii="Arial" w:hAnsi="Arial" w:cs="Arial"/>
          <w:sz w:val="24"/>
          <w:szCs w:val="24"/>
          <w:lang w:eastAsia="en-GB"/>
        </w:rPr>
        <w:t>Available at: https://www.acas.org.uk/acas-code-of-practice-on-disciplinary-and-grievance-procedures/html</w:t>
      </w:r>
      <w:r w:rsidR="00F47057" w:rsidRPr="007F238D">
        <w:rPr>
          <w:rFonts w:ascii="Arial" w:hAnsi="Arial" w:cs="Arial"/>
          <w:sz w:val="24"/>
          <w:szCs w:val="24"/>
          <w:lang w:eastAsia="en-GB"/>
        </w:rPr>
        <w:t xml:space="preserve"> (Accessed:</w:t>
      </w:r>
      <w:r w:rsidR="00137D97" w:rsidRPr="007F238D">
        <w:rPr>
          <w:rFonts w:ascii="Arial" w:hAnsi="Arial" w:cs="Arial"/>
          <w:sz w:val="24"/>
          <w:szCs w:val="24"/>
          <w:lang w:eastAsia="en-GB"/>
        </w:rPr>
        <w:t xml:space="preserve"> </w:t>
      </w:r>
      <w:r w:rsidR="00F47057" w:rsidRPr="007F238D">
        <w:rPr>
          <w:rFonts w:ascii="Arial" w:hAnsi="Arial" w:cs="Arial"/>
          <w:sz w:val="24"/>
          <w:szCs w:val="24"/>
          <w:lang w:eastAsia="en-GB"/>
        </w:rPr>
        <w:t>01</w:t>
      </w:r>
      <w:r w:rsidR="00AC76E5" w:rsidRPr="007F238D">
        <w:rPr>
          <w:rFonts w:ascii="Arial" w:hAnsi="Arial" w:cs="Arial"/>
          <w:sz w:val="24"/>
          <w:szCs w:val="24"/>
          <w:lang w:eastAsia="en-GB"/>
        </w:rPr>
        <w:t xml:space="preserve"> May 2026)</w:t>
      </w:r>
      <w:r w:rsidR="00D472C7" w:rsidRPr="007F238D">
        <w:rPr>
          <w:rFonts w:ascii="Arial" w:hAnsi="Arial" w:cs="Arial"/>
          <w:sz w:val="24"/>
          <w:szCs w:val="24"/>
          <w:lang w:eastAsia="en-GB"/>
        </w:rPr>
        <w:t>.</w:t>
      </w:r>
    </w:p>
    <w:p w14:paraId="37306C58" w14:textId="62CE2EBC"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(2020) </w:t>
      </w:r>
      <w:r w:rsidRPr="007F238D">
        <w:rPr>
          <w:rFonts w:ascii="Arial" w:hAnsi="Arial" w:cs="Arial"/>
          <w:i/>
          <w:iCs/>
          <w:sz w:val="24"/>
          <w:szCs w:val="24"/>
          <w:lang w:eastAsia="en-GB"/>
        </w:rPr>
        <w:t>Acas Codes of Practice</w:t>
      </w:r>
      <w:r w:rsidR="005B36D1" w:rsidRPr="007F238D">
        <w:rPr>
          <w:rFonts w:ascii="Arial" w:hAnsi="Arial" w:cs="Arial"/>
          <w:i/>
          <w:iCs/>
          <w:sz w:val="24"/>
          <w:szCs w:val="24"/>
          <w:lang w:eastAsia="en-GB"/>
        </w:rPr>
        <w:t xml:space="preserve">. </w:t>
      </w:r>
      <w:r w:rsidRPr="007F238D">
        <w:rPr>
          <w:rFonts w:ascii="Arial" w:hAnsi="Arial" w:cs="Arial"/>
          <w:sz w:val="24"/>
          <w:szCs w:val="24"/>
          <w:lang w:eastAsia="en-GB"/>
        </w:rPr>
        <w:t>Available at: https://www.acas.org.uk/codes-of-practice</w:t>
      </w:r>
      <w:r w:rsidR="00232988" w:rsidRPr="007F238D">
        <w:rPr>
          <w:rFonts w:ascii="Arial" w:hAnsi="Arial" w:cs="Arial"/>
          <w:sz w:val="24"/>
          <w:szCs w:val="24"/>
          <w:lang w:eastAsia="en-GB"/>
        </w:rPr>
        <w:t xml:space="preserve"> (Accessed:</w:t>
      </w:r>
      <w:r w:rsidR="00137D97" w:rsidRPr="007F238D">
        <w:rPr>
          <w:rFonts w:ascii="Arial" w:hAnsi="Arial" w:cs="Arial"/>
          <w:sz w:val="24"/>
          <w:szCs w:val="24"/>
          <w:lang w:eastAsia="en-GB"/>
        </w:rPr>
        <w:t xml:space="preserve"> </w:t>
      </w:r>
      <w:r w:rsidR="00232988" w:rsidRPr="007F238D">
        <w:rPr>
          <w:rFonts w:ascii="Arial" w:hAnsi="Arial" w:cs="Arial"/>
          <w:sz w:val="24"/>
          <w:szCs w:val="24"/>
          <w:lang w:eastAsia="en-GB"/>
        </w:rPr>
        <w:t>01 May 2026)</w:t>
      </w:r>
      <w:r w:rsidR="0053409D" w:rsidRPr="007F238D">
        <w:rPr>
          <w:rFonts w:ascii="Arial" w:hAnsi="Arial" w:cs="Arial"/>
          <w:sz w:val="24"/>
          <w:szCs w:val="24"/>
          <w:lang w:eastAsia="en-GB"/>
        </w:rPr>
        <w:t>.</w:t>
      </w:r>
    </w:p>
    <w:p w14:paraId="57B94C53" w14:textId="70836F49"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(2022) </w:t>
      </w:r>
      <w:r w:rsidRPr="007F238D">
        <w:rPr>
          <w:rFonts w:ascii="Arial" w:hAnsi="Arial" w:cs="Arial"/>
          <w:i/>
          <w:iCs/>
          <w:sz w:val="24"/>
          <w:szCs w:val="24"/>
          <w:lang w:eastAsia="en-GB"/>
        </w:rPr>
        <w:t>Making Sure Your Workplace Is Inclusive</w:t>
      </w:r>
      <w:r w:rsidRPr="007F238D">
        <w:rPr>
          <w:rFonts w:ascii="Arial" w:hAnsi="Arial" w:cs="Arial"/>
          <w:sz w:val="24"/>
          <w:szCs w:val="24"/>
          <w:lang w:eastAsia="en-GB"/>
        </w:rPr>
        <w:t>. Available at:</w:t>
      </w:r>
      <w:r w:rsidR="00137D97" w:rsidRPr="007F238D">
        <w:rPr>
          <w:rFonts w:ascii="Arial" w:hAnsi="Arial" w:cs="Arial"/>
          <w:sz w:val="24"/>
          <w:szCs w:val="24"/>
          <w:lang w:eastAsia="en-GB"/>
        </w:rPr>
        <w:t xml:space="preserve"> </w:t>
      </w:r>
      <w:r w:rsidRPr="007F238D">
        <w:rPr>
          <w:rFonts w:ascii="Arial" w:hAnsi="Arial" w:cs="Arial"/>
          <w:sz w:val="24"/>
          <w:szCs w:val="24"/>
          <w:lang w:eastAsia="en-GB"/>
        </w:rPr>
        <w:t>https://www.acas.org.uk/improving-equality-diversity-and-inclusion/making-your-workplace-inclusive</w:t>
      </w:r>
      <w:r w:rsidR="00EC7024" w:rsidRPr="007F238D">
        <w:rPr>
          <w:rFonts w:ascii="Arial" w:hAnsi="Arial" w:cs="Arial"/>
          <w:sz w:val="24"/>
          <w:szCs w:val="24"/>
          <w:lang w:eastAsia="en-GB"/>
        </w:rPr>
        <w:t xml:space="preserve"> (Accessed:01 May 2026).</w:t>
      </w:r>
    </w:p>
    <w:p w14:paraId="7AB1FC9E" w14:textId="0899DBC1"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(2024a) </w:t>
      </w:r>
      <w:r w:rsidRPr="007F238D">
        <w:rPr>
          <w:rFonts w:ascii="Arial" w:hAnsi="Arial" w:cs="Arial"/>
          <w:i/>
          <w:iCs/>
          <w:sz w:val="24"/>
          <w:szCs w:val="24"/>
          <w:lang w:eastAsia="en-GB"/>
        </w:rPr>
        <w:t>Acas Guides on Trade Union and Employee Representation</w:t>
      </w:r>
      <w:r w:rsidRPr="007F238D">
        <w:rPr>
          <w:rFonts w:ascii="Arial" w:hAnsi="Arial" w:cs="Arial"/>
          <w:sz w:val="24"/>
          <w:szCs w:val="24"/>
          <w:lang w:eastAsia="en-GB"/>
        </w:rPr>
        <w:t>. Available at: https://www.acas.org.uk/acas-guides-on-trade-union-and-employee-representation</w:t>
      </w:r>
      <w:r w:rsidR="00137D97" w:rsidRPr="007F238D">
        <w:rPr>
          <w:rFonts w:ascii="Arial" w:hAnsi="Arial" w:cs="Arial"/>
          <w:sz w:val="24"/>
          <w:szCs w:val="24"/>
          <w:lang w:eastAsia="en-GB"/>
        </w:rPr>
        <w:t xml:space="preserve"> (Accessed: 01 May 2026).</w:t>
      </w:r>
    </w:p>
    <w:p w14:paraId="19352BE4" w14:textId="655335EE"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(2024b) </w:t>
      </w:r>
      <w:r w:rsidRPr="007F238D">
        <w:rPr>
          <w:rFonts w:ascii="Arial" w:hAnsi="Arial" w:cs="Arial"/>
          <w:i/>
          <w:iCs/>
          <w:sz w:val="24"/>
          <w:szCs w:val="24"/>
          <w:lang w:eastAsia="en-GB"/>
        </w:rPr>
        <w:t>Constructive dismissal</w:t>
      </w:r>
      <w:r w:rsidRPr="007F238D">
        <w:rPr>
          <w:rFonts w:ascii="Arial" w:hAnsi="Arial" w:cs="Arial"/>
          <w:sz w:val="24"/>
          <w:szCs w:val="24"/>
          <w:lang w:eastAsia="en-GB"/>
        </w:rPr>
        <w:t>. Available at:</w:t>
      </w:r>
      <w:r w:rsidR="00A07FC9" w:rsidRPr="007F238D">
        <w:rPr>
          <w:rFonts w:ascii="Arial" w:hAnsi="Arial" w:cs="Arial"/>
          <w:sz w:val="24"/>
          <w:szCs w:val="24"/>
          <w:lang w:eastAsia="en-GB"/>
        </w:rPr>
        <w:t xml:space="preserve"> </w:t>
      </w:r>
      <w:r w:rsidRPr="007F238D">
        <w:rPr>
          <w:rFonts w:ascii="Arial" w:hAnsi="Arial" w:cs="Arial"/>
          <w:sz w:val="24"/>
          <w:szCs w:val="24"/>
          <w:lang w:eastAsia="en-GB"/>
        </w:rPr>
        <w:t>https://www.acas.org.uk/dismissals/constructive-dismissal</w:t>
      </w:r>
      <w:r w:rsidR="00A07FC9" w:rsidRPr="007F238D">
        <w:rPr>
          <w:rFonts w:ascii="Arial" w:hAnsi="Arial" w:cs="Arial"/>
          <w:sz w:val="24"/>
          <w:szCs w:val="24"/>
          <w:lang w:eastAsia="en-GB"/>
        </w:rPr>
        <w:t xml:space="preserve"> </w:t>
      </w:r>
      <w:r w:rsidR="0085432A" w:rsidRPr="007F238D">
        <w:rPr>
          <w:rFonts w:ascii="Arial" w:hAnsi="Arial" w:cs="Arial"/>
          <w:sz w:val="24"/>
          <w:szCs w:val="24"/>
          <w:lang w:eastAsia="en-GB"/>
        </w:rPr>
        <w:t>(Accessed: 01 May 2026).</w:t>
      </w:r>
    </w:p>
    <w:p w14:paraId="27E19249" w14:textId="51E48F5F"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(2024c) </w:t>
      </w:r>
      <w:r w:rsidRPr="007F238D">
        <w:rPr>
          <w:rFonts w:ascii="Arial" w:hAnsi="Arial" w:cs="Arial"/>
          <w:i/>
          <w:iCs/>
          <w:sz w:val="24"/>
          <w:szCs w:val="24"/>
          <w:lang w:eastAsia="en-GB"/>
        </w:rPr>
        <w:t>Improving equality, Diversity and Inclusion in Your Workplace</w:t>
      </w:r>
      <w:r w:rsidR="002F1160" w:rsidRPr="007F238D">
        <w:rPr>
          <w:rFonts w:ascii="Arial" w:hAnsi="Arial" w:cs="Arial"/>
          <w:i/>
          <w:iCs/>
          <w:sz w:val="24"/>
          <w:szCs w:val="24"/>
          <w:lang w:eastAsia="en-GB"/>
        </w:rPr>
        <w:t xml:space="preserve">. </w:t>
      </w:r>
      <w:r w:rsidRPr="007F238D">
        <w:rPr>
          <w:rFonts w:ascii="Arial" w:hAnsi="Arial" w:cs="Arial"/>
          <w:sz w:val="24"/>
          <w:szCs w:val="24"/>
          <w:lang w:eastAsia="en-GB"/>
        </w:rPr>
        <w:t>Available at: https://www.acas.org.uk/improving-equality-diversity-and-inclusion</w:t>
      </w:r>
      <w:r w:rsidR="0085432A" w:rsidRPr="007F238D">
        <w:rPr>
          <w:rFonts w:ascii="Arial" w:hAnsi="Arial" w:cs="Arial"/>
          <w:sz w:val="24"/>
          <w:szCs w:val="24"/>
          <w:lang w:eastAsia="en-GB"/>
        </w:rPr>
        <w:t xml:space="preserve"> (Accessed: 01 May 2026).</w:t>
      </w:r>
    </w:p>
    <w:p w14:paraId="13B5C6CD" w14:textId="51EB6B77"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(2024d) </w:t>
      </w:r>
      <w:r w:rsidRPr="007F238D">
        <w:rPr>
          <w:rFonts w:ascii="Arial" w:hAnsi="Arial" w:cs="Arial"/>
          <w:i/>
          <w:iCs/>
          <w:sz w:val="24"/>
          <w:szCs w:val="24"/>
          <w:lang w:eastAsia="en-GB"/>
        </w:rPr>
        <w:t>TUPE Transfer Plan Checklists</w:t>
      </w:r>
      <w:r w:rsidRPr="007F238D">
        <w:rPr>
          <w:rFonts w:ascii="Arial" w:hAnsi="Arial" w:cs="Arial"/>
          <w:sz w:val="24"/>
          <w:szCs w:val="24"/>
          <w:lang w:eastAsia="en-GB"/>
        </w:rPr>
        <w:t>. Available at: https://www.acas.org.uk/tupe-transfer-plan-checklist-templates</w:t>
      </w:r>
      <w:r w:rsidR="002F1160" w:rsidRPr="007F238D">
        <w:rPr>
          <w:rFonts w:ascii="Arial" w:hAnsi="Arial" w:cs="Arial"/>
          <w:sz w:val="24"/>
          <w:szCs w:val="24"/>
          <w:lang w:eastAsia="en-GB"/>
        </w:rPr>
        <w:t xml:space="preserve"> (Accessed: 01 May 2026).</w:t>
      </w:r>
    </w:p>
    <w:p w14:paraId="3F985681" w14:textId="5359D30E"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(2024e) </w:t>
      </w:r>
      <w:r w:rsidRPr="007F238D">
        <w:rPr>
          <w:rFonts w:ascii="Arial" w:hAnsi="Arial" w:cs="Arial"/>
          <w:i/>
          <w:iCs/>
          <w:sz w:val="24"/>
          <w:szCs w:val="24"/>
          <w:lang w:eastAsia="en-GB"/>
        </w:rPr>
        <w:t>What a TUPE Transfer Is</w:t>
      </w:r>
      <w:r w:rsidRPr="007F238D">
        <w:rPr>
          <w:rFonts w:ascii="Arial" w:hAnsi="Arial" w:cs="Arial"/>
          <w:sz w:val="24"/>
          <w:szCs w:val="24"/>
          <w:lang w:eastAsia="en-GB"/>
        </w:rPr>
        <w:t>. Available at: https://www.acas.org.uk/tupe/advice-for-employers-and-employees</w:t>
      </w:r>
      <w:r w:rsidR="002F1160" w:rsidRPr="007F238D">
        <w:rPr>
          <w:rFonts w:ascii="Arial" w:hAnsi="Arial" w:cs="Arial"/>
          <w:sz w:val="24"/>
          <w:szCs w:val="24"/>
          <w:lang w:eastAsia="en-GB"/>
        </w:rPr>
        <w:t xml:space="preserve"> (Accessed: 01 May 2026).</w:t>
      </w:r>
    </w:p>
    <w:p w14:paraId="523B56E6" w14:textId="55A3D38D"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(2024f) </w:t>
      </w:r>
      <w:r w:rsidRPr="007F238D">
        <w:rPr>
          <w:rFonts w:ascii="Arial" w:hAnsi="Arial" w:cs="Arial"/>
          <w:i/>
          <w:iCs/>
          <w:sz w:val="24"/>
          <w:szCs w:val="24"/>
          <w:lang w:eastAsia="en-GB"/>
        </w:rPr>
        <w:t>Zero-hours Contracts</w:t>
      </w:r>
      <w:r w:rsidRPr="007F238D">
        <w:rPr>
          <w:rFonts w:ascii="Arial" w:hAnsi="Arial" w:cs="Arial"/>
          <w:sz w:val="24"/>
          <w:szCs w:val="24"/>
          <w:lang w:eastAsia="en-GB"/>
        </w:rPr>
        <w:t>. Available at: https://www.acas.org.uk/zero-hours-contracts</w:t>
      </w:r>
      <w:r w:rsidR="00AC46B1" w:rsidRPr="007F238D">
        <w:rPr>
          <w:rFonts w:ascii="Arial" w:hAnsi="Arial" w:cs="Arial"/>
          <w:sz w:val="24"/>
          <w:szCs w:val="24"/>
          <w:lang w:eastAsia="en-GB"/>
        </w:rPr>
        <w:t xml:space="preserve"> (Accessed: 01 May 2026).</w:t>
      </w:r>
    </w:p>
    <w:p w14:paraId="49818CB2" w14:textId="48013C2F"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(2025) </w:t>
      </w:r>
      <w:r w:rsidRPr="007F238D">
        <w:rPr>
          <w:rFonts w:ascii="Arial" w:hAnsi="Arial" w:cs="Arial"/>
          <w:i/>
          <w:iCs/>
          <w:sz w:val="24"/>
          <w:szCs w:val="24"/>
          <w:lang w:eastAsia="en-GB"/>
        </w:rPr>
        <w:t>Harassment: Discrimination and the Equality Act 2010</w:t>
      </w:r>
      <w:r w:rsidRPr="007F238D">
        <w:rPr>
          <w:rFonts w:ascii="Arial" w:hAnsi="Arial" w:cs="Arial"/>
          <w:sz w:val="24"/>
          <w:szCs w:val="24"/>
          <w:lang w:eastAsia="en-GB"/>
        </w:rPr>
        <w:t>.</w:t>
      </w:r>
      <w:r w:rsidR="00984170" w:rsidRPr="007F238D">
        <w:rPr>
          <w:rFonts w:ascii="Arial" w:hAnsi="Arial" w:cs="Arial"/>
          <w:sz w:val="24"/>
          <w:szCs w:val="24"/>
          <w:lang w:eastAsia="en-GB"/>
        </w:rPr>
        <w:t xml:space="preserve"> </w:t>
      </w:r>
      <w:r w:rsidRPr="007F238D">
        <w:rPr>
          <w:rFonts w:ascii="Arial" w:hAnsi="Arial" w:cs="Arial"/>
          <w:sz w:val="24"/>
          <w:szCs w:val="24"/>
          <w:lang w:eastAsia="en-GB"/>
        </w:rPr>
        <w:t>Available at: https://www.acas.org.uk/discrimination-and-the-law/harassment</w:t>
      </w:r>
      <w:r w:rsidR="00984170" w:rsidRPr="007F238D">
        <w:rPr>
          <w:rFonts w:ascii="Arial" w:hAnsi="Arial" w:cs="Arial"/>
          <w:sz w:val="24"/>
          <w:szCs w:val="24"/>
          <w:lang w:eastAsia="en-GB"/>
        </w:rPr>
        <w:t xml:space="preserve"> (Accessed: 01 May 2026).</w:t>
      </w:r>
    </w:p>
    <w:p w14:paraId="09FF6C06" w14:textId="0D7B26D8"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(2026a) </w:t>
      </w:r>
      <w:r w:rsidRPr="007F238D">
        <w:rPr>
          <w:rFonts w:ascii="Arial" w:hAnsi="Arial" w:cs="Arial"/>
          <w:i/>
          <w:iCs/>
          <w:sz w:val="24"/>
          <w:szCs w:val="24"/>
          <w:lang w:eastAsia="en-GB"/>
        </w:rPr>
        <w:t>Collective Conciliation: Getting Voluntary Trade Union Recognition</w:t>
      </w:r>
      <w:r w:rsidRPr="007F238D">
        <w:rPr>
          <w:rFonts w:ascii="Arial" w:hAnsi="Arial" w:cs="Arial"/>
          <w:sz w:val="24"/>
          <w:szCs w:val="24"/>
          <w:lang w:eastAsia="en-GB"/>
        </w:rPr>
        <w:t>. Available at: https://www.acas.org.uk/collective-conciliation/getting-voluntary-trade-union-recognition</w:t>
      </w:r>
      <w:r w:rsidR="00984170" w:rsidRPr="007F238D">
        <w:rPr>
          <w:rFonts w:ascii="Arial" w:hAnsi="Arial" w:cs="Arial"/>
          <w:sz w:val="24"/>
          <w:szCs w:val="24"/>
          <w:lang w:eastAsia="en-GB"/>
        </w:rPr>
        <w:t xml:space="preserve"> (Accessed: 01 May 2026).</w:t>
      </w:r>
    </w:p>
    <w:p w14:paraId="26DFD01D" w14:textId="6EA04B56"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(2026b) </w:t>
      </w:r>
      <w:r w:rsidRPr="007F238D">
        <w:rPr>
          <w:rFonts w:ascii="Arial" w:hAnsi="Arial" w:cs="Arial"/>
          <w:i/>
          <w:iCs/>
          <w:sz w:val="24"/>
          <w:szCs w:val="24"/>
          <w:lang w:eastAsia="en-GB"/>
        </w:rPr>
        <w:t>Time to work constructively with trade unions</w:t>
      </w:r>
      <w:r w:rsidRPr="007F238D">
        <w:rPr>
          <w:rFonts w:ascii="Arial" w:hAnsi="Arial" w:cs="Arial"/>
          <w:sz w:val="24"/>
          <w:szCs w:val="24"/>
          <w:lang w:eastAsia="en-GB"/>
        </w:rPr>
        <w:t>. Available at: https://www.acas.org.uk/time-to-work-constructively-with-trade-unions</w:t>
      </w:r>
      <w:r w:rsidR="007465A6" w:rsidRPr="007F238D">
        <w:rPr>
          <w:rFonts w:ascii="Arial" w:hAnsi="Arial" w:cs="Arial"/>
          <w:sz w:val="24"/>
          <w:szCs w:val="24"/>
          <w:lang w:eastAsia="en-GB"/>
        </w:rPr>
        <w:t xml:space="preserve"> (Accessed: 01 May 2026).</w:t>
      </w:r>
    </w:p>
    <w:p w14:paraId="002FCAA0" w14:textId="36C956B6" w:rsidR="00F14C50" w:rsidRPr="007F238D" w:rsidRDefault="00F14C50" w:rsidP="00C14B63">
      <w:pPr>
        <w:rPr>
          <w:rFonts w:ascii="Arial" w:hAnsi="Arial" w:cs="Arial"/>
          <w:sz w:val="24"/>
          <w:szCs w:val="24"/>
          <w:lang w:eastAsia="en-GB"/>
        </w:rPr>
      </w:pPr>
      <w:r w:rsidRPr="007F238D">
        <w:rPr>
          <w:rFonts w:ascii="Arial" w:hAnsi="Arial" w:cs="Arial"/>
          <w:sz w:val="24"/>
          <w:szCs w:val="24"/>
          <w:lang w:eastAsia="en-GB"/>
        </w:rPr>
        <w:t>‘Allay (UK) Ltd v Mr S Gehlen’</w:t>
      </w:r>
      <w:r w:rsidRPr="007F238D">
        <w:rPr>
          <w:rFonts w:ascii="Arial" w:hAnsi="Arial" w:cs="Arial"/>
          <w:i/>
          <w:iCs/>
          <w:sz w:val="24"/>
          <w:szCs w:val="24"/>
          <w:lang w:eastAsia="en-GB"/>
        </w:rPr>
        <w:t xml:space="preserve"> </w:t>
      </w:r>
      <w:r w:rsidRPr="007F238D">
        <w:rPr>
          <w:rFonts w:ascii="Arial" w:hAnsi="Arial" w:cs="Arial"/>
          <w:sz w:val="24"/>
          <w:szCs w:val="24"/>
          <w:lang w:eastAsia="en-GB"/>
        </w:rPr>
        <w:t xml:space="preserve">(2021) EAT, 0031, 20, AT, </w:t>
      </w:r>
      <w:r w:rsidRPr="007F238D">
        <w:rPr>
          <w:rFonts w:ascii="Arial" w:hAnsi="Arial" w:cs="Arial"/>
          <w:i/>
          <w:iCs/>
          <w:sz w:val="24"/>
          <w:szCs w:val="24"/>
          <w:lang w:eastAsia="en-GB"/>
        </w:rPr>
        <w:t>UK Government.</w:t>
      </w:r>
      <w:r w:rsidRPr="007F238D">
        <w:rPr>
          <w:rFonts w:ascii="Arial" w:hAnsi="Arial" w:cs="Arial"/>
          <w:sz w:val="24"/>
          <w:szCs w:val="24"/>
          <w:lang w:eastAsia="en-GB"/>
        </w:rPr>
        <w:t xml:space="preserve"> Available at: https://www.gov.uk/employment-appeal-tribunal-decisions/allay-uk-ltd-v-mr-s-gehlen-ukeat-slash-0031-slash-20-slash-at (Accessed: 01 May 2026).</w:t>
      </w:r>
    </w:p>
    <w:p w14:paraId="77BEC25D" w14:textId="77777777" w:rsidR="00F14C50" w:rsidRPr="007F238D" w:rsidRDefault="00F14C50" w:rsidP="00C14B63">
      <w:pPr>
        <w:rPr>
          <w:rFonts w:ascii="Arial" w:hAnsi="Arial" w:cs="Arial"/>
          <w:sz w:val="24"/>
          <w:szCs w:val="24"/>
          <w:lang w:eastAsia="en-GB"/>
        </w:rPr>
      </w:pPr>
    </w:p>
    <w:p w14:paraId="733FA945" w14:textId="14BFB6A8"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lastRenderedPageBreak/>
        <w:t xml:space="preserve">Arnold, J., Randall, R. and Coyne, I. (2020) </w:t>
      </w:r>
      <w:r w:rsidRPr="007F238D">
        <w:rPr>
          <w:rFonts w:ascii="Arial" w:hAnsi="Arial" w:cs="Arial"/>
          <w:i/>
          <w:iCs/>
          <w:sz w:val="24"/>
          <w:szCs w:val="24"/>
          <w:lang w:eastAsia="en-GB"/>
        </w:rPr>
        <w:t>Work Psychology: Understanding Human Behaviour in the Workplace</w:t>
      </w:r>
      <w:r w:rsidRPr="007F238D">
        <w:rPr>
          <w:rFonts w:ascii="Arial" w:hAnsi="Arial" w:cs="Arial"/>
          <w:sz w:val="24"/>
          <w:szCs w:val="24"/>
          <w:lang w:eastAsia="en-GB"/>
        </w:rPr>
        <w:t>. 8th ed</w:t>
      </w:r>
      <w:r w:rsidR="006826C8" w:rsidRPr="007F238D">
        <w:rPr>
          <w:rFonts w:ascii="Arial" w:hAnsi="Arial" w:cs="Arial"/>
          <w:sz w:val="24"/>
          <w:szCs w:val="24"/>
          <w:lang w:eastAsia="en-GB"/>
        </w:rPr>
        <w:t>n</w:t>
      </w:r>
      <w:r w:rsidRPr="007F238D">
        <w:rPr>
          <w:rFonts w:ascii="Arial" w:hAnsi="Arial" w:cs="Arial"/>
          <w:sz w:val="24"/>
          <w:szCs w:val="24"/>
          <w:lang w:eastAsia="en-GB"/>
        </w:rPr>
        <w:t>. Pearson.</w:t>
      </w:r>
    </w:p>
    <w:p w14:paraId="6C4DB9DE" w14:textId="27BD3BEA"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Brione, P., Cunningham, S. and Zaidi, K. (2024) </w:t>
      </w:r>
      <w:r w:rsidRPr="007F238D">
        <w:rPr>
          <w:rFonts w:ascii="Arial" w:hAnsi="Arial" w:cs="Arial"/>
          <w:i/>
          <w:iCs/>
          <w:sz w:val="24"/>
          <w:szCs w:val="24"/>
          <w:lang w:eastAsia="en-GB"/>
        </w:rPr>
        <w:t>Zero-Hour Contracts</w:t>
      </w:r>
      <w:r w:rsidRPr="007F238D">
        <w:rPr>
          <w:rFonts w:ascii="Arial" w:hAnsi="Arial" w:cs="Arial"/>
          <w:sz w:val="24"/>
          <w:szCs w:val="24"/>
          <w:lang w:eastAsia="en-GB"/>
        </w:rPr>
        <w:t>. Available at: https://researchbriefings.files.parliament.uk/documents/SN06553/SN06553.pdf</w:t>
      </w:r>
      <w:r w:rsidR="00155DCA" w:rsidRPr="007F238D">
        <w:rPr>
          <w:rFonts w:ascii="Arial" w:hAnsi="Arial" w:cs="Arial"/>
          <w:sz w:val="24"/>
          <w:szCs w:val="24"/>
          <w:lang w:eastAsia="en-GB"/>
        </w:rPr>
        <w:t xml:space="preserve"> (Accessed: 01 May 2026).</w:t>
      </w:r>
    </w:p>
    <w:p w14:paraId="12C17A70" w14:textId="77777777" w:rsidR="00B9320E" w:rsidRPr="007F238D" w:rsidRDefault="00B9320E" w:rsidP="00C14B63">
      <w:pPr>
        <w:rPr>
          <w:rFonts w:ascii="Arial" w:hAnsi="Arial" w:cs="Arial"/>
          <w:sz w:val="24"/>
          <w:szCs w:val="24"/>
          <w:lang w:eastAsia="en-GB"/>
        </w:rPr>
      </w:pPr>
      <w:r w:rsidRPr="007F238D">
        <w:rPr>
          <w:rFonts w:ascii="Arial" w:hAnsi="Arial" w:cs="Arial"/>
          <w:sz w:val="24"/>
          <w:szCs w:val="24"/>
          <w:lang w:eastAsia="en-GB"/>
        </w:rPr>
        <w:t>‘British Airways Plc v Unite the Union’</w:t>
      </w:r>
      <w:r w:rsidRPr="007F238D">
        <w:rPr>
          <w:rFonts w:ascii="Arial" w:hAnsi="Arial" w:cs="Arial"/>
          <w:i/>
          <w:iCs/>
          <w:sz w:val="24"/>
          <w:szCs w:val="24"/>
          <w:lang w:eastAsia="en-GB"/>
        </w:rPr>
        <w:t xml:space="preserve"> </w:t>
      </w:r>
      <w:r w:rsidRPr="007F238D">
        <w:rPr>
          <w:rFonts w:ascii="Arial" w:hAnsi="Arial" w:cs="Arial"/>
          <w:sz w:val="24"/>
          <w:szCs w:val="24"/>
          <w:lang w:eastAsia="en-GB"/>
        </w:rPr>
        <w:t xml:space="preserve">(2010) EWHC, 1210, (QB), </w:t>
      </w:r>
      <w:r w:rsidRPr="007F238D">
        <w:rPr>
          <w:rFonts w:ascii="Arial" w:hAnsi="Arial" w:cs="Arial"/>
          <w:i/>
          <w:iCs/>
          <w:sz w:val="24"/>
          <w:szCs w:val="24"/>
          <w:lang w:eastAsia="en-GB"/>
        </w:rPr>
        <w:t>The National Archives</w:t>
      </w:r>
      <w:r w:rsidRPr="007F238D">
        <w:rPr>
          <w:rFonts w:ascii="Arial" w:hAnsi="Arial" w:cs="Arial"/>
          <w:sz w:val="24"/>
          <w:szCs w:val="24"/>
          <w:lang w:eastAsia="en-GB"/>
        </w:rPr>
        <w:t>. Available at: https://caselaw.nationalarchives.gov.uk/ewhc/qb/2010/1210?query=british+airways+unite (Accessed 01 May 2026).</w:t>
      </w:r>
    </w:p>
    <w:p w14:paraId="7CE078F3" w14:textId="4E145855"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Buchanan, D.A. and Huczynski, A. (2023) </w:t>
      </w:r>
      <w:r w:rsidRPr="007F238D">
        <w:rPr>
          <w:rFonts w:ascii="Arial" w:hAnsi="Arial" w:cs="Arial"/>
          <w:i/>
          <w:iCs/>
          <w:sz w:val="24"/>
          <w:szCs w:val="24"/>
          <w:lang w:eastAsia="en-GB"/>
        </w:rPr>
        <w:t>Organizational Behaviour</w:t>
      </w:r>
      <w:r w:rsidRPr="007F238D">
        <w:rPr>
          <w:rFonts w:ascii="Arial" w:hAnsi="Arial" w:cs="Arial"/>
          <w:sz w:val="24"/>
          <w:szCs w:val="24"/>
          <w:lang w:eastAsia="en-GB"/>
        </w:rPr>
        <w:t>. 11th ed</w:t>
      </w:r>
      <w:r w:rsidR="00155DCA" w:rsidRPr="007F238D">
        <w:rPr>
          <w:rFonts w:ascii="Arial" w:hAnsi="Arial" w:cs="Arial"/>
          <w:sz w:val="24"/>
          <w:szCs w:val="24"/>
          <w:lang w:eastAsia="en-GB"/>
        </w:rPr>
        <w:t>n</w:t>
      </w:r>
      <w:r w:rsidRPr="007F238D">
        <w:rPr>
          <w:rFonts w:ascii="Arial" w:hAnsi="Arial" w:cs="Arial"/>
          <w:sz w:val="24"/>
          <w:szCs w:val="24"/>
          <w:lang w:eastAsia="en-GB"/>
        </w:rPr>
        <w:t>. Pearson.</w:t>
      </w:r>
    </w:p>
    <w:p w14:paraId="4A8CF37E" w14:textId="38D34F31"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CIPD (2020) </w:t>
      </w:r>
      <w:r w:rsidRPr="007F238D">
        <w:rPr>
          <w:rFonts w:ascii="Arial" w:hAnsi="Arial" w:cs="Arial"/>
          <w:i/>
          <w:iCs/>
          <w:sz w:val="24"/>
          <w:szCs w:val="24"/>
          <w:lang w:eastAsia="en-GB"/>
        </w:rPr>
        <w:t>Managing conflict in the modern workplace report</w:t>
      </w:r>
      <w:r w:rsidRPr="007F238D">
        <w:rPr>
          <w:rFonts w:ascii="Arial" w:hAnsi="Arial" w:cs="Arial"/>
          <w:sz w:val="24"/>
          <w:szCs w:val="24"/>
          <w:lang w:eastAsia="en-GB"/>
        </w:rPr>
        <w:t>. Available at: https://www.cipd.org/globalassets/media/knowledge/knowledge-hub/reports/managing-conflict-in-the-workplace-2_tcm18-70655.pdf</w:t>
      </w:r>
      <w:r w:rsidR="003E2144" w:rsidRPr="007F238D">
        <w:rPr>
          <w:rFonts w:ascii="Arial" w:hAnsi="Arial" w:cs="Arial"/>
          <w:sz w:val="24"/>
          <w:szCs w:val="24"/>
          <w:lang w:eastAsia="en-GB"/>
        </w:rPr>
        <w:t xml:space="preserve"> (Accessed: 01 May 2026).</w:t>
      </w:r>
    </w:p>
    <w:p w14:paraId="1C66144C" w14:textId="44372341"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CIPD (2023) </w:t>
      </w:r>
      <w:r w:rsidRPr="007F238D">
        <w:rPr>
          <w:rFonts w:ascii="Arial" w:hAnsi="Arial" w:cs="Arial"/>
          <w:i/>
          <w:iCs/>
          <w:sz w:val="24"/>
          <w:szCs w:val="24"/>
          <w:lang w:eastAsia="en-GB"/>
        </w:rPr>
        <w:t>Effective people managers</w:t>
      </w:r>
      <w:r w:rsidR="00475475" w:rsidRPr="007F238D">
        <w:rPr>
          <w:rFonts w:ascii="Arial" w:hAnsi="Arial" w:cs="Arial"/>
          <w:i/>
          <w:iCs/>
          <w:sz w:val="24"/>
          <w:szCs w:val="24"/>
          <w:lang w:eastAsia="en-GB"/>
        </w:rPr>
        <w:t>:</w:t>
      </w:r>
      <w:r w:rsidRPr="007F238D">
        <w:rPr>
          <w:rFonts w:ascii="Arial" w:hAnsi="Arial" w:cs="Arial"/>
          <w:i/>
          <w:iCs/>
          <w:sz w:val="24"/>
          <w:szCs w:val="24"/>
          <w:lang w:eastAsia="en-GB"/>
        </w:rPr>
        <w:t xml:space="preserve"> An evidence review</w:t>
      </w:r>
      <w:r w:rsidR="00475475" w:rsidRPr="007F238D">
        <w:rPr>
          <w:rFonts w:ascii="Arial" w:hAnsi="Arial" w:cs="Arial"/>
          <w:sz w:val="24"/>
          <w:szCs w:val="24"/>
          <w:lang w:eastAsia="en-GB"/>
        </w:rPr>
        <w:t>.</w:t>
      </w:r>
      <w:r w:rsidRPr="007F238D">
        <w:rPr>
          <w:rFonts w:ascii="Arial" w:hAnsi="Arial" w:cs="Arial"/>
          <w:sz w:val="24"/>
          <w:szCs w:val="24"/>
          <w:lang w:eastAsia="en-GB"/>
        </w:rPr>
        <w:t xml:space="preserve"> Available at: https://www.cipd.org/globalassets/media/knowledge/knowledge-hub/evidence-reviews/2023-pdfs/8424-effective-people-managers-practice-summary.pdf </w:t>
      </w:r>
      <w:r w:rsidR="00475475" w:rsidRPr="007F238D">
        <w:rPr>
          <w:rFonts w:ascii="Arial" w:hAnsi="Arial" w:cs="Arial"/>
          <w:sz w:val="24"/>
          <w:szCs w:val="24"/>
          <w:lang w:eastAsia="en-GB"/>
        </w:rPr>
        <w:t>(Accessed: 01 May 2026).</w:t>
      </w:r>
    </w:p>
    <w:p w14:paraId="13257430" w14:textId="27ECFBE8"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CIPD (2024) </w:t>
      </w:r>
      <w:r w:rsidRPr="007F238D">
        <w:rPr>
          <w:rFonts w:ascii="Arial" w:hAnsi="Arial" w:cs="Arial"/>
          <w:i/>
          <w:iCs/>
          <w:sz w:val="24"/>
          <w:szCs w:val="24"/>
          <w:lang w:eastAsia="en-GB"/>
        </w:rPr>
        <w:t>A guide to TUPE transfers</w:t>
      </w:r>
      <w:r w:rsidRPr="007F238D">
        <w:rPr>
          <w:rFonts w:ascii="Arial" w:hAnsi="Arial" w:cs="Arial"/>
          <w:sz w:val="24"/>
          <w:szCs w:val="24"/>
          <w:lang w:eastAsia="en-GB"/>
        </w:rPr>
        <w:t>. Available at: https://www.cipd.org/uk/knowledge/guides/tupe-guide/</w:t>
      </w:r>
      <w:r w:rsidR="00324550" w:rsidRPr="007F238D">
        <w:rPr>
          <w:rFonts w:ascii="Arial" w:hAnsi="Arial" w:cs="Arial"/>
          <w:sz w:val="24"/>
          <w:szCs w:val="24"/>
          <w:lang w:eastAsia="en-GB"/>
        </w:rPr>
        <w:t xml:space="preserve"> </w:t>
      </w:r>
      <w:r w:rsidR="00B34285" w:rsidRPr="007F238D">
        <w:rPr>
          <w:rFonts w:ascii="Arial" w:hAnsi="Arial" w:cs="Arial"/>
          <w:sz w:val="24"/>
          <w:szCs w:val="24"/>
          <w:lang w:eastAsia="en-GB"/>
        </w:rPr>
        <w:t>(Accessed: 01 May 2026).</w:t>
      </w:r>
    </w:p>
    <w:p w14:paraId="1EE72158" w14:textId="4988CAF2"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CIPD (2025a) </w:t>
      </w:r>
      <w:r w:rsidRPr="007F238D">
        <w:rPr>
          <w:rFonts w:ascii="Arial" w:hAnsi="Arial" w:cs="Arial"/>
          <w:i/>
          <w:iCs/>
          <w:sz w:val="24"/>
          <w:szCs w:val="24"/>
          <w:lang w:eastAsia="en-GB"/>
        </w:rPr>
        <w:t>Corporate Governance</w:t>
      </w:r>
      <w:r w:rsidRPr="007F238D">
        <w:rPr>
          <w:rFonts w:ascii="Arial" w:hAnsi="Arial" w:cs="Arial"/>
          <w:sz w:val="24"/>
          <w:szCs w:val="24"/>
          <w:lang w:eastAsia="en-GB"/>
        </w:rPr>
        <w:t>. Available at: https://www.cipd.org/uk/knowledge/factsheets/corporate-governance-factsheet/</w:t>
      </w:r>
      <w:r w:rsidR="006112E0" w:rsidRPr="007F238D">
        <w:rPr>
          <w:rFonts w:ascii="Arial" w:hAnsi="Arial" w:cs="Arial"/>
          <w:sz w:val="24"/>
          <w:szCs w:val="24"/>
          <w:lang w:eastAsia="en-GB"/>
        </w:rPr>
        <w:t xml:space="preserve"> (Accessed: 01 May 2026).</w:t>
      </w:r>
    </w:p>
    <w:p w14:paraId="23F6E085" w14:textId="240321D0"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CIPD (2025b) </w:t>
      </w:r>
      <w:r w:rsidRPr="007F238D">
        <w:rPr>
          <w:rFonts w:ascii="Arial" w:hAnsi="Arial" w:cs="Arial"/>
          <w:i/>
          <w:iCs/>
          <w:sz w:val="24"/>
          <w:szCs w:val="24"/>
          <w:lang w:eastAsia="en-GB"/>
        </w:rPr>
        <w:t>Employee Engagement &amp; Motivation</w:t>
      </w:r>
      <w:r w:rsidR="009974DD" w:rsidRPr="007F238D">
        <w:rPr>
          <w:rFonts w:ascii="Arial" w:hAnsi="Arial" w:cs="Arial"/>
          <w:i/>
          <w:iCs/>
          <w:sz w:val="24"/>
          <w:szCs w:val="24"/>
          <w:lang w:eastAsia="en-GB"/>
        </w:rPr>
        <w:t xml:space="preserve">. </w:t>
      </w:r>
      <w:r w:rsidRPr="007F238D">
        <w:rPr>
          <w:rFonts w:ascii="Arial" w:hAnsi="Arial" w:cs="Arial"/>
          <w:sz w:val="24"/>
          <w:szCs w:val="24"/>
          <w:lang w:eastAsia="en-GB"/>
        </w:rPr>
        <w:t>Available at: https://www.cipd.org/uk/knowledge/factsheets/engagement-factsheet/#what-are-the-benefits-of-employee-engagement</w:t>
      </w:r>
      <w:r w:rsidR="009974DD" w:rsidRPr="007F238D">
        <w:rPr>
          <w:rFonts w:ascii="Arial" w:hAnsi="Arial" w:cs="Arial"/>
          <w:sz w:val="24"/>
          <w:szCs w:val="24"/>
          <w:lang w:eastAsia="en-GB"/>
        </w:rPr>
        <w:t xml:space="preserve"> (Accessed: 01 May 2026).</w:t>
      </w:r>
    </w:p>
    <w:p w14:paraId="511026F5" w14:textId="330C121B"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CIPD (2025c) </w:t>
      </w:r>
      <w:r w:rsidRPr="007F238D">
        <w:rPr>
          <w:rFonts w:ascii="Arial" w:hAnsi="Arial" w:cs="Arial"/>
          <w:i/>
          <w:iCs/>
          <w:sz w:val="24"/>
          <w:szCs w:val="24"/>
          <w:lang w:eastAsia="en-GB"/>
        </w:rPr>
        <w:t>UK industrial relations: a future with trade unions</w:t>
      </w:r>
      <w:r w:rsidRPr="007F238D">
        <w:rPr>
          <w:rFonts w:ascii="Arial" w:hAnsi="Arial" w:cs="Arial"/>
          <w:sz w:val="24"/>
          <w:szCs w:val="24"/>
          <w:lang w:eastAsia="en-GB"/>
        </w:rPr>
        <w:t>. Available at: https://www.cipd.org/uk/knowledge/reports/uk-industrial-relations-future-with-unions/</w:t>
      </w:r>
      <w:r w:rsidR="009974DD" w:rsidRPr="007F238D">
        <w:rPr>
          <w:rFonts w:ascii="Arial" w:hAnsi="Arial" w:cs="Arial"/>
          <w:sz w:val="24"/>
          <w:szCs w:val="24"/>
          <w:lang w:eastAsia="en-GB"/>
        </w:rPr>
        <w:t xml:space="preserve"> </w:t>
      </w:r>
      <w:r w:rsidR="00AA5CF0" w:rsidRPr="007F238D">
        <w:rPr>
          <w:rFonts w:ascii="Arial" w:hAnsi="Arial" w:cs="Arial"/>
          <w:sz w:val="24"/>
          <w:szCs w:val="24"/>
          <w:lang w:eastAsia="en-GB"/>
        </w:rPr>
        <w:t>(Accessed: 01 May 2026).</w:t>
      </w:r>
    </w:p>
    <w:p w14:paraId="73B35A45" w14:textId="2C1887B4"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CIPD (2025d) </w:t>
      </w:r>
      <w:r w:rsidRPr="007F238D">
        <w:rPr>
          <w:rFonts w:ascii="Arial" w:hAnsi="Arial" w:cs="Arial"/>
          <w:i/>
          <w:iCs/>
          <w:sz w:val="24"/>
          <w:szCs w:val="24"/>
          <w:lang w:eastAsia="en-GB"/>
        </w:rPr>
        <w:t>CIPD Good Work Index 2025</w:t>
      </w:r>
      <w:r w:rsidRPr="007F238D">
        <w:rPr>
          <w:rFonts w:ascii="Arial" w:hAnsi="Arial" w:cs="Arial"/>
          <w:sz w:val="24"/>
          <w:szCs w:val="24"/>
          <w:lang w:eastAsia="en-GB"/>
        </w:rPr>
        <w:t>. Available at: https://www.cipd.org/globalassets/media/knowledge/knowledge-hub/reports/2025-pdfs/8868-good-work-index-2025-report-web1.pdf</w:t>
      </w:r>
      <w:r w:rsidR="00AA5CF0" w:rsidRPr="007F238D">
        <w:rPr>
          <w:rFonts w:ascii="Arial" w:hAnsi="Arial" w:cs="Arial"/>
          <w:sz w:val="24"/>
          <w:szCs w:val="24"/>
          <w:lang w:eastAsia="en-GB"/>
        </w:rPr>
        <w:t xml:space="preserve"> (Accessed: 01 May 2026).</w:t>
      </w:r>
    </w:p>
    <w:p w14:paraId="429AFE08" w14:textId="1E52B7A9"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CIPD (2025e) </w:t>
      </w:r>
      <w:r w:rsidRPr="007F238D">
        <w:rPr>
          <w:rFonts w:ascii="Arial" w:hAnsi="Arial" w:cs="Arial"/>
          <w:i/>
          <w:iCs/>
          <w:sz w:val="24"/>
          <w:szCs w:val="24"/>
          <w:lang w:eastAsia="en-GB"/>
        </w:rPr>
        <w:t>TUPE (transfer of undertakings): an introduction</w:t>
      </w:r>
      <w:r w:rsidRPr="007F238D">
        <w:rPr>
          <w:rFonts w:ascii="Arial" w:hAnsi="Arial" w:cs="Arial"/>
          <w:sz w:val="24"/>
          <w:szCs w:val="24"/>
          <w:lang w:eastAsia="en-GB"/>
        </w:rPr>
        <w:t>. Available at: https://www.cipd.org/uk/knowledge/factsheets/tupe-factsheet/</w:t>
      </w:r>
      <w:r w:rsidR="004A1379" w:rsidRPr="007F238D">
        <w:rPr>
          <w:rFonts w:ascii="Arial" w:hAnsi="Arial" w:cs="Arial"/>
          <w:sz w:val="24"/>
          <w:szCs w:val="24"/>
          <w:lang w:eastAsia="en-GB"/>
        </w:rPr>
        <w:t xml:space="preserve"> (Accessed: 01 May 2026).</w:t>
      </w:r>
    </w:p>
    <w:p w14:paraId="4F104136" w14:textId="248F739D"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CIPD (2025f) </w:t>
      </w:r>
      <w:r w:rsidRPr="007F238D">
        <w:rPr>
          <w:rFonts w:ascii="Arial" w:hAnsi="Arial" w:cs="Arial"/>
          <w:i/>
          <w:iCs/>
          <w:sz w:val="24"/>
          <w:szCs w:val="24"/>
          <w:lang w:eastAsia="en-GB"/>
        </w:rPr>
        <w:t>Workforce Planning</w:t>
      </w:r>
      <w:r w:rsidRPr="007F238D">
        <w:rPr>
          <w:rFonts w:ascii="Arial" w:hAnsi="Arial" w:cs="Arial"/>
          <w:sz w:val="24"/>
          <w:szCs w:val="24"/>
          <w:lang w:eastAsia="en-GB"/>
        </w:rPr>
        <w:t>. Available at: https://www.cipd.org/uk/knowledge/factsheets/workforce-planning-factsheet/</w:t>
      </w:r>
      <w:r w:rsidR="004A1379" w:rsidRPr="007F238D">
        <w:rPr>
          <w:rFonts w:ascii="Arial" w:hAnsi="Arial" w:cs="Arial"/>
          <w:sz w:val="24"/>
          <w:szCs w:val="24"/>
          <w:lang w:eastAsia="en-GB"/>
        </w:rPr>
        <w:t xml:space="preserve"> (Accessed: 01 May 2026).</w:t>
      </w:r>
    </w:p>
    <w:p w14:paraId="3DA29952" w14:textId="12F3C0CB"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lastRenderedPageBreak/>
        <w:t xml:space="preserve">CIPD (2026a) </w:t>
      </w:r>
      <w:r w:rsidRPr="007F238D">
        <w:rPr>
          <w:rFonts w:ascii="Arial" w:hAnsi="Arial" w:cs="Arial"/>
          <w:i/>
          <w:iCs/>
          <w:sz w:val="24"/>
          <w:szCs w:val="24"/>
          <w:lang w:eastAsia="en-GB"/>
        </w:rPr>
        <w:t>Data Protection</w:t>
      </w:r>
      <w:r w:rsidRPr="007F238D">
        <w:rPr>
          <w:rFonts w:ascii="Arial" w:hAnsi="Arial" w:cs="Arial"/>
          <w:sz w:val="24"/>
          <w:szCs w:val="24"/>
          <w:lang w:eastAsia="en-GB"/>
        </w:rPr>
        <w:t>. Available at: https://www.cipd.org/uk/knowledge/employment-law/data-protection/</w:t>
      </w:r>
      <w:r w:rsidR="004A1379" w:rsidRPr="007F238D">
        <w:rPr>
          <w:rFonts w:ascii="Arial" w:hAnsi="Arial" w:cs="Arial"/>
          <w:sz w:val="24"/>
          <w:szCs w:val="24"/>
          <w:lang w:eastAsia="en-GB"/>
        </w:rPr>
        <w:t xml:space="preserve"> (Accessed: 01 May 2026).</w:t>
      </w:r>
    </w:p>
    <w:p w14:paraId="21E0BD6D" w14:textId="7E606DC3"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CIPD (2026b)</w:t>
      </w:r>
      <w:r w:rsidR="00487FA4" w:rsidRPr="007F238D">
        <w:rPr>
          <w:rFonts w:ascii="Arial" w:hAnsi="Arial" w:cs="Arial"/>
          <w:sz w:val="24"/>
          <w:szCs w:val="24"/>
          <w:lang w:eastAsia="en-GB"/>
        </w:rPr>
        <w:t xml:space="preserve"> </w:t>
      </w:r>
      <w:r w:rsidRPr="007F238D">
        <w:rPr>
          <w:rFonts w:ascii="Arial" w:hAnsi="Arial" w:cs="Arial"/>
          <w:i/>
          <w:iCs/>
          <w:sz w:val="24"/>
          <w:szCs w:val="24"/>
          <w:lang w:eastAsia="en-GB"/>
        </w:rPr>
        <w:t>Trade Unions</w:t>
      </w:r>
      <w:r w:rsidRPr="007F238D">
        <w:rPr>
          <w:rFonts w:ascii="Arial" w:hAnsi="Arial" w:cs="Arial"/>
          <w:sz w:val="24"/>
          <w:szCs w:val="24"/>
          <w:lang w:eastAsia="en-GB"/>
        </w:rPr>
        <w:t>. Available at: https://www.cipd.org/uk/knowledge/factsheets/trade-unions-factsheet/</w:t>
      </w:r>
      <w:r w:rsidR="00487FA4" w:rsidRPr="007F238D">
        <w:rPr>
          <w:rFonts w:ascii="Arial" w:hAnsi="Arial" w:cs="Arial"/>
          <w:sz w:val="24"/>
          <w:szCs w:val="24"/>
          <w:lang w:eastAsia="en-GB"/>
        </w:rPr>
        <w:t xml:space="preserve"> (Accessed: 01 May 2026).</w:t>
      </w:r>
    </w:p>
    <w:p w14:paraId="45CFC1E2" w14:textId="1F72F0CB"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CIPD (2026c) </w:t>
      </w:r>
      <w:r w:rsidRPr="007F238D">
        <w:rPr>
          <w:rFonts w:ascii="Arial" w:hAnsi="Arial" w:cs="Arial"/>
          <w:i/>
          <w:iCs/>
          <w:sz w:val="24"/>
          <w:szCs w:val="24"/>
          <w:lang w:eastAsia="en-GB"/>
        </w:rPr>
        <w:t>Trade Union Recognition and Industrial action: UK Employment Law</w:t>
      </w:r>
      <w:r w:rsidRPr="007F238D">
        <w:rPr>
          <w:rFonts w:ascii="Arial" w:hAnsi="Arial" w:cs="Arial"/>
          <w:sz w:val="24"/>
          <w:szCs w:val="24"/>
          <w:lang w:eastAsia="en-GB"/>
        </w:rPr>
        <w:t>. Available at: https://www.cipd.org/uk/knowledge/employment-law/employee-relations/</w:t>
      </w:r>
      <w:r w:rsidR="008D3B16" w:rsidRPr="007F238D">
        <w:rPr>
          <w:rFonts w:ascii="Arial" w:hAnsi="Arial" w:cs="Arial"/>
          <w:sz w:val="24"/>
          <w:szCs w:val="24"/>
          <w:lang w:eastAsia="en-GB"/>
        </w:rPr>
        <w:t xml:space="preserve"> (Accessed: 01 May 2026).</w:t>
      </w:r>
    </w:p>
    <w:p w14:paraId="4E4DD949" w14:textId="289CEB76"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CIPD (2026d) </w:t>
      </w:r>
      <w:r w:rsidRPr="007F238D">
        <w:rPr>
          <w:rFonts w:ascii="Arial" w:hAnsi="Arial" w:cs="Arial"/>
          <w:i/>
          <w:iCs/>
          <w:sz w:val="24"/>
          <w:szCs w:val="24"/>
          <w:lang w:eastAsia="en-GB"/>
        </w:rPr>
        <w:t>Working with Trade Unions</w:t>
      </w:r>
      <w:r w:rsidRPr="007F238D">
        <w:rPr>
          <w:rFonts w:ascii="Arial" w:hAnsi="Arial" w:cs="Arial"/>
          <w:sz w:val="24"/>
          <w:szCs w:val="24"/>
          <w:lang w:eastAsia="en-GB"/>
        </w:rPr>
        <w:t>. Available at: https://www.cipd.org/uk/knowledge/guides/working-trade-unions/</w:t>
      </w:r>
      <w:r w:rsidR="002B3491" w:rsidRPr="007F238D">
        <w:rPr>
          <w:rFonts w:ascii="Arial" w:hAnsi="Arial" w:cs="Arial"/>
          <w:sz w:val="24"/>
          <w:szCs w:val="24"/>
          <w:lang w:eastAsia="en-GB"/>
        </w:rPr>
        <w:t xml:space="preserve"> (Accessed: 01 May 2026).</w:t>
      </w:r>
    </w:p>
    <w:p w14:paraId="1B95ABB9" w14:textId="0FDA9004"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Cooper, A. and Neal, A. (2025) </w:t>
      </w:r>
      <w:r w:rsidRPr="007F238D">
        <w:rPr>
          <w:rFonts w:ascii="Arial" w:hAnsi="Arial" w:cs="Arial"/>
          <w:i/>
          <w:iCs/>
          <w:sz w:val="24"/>
          <w:szCs w:val="24"/>
          <w:lang w:eastAsia="en-GB"/>
        </w:rPr>
        <w:t>Under Investigation: Transforming Disciplinary Practice in the Workplace</w:t>
      </w:r>
      <w:r w:rsidRPr="007F238D">
        <w:rPr>
          <w:rFonts w:ascii="Arial" w:hAnsi="Arial" w:cs="Arial"/>
          <w:sz w:val="24"/>
          <w:szCs w:val="24"/>
          <w:lang w:eastAsia="en-GB"/>
        </w:rPr>
        <w:t>. Bristol University Press.</w:t>
      </w:r>
    </w:p>
    <w:p w14:paraId="57E9A8C1" w14:textId="3EB0D9C8"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D’Souza, D. (2026) </w:t>
      </w:r>
      <w:r w:rsidRPr="007F238D">
        <w:rPr>
          <w:rFonts w:ascii="Arial" w:hAnsi="Arial" w:cs="Arial"/>
          <w:i/>
          <w:iCs/>
          <w:sz w:val="24"/>
          <w:szCs w:val="24"/>
          <w:lang w:eastAsia="en-GB"/>
        </w:rPr>
        <w:t>Time to Work Constructively with Trade Unions</w:t>
      </w:r>
      <w:r w:rsidRPr="007F238D">
        <w:rPr>
          <w:rFonts w:ascii="Arial" w:hAnsi="Arial" w:cs="Arial"/>
          <w:sz w:val="24"/>
          <w:szCs w:val="24"/>
          <w:lang w:eastAsia="en-GB"/>
        </w:rPr>
        <w:t>. Available at: https://www.acas.org.uk/time-to-work-constructively-with-trade-unions</w:t>
      </w:r>
      <w:r w:rsidR="009C088C" w:rsidRPr="007F238D">
        <w:rPr>
          <w:rFonts w:ascii="Arial" w:hAnsi="Arial" w:cs="Arial"/>
          <w:sz w:val="24"/>
          <w:szCs w:val="24"/>
          <w:lang w:eastAsia="en-GB"/>
        </w:rPr>
        <w:t xml:space="preserve"> (Accessed: 01 May 2026).</w:t>
      </w:r>
    </w:p>
    <w:p w14:paraId="39FBD811" w14:textId="200B37FC"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Daniels, K. (2025) </w:t>
      </w:r>
      <w:r w:rsidRPr="007F238D">
        <w:rPr>
          <w:rFonts w:ascii="Arial" w:hAnsi="Arial" w:cs="Arial"/>
          <w:i/>
          <w:iCs/>
          <w:sz w:val="24"/>
          <w:szCs w:val="24"/>
          <w:lang w:eastAsia="en-GB"/>
        </w:rPr>
        <w:t>Introduction to Employment Law: Fundamentals for HR and Business Students</w:t>
      </w:r>
      <w:r w:rsidRPr="007F238D">
        <w:rPr>
          <w:rFonts w:ascii="Arial" w:hAnsi="Arial" w:cs="Arial"/>
          <w:sz w:val="24"/>
          <w:szCs w:val="24"/>
          <w:lang w:eastAsia="en-GB"/>
        </w:rPr>
        <w:t>. 7th ed</w:t>
      </w:r>
      <w:r w:rsidR="00D71CEB" w:rsidRPr="007F238D">
        <w:rPr>
          <w:rFonts w:ascii="Arial" w:hAnsi="Arial" w:cs="Arial"/>
          <w:sz w:val="24"/>
          <w:szCs w:val="24"/>
          <w:lang w:eastAsia="en-GB"/>
        </w:rPr>
        <w:t>n</w:t>
      </w:r>
      <w:r w:rsidRPr="007F238D">
        <w:rPr>
          <w:rFonts w:ascii="Arial" w:hAnsi="Arial" w:cs="Arial"/>
          <w:sz w:val="24"/>
          <w:szCs w:val="24"/>
          <w:lang w:eastAsia="en-GB"/>
        </w:rPr>
        <w:t>. Chartered Institute of Personnel &amp; Development.</w:t>
      </w:r>
    </w:p>
    <w:p w14:paraId="71CA74A2" w14:textId="355E3B8D" w:rsidR="005660CF" w:rsidRPr="007F238D" w:rsidRDefault="005660CF" w:rsidP="00C14B63">
      <w:pPr>
        <w:rPr>
          <w:rFonts w:ascii="Arial" w:hAnsi="Arial" w:cs="Arial"/>
          <w:sz w:val="24"/>
          <w:szCs w:val="24"/>
          <w:lang w:eastAsia="en-GB"/>
        </w:rPr>
      </w:pPr>
      <w:r w:rsidRPr="007F238D">
        <w:rPr>
          <w:rFonts w:ascii="Arial" w:hAnsi="Arial" w:cs="Arial"/>
          <w:sz w:val="24"/>
          <w:szCs w:val="24"/>
          <w:lang w:eastAsia="en-GB"/>
        </w:rPr>
        <w:t>‘De Souza v Vinci Construction (UK) Ltd’</w:t>
      </w:r>
      <w:r w:rsidRPr="007F238D">
        <w:rPr>
          <w:rFonts w:ascii="Arial" w:hAnsi="Arial" w:cs="Arial"/>
          <w:i/>
          <w:iCs/>
          <w:sz w:val="24"/>
          <w:szCs w:val="24"/>
          <w:lang w:eastAsia="en-GB"/>
        </w:rPr>
        <w:t xml:space="preserve"> </w:t>
      </w:r>
      <w:r w:rsidRPr="007F238D">
        <w:rPr>
          <w:rFonts w:ascii="Arial" w:hAnsi="Arial" w:cs="Arial"/>
          <w:sz w:val="24"/>
          <w:szCs w:val="24"/>
          <w:lang w:eastAsia="en-GB"/>
        </w:rPr>
        <w:t xml:space="preserve">(2017) EWCA Civ, 879, </w:t>
      </w:r>
      <w:r w:rsidRPr="007F238D">
        <w:rPr>
          <w:rFonts w:ascii="Arial" w:hAnsi="Arial" w:cs="Arial"/>
          <w:i/>
          <w:iCs/>
          <w:sz w:val="24"/>
          <w:szCs w:val="24"/>
          <w:lang w:eastAsia="en-GB"/>
        </w:rPr>
        <w:t>The National Archives.</w:t>
      </w:r>
      <w:r w:rsidRPr="007F238D">
        <w:rPr>
          <w:rFonts w:ascii="Arial" w:hAnsi="Arial" w:cs="Arial"/>
          <w:sz w:val="24"/>
          <w:szCs w:val="24"/>
          <w:lang w:eastAsia="en-GB"/>
        </w:rPr>
        <w:t xml:space="preserve"> Available at: https://caselaw.nationalarchives.gov.uk/ewca/civ/2017/879?query=de+souza+vinci (Accessed 01 May 2026).</w:t>
      </w:r>
    </w:p>
    <w:p w14:paraId="1E592CBE" w14:textId="358FAD98"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Hayden, D. (2025) </w:t>
      </w:r>
      <w:r w:rsidRPr="007F238D">
        <w:rPr>
          <w:rFonts w:ascii="Arial" w:hAnsi="Arial" w:cs="Arial"/>
          <w:i/>
          <w:iCs/>
          <w:sz w:val="24"/>
          <w:szCs w:val="24"/>
          <w:lang w:eastAsia="en-GB"/>
        </w:rPr>
        <w:t>Learning &amp; Development Strategy and Policy</w:t>
      </w:r>
      <w:r w:rsidRPr="007F238D">
        <w:rPr>
          <w:rFonts w:ascii="Arial" w:hAnsi="Arial" w:cs="Arial"/>
          <w:sz w:val="24"/>
          <w:szCs w:val="24"/>
          <w:lang w:eastAsia="en-GB"/>
        </w:rPr>
        <w:t>.</w:t>
      </w:r>
      <w:r w:rsidR="00DB16B2" w:rsidRPr="007F238D">
        <w:rPr>
          <w:rFonts w:ascii="Arial" w:hAnsi="Arial" w:cs="Arial"/>
          <w:sz w:val="24"/>
          <w:szCs w:val="24"/>
          <w:lang w:eastAsia="en-GB"/>
        </w:rPr>
        <w:t xml:space="preserve"> </w:t>
      </w:r>
      <w:r w:rsidRPr="007F238D">
        <w:rPr>
          <w:rFonts w:ascii="Arial" w:hAnsi="Arial" w:cs="Arial"/>
          <w:sz w:val="24"/>
          <w:szCs w:val="24"/>
          <w:lang w:eastAsia="en-GB"/>
        </w:rPr>
        <w:t>Available at: https://www.cipd.org/uk/knowledge/factsheets/strategy-development-factsheet</w:t>
      </w:r>
      <w:r w:rsidR="00DB16B2" w:rsidRPr="007F238D">
        <w:rPr>
          <w:rFonts w:ascii="Arial" w:hAnsi="Arial" w:cs="Arial"/>
          <w:sz w:val="24"/>
          <w:szCs w:val="24"/>
          <w:lang w:eastAsia="en-GB"/>
        </w:rPr>
        <w:t xml:space="preserve"> (Accessed: 01 May 2026).</w:t>
      </w:r>
    </w:p>
    <w:p w14:paraId="29545D08" w14:textId="77777777" w:rsidR="00306576"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ICO (2023) </w:t>
      </w:r>
      <w:r w:rsidRPr="007F238D">
        <w:rPr>
          <w:rFonts w:ascii="Arial" w:hAnsi="Arial" w:cs="Arial"/>
          <w:i/>
          <w:iCs/>
          <w:sz w:val="24"/>
          <w:szCs w:val="24"/>
          <w:lang w:eastAsia="en-GB"/>
        </w:rPr>
        <w:t>A Guide to the Data Protection Principles</w:t>
      </w:r>
      <w:r w:rsidRPr="007F238D">
        <w:rPr>
          <w:rFonts w:ascii="Arial" w:hAnsi="Arial" w:cs="Arial"/>
          <w:sz w:val="24"/>
          <w:szCs w:val="24"/>
          <w:lang w:eastAsia="en-GB"/>
        </w:rPr>
        <w:t>. Available at: https://ico.org.uk/for-organisations/uk-gdpr-guidance-and-resources/data-protection-principles/a-guide-to-the-data-protection-principles/</w:t>
      </w:r>
      <w:r w:rsidR="00164C9C" w:rsidRPr="007F238D">
        <w:rPr>
          <w:rFonts w:ascii="Arial" w:hAnsi="Arial" w:cs="Arial"/>
          <w:sz w:val="24"/>
          <w:szCs w:val="24"/>
          <w:lang w:eastAsia="en-GB"/>
        </w:rPr>
        <w:t xml:space="preserve"> (Accessed: 01 May 2026).</w:t>
      </w:r>
    </w:p>
    <w:p w14:paraId="2220409F" w14:textId="2766AF00" w:rsidR="007641FE" w:rsidRPr="007F238D" w:rsidRDefault="007641FE" w:rsidP="00C14B63">
      <w:pPr>
        <w:rPr>
          <w:rFonts w:ascii="Arial" w:hAnsi="Arial" w:cs="Arial"/>
          <w:sz w:val="24"/>
          <w:szCs w:val="24"/>
          <w:lang w:eastAsia="en-GB"/>
        </w:rPr>
      </w:pPr>
      <w:r w:rsidRPr="007F238D">
        <w:rPr>
          <w:rFonts w:ascii="Arial" w:hAnsi="Arial" w:cs="Arial"/>
          <w:sz w:val="24"/>
          <w:szCs w:val="24"/>
          <w:lang w:eastAsia="en-GB"/>
        </w:rPr>
        <w:t xml:space="preserve">‘Kostal UK Ltd v Dunkley and others’ (2021) UKSC, 47, </w:t>
      </w:r>
      <w:r w:rsidRPr="007F238D">
        <w:rPr>
          <w:rFonts w:ascii="Arial" w:hAnsi="Arial" w:cs="Arial"/>
          <w:i/>
          <w:iCs/>
          <w:sz w:val="24"/>
          <w:szCs w:val="24"/>
          <w:lang w:eastAsia="en-GB"/>
        </w:rPr>
        <w:t>The National Archives</w:t>
      </w:r>
      <w:r w:rsidRPr="007F238D">
        <w:rPr>
          <w:rFonts w:ascii="Arial" w:hAnsi="Arial" w:cs="Arial"/>
          <w:sz w:val="24"/>
          <w:szCs w:val="24"/>
          <w:lang w:eastAsia="en-GB"/>
        </w:rPr>
        <w:t>. Available at: https://caselaw.nationalarchives.gov.uk/uksc/2021/47?query=kostal+uk+ltd+dunkley (Accessed 01 May 2026).</w:t>
      </w:r>
    </w:p>
    <w:p w14:paraId="147E1845" w14:textId="104780AE"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Lewis, D., Sargeant, M. and Schwab, B. (2023) </w:t>
      </w:r>
      <w:r w:rsidRPr="007F238D">
        <w:rPr>
          <w:rFonts w:ascii="Arial" w:hAnsi="Arial" w:cs="Arial"/>
          <w:i/>
          <w:iCs/>
          <w:sz w:val="24"/>
          <w:szCs w:val="24"/>
          <w:lang w:eastAsia="en-GB"/>
        </w:rPr>
        <w:t>Employment Law: the Essentials</w:t>
      </w:r>
      <w:r w:rsidRPr="007F238D">
        <w:rPr>
          <w:rFonts w:ascii="Arial" w:hAnsi="Arial" w:cs="Arial"/>
          <w:sz w:val="24"/>
          <w:szCs w:val="24"/>
          <w:lang w:eastAsia="en-GB"/>
        </w:rPr>
        <w:t>. 16th ed</w:t>
      </w:r>
      <w:r w:rsidR="00D71CEB" w:rsidRPr="007F238D">
        <w:rPr>
          <w:rFonts w:ascii="Arial" w:hAnsi="Arial" w:cs="Arial"/>
          <w:sz w:val="24"/>
          <w:szCs w:val="24"/>
          <w:lang w:eastAsia="en-GB"/>
        </w:rPr>
        <w:t>n</w:t>
      </w:r>
      <w:r w:rsidRPr="007F238D">
        <w:rPr>
          <w:rFonts w:ascii="Arial" w:hAnsi="Arial" w:cs="Arial"/>
          <w:sz w:val="24"/>
          <w:szCs w:val="24"/>
          <w:lang w:eastAsia="en-GB"/>
        </w:rPr>
        <w:t>. Kogan Page Limited.</w:t>
      </w:r>
    </w:p>
    <w:p w14:paraId="4475B9ED" w14:textId="4834919D"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Lockton, D. (2011) </w:t>
      </w:r>
      <w:r w:rsidRPr="007F238D">
        <w:rPr>
          <w:rFonts w:ascii="Arial" w:hAnsi="Arial" w:cs="Arial"/>
          <w:i/>
          <w:iCs/>
          <w:sz w:val="24"/>
          <w:szCs w:val="24"/>
          <w:lang w:eastAsia="en-GB"/>
        </w:rPr>
        <w:t>Employment Law</w:t>
      </w:r>
      <w:r w:rsidRPr="007F238D">
        <w:rPr>
          <w:rFonts w:ascii="Arial" w:hAnsi="Arial" w:cs="Arial"/>
          <w:sz w:val="24"/>
          <w:szCs w:val="24"/>
          <w:lang w:eastAsia="en-GB"/>
        </w:rPr>
        <w:t>. 8th ed</w:t>
      </w:r>
      <w:r w:rsidR="00D71CEB" w:rsidRPr="007F238D">
        <w:rPr>
          <w:rFonts w:ascii="Arial" w:hAnsi="Arial" w:cs="Arial"/>
          <w:sz w:val="24"/>
          <w:szCs w:val="24"/>
          <w:lang w:eastAsia="en-GB"/>
        </w:rPr>
        <w:t>n</w:t>
      </w:r>
      <w:r w:rsidRPr="007F238D">
        <w:rPr>
          <w:rFonts w:ascii="Arial" w:hAnsi="Arial" w:cs="Arial"/>
          <w:sz w:val="24"/>
          <w:szCs w:val="24"/>
          <w:lang w:eastAsia="en-GB"/>
        </w:rPr>
        <w:t>. Palgrave Macmillan.</w:t>
      </w:r>
    </w:p>
    <w:p w14:paraId="0DBF9926" w14:textId="5971C941"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Mullins, L.J. and Garry Rees (2019) </w:t>
      </w:r>
      <w:r w:rsidRPr="007F238D">
        <w:rPr>
          <w:rFonts w:ascii="Arial" w:hAnsi="Arial" w:cs="Arial"/>
          <w:i/>
          <w:iCs/>
          <w:sz w:val="24"/>
          <w:szCs w:val="24"/>
          <w:lang w:eastAsia="en-GB"/>
        </w:rPr>
        <w:t>Organisational Behaviour in the Workplace</w:t>
      </w:r>
      <w:r w:rsidRPr="007F238D">
        <w:rPr>
          <w:rFonts w:ascii="Arial" w:hAnsi="Arial" w:cs="Arial"/>
          <w:sz w:val="24"/>
          <w:szCs w:val="24"/>
          <w:lang w:eastAsia="en-GB"/>
        </w:rPr>
        <w:t>. 12th ed</w:t>
      </w:r>
      <w:r w:rsidR="00D71CEB" w:rsidRPr="007F238D">
        <w:rPr>
          <w:rFonts w:ascii="Arial" w:hAnsi="Arial" w:cs="Arial"/>
          <w:sz w:val="24"/>
          <w:szCs w:val="24"/>
          <w:lang w:eastAsia="en-GB"/>
        </w:rPr>
        <w:t>n</w:t>
      </w:r>
      <w:r w:rsidRPr="007F238D">
        <w:rPr>
          <w:rFonts w:ascii="Arial" w:hAnsi="Arial" w:cs="Arial"/>
          <w:sz w:val="24"/>
          <w:szCs w:val="24"/>
          <w:lang w:eastAsia="en-GB"/>
        </w:rPr>
        <w:t>. Pearson.</w:t>
      </w:r>
    </w:p>
    <w:p w14:paraId="2C590864" w14:textId="4AC26557"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lastRenderedPageBreak/>
        <w:t xml:space="preserve">Rubenstein, M. (2015) </w:t>
      </w:r>
      <w:r w:rsidRPr="007F238D">
        <w:rPr>
          <w:rFonts w:ascii="Arial" w:hAnsi="Arial" w:cs="Arial"/>
          <w:i/>
          <w:iCs/>
          <w:sz w:val="24"/>
          <w:szCs w:val="24"/>
          <w:lang w:eastAsia="en-GB"/>
        </w:rPr>
        <w:t xml:space="preserve">Discrimination: </w:t>
      </w:r>
      <w:r w:rsidR="00B22930" w:rsidRPr="007F238D">
        <w:rPr>
          <w:rFonts w:ascii="Arial" w:hAnsi="Arial" w:cs="Arial"/>
          <w:i/>
          <w:iCs/>
          <w:sz w:val="24"/>
          <w:szCs w:val="24"/>
          <w:lang w:eastAsia="en-GB"/>
        </w:rPr>
        <w:t>A</w:t>
      </w:r>
      <w:r w:rsidRPr="007F238D">
        <w:rPr>
          <w:rFonts w:ascii="Arial" w:hAnsi="Arial" w:cs="Arial"/>
          <w:i/>
          <w:iCs/>
          <w:sz w:val="24"/>
          <w:szCs w:val="24"/>
          <w:lang w:eastAsia="en-GB"/>
        </w:rPr>
        <w:t xml:space="preserve"> Guide to the Relevant Case Law</w:t>
      </w:r>
      <w:r w:rsidRPr="007F238D">
        <w:rPr>
          <w:rFonts w:ascii="Arial" w:hAnsi="Arial" w:cs="Arial"/>
          <w:sz w:val="24"/>
          <w:szCs w:val="24"/>
          <w:lang w:eastAsia="en-GB"/>
        </w:rPr>
        <w:t>. Michael Rubenstein Publishing Ltd.</w:t>
      </w:r>
    </w:p>
    <w:p w14:paraId="6EA3B0E7" w14:textId="5B132A36"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Taylor, S. and Perkins, G. (2021) </w:t>
      </w:r>
      <w:r w:rsidRPr="007F238D">
        <w:rPr>
          <w:rFonts w:ascii="Arial" w:hAnsi="Arial" w:cs="Arial"/>
          <w:i/>
          <w:iCs/>
          <w:sz w:val="24"/>
          <w:szCs w:val="24"/>
          <w:lang w:eastAsia="en-GB"/>
        </w:rPr>
        <w:t>Work and Employment in a Changing Business Environment</w:t>
      </w:r>
      <w:r w:rsidRPr="007F238D">
        <w:rPr>
          <w:rFonts w:ascii="Arial" w:hAnsi="Arial" w:cs="Arial"/>
          <w:sz w:val="24"/>
          <w:szCs w:val="24"/>
          <w:lang w:eastAsia="en-GB"/>
        </w:rPr>
        <w:t>. Kogan Page.</w:t>
      </w:r>
    </w:p>
    <w:p w14:paraId="52631202" w14:textId="77777777" w:rsidR="00595B29" w:rsidRPr="007F238D" w:rsidRDefault="00595B29" w:rsidP="00C14B63">
      <w:pPr>
        <w:rPr>
          <w:rFonts w:ascii="Arial" w:hAnsi="Arial" w:cs="Arial"/>
          <w:sz w:val="24"/>
          <w:szCs w:val="24"/>
          <w:lang w:eastAsia="en-GB"/>
        </w:rPr>
      </w:pPr>
      <w:r w:rsidRPr="007F238D">
        <w:rPr>
          <w:rFonts w:ascii="Arial" w:hAnsi="Arial" w:cs="Arial"/>
          <w:sz w:val="24"/>
          <w:szCs w:val="24"/>
          <w:lang w:eastAsia="en-GB"/>
        </w:rPr>
        <w:t>The Data Protection Act 2018. Available at: https://www.legislation.gov.uk/ukpga/2018/12/contents/enacted (Accessed: 01 May 2026).</w:t>
      </w:r>
    </w:p>
    <w:p w14:paraId="1FAE11E4" w14:textId="77777777" w:rsidR="00595B29" w:rsidRPr="007F238D" w:rsidRDefault="00595B29" w:rsidP="00C14B63">
      <w:pPr>
        <w:rPr>
          <w:rFonts w:ascii="Arial" w:hAnsi="Arial" w:cs="Arial"/>
          <w:sz w:val="24"/>
          <w:szCs w:val="24"/>
          <w:lang w:eastAsia="en-GB"/>
        </w:rPr>
      </w:pPr>
      <w:r w:rsidRPr="007F238D">
        <w:rPr>
          <w:rFonts w:ascii="Arial" w:hAnsi="Arial" w:cs="Arial"/>
          <w:sz w:val="24"/>
          <w:szCs w:val="24"/>
          <w:lang w:eastAsia="en-GB"/>
        </w:rPr>
        <w:t>The Employment Rights Act 2025</w:t>
      </w:r>
      <w:r w:rsidRPr="007F238D">
        <w:rPr>
          <w:rFonts w:ascii="Arial" w:hAnsi="Arial" w:cs="Arial"/>
          <w:i/>
          <w:iCs/>
          <w:sz w:val="24"/>
          <w:szCs w:val="24"/>
          <w:lang w:eastAsia="en-GB"/>
        </w:rPr>
        <w:t xml:space="preserve">. Available at: https://www.legislation.gov.uk/ukpga/2025/36/contents/enacted </w:t>
      </w:r>
      <w:r w:rsidRPr="007F238D">
        <w:rPr>
          <w:rFonts w:ascii="Arial" w:hAnsi="Arial" w:cs="Arial"/>
          <w:sz w:val="24"/>
          <w:szCs w:val="24"/>
          <w:lang w:eastAsia="en-GB"/>
        </w:rPr>
        <w:t>(Accessed: 01 May 2026).</w:t>
      </w:r>
    </w:p>
    <w:p w14:paraId="00C3A4F3" w14:textId="77777777" w:rsidR="00306576" w:rsidRPr="007F238D" w:rsidRDefault="00306576" w:rsidP="00C14B63">
      <w:pPr>
        <w:rPr>
          <w:rFonts w:ascii="Arial" w:hAnsi="Arial" w:cs="Arial"/>
          <w:sz w:val="24"/>
          <w:szCs w:val="24"/>
          <w:lang w:eastAsia="en-GB"/>
        </w:rPr>
      </w:pPr>
      <w:r w:rsidRPr="007F238D">
        <w:rPr>
          <w:rFonts w:ascii="Arial" w:hAnsi="Arial" w:cs="Arial"/>
          <w:sz w:val="24"/>
          <w:szCs w:val="24"/>
          <w:lang w:eastAsia="en-GB"/>
        </w:rPr>
        <w:t>The Equality Act 2010. Available at: https://www.legislation.gov.uk/ukpga/2010/15/contents (Accessed: 01 May 2026).</w:t>
      </w:r>
    </w:p>
    <w:p w14:paraId="18C68030" w14:textId="1FC6D2F5"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Trowers and Hamlins (2022) </w:t>
      </w:r>
      <w:r w:rsidRPr="007F238D">
        <w:rPr>
          <w:rFonts w:ascii="Arial" w:hAnsi="Arial" w:cs="Arial"/>
          <w:i/>
          <w:iCs/>
          <w:sz w:val="24"/>
          <w:szCs w:val="24"/>
          <w:lang w:eastAsia="en-GB"/>
        </w:rPr>
        <w:t>TUPE and Failure to Inform and Consult -Trowers &amp; Hamlins</w:t>
      </w:r>
      <w:r w:rsidR="00D17074" w:rsidRPr="007F238D">
        <w:rPr>
          <w:rFonts w:ascii="Arial" w:hAnsi="Arial" w:cs="Arial"/>
          <w:sz w:val="24"/>
          <w:szCs w:val="24"/>
          <w:lang w:eastAsia="en-GB"/>
        </w:rPr>
        <w:t xml:space="preserve">. </w:t>
      </w:r>
      <w:r w:rsidRPr="007F238D">
        <w:rPr>
          <w:rFonts w:ascii="Arial" w:hAnsi="Arial" w:cs="Arial"/>
          <w:sz w:val="24"/>
          <w:szCs w:val="24"/>
          <w:lang w:eastAsia="en-GB"/>
        </w:rPr>
        <w:t>Available at: https://www.trowers.com/insights/2022/april/tupe-and-failure-to-inform-and-consult</w:t>
      </w:r>
      <w:r w:rsidR="00D17074" w:rsidRPr="007F238D">
        <w:rPr>
          <w:rFonts w:ascii="Arial" w:hAnsi="Arial" w:cs="Arial"/>
          <w:sz w:val="24"/>
          <w:szCs w:val="24"/>
          <w:lang w:eastAsia="en-GB"/>
        </w:rPr>
        <w:t xml:space="preserve"> (Accessed: 01 May 2026).</w:t>
      </w:r>
    </w:p>
    <w:p w14:paraId="3A084D16" w14:textId="77777777" w:rsidR="00DB642C" w:rsidRPr="007F238D" w:rsidRDefault="00DB642C" w:rsidP="00C14B63">
      <w:pPr>
        <w:rPr>
          <w:rFonts w:ascii="Arial" w:hAnsi="Arial" w:cs="Arial"/>
          <w:sz w:val="24"/>
          <w:szCs w:val="24"/>
          <w:lang w:eastAsia="en-GB"/>
        </w:rPr>
      </w:pPr>
      <w:r w:rsidRPr="007F238D">
        <w:rPr>
          <w:rFonts w:ascii="Arial" w:hAnsi="Arial" w:cs="Arial"/>
          <w:sz w:val="24"/>
          <w:szCs w:val="24"/>
          <w:lang w:eastAsia="en-GB"/>
        </w:rPr>
        <w:t>‘Uber BV and others v Aslam and others’</w:t>
      </w:r>
      <w:r w:rsidRPr="007F238D">
        <w:rPr>
          <w:rFonts w:ascii="Arial" w:hAnsi="Arial" w:cs="Arial"/>
          <w:i/>
          <w:iCs/>
          <w:sz w:val="24"/>
          <w:szCs w:val="24"/>
          <w:lang w:eastAsia="en-GB"/>
        </w:rPr>
        <w:t xml:space="preserve"> </w:t>
      </w:r>
      <w:r w:rsidRPr="007F238D">
        <w:rPr>
          <w:rFonts w:ascii="Arial" w:hAnsi="Arial" w:cs="Arial"/>
          <w:sz w:val="24"/>
          <w:szCs w:val="24"/>
          <w:lang w:eastAsia="en-GB"/>
        </w:rPr>
        <w:t xml:space="preserve">(2021) UKSC, 5, </w:t>
      </w:r>
      <w:r w:rsidRPr="007F238D">
        <w:rPr>
          <w:rFonts w:ascii="Arial" w:hAnsi="Arial" w:cs="Arial"/>
          <w:i/>
          <w:iCs/>
          <w:sz w:val="24"/>
          <w:szCs w:val="24"/>
          <w:lang w:eastAsia="en-GB"/>
        </w:rPr>
        <w:t>The National Archives</w:t>
      </w:r>
      <w:r w:rsidRPr="007F238D">
        <w:rPr>
          <w:rFonts w:ascii="Arial" w:hAnsi="Arial" w:cs="Arial"/>
          <w:sz w:val="24"/>
          <w:szCs w:val="24"/>
          <w:lang w:eastAsia="en-GB"/>
        </w:rPr>
        <w:t>. Available at: https://caselaw.nationalarchives.gov.uk/uksc/2021/5?query=uber+bv (Accessed 01 May 2026).</w:t>
      </w:r>
    </w:p>
    <w:p w14:paraId="12306511" w14:textId="08A25D8D"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UK Government (n.d.) </w:t>
      </w:r>
      <w:r w:rsidRPr="007F238D">
        <w:rPr>
          <w:rFonts w:ascii="Arial" w:hAnsi="Arial" w:cs="Arial"/>
          <w:i/>
          <w:iCs/>
          <w:sz w:val="24"/>
          <w:szCs w:val="24"/>
          <w:lang w:eastAsia="en-GB"/>
        </w:rPr>
        <w:t>Repeal of the Trade Union Act 2016</w:t>
      </w:r>
      <w:r w:rsidRPr="007F238D">
        <w:rPr>
          <w:rFonts w:ascii="Arial" w:hAnsi="Arial" w:cs="Arial"/>
          <w:sz w:val="24"/>
          <w:szCs w:val="24"/>
          <w:lang w:eastAsia="en-GB"/>
        </w:rPr>
        <w:t>. Available at: https://assets.publishing.service.gov.uk/media/69709ed3f6aa424b452e33c5/repeal-of-the-trade-union-act-2016-factsheet.pdf</w:t>
      </w:r>
      <w:r w:rsidR="00DD24E4" w:rsidRPr="007F238D">
        <w:rPr>
          <w:rFonts w:ascii="Arial" w:hAnsi="Arial" w:cs="Arial"/>
          <w:sz w:val="24"/>
          <w:szCs w:val="24"/>
          <w:lang w:eastAsia="en-GB"/>
        </w:rPr>
        <w:t xml:space="preserve"> (Accessed: 01 May 2026).</w:t>
      </w:r>
    </w:p>
    <w:p w14:paraId="65A1F66B" w14:textId="186F82B9"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UK Government (2006) </w:t>
      </w:r>
      <w:r w:rsidRPr="007F238D">
        <w:rPr>
          <w:rFonts w:ascii="Arial" w:hAnsi="Arial" w:cs="Arial"/>
          <w:i/>
          <w:iCs/>
          <w:sz w:val="24"/>
          <w:szCs w:val="24"/>
          <w:lang w:eastAsia="en-GB"/>
        </w:rPr>
        <w:t>The Transfer of Undertakings (Protection of Employment) Regulations 2006</w:t>
      </w:r>
      <w:r w:rsidRPr="007F238D">
        <w:rPr>
          <w:rFonts w:ascii="Arial" w:hAnsi="Arial" w:cs="Arial"/>
          <w:sz w:val="24"/>
          <w:szCs w:val="24"/>
          <w:lang w:eastAsia="en-GB"/>
        </w:rPr>
        <w:t>. Available at: https://www.legislation.gov.uk/uksi/2006/246/contents</w:t>
      </w:r>
      <w:r w:rsidR="008E3111" w:rsidRPr="007F238D">
        <w:rPr>
          <w:rFonts w:ascii="Arial" w:hAnsi="Arial" w:cs="Arial"/>
          <w:sz w:val="24"/>
          <w:szCs w:val="24"/>
          <w:lang w:eastAsia="en-GB"/>
        </w:rPr>
        <w:t xml:space="preserve"> (Accessed: 01 May 2026).</w:t>
      </w:r>
    </w:p>
    <w:p w14:paraId="2B6CA494" w14:textId="560E6F84"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UK Government (n.d.)</w:t>
      </w:r>
      <w:r w:rsidR="00B87D8C" w:rsidRPr="007F238D">
        <w:rPr>
          <w:rFonts w:ascii="Arial" w:hAnsi="Arial" w:cs="Arial"/>
          <w:sz w:val="24"/>
          <w:szCs w:val="24"/>
          <w:lang w:eastAsia="en-GB"/>
        </w:rPr>
        <w:t xml:space="preserve"> </w:t>
      </w:r>
      <w:r w:rsidRPr="007F238D">
        <w:rPr>
          <w:rFonts w:ascii="Arial" w:hAnsi="Arial" w:cs="Arial"/>
          <w:i/>
          <w:iCs/>
          <w:sz w:val="24"/>
          <w:szCs w:val="24"/>
          <w:lang w:eastAsia="en-GB"/>
        </w:rPr>
        <w:t>Zero Hours Contracts What Is the Current policy/legal framework?</w:t>
      </w:r>
      <w:r w:rsidRPr="007F238D">
        <w:rPr>
          <w:rFonts w:ascii="Arial" w:hAnsi="Arial" w:cs="Arial"/>
          <w:sz w:val="24"/>
          <w:szCs w:val="24"/>
          <w:lang w:eastAsia="en-GB"/>
        </w:rPr>
        <w:t xml:space="preserve"> Available at: https://assets.publishing.service.gov.uk/media/67e429cf2621ba30ed9776d1/zero-hours-contracts.pdf</w:t>
      </w:r>
      <w:r w:rsidR="00BF5B5A" w:rsidRPr="007F238D">
        <w:rPr>
          <w:rFonts w:ascii="Arial" w:hAnsi="Arial" w:cs="Arial"/>
          <w:sz w:val="24"/>
          <w:szCs w:val="24"/>
          <w:lang w:eastAsia="en-GB"/>
        </w:rPr>
        <w:t xml:space="preserve"> (Accessed: 01 May 2026).</w:t>
      </w:r>
    </w:p>
    <w:p w14:paraId="01F2867B" w14:textId="087AC1D0"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UK Government (2015) </w:t>
      </w:r>
      <w:r w:rsidRPr="007F238D">
        <w:rPr>
          <w:rFonts w:ascii="Arial" w:hAnsi="Arial" w:cs="Arial"/>
          <w:i/>
          <w:iCs/>
          <w:sz w:val="24"/>
          <w:szCs w:val="24"/>
          <w:lang w:eastAsia="en-GB"/>
        </w:rPr>
        <w:t>Zero Hours contracts: Guidance for Employers</w:t>
      </w:r>
      <w:r w:rsidRPr="007F238D">
        <w:rPr>
          <w:rFonts w:ascii="Arial" w:hAnsi="Arial" w:cs="Arial"/>
          <w:sz w:val="24"/>
          <w:szCs w:val="24"/>
          <w:lang w:eastAsia="en-GB"/>
        </w:rPr>
        <w:t>. Available at: https://www.gov.uk/government/publications/zero-hours-contracts-guidance-for-employers/zero-hours-contracts-guidance-for-employers</w:t>
      </w:r>
      <w:r w:rsidR="00BF5B5A" w:rsidRPr="007F238D">
        <w:rPr>
          <w:rFonts w:ascii="Arial" w:hAnsi="Arial" w:cs="Arial"/>
          <w:sz w:val="24"/>
          <w:szCs w:val="24"/>
          <w:lang w:eastAsia="en-GB"/>
        </w:rPr>
        <w:t xml:space="preserve"> (Accessed: 01 May 2026).</w:t>
      </w:r>
    </w:p>
    <w:p w14:paraId="20468369" w14:textId="2F4A0C36"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UK Government (2024a) </w:t>
      </w:r>
      <w:r w:rsidRPr="007F238D">
        <w:rPr>
          <w:rFonts w:ascii="Arial" w:hAnsi="Arial" w:cs="Arial"/>
          <w:i/>
          <w:iCs/>
          <w:sz w:val="24"/>
          <w:szCs w:val="24"/>
          <w:lang w:eastAsia="en-GB"/>
        </w:rPr>
        <w:t>Make Work Pay</w:t>
      </w:r>
      <w:r w:rsidRPr="007F238D">
        <w:rPr>
          <w:rFonts w:ascii="Arial" w:hAnsi="Arial" w:cs="Arial"/>
          <w:sz w:val="24"/>
          <w:szCs w:val="24"/>
          <w:lang w:eastAsia="en-GB"/>
        </w:rPr>
        <w:t>. Available at: https://www.gov.uk/government/collections/make-work-pay</w:t>
      </w:r>
      <w:r w:rsidR="00E07DE6" w:rsidRPr="007F238D">
        <w:rPr>
          <w:rFonts w:ascii="Arial" w:hAnsi="Arial" w:cs="Arial"/>
          <w:sz w:val="24"/>
          <w:szCs w:val="24"/>
          <w:lang w:eastAsia="en-GB"/>
        </w:rPr>
        <w:t xml:space="preserve"> </w:t>
      </w:r>
      <w:r w:rsidR="0052607C" w:rsidRPr="007F238D">
        <w:rPr>
          <w:rFonts w:ascii="Arial" w:hAnsi="Arial" w:cs="Arial"/>
          <w:sz w:val="24"/>
          <w:szCs w:val="24"/>
          <w:lang w:eastAsia="en-GB"/>
        </w:rPr>
        <w:t>(Accessed: 01 May 2026).</w:t>
      </w:r>
    </w:p>
    <w:p w14:paraId="4C2C1B73" w14:textId="324B6EFD"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UK Government (2024b) </w:t>
      </w:r>
      <w:r w:rsidRPr="007F238D">
        <w:rPr>
          <w:rFonts w:ascii="Arial" w:hAnsi="Arial" w:cs="Arial"/>
          <w:i/>
          <w:iCs/>
          <w:sz w:val="24"/>
          <w:szCs w:val="24"/>
          <w:lang w:eastAsia="en-GB"/>
        </w:rPr>
        <w:t>Making Work Pay: the application of zero hours contracts measures to agency workers</w:t>
      </w:r>
      <w:r w:rsidRPr="007F238D">
        <w:rPr>
          <w:rFonts w:ascii="Arial" w:hAnsi="Arial" w:cs="Arial"/>
          <w:sz w:val="24"/>
          <w:szCs w:val="24"/>
          <w:lang w:eastAsia="en-GB"/>
        </w:rPr>
        <w:t>. Available at: https://www.gov.uk/government/consultations/making-work-pay-the-application-of-zero-hours-contracts-measures-to-agency-workers</w:t>
      </w:r>
      <w:r w:rsidR="0052607C" w:rsidRPr="007F238D">
        <w:rPr>
          <w:rFonts w:ascii="Arial" w:hAnsi="Arial" w:cs="Arial"/>
          <w:sz w:val="24"/>
          <w:szCs w:val="24"/>
          <w:lang w:eastAsia="en-GB"/>
        </w:rPr>
        <w:t xml:space="preserve"> (Accessed: 01 May 2026).</w:t>
      </w:r>
    </w:p>
    <w:p w14:paraId="71612051" w14:textId="3E773450"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lastRenderedPageBreak/>
        <w:t xml:space="preserve">UK Parliament (2024) </w:t>
      </w:r>
      <w:r w:rsidRPr="007F238D">
        <w:rPr>
          <w:rFonts w:ascii="Arial" w:hAnsi="Arial" w:cs="Arial"/>
          <w:i/>
          <w:iCs/>
          <w:sz w:val="24"/>
          <w:szCs w:val="24"/>
          <w:lang w:eastAsia="en-GB"/>
        </w:rPr>
        <w:t>Make Work Pay: Employment Rights Bill</w:t>
      </w:r>
      <w:r w:rsidRPr="007F238D">
        <w:rPr>
          <w:rFonts w:ascii="Arial" w:hAnsi="Arial" w:cs="Arial"/>
          <w:sz w:val="24"/>
          <w:szCs w:val="24"/>
          <w:lang w:eastAsia="en-GB"/>
        </w:rPr>
        <w:t xml:space="preserve">. Available at: https://publications.parliament.uk/pa/cm5901/cmselect/cmbeis/370/report.html#heading-0 </w:t>
      </w:r>
      <w:r w:rsidR="00E53FA0" w:rsidRPr="007F238D">
        <w:rPr>
          <w:rFonts w:ascii="Arial" w:hAnsi="Arial" w:cs="Arial"/>
          <w:sz w:val="24"/>
          <w:szCs w:val="24"/>
          <w:lang w:eastAsia="en-GB"/>
        </w:rPr>
        <w:t>(Accessed: 01 May 2026).</w:t>
      </w:r>
    </w:p>
    <w:p w14:paraId="6A0B29BF" w14:textId="77777777" w:rsidR="00B97CEB" w:rsidRPr="007F238D" w:rsidRDefault="00B97CEB" w:rsidP="00C14B63">
      <w:pPr>
        <w:rPr>
          <w:rFonts w:ascii="Arial" w:hAnsi="Arial" w:cs="Arial"/>
          <w:sz w:val="24"/>
          <w:szCs w:val="24"/>
          <w:lang w:eastAsia="en-GB"/>
        </w:rPr>
      </w:pPr>
      <w:r w:rsidRPr="007F238D">
        <w:rPr>
          <w:rFonts w:ascii="Arial" w:hAnsi="Arial" w:cs="Arial"/>
          <w:sz w:val="24"/>
          <w:szCs w:val="24"/>
          <w:lang w:eastAsia="en-GB"/>
        </w:rPr>
        <w:t>‘V Clark v Kim Middleton &amp; Anor’</w:t>
      </w:r>
      <w:r w:rsidRPr="007F238D">
        <w:rPr>
          <w:rFonts w:ascii="Arial" w:hAnsi="Arial" w:cs="Arial"/>
          <w:i/>
          <w:iCs/>
          <w:sz w:val="24"/>
          <w:szCs w:val="24"/>
          <w:lang w:eastAsia="en-GB"/>
        </w:rPr>
        <w:t xml:space="preserve"> </w:t>
      </w:r>
      <w:r w:rsidRPr="007F238D">
        <w:rPr>
          <w:rFonts w:ascii="Arial" w:hAnsi="Arial" w:cs="Arial"/>
          <w:sz w:val="24"/>
          <w:szCs w:val="24"/>
          <w:lang w:eastAsia="en-GB"/>
        </w:rPr>
        <w:t>(2022) EAT, 31,</w:t>
      </w:r>
      <w:r w:rsidRPr="007F238D">
        <w:rPr>
          <w:rFonts w:ascii="Arial" w:hAnsi="Arial" w:cs="Arial"/>
          <w:i/>
          <w:iCs/>
          <w:sz w:val="24"/>
          <w:szCs w:val="24"/>
          <w:lang w:eastAsia="en-GB"/>
        </w:rPr>
        <w:t xml:space="preserve"> The National Archives</w:t>
      </w:r>
      <w:r w:rsidRPr="007F238D">
        <w:rPr>
          <w:rFonts w:ascii="Arial" w:hAnsi="Arial" w:cs="Arial"/>
          <w:sz w:val="24"/>
          <w:szCs w:val="24"/>
          <w:lang w:eastAsia="en-GB"/>
        </w:rPr>
        <w:t>. Available at: https://caselaw.nationalarchives.gov.uk/eat/2022/31?query=clark+middleton (Accessed 01 May 2026).</w:t>
      </w:r>
    </w:p>
    <w:p w14:paraId="3621AD13" w14:textId="41BDD606"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Willey, B., Murton, A., Hannon, E., Mison, S. and Sachdev, S. (2012) </w:t>
      </w:r>
      <w:r w:rsidRPr="007F238D">
        <w:rPr>
          <w:rFonts w:ascii="Arial" w:hAnsi="Arial" w:cs="Arial"/>
          <w:i/>
          <w:iCs/>
          <w:sz w:val="24"/>
          <w:szCs w:val="24"/>
          <w:lang w:eastAsia="en-GB"/>
        </w:rPr>
        <w:t xml:space="preserve">Employment Law </w:t>
      </w:r>
      <w:proofErr w:type="gramStart"/>
      <w:r w:rsidRPr="007F238D">
        <w:rPr>
          <w:rFonts w:ascii="Arial" w:hAnsi="Arial" w:cs="Arial"/>
          <w:i/>
          <w:iCs/>
          <w:sz w:val="24"/>
          <w:szCs w:val="24"/>
          <w:lang w:eastAsia="en-GB"/>
        </w:rPr>
        <w:t>In</w:t>
      </w:r>
      <w:proofErr w:type="gramEnd"/>
      <w:r w:rsidRPr="007F238D">
        <w:rPr>
          <w:rFonts w:ascii="Arial" w:hAnsi="Arial" w:cs="Arial"/>
          <w:i/>
          <w:iCs/>
          <w:sz w:val="24"/>
          <w:szCs w:val="24"/>
          <w:lang w:eastAsia="en-GB"/>
        </w:rPr>
        <w:t xml:space="preserve"> Context: An Introduction for HR Professionals</w:t>
      </w:r>
      <w:r w:rsidRPr="007F238D">
        <w:rPr>
          <w:rFonts w:ascii="Arial" w:hAnsi="Arial" w:cs="Arial"/>
          <w:sz w:val="24"/>
          <w:szCs w:val="24"/>
          <w:lang w:eastAsia="en-GB"/>
        </w:rPr>
        <w:t>. 4th ed</w:t>
      </w:r>
      <w:r w:rsidR="00840697" w:rsidRPr="007F238D">
        <w:rPr>
          <w:rFonts w:ascii="Arial" w:hAnsi="Arial" w:cs="Arial"/>
          <w:sz w:val="24"/>
          <w:szCs w:val="24"/>
          <w:lang w:eastAsia="en-GB"/>
        </w:rPr>
        <w:t>n</w:t>
      </w:r>
      <w:r w:rsidRPr="007F238D">
        <w:rPr>
          <w:rFonts w:ascii="Arial" w:hAnsi="Arial" w:cs="Arial"/>
          <w:sz w:val="24"/>
          <w:szCs w:val="24"/>
          <w:lang w:eastAsia="en-GB"/>
        </w:rPr>
        <w:t>. Pearson Education Limited.</w:t>
      </w:r>
    </w:p>
    <w:p w14:paraId="44F9903D" w14:textId="257362F3" w:rsidR="00270867" w:rsidRPr="00270867" w:rsidRDefault="00270867" w:rsidP="00C14B63">
      <w:pPr>
        <w:rPr>
          <w:rFonts w:ascii="Arial" w:hAnsi="Arial" w:cs="Arial"/>
          <w:sz w:val="24"/>
          <w:szCs w:val="24"/>
          <w:lang w:eastAsia="en-GB"/>
        </w:rPr>
      </w:pPr>
      <w:r w:rsidRPr="007F238D">
        <w:rPr>
          <w:rFonts w:ascii="Arial" w:hAnsi="Arial" w:cs="Arial"/>
          <w:sz w:val="24"/>
          <w:szCs w:val="24"/>
          <w:lang w:eastAsia="en-GB"/>
        </w:rPr>
        <w:t xml:space="preserve">Yusuff, G. (2023) </w:t>
      </w:r>
      <w:r w:rsidRPr="007F238D">
        <w:rPr>
          <w:rFonts w:ascii="Arial" w:hAnsi="Arial" w:cs="Arial"/>
          <w:i/>
          <w:iCs/>
          <w:sz w:val="24"/>
          <w:szCs w:val="24"/>
          <w:lang w:eastAsia="en-GB"/>
        </w:rPr>
        <w:t>Building a strategic framework for policy governance</w:t>
      </w:r>
      <w:r w:rsidRPr="007F238D">
        <w:rPr>
          <w:rFonts w:ascii="Arial" w:hAnsi="Arial" w:cs="Arial"/>
          <w:sz w:val="24"/>
          <w:szCs w:val="24"/>
          <w:lang w:eastAsia="en-GB"/>
        </w:rPr>
        <w:t>. Available at: https://www.onetrust.com/blog/building-a-strategic-framework-for-policy-governance/</w:t>
      </w:r>
      <w:r w:rsidR="00ED0A5E" w:rsidRPr="007F238D">
        <w:rPr>
          <w:rFonts w:ascii="Arial" w:hAnsi="Arial" w:cs="Arial"/>
          <w:sz w:val="24"/>
          <w:szCs w:val="24"/>
          <w:lang w:eastAsia="en-GB"/>
        </w:rPr>
        <w:t xml:space="preserve"> </w:t>
      </w:r>
      <w:r w:rsidR="00363FA3" w:rsidRPr="007F238D">
        <w:rPr>
          <w:rFonts w:ascii="Arial" w:hAnsi="Arial" w:cs="Arial"/>
          <w:sz w:val="24"/>
          <w:szCs w:val="24"/>
          <w:lang w:eastAsia="en-GB"/>
        </w:rPr>
        <w:t>(Accessed: 01 May 2026).</w:t>
      </w:r>
    </w:p>
    <w:p w14:paraId="4A5B2D5D" w14:textId="77777777" w:rsidR="007B3B1B" w:rsidRPr="007B3B1B" w:rsidRDefault="007B3B1B" w:rsidP="007B3B1B">
      <w:pPr>
        <w:rPr>
          <w:lang w:eastAsia="en-GB"/>
        </w:rPr>
      </w:pPr>
    </w:p>
    <w:sectPr w:rsidR="007B3B1B" w:rsidRPr="007B3B1B" w:rsidSect="003D7DFD">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C74481" w14:textId="77777777" w:rsidR="00E2146F" w:rsidRDefault="00E2146F" w:rsidP="00FF370C">
      <w:pPr>
        <w:spacing w:after="0" w:line="240" w:lineRule="auto"/>
      </w:pPr>
      <w:r>
        <w:separator/>
      </w:r>
    </w:p>
  </w:endnote>
  <w:endnote w:type="continuationSeparator" w:id="0">
    <w:p w14:paraId="4A6986B0" w14:textId="77777777" w:rsidR="00E2146F" w:rsidRDefault="00E2146F" w:rsidP="00FF37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1238270"/>
      <w:docPartObj>
        <w:docPartGallery w:val="Page Numbers (Bottom of Page)"/>
        <w:docPartUnique/>
      </w:docPartObj>
    </w:sdtPr>
    <w:sdtEndPr>
      <w:rPr>
        <w:noProof/>
      </w:rPr>
    </w:sdtEndPr>
    <w:sdtContent>
      <w:p w14:paraId="697AC594" w14:textId="1A65A965" w:rsidR="00FF370C" w:rsidRDefault="00FF37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E1E290" w14:textId="77777777" w:rsidR="00FF370C" w:rsidRDefault="00FF37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8B3E0A" w14:textId="77777777" w:rsidR="00E2146F" w:rsidRDefault="00E2146F" w:rsidP="00FF370C">
      <w:pPr>
        <w:spacing w:after="0" w:line="240" w:lineRule="auto"/>
      </w:pPr>
      <w:r>
        <w:separator/>
      </w:r>
    </w:p>
  </w:footnote>
  <w:footnote w:type="continuationSeparator" w:id="0">
    <w:p w14:paraId="0586319B" w14:textId="77777777" w:rsidR="00E2146F" w:rsidRDefault="00E2146F" w:rsidP="00FF37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8517F"/>
    <w:multiLevelType w:val="hybridMultilevel"/>
    <w:tmpl w:val="5ECE9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BA4AA4"/>
    <w:multiLevelType w:val="hybridMultilevel"/>
    <w:tmpl w:val="F6EEB39E"/>
    <w:lvl w:ilvl="0" w:tplc="0809000F">
      <w:start w:val="1"/>
      <w:numFmt w:val="decimal"/>
      <w:lvlText w:val="%1."/>
      <w:lvlJc w:val="left"/>
      <w:pPr>
        <w:tabs>
          <w:tab w:val="num" w:pos="720"/>
        </w:tabs>
        <w:ind w:left="720" w:hanging="360"/>
      </w:pPr>
      <w:rPr>
        <w:rFonts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7C5732E"/>
    <w:multiLevelType w:val="hybridMultilevel"/>
    <w:tmpl w:val="1E32B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A92B82"/>
    <w:multiLevelType w:val="hybridMultilevel"/>
    <w:tmpl w:val="CF4AF83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254632648">
    <w:abstractNumId w:val="1"/>
  </w:num>
  <w:num w:numId="2" w16cid:durableId="149641731">
    <w:abstractNumId w:val="0"/>
  </w:num>
  <w:num w:numId="3" w16cid:durableId="424573190">
    <w:abstractNumId w:val="2"/>
  </w:num>
  <w:num w:numId="4" w16cid:durableId="17464188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770"/>
    <w:rsid w:val="00002472"/>
    <w:rsid w:val="00003EC0"/>
    <w:rsid w:val="0000592E"/>
    <w:rsid w:val="000119EF"/>
    <w:rsid w:val="00015590"/>
    <w:rsid w:val="00016306"/>
    <w:rsid w:val="00017FEC"/>
    <w:rsid w:val="00030297"/>
    <w:rsid w:val="00030D03"/>
    <w:rsid w:val="00033369"/>
    <w:rsid w:val="0003389D"/>
    <w:rsid w:val="00034A8E"/>
    <w:rsid w:val="00036F8F"/>
    <w:rsid w:val="000449DD"/>
    <w:rsid w:val="0004550D"/>
    <w:rsid w:val="0005325E"/>
    <w:rsid w:val="000574C1"/>
    <w:rsid w:val="00061376"/>
    <w:rsid w:val="000775EC"/>
    <w:rsid w:val="00081D45"/>
    <w:rsid w:val="0008571F"/>
    <w:rsid w:val="00092E58"/>
    <w:rsid w:val="000A087A"/>
    <w:rsid w:val="000A25B1"/>
    <w:rsid w:val="000B4F1B"/>
    <w:rsid w:val="000B5BC9"/>
    <w:rsid w:val="000B6D48"/>
    <w:rsid w:val="000C0F48"/>
    <w:rsid w:val="000C1E12"/>
    <w:rsid w:val="000D6CA1"/>
    <w:rsid w:val="000F357C"/>
    <w:rsid w:val="000F6BF6"/>
    <w:rsid w:val="00101A3B"/>
    <w:rsid w:val="0010602D"/>
    <w:rsid w:val="00106867"/>
    <w:rsid w:val="00107657"/>
    <w:rsid w:val="00107CE8"/>
    <w:rsid w:val="0011472E"/>
    <w:rsid w:val="001209D1"/>
    <w:rsid w:val="00120D2E"/>
    <w:rsid w:val="00121E4C"/>
    <w:rsid w:val="001345A8"/>
    <w:rsid w:val="00137D97"/>
    <w:rsid w:val="00147C58"/>
    <w:rsid w:val="00151F4D"/>
    <w:rsid w:val="001522E5"/>
    <w:rsid w:val="001549BE"/>
    <w:rsid w:val="00155DCA"/>
    <w:rsid w:val="001567C6"/>
    <w:rsid w:val="0015700F"/>
    <w:rsid w:val="001612DC"/>
    <w:rsid w:val="00164C9C"/>
    <w:rsid w:val="00171500"/>
    <w:rsid w:val="00173E92"/>
    <w:rsid w:val="001744CB"/>
    <w:rsid w:val="0017604C"/>
    <w:rsid w:val="0017684C"/>
    <w:rsid w:val="001806CF"/>
    <w:rsid w:val="00193AB6"/>
    <w:rsid w:val="001A0DCA"/>
    <w:rsid w:val="001A0FF1"/>
    <w:rsid w:val="001A471E"/>
    <w:rsid w:val="001A4906"/>
    <w:rsid w:val="001A6095"/>
    <w:rsid w:val="001C4E71"/>
    <w:rsid w:val="001D6194"/>
    <w:rsid w:val="001D76C4"/>
    <w:rsid w:val="001F49D6"/>
    <w:rsid w:val="002022B5"/>
    <w:rsid w:val="0020277B"/>
    <w:rsid w:val="00205C42"/>
    <w:rsid w:val="00210428"/>
    <w:rsid w:val="00210CE6"/>
    <w:rsid w:val="00215770"/>
    <w:rsid w:val="002245AD"/>
    <w:rsid w:val="00232988"/>
    <w:rsid w:val="0023608A"/>
    <w:rsid w:val="00236CEE"/>
    <w:rsid w:val="002439FF"/>
    <w:rsid w:val="002475D5"/>
    <w:rsid w:val="0025401F"/>
    <w:rsid w:val="00262450"/>
    <w:rsid w:val="002626EE"/>
    <w:rsid w:val="0026447C"/>
    <w:rsid w:val="00267206"/>
    <w:rsid w:val="00270867"/>
    <w:rsid w:val="00270D48"/>
    <w:rsid w:val="002710D1"/>
    <w:rsid w:val="002731E3"/>
    <w:rsid w:val="0027381A"/>
    <w:rsid w:val="00276CC1"/>
    <w:rsid w:val="00276D5D"/>
    <w:rsid w:val="0028077D"/>
    <w:rsid w:val="00290545"/>
    <w:rsid w:val="00290C7F"/>
    <w:rsid w:val="002A04C8"/>
    <w:rsid w:val="002A0FF9"/>
    <w:rsid w:val="002A2F76"/>
    <w:rsid w:val="002A34BF"/>
    <w:rsid w:val="002A4E04"/>
    <w:rsid w:val="002A77F1"/>
    <w:rsid w:val="002B0B55"/>
    <w:rsid w:val="002B1139"/>
    <w:rsid w:val="002B3491"/>
    <w:rsid w:val="002B3C7E"/>
    <w:rsid w:val="002B4595"/>
    <w:rsid w:val="002D39D4"/>
    <w:rsid w:val="002D48E5"/>
    <w:rsid w:val="002D6DEB"/>
    <w:rsid w:val="002D6F6E"/>
    <w:rsid w:val="002E1A75"/>
    <w:rsid w:val="002F1160"/>
    <w:rsid w:val="002F42FF"/>
    <w:rsid w:val="00300FCE"/>
    <w:rsid w:val="00303213"/>
    <w:rsid w:val="00306576"/>
    <w:rsid w:val="00307CB0"/>
    <w:rsid w:val="003118AA"/>
    <w:rsid w:val="003137BC"/>
    <w:rsid w:val="00314515"/>
    <w:rsid w:val="00322DC8"/>
    <w:rsid w:val="00324550"/>
    <w:rsid w:val="003335EC"/>
    <w:rsid w:val="00333B93"/>
    <w:rsid w:val="0034399C"/>
    <w:rsid w:val="00347DF8"/>
    <w:rsid w:val="0035551D"/>
    <w:rsid w:val="00356E40"/>
    <w:rsid w:val="00360C86"/>
    <w:rsid w:val="00362537"/>
    <w:rsid w:val="00363FA3"/>
    <w:rsid w:val="00366019"/>
    <w:rsid w:val="0039018B"/>
    <w:rsid w:val="00390AE3"/>
    <w:rsid w:val="003A35CB"/>
    <w:rsid w:val="003A6952"/>
    <w:rsid w:val="003A7E9E"/>
    <w:rsid w:val="003B4250"/>
    <w:rsid w:val="003B70CF"/>
    <w:rsid w:val="003C2284"/>
    <w:rsid w:val="003C378F"/>
    <w:rsid w:val="003D5EED"/>
    <w:rsid w:val="003D7DFD"/>
    <w:rsid w:val="003E2144"/>
    <w:rsid w:val="003F0E11"/>
    <w:rsid w:val="004013C7"/>
    <w:rsid w:val="00401470"/>
    <w:rsid w:val="0040483D"/>
    <w:rsid w:val="00410FA0"/>
    <w:rsid w:val="00420879"/>
    <w:rsid w:val="00425876"/>
    <w:rsid w:val="00431556"/>
    <w:rsid w:val="00434C61"/>
    <w:rsid w:val="004354DF"/>
    <w:rsid w:val="00444A9B"/>
    <w:rsid w:val="00447685"/>
    <w:rsid w:val="0046130D"/>
    <w:rsid w:val="004667B9"/>
    <w:rsid w:val="00470559"/>
    <w:rsid w:val="00475475"/>
    <w:rsid w:val="00476DDD"/>
    <w:rsid w:val="00484844"/>
    <w:rsid w:val="00484888"/>
    <w:rsid w:val="00487FA4"/>
    <w:rsid w:val="004934E1"/>
    <w:rsid w:val="0049356A"/>
    <w:rsid w:val="00495467"/>
    <w:rsid w:val="004A072E"/>
    <w:rsid w:val="004A1379"/>
    <w:rsid w:val="004B0A27"/>
    <w:rsid w:val="004B127F"/>
    <w:rsid w:val="004B2607"/>
    <w:rsid w:val="004B2C1E"/>
    <w:rsid w:val="004B51AF"/>
    <w:rsid w:val="004B7174"/>
    <w:rsid w:val="004D18ED"/>
    <w:rsid w:val="004D1983"/>
    <w:rsid w:val="004D6B83"/>
    <w:rsid w:val="004E1EBD"/>
    <w:rsid w:val="004E3D02"/>
    <w:rsid w:val="004E54B9"/>
    <w:rsid w:val="004E7A59"/>
    <w:rsid w:val="004F0C9A"/>
    <w:rsid w:val="004F70CF"/>
    <w:rsid w:val="00504F6E"/>
    <w:rsid w:val="0050550E"/>
    <w:rsid w:val="00505939"/>
    <w:rsid w:val="00511C46"/>
    <w:rsid w:val="005157A0"/>
    <w:rsid w:val="0052133A"/>
    <w:rsid w:val="00523411"/>
    <w:rsid w:val="0052607C"/>
    <w:rsid w:val="0052718B"/>
    <w:rsid w:val="0052763F"/>
    <w:rsid w:val="0053105A"/>
    <w:rsid w:val="005336B0"/>
    <w:rsid w:val="0053409D"/>
    <w:rsid w:val="00542567"/>
    <w:rsid w:val="005429BC"/>
    <w:rsid w:val="00542C66"/>
    <w:rsid w:val="0055538C"/>
    <w:rsid w:val="00560B20"/>
    <w:rsid w:val="005660CF"/>
    <w:rsid w:val="00566861"/>
    <w:rsid w:val="00567A1A"/>
    <w:rsid w:val="00570513"/>
    <w:rsid w:val="00570961"/>
    <w:rsid w:val="00571012"/>
    <w:rsid w:val="00574003"/>
    <w:rsid w:val="005750E5"/>
    <w:rsid w:val="005754DC"/>
    <w:rsid w:val="0058392E"/>
    <w:rsid w:val="00587A70"/>
    <w:rsid w:val="00590A73"/>
    <w:rsid w:val="005949CC"/>
    <w:rsid w:val="00595B29"/>
    <w:rsid w:val="005A0E08"/>
    <w:rsid w:val="005A16C3"/>
    <w:rsid w:val="005A336B"/>
    <w:rsid w:val="005B1D1E"/>
    <w:rsid w:val="005B36D1"/>
    <w:rsid w:val="005C2F61"/>
    <w:rsid w:val="005C5BD6"/>
    <w:rsid w:val="005C68F0"/>
    <w:rsid w:val="005C79EF"/>
    <w:rsid w:val="005D19A4"/>
    <w:rsid w:val="005D3447"/>
    <w:rsid w:val="005D5FB5"/>
    <w:rsid w:val="005D7503"/>
    <w:rsid w:val="005E7CC6"/>
    <w:rsid w:val="005F1390"/>
    <w:rsid w:val="005F27AA"/>
    <w:rsid w:val="006112E0"/>
    <w:rsid w:val="00620367"/>
    <w:rsid w:val="006206E6"/>
    <w:rsid w:val="00632517"/>
    <w:rsid w:val="006403BB"/>
    <w:rsid w:val="00640898"/>
    <w:rsid w:val="00640A7A"/>
    <w:rsid w:val="00643508"/>
    <w:rsid w:val="0064580D"/>
    <w:rsid w:val="0064582C"/>
    <w:rsid w:val="0065499A"/>
    <w:rsid w:val="006554B3"/>
    <w:rsid w:val="006611B1"/>
    <w:rsid w:val="00661E88"/>
    <w:rsid w:val="00662962"/>
    <w:rsid w:val="00663C11"/>
    <w:rsid w:val="00663C5C"/>
    <w:rsid w:val="006666A9"/>
    <w:rsid w:val="00670F2D"/>
    <w:rsid w:val="00674711"/>
    <w:rsid w:val="0068002B"/>
    <w:rsid w:val="006826C8"/>
    <w:rsid w:val="0068336C"/>
    <w:rsid w:val="00684962"/>
    <w:rsid w:val="00691ED7"/>
    <w:rsid w:val="006A0C3F"/>
    <w:rsid w:val="006A551E"/>
    <w:rsid w:val="006A7654"/>
    <w:rsid w:val="006A7901"/>
    <w:rsid w:val="006B0139"/>
    <w:rsid w:val="006B1F4B"/>
    <w:rsid w:val="006B2DE4"/>
    <w:rsid w:val="006B3257"/>
    <w:rsid w:val="006B7A43"/>
    <w:rsid w:val="006C3EDB"/>
    <w:rsid w:val="006C4274"/>
    <w:rsid w:val="006C6387"/>
    <w:rsid w:val="006C6A11"/>
    <w:rsid w:val="006D38A4"/>
    <w:rsid w:val="006D5CF8"/>
    <w:rsid w:val="006D64FA"/>
    <w:rsid w:val="006E02DF"/>
    <w:rsid w:val="006E2DE6"/>
    <w:rsid w:val="006E3469"/>
    <w:rsid w:val="006F24D2"/>
    <w:rsid w:val="006F2BCA"/>
    <w:rsid w:val="006F50D5"/>
    <w:rsid w:val="006F6DFD"/>
    <w:rsid w:val="007006F8"/>
    <w:rsid w:val="0071174E"/>
    <w:rsid w:val="00713C2F"/>
    <w:rsid w:val="0071568C"/>
    <w:rsid w:val="00715E9A"/>
    <w:rsid w:val="00717264"/>
    <w:rsid w:val="00724F54"/>
    <w:rsid w:val="00726964"/>
    <w:rsid w:val="00726FBB"/>
    <w:rsid w:val="00731C43"/>
    <w:rsid w:val="007322DE"/>
    <w:rsid w:val="00733CA0"/>
    <w:rsid w:val="00741AE9"/>
    <w:rsid w:val="007448BD"/>
    <w:rsid w:val="007465A6"/>
    <w:rsid w:val="00751E78"/>
    <w:rsid w:val="00753E44"/>
    <w:rsid w:val="0075525C"/>
    <w:rsid w:val="007636E8"/>
    <w:rsid w:val="007641FE"/>
    <w:rsid w:val="007701F6"/>
    <w:rsid w:val="007702A3"/>
    <w:rsid w:val="007725A9"/>
    <w:rsid w:val="007747D2"/>
    <w:rsid w:val="00776296"/>
    <w:rsid w:val="00776D62"/>
    <w:rsid w:val="007831A1"/>
    <w:rsid w:val="007853A3"/>
    <w:rsid w:val="00791D96"/>
    <w:rsid w:val="00791E4F"/>
    <w:rsid w:val="007A0D4F"/>
    <w:rsid w:val="007A37D1"/>
    <w:rsid w:val="007B1C5E"/>
    <w:rsid w:val="007B3B1B"/>
    <w:rsid w:val="007B7454"/>
    <w:rsid w:val="007C0370"/>
    <w:rsid w:val="007C0883"/>
    <w:rsid w:val="007C53B6"/>
    <w:rsid w:val="007C6BED"/>
    <w:rsid w:val="007D0628"/>
    <w:rsid w:val="007D1A4A"/>
    <w:rsid w:val="007D70AB"/>
    <w:rsid w:val="007E37FB"/>
    <w:rsid w:val="007E4C18"/>
    <w:rsid w:val="007E56E6"/>
    <w:rsid w:val="007F238D"/>
    <w:rsid w:val="007F2441"/>
    <w:rsid w:val="007F339B"/>
    <w:rsid w:val="007F4A2F"/>
    <w:rsid w:val="007F5E0A"/>
    <w:rsid w:val="007F71B7"/>
    <w:rsid w:val="008032B6"/>
    <w:rsid w:val="0081216B"/>
    <w:rsid w:val="00812E2D"/>
    <w:rsid w:val="008214CA"/>
    <w:rsid w:val="00823BF1"/>
    <w:rsid w:val="00826A9E"/>
    <w:rsid w:val="00840697"/>
    <w:rsid w:val="00841506"/>
    <w:rsid w:val="00846627"/>
    <w:rsid w:val="00850B3C"/>
    <w:rsid w:val="0085432A"/>
    <w:rsid w:val="00856113"/>
    <w:rsid w:val="00863413"/>
    <w:rsid w:val="008775BD"/>
    <w:rsid w:val="008822BD"/>
    <w:rsid w:val="00884890"/>
    <w:rsid w:val="00887E0F"/>
    <w:rsid w:val="00892636"/>
    <w:rsid w:val="00893003"/>
    <w:rsid w:val="00896006"/>
    <w:rsid w:val="008A362F"/>
    <w:rsid w:val="008A4116"/>
    <w:rsid w:val="008A4B22"/>
    <w:rsid w:val="008A7A42"/>
    <w:rsid w:val="008B3DF1"/>
    <w:rsid w:val="008B3E81"/>
    <w:rsid w:val="008B550D"/>
    <w:rsid w:val="008C13C6"/>
    <w:rsid w:val="008C3627"/>
    <w:rsid w:val="008D3B16"/>
    <w:rsid w:val="008D5A1D"/>
    <w:rsid w:val="008D78A3"/>
    <w:rsid w:val="008E3111"/>
    <w:rsid w:val="008E5C50"/>
    <w:rsid w:val="008E779A"/>
    <w:rsid w:val="008F2BE7"/>
    <w:rsid w:val="008F427C"/>
    <w:rsid w:val="009026EC"/>
    <w:rsid w:val="009031D5"/>
    <w:rsid w:val="0090567B"/>
    <w:rsid w:val="0090584E"/>
    <w:rsid w:val="0090639B"/>
    <w:rsid w:val="0091146E"/>
    <w:rsid w:val="00926D99"/>
    <w:rsid w:val="009329C0"/>
    <w:rsid w:val="00944669"/>
    <w:rsid w:val="00951177"/>
    <w:rsid w:val="00953A37"/>
    <w:rsid w:val="009554EF"/>
    <w:rsid w:val="009674C5"/>
    <w:rsid w:val="00967596"/>
    <w:rsid w:val="00972414"/>
    <w:rsid w:val="00973C17"/>
    <w:rsid w:val="00974AA8"/>
    <w:rsid w:val="00977843"/>
    <w:rsid w:val="00981A10"/>
    <w:rsid w:val="0098281E"/>
    <w:rsid w:val="00984170"/>
    <w:rsid w:val="00986913"/>
    <w:rsid w:val="00986C38"/>
    <w:rsid w:val="00987623"/>
    <w:rsid w:val="00991034"/>
    <w:rsid w:val="00995433"/>
    <w:rsid w:val="009959BC"/>
    <w:rsid w:val="009974DD"/>
    <w:rsid w:val="009A323A"/>
    <w:rsid w:val="009A4827"/>
    <w:rsid w:val="009A5B3A"/>
    <w:rsid w:val="009A7436"/>
    <w:rsid w:val="009B05B5"/>
    <w:rsid w:val="009B0657"/>
    <w:rsid w:val="009B0689"/>
    <w:rsid w:val="009B1479"/>
    <w:rsid w:val="009B54C4"/>
    <w:rsid w:val="009C088C"/>
    <w:rsid w:val="009C0E9A"/>
    <w:rsid w:val="009C15F4"/>
    <w:rsid w:val="009C2033"/>
    <w:rsid w:val="009C5862"/>
    <w:rsid w:val="009C588F"/>
    <w:rsid w:val="009C6730"/>
    <w:rsid w:val="009C783A"/>
    <w:rsid w:val="009D077E"/>
    <w:rsid w:val="009D476D"/>
    <w:rsid w:val="009E503C"/>
    <w:rsid w:val="009F0602"/>
    <w:rsid w:val="009F15E4"/>
    <w:rsid w:val="009F3318"/>
    <w:rsid w:val="009F6580"/>
    <w:rsid w:val="00A07FC9"/>
    <w:rsid w:val="00A109A4"/>
    <w:rsid w:val="00A13A72"/>
    <w:rsid w:val="00A14F95"/>
    <w:rsid w:val="00A2076F"/>
    <w:rsid w:val="00A23C80"/>
    <w:rsid w:val="00A2589A"/>
    <w:rsid w:val="00A25B92"/>
    <w:rsid w:val="00A27D29"/>
    <w:rsid w:val="00A31C23"/>
    <w:rsid w:val="00A34F7B"/>
    <w:rsid w:val="00A448DD"/>
    <w:rsid w:val="00A4737C"/>
    <w:rsid w:val="00A62F4E"/>
    <w:rsid w:val="00A64997"/>
    <w:rsid w:val="00A70DAF"/>
    <w:rsid w:val="00A71257"/>
    <w:rsid w:val="00A80CEC"/>
    <w:rsid w:val="00A822CE"/>
    <w:rsid w:val="00A83A51"/>
    <w:rsid w:val="00A84201"/>
    <w:rsid w:val="00A84EC7"/>
    <w:rsid w:val="00A92D45"/>
    <w:rsid w:val="00A936E8"/>
    <w:rsid w:val="00A94AB6"/>
    <w:rsid w:val="00AA3DBD"/>
    <w:rsid w:val="00AA418D"/>
    <w:rsid w:val="00AA5C69"/>
    <w:rsid w:val="00AA5CF0"/>
    <w:rsid w:val="00AB527D"/>
    <w:rsid w:val="00AC1A81"/>
    <w:rsid w:val="00AC2409"/>
    <w:rsid w:val="00AC46B1"/>
    <w:rsid w:val="00AC76E5"/>
    <w:rsid w:val="00AD428B"/>
    <w:rsid w:val="00AD5BBF"/>
    <w:rsid w:val="00AF7B28"/>
    <w:rsid w:val="00B01501"/>
    <w:rsid w:val="00B04ADA"/>
    <w:rsid w:val="00B11AF8"/>
    <w:rsid w:val="00B15260"/>
    <w:rsid w:val="00B16EA6"/>
    <w:rsid w:val="00B178AD"/>
    <w:rsid w:val="00B22930"/>
    <w:rsid w:val="00B240E6"/>
    <w:rsid w:val="00B26900"/>
    <w:rsid w:val="00B26A1C"/>
    <w:rsid w:val="00B33D12"/>
    <w:rsid w:val="00B34285"/>
    <w:rsid w:val="00B348AD"/>
    <w:rsid w:val="00B43F00"/>
    <w:rsid w:val="00B472DC"/>
    <w:rsid w:val="00B474EE"/>
    <w:rsid w:val="00B47CA1"/>
    <w:rsid w:val="00B56FF0"/>
    <w:rsid w:val="00B621AA"/>
    <w:rsid w:val="00B67059"/>
    <w:rsid w:val="00B7191E"/>
    <w:rsid w:val="00B81D28"/>
    <w:rsid w:val="00B8266F"/>
    <w:rsid w:val="00B829B8"/>
    <w:rsid w:val="00B8518E"/>
    <w:rsid w:val="00B8652F"/>
    <w:rsid w:val="00B87D8C"/>
    <w:rsid w:val="00B87ED8"/>
    <w:rsid w:val="00B92386"/>
    <w:rsid w:val="00B9320E"/>
    <w:rsid w:val="00B961DA"/>
    <w:rsid w:val="00B9725B"/>
    <w:rsid w:val="00B97CEB"/>
    <w:rsid w:val="00BA7CCB"/>
    <w:rsid w:val="00BB0960"/>
    <w:rsid w:val="00BB1989"/>
    <w:rsid w:val="00BB30A3"/>
    <w:rsid w:val="00BC047E"/>
    <w:rsid w:val="00BC1FC9"/>
    <w:rsid w:val="00BC447D"/>
    <w:rsid w:val="00BC756B"/>
    <w:rsid w:val="00BD3A38"/>
    <w:rsid w:val="00BD54A7"/>
    <w:rsid w:val="00BD7DB8"/>
    <w:rsid w:val="00BE1CDA"/>
    <w:rsid w:val="00BE75C3"/>
    <w:rsid w:val="00BF1E70"/>
    <w:rsid w:val="00BF5B5A"/>
    <w:rsid w:val="00C002CB"/>
    <w:rsid w:val="00C04C7A"/>
    <w:rsid w:val="00C10092"/>
    <w:rsid w:val="00C11E4F"/>
    <w:rsid w:val="00C14B63"/>
    <w:rsid w:val="00C162EB"/>
    <w:rsid w:val="00C17B3C"/>
    <w:rsid w:val="00C20A8B"/>
    <w:rsid w:val="00C22CED"/>
    <w:rsid w:val="00C31086"/>
    <w:rsid w:val="00C3354B"/>
    <w:rsid w:val="00C340DF"/>
    <w:rsid w:val="00C36126"/>
    <w:rsid w:val="00C416FD"/>
    <w:rsid w:val="00C46839"/>
    <w:rsid w:val="00C47835"/>
    <w:rsid w:val="00C51A73"/>
    <w:rsid w:val="00C61875"/>
    <w:rsid w:val="00C62F10"/>
    <w:rsid w:val="00C63305"/>
    <w:rsid w:val="00C66471"/>
    <w:rsid w:val="00C667EB"/>
    <w:rsid w:val="00C6778A"/>
    <w:rsid w:val="00C700A8"/>
    <w:rsid w:val="00C71032"/>
    <w:rsid w:val="00C7560C"/>
    <w:rsid w:val="00C76051"/>
    <w:rsid w:val="00C82768"/>
    <w:rsid w:val="00C832E4"/>
    <w:rsid w:val="00C84AFC"/>
    <w:rsid w:val="00C85A77"/>
    <w:rsid w:val="00C91852"/>
    <w:rsid w:val="00CA1FF9"/>
    <w:rsid w:val="00CA66B0"/>
    <w:rsid w:val="00CA7FCD"/>
    <w:rsid w:val="00CD1F39"/>
    <w:rsid w:val="00CD2056"/>
    <w:rsid w:val="00CD468C"/>
    <w:rsid w:val="00CD7B7A"/>
    <w:rsid w:val="00CE4747"/>
    <w:rsid w:val="00CE5B9D"/>
    <w:rsid w:val="00D02338"/>
    <w:rsid w:val="00D13052"/>
    <w:rsid w:val="00D17074"/>
    <w:rsid w:val="00D202AC"/>
    <w:rsid w:val="00D20738"/>
    <w:rsid w:val="00D213F4"/>
    <w:rsid w:val="00D22E84"/>
    <w:rsid w:val="00D23A98"/>
    <w:rsid w:val="00D2436A"/>
    <w:rsid w:val="00D323CC"/>
    <w:rsid w:val="00D32A48"/>
    <w:rsid w:val="00D3417B"/>
    <w:rsid w:val="00D37738"/>
    <w:rsid w:val="00D4594D"/>
    <w:rsid w:val="00D472C7"/>
    <w:rsid w:val="00D47D31"/>
    <w:rsid w:val="00D57FE3"/>
    <w:rsid w:val="00D61249"/>
    <w:rsid w:val="00D640F0"/>
    <w:rsid w:val="00D710D3"/>
    <w:rsid w:val="00D71866"/>
    <w:rsid w:val="00D718D7"/>
    <w:rsid w:val="00D71CEB"/>
    <w:rsid w:val="00D87077"/>
    <w:rsid w:val="00D9074A"/>
    <w:rsid w:val="00D92E87"/>
    <w:rsid w:val="00D968C7"/>
    <w:rsid w:val="00D97A4F"/>
    <w:rsid w:val="00DA22E7"/>
    <w:rsid w:val="00DB16B2"/>
    <w:rsid w:val="00DB20B8"/>
    <w:rsid w:val="00DB642C"/>
    <w:rsid w:val="00DC0A96"/>
    <w:rsid w:val="00DC4FD0"/>
    <w:rsid w:val="00DD0313"/>
    <w:rsid w:val="00DD24E4"/>
    <w:rsid w:val="00DE0AD3"/>
    <w:rsid w:val="00DE114F"/>
    <w:rsid w:val="00DE1A76"/>
    <w:rsid w:val="00DE23B8"/>
    <w:rsid w:val="00DE26F0"/>
    <w:rsid w:val="00DE36B9"/>
    <w:rsid w:val="00DE59ED"/>
    <w:rsid w:val="00DE6D5F"/>
    <w:rsid w:val="00DF20AA"/>
    <w:rsid w:val="00DF2D93"/>
    <w:rsid w:val="00DF71BC"/>
    <w:rsid w:val="00DF78C5"/>
    <w:rsid w:val="00E0540B"/>
    <w:rsid w:val="00E07DE6"/>
    <w:rsid w:val="00E16119"/>
    <w:rsid w:val="00E2146F"/>
    <w:rsid w:val="00E23E3A"/>
    <w:rsid w:val="00E24CC1"/>
    <w:rsid w:val="00E3770B"/>
    <w:rsid w:val="00E40EAB"/>
    <w:rsid w:val="00E42084"/>
    <w:rsid w:val="00E43349"/>
    <w:rsid w:val="00E52EAB"/>
    <w:rsid w:val="00E53FA0"/>
    <w:rsid w:val="00E53FAA"/>
    <w:rsid w:val="00E56524"/>
    <w:rsid w:val="00E56718"/>
    <w:rsid w:val="00E5738C"/>
    <w:rsid w:val="00E63881"/>
    <w:rsid w:val="00E653D4"/>
    <w:rsid w:val="00E71659"/>
    <w:rsid w:val="00E72B2A"/>
    <w:rsid w:val="00E738C0"/>
    <w:rsid w:val="00E75E50"/>
    <w:rsid w:val="00E87022"/>
    <w:rsid w:val="00E908AB"/>
    <w:rsid w:val="00E91B37"/>
    <w:rsid w:val="00E9411E"/>
    <w:rsid w:val="00E960BD"/>
    <w:rsid w:val="00EA1CAA"/>
    <w:rsid w:val="00EA57FE"/>
    <w:rsid w:val="00EB527F"/>
    <w:rsid w:val="00EB5C4B"/>
    <w:rsid w:val="00EC6EA0"/>
    <w:rsid w:val="00EC7024"/>
    <w:rsid w:val="00EC7CCF"/>
    <w:rsid w:val="00ED0A5E"/>
    <w:rsid w:val="00ED1280"/>
    <w:rsid w:val="00ED1CD2"/>
    <w:rsid w:val="00ED5D3F"/>
    <w:rsid w:val="00ED72EA"/>
    <w:rsid w:val="00ED73F5"/>
    <w:rsid w:val="00EE268C"/>
    <w:rsid w:val="00EE288A"/>
    <w:rsid w:val="00EE4563"/>
    <w:rsid w:val="00EF6B1E"/>
    <w:rsid w:val="00EF70A7"/>
    <w:rsid w:val="00F02CE1"/>
    <w:rsid w:val="00F06CD3"/>
    <w:rsid w:val="00F10E57"/>
    <w:rsid w:val="00F14C50"/>
    <w:rsid w:val="00F171E1"/>
    <w:rsid w:val="00F179AC"/>
    <w:rsid w:val="00F20BD5"/>
    <w:rsid w:val="00F21DF1"/>
    <w:rsid w:val="00F24C4C"/>
    <w:rsid w:val="00F251BC"/>
    <w:rsid w:val="00F258BD"/>
    <w:rsid w:val="00F27683"/>
    <w:rsid w:val="00F32598"/>
    <w:rsid w:val="00F337D8"/>
    <w:rsid w:val="00F345C9"/>
    <w:rsid w:val="00F35971"/>
    <w:rsid w:val="00F35DA0"/>
    <w:rsid w:val="00F37A52"/>
    <w:rsid w:val="00F47057"/>
    <w:rsid w:val="00F47B3B"/>
    <w:rsid w:val="00F60889"/>
    <w:rsid w:val="00F653E0"/>
    <w:rsid w:val="00F73498"/>
    <w:rsid w:val="00F73756"/>
    <w:rsid w:val="00F766BB"/>
    <w:rsid w:val="00F803EE"/>
    <w:rsid w:val="00F81562"/>
    <w:rsid w:val="00F815F5"/>
    <w:rsid w:val="00F82C87"/>
    <w:rsid w:val="00F84CE2"/>
    <w:rsid w:val="00F9355A"/>
    <w:rsid w:val="00F97A37"/>
    <w:rsid w:val="00FA2BE6"/>
    <w:rsid w:val="00FA6444"/>
    <w:rsid w:val="00FA6844"/>
    <w:rsid w:val="00FA7F13"/>
    <w:rsid w:val="00FB182A"/>
    <w:rsid w:val="00FB38AA"/>
    <w:rsid w:val="00FB4D10"/>
    <w:rsid w:val="00FB5462"/>
    <w:rsid w:val="00FC34D3"/>
    <w:rsid w:val="00FC75DC"/>
    <w:rsid w:val="00FE04C6"/>
    <w:rsid w:val="00FE3481"/>
    <w:rsid w:val="00FE55BE"/>
    <w:rsid w:val="00FE72F7"/>
    <w:rsid w:val="00FF3163"/>
    <w:rsid w:val="00FF370C"/>
    <w:rsid w:val="00FF4D17"/>
    <w:rsid w:val="00FF4FD4"/>
    <w:rsid w:val="00FF69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8CFD8"/>
  <w15:chartTrackingRefBased/>
  <w15:docId w15:val="{AC78AFD1-E440-417B-8427-0ECB8065E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53D4"/>
  </w:style>
  <w:style w:type="paragraph" w:styleId="Heading1">
    <w:name w:val="heading 1"/>
    <w:basedOn w:val="Normal"/>
    <w:next w:val="Normal"/>
    <w:link w:val="Heading1Char"/>
    <w:uiPriority w:val="9"/>
    <w:qFormat/>
    <w:rsid w:val="002157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57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57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57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57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57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57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57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57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7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57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57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57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57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57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57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57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5770"/>
    <w:rPr>
      <w:rFonts w:eastAsiaTheme="majorEastAsia" w:cstheme="majorBidi"/>
      <w:color w:val="272727" w:themeColor="text1" w:themeTint="D8"/>
    </w:rPr>
  </w:style>
  <w:style w:type="paragraph" w:styleId="Title">
    <w:name w:val="Title"/>
    <w:basedOn w:val="Normal"/>
    <w:next w:val="Normal"/>
    <w:link w:val="TitleChar"/>
    <w:uiPriority w:val="10"/>
    <w:qFormat/>
    <w:rsid w:val="002157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57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57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57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5770"/>
    <w:pPr>
      <w:spacing w:before="160"/>
      <w:jc w:val="center"/>
    </w:pPr>
    <w:rPr>
      <w:i/>
      <w:iCs/>
      <w:color w:val="404040" w:themeColor="text1" w:themeTint="BF"/>
    </w:rPr>
  </w:style>
  <w:style w:type="character" w:customStyle="1" w:styleId="QuoteChar">
    <w:name w:val="Quote Char"/>
    <w:basedOn w:val="DefaultParagraphFont"/>
    <w:link w:val="Quote"/>
    <w:uiPriority w:val="29"/>
    <w:rsid w:val="00215770"/>
    <w:rPr>
      <w:i/>
      <w:iCs/>
      <w:color w:val="404040" w:themeColor="text1" w:themeTint="BF"/>
    </w:rPr>
  </w:style>
  <w:style w:type="paragraph" w:styleId="ListParagraph">
    <w:name w:val="List Paragraph"/>
    <w:basedOn w:val="Normal"/>
    <w:uiPriority w:val="34"/>
    <w:qFormat/>
    <w:rsid w:val="00215770"/>
    <w:pPr>
      <w:ind w:left="720"/>
      <w:contextualSpacing/>
    </w:pPr>
  </w:style>
  <w:style w:type="character" w:styleId="IntenseEmphasis">
    <w:name w:val="Intense Emphasis"/>
    <w:basedOn w:val="DefaultParagraphFont"/>
    <w:uiPriority w:val="21"/>
    <w:qFormat/>
    <w:rsid w:val="00215770"/>
    <w:rPr>
      <w:i/>
      <w:iCs/>
      <w:color w:val="0F4761" w:themeColor="accent1" w:themeShade="BF"/>
    </w:rPr>
  </w:style>
  <w:style w:type="paragraph" w:styleId="IntenseQuote">
    <w:name w:val="Intense Quote"/>
    <w:basedOn w:val="Normal"/>
    <w:next w:val="Normal"/>
    <w:link w:val="IntenseQuoteChar"/>
    <w:uiPriority w:val="30"/>
    <w:qFormat/>
    <w:rsid w:val="002157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5770"/>
    <w:rPr>
      <w:i/>
      <w:iCs/>
      <w:color w:val="0F4761" w:themeColor="accent1" w:themeShade="BF"/>
    </w:rPr>
  </w:style>
  <w:style w:type="character" w:styleId="IntenseReference">
    <w:name w:val="Intense Reference"/>
    <w:basedOn w:val="DefaultParagraphFont"/>
    <w:uiPriority w:val="32"/>
    <w:qFormat/>
    <w:rsid w:val="00215770"/>
    <w:rPr>
      <w:b/>
      <w:bCs/>
      <w:smallCaps/>
      <w:color w:val="0F4761" w:themeColor="accent1" w:themeShade="BF"/>
      <w:spacing w:val="5"/>
    </w:rPr>
  </w:style>
  <w:style w:type="character" w:customStyle="1" w:styleId="normaltextrun">
    <w:name w:val="normaltextrun"/>
    <w:basedOn w:val="DefaultParagraphFont"/>
    <w:rsid w:val="00ED5D3F"/>
  </w:style>
  <w:style w:type="character" w:customStyle="1" w:styleId="scxw260691589">
    <w:name w:val="scxw260691589"/>
    <w:basedOn w:val="DefaultParagraphFont"/>
    <w:rsid w:val="00F345C9"/>
  </w:style>
  <w:style w:type="paragraph" w:customStyle="1" w:styleId="paragraph">
    <w:name w:val="paragraph"/>
    <w:basedOn w:val="Normal"/>
    <w:rsid w:val="00106867"/>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paragraph" w:styleId="NoSpacing">
    <w:name w:val="No Spacing"/>
    <w:link w:val="NoSpacingChar"/>
    <w:uiPriority w:val="1"/>
    <w:qFormat/>
    <w:rsid w:val="003D7DF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D7DFD"/>
    <w:rPr>
      <w:rFonts w:eastAsiaTheme="minorEastAsia"/>
      <w:kern w:val="0"/>
      <w:lang w:val="en-US"/>
      <w14:ligatures w14:val="none"/>
    </w:rPr>
  </w:style>
  <w:style w:type="paragraph" w:styleId="Header">
    <w:name w:val="header"/>
    <w:basedOn w:val="Normal"/>
    <w:link w:val="HeaderChar"/>
    <w:uiPriority w:val="99"/>
    <w:unhideWhenUsed/>
    <w:rsid w:val="00FF37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370C"/>
  </w:style>
  <w:style w:type="paragraph" w:styleId="Footer">
    <w:name w:val="footer"/>
    <w:basedOn w:val="Normal"/>
    <w:link w:val="FooterChar"/>
    <w:uiPriority w:val="99"/>
    <w:unhideWhenUsed/>
    <w:rsid w:val="00FF37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370C"/>
  </w:style>
  <w:style w:type="paragraph" w:styleId="TOCHeading">
    <w:name w:val="TOC Heading"/>
    <w:basedOn w:val="Heading1"/>
    <w:next w:val="Normal"/>
    <w:uiPriority w:val="39"/>
    <w:unhideWhenUsed/>
    <w:qFormat/>
    <w:rsid w:val="001A6095"/>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1A6095"/>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1A6095"/>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1A6095"/>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AA5C69"/>
    <w:rPr>
      <w:color w:val="467886" w:themeColor="hyperlink"/>
      <w:u w:val="single"/>
    </w:rPr>
  </w:style>
  <w:style w:type="character" w:styleId="UnresolvedMention">
    <w:name w:val="Unresolved Mention"/>
    <w:basedOn w:val="DefaultParagraphFont"/>
    <w:uiPriority w:val="99"/>
    <w:semiHidden/>
    <w:unhideWhenUsed/>
    <w:rsid w:val="00F470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30DA51-D0DD-463F-8155-8A76178B9E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5387</Words>
  <Characters>30708</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36023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Application of Employment Law</dc:title>
  <dc:subject>Providing appropriate advice to the management teams at a UK based organisation</dc:subject>
  <dc:creator>Lottie Humphrey (Hywel Dda UHB - Project Support Manager)</dc:creator>
  <cp:keywords/>
  <dc:description/>
  <cp:lastModifiedBy>Lottie Humphrey (Hywel Dda UHB - Project Support Manager)</cp:lastModifiedBy>
  <cp:revision>3</cp:revision>
  <dcterms:created xsi:type="dcterms:W3CDTF">2026-05-11T17:53:00Z</dcterms:created>
  <dcterms:modified xsi:type="dcterms:W3CDTF">2026-05-11T18:02:00Z</dcterms:modified>
</cp:coreProperties>
</file>